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81E72">
        <w:trPr>
          <w:trHeight w:val="990"/>
        </w:trPr>
        <w:tc>
          <w:tcPr>
            <w:tcW w:w="1363" w:type="dxa"/>
          </w:tcPr>
          <w:p w:rsidR="00C81E72" w:rsidRDefault="00343AAB" w:rsidP="00C81E72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F7E" w:rsidRDefault="0029462D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TECHNICAL UTILITY SERVICES</w:t>
            </w:r>
          </w:p>
          <w:p w:rsidR="00C81E72" w:rsidRDefault="0029462D" w:rsidP="00C81E7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</w:t>
            </w:r>
            <w:r w:rsidR="00C81E72"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 w:rsidR="00C81E72"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p>
        </w:tc>
        <w:tc>
          <w:tcPr>
            <w:tcW w:w="1452" w:type="dxa"/>
          </w:tcPr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6B10FA" w:rsidRDefault="00C81E72" w:rsidP="00C81E7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6B10FA" w:rsidRDefault="006B10FA" w:rsidP="009218A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M-</w:t>
            </w:r>
            <w:r w:rsidR="009218A9">
              <w:rPr>
                <w:rFonts w:ascii="Arial" w:hAnsi="Arial"/>
                <w:b/>
                <w:spacing w:val="-1"/>
                <w:sz w:val="12"/>
              </w:rPr>
              <w:t>2009</w:t>
            </w:r>
            <w:r>
              <w:rPr>
                <w:rFonts w:ascii="Arial" w:hAnsi="Arial"/>
                <w:b/>
                <w:spacing w:val="-1"/>
                <w:sz w:val="12"/>
              </w:rPr>
              <w:t>-</w:t>
            </w:r>
            <w:r w:rsidR="009218A9">
              <w:rPr>
                <w:rFonts w:ascii="Arial" w:hAnsi="Arial"/>
                <w:b/>
                <w:spacing w:val="-1"/>
                <w:sz w:val="12"/>
              </w:rPr>
              <w:t>2093383</w:t>
            </w:r>
            <w:r>
              <w:rPr>
                <w:rFonts w:ascii="Arial" w:hAnsi="Arial"/>
                <w:b/>
                <w:spacing w:val="-1"/>
                <w:sz w:val="12"/>
              </w:rPr>
              <w:t>1</w:t>
            </w:r>
          </w:p>
        </w:tc>
      </w:tr>
    </w:tbl>
    <w:p w:rsidR="00276AF5" w:rsidRPr="002322A2" w:rsidRDefault="007462DD" w:rsidP="00276A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3C7431" w:rsidRPr="00E42481">
        <w:rPr>
          <w:sz w:val="24"/>
          <w:szCs w:val="24"/>
        </w:rPr>
        <w:t>8</w:t>
      </w:r>
      <w:r w:rsidR="00796C69">
        <w:rPr>
          <w:sz w:val="24"/>
          <w:szCs w:val="24"/>
        </w:rPr>
        <w:t>,</w:t>
      </w:r>
      <w:r w:rsidR="0029462D">
        <w:rPr>
          <w:sz w:val="24"/>
          <w:szCs w:val="24"/>
        </w:rPr>
        <w:t xml:space="preserve"> 201</w:t>
      </w:r>
      <w:r w:rsidR="00215D40">
        <w:rPr>
          <w:sz w:val="24"/>
          <w:szCs w:val="24"/>
        </w:rPr>
        <w:t>6</w:t>
      </w:r>
    </w:p>
    <w:p w:rsidR="00AE3B13" w:rsidRDefault="00AE3B13" w:rsidP="00AE3B13">
      <w:pPr>
        <w:rPr>
          <w:sz w:val="24"/>
          <w:szCs w:val="24"/>
        </w:rPr>
      </w:pPr>
    </w:p>
    <w:p w:rsidR="00AE3B13" w:rsidRDefault="00AE3B13" w:rsidP="00AE3B13">
      <w:pPr>
        <w:rPr>
          <w:sz w:val="24"/>
          <w:szCs w:val="24"/>
        </w:rPr>
      </w:pPr>
    </w:p>
    <w:p w:rsidR="0017744A" w:rsidRDefault="002322A2" w:rsidP="00D1509B">
      <w:pPr>
        <w:jc w:val="both"/>
        <w:rPr>
          <w:sz w:val="24"/>
          <w:szCs w:val="24"/>
        </w:rPr>
      </w:pPr>
      <w:r w:rsidRPr="007462DD">
        <w:rPr>
          <w:sz w:val="24"/>
          <w:szCs w:val="24"/>
        </w:rPr>
        <w:t>TO</w:t>
      </w:r>
      <w:r w:rsidR="007462DD" w:rsidRPr="007462DD">
        <w:rPr>
          <w:sz w:val="24"/>
          <w:szCs w:val="24"/>
        </w:rPr>
        <w:t>:</w:t>
      </w:r>
      <w:r w:rsidR="007462DD">
        <w:rPr>
          <w:sz w:val="24"/>
          <w:szCs w:val="24"/>
        </w:rPr>
        <w:t xml:space="preserve"> EDCs and EGSs with AEPS</w:t>
      </w:r>
      <w:r w:rsidR="0099774E">
        <w:rPr>
          <w:sz w:val="24"/>
          <w:szCs w:val="24"/>
        </w:rPr>
        <w:t xml:space="preserve"> obligations</w:t>
      </w:r>
    </w:p>
    <w:p w:rsidR="00C144D8" w:rsidRDefault="00C144D8" w:rsidP="00D1509B">
      <w:pPr>
        <w:jc w:val="both"/>
        <w:rPr>
          <w:sz w:val="24"/>
          <w:szCs w:val="24"/>
        </w:rPr>
      </w:pPr>
    </w:p>
    <w:p w:rsidR="00C144D8" w:rsidRPr="00C144D8" w:rsidRDefault="00C144D8" w:rsidP="00D1509B">
      <w:pPr>
        <w:jc w:val="both"/>
        <w:rPr>
          <w:b/>
          <w:sz w:val="24"/>
          <w:szCs w:val="24"/>
        </w:rPr>
      </w:pPr>
      <w:r w:rsidRPr="007462DD">
        <w:rPr>
          <w:sz w:val="24"/>
          <w:szCs w:val="24"/>
        </w:rPr>
        <w:t>RE:</w:t>
      </w:r>
      <w:r w:rsidRPr="00C144D8">
        <w:rPr>
          <w:b/>
          <w:sz w:val="24"/>
          <w:szCs w:val="24"/>
        </w:rPr>
        <w:t xml:space="preserve"> </w:t>
      </w:r>
      <w:r w:rsidR="007462DD" w:rsidRPr="007462DD">
        <w:rPr>
          <w:sz w:val="24"/>
          <w:szCs w:val="24"/>
        </w:rPr>
        <w:t>AEPS Compliance Obligation</w:t>
      </w:r>
      <w:r w:rsidR="007462DD">
        <w:rPr>
          <w:b/>
          <w:sz w:val="24"/>
          <w:szCs w:val="24"/>
        </w:rPr>
        <w:t xml:space="preserve"> </w:t>
      </w:r>
    </w:p>
    <w:p w:rsidR="00C144D8" w:rsidRDefault="00C144D8" w:rsidP="00D1509B">
      <w:pPr>
        <w:jc w:val="both"/>
        <w:rPr>
          <w:sz w:val="24"/>
          <w:szCs w:val="24"/>
        </w:rPr>
      </w:pPr>
    </w:p>
    <w:p w:rsidR="002322A2" w:rsidRDefault="002322A2" w:rsidP="00D1509B">
      <w:pPr>
        <w:jc w:val="both"/>
        <w:rPr>
          <w:sz w:val="24"/>
          <w:szCs w:val="24"/>
        </w:rPr>
      </w:pPr>
    </w:p>
    <w:p w:rsidR="00222E38" w:rsidRDefault="00222E38" w:rsidP="00025F9F">
      <w:pPr>
        <w:pStyle w:val="p3"/>
        <w:widowControl/>
        <w:tabs>
          <w:tab w:val="clear" w:pos="204"/>
        </w:tabs>
        <w:ind w:firstLine="720"/>
      </w:pPr>
      <w:r>
        <w:t xml:space="preserve">This </w:t>
      </w:r>
      <w:r w:rsidR="00EE03F4">
        <w:t xml:space="preserve">letter </w:t>
      </w:r>
      <w:r>
        <w:t xml:space="preserve">serves as  notification that there will be an approximate </w:t>
      </w:r>
      <w:r w:rsidRPr="00B20C04">
        <w:t>seven percent</w:t>
      </w:r>
      <w:r w:rsidRPr="003A7344">
        <w:t xml:space="preserve"> increase</w:t>
      </w:r>
      <w:r>
        <w:t xml:space="preserve"> in the otherwise anticipated annual </w:t>
      </w:r>
      <w:r w:rsidR="00B8162F">
        <w:t xml:space="preserve">AEPS </w:t>
      </w:r>
      <w:r>
        <w:t>Tier I obligations</w:t>
      </w:r>
      <w:r w:rsidR="00EE03F4">
        <w:t xml:space="preserve"> for the 2016 compliance year</w:t>
      </w:r>
      <w:r>
        <w:t xml:space="preserve">.  This notice is being provided in advance </w:t>
      </w:r>
      <w:r w:rsidR="00A10127">
        <w:t xml:space="preserve">so that </w:t>
      </w:r>
      <w:r>
        <w:t xml:space="preserve">all electric distribution companies (EDCs) and electric generation suppliers (EGSs) with compliance obligations </w:t>
      </w:r>
      <w:r w:rsidR="00A10127">
        <w:t xml:space="preserve">are informed </w:t>
      </w:r>
      <w:r>
        <w:t>of this increase as soon as practical.</w:t>
      </w:r>
    </w:p>
    <w:p w:rsidR="00222E38" w:rsidRDefault="00222E38" w:rsidP="00025F9F">
      <w:pPr>
        <w:pStyle w:val="p3"/>
        <w:widowControl/>
        <w:tabs>
          <w:tab w:val="clear" w:pos="204"/>
        </w:tabs>
        <w:ind w:firstLine="720"/>
      </w:pPr>
    </w:p>
    <w:p w:rsidR="00974184" w:rsidRDefault="00025F9F" w:rsidP="00025F9F">
      <w:pPr>
        <w:pStyle w:val="p3"/>
        <w:widowControl/>
        <w:tabs>
          <w:tab w:val="clear" w:pos="204"/>
        </w:tabs>
        <w:ind w:firstLine="720"/>
      </w:pPr>
      <w:r w:rsidRPr="00025F9F">
        <w:t xml:space="preserve">Act 129 of 2008, P.L. 1592, (“Act 129”) </w:t>
      </w:r>
      <w:r>
        <w:t xml:space="preserve">was signed </w:t>
      </w:r>
      <w:r w:rsidRPr="00025F9F">
        <w:t xml:space="preserve">into law on October 15, 2008.  Section 5 of Act 129 </w:t>
      </w:r>
      <w:r w:rsidR="00676601" w:rsidRPr="00025F9F">
        <w:t>add</w:t>
      </w:r>
      <w:r w:rsidR="00676601">
        <w:t>ed</w:t>
      </w:r>
      <w:r w:rsidR="00676601" w:rsidRPr="00025F9F">
        <w:t xml:space="preserve"> </w:t>
      </w:r>
      <w:r w:rsidRPr="00025F9F">
        <w:t>Section 2814 to the Pennsylvania Public Utility Code</w:t>
      </w:r>
      <w:r w:rsidR="00676601">
        <w:t>,</w:t>
      </w:r>
      <w:r w:rsidRPr="00025F9F">
        <w:t xml:space="preserve"> 66 Pa. C.S. § 2814.  Section 2814 </w:t>
      </w:r>
      <w:r w:rsidR="00676601" w:rsidRPr="00025F9F">
        <w:t>expand</w:t>
      </w:r>
      <w:r w:rsidR="00676601">
        <w:t>ed</w:t>
      </w:r>
      <w:r w:rsidR="00676601" w:rsidRPr="00025F9F">
        <w:t xml:space="preserve"> </w:t>
      </w:r>
      <w:r w:rsidRPr="00025F9F">
        <w:t>the types of sources that qualify as Tier I alternative energy sources under the</w:t>
      </w:r>
      <w:r w:rsidR="00D57932">
        <w:t xml:space="preserve"> Alternative Energy Portfolio Standard</w:t>
      </w:r>
      <w:r w:rsidRPr="00025F9F">
        <w:t xml:space="preserve"> </w:t>
      </w:r>
      <w:r w:rsidR="00D57932">
        <w:t>(</w:t>
      </w:r>
      <w:r w:rsidRPr="00025F9F">
        <w:t>AEPS</w:t>
      </w:r>
      <w:r w:rsidR="00D57932">
        <w:t>)</w:t>
      </w:r>
      <w:r w:rsidRPr="00025F9F">
        <w:t xml:space="preserve"> Act to include specific categories of low impact hydropower and biomass energy.  Section 2814 also </w:t>
      </w:r>
      <w:r w:rsidR="00676601" w:rsidRPr="00025F9F">
        <w:t>require</w:t>
      </w:r>
      <w:r w:rsidR="00676601">
        <w:t>d</w:t>
      </w:r>
      <w:r w:rsidR="00676601" w:rsidRPr="00025F9F">
        <w:t xml:space="preserve"> </w:t>
      </w:r>
      <w:r w:rsidRPr="00025F9F">
        <w:t xml:space="preserve">the </w:t>
      </w:r>
      <w:r>
        <w:t xml:space="preserve">Pennsylvania Public Utility </w:t>
      </w:r>
      <w:r w:rsidRPr="00025F9F">
        <w:t xml:space="preserve">Commission </w:t>
      </w:r>
      <w:r>
        <w:t xml:space="preserve">(Commission) </w:t>
      </w:r>
      <w:r w:rsidRPr="00025F9F">
        <w:t>to increase, at least quarterly, the percentage share of Tier I resources to be sold by EDCs and</w:t>
      </w:r>
      <w:r w:rsidR="00676601">
        <w:t xml:space="preserve"> </w:t>
      </w:r>
      <w:r w:rsidRPr="00025F9F">
        <w:t xml:space="preserve">EGSs to reflect any new Tier I resources added as a result of this amendment.  </w:t>
      </w:r>
      <w:r w:rsidR="00676601" w:rsidRPr="00D20BC7">
        <w:rPr>
          <w:i/>
        </w:rPr>
        <w:t>See</w:t>
      </w:r>
      <w:r w:rsidR="00676601">
        <w:t xml:space="preserve"> </w:t>
      </w:r>
      <w:r w:rsidRPr="00025F9F">
        <w:t>66 Pa.</w:t>
      </w:r>
      <w:r w:rsidR="00676601">
        <w:t xml:space="preserve"> </w:t>
      </w:r>
      <w:r w:rsidRPr="00025F9F">
        <w:t>C.S. § 2814(c).</w:t>
      </w:r>
      <w:r>
        <w:t xml:space="preserve">  </w:t>
      </w:r>
    </w:p>
    <w:p w:rsidR="00974184" w:rsidRDefault="00974184" w:rsidP="00025F9F">
      <w:pPr>
        <w:pStyle w:val="p3"/>
        <w:widowControl/>
        <w:tabs>
          <w:tab w:val="clear" w:pos="204"/>
        </w:tabs>
        <w:ind w:firstLine="720"/>
      </w:pPr>
    </w:p>
    <w:p w:rsidR="00025F9F" w:rsidRDefault="00025F9F" w:rsidP="00974184">
      <w:pPr>
        <w:pStyle w:val="p3"/>
        <w:widowControl/>
        <w:tabs>
          <w:tab w:val="clear" w:pos="204"/>
        </w:tabs>
        <w:ind w:firstLine="720"/>
      </w:pPr>
      <w:r>
        <w:t xml:space="preserve">On May 28, 2009, the </w:t>
      </w:r>
      <w:r w:rsidR="001149EE">
        <w:t xml:space="preserve">Commission </w:t>
      </w:r>
      <w:r w:rsidR="001149EE" w:rsidRPr="00D20BC7">
        <w:t>issued</w:t>
      </w:r>
      <w:r w:rsidR="001149EE">
        <w:t xml:space="preserve"> a Final Order </w:t>
      </w:r>
      <w:r w:rsidR="00676601">
        <w:t xml:space="preserve">at Docket </w:t>
      </w:r>
      <w:r w:rsidR="00635B0D">
        <w:t>N</w:t>
      </w:r>
      <w:r w:rsidR="00676601">
        <w:t>umber M-2009-2093383</w:t>
      </w:r>
      <w:r w:rsidR="001149EE">
        <w:t xml:space="preserve"> </w:t>
      </w:r>
      <w:r w:rsidR="001149EE" w:rsidRPr="001149EE">
        <w:t xml:space="preserve">establishing procedures and guidelines </w:t>
      </w:r>
      <w:r>
        <w:t xml:space="preserve">relative to </w:t>
      </w:r>
      <w:r w:rsidR="00676601">
        <w:t xml:space="preserve">the </w:t>
      </w:r>
      <w:r>
        <w:t xml:space="preserve">aforementioned Tier I quarterly adjustment.  As part of its obligation to inform EDCs and EGSs that have served load during the 2016 compliance year, the AEPS Program Administrator will soon be providing notification </w:t>
      </w:r>
      <w:r w:rsidR="00222E38">
        <w:t xml:space="preserve">to </w:t>
      </w:r>
      <w:r>
        <w:t>each EDC and EGS</w:t>
      </w:r>
      <w:r w:rsidR="00222E38">
        <w:t xml:space="preserve"> </w:t>
      </w:r>
      <w:r w:rsidR="00D20BC7">
        <w:t xml:space="preserve">of </w:t>
      </w:r>
      <w:r w:rsidR="00222E38">
        <w:t>its</w:t>
      </w:r>
      <w:r>
        <w:t xml:space="preserve"> total compliance obligation</w:t>
      </w:r>
      <w:r w:rsidR="00222E38">
        <w:t xml:space="preserve"> includ</w:t>
      </w:r>
      <w:r w:rsidR="00635B0D">
        <w:t>ing</w:t>
      </w:r>
      <w:r w:rsidR="00222E38">
        <w:t xml:space="preserve"> these quarterly Tier I adjustments</w:t>
      </w:r>
      <w:r>
        <w:t xml:space="preserve">.  </w:t>
      </w:r>
    </w:p>
    <w:p w:rsidR="00D57932" w:rsidRDefault="00D57932" w:rsidP="003077E5">
      <w:pPr>
        <w:ind w:firstLine="720"/>
        <w:rPr>
          <w:sz w:val="24"/>
          <w:szCs w:val="24"/>
        </w:rPr>
      </w:pPr>
    </w:p>
    <w:p w:rsidR="00D57932" w:rsidRDefault="00ED220B" w:rsidP="0030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letter serves as notification that t</w:t>
      </w:r>
      <w:r w:rsidR="007462DD">
        <w:rPr>
          <w:sz w:val="24"/>
          <w:szCs w:val="24"/>
        </w:rPr>
        <w:t xml:space="preserve">he Commission </w:t>
      </w:r>
      <w:r w:rsidR="00222E38">
        <w:rPr>
          <w:sz w:val="24"/>
          <w:szCs w:val="24"/>
        </w:rPr>
        <w:t>has be</w:t>
      </w:r>
      <w:r w:rsidR="00B8162F">
        <w:rPr>
          <w:sz w:val="24"/>
          <w:szCs w:val="24"/>
        </w:rPr>
        <w:t>come</w:t>
      </w:r>
      <w:r w:rsidR="00222E38">
        <w:rPr>
          <w:sz w:val="24"/>
          <w:szCs w:val="24"/>
        </w:rPr>
        <w:t xml:space="preserve"> </w:t>
      </w:r>
      <w:r w:rsidR="00707DC1">
        <w:rPr>
          <w:sz w:val="24"/>
          <w:szCs w:val="24"/>
        </w:rPr>
        <w:t xml:space="preserve">aware of an error in </w:t>
      </w:r>
      <w:r w:rsidR="00222E38">
        <w:rPr>
          <w:sz w:val="24"/>
          <w:szCs w:val="24"/>
        </w:rPr>
        <w:t>how</w:t>
      </w:r>
      <w:r w:rsidR="00707DC1">
        <w:rPr>
          <w:sz w:val="24"/>
          <w:szCs w:val="24"/>
        </w:rPr>
        <w:t xml:space="preserve"> the quarterly adjustment</w:t>
      </w:r>
      <w:r w:rsidR="00D57932">
        <w:rPr>
          <w:sz w:val="24"/>
          <w:szCs w:val="24"/>
        </w:rPr>
        <w:t>s</w:t>
      </w:r>
      <w:r w:rsidR="00707DC1">
        <w:rPr>
          <w:sz w:val="24"/>
          <w:szCs w:val="24"/>
        </w:rPr>
        <w:t xml:space="preserve"> </w:t>
      </w:r>
      <w:r w:rsidR="00222E38">
        <w:rPr>
          <w:sz w:val="24"/>
          <w:szCs w:val="24"/>
        </w:rPr>
        <w:t>were calculated</w:t>
      </w:r>
      <w:r w:rsidR="00B8162F">
        <w:rPr>
          <w:sz w:val="24"/>
          <w:szCs w:val="24"/>
        </w:rPr>
        <w:t xml:space="preserve"> over the past </w:t>
      </w:r>
      <w:r w:rsidR="00A17A0A">
        <w:rPr>
          <w:sz w:val="24"/>
          <w:szCs w:val="24"/>
        </w:rPr>
        <w:t>six</w:t>
      </w:r>
      <w:r w:rsidR="00B8162F">
        <w:rPr>
          <w:sz w:val="24"/>
          <w:szCs w:val="24"/>
        </w:rPr>
        <w:t xml:space="preserve"> years</w:t>
      </w:r>
      <w:r w:rsidR="00D57932">
        <w:rPr>
          <w:sz w:val="24"/>
          <w:szCs w:val="24"/>
        </w:rPr>
        <w:t xml:space="preserve">.  </w:t>
      </w:r>
      <w:r w:rsidR="00222E38">
        <w:rPr>
          <w:sz w:val="24"/>
          <w:szCs w:val="24"/>
        </w:rPr>
        <w:t>This error has been corrected f</w:t>
      </w:r>
      <w:r w:rsidR="00D57932">
        <w:rPr>
          <w:sz w:val="24"/>
          <w:szCs w:val="24"/>
        </w:rPr>
        <w:t xml:space="preserve">or the 2016 compliance year, </w:t>
      </w:r>
      <w:r w:rsidR="00222E38">
        <w:rPr>
          <w:sz w:val="24"/>
          <w:szCs w:val="24"/>
        </w:rPr>
        <w:t>resulting</w:t>
      </w:r>
      <w:r w:rsidR="00D57932">
        <w:rPr>
          <w:sz w:val="24"/>
          <w:szCs w:val="24"/>
        </w:rPr>
        <w:t xml:space="preserve"> in </w:t>
      </w:r>
      <w:r w:rsidR="00222E38">
        <w:rPr>
          <w:sz w:val="24"/>
          <w:szCs w:val="24"/>
        </w:rPr>
        <w:t>an approximate</w:t>
      </w:r>
      <w:r w:rsidR="00D57932">
        <w:rPr>
          <w:sz w:val="24"/>
          <w:szCs w:val="24"/>
        </w:rPr>
        <w:t xml:space="preserve"> </w:t>
      </w:r>
      <w:r w:rsidR="00D57932" w:rsidRPr="00B20C04">
        <w:rPr>
          <w:sz w:val="24"/>
          <w:szCs w:val="24"/>
        </w:rPr>
        <w:t>seven percent</w:t>
      </w:r>
      <w:r w:rsidR="00D57932">
        <w:rPr>
          <w:sz w:val="24"/>
          <w:szCs w:val="24"/>
        </w:rPr>
        <w:t xml:space="preserve"> increase in the otherwise anticipated</w:t>
      </w:r>
      <w:r w:rsidR="00222E38">
        <w:rPr>
          <w:sz w:val="24"/>
          <w:szCs w:val="24"/>
        </w:rPr>
        <w:t xml:space="preserve"> annual</w:t>
      </w:r>
      <w:r w:rsidR="00D57932">
        <w:rPr>
          <w:sz w:val="24"/>
          <w:szCs w:val="24"/>
        </w:rPr>
        <w:t xml:space="preserve"> Tier I obligations.</w:t>
      </w:r>
    </w:p>
    <w:p w:rsidR="00D57932" w:rsidRDefault="00D57932" w:rsidP="003077E5">
      <w:pPr>
        <w:ind w:firstLine="720"/>
        <w:rPr>
          <w:sz w:val="24"/>
          <w:szCs w:val="24"/>
        </w:rPr>
      </w:pPr>
    </w:p>
    <w:p w:rsidR="00C114D7" w:rsidRDefault="00222E38" w:rsidP="005053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FB3460">
        <w:rPr>
          <w:sz w:val="24"/>
          <w:szCs w:val="24"/>
        </w:rPr>
        <w:t xml:space="preserve"> Commission </w:t>
      </w:r>
      <w:r w:rsidR="0099774E">
        <w:rPr>
          <w:sz w:val="24"/>
          <w:szCs w:val="24"/>
        </w:rPr>
        <w:t>is in the process of reviewing</w:t>
      </w:r>
      <w:r w:rsidR="00FB3460">
        <w:rPr>
          <w:sz w:val="24"/>
          <w:szCs w:val="24"/>
        </w:rPr>
        <w:t xml:space="preserve"> how this error </w:t>
      </w:r>
      <w:r w:rsidR="0099774E">
        <w:rPr>
          <w:sz w:val="24"/>
          <w:szCs w:val="24"/>
        </w:rPr>
        <w:t>oc</w:t>
      </w:r>
      <w:r w:rsidR="00D15E7E">
        <w:rPr>
          <w:sz w:val="24"/>
          <w:szCs w:val="24"/>
        </w:rPr>
        <w:t>c</w:t>
      </w:r>
      <w:r w:rsidR="0099774E">
        <w:rPr>
          <w:sz w:val="24"/>
          <w:szCs w:val="24"/>
        </w:rPr>
        <w:t xml:space="preserve">urred and </w:t>
      </w:r>
      <w:r w:rsidR="003D06ED">
        <w:rPr>
          <w:sz w:val="24"/>
          <w:szCs w:val="24"/>
        </w:rPr>
        <w:t xml:space="preserve">whether </w:t>
      </w:r>
      <w:r w:rsidR="0099774E">
        <w:rPr>
          <w:sz w:val="24"/>
          <w:szCs w:val="24"/>
        </w:rPr>
        <w:t>any additional</w:t>
      </w:r>
      <w:r w:rsidR="00FB3460">
        <w:rPr>
          <w:sz w:val="24"/>
          <w:szCs w:val="24"/>
        </w:rPr>
        <w:t xml:space="preserve"> actions </w:t>
      </w:r>
      <w:r w:rsidR="00505326">
        <w:rPr>
          <w:sz w:val="24"/>
          <w:szCs w:val="24"/>
        </w:rPr>
        <w:t>are necessary</w:t>
      </w:r>
      <w:r w:rsidR="0099774E">
        <w:rPr>
          <w:sz w:val="24"/>
          <w:szCs w:val="24"/>
        </w:rPr>
        <w:t xml:space="preserve"> to address this error</w:t>
      </w:r>
      <w:r w:rsidR="00FB3460">
        <w:rPr>
          <w:sz w:val="24"/>
          <w:szCs w:val="24"/>
        </w:rPr>
        <w:t>.</w:t>
      </w:r>
    </w:p>
    <w:p w:rsidR="002847DE" w:rsidRDefault="002847DE" w:rsidP="003077E5">
      <w:pPr>
        <w:ind w:firstLine="720"/>
        <w:rPr>
          <w:sz w:val="24"/>
          <w:szCs w:val="24"/>
        </w:rPr>
      </w:pPr>
    </w:p>
    <w:p w:rsidR="00BE7AC3" w:rsidRDefault="00E42481" w:rsidP="0030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direct all questions or concerns regarding compliance with the increased Tier I obligations to Mr. Joseph Sherrick at 717-787-</w:t>
      </w:r>
      <w:r w:rsidR="00B20C04">
        <w:rPr>
          <w:sz w:val="24"/>
          <w:szCs w:val="24"/>
        </w:rPr>
        <w:t>5369 or josherrick@pa.gov.</w:t>
      </w:r>
    </w:p>
    <w:p w:rsidR="001939C4" w:rsidRDefault="001939C4" w:rsidP="003077E5">
      <w:pPr>
        <w:rPr>
          <w:sz w:val="24"/>
          <w:szCs w:val="24"/>
        </w:rPr>
      </w:pPr>
    </w:p>
    <w:p w:rsidR="005378CC" w:rsidRDefault="00505326" w:rsidP="003077E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EC145" wp14:editId="06594511">
            <wp:simplePos x="0" y="0"/>
            <wp:positionH relativeFrom="column">
              <wp:posOffset>2409825</wp:posOffset>
            </wp:positionH>
            <wp:positionV relativeFrom="paragraph">
              <wp:posOffset>64135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  <w:t>Very truly yours</w:t>
      </w:r>
      <w:r w:rsidR="005378CC">
        <w:rPr>
          <w:sz w:val="24"/>
          <w:szCs w:val="24"/>
        </w:rPr>
        <w:t>,</w:t>
      </w:r>
    </w:p>
    <w:p w:rsidR="005378CC" w:rsidRDefault="005378CC" w:rsidP="003077E5">
      <w:pPr>
        <w:rPr>
          <w:sz w:val="24"/>
          <w:szCs w:val="24"/>
        </w:rPr>
      </w:pPr>
    </w:p>
    <w:p w:rsidR="00505326" w:rsidRDefault="00505326"/>
    <w:p w:rsidR="005378CC" w:rsidRDefault="005378CC" w:rsidP="003077E5">
      <w:pPr>
        <w:rPr>
          <w:sz w:val="24"/>
          <w:szCs w:val="24"/>
        </w:rPr>
      </w:pPr>
    </w:p>
    <w:p w:rsidR="005378CC" w:rsidRDefault="005378CC" w:rsidP="003077E5">
      <w:pPr>
        <w:rPr>
          <w:sz w:val="24"/>
          <w:szCs w:val="24"/>
        </w:rPr>
      </w:pPr>
    </w:p>
    <w:p w:rsidR="005378CC" w:rsidRDefault="005378CC" w:rsidP="00307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BA">
        <w:rPr>
          <w:sz w:val="24"/>
          <w:szCs w:val="24"/>
        </w:rPr>
        <w:t>Rosemary Chiavetta</w:t>
      </w:r>
    </w:p>
    <w:p w:rsidR="005378CC" w:rsidRDefault="005378CC" w:rsidP="00307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BA">
        <w:rPr>
          <w:sz w:val="24"/>
          <w:szCs w:val="24"/>
        </w:rPr>
        <w:t>Secretar</w:t>
      </w:r>
      <w:r w:rsidR="00505326">
        <w:rPr>
          <w:sz w:val="24"/>
          <w:szCs w:val="24"/>
        </w:rPr>
        <w:t>y</w:t>
      </w:r>
    </w:p>
    <w:sectPr w:rsidR="005378CC" w:rsidSect="00505326">
      <w:pgSz w:w="12240" w:h="15840"/>
      <w:pgMar w:top="28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41" w:rsidRDefault="00B10D41">
      <w:r>
        <w:separator/>
      </w:r>
    </w:p>
  </w:endnote>
  <w:endnote w:type="continuationSeparator" w:id="0">
    <w:p w:rsidR="00B10D41" w:rsidRDefault="00B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41" w:rsidRDefault="00B10D41">
      <w:r>
        <w:separator/>
      </w:r>
    </w:p>
  </w:footnote>
  <w:footnote w:type="continuationSeparator" w:id="0">
    <w:p w:rsidR="00B10D41" w:rsidRDefault="00B1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34"/>
    <w:rsid w:val="00025F9F"/>
    <w:rsid w:val="00044E25"/>
    <w:rsid w:val="00051FD1"/>
    <w:rsid w:val="0008068C"/>
    <w:rsid w:val="000A53EF"/>
    <w:rsid w:val="000B758F"/>
    <w:rsid w:val="000D2CB3"/>
    <w:rsid w:val="001007CA"/>
    <w:rsid w:val="0011112B"/>
    <w:rsid w:val="001149EE"/>
    <w:rsid w:val="00140396"/>
    <w:rsid w:val="00152F61"/>
    <w:rsid w:val="00155A18"/>
    <w:rsid w:val="00161E3E"/>
    <w:rsid w:val="00162A36"/>
    <w:rsid w:val="0017744A"/>
    <w:rsid w:val="001869BA"/>
    <w:rsid w:val="001939C4"/>
    <w:rsid w:val="00197334"/>
    <w:rsid w:val="001A64A5"/>
    <w:rsid w:val="001D2B92"/>
    <w:rsid w:val="00211449"/>
    <w:rsid w:val="00215D40"/>
    <w:rsid w:val="00222E38"/>
    <w:rsid w:val="002322A2"/>
    <w:rsid w:val="00253065"/>
    <w:rsid w:val="00254BB2"/>
    <w:rsid w:val="002629D0"/>
    <w:rsid w:val="002664E5"/>
    <w:rsid w:val="00276AF5"/>
    <w:rsid w:val="002847DE"/>
    <w:rsid w:val="00292072"/>
    <w:rsid w:val="0029462D"/>
    <w:rsid w:val="002B1284"/>
    <w:rsid w:val="002D71D9"/>
    <w:rsid w:val="002E392A"/>
    <w:rsid w:val="002E6DF3"/>
    <w:rsid w:val="002F5078"/>
    <w:rsid w:val="002F7EF9"/>
    <w:rsid w:val="0030591E"/>
    <w:rsid w:val="003077E5"/>
    <w:rsid w:val="00326560"/>
    <w:rsid w:val="0033280E"/>
    <w:rsid w:val="00337C22"/>
    <w:rsid w:val="00343AAB"/>
    <w:rsid w:val="0034506A"/>
    <w:rsid w:val="00356135"/>
    <w:rsid w:val="003A7344"/>
    <w:rsid w:val="003B51E7"/>
    <w:rsid w:val="003C7431"/>
    <w:rsid w:val="003C779D"/>
    <w:rsid w:val="003C7F10"/>
    <w:rsid w:val="003D06ED"/>
    <w:rsid w:val="003E366F"/>
    <w:rsid w:val="003E4F7E"/>
    <w:rsid w:val="00432881"/>
    <w:rsid w:val="00441895"/>
    <w:rsid w:val="00453A9F"/>
    <w:rsid w:val="004C2A1F"/>
    <w:rsid w:val="004E48CE"/>
    <w:rsid w:val="004E7B1E"/>
    <w:rsid w:val="00501779"/>
    <w:rsid w:val="00502B0D"/>
    <w:rsid w:val="00505326"/>
    <w:rsid w:val="00515463"/>
    <w:rsid w:val="005378CC"/>
    <w:rsid w:val="0054490F"/>
    <w:rsid w:val="00596993"/>
    <w:rsid w:val="005A694E"/>
    <w:rsid w:val="005A731D"/>
    <w:rsid w:val="00604894"/>
    <w:rsid w:val="00622605"/>
    <w:rsid w:val="00635271"/>
    <w:rsid w:val="00635B0D"/>
    <w:rsid w:val="0063603E"/>
    <w:rsid w:val="00646837"/>
    <w:rsid w:val="006728FE"/>
    <w:rsid w:val="00676601"/>
    <w:rsid w:val="006A1A93"/>
    <w:rsid w:val="006A20E0"/>
    <w:rsid w:val="006B061E"/>
    <w:rsid w:val="006B10FA"/>
    <w:rsid w:val="006C051F"/>
    <w:rsid w:val="00707DC1"/>
    <w:rsid w:val="007134D8"/>
    <w:rsid w:val="00721AC7"/>
    <w:rsid w:val="00737E59"/>
    <w:rsid w:val="007462DD"/>
    <w:rsid w:val="00794690"/>
    <w:rsid w:val="00796C69"/>
    <w:rsid w:val="007A29B8"/>
    <w:rsid w:val="007A7328"/>
    <w:rsid w:val="007D62CE"/>
    <w:rsid w:val="00807F3D"/>
    <w:rsid w:val="00816366"/>
    <w:rsid w:val="00844095"/>
    <w:rsid w:val="00871560"/>
    <w:rsid w:val="00883DB9"/>
    <w:rsid w:val="00886BFA"/>
    <w:rsid w:val="00886FDB"/>
    <w:rsid w:val="00887DC0"/>
    <w:rsid w:val="008A4F37"/>
    <w:rsid w:val="008B2494"/>
    <w:rsid w:val="008B4CCB"/>
    <w:rsid w:val="009021E0"/>
    <w:rsid w:val="009120A2"/>
    <w:rsid w:val="009218A9"/>
    <w:rsid w:val="009330B9"/>
    <w:rsid w:val="00960AC6"/>
    <w:rsid w:val="009709CC"/>
    <w:rsid w:val="00974184"/>
    <w:rsid w:val="0099774E"/>
    <w:rsid w:val="009A6F66"/>
    <w:rsid w:val="009C7D5D"/>
    <w:rsid w:val="009E1ED8"/>
    <w:rsid w:val="00A10127"/>
    <w:rsid w:val="00A17A0A"/>
    <w:rsid w:val="00A24AD0"/>
    <w:rsid w:val="00A46F8C"/>
    <w:rsid w:val="00A87A73"/>
    <w:rsid w:val="00AA1633"/>
    <w:rsid w:val="00AE3396"/>
    <w:rsid w:val="00AE3B13"/>
    <w:rsid w:val="00AF13DF"/>
    <w:rsid w:val="00B06639"/>
    <w:rsid w:val="00B07263"/>
    <w:rsid w:val="00B07664"/>
    <w:rsid w:val="00B10D41"/>
    <w:rsid w:val="00B20C04"/>
    <w:rsid w:val="00B27D78"/>
    <w:rsid w:val="00B30AB6"/>
    <w:rsid w:val="00B44F4C"/>
    <w:rsid w:val="00B73D37"/>
    <w:rsid w:val="00B8162F"/>
    <w:rsid w:val="00BC0094"/>
    <w:rsid w:val="00BC029B"/>
    <w:rsid w:val="00BE43A8"/>
    <w:rsid w:val="00BE7AC3"/>
    <w:rsid w:val="00C114D7"/>
    <w:rsid w:val="00C144D8"/>
    <w:rsid w:val="00C2150C"/>
    <w:rsid w:val="00C31105"/>
    <w:rsid w:val="00C5672A"/>
    <w:rsid w:val="00C73A98"/>
    <w:rsid w:val="00C75827"/>
    <w:rsid w:val="00C81E72"/>
    <w:rsid w:val="00CA214E"/>
    <w:rsid w:val="00CC1EAE"/>
    <w:rsid w:val="00D1509B"/>
    <w:rsid w:val="00D15E7E"/>
    <w:rsid w:val="00D16540"/>
    <w:rsid w:val="00D20BC7"/>
    <w:rsid w:val="00D302B2"/>
    <w:rsid w:val="00D43502"/>
    <w:rsid w:val="00D453B8"/>
    <w:rsid w:val="00D57932"/>
    <w:rsid w:val="00D75589"/>
    <w:rsid w:val="00D83007"/>
    <w:rsid w:val="00D962A9"/>
    <w:rsid w:val="00DB1614"/>
    <w:rsid w:val="00DB5BCD"/>
    <w:rsid w:val="00DD7E1D"/>
    <w:rsid w:val="00DE3872"/>
    <w:rsid w:val="00E42481"/>
    <w:rsid w:val="00E830DE"/>
    <w:rsid w:val="00E93750"/>
    <w:rsid w:val="00EB4773"/>
    <w:rsid w:val="00ED220B"/>
    <w:rsid w:val="00EE03F4"/>
    <w:rsid w:val="00F161F6"/>
    <w:rsid w:val="00FB0D68"/>
    <w:rsid w:val="00FB3460"/>
    <w:rsid w:val="00FB7F3E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63"/>
    <w:pPr>
      <w:tabs>
        <w:tab w:val="center" w:pos="4320"/>
        <w:tab w:val="right" w:pos="8640"/>
      </w:tabs>
    </w:pPr>
  </w:style>
  <w:style w:type="character" w:styleId="Hyperlink">
    <w:name w:val="Hyperlink"/>
    <w:rsid w:val="002322A2"/>
    <w:rPr>
      <w:color w:val="0000FF"/>
      <w:u w:val="single"/>
    </w:rPr>
  </w:style>
  <w:style w:type="character" w:styleId="FollowedHyperlink">
    <w:name w:val="FollowedHyperlink"/>
    <w:rsid w:val="001939C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49E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1149EE"/>
  </w:style>
  <w:style w:type="character" w:styleId="FootnoteReference">
    <w:name w:val="footnote reference"/>
    <w:rsid w:val="001149EE"/>
    <w:rPr>
      <w:vertAlign w:val="superscript"/>
    </w:rPr>
  </w:style>
  <w:style w:type="paragraph" w:customStyle="1" w:styleId="p3">
    <w:name w:val="p3"/>
    <w:basedOn w:val="Normal"/>
    <w:rsid w:val="00025F9F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63"/>
    <w:pPr>
      <w:tabs>
        <w:tab w:val="center" w:pos="4320"/>
        <w:tab w:val="right" w:pos="8640"/>
      </w:tabs>
    </w:pPr>
  </w:style>
  <w:style w:type="character" w:styleId="Hyperlink">
    <w:name w:val="Hyperlink"/>
    <w:rsid w:val="002322A2"/>
    <w:rPr>
      <w:color w:val="0000FF"/>
      <w:u w:val="single"/>
    </w:rPr>
  </w:style>
  <w:style w:type="character" w:styleId="FollowedHyperlink">
    <w:name w:val="FollowedHyperlink"/>
    <w:rsid w:val="001939C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49E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1149EE"/>
  </w:style>
  <w:style w:type="character" w:styleId="FootnoteReference">
    <w:name w:val="footnote reference"/>
    <w:rsid w:val="001149EE"/>
    <w:rPr>
      <w:vertAlign w:val="superscript"/>
    </w:rPr>
  </w:style>
  <w:style w:type="paragraph" w:customStyle="1" w:styleId="p3">
    <w:name w:val="p3"/>
    <w:basedOn w:val="Normal"/>
    <w:rsid w:val="00025F9F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9925-0B09-4A52-A355-32F3E8D0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Telephone Notice</vt:lpstr>
    </vt:vector>
  </TitlesOfParts>
  <Company>PA PUC</Company>
  <LinksUpToDate>false</LinksUpToDate>
  <CharactersWithSpaces>2543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http://www.puc.pa.gov/filing_resources/issues_laws_regulations/act_129_information/act_129_statewide_evaluator_swe_.aspx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Telephone Notice</dc:title>
  <dc:creator>REITENBACH</dc:creator>
  <cp:lastModifiedBy>Sherrick, Joseph</cp:lastModifiedBy>
  <cp:revision>2</cp:revision>
  <cp:lastPrinted>2016-07-08T17:21:00Z</cp:lastPrinted>
  <dcterms:created xsi:type="dcterms:W3CDTF">2016-08-25T17:49:00Z</dcterms:created>
  <dcterms:modified xsi:type="dcterms:W3CDTF">2016-08-25T17:49:00Z</dcterms:modified>
</cp:coreProperties>
</file>