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DD" w:rsidRDefault="00BB6F9E" w:rsidP="00A445F3">
      <w:pPr>
        <w:pStyle w:val="ReturnAddress"/>
        <w:framePr w:h="900" w:wrap="notBeside"/>
        <w:tabs>
          <w:tab w:val="clear" w:pos="2160"/>
        </w:tabs>
        <w:spacing w:before="120"/>
        <w:ind w:left="2520" w:firstLine="720"/>
        <w:jc w:val="center"/>
        <w:rPr>
          <w:rFonts w:ascii="Times New Roman" w:hAnsi="Times New Roman"/>
          <w:noProof/>
          <w:color w:val="E4471F"/>
          <w:sz w:val="20"/>
        </w:rPr>
      </w:pPr>
      <w:r>
        <w:rPr>
          <w:rFonts w:ascii="Times New Roman" w:hAnsi="Times New Roman"/>
          <w:noProof/>
          <w:color w:val="648297"/>
          <w:sz w:val="20"/>
        </w:rPr>
        <w:drawing>
          <wp:anchor distT="118745" distB="118745" distL="118745" distR="118745" simplePos="0" relativeHeight="251657728" behindDoc="0" locked="1" layoutInCell="1" allowOverlap="1">
            <wp:simplePos x="0" y="0"/>
            <wp:positionH relativeFrom="margin">
              <wp:posOffset>0</wp:posOffset>
            </wp:positionH>
            <wp:positionV relativeFrom="page">
              <wp:posOffset>567055</wp:posOffset>
            </wp:positionV>
            <wp:extent cx="2541270" cy="563245"/>
            <wp:effectExtent l="19050" t="0" r="0" b="0"/>
            <wp:wrapTopAndBottom/>
            <wp:docPr id="2" name="Picture 2" descr="NEWLogoComple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omplete1"/>
                    <pic:cNvPicPr>
                      <a:picLocks noChangeAspect="1" noChangeArrowheads="1"/>
                    </pic:cNvPicPr>
                  </pic:nvPicPr>
                  <pic:blipFill>
                    <a:blip r:embed="rId8" cstate="print"/>
                    <a:srcRect/>
                    <a:stretch>
                      <a:fillRect/>
                    </a:stretch>
                  </pic:blipFill>
                  <pic:spPr bwMode="auto">
                    <a:xfrm>
                      <a:off x="0" y="0"/>
                      <a:ext cx="2541270" cy="563245"/>
                    </a:xfrm>
                    <a:prstGeom prst="rect">
                      <a:avLst/>
                    </a:prstGeom>
                    <a:noFill/>
                    <a:ln w="9525">
                      <a:noFill/>
                      <a:miter lim="800000"/>
                      <a:headEnd/>
                      <a:tailEnd/>
                    </a:ln>
                  </pic:spPr>
                </pic:pic>
              </a:graphicData>
            </a:graphic>
          </wp:anchor>
        </w:drawing>
      </w:r>
    </w:p>
    <w:p w:rsidR="00B538EB" w:rsidRPr="00B538EB" w:rsidRDefault="00B538EB" w:rsidP="00A32AED">
      <w:pPr>
        <w:pStyle w:val="ReturnAddress"/>
        <w:framePr w:h="900" w:wrap="notBeside"/>
        <w:tabs>
          <w:tab w:val="clear" w:pos="2160"/>
        </w:tabs>
        <w:jc w:val="right"/>
        <w:rPr>
          <w:color w:val="E4471F"/>
        </w:rPr>
      </w:pPr>
    </w:p>
    <w:p w:rsidR="00557513" w:rsidRDefault="00557513" w:rsidP="00557513">
      <w:pPr>
        <w:pStyle w:val="Date"/>
        <w:spacing w:after="0"/>
        <w:ind w:left="5040"/>
      </w:pPr>
    </w:p>
    <w:p w:rsidR="000B69C1" w:rsidRPr="00A445F3" w:rsidRDefault="000B69C1" w:rsidP="000B69C1">
      <w:pPr>
        <w:pStyle w:val="InsideAddressName"/>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rPr>
          <w:rFonts w:asciiTheme="minorHAnsi" w:hAnsiTheme="minorHAnsi" w:cstheme="minorHAnsi"/>
          <w:sz w:val="22"/>
          <w:szCs w:val="22"/>
        </w:rPr>
      </w:pPr>
    </w:p>
    <w:p w:rsidR="00A445F3" w:rsidRDefault="00A445F3" w:rsidP="00A445F3">
      <w:pPr>
        <w:pStyle w:val="InsideAddress"/>
        <w:rPr>
          <w:rFonts w:asciiTheme="minorHAnsi" w:hAnsiTheme="minorHAnsi" w:cstheme="minorHAnsi"/>
          <w:sz w:val="22"/>
          <w:szCs w:val="22"/>
        </w:rPr>
      </w:pPr>
    </w:p>
    <w:p w:rsidR="00A445F3" w:rsidRDefault="00A445F3" w:rsidP="00A445F3">
      <w:pPr>
        <w:pStyle w:val="InsideAddress"/>
        <w:rPr>
          <w:rFonts w:asciiTheme="minorHAnsi" w:hAnsiTheme="minorHAnsi" w:cstheme="minorHAnsi"/>
          <w:sz w:val="22"/>
          <w:szCs w:val="22"/>
        </w:rPr>
      </w:pPr>
    </w:p>
    <w:p w:rsidR="00A445F3" w:rsidRPr="00A445F3" w:rsidRDefault="00A445F3" w:rsidP="00A445F3">
      <w:pPr>
        <w:pStyle w:val="InsideAddress"/>
        <w:jc w:val="center"/>
        <w:rPr>
          <w:rFonts w:asciiTheme="minorHAnsi" w:hAnsiTheme="minorHAnsi" w:cstheme="minorHAnsi"/>
          <w:b/>
          <w:sz w:val="40"/>
          <w:szCs w:val="40"/>
        </w:rPr>
      </w:pPr>
      <w:r w:rsidRPr="00A445F3">
        <w:rPr>
          <w:rFonts w:asciiTheme="minorHAnsi" w:hAnsiTheme="minorHAnsi" w:cstheme="minorHAnsi"/>
          <w:b/>
          <w:sz w:val="40"/>
          <w:szCs w:val="40"/>
        </w:rPr>
        <w:t>On-Bill Repayment Model</w:t>
      </w:r>
    </w:p>
    <w:p w:rsidR="00A445F3" w:rsidRPr="00A445F3" w:rsidRDefault="00A445F3" w:rsidP="00A445F3">
      <w:pPr>
        <w:pStyle w:val="InsideAddress"/>
        <w:jc w:val="center"/>
        <w:rPr>
          <w:rFonts w:asciiTheme="minorHAnsi" w:hAnsiTheme="minorHAnsi" w:cstheme="minorHAnsi"/>
          <w:b/>
          <w:sz w:val="40"/>
          <w:szCs w:val="40"/>
        </w:rPr>
      </w:pPr>
    </w:p>
    <w:p w:rsidR="00A445F3" w:rsidRDefault="00A445F3" w:rsidP="00A445F3">
      <w:pPr>
        <w:pStyle w:val="InsideAddress"/>
        <w:jc w:val="center"/>
        <w:rPr>
          <w:rFonts w:asciiTheme="minorHAnsi" w:hAnsiTheme="minorHAnsi" w:cstheme="minorHAnsi"/>
          <w:b/>
          <w:sz w:val="40"/>
          <w:szCs w:val="40"/>
        </w:rPr>
      </w:pPr>
      <w:r w:rsidRPr="00A445F3">
        <w:rPr>
          <w:rFonts w:asciiTheme="minorHAnsi" w:hAnsiTheme="minorHAnsi" w:cstheme="minorHAnsi"/>
          <w:b/>
          <w:sz w:val="40"/>
          <w:szCs w:val="40"/>
        </w:rPr>
        <w:t>Multifamily Master Metered Developments</w:t>
      </w:r>
    </w:p>
    <w:p w:rsidR="00A445F3" w:rsidRDefault="00A445F3" w:rsidP="00A445F3">
      <w:pPr>
        <w:pStyle w:val="InsideAddress"/>
        <w:jc w:val="left"/>
        <w:rPr>
          <w:rFonts w:asciiTheme="minorHAnsi" w:hAnsiTheme="minorHAnsi" w:cstheme="minorHAnsi"/>
          <w:b/>
          <w:sz w:val="22"/>
          <w:szCs w:val="22"/>
        </w:rPr>
      </w:pPr>
    </w:p>
    <w:p w:rsidR="00A445F3" w:rsidRDefault="00A445F3" w:rsidP="00A445F3">
      <w:pPr>
        <w:pStyle w:val="InsideAddress"/>
        <w:jc w:val="left"/>
        <w:rPr>
          <w:rFonts w:asciiTheme="minorHAnsi" w:hAnsiTheme="minorHAnsi" w:cstheme="minorHAnsi"/>
          <w:b/>
          <w:sz w:val="22"/>
          <w:szCs w:val="22"/>
        </w:rPr>
      </w:pPr>
    </w:p>
    <w:p w:rsidR="00A445F3" w:rsidRDefault="00A445F3" w:rsidP="00A445F3">
      <w:pPr>
        <w:pStyle w:val="InsideAddress"/>
        <w:jc w:val="left"/>
        <w:rPr>
          <w:rFonts w:asciiTheme="minorHAnsi" w:hAnsiTheme="minorHAnsi" w:cstheme="minorHAnsi"/>
          <w:b/>
          <w:sz w:val="22"/>
          <w:szCs w:val="22"/>
        </w:rPr>
      </w:pPr>
    </w:p>
    <w:p w:rsidR="00A445F3" w:rsidRDefault="00A445F3" w:rsidP="00A445F3">
      <w:pPr>
        <w:pStyle w:val="InsideAddress"/>
        <w:jc w:val="left"/>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A445F3">
      <w:pPr>
        <w:pStyle w:val="InsideAddress"/>
        <w:rPr>
          <w:rFonts w:asciiTheme="minorHAnsi" w:hAnsiTheme="minorHAnsi" w:cstheme="minorHAnsi"/>
          <w:b/>
          <w:sz w:val="22"/>
          <w:szCs w:val="22"/>
        </w:rPr>
      </w:pPr>
    </w:p>
    <w:p w:rsidR="00A445F3" w:rsidRDefault="00A445F3" w:rsidP="00BB6F9E">
      <w:pPr>
        <w:pStyle w:val="InsideAddress"/>
        <w:ind w:left="6120"/>
        <w:rPr>
          <w:rFonts w:asciiTheme="minorHAnsi" w:hAnsiTheme="minorHAnsi" w:cstheme="minorHAnsi"/>
          <w:b/>
          <w:sz w:val="28"/>
          <w:szCs w:val="28"/>
        </w:rPr>
      </w:pPr>
      <w:r>
        <w:rPr>
          <w:rFonts w:asciiTheme="minorHAnsi" w:hAnsiTheme="minorHAnsi" w:cstheme="minorHAnsi"/>
          <w:b/>
          <w:sz w:val="28"/>
          <w:szCs w:val="28"/>
        </w:rPr>
        <w:t>David L. Evans</w:t>
      </w:r>
    </w:p>
    <w:p w:rsidR="00A445F3" w:rsidRDefault="00A445F3" w:rsidP="00BB6F9E">
      <w:pPr>
        <w:pStyle w:val="InsideAddress"/>
        <w:ind w:left="6120"/>
        <w:rPr>
          <w:rFonts w:asciiTheme="minorHAnsi" w:hAnsiTheme="minorHAnsi" w:cstheme="minorHAnsi"/>
          <w:b/>
          <w:sz w:val="28"/>
          <w:szCs w:val="28"/>
        </w:rPr>
      </w:pPr>
      <w:r>
        <w:rPr>
          <w:rFonts w:asciiTheme="minorHAnsi" w:hAnsiTheme="minorHAnsi" w:cstheme="minorHAnsi"/>
          <w:b/>
          <w:sz w:val="28"/>
          <w:szCs w:val="28"/>
        </w:rPr>
        <w:t>Assistant Executive Director</w:t>
      </w:r>
    </w:p>
    <w:p w:rsidR="00A445F3" w:rsidRDefault="00A445F3" w:rsidP="00BB6F9E">
      <w:pPr>
        <w:pStyle w:val="InsideAddress"/>
        <w:ind w:left="6120"/>
        <w:rPr>
          <w:rFonts w:asciiTheme="minorHAnsi" w:hAnsiTheme="minorHAnsi" w:cstheme="minorHAnsi"/>
          <w:b/>
          <w:sz w:val="28"/>
          <w:szCs w:val="28"/>
        </w:rPr>
      </w:pPr>
      <w:r>
        <w:rPr>
          <w:rFonts w:asciiTheme="minorHAnsi" w:hAnsiTheme="minorHAnsi" w:cstheme="minorHAnsi"/>
          <w:b/>
          <w:sz w:val="28"/>
          <w:szCs w:val="28"/>
        </w:rPr>
        <w:t>of Multifamily Housing</w:t>
      </w:r>
    </w:p>
    <w:p w:rsidR="00BB6F9E" w:rsidRDefault="00BB6F9E" w:rsidP="00BB6F9E">
      <w:pPr>
        <w:pStyle w:val="InsideAddress"/>
        <w:rPr>
          <w:rFonts w:asciiTheme="minorHAnsi" w:hAnsiTheme="minorHAnsi" w:cstheme="minorHAnsi"/>
          <w:sz w:val="28"/>
          <w:szCs w:val="28"/>
        </w:rPr>
      </w:pPr>
    </w:p>
    <w:p w:rsidR="0032213A" w:rsidRDefault="00BB6F9E" w:rsidP="00BB6F9E">
      <w:pPr>
        <w:pStyle w:val="InsideAddress"/>
        <w:rPr>
          <w:rFonts w:asciiTheme="minorHAnsi" w:hAnsiTheme="minorHAnsi" w:cstheme="minorHAnsi"/>
          <w:sz w:val="22"/>
          <w:szCs w:val="22"/>
        </w:rPr>
      </w:pPr>
      <w:r>
        <w:rPr>
          <w:rFonts w:asciiTheme="minorHAnsi" w:hAnsiTheme="minorHAnsi" w:cstheme="minorHAnsi"/>
          <w:sz w:val="22"/>
          <w:szCs w:val="22"/>
        </w:rPr>
        <w:br w:type="page"/>
      </w:r>
    </w:p>
    <w:p w:rsidR="0032213A" w:rsidRPr="0032213A" w:rsidRDefault="0032213A" w:rsidP="0032213A">
      <w:pPr>
        <w:pStyle w:val="InsideAddress"/>
        <w:jc w:val="center"/>
        <w:rPr>
          <w:rFonts w:asciiTheme="minorHAnsi" w:hAnsiTheme="minorHAnsi" w:cstheme="minorHAnsi"/>
          <w:b/>
          <w:sz w:val="22"/>
          <w:szCs w:val="22"/>
        </w:rPr>
      </w:pPr>
      <w:r w:rsidRPr="0032213A">
        <w:rPr>
          <w:rFonts w:asciiTheme="minorHAnsi" w:hAnsiTheme="minorHAnsi" w:cstheme="minorHAnsi"/>
          <w:b/>
          <w:sz w:val="22"/>
          <w:szCs w:val="22"/>
        </w:rPr>
        <w:t>On-Bill Repayment Model – Multifamily Master Metered Developments</w:t>
      </w:r>
    </w:p>
    <w:p w:rsidR="0032213A" w:rsidRDefault="0032213A" w:rsidP="00BB6F9E">
      <w:pPr>
        <w:pStyle w:val="InsideAddress"/>
        <w:rPr>
          <w:rFonts w:asciiTheme="minorHAnsi" w:hAnsiTheme="minorHAnsi" w:cstheme="minorHAnsi"/>
          <w:sz w:val="22"/>
          <w:szCs w:val="22"/>
        </w:rPr>
      </w:pPr>
    </w:p>
    <w:p w:rsidR="00BB6F9E" w:rsidRDefault="0032213A" w:rsidP="00BB6F9E">
      <w:pPr>
        <w:pStyle w:val="InsideAddress"/>
        <w:rPr>
          <w:rFonts w:asciiTheme="minorHAnsi" w:hAnsiTheme="minorHAnsi" w:cstheme="minorHAnsi"/>
          <w:sz w:val="22"/>
          <w:szCs w:val="22"/>
        </w:rPr>
      </w:pPr>
      <w:r>
        <w:rPr>
          <w:rFonts w:asciiTheme="minorHAnsi" w:hAnsiTheme="minorHAnsi" w:cstheme="minorHAnsi"/>
          <w:sz w:val="22"/>
          <w:szCs w:val="22"/>
        </w:rPr>
        <w:t>We</w:t>
      </w:r>
      <w:r w:rsidR="009441B5">
        <w:rPr>
          <w:rFonts w:asciiTheme="minorHAnsi" w:hAnsiTheme="minorHAnsi" w:cstheme="minorHAnsi"/>
          <w:sz w:val="22"/>
          <w:szCs w:val="22"/>
        </w:rPr>
        <w:t>,</w:t>
      </w:r>
      <w:r>
        <w:rPr>
          <w:rFonts w:asciiTheme="minorHAnsi" w:hAnsiTheme="minorHAnsi" w:cstheme="minorHAnsi"/>
          <w:sz w:val="22"/>
          <w:szCs w:val="22"/>
        </w:rPr>
        <w:t xml:space="preserve"> </w:t>
      </w:r>
      <w:r w:rsidR="00545EEB">
        <w:rPr>
          <w:rFonts w:asciiTheme="minorHAnsi" w:hAnsiTheme="minorHAnsi" w:cstheme="minorHAnsi"/>
          <w:sz w:val="22"/>
          <w:szCs w:val="22"/>
        </w:rPr>
        <w:t>at the Pennsylvania Housing Finance Agency (PHFA)</w:t>
      </w:r>
      <w:r w:rsidR="009441B5">
        <w:rPr>
          <w:rFonts w:asciiTheme="minorHAnsi" w:hAnsiTheme="minorHAnsi" w:cstheme="minorHAnsi"/>
          <w:sz w:val="22"/>
          <w:szCs w:val="22"/>
        </w:rPr>
        <w:t>,</w:t>
      </w:r>
      <w:r w:rsidR="00545EEB">
        <w:rPr>
          <w:rFonts w:asciiTheme="minorHAnsi" w:hAnsiTheme="minorHAnsi" w:cstheme="minorHAnsi"/>
          <w:sz w:val="22"/>
          <w:szCs w:val="22"/>
        </w:rPr>
        <w:t xml:space="preserve"> </w:t>
      </w:r>
      <w:r>
        <w:rPr>
          <w:rFonts w:asciiTheme="minorHAnsi" w:hAnsiTheme="minorHAnsi" w:cstheme="minorHAnsi"/>
          <w:sz w:val="22"/>
          <w:szCs w:val="22"/>
        </w:rPr>
        <w:t>would like to thank the Commissioners and their staff for providing us the opportunity to submit</w:t>
      </w:r>
      <w:r w:rsidR="00704484">
        <w:rPr>
          <w:rFonts w:asciiTheme="minorHAnsi" w:hAnsiTheme="minorHAnsi" w:cstheme="minorHAnsi"/>
          <w:sz w:val="22"/>
          <w:szCs w:val="22"/>
        </w:rPr>
        <w:t>,</w:t>
      </w:r>
      <w:r w:rsidR="00D608E1">
        <w:rPr>
          <w:rFonts w:asciiTheme="minorHAnsi" w:hAnsiTheme="minorHAnsi" w:cstheme="minorHAnsi"/>
          <w:sz w:val="22"/>
          <w:szCs w:val="22"/>
        </w:rPr>
        <w:t xml:space="preserve"> for consideration</w:t>
      </w:r>
      <w:r w:rsidR="00704484">
        <w:rPr>
          <w:rFonts w:asciiTheme="minorHAnsi" w:hAnsiTheme="minorHAnsi" w:cstheme="minorHAnsi"/>
          <w:sz w:val="22"/>
          <w:szCs w:val="22"/>
        </w:rPr>
        <w:t>,</w:t>
      </w:r>
      <w:r w:rsidR="00D608E1">
        <w:rPr>
          <w:rFonts w:asciiTheme="minorHAnsi" w:hAnsiTheme="minorHAnsi" w:cstheme="minorHAnsi"/>
          <w:sz w:val="22"/>
          <w:szCs w:val="22"/>
        </w:rPr>
        <w:t xml:space="preserve"> </w:t>
      </w:r>
      <w:r>
        <w:rPr>
          <w:rFonts w:asciiTheme="minorHAnsi" w:hAnsiTheme="minorHAnsi" w:cstheme="minorHAnsi"/>
          <w:sz w:val="22"/>
          <w:szCs w:val="22"/>
        </w:rPr>
        <w:t xml:space="preserve">an On-Bill Repayment (OBR) model targeted to multifamily master metered developments.  </w:t>
      </w:r>
    </w:p>
    <w:p w:rsidR="0032213A" w:rsidRDefault="0032213A" w:rsidP="00BB6F9E">
      <w:pPr>
        <w:pStyle w:val="InsideAddress"/>
        <w:rPr>
          <w:rFonts w:asciiTheme="minorHAnsi" w:hAnsiTheme="minorHAnsi" w:cstheme="minorHAnsi"/>
          <w:sz w:val="22"/>
          <w:szCs w:val="22"/>
        </w:rPr>
      </w:pPr>
    </w:p>
    <w:p w:rsidR="0032213A" w:rsidRDefault="00D608E1" w:rsidP="00BB6F9E">
      <w:pPr>
        <w:pStyle w:val="InsideAddress"/>
        <w:rPr>
          <w:rFonts w:asciiTheme="minorHAnsi" w:hAnsiTheme="minorHAnsi" w:cstheme="minorHAnsi"/>
          <w:sz w:val="22"/>
          <w:szCs w:val="22"/>
        </w:rPr>
      </w:pPr>
      <w:r>
        <w:rPr>
          <w:rFonts w:asciiTheme="minorHAnsi" w:hAnsiTheme="minorHAnsi" w:cstheme="minorHAnsi"/>
          <w:sz w:val="22"/>
          <w:szCs w:val="22"/>
        </w:rPr>
        <w:t xml:space="preserve">By “multifamily,” we are referring to rental properties with five or more units.  Both affordable and market rate apartment complexes can qualify, </w:t>
      </w:r>
      <w:r w:rsidR="001816E0">
        <w:rPr>
          <w:rFonts w:asciiTheme="minorHAnsi" w:hAnsiTheme="minorHAnsi" w:cstheme="minorHAnsi"/>
          <w:sz w:val="22"/>
          <w:szCs w:val="22"/>
        </w:rPr>
        <w:t xml:space="preserve">although </w:t>
      </w:r>
      <w:r>
        <w:rPr>
          <w:rFonts w:asciiTheme="minorHAnsi" w:hAnsiTheme="minorHAnsi" w:cstheme="minorHAnsi"/>
          <w:sz w:val="22"/>
          <w:szCs w:val="22"/>
        </w:rPr>
        <w:t>the primary focus of this paper is on the affordable multifamily industry.  We have this focus for two reasons</w:t>
      </w:r>
      <w:r w:rsidR="0050247B">
        <w:rPr>
          <w:rFonts w:asciiTheme="minorHAnsi" w:hAnsiTheme="minorHAnsi" w:cstheme="minorHAnsi"/>
          <w:sz w:val="22"/>
          <w:szCs w:val="22"/>
        </w:rPr>
        <w:t>: 1)</w:t>
      </w:r>
      <w:r>
        <w:rPr>
          <w:rFonts w:asciiTheme="minorHAnsi" w:hAnsiTheme="minorHAnsi" w:cstheme="minorHAnsi"/>
          <w:sz w:val="22"/>
          <w:szCs w:val="22"/>
        </w:rPr>
        <w:t xml:space="preserve"> it is the sector that PHFA has </w:t>
      </w:r>
      <w:r w:rsidR="00461544">
        <w:rPr>
          <w:rFonts w:asciiTheme="minorHAnsi" w:hAnsiTheme="minorHAnsi" w:cstheme="minorHAnsi"/>
          <w:sz w:val="22"/>
          <w:szCs w:val="22"/>
        </w:rPr>
        <w:t>considerable</w:t>
      </w:r>
      <w:r>
        <w:rPr>
          <w:rFonts w:asciiTheme="minorHAnsi" w:hAnsiTheme="minorHAnsi" w:cstheme="minorHAnsi"/>
          <w:sz w:val="22"/>
          <w:szCs w:val="22"/>
        </w:rPr>
        <w:t xml:space="preserve"> familiarity</w:t>
      </w:r>
      <w:r w:rsidR="00461544">
        <w:rPr>
          <w:rFonts w:asciiTheme="minorHAnsi" w:hAnsiTheme="minorHAnsi" w:cstheme="minorHAnsi"/>
          <w:sz w:val="22"/>
          <w:szCs w:val="22"/>
        </w:rPr>
        <w:t xml:space="preserve"> in and </w:t>
      </w:r>
      <w:r w:rsidR="0050247B">
        <w:rPr>
          <w:rFonts w:asciiTheme="minorHAnsi" w:hAnsiTheme="minorHAnsi" w:cstheme="minorHAnsi"/>
          <w:sz w:val="22"/>
          <w:szCs w:val="22"/>
        </w:rPr>
        <w:t xml:space="preserve">2) </w:t>
      </w:r>
      <w:r w:rsidR="00F37E94">
        <w:rPr>
          <w:rFonts w:asciiTheme="minorHAnsi" w:hAnsiTheme="minorHAnsi" w:cstheme="minorHAnsi"/>
          <w:sz w:val="22"/>
          <w:szCs w:val="22"/>
        </w:rPr>
        <w:t xml:space="preserve">affordable multifamily </w:t>
      </w:r>
      <w:r w:rsidR="00461544">
        <w:rPr>
          <w:rFonts w:asciiTheme="minorHAnsi" w:hAnsiTheme="minorHAnsi" w:cstheme="minorHAnsi"/>
          <w:sz w:val="22"/>
          <w:szCs w:val="22"/>
        </w:rPr>
        <w:t>housing was specifically addressed by the Commissioners in the Act 129 EE&amp;C Phase II Implementation Order.</w:t>
      </w:r>
    </w:p>
    <w:p w:rsidR="00C45653" w:rsidRDefault="00C45653" w:rsidP="00BB6F9E">
      <w:pPr>
        <w:pStyle w:val="InsideAddress"/>
        <w:rPr>
          <w:rFonts w:asciiTheme="minorHAnsi" w:hAnsiTheme="minorHAnsi" w:cstheme="minorHAnsi"/>
          <w:sz w:val="22"/>
          <w:szCs w:val="22"/>
        </w:rPr>
      </w:pPr>
    </w:p>
    <w:p w:rsidR="00C45653" w:rsidRDefault="00C45653" w:rsidP="00BB6F9E">
      <w:pPr>
        <w:pStyle w:val="InsideAddress"/>
        <w:rPr>
          <w:rFonts w:asciiTheme="minorHAnsi" w:hAnsiTheme="minorHAnsi" w:cstheme="minorHAnsi"/>
          <w:sz w:val="22"/>
          <w:szCs w:val="22"/>
        </w:rPr>
      </w:pPr>
      <w:r>
        <w:rPr>
          <w:rFonts w:asciiTheme="minorHAnsi" w:hAnsiTheme="minorHAnsi" w:cstheme="minorHAnsi"/>
          <w:sz w:val="22"/>
          <w:szCs w:val="22"/>
        </w:rPr>
        <w:t xml:space="preserve">Our model is for master metered properties, as </w:t>
      </w:r>
      <w:r w:rsidR="0050247B">
        <w:rPr>
          <w:rFonts w:asciiTheme="minorHAnsi" w:hAnsiTheme="minorHAnsi" w:cstheme="minorHAnsi"/>
          <w:sz w:val="22"/>
          <w:szCs w:val="22"/>
        </w:rPr>
        <w:t xml:space="preserve">it has a less complex approach versus </w:t>
      </w:r>
      <w:r>
        <w:rPr>
          <w:rFonts w:asciiTheme="minorHAnsi" w:hAnsiTheme="minorHAnsi" w:cstheme="minorHAnsi"/>
          <w:sz w:val="22"/>
          <w:szCs w:val="22"/>
        </w:rPr>
        <w:t>tenant metered</w:t>
      </w:r>
      <w:r w:rsidR="0050247B">
        <w:rPr>
          <w:rFonts w:asciiTheme="minorHAnsi" w:hAnsiTheme="minorHAnsi" w:cstheme="minorHAnsi"/>
          <w:sz w:val="22"/>
          <w:szCs w:val="22"/>
        </w:rPr>
        <w:t xml:space="preserve"> properties</w:t>
      </w:r>
      <w:r>
        <w:rPr>
          <w:rFonts w:asciiTheme="minorHAnsi" w:hAnsiTheme="minorHAnsi" w:cstheme="minorHAnsi"/>
          <w:sz w:val="22"/>
          <w:szCs w:val="22"/>
        </w:rPr>
        <w:t>.  With tenant metered multifamily properties</w:t>
      </w:r>
      <w:r w:rsidR="0050247B">
        <w:rPr>
          <w:rFonts w:asciiTheme="minorHAnsi" w:hAnsiTheme="minorHAnsi" w:cstheme="minorHAnsi"/>
          <w:sz w:val="22"/>
          <w:szCs w:val="22"/>
        </w:rPr>
        <w:t>,</w:t>
      </w:r>
      <w:r>
        <w:rPr>
          <w:rFonts w:asciiTheme="minorHAnsi" w:hAnsiTheme="minorHAnsi" w:cstheme="minorHAnsi"/>
          <w:sz w:val="22"/>
          <w:szCs w:val="22"/>
        </w:rPr>
        <w:t xml:space="preserve"> there are many more hurdles to </w:t>
      </w:r>
      <w:r w:rsidR="000460E9">
        <w:rPr>
          <w:rFonts w:asciiTheme="minorHAnsi" w:hAnsiTheme="minorHAnsi" w:cstheme="minorHAnsi"/>
          <w:sz w:val="22"/>
          <w:szCs w:val="22"/>
        </w:rPr>
        <w:t>overcome</w:t>
      </w:r>
      <w:r>
        <w:rPr>
          <w:rFonts w:asciiTheme="minorHAnsi" w:hAnsiTheme="minorHAnsi" w:cstheme="minorHAnsi"/>
          <w:sz w:val="22"/>
          <w:szCs w:val="22"/>
        </w:rPr>
        <w:t xml:space="preserve"> when it comes to OBR.  These include account</w:t>
      </w:r>
      <w:r w:rsidR="000460E9">
        <w:rPr>
          <w:rFonts w:asciiTheme="minorHAnsi" w:hAnsiTheme="minorHAnsi" w:cstheme="minorHAnsi"/>
          <w:sz w:val="22"/>
          <w:szCs w:val="22"/>
        </w:rPr>
        <w:t>ing</w:t>
      </w:r>
      <w:r>
        <w:rPr>
          <w:rFonts w:asciiTheme="minorHAnsi" w:hAnsiTheme="minorHAnsi" w:cstheme="minorHAnsi"/>
          <w:sz w:val="22"/>
          <w:szCs w:val="22"/>
        </w:rPr>
        <w:t xml:space="preserve"> for</w:t>
      </w:r>
      <w:r w:rsidR="001336F4">
        <w:rPr>
          <w:rFonts w:asciiTheme="minorHAnsi" w:hAnsiTheme="minorHAnsi" w:cstheme="minorHAnsi"/>
          <w:sz w:val="22"/>
          <w:szCs w:val="22"/>
        </w:rPr>
        <w:t xml:space="preserve"> the impact of OBR on </w:t>
      </w:r>
      <w:r>
        <w:rPr>
          <w:rFonts w:asciiTheme="minorHAnsi" w:hAnsiTheme="minorHAnsi" w:cstheme="minorHAnsi"/>
          <w:sz w:val="22"/>
          <w:szCs w:val="22"/>
        </w:rPr>
        <w:t xml:space="preserve">assistance programs, such as LIHEAP and payment plans; </w:t>
      </w:r>
      <w:r w:rsidR="000460E9">
        <w:rPr>
          <w:rFonts w:asciiTheme="minorHAnsi" w:hAnsiTheme="minorHAnsi" w:cstheme="minorHAnsi"/>
          <w:sz w:val="22"/>
          <w:szCs w:val="22"/>
        </w:rPr>
        <w:t xml:space="preserve">the necessity of 100 percent participation of the residents, and the likelihood of achieving </w:t>
      </w:r>
      <w:r w:rsidR="00776608">
        <w:rPr>
          <w:rFonts w:asciiTheme="minorHAnsi" w:hAnsiTheme="minorHAnsi" w:cstheme="minorHAnsi"/>
          <w:sz w:val="22"/>
          <w:szCs w:val="22"/>
        </w:rPr>
        <w:t>such participation</w:t>
      </w:r>
      <w:r w:rsidR="000460E9">
        <w:rPr>
          <w:rFonts w:asciiTheme="minorHAnsi" w:hAnsiTheme="minorHAnsi" w:cstheme="minorHAnsi"/>
          <w:sz w:val="22"/>
          <w:szCs w:val="22"/>
        </w:rPr>
        <w:t xml:space="preserve">, when major retrofits are needed; and the increased number of customers to monitor </w:t>
      </w:r>
      <w:r w:rsidR="0077078F">
        <w:rPr>
          <w:rFonts w:asciiTheme="minorHAnsi" w:hAnsiTheme="minorHAnsi" w:cstheme="minorHAnsi"/>
          <w:sz w:val="22"/>
          <w:szCs w:val="22"/>
        </w:rPr>
        <w:t xml:space="preserve">under a pilot program.  </w:t>
      </w:r>
    </w:p>
    <w:p w:rsidR="0077078F" w:rsidRDefault="0077078F" w:rsidP="00BB6F9E">
      <w:pPr>
        <w:pStyle w:val="InsideAddress"/>
        <w:rPr>
          <w:rFonts w:asciiTheme="minorHAnsi" w:hAnsiTheme="minorHAnsi" w:cstheme="minorHAnsi"/>
          <w:sz w:val="22"/>
          <w:szCs w:val="22"/>
        </w:rPr>
      </w:pPr>
    </w:p>
    <w:p w:rsidR="0077078F" w:rsidRPr="00CF0263" w:rsidRDefault="0077078F" w:rsidP="00BB6F9E">
      <w:pPr>
        <w:pStyle w:val="InsideAddress"/>
        <w:rPr>
          <w:rFonts w:asciiTheme="minorHAnsi" w:hAnsiTheme="minorHAnsi" w:cstheme="minorHAnsi"/>
          <w:b/>
          <w:sz w:val="22"/>
          <w:szCs w:val="22"/>
        </w:rPr>
      </w:pPr>
      <w:r w:rsidRPr="00CF0263">
        <w:rPr>
          <w:rFonts w:asciiTheme="minorHAnsi" w:hAnsiTheme="minorHAnsi" w:cstheme="minorHAnsi"/>
          <w:b/>
          <w:sz w:val="22"/>
          <w:szCs w:val="22"/>
        </w:rPr>
        <w:t>The Case for Multifamily</w:t>
      </w:r>
    </w:p>
    <w:p w:rsidR="0077078F" w:rsidRDefault="0077078F" w:rsidP="00BB6F9E">
      <w:pPr>
        <w:pStyle w:val="InsideAddress"/>
        <w:rPr>
          <w:rFonts w:asciiTheme="minorHAnsi" w:hAnsiTheme="minorHAnsi" w:cstheme="minorHAnsi"/>
          <w:sz w:val="22"/>
          <w:szCs w:val="22"/>
        </w:rPr>
      </w:pPr>
    </w:p>
    <w:p w:rsidR="0077078F" w:rsidRDefault="00447665" w:rsidP="00BB6F9E">
      <w:pPr>
        <w:pStyle w:val="InsideAddress"/>
        <w:rPr>
          <w:rFonts w:asciiTheme="minorHAnsi" w:hAnsiTheme="minorHAnsi" w:cstheme="minorHAnsi"/>
          <w:sz w:val="22"/>
          <w:szCs w:val="22"/>
        </w:rPr>
      </w:pPr>
      <w:r>
        <w:rPr>
          <w:rFonts w:asciiTheme="minorHAnsi" w:hAnsiTheme="minorHAnsi" w:cstheme="minorHAnsi"/>
          <w:sz w:val="22"/>
          <w:szCs w:val="22"/>
        </w:rPr>
        <w:t xml:space="preserve">As </w:t>
      </w:r>
      <w:r w:rsidR="00AD3E05">
        <w:rPr>
          <w:rFonts w:asciiTheme="minorHAnsi" w:hAnsiTheme="minorHAnsi" w:cstheme="minorHAnsi"/>
          <w:sz w:val="22"/>
          <w:szCs w:val="22"/>
        </w:rPr>
        <w:t xml:space="preserve">we have stated to you </w:t>
      </w:r>
      <w:r>
        <w:rPr>
          <w:rFonts w:asciiTheme="minorHAnsi" w:hAnsiTheme="minorHAnsi" w:cstheme="minorHAnsi"/>
          <w:sz w:val="22"/>
          <w:szCs w:val="22"/>
        </w:rPr>
        <w:t xml:space="preserve">in the past, Pennsylvania has over 140,000 affordable multifamily units with at least 70 percent of these units built over 20 years ago.  </w:t>
      </w:r>
      <w:r w:rsidR="00C44033">
        <w:rPr>
          <w:rFonts w:asciiTheme="minorHAnsi" w:hAnsiTheme="minorHAnsi" w:cstheme="minorHAnsi"/>
          <w:sz w:val="22"/>
          <w:szCs w:val="22"/>
        </w:rPr>
        <w:t xml:space="preserve">Of these units, </w:t>
      </w:r>
      <w:r w:rsidR="00614F33">
        <w:rPr>
          <w:rFonts w:asciiTheme="minorHAnsi" w:hAnsiTheme="minorHAnsi" w:cstheme="minorHAnsi"/>
          <w:sz w:val="22"/>
          <w:szCs w:val="22"/>
        </w:rPr>
        <w:t>fewer than</w:t>
      </w:r>
      <w:r w:rsidR="00C44033">
        <w:rPr>
          <w:rFonts w:asciiTheme="minorHAnsi" w:hAnsiTheme="minorHAnsi" w:cstheme="minorHAnsi"/>
          <w:sz w:val="22"/>
          <w:szCs w:val="22"/>
        </w:rPr>
        <w:t xml:space="preserve"> 10 percent are funded by Rural Development of the</w:t>
      </w:r>
      <w:r w:rsidR="001816E0">
        <w:rPr>
          <w:rFonts w:asciiTheme="minorHAnsi" w:hAnsiTheme="minorHAnsi" w:cstheme="minorHAnsi"/>
          <w:sz w:val="22"/>
          <w:szCs w:val="22"/>
        </w:rPr>
        <w:t xml:space="preserve"> U.S. Department of Agriculture, of which </w:t>
      </w:r>
      <w:r w:rsidR="00C44033">
        <w:rPr>
          <w:rFonts w:asciiTheme="minorHAnsi" w:hAnsiTheme="minorHAnsi" w:cstheme="minorHAnsi"/>
          <w:sz w:val="22"/>
          <w:szCs w:val="22"/>
        </w:rPr>
        <w:t>al</w:t>
      </w:r>
      <w:r w:rsidR="001816E0">
        <w:rPr>
          <w:rFonts w:asciiTheme="minorHAnsi" w:hAnsiTheme="minorHAnsi" w:cstheme="minorHAnsi"/>
          <w:sz w:val="22"/>
          <w:szCs w:val="22"/>
        </w:rPr>
        <w:t>l are tenant metered properties</w:t>
      </w:r>
      <w:r w:rsidR="00C44033">
        <w:rPr>
          <w:rFonts w:asciiTheme="minorHAnsi" w:hAnsiTheme="minorHAnsi" w:cstheme="minorHAnsi"/>
          <w:sz w:val="22"/>
          <w:szCs w:val="22"/>
        </w:rPr>
        <w:t>.  The remaining</w:t>
      </w:r>
      <w:r w:rsidR="00614F33">
        <w:rPr>
          <w:rFonts w:asciiTheme="minorHAnsi" w:hAnsiTheme="minorHAnsi" w:cstheme="minorHAnsi"/>
          <w:sz w:val="22"/>
          <w:szCs w:val="22"/>
        </w:rPr>
        <w:t xml:space="preserve"> properties</w:t>
      </w:r>
      <w:r w:rsidR="00C44033">
        <w:rPr>
          <w:rFonts w:asciiTheme="minorHAnsi" w:hAnsiTheme="minorHAnsi" w:cstheme="minorHAnsi"/>
          <w:sz w:val="22"/>
          <w:szCs w:val="22"/>
        </w:rPr>
        <w:t xml:space="preserve"> were funded by either the U.S. Department of Housing and Urban Development (HUD), or programs administered by PHFA, including the Low Income Housing Tax Credit Program (LIHTC). </w:t>
      </w:r>
      <w:r w:rsidR="00614F33">
        <w:rPr>
          <w:rFonts w:asciiTheme="minorHAnsi" w:hAnsiTheme="minorHAnsi" w:cstheme="minorHAnsi"/>
          <w:sz w:val="22"/>
          <w:szCs w:val="22"/>
        </w:rPr>
        <w:t xml:space="preserve"> Approximately half of this inventory is master metered, meaning </w:t>
      </w:r>
      <w:r w:rsidR="001816E0">
        <w:rPr>
          <w:rFonts w:asciiTheme="minorHAnsi" w:hAnsiTheme="minorHAnsi" w:cstheme="minorHAnsi"/>
          <w:sz w:val="22"/>
          <w:szCs w:val="22"/>
        </w:rPr>
        <w:t>we have a potential portfolio close to</w:t>
      </w:r>
      <w:r w:rsidR="00614F33">
        <w:rPr>
          <w:rFonts w:asciiTheme="minorHAnsi" w:hAnsiTheme="minorHAnsi" w:cstheme="minorHAnsi"/>
          <w:sz w:val="22"/>
          <w:szCs w:val="22"/>
        </w:rPr>
        <w:t xml:space="preserve"> 65,000 units that could benefit from an OBR program.  </w:t>
      </w:r>
      <w:r w:rsidR="00C44033">
        <w:rPr>
          <w:rFonts w:asciiTheme="minorHAnsi" w:hAnsiTheme="minorHAnsi" w:cstheme="minorHAnsi"/>
          <w:sz w:val="22"/>
          <w:szCs w:val="22"/>
        </w:rPr>
        <w:t xml:space="preserve"> </w:t>
      </w:r>
    </w:p>
    <w:p w:rsidR="00614F33" w:rsidRDefault="00614F33" w:rsidP="00BB6F9E">
      <w:pPr>
        <w:pStyle w:val="InsideAddress"/>
        <w:rPr>
          <w:rFonts w:asciiTheme="minorHAnsi" w:hAnsiTheme="minorHAnsi" w:cstheme="minorHAnsi"/>
          <w:sz w:val="22"/>
          <w:szCs w:val="22"/>
        </w:rPr>
      </w:pPr>
    </w:p>
    <w:p w:rsidR="00614F33" w:rsidRDefault="00211434" w:rsidP="00BB6F9E">
      <w:pPr>
        <w:pStyle w:val="InsideAddress"/>
        <w:rPr>
          <w:rFonts w:asciiTheme="minorHAnsi" w:hAnsiTheme="minorHAnsi" w:cstheme="minorHAnsi"/>
          <w:sz w:val="22"/>
          <w:szCs w:val="22"/>
        </w:rPr>
      </w:pPr>
      <w:r>
        <w:rPr>
          <w:rFonts w:asciiTheme="minorHAnsi" w:hAnsiTheme="minorHAnsi" w:cstheme="minorHAnsi"/>
          <w:sz w:val="22"/>
          <w:szCs w:val="22"/>
        </w:rPr>
        <w:t>In addition to its</w:t>
      </w:r>
      <w:r w:rsidR="00761089">
        <w:rPr>
          <w:rFonts w:asciiTheme="minorHAnsi" w:hAnsiTheme="minorHAnsi" w:cstheme="minorHAnsi"/>
          <w:sz w:val="22"/>
          <w:szCs w:val="22"/>
        </w:rPr>
        <w:t xml:space="preserve"> age, there are a few other characteristics to understand about this inventory:</w:t>
      </w:r>
    </w:p>
    <w:p w:rsidR="000039CA" w:rsidRPr="000039CA" w:rsidRDefault="000039CA" w:rsidP="000039CA">
      <w:pPr>
        <w:pStyle w:val="InsideAddress"/>
        <w:numPr>
          <w:ilvl w:val="0"/>
          <w:numId w:val="3"/>
        </w:numPr>
        <w:rPr>
          <w:rFonts w:asciiTheme="minorHAnsi" w:hAnsiTheme="minorHAnsi" w:cstheme="minorHAnsi"/>
          <w:sz w:val="22"/>
          <w:szCs w:val="22"/>
        </w:rPr>
      </w:pPr>
      <w:r>
        <w:rPr>
          <w:rFonts w:asciiTheme="minorHAnsi" w:hAnsiTheme="minorHAnsi" w:cstheme="minorHAnsi"/>
          <w:sz w:val="22"/>
          <w:szCs w:val="22"/>
        </w:rPr>
        <w:t>Rent increases for the affordable multifamily sector have been limited or nonexistent for several years</w:t>
      </w:r>
      <w:r w:rsidR="00AD3E05">
        <w:rPr>
          <w:rFonts w:asciiTheme="minorHAnsi" w:hAnsiTheme="minorHAnsi" w:cstheme="minorHAnsi"/>
          <w:sz w:val="22"/>
          <w:szCs w:val="22"/>
        </w:rPr>
        <w:t>,</w:t>
      </w:r>
      <w:r>
        <w:rPr>
          <w:rFonts w:asciiTheme="minorHAnsi" w:hAnsiTheme="minorHAnsi" w:cstheme="minorHAnsi"/>
          <w:sz w:val="22"/>
          <w:szCs w:val="22"/>
        </w:rPr>
        <w:t xml:space="preserve"> and </w:t>
      </w:r>
      <w:r w:rsidR="001816E0">
        <w:rPr>
          <w:rFonts w:asciiTheme="minorHAnsi" w:hAnsiTheme="minorHAnsi" w:cstheme="minorHAnsi"/>
          <w:sz w:val="22"/>
          <w:szCs w:val="22"/>
        </w:rPr>
        <w:t xml:space="preserve">changes to this </w:t>
      </w:r>
      <w:r w:rsidR="00776608">
        <w:rPr>
          <w:rFonts w:asciiTheme="minorHAnsi" w:hAnsiTheme="minorHAnsi" w:cstheme="minorHAnsi"/>
          <w:sz w:val="22"/>
          <w:szCs w:val="22"/>
        </w:rPr>
        <w:t>environment</w:t>
      </w:r>
      <w:r w:rsidR="001816E0">
        <w:rPr>
          <w:rFonts w:asciiTheme="minorHAnsi" w:hAnsiTheme="minorHAnsi" w:cstheme="minorHAnsi"/>
          <w:sz w:val="22"/>
          <w:szCs w:val="22"/>
        </w:rPr>
        <w:t xml:space="preserve"> are</w:t>
      </w:r>
      <w:r>
        <w:rPr>
          <w:rFonts w:asciiTheme="minorHAnsi" w:hAnsiTheme="minorHAnsi" w:cstheme="minorHAnsi"/>
          <w:sz w:val="22"/>
          <w:szCs w:val="22"/>
        </w:rPr>
        <w:t xml:space="preserve"> not expected in the immediate future.</w:t>
      </w:r>
    </w:p>
    <w:p w:rsidR="000039CA" w:rsidRDefault="00776608" w:rsidP="00761089">
      <w:pPr>
        <w:pStyle w:val="InsideAddress"/>
        <w:numPr>
          <w:ilvl w:val="0"/>
          <w:numId w:val="3"/>
        </w:numPr>
        <w:rPr>
          <w:rFonts w:asciiTheme="minorHAnsi" w:hAnsiTheme="minorHAnsi" w:cstheme="minorHAnsi"/>
          <w:sz w:val="22"/>
          <w:szCs w:val="22"/>
        </w:rPr>
      </w:pPr>
      <w:r>
        <w:rPr>
          <w:rFonts w:asciiTheme="minorHAnsi" w:hAnsiTheme="minorHAnsi" w:cstheme="minorHAnsi"/>
          <w:sz w:val="22"/>
          <w:szCs w:val="22"/>
        </w:rPr>
        <w:t>The m</w:t>
      </w:r>
      <w:r w:rsidR="00D0134D">
        <w:rPr>
          <w:rFonts w:asciiTheme="minorHAnsi" w:hAnsiTheme="minorHAnsi" w:cstheme="minorHAnsi"/>
          <w:sz w:val="22"/>
          <w:szCs w:val="22"/>
        </w:rPr>
        <w:t xml:space="preserve">ost common ownership is a limited partnership structure.  </w:t>
      </w:r>
    </w:p>
    <w:p w:rsidR="00D0134D" w:rsidRDefault="00D0134D" w:rsidP="00761089">
      <w:pPr>
        <w:pStyle w:val="InsideAddress"/>
        <w:numPr>
          <w:ilvl w:val="0"/>
          <w:numId w:val="3"/>
        </w:numPr>
        <w:rPr>
          <w:rFonts w:asciiTheme="minorHAnsi" w:hAnsiTheme="minorHAnsi" w:cstheme="minorHAnsi"/>
          <w:sz w:val="22"/>
          <w:szCs w:val="22"/>
        </w:rPr>
      </w:pPr>
      <w:r>
        <w:rPr>
          <w:rFonts w:asciiTheme="minorHAnsi" w:hAnsiTheme="minorHAnsi" w:cstheme="minorHAnsi"/>
          <w:sz w:val="22"/>
          <w:szCs w:val="22"/>
        </w:rPr>
        <w:t xml:space="preserve">Funding for capital improvements </w:t>
      </w:r>
      <w:r w:rsidR="001816E0">
        <w:rPr>
          <w:rFonts w:asciiTheme="minorHAnsi" w:hAnsiTheme="minorHAnsi" w:cstheme="minorHAnsi"/>
          <w:sz w:val="22"/>
          <w:szCs w:val="22"/>
        </w:rPr>
        <w:t xml:space="preserve">typically </w:t>
      </w:r>
      <w:r>
        <w:rPr>
          <w:rFonts w:asciiTheme="minorHAnsi" w:hAnsiTheme="minorHAnsi" w:cstheme="minorHAnsi"/>
          <w:sz w:val="22"/>
          <w:szCs w:val="22"/>
        </w:rPr>
        <w:t>come</w:t>
      </w:r>
      <w:r w:rsidR="00AD3E05">
        <w:rPr>
          <w:rFonts w:asciiTheme="minorHAnsi" w:hAnsiTheme="minorHAnsi" w:cstheme="minorHAnsi"/>
          <w:sz w:val="22"/>
          <w:szCs w:val="22"/>
        </w:rPr>
        <w:t>s</w:t>
      </w:r>
      <w:r>
        <w:rPr>
          <w:rFonts w:asciiTheme="minorHAnsi" w:hAnsiTheme="minorHAnsi" w:cstheme="minorHAnsi"/>
          <w:sz w:val="22"/>
          <w:szCs w:val="22"/>
        </w:rPr>
        <w:t xml:space="preserve"> from operating cash flow.  </w:t>
      </w:r>
    </w:p>
    <w:p w:rsidR="00D0134D" w:rsidRDefault="00D0134D" w:rsidP="00761089">
      <w:pPr>
        <w:pStyle w:val="InsideAddress"/>
        <w:numPr>
          <w:ilvl w:val="0"/>
          <w:numId w:val="3"/>
        </w:numPr>
        <w:rPr>
          <w:rFonts w:asciiTheme="minorHAnsi" w:hAnsiTheme="minorHAnsi" w:cstheme="minorHAnsi"/>
          <w:sz w:val="22"/>
          <w:szCs w:val="22"/>
        </w:rPr>
      </w:pPr>
      <w:r>
        <w:rPr>
          <w:rFonts w:asciiTheme="minorHAnsi" w:hAnsiTheme="minorHAnsi" w:cstheme="minorHAnsi"/>
          <w:sz w:val="22"/>
          <w:szCs w:val="22"/>
        </w:rPr>
        <w:t>Annual distributions to owners are limited</w:t>
      </w:r>
    </w:p>
    <w:p w:rsidR="00D0134D" w:rsidRDefault="00D0134D" w:rsidP="00D0134D">
      <w:pPr>
        <w:pStyle w:val="InsideAddress"/>
        <w:rPr>
          <w:rFonts w:asciiTheme="minorHAnsi" w:hAnsiTheme="minorHAnsi" w:cstheme="minorHAnsi"/>
          <w:sz w:val="22"/>
          <w:szCs w:val="22"/>
        </w:rPr>
      </w:pPr>
    </w:p>
    <w:p w:rsidR="00D0134D" w:rsidRDefault="005F0B70" w:rsidP="00D0134D">
      <w:pPr>
        <w:pStyle w:val="InsideAddress"/>
        <w:rPr>
          <w:rFonts w:asciiTheme="minorHAnsi" w:hAnsiTheme="minorHAnsi" w:cstheme="minorHAnsi"/>
          <w:sz w:val="22"/>
          <w:szCs w:val="22"/>
        </w:rPr>
      </w:pPr>
      <w:r>
        <w:rPr>
          <w:rFonts w:asciiTheme="minorHAnsi" w:hAnsiTheme="minorHAnsi" w:cstheme="minorHAnsi"/>
          <w:sz w:val="22"/>
          <w:szCs w:val="22"/>
        </w:rPr>
        <w:t>T</w:t>
      </w:r>
      <w:r w:rsidR="00D0134D">
        <w:rPr>
          <w:rFonts w:asciiTheme="minorHAnsi" w:hAnsiTheme="minorHAnsi" w:cstheme="minorHAnsi"/>
          <w:sz w:val="22"/>
          <w:szCs w:val="22"/>
        </w:rPr>
        <w:t xml:space="preserve">his </w:t>
      </w:r>
      <w:r w:rsidR="00413CFD">
        <w:rPr>
          <w:rFonts w:asciiTheme="minorHAnsi" w:hAnsiTheme="minorHAnsi" w:cstheme="minorHAnsi"/>
          <w:sz w:val="22"/>
          <w:szCs w:val="22"/>
        </w:rPr>
        <w:t>results in a sector that has deteriorating facilities, limited cash flow, a lack in funding for improvements and a great need for energy upgrades.</w:t>
      </w:r>
    </w:p>
    <w:p w:rsidR="0003490D" w:rsidRDefault="0003490D" w:rsidP="00D0134D">
      <w:pPr>
        <w:pStyle w:val="InsideAddress"/>
        <w:rPr>
          <w:rFonts w:asciiTheme="minorHAnsi" w:hAnsiTheme="minorHAnsi" w:cstheme="minorHAnsi"/>
          <w:sz w:val="22"/>
          <w:szCs w:val="22"/>
        </w:rPr>
      </w:pPr>
    </w:p>
    <w:p w:rsidR="0003490D" w:rsidRDefault="0003490D" w:rsidP="00D0134D">
      <w:pPr>
        <w:pStyle w:val="InsideAddress"/>
        <w:rPr>
          <w:rFonts w:asciiTheme="minorHAnsi" w:hAnsiTheme="minorHAnsi" w:cstheme="minorHAnsi"/>
          <w:sz w:val="22"/>
          <w:szCs w:val="22"/>
        </w:rPr>
      </w:pPr>
      <w:r>
        <w:rPr>
          <w:rFonts w:asciiTheme="minorHAnsi" w:hAnsiTheme="minorHAnsi" w:cstheme="minorHAnsi"/>
          <w:sz w:val="22"/>
          <w:szCs w:val="22"/>
        </w:rPr>
        <w:t xml:space="preserve">Unfortunately, </w:t>
      </w:r>
      <w:r w:rsidR="001816E0">
        <w:rPr>
          <w:rFonts w:asciiTheme="minorHAnsi" w:hAnsiTheme="minorHAnsi" w:cstheme="minorHAnsi"/>
          <w:sz w:val="22"/>
          <w:szCs w:val="22"/>
        </w:rPr>
        <w:t>although there is</w:t>
      </w:r>
      <w:r w:rsidR="009767E9">
        <w:rPr>
          <w:rFonts w:asciiTheme="minorHAnsi" w:hAnsiTheme="minorHAnsi" w:cstheme="minorHAnsi"/>
          <w:sz w:val="22"/>
          <w:szCs w:val="22"/>
        </w:rPr>
        <w:t xml:space="preserve"> such a need, there is no</w:t>
      </w:r>
      <w:r>
        <w:rPr>
          <w:rFonts w:asciiTheme="minorHAnsi" w:hAnsiTheme="minorHAnsi" w:cstheme="minorHAnsi"/>
          <w:sz w:val="22"/>
          <w:szCs w:val="22"/>
        </w:rPr>
        <w:t xml:space="preserve"> easy access to funding.  We were able to accomplish retrofits on over 8,300 units during the past few years utilizing the ARRA funding of the Weatherization Assistance Program</w:t>
      </w:r>
      <w:r w:rsidR="00AD3E05">
        <w:rPr>
          <w:rFonts w:asciiTheme="minorHAnsi" w:hAnsiTheme="minorHAnsi" w:cstheme="minorHAnsi"/>
          <w:sz w:val="22"/>
          <w:szCs w:val="22"/>
        </w:rPr>
        <w:t>, h</w:t>
      </w:r>
      <w:r>
        <w:rPr>
          <w:rFonts w:asciiTheme="minorHAnsi" w:hAnsiTheme="minorHAnsi" w:cstheme="minorHAnsi"/>
          <w:sz w:val="22"/>
          <w:szCs w:val="22"/>
        </w:rPr>
        <w:t xml:space="preserve">owever, those dollars are no longer available.   </w:t>
      </w:r>
    </w:p>
    <w:p w:rsidR="0003490D" w:rsidRDefault="0003490D" w:rsidP="00D0134D">
      <w:pPr>
        <w:pStyle w:val="InsideAddress"/>
        <w:rPr>
          <w:rFonts w:asciiTheme="minorHAnsi" w:hAnsiTheme="minorHAnsi" w:cstheme="minorHAnsi"/>
          <w:sz w:val="22"/>
          <w:szCs w:val="22"/>
        </w:rPr>
      </w:pPr>
    </w:p>
    <w:p w:rsidR="0003490D" w:rsidRDefault="0003490D" w:rsidP="00D0134D">
      <w:pPr>
        <w:pStyle w:val="InsideAddress"/>
        <w:rPr>
          <w:rFonts w:asciiTheme="minorHAnsi" w:hAnsiTheme="minorHAnsi" w:cstheme="minorHAnsi"/>
          <w:sz w:val="22"/>
          <w:szCs w:val="22"/>
        </w:rPr>
      </w:pPr>
      <w:r>
        <w:rPr>
          <w:rFonts w:asciiTheme="minorHAnsi" w:hAnsiTheme="minorHAnsi" w:cstheme="minorHAnsi"/>
          <w:sz w:val="22"/>
          <w:szCs w:val="22"/>
        </w:rPr>
        <w:t>Affordable multifamily housing, whether with HUD or under the LIHTC program, has a complex regulatory framework.  Most lenders, including HUD and LIHTC investors</w:t>
      </w:r>
      <w:r w:rsidR="00787941">
        <w:rPr>
          <w:rFonts w:asciiTheme="minorHAnsi" w:hAnsiTheme="minorHAnsi" w:cstheme="minorHAnsi"/>
          <w:sz w:val="22"/>
          <w:szCs w:val="22"/>
        </w:rPr>
        <w:t>,</w:t>
      </w:r>
      <w:r>
        <w:rPr>
          <w:rFonts w:asciiTheme="minorHAnsi" w:hAnsiTheme="minorHAnsi" w:cstheme="minorHAnsi"/>
          <w:sz w:val="22"/>
          <w:szCs w:val="22"/>
        </w:rPr>
        <w:t xml:space="preserve"> prohibit additional debt being added in </w:t>
      </w:r>
      <w:r w:rsidR="00787941">
        <w:rPr>
          <w:rFonts w:asciiTheme="minorHAnsi" w:hAnsiTheme="minorHAnsi" w:cstheme="minorHAnsi"/>
          <w:sz w:val="22"/>
          <w:szCs w:val="22"/>
        </w:rPr>
        <w:t xml:space="preserve">the form of </w:t>
      </w:r>
      <w:r>
        <w:rPr>
          <w:rFonts w:asciiTheme="minorHAnsi" w:hAnsiTheme="minorHAnsi" w:cstheme="minorHAnsi"/>
          <w:sz w:val="22"/>
          <w:szCs w:val="22"/>
        </w:rPr>
        <w:t xml:space="preserve">a lien position on the property.  </w:t>
      </w:r>
      <w:r w:rsidR="001816E0">
        <w:rPr>
          <w:rFonts w:asciiTheme="minorHAnsi" w:hAnsiTheme="minorHAnsi" w:cstheme="minorHAnsi"/>
          <w:sz w:val="22"/>
          <w:szCs w:val="22"/>
        </w:rPr>
        <w:t>Therefore,</w:t>
      </w:r>
      <w:r w:rsidR="000C0007">
        <w:rPr>
          <w:rFonts w:asciiTheme="minorHAnsi" w:hAnsiTheme="minorHAnsi" w:cstheme="minorHAnsi"/>
          <w:sz w:val="22"/>
          <w:szCs w:val="22"/>
        </w:rPr>
        <w:t xml:space="preserve"> owners must either secure grant funds, which are </w:t>
      </w:r>
      <w:r w:rsidR="001816E0">
        <w:rPr>
          <w:rFonts w:asciiTheme="minorHAnsi" w:hAnsiTheme="minorHAnsi" w:cstheme="minorHAnsi"/>
          <w:sz w:val="22"/>
          <w:szCs w:val="22"/>
        </w:rPr>
        <w:t>very limited</w:t>
      </w:r>
      <w:r w:rsidR="000C0007">
        <w:rPr>
          <w:rFonts w:asciiTheme="minorHAnsi" w:hAnsiTheme="minorHAnsi" w:cstheme="minorHAnsi"/>
          <w:sz w:val="22"/>
          <w:szCs w:val="22"/>
        </w:rPr>
        <w:t xml:space="preserve">, or borrow unsecured debt, which can be extremely difficult to obtain.  </w:t>
      </w:r>
    </w:p>
    <w:p w:rsidR="000C0007" w:rsidRDefault="000C0007" w:rsidP="00D0134D">
      <w:pPr>
        <w:pStyle w:val="InsideAddress"/>
        <w:rPr>
          <w:rFonts w:asciiTheme="minorHAnsi" w:hAnsiTheme="minorHAnsi" w:cstheme="minorHAnsi"/>
          <w:sz w:val="22"/>
          <w:szCs w:val="22"/>
        </w:rPr>
      </w:pPr>
    </w:p>
    <w:p w:rsidR="000C0007" w:rsidRDefault="000C0007" w:rsidP="00D0134D">
      <w:pPr>
        <w:pStyle w:val="InsideAddress"/>
        <w:rPr>
          <w:rFonts w:asciiTheme="minorHAnsi" w:hAnsiTheme="minorHAnsi" w:cstheme="minorHAnsi"/>
          <w:sz w:val="22"/>
          <w:szCs w:val="22"/>
        </w:rPr>
      </w:pPr>
      <w:r>
        <w:rPr>
          <w:rFonts w:asciiTheme="minorHAnsi" w:hAnsiTheme="minorHAnsi" w:cstheme="minorHAnsi"/>
          <w:sz w:val="22"/>
          <w:szCs w:val="22"/>
        </w:rPr>
        <w:t>Given this limited access to grants and/or debt, an on-bill repayment program is the only method</w:t>
      </w:r>
      <w:r w:rsidR="00776608">
        <w:rPr>
          <w:rFonts w:asciiTheme="minorHAnsi" w:hAnsiTheme="minorHAnsi" w:cstheme="minorHAnsi"/>
          <w:sz w:val="22"/>
          <w:szCs w:val="22"/>
        </w:rPr>
        <w:t xml:space="preserve"> that may be</w:t>
      </w:r>
      <w:r>
        <w:rPr>
          <w:rFonts w:asciiTheme="minorHAnsi" w:hAnsiTheme="minorHAnsi" w:cstheme="minorHAnsi"/>
          <w:sz w:val="22"/>
          <w:szCs w:val="22"/>
        </w:rPr>
        <w:t xml:space="preserve"> available to effectively </w:t>
      </w:r>
      <w:r w:rsidR="001816E0">
        <w:rPr>
          <w:rFonts w:asciiTheme="minorHAnsi" w:hAnsiTheme="minorHAnsi" w:cstheme="minorHAnsi"/>
          <w:sz w:val="22"/>
          <w:szCs w:val="22"/>
        </w:rPr>
        <w:t>provide</w:t>
      </w:r>
      <w:r>
        <w:rPr>
          <w:rFonts w:asciiTheme="minorHAnsi" w:hAnsiTheme="minorHAnsi" w:cstheme="minorHAnsi"/>
          <w:sz w:val="22"/>
          <w:szCs w:val="22"/>
        </w:rPr>
        <w:t xml:space="preserve"> resources to affordable multifamily developments for the needed efficiency upgrades.</w:t>
      </w:r>
    </w:p>
    <w:p w:rsidR="0063653C" w:rsidRDefault="0063653C" w:rsidP="00D0134D">
      <w:pPr>
        <w:pStyle w:val="InsideAddress"/>
        <w:rPr>
          <w:rFonts w:asciiTheme="minorHAnsi" w:hAnsiTheme="minorHAnsi" w:cstheme="minorHAnsi"/>
          <w:sz w:val="22"/>
          <w:szCs w:val="22"/>
        </w:rPr>
      </w:pPr>
    </w:p>
    <w:p w:rsidR="0063653C" w:rsidRPr="00CF0263" w:rsidRDefault="0063653C" w:rsidP="00D0134D">
      <w:pPr>
        <w:pStyle w:val="InsideAddress"/>
        <w:rPr>
          <w:rFonts w:asciiTheme="minorHAnsi" w:hAnsiTheme="minorHAnsi" w:cstheme="minorHAnsi"/>
          <w:b/>
          <w:sz w:val="22"/>
          <w:szCs w:val="22"/>
        </w:rPr>
      </w:pPr>
      <w:r w:rsidRPr="00CF0263">
        <w:rPr>
          <w:rFonts w:asciiTheme="minorHAnsi" w:hAnsiTheme="minorHAnsi" w:cstheme="minorHAnsi"/>
          <w:b/>
          <w:sz w:val="22"/>
          <w:szCs w:val="22"/>
        </w:rPr>
        <w:t>Program Structure</w:t>
      </w:r>
    </w:p>
    <w:p w:rsidR="0063653C" w:rsidRDefault="0063653C" w:rsidP="00D0134D">
      <w:pPr>
        <w:pStyle w:val="InsideAddress"/>
        <w:rPr>
          <w:rFonts w:asciiTheme="minorHAnsi" w:hAnsiTheme="minorHAnsi" w:cstheme="minorHAnsi"/>
          <w:sz w:val="22"/>
          <w:szCs w:val="22"/>
        </w:rPr>
      </w:pPr>
    </w:p>
    <w:p w:rsidR="0063653C" w:rsidRDefault="007B4A6D" w:rsidP="00D0134D">
      <w:pPr>
        <w:pStyle w:val="InsideAddress"/>
        <w:rPr>
          <w:rFonts w:asciiTheme="minorHAnsi" w:hAnsiTheme="minorHAnsi" w:cstheme="minorHAnsi"/>
          <w:sz w:val="22"/>
          <w:szCs w:val="22"/>
        </w:rPr>
      </w:pPr>
      <w:r>
        <w:rPr>
          <w:rFonts w:asciiTheme="minorHAnsi" w:hAnsiTheme="minorHAnsi" w:cstheme="minorHAnsi"/>
          <w:sz w:val="22"/>
          <w:szCs w:val="22"/>
        </w:rPr>
        <w:t>The structure of the program is very similar to that offered b</w:t>
      </w:r>
      <w:r w:rsidR="006F7F06">
        <w:rPr>
          <w:rFonts w:asciiTheme="minorHAnsi" w:hAnsiTheme="minorHAnsi" w:cstheme="minorHAnsi"/>
          <w:sz w:val="22"/>
          <w:szCs w:val="22"/>
        </w:rPr>
        <w:t>y the Sustainable Energy Fund, with the involvement of four entities</w:t>
      </w:r>
      <w:r w:rsidR="001816E0">
        <w:rPr>
          <w:rFonts w:asciiTheme="minorHAnsi" w:hAnsiTheme="minorHAnsi" w:cstheme="minorHAnsi"/>
          <w:sz w:val="22"/>
          <w:szCs w:val="22"/>
        </w:rPr>
        <w:t>, instead of five</w:t>
      </w:r>
      <w:r w:rsidR="006F7F06">
        <w:rPr>
          <w:rFonts w:asciiTheme="minorHAnsi" w:hAnsiTheme="minorHAnsi" w:cstheme="minorHAnsi"/>
          <w:sz w:val="22"/>
          <w:szCs w:val="22"/>
        </w:rPr>
        <w:t>:</w:t>
      </w:r>
      <w:r w:rsidR="001816E0">
        <w:rPr>
          <w:rFonts w:asciiTheme="minorHAnsi" w:hAnsiTheme="minorHAnsi" w:cstheme="minorHAnsi"/>
          <w:sz w:val="22"/>
          <w:szCs w:val="22"/>
        </w:rPr>
        <w:t xml:space="preserve"> </w:t>
      </w:r>
      <w:r w:rsidR="006F7F06">
        <w:rPr>
          <w:rFonts w:asciiTheme="minorHAnsi" w:hAnsiTheme="minorHAnsi" w:cstheme="minorHAnsi"/>
          <w:sz w:val="22"/>
          <w:szCs w:val="22"/>
        </w:rPr>
        <w:t xml:space="preserve"> Energy Users; On-Bill Administrator; EDC</w:t>
      </w:r>
      <w:r w:rsidR="001816E0">
        <w:rPr>
          <w:rFonts w:asciiTheme="minorHAnsi" w:hAnsiTheme="minorHAnsi" w:cstheme="minorHAnsi"/>
          <w:sz w:val="22"/>
          <w:szCs w:val="22"/>
        </w:rPr>
        <w:t>s</w:t>
      </w:r>
      <w:r w:rsidR="000F0E44">
        <w:rPr>
          <w:rFonts w:asciiTheme="minorHAnsi" w:hAnsiTheme="minorHAnsi" w:cstheme="minorHAnsi"/>
          <w:sz w:val="22"/>
          <w:szCs w:val="22"/>
        </w:rPr>
        <w:t>/LDC</w:t>
      </w:r>
      <w:r w:rsidR="001816E0">
        <w:rPr>
          <w:rFonts w:asciiTheme="minorHAnsi" w:hAnsiTheme="minorHAnsi" w:cstheme="minorHAnsi"/>
          <w:sz w:val="22"/>
          <w:szCs w:val="22"/>
        </w:rPr>
        <w:t>s</w:t>
      </w:r>
      <w:r w:rsidR="006F7F06">
        <w:rPr>
          <w:rFonts w:asciiTheme="minorHAnsi" w:hAnsiTheme="minorHAnsi" w:cstheme="minorHAnsi"/>
          <w:sz w:val="22"/>
          <w:szCs w:val="22"/>
        </w:rPr>
        <w:t xml:space="preserve">; and Capital Pool Participants.  </w:t>
      </w:r>
    </w:p>
    <w:p w:rsidR="004D4A1B" w:rsidRDefault="004D4A1B" w:rsidP="00D0134D">
      <w:pPr>
        <w:pStyle w:val="InsideAddress"/>
        <w:rPr>
          <w:rFonts w:asciiTheme="minorHAnsi" w:hAnsiTheme="minorHAnsi" w:cstheme="minorHAnsi"/>
          <w:sz w:val="22"/>
          <w:szCs w:val="22"/>
        </w:rPr>
      </w:pPr>
    </w:p>
    <w:p w:rsidR="004D4A1B" w:rsidRDefault="00CF0263" w:rsidP="00CF0263">
      <w:pPr>
        <w:pStyle w:val="InsideAddress"/>
        <w:ind w:left="72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D4A1B">
        <w:rPr>
          <w:rFonts w:asciiTheme="minorHAnsi" w:hAnsiTheme="minorHAnsi" w:cstheme="minorHAnsi"/>
          <w:sz w:val="22"/>
          <w:szCs w:val="22"/>
        </w:rPr>
        <w:t>Energy Users will be master metered multifamily developments.</w:t>
      </w:r>
    </w:p>
    <w:p w:rsidR="004D4A1B" w:rsidRDefault="004D4A1B" w:rsidP="00CF0263">
      <w:pPr>
        <w:pStyle w:val="InsideAddress"/>
        <w:ind w:left="720" w:hanging="360"/>
        <w:rPr>
          <w:rFonts w:asciiTheme="minorHAnsi" w:hAnsiTheme="minorHAnsi" w:cstheme="minorHAnsi"/>
          <w:sz w:val="22"/>
          <w:szCs w:val="22"/>
        </w:rPr>
      </w:pPr>
    </w:p>
    <w:p w:rsidR="004D4A1B" w:rsidRDefault="00CF0263" w:rsidP="00CF0263">
      <w:pPr>
        <w:pStyle w:val="InsideAddress"/>
        <w:ind w:left="720" w:hanging="36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4D4A1B">
        <w:rPr>
          <w:rFonts w:asciiTheme="minorHAnsi" w:hAnsiTheme="minorHAnsi" w:cstheme="minorHAnsi"/>
          <w:sz w:val="22"/>
          <w:szCs w:val="22"/>
        </w:rPr>
        <w:t xml:space="preserve">The On-Bill Administrator will be the Pennsylvania Housing Finance Agency.  PHFA will be responsible for all aspects of the program other </w:t>
      </w:r>
      <w:r w:rsidR="00787941">
        <w:rPr>
          <w:rFonts w:asciiTheme="minorHAnsi" w:hAnsiTheme="minorHAnsi" w:cstheme="minorHAnsi"/>
          <w:sz w:val="22"/>
          <w:szCs w:val="22"/>
        </w:rPr>
        <w:t xml:space="preserve">than the </w:t>
      </w:r>
      <w:r w:rsidR="004D4A1B">
        <w:rPr>
          <w:rFonts w:asciiTheme="minorHAnsi" w:hAnsiTheme="minorHAnsi" w:cstheme="minorHAnsi"/>
          <w:sz w:val="22"/>
          <w:szCs w:val="22"/>
        </w:rPr>
        <w:t xml:space="preserve">on-bill collection process.  Such responsibilities will include the gathering of funding from capital pool participants, outreach to potential energy users, performance and oversight of the energy retrofit process, and </w:t>
      </w:r>
      <w:r w:rsidR="000F0E44">
        <w:rPr>
          <w:rFonts w:asciiTheme="minorHAnsi" w:hAnsiTheme="minorHAnsi" w:cstheme="minorHAnsi"/>
          <w:sz w:val="22"/>
          <w:szCs w:val="22"/>
        </w:rPr>
        <w:t>monitoring of energy savings post retrofit to ensure anticipated savings are achieved.</w:t>
      </w:r>
    </w:p>
    <w:p w:rsidR="000F0E44" w:rsidRDefault="000F0E44" w:rsidP="00CF0263">
      <w:pPr>
        <w:pStyle w:val="InsideAddress"/>
        <w:ind w:left="720" w:hanging="360"/>
        <w:rPr>
          <w:rFonts w:asciiTheme="minorHAnsi" w:hAnsiTheme="minorHAnsi" w:cstheme="minorHAnsi"/>
          <w:sz w:val="22"/>
          <w:szCs w:val="22"/>
        </w:rPr>
      </w:pPr>
    </w:p>
    <w:p w:rsidR="000F0E44" w:rsidRDefault="00CF0263" w:rsidP="00CF0263">
      <w:pPr>
        <w:pStyle w:val="InsideAddress"/>
        <w:ind w:left="720" w:hanging="36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0F0E44">
        <w:rPr>
          <w:rFonts w:asciiTheme="minorHAnsi" w:hAnsiTheme="minorHAnsi" w:cstheme="minorHAnsi"/>
          <w:sz w:val="22"/>
          <w:szCs w:val="22"/>
        </w:rPr>
        <w:t>EDCs/LDCs refers to the local electric or gas distribution utility company.  The</w:t>
      </w:r>
      <w:r w:rsidR="00787941">
        <w:rPr>
          <w:rFonts w:asciiTheme="minorHAnsi" w:hAnsiTheme="minorHAnsi" w:cstheme="minorHAnsi"/>
          <w:sz w:val="22"/>
          <w:szCs w:val="22"/>
        </w:rPr>
        <w:t xml:space="preserve">ir </w:t>
      </w:r>
      <w:r w:rsidR="000F0E44">
        <w:rPr>
          <w:rFonts w:asciiTheme="minorHAnsi" w:hAnsiTheme="minorHAnsi" w:cstheme="minorHAnsi"/>
          <w:sz w:val="22"/>
          <w:szCs w:val="22"/>
        </w:rPr>
        <w:t xml:space="preserve">primary role is as a conduit for billing and payment processing.  </w:t>
      </w:r>
    </w:p>
    <w:p w:rsidR="000F0E44" w:rsidRDefault="000F0E44" w:rsidP="00CF0263">
      <w:pPr>
        <w:pStyle w:val="InsideAddress"/>
        <w:ind w:left="720" w:hanging="360"/>
        <w:rPr>
          <w:rFonts w:asciiTheme="minorHAnsi" w:hAnsiTheme="minorHAnsi" w:cstheme="minorHAnsi"/>
          <w:sz w:val="22"/>
          <w:szCs w:val="22"/>
        </w:rPr>
      </w:pPr>
    </w:p>
    <w:p w:rsidR="000F0E44" w:rsidRDefault="00CF0263" w:rsidP="00CF0263">
      <w:pPr>
        <w:pStyle w:val="InsideAddress"/>
        <w:ind w:left="720" w:hanging="36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0F0E44">
        <w:rPr>
          <w:rFonts w:asciiTheme="minorHAnsi" w:hAnsiTheme="minorHAnsi" w:cstheme="minorHAnsi"/>
          <w:sz w:val="22"/>
          <w:szCs w:val="22"/>
        </w:rPr>
        <w:t>Capital Pool Providers</w:t>
      </w:r>
      <w:r w:rsidR="00787941">
        <w:rPr>
          <w:rFonts w:asciiTheme="minorHAnsi" w:hAnsiTheme="minorHAnsi" w:cstheme="minorHAnsi"/>
          <w:sz w:val="22"/>
          <w:szCs w:val="22"/>
        </w:rPr>
        <w:t>,</w:t>
      </w:r>
      <w:r w:rsidR="000F0E44">
        <w:rPr>
          <w:rFonts w:asciiTheme="minorHAnsi" w:hAnsiTheme="minorHAnsi" w:cstheme="minorHAnsi"/>
          <w:sz w:val="22"/>
          <w:szCs w:val="22"/>
        </w:rPr>
        <w:t xml:space="preserve"> with be the lenders and investors providing the funds necessary to perform the energy retrofits.</w:t>
      </w:r>
    </w:p>
    <w:p w:rsidR="000F0E44" w:rsidRDefault="000F0E44" w:rsidP="00D0134D">
      <w:pPr>
        <w:pStyle w:val="InsideAddress"/>
        <w:rPr>
          <w:rFonts w:asciiTheme="minorHAnsi" w:hAnsiTheme="minorHAnsi" w:cstheme="minorHAnsi"/>
          <w:sz w:val="22"/>
          <w:szCs w:val="22"/>
        </w:rPr>
      </w:pPr>
    </w:p>
    <w:p w:rsidR="000F0E44" w:rsidRDefault="00CF0263" w:rsidP="00D0134D">
      <w:pPr>
        <w:pStyle w:val="InsideAddress"/>
        <w:rPr>
          <w:rFonts w:asciiTheme="minorHAnsi" w:hAnsiTheme="minorHAnsi" w:cstheme="minorHAnsi"/>
          <w:sz w:val="22"/>
          <w:szCs w:val="22"/>
        </w:rPr>
      </w:pPr>
      <w:r>
        <w:rPr>
          <w:rFonts w:asciiTheme="minorHAnsi" w:hAnsiTheme="minorHAnsi" w:cstheme="minorHAnsi"/>
          <w:sz w:val="22"/>
          <w:szCs w:val="22"/>
        </w:rPr>
        <w:t>Key aspects of the program include:</w:t>
      </w:r>
    </w:p>
    <w:p w:rsidR="00CF0263" w:rsidRDefault="00CF0263" w:rsidP="00D0134D">
      <w:pPr>
        <w:pStyle w:val="InsideAddress"/>
        <w:rPr>
          <w:rFonts w:asciiTheme="minorHAnsi" w:hAnsiTheme="minorHAnsi" w:cstheme="minorHAnsi"/>
          <w:sz w:val="22"/>
          <w:szCs w:val="22"/>
        </w:rPr>
      </w:pPr>
    </w:p>
    <w:p w:rsidR="00413CFD" w:rsidRDefault="007768DB" w:rsidP="007768DB">
      <w:pPr>
        <w:pStyle w:val="InsideAddress"/>
        <w:ind w:left="72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Bill Neutrality – This is the primary goal that must be met in order</w:t>
      </w:r>
      <w:r w:rsidR="00DB35DF">
        <w:rPr>
          <w:rFonts w:asciiTheme="minorHAnsi" w:hAnsiTheme="minorHAnsi" w:cstheme="minorHAnsi"/>
          <w:sz w:val="22"/>
          <w:szCs w:val="22"/>
        </w:rPr>
        <w:t xml:space="preserve"> </w:t>
      </w:r>
      <w:r w:rsidR="00787941">
        <w:rPr>
          <w:rFonts w:asciiTheme="minorHAnsi" w:hAnsiTheme="minorHAnsi" w:cstheme="minorHAnsi"/>
          <w:sz w:val="22"/>
          <w:szCs w:val="22"/>
        </w:rPr>
        <w:t>for this program to succeed</w:t>
      </w:r>
      <w:r>
        <w:rPr>
          <w:rFonts w:asciiTheme="minorHAnsi" w:hAnsiTheme="minorHAnsi" w:cstheme="minorHAnsi"/>
          <w:sz w:val="22"/>
          <w:szCs w:val="22"/>
        </w:rPr>
        <w:t>.  Upon completion of the retrofit, the energy cost</w:t>
      </w:r>
      <w:r w:rsidR="00787941">
        <w:rPr>
          <w:rFonts w:asciiTheme="minorHAnsi" w:hAnsiTheme="minorHAnsi" w:cstheme="minorHAnsi"/>
          <w:sz w:val="22"/>
          <w:szCs w:val="22"/>
        </w:rPr>
        <w:t>,</w:t>
      </w:r>
      <w:r>
        <w:rPr>
          <w:rFonts w:asciiTheme="minorHAnsi" w:hAnsiTheme="minorHAnsi" w:cstheme="minorHAnsi"/>
          <w:sz w:val="22"/>
          <w:szCs w:val="22"/>
        </w:rPr>
        <w:t xml:space="preserve"> plus the payment of the loan</w:t>
      </w:r>
      <w:r w:rsidR="00787941">
        <w:rPr>
          <w:rFonts w:asciiTheme="minorHAnsi" w:hAnsiTheme="minorHAnsi" w:cstheme="minorHAnsi"/>
          <w:sz w:val="22"/>
          <w:szCs w:val="22"/>
        </w:rPr>
        <w:t>,</w:t>
      </w:r>
      <w:r>
        <w:rPr>
          <w:rFonts w:asciiTheme="minorHAnsi" w:hAnsiTheme="minorHAnsi" w:cstheme="minorHAnsi"/>
          <w:sz w:val="22"/>
          <w:szCs w:val="22"/>
        </w:rPr>
        <w:t xml:space="preserve"> must be less than or equal to the energy cost prior to the retrofit.  Many of the affordable housing developments we will be considering cannot take on additional costs without </w:t>
      </w:r>
      <w:r w:rsidR="00787941">
        <w:rPr>
          <w:rFonts w:asciiTheme="minorHAnsi" w:hAnsiTheme="minorHAnsi" w:cstheme="minorHAnsi"/>
          <w:sz w:val="22"/>
          <w:szCs w:val="22"/>
        </w:rPr>
        <w:t xml:space="preserve">it </w:t>
      </w:r>
      <w:r>
        <w:rPr>
          <w:rFonts w:asciiTheme="minorHAnsi" w:hAnsiTheme="minorHAnsi" w:cstheme="minorHAnsi"/>
          <w:sz w:val="22"/>
          <w:szCs w:val="22"/>
        </w:rPr>
        <w:t>having a detriment</w:t>
      </w:r>
      <w:r w:rsidR="00776608">
        <w:rPr>
          <w:rFonts w:asciiTheme="minorHAnsi" w:hAnsiTheme="minorHAnsi" w:cstheme="minorHAnsi"/>
          <w:sz w:val="22"/>
          <w:szCs w:val="22"/>
        </w:rPr>
        <w:t>al</w:t>
      </w:r>
      <w:r>
        <w:rPr>
          <w:rFonts w:asciiTheme="minorHAnsi" w:hAnsiTheme="minorHAnsi" w:cstheme="minorHAnsi"/>
          <w:sz w:val="22"/>
          <w:szCs w:val="22"/>
        </w:rPr>
        <w:t xml:space="preserve"> </w:t>
      </w:r>
      <w:r w:rsidR="00776608">
        <w:rPr>
          <w:rFonts w:asciiTheme="minorHAnsi" w:hAnsiTheme="minorHAnsi" w:cstheme="minorHAnsi"/>
          <w:sz w:val="22"/>
          <w:szCs w:val="22"/>
        </w:rPr>
        <w:t>e</w:t>
      </w:r>
      <w:r>
        <w:rPr>
          <w:rFonts w:asciiTheme="minorHAnsi" w:hAnsiTheme="minorHAnsi" w:cstheme="minorHAnsi"/>
          <w:sz w:val="22"/>
          <w:szCs w:val="22"/>
        </w:rPr>
        <w:t xml:space="preserve">ffect on the operations.  </w:t>
      </w:r>
    </w:p>
    <w:p w:rsidR="007768DB" w:rsidRDefault="007768DB" w:rsidP="007768DB">
      <w:pPr>
        <w:pStyle w:val="InsideAddress"/>
        <w:ind w:left="720" w:hanging="360"/>
        <w:rPr>
          <w:rFonts w:asciiTheme="minorHAnsi" w:hAnsiTheme="minorHAnsi" w:cstheme="minorHAnsi"/>
          <w:sz w:val="22"/>
          <w:szCs w:val="22"/>
        </w:rPr>
      </w:pPr>
    </w:p>
    <w:p w:rsidR="007768DB" w:rsidRDefault="007768DB" w:rsidP="007768DB">
      <w:pPr>
        <w:pStyle w:val="InsideAddress"/>
        <w:ind w:left="720" w:hanging="36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The interest rate for the repayment of the loan and the fees paid to the EDCs/LDCs and On-Bill Administrator cannot be too onerous or they will mitigate the potential realization of energy savings. </w:t>
      </w:r>
      <w:r w:rsidR="00F75A05">
        <w:rPr>
          <w:rFonts w:asciiTheme="minorHAnsi" w:hAnsiTheme="minorHAnsi" w:cstheme="minorHAnsi"/>
          <w:sz w:val="22"/>
          <w:szCs w:val="22"/>
        </w:rPr>
        <w:t xml:space="preserve">If this program moves forward, the fees will need to be negotiated.  </w:t>
      </w:r>
    </w:p>
    <w:p w:rsidR="007768DB" w:rsidRDefault="007768DB" w:rsidP="007768DB">
      <w:pPr>
        <w:pStyle w:val="InsideAddress"/>
        <w:ind w:left="720" w:hanging="360"/>
        <w:rPr>
          <w:rFonts w:asciiTheme="minorHAnsi" w:hAnsiTheme="minorHAnsi" w:cstheme="minorHAnsi"/>
          <w:sz w:val="22"/>
          <w:szCs w:val="22"/>
        </w:rPr>
      </w:pPr>
    </w:p>
    <w:p w:rsidR="007768DB" w:rsidRDefault="007768DB" w:rsidP="007768DB">
      <w:pPr>
        <w:pStyle w:val="InsideAddress"/>
        <w:ind w:left="720" w:hanging="36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The costs of modification</w:t>
      </w:r>
      <w:r w:rsidR="00A873AA">
        <w:rPr>
          <w:rFonts w:asciiTheme="minorHAnsi" w:hAnsiTheme="minorHAnsi" w:cstheme="minorHAnsi"/>
          <w:sz w:val="22"/>
          <w:szCs w:val="22"/>
        </w:rPr>
        <w:t>s</w:t>
      </w:r>
      <w:r>
        <w:rPr>
          <w:rFonts w:asciiTheme="minorHAnsi" w:hAnsiTheme="minorHAnsi" w:cstheme="minorHAnsi"/>
          <w:sz w:val="22"/>
          <w:szCs w:val="22"/>
        </w:rPr>
        <w:t xml:space="preserve"> </w:t>
      </w:r>
      <w:r w:rsidR="00A873AA">
        <w:rPr>
          <w:rFonts w:asciiTheme="minorHAnsi" w:hAnsiTheme="minorHAnsi" w:cstheme="minorHAnsi"/>
          <w:sz w:val="22"/>
          <w:szCs w:val="22"/>
        </w:rPr>
        <w:t xml:space="preserve">to </w:t>
      </w:r>
      <w:r w:rsidR="005C1A20">
        <w:rPr>
          <w:rFonts w:asciiTheme="minorHAnsi" w:hAnsiTheme="minorHAnsi" w:cstheme="minorHAnsi"/>
          <w:sz w:val="22"/>
          <w:szCs w:val="22"/>
        </w:rPr>
        <w:t>accommodate</w:t>
      </w:r>
      <w:r>
        <w:rPr>
          <w:rFonts w:asciiTheme="minorHAnsi" w:hAnsiTheme="minorHAnsi" w:cstheme="minorHAnsi"/>
          <w:sz w:val="22"/>
          <w:szCs w:val="22"/>
        </w:rPr>
        <w:t xml:space="preserve"> utility billing programs cannot be handled through fees from the model.  There are not sufficient resources.</w:t>
      </w:r>
    </w:p>
    <w:p w:rsidR="0095236D" w:rsidRDefault="0095236D" w:rsidP="007768DB">
      <w:pPr>
        <w:pStyle w:val="InsideAddress"/>
        <w:ind w:left="720" w:hanging="360"/>
        <w:rPr>
          <w:rFonts w:asciiTheme="minorHAnsi" w:hAnsiTheme="minorHAnsi" w:cstheme="minorHAnsi"/>
          <w:sz w:val="22"/>
          <w:szCs w:val="22"/>
        </w:rPr>
      </w:pPr>
    </w:p>
    <w:p w:rsidR="0095236D" w:rsidRDefault="0095236D" w:rsidP="007768DB">
      <w:pPr>
        <w:pStyle w:val="InsideAddress"/>
        <w:ind w:left="720" w:hanging="36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For a retrofit to be considered, it must have a savings investment ratio of one or higher.</w:t>
      </w:r>
    </w:p>
    <w:p w:rsidR="0095236D" w:rsidRDefault="0095236D" w:rsidP="007768DB">
      <w:pPr>
        <w:pStyle w:val="InsideAddress"/>
        <w:ind w:left="720" w:hanging="360"/>
        <w:rPr>
          <w:rFonts w:asciiTheme="minorHAnsi" w:hAnsiTheme="minorHAnsi" w:cstheme="minorHAnsi"/>
          <w:sz w:val="22"/>
          <w:szCs w:val="22"/>
        </w:rPr>
      </w:pPr>
    </w:p>
    <w:p w:rsidR="0095236D" w:rsidRDefault="0095236D" w:rsidP="007768DB">
      <w:pPr>
        <w:pStyle w:val="InsideAddress"/>
        <w:ind w:left="720" w:hanging="36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The loan maturity should be less than the expected useful life of the upgrade, but in no case be greater than ten years. </w:t>
      </w:r>
    </w:p>
    <w:p w:rsidR="0095236D" w:rsidRDefault="0095236D" w:rsidP="007768DB">
      <w:pPr>
        <w:pStyle w:val="InsideAddress"/>
        <w:ind w:left="720" w:hanging="360"/>
        <w:rPr>
          <w:rFonts w:asciiTheme="minorHAnsi" w:hAnsiTheme="minorHAnsi" w:cstheme="minorHAnsi"/>
          <w:sz w:val="22"/>
          <w:szCs w:val="22"/>
        </w:rPr>
      </w:pPr>
    </w:p>
    <w:p w:rsidR="0095236D" w:rsidRDefault="0095236D" w:rsidP="007768DB">
      <w:pPr>
        <w:pStyle w:val="InsideAddress"/>
        <w:ind w:left="720" w:hanging="36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All loans may be fully repaid at any time.  </w:t>
      </w:r>
    </w:p>
    <w:p w:rsidR="0095236D" w:rsidRDefault="0095236D" w:rsidP="007768DB">
      <w:pPr>
        <w:pStyle w:val="InsideAddress"/>
        <w:ind w:left="720" w:hanging="360"/>
        <w:rPr>
          <w:rFonts w:asciiTheme="minorHAnsi" w:hAnsiTheme="minorHAnsi" w:cstheme="minorHAnsi"/>
          <w:sz w:val="22"/>
          <w:szCs w:val="22"/>
        </w:rPr>
      </w:pPr>
    </w:p>
    <w:p w:rsidR="0095236D" w:rsidRDefault="0095236D" w:rsidP="0095236D">
      <w:pPr>
        <w:pStyle w:val="InsideAddress"/>
        <w:ind w:left="720" w:hanging="36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The loan will work as a tariff, attached to the meter and repaid regardless of change in ownership.</w:t>
      </w:r>
    </w:p>
    <w:p w:rsidR="0095236D" w:rsidRDefault="0095236D" w:rsidP="0095236D">
      <w:pPr>
        <w:pStyle w:val="InsideAddress"/>
        <w:ind w:left="720" w:hanging="360"/>
        <w:rPr>
          <w:rFonts w:asciiTheme="minorHAnsi" w:hAnsiTheme="minorHAnsi" w:cstheme="minorHAnsi"/>
          <w:sz w:val="22"/>
          <w:szCs w:val="22"/>
        </w:rPr>
      </w:pPr>
    </w:p>
    <w:p w:rsidR="0095236D" w:rsidRDefault="0095236D" w:rsidP="0095236D">
      <w:pPr>
        <w:pStyle w:val="InsideAddress"/>
        <w:ind w:left="720" w:hanging="36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 xml:space="preserve">Energy retrofits should be aligned with, but not limited by, existing Act 129 rebate programs. </w:t>
      </w:r>
    </w:p>
    <w:p w:rsidR="0095236D" w:rsidRDefault="001351B4" w:rsidP="0095236D">
      <w:pPr>
        <w:pStyle w:val="InsideAddress"/>
        <w:rPr>
          <w:rFonts w:asciiTheme="minorHAnsi" w:hAnsiTheme="minorHAnsi" w:cstheme="minorHAnsi"/>
          <w:sz w:val="22"/>
          <w:szCs w:val="22"/>
        </w:rPr>
      </w:pPr>
      <w:r>
        <w:rPr>
          <w:rFonts w:asciiTheme="minorHAnsi" w:hAnsiTheme="minorHAnsi" w:cstheme="minorHAnsi"/>
          <w:sz w:val="22"/>
          <w:szCs w:val="22"/>
        </w:rPr>
        <w:t>When considering a full energy retrofit of a multifamily building, we believe there are seven components to a successful upgrade</w:t>
      </w:r>
      <w:r w:rsidR="001919B6">
        <w:rPr>
          <w:rFonts w:asciiTheme="minorHAnsi" w:hAnsiTheme="minorHAnsi" w:cstheme="minorHAnsi"/>
          <w:sz w:val="22"/>
          <w:szCs w:val="22"/>
        </w:rPr>
        <w:t xml:space="preserve"> that should be performed  or monitored by the On-Bill Administrator</w:t>
      </w:r>
      <w:r>
        <w:rPr>
          <w:rFonts w:asciiTheme="minorHAnsi" w:hAnsiTheme="minorHAnsi" w:cstheme="minorHAnsi"/>
          <w:sz w:val="22"/>
          <w:szCs w:val="22"/>
        </w:rPr>
        <w:t>.  These components, all of which PHFA has experience</w:t>
      </w:r>
      <w:r w:rsidR="005A0A71">
        <w:rPr>
          <w:rFonts w:asciiTheme="minorHAnsi" w:hAnsiTheme="minorHAnsi" w:cstheme="minorHAnsi"/>
          <w:sz w:val="22"/>
          <w:szCs w:val="22"/>
        </w:rPr>
        <w:t xml:space="preserve"> in</w:t>
      </w:r>
      <w:r>
        <w:rPr>
          <w:rFonts w:asciiTheme="minorHAnsi" w:hAnsiTheme="minorHAnsi" w:cstheme="minorHAnsi"/>
          <w:sz w:val="22"/>
          <w:szCs w:val="22"/>
        </w:rPr>
        <w:t>, are:</w:t>
      </w:r>
    </w:p>
    <w:p w:rsidR="001351B4" w:rsidRDefault="001351B4" w:rsidP="0095236D">
      <w:pPr>
        <w:pStyle w:val="InsideAddress"/>
        <w:rPr>
          <w:rFonts w:asciiTheme="minorHAnsi" w:hAnsiTheme="minorHAnsi" w:cstheme="minorHAnsi"/>
          <w:sz w:val="22"/>
          <w:szCs w:val="22"/>
        </w:rPr>
      </w:pPr>
    </w:p>
    <w:p w:rsidR="0054477D" w:rsidRDefault="001919B6" w:rsidP="001919B6">
      <w:pPr>
        <w:pStyle w:val="InsideAddress"/>
        <w:ind w:left="72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54477D" w:rsidRPr="009F320E">
        <w:rPr>
          <w:rFonts w:asciiTheme="minorHAnsi" w:hAnsiTheme="minorHAnsi" w:cstheme="minorHAnsi"/>
          <w:sz w:val="22"/>
          <w:szCs w:val="22"/>
          <w:u w:val="single"/>
        </w:rPr>
        <w:t>Benchmarking</w:t>
      </w:r>
      <w:r w:rsidR="009F320E">
        <w:rPr>
          <w:rFonts w:asciiTheme="minorHAnsi" w:hAnsiTheme="minorHAnsi" w:cstheme="minorHAnsi"/>
          <w:sz w:val="22"/>
          <w:szCs w:val="22"/>
        </w:rPr>
        <w:t xml:space="preserve"> – </w:t>
      </w:r>
      <w:r w:rsidR="009F320E">
        <w:rPr>
          <w:rFonts w:asciiTheme="minorHAnsi" w:hAnsiTheme="minorHAnsi" w:cstheme="minorHAnsi"/>
          <w:sz w:val="22"/>
          <w:szCs w:val="22"/>
        </w:rPr>
        <w:tab/>
      </w:r>
      <w:r>
        <w:rPr>
          <w:rFonts w:asciiTheme="minorHAnsi" w:hAnsiTheme="minorHAnsi" w:cstheme="minorHAnsi"/>
          <w:sz w:val="22"/>
          <w:szCs w:val="22"/>
        </w:rPr>
        <w:t>W</w:t>
      </w:r>
      <w:r w:rsidR="0054477D">
        <w:rPr>
          <w:rFonts w:asciiTheme="minorHAnsi" w:hAnsiTheme="minorHAnsi" w:cstheme="minorHAnsi"/>
          <w:sz w:val="22"/>
          <w:szCs w:val="22"/>
        </w:rPr>
        <w:t xml:space="preserve">hen considering energy upgrades of a property, one should start with determining whether or not a development will benefit from the upgrade.  This analysis will include the benchmarking of the </w:t>
      </w:r>
      <w:r w:rsidR="005A0A71">
        <w:rPr>
          <w:rFonts w:asciiTheme="minorHAnsi" w:hAnsiTheme="minorHAnsi" w:cstheme="minorHAnsi"/>
          <w:sz w:val="22"/>
          <w:szCs w:val="22"/>
        </w:rPr>
        <w:t xml:space="preserve">utility consumption </w:t>
      </w:r>
      <w:r w:rsidR="0054477D">
        <w:rPr>
          <w:rFonts w:asciiTheme="minorHAnsi" w:hAnsiTheme="minorHAnsi" w:cstheme="minorHAnsi"/>
          <w:sz w:val="22"/>
          <w:szCs w:val="22"/>
        </w:rPr>
        <w:t>of the property.  We utilize EnergyScoreCards© from Bright Power.  It not only determine</w:t>
      </w:r>
      <w:r w:rsidR="008E6C4F">
        <w:rPr>
          <w:rFonts w:asciiTheme="minorHAnsi" w:hAnsiTheme="minorHAnsi" w:cstheme="minorHAnsi"/>
          <w:sz w:val="22"/>
          <w:szCs w:val="22"/>
        </w:rPr>
        <w:t>s</w:t>
      </w:r>
      <w:r w:rsidR="0054477D">
        <w:rPr>
          <w:rFonts w:asciiTheme="minorHAnsi" w:hAnsiTheme="minorHAnsi" w:cstheme="minorHAnsi"/>
          <w:sz w:val="22"/>
          <w:szCs w:val="22"/>
        </w:rPr>
        <w:t xml:space="preserve"> the energy usage, but </w:t>
      </w:r>
      <w:r w:rsidR="005A0A71">
        <w:rPr>
          <w:rFonts w:asciiTheme="minorHAnsi" w:hAnsiTheme="minorHAnsi" w:cstheme="minorHAnsi"/>
          <w:sz w:val="22"/>
          <w:szCs w:val="22"/>
        </w:rPr>
        <w:t xml:space="preserve">also </w:t>
      </w:r>
      <w:r w:rsidR="0054477D">
        <w:rPr>
          <w:rFonts w:asciiTheme="minorHAnsi" w:hAnsiTheme="minorHAnsi" w:cstheme="minorHAnsi"/>
          <w:sz w:val="22"/>
          <w:szCs w:val="22"/>
        </w:rPr>
        <w:t>compare</w:t>
      </w:r>
      <w:r w:rsidR="005A0A71">
        <w:rPr>
          <w:rFonts w:asciiTheme="minorHAnsi" w:hAnsiTheme="minorHAnsi" w:cstheme="minorHAnsi"/>
          <w:sz w:val="22"/>
          <w:szCs w:val="22"/>
        </w:rPr>
        <w:t>s</w:t>
      </w:r>
      <w:r w:rsidR="0054477D">
        <w:rPr>
          <w:rFonts w:asciiTheme="minorHAnsi" w:hAnsiTheme="minorHAnsi" w:cstheme="minorHAnsi"/>
          <w:sz w:val="22"/>
          <w:szCs w:val="22"/>
        </w:rPr>
        <w:t xml:space="preserve"> the usage of the development with like properties in the area.  </w:t>
      </w:r>
    </w:p>
    <w:p w:rsidR="0054477D" w:rsidRDefault="0054477D" w:rsidP="0054477D">
      <w:pPr>
        <w:pStyle w:val="InsideAddress"/>
        <w:ind w:left="360"/>
        <w:rPr>
          <w:rFonts w:asciiTheme="minorHAnsi" w:hAnsiTheme="minorHAnsi" w:cstheme="minorHAnsi"/>
          <w:sz w:val="22"/>
          <w:szCs w:val="22"/>
        </w:rPr>
      </w:pPr>
    </w:p>
    <w:p w:rsidR="0054477D" w:rsidRDefault="0054477D" w:rsidP="001919B6">
      <w:pPr>
        <w:pStyle w:val="InsideAddress"/>
        <w:ind w:left="720"/>
        <w:rPr>
          <w:rFonts w:asciiTheme="minorHAnsi" w:hAnsiTheme="minorHAnsi" w:cstheme="minorHAnsi"/>
          <w:sz w:val="22"/>
          <w:szCs w:val="22"/>
        </w:rPr>
      </w:pPr>
      <w:r>
        <w:rPr>
          <w:rFonts w:asciiTheme="minorHAnsi" w:hAnsiTheme="minorHAnsi" w:cstheme="minorHAnsi"/>
          <w:sz w:val="22"/>
          <w:szCs w:val="22"/>
        </w:rPr>
        <w:t>Along with benchmarking, a determination needs to be made as to whether the property is appropriate for the upgrades.  Considerations here include the operating cash flow of the property, the physical condition of the property, and</w:t>
      </w:r>
      <w:r w:rsidR="008E6C4F">
        <w:rPr>
          <w:rFonts w:asciiTheme="minorHAnsi" w:hAnsiTheme="minorHAnsi" w:cstheme="minorHAnsi"/>
          <w:sz w:val="22"/>
          <w:szCs w:val="22"/>
        </w:rPr>
        <w:t>,</w:t>
      </w:r>
      <w:r>
        <w:rPr>
          <w:rFonts w:asciiTheme="minorHAnsi" w:hAnsiTheme="minorHAnsi" w:cstheme="minorHAnsi"/>
          <w:sz w:val="22"/>
          <w:szCs w:val="22"/>
        </w:rPr>
        <w:t xml:space="preserve"> for OBR purposes, the utility payment history.  </w:t>
      </w:r>
    </w:p>
    <w:p w:rsidR="0054477D" w:rsidRDefault="0054477D" w:rsidP="0054477D">
      <w:pPr>
        <w:pStyle w:val="InsideAddress"/>
        <w:rPr>
          <w:rFonts w:asciiTheme="minorHAnsi" w:hAnsiTheme="minorHAnsi" w:cstheme="minorHAnsi"/>
          <w:sz w:val="22"/>
          <w:szCs w:val="22"/>
        </w:rPr>
      </w:pPr>
    </w:p>
    <w:p w:rsidR="0054477D" w:rsidRDefault="009F320E" w:rsidP="009F320E">
      <w:pPr>
        <w:pStyle w:val="InsideAddress"/>
        <w:ind w:left="720" w:hanging="36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54477D" w:rsidRPr="009F320E">
        <w:rPr>
          <w:rFonts w:asciiTheme="minorHAnsi" w:hAnsiTheme="minorHAnsi" w:cstheme="minorHAnsi"/>
          <w:sz w:val="22"/>
          <w:szCs w:val="22"/>
          <w:u w:val="single"/>
        </w:rPr>
        <w:t>Energy Analysis and Recommendations</w:t>
      </w:r>
      <w:r>
        <w:rPr>
          <w:rFonts w:asciiTheme="minorHAnsi" w:hAnsiTheme="minorHAnsi" w:cstheme="minorHAnsi"/>
          <w:sz w:val="22"/>
          <w:szCs w:val="22"/>
        </w:rPr>
        <w:t xml:space="preserve"> – </w:t>
      </w:r>
      <w:r w:rsidR="0054477D">
        <w:rPr>
          <w:rFonts w:asciiTheme="minorHAnsi" w:hAnsiTheme="minorHAnsi" w:cstheme="minorHAnsi"/>
          <w:sz w:val="22"/>
          <w:szCs w:val="22"/>
        </w:rPr>
        <w:t xml:space="preserve">After it has been determined that the development </w:t>
      </w:r>
      <w:r w:rsidR="008E6C4F">
        <w:rPr>
          <w:rFonts w:asciiTheme="minorHAnsi" w:hAnsiTheme="minorHAnsi" w:cstheme="minorHAnsi"/>
          <w:sz w:val="22"/>
          <w:szCs w:val="22"/>
        </w:rPr>
        <w:t xml:space="preserve">could gain from the performance of energy upgrades, the preparation of an energy audit should be considered.  The audit should follow a set of standard protocols, be performed by a BPI certified multifamily analyst, and reviewed to determine which measures </w:t>
      </w:r>
      <w:r w:rsidR="00E15051">
        <w:rPr>
          <w:rFonts w:asciiTheme="minorHAnsi" w:hAnsiTheme="minorHAnsi" w:cstheme="minorHAnsi"/>
          <w:sz w:val="22"/>
          <w:szCs w:val="22"/>
        </w:rPr>
        <w:t xml:space="preserve">would be most beneficial </w:t>
      </w:r>
      <w:r w:rsidR="008E6C4F">
        <w:rPr>
          <w:rFonts w:asciiTheme="minorHAnsi" w:hAnsiTheme="minorHAnsi" w:cstheme="minorHAnsi"/>
          <w:sz w:val="22"/>
          <w:szCs w:val="22"/>
        </w:rPr>
        <w:t xml:space="preserve">to implement.   </w:t>
      </w:r>
    </w:p>
    <w:p w:rsidR="00260340" w:rsidRDefault="00260340" w:rsidP="00260340">
      <w:pPr>
        <w:pStyle w:val="InsideAddress"/>
        <w:rPr>
          <w:rFonts w:asciiTheme="minorHAnsi" w:hAnsiTheme="minorHAnsi" w:cstheme="minorHAnsi"/>
          <w:sz w:val="22"/>
          <w:szCs w:val="22"/>
        </w:rPr>
      </w:pPr>
    </w:p>
    <w:p w:rsidR="00260340" w:rsidRDefault="009F320E" w:rsidP="009F320E">
      <w:pPr>
        <w:pStyle w:val="InsideAddress"/>
        <w:spacing w:line="240" w:lineRule="atLeast"/>
        <w:ind w:left="720" w:hanging="36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260340" w:rsidRPr="009F320E">
        <w:rPr>
          <w:rFonts w:asciiTheme="minorHAnsi" w:hAnsiTheme="minorHAnsi" w:cstheme="minorHAnsi"/>
          <w:sz w:val="22"/>
          <w:szCs w:val="22"/>
          <w:u w:val="single"/>
        </w:rPr>
        <w:t>Low Cost Financing</w:t>
      </w:r>
      <w:r>
        <w:rPr>
          <w:rFonts w:asciiTheme="minorHAnsi" w:hAnsiTheme="minorHAnsi" w:cstheme="minorHAnsi"/>
          <w:sz w:val="22"/>
          <w:szCs w:val="22"/>
        </w:rPr>
        <w:t xml:space="preserve"> – </w:t>
      </w:r>
      <w:r w:rsidR="00260340">
        <w:rPr>
          <w:rFonts w:asciiTheme="minorHAnsi" w:hAnsiTheme="minorHAnsi" w:cstheme="minorHAnsi"/>
          <w:sz w:val="22"/>
          <w:szCs w:val="22"/>
        </w:rPr>
        <w:t>Obviously, this is where On-Bill Repayment fits in. Providers for the capital pool may include PHFA, banks, particularly those looking for CRA investments, energy funds, etc.  As indicated earlier, the rates need to be low enough so bill neutrality can be preserved.</w:t>
      </w:r>
    </w:p>
    <w:p w:rsidR="00260340" w:rsidRDefault="00260340" w:rsidP="00260340">
      <w:pPr>
        <w:pStyle w:val="InsideAddress"/>
        <w:ind w:left="360"/>
        <w:rPr>
          <w:rFonts w:asciiTheme="minorHAnsi" w:hAnsiTheme="minorHAnsi" w:cstheme="minorHAnsi"/>
          <w:sz w:val="22"/>
          <w:szCs w:val="22"/>
        </w:rPr>
      </w:pPr>
    </w:p>
    <w:p w:rsidR="00126CA0" w:rsidRDefault="009F320E" w:rsidP="009F320E">
      <w:pPr>
        <w:pStyle w:val="InsideAddress"/>
        <w:ind w:left="720" w:hanging="36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260340" w:rsidRPr="009F320E">
        <w:rPr>
          <w:rFonts w:asciiTheme="minorHAnsi" w:hAnsiTheme="minorHAnsi" w:cstheme="minorHAnsi"/>
          <w:sz w:val="22"/>
          <w:szCs w:val="22"/>
          <w:u w:val="single"/>
        </w:rPr>
        <w:t>Construction and Construction Oversight</w:t>
      </w:r>
      <w:r>
        <w:rPr>
          <w:rFonts w:asciiTheme="minorHAnsi" w:hAnsiTheme="minorHAnsi" w:cstheme="minorHAnsi"/>
          <w:sz w:val="22"/>
          <w:szCs w:val="22"/>
        </w:rPr>
        <w:t xml:space="preserve"> – </w:t>
      </w:r>
      <w:r w:rsidR="00260340">
        <w:rPr>
          <w:rFonts w:asciiTheme="minorHAnsi" w:hAnsiTheme="minorHAnsi" w:cstheme="minorHAnsi"/>
          <w:sz w:val="22"/>
          <w:szCs w:val="22"/>
        </w:rPr>
        <w:t>It is important that the construction of the upgrades is of the highest quality.  The On-Bill Administrator should</w:t>
      </w:r>
      <w:r w:rsidR="00126CA0">
        <w:rPr>
          <w:rFonts w:asciiTheme="minorHAnsi" w:hAnsiTheme="minorHAnsi" w:cstheme="minorHAnsi"/>
          <w:sz w:val="22"/>
          <w:szCs w:val="22"/>
        </w:rPr>
        <w:t>:</w:t>
      </w:r>
    </w:p>
    <w:p w:rsidR="00126CA0" w:rsidRDefault="00126CA0" w:rsidP="00260340">
      <w:pPr>
        <w:pStyle w:val="InsideAddress"/>
        <w:ind w:left="360"/>
        <w:rPr>
          <w:rFonts w:asciiTheme="minorHAnsi" w:hAnsiTheme="minorHAnsi" w:cstheme="minorHAnsi"/>
          <w:sz w:val="22"/>
          <w:szCs w:val="22"/>
        </w:rPr>
      </w:pPr>
    </w:p>
    <w:p w:rsidR="00260340" w:rsidRDefault="00126CA0" w:rsidP="00126CA0">
      <w:pPr>
        <w:pStyle w:val="InsideAddress"/>
        <w:numPr>
          <w:ilvl w:val="0"/>
          <w:numId w:val="5"/>
        </w:numPr>
        <w:rPr>
          <w:rFonts w:asciiTheme="minorHAnsi" w:hAnsiTheme="minorHAnsi" w:cstheme="minorHAnsi"/>
          <w:sz w:val="22"/>
          <w:szCs w:val="22"/>
        </w:rPr>
      </w:pPr>
      <w:r>
        <w:rPr>
          <w:rFonts w:asciiTheme="minorHAnsi" w:hAnsiTheme="minorHAnsi" w:cstheme="minorHAnsi"/>
          <w:sz w:val="22"/>
          <w:szCs w:val="22"/>
        </w:rPr>
        <w:t>A</w:t>
      </w:r>
      <w:r w:rsidR="00260340">
        <w:rPr>
          <w:rFonts w:asciiTheme="minorHAnsi" w:hAnsiTheme="minorHAnsi" w:cstheme="minorHAnsi"/>
          <w:sz w:val="22"/>
          <w:szCs w:val="22"/>
        </w:rPr>
        <w:t xml:space="preserve">ssist in developing an implementation plan designed for the specific property. This may include identifying qualified professionals, hiring of an architect and/or engineer, if warranted, and assisting with necessary documentation.  </w:t>
      </w:r>
    </w:p>
    <w:p w:rsidR="00126CA0" w:rsidRDefault="00126CA0" w:rsidP="00126CA0">
      <w:pPr>
        <w:pStyle w:val="InsideAddress"/>
        <w:numPr>
          <w:ilvl w:val="0"/>
          <w:numId w:val="5"/>
        </w:numPr>
        <w:rPr>
          <w:rFonts w:asciiTheme="minorHAnsi" w:hAnsiTheme="minorHAnsi" w:cstheme="minorHAnsi"/>
          <w:sz w:val="22"/>
          <w:szCs w:val="22"/>
        </w:rPr>
      </w:pPr>
      <w:r>
        <w:rPr>
          <w:rFonts w:asciiTheme="minorHAnsi" w:hAnsiTheme="minorHAnsi" w:cstheme="minorHAnsi"/>
          <w:sz w:val="22"/>
          <w:szCs w:val="22"/>
        </w:rPr>
        <w:t xml:space="preserve">Solicit and review bids from qualified contractors </w:t>
      </w:r>
    </w:p>
    <w:p w:rsidR="00126CA0" w:rsidRDefault="00126CA0" w:rsidP="00126CA0">
      <w:pPr>
        <w:pStyle w:val="InsideAddress"/>
        <w:numPr>
          <w:ilvl w:val="0"/>
          <w:numId w:val="5"/>
        </w:numPr>
        <w:rPr>
          <w:rFonts w:asciiTheme="minorHAnsi" w:hAnsiTheme="minorHAnsi" w:cstheme="minorHAnsi"/>
          <w:sz w:val="22"/>
          <w:szCs w:val="22"/>
        </w:rPr>
      </w:pPr>
      <w:r>
        <w:rPr>
          <w:rFonts w:asciiTheme="minorHAnsi" w:hAnsiTheme="minorHAnsi" w:cstheme="minorHAnsi"/>
          <w:sz w:val="22"/>
          <w:szCs w:val="22"/>
        </w:rPr>
        <w:t xml:space="preserve">Monitor the installation to ensure quality of workmanship </w:t>
      </w:r>
    </w:p>
    <w:p w:rsidR="00126CA0" w:rsidRDefault="00126CA0" w:rsidP="00126CA0">
      <w:pPr>
        <w:pStyle w:val="InsideAddress"/>
        <w:numPr>
          <w:ilvl w:val="0"/>
          <w:numId w:val="5"/>
        </w:numPr>
        <w:rPr>
          <w:rFonts w:asciiTheme="minorHAnsi" w:hAnsiTheme="minorHAnsi" w:cstheme="minorHAnsi"/>
          <w:sz w:val="22"/>
          <w:szCs w:val="22"/>
        </w:rPr>
      </w:pPr>
      <w:r>
        <w:rPr>
          <w:rFonts w:asciiTheme="minorHAnsi" w:hAnsiTheme="minorHAnsi" w:cstheme="minorHAnsi"/>
          <w:sz w:val="22"/>
          <w:szCs w:val="22"/>
        </w:rPr>
        <w:t xml:space="preserve">Perform disbursement and payout procedures as the work is completed.  </w:t>
      </w:r>
    </w:p>
    <w:p w:rsidR="00126CA0" w:rsidRDefault="00126CA0" w:rsidP="00126CA0">
      <w:pPr>
        <w:pStyle w:val="InsideAddress"/>
        <w:rPr>
          <w:rFonts w:asciiTheme="minorHAnsi" w:hAnsiTheme="minorHAnsi" w:cstheme="minorHAnsi"/>
          <w:sz w:val="22"/>
          <w:szCs w:val="22"/>
        </w:rPr>
      </w:pPr>
    </w:p>
    <w:p w:rsidR="006B27E4" w:rsidRDefault="009F320E" w:rsidP="009F320E">
      <w:pPr>
        <w:pStyle w:val="InsideAddress"/>
        <w:ind w:left="720" w:hanging="36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6B27E4" w:rsidRPr="009F320E">
        <w:rPr>
          <w:rFonts w:asciiTheme="minorHAnsi" w:hAnsiTheme="minorHAnsi" w:cstheme="minorHAnsi"/>
          <w:sz w:val="22"/>
          <w:szCs w:val="22"/>
          <w:u w:val="single"/>
        </w:rPr>
        <w:t>Post Retrofit Activities</w:t>
      </w:r>
      <w:r>
        <w:rPr>
          <w:rFonts w:asciiTheme="minorHAnsi" w:hAnsiTheme="minorHAnsi" w:cstheme="minorHAnsi"/>
          <w:sz w:val="22"/>
          <w:szCs w:val="22"/>
        </w:rPr>
        <w:t xml:space="preserve"> – </w:t>
      </w:r>
      <w:r w:rsidR="006B27E4">
        <w:rPr>
          <w:rFonts w:asciiTheme="minorHAnsi" w:hAnsiTheme="minorHAnsi" w:cstheme="minorHAnsi"/>
          <w:sz w:val="22"/>
          <w:szCs w:val="22"/>
        </w:rPr>
        <w:t xml:space="preserve">The development needs to be closely monitored to ensure that the savings are maximized.  This will include tracking of utility usage for a period of time after the retrofit; reviewing the data on at least a quarterly basis to determine building performance; and </w:t>
      </w:r>
      <w:r w:rsidR="00E15051">
        <w:rPr>
          <w:rFonts w:asciiTheme="minorHAnsi" w:hAnsiTheme="minorHAnsi" w:cstheme="minorHAnsi"/>
          <w:sz w:val="22"/>
          <w:szCs w:val="22"/>
        </w:rPr>
        <w:t xml:space="preserve">resolution and </w:t>
      </w:r>
      <w:r w:rsidR="006B27E4">
        <w:rPr>
          <w:rFonts w:asciiTheme="minorHAnsi" w:hAnsiTheme="minorHAnsi" w:cstheme="minorHAnsi"/>
          <w:sz w:val="22"/>
          <w:szCs w:val="22"/>
        </w:rPr>
        <w:t xml:space="preserve">follow up when a building is not performing as expected.  </w:t>
      </w:r>
    </w:p>
    <w:p w:rsidR="006B27E4" w:rsidRDefault="006B27E4" w:rsidP="006B27E4">
      <w:pPr>
        <w:pStyle w:val="InsideAddress"/>
        <w:rPr>
          <w:rFonts w:asciiTheme="minorHAnsi" w:hAnsiTheme="minorHAnsi" w:cstheme="minorHAnsi"/>
          <w:sz w:val="22"/>
          <w:szCs w:val="22"/>
        </w:rPr>
      </w:pPr>
    </w:p>
    <w:p w:rsidR="006B27E4" w:rsidRDefault="009F320E" w:rsidP="009F320E">
      <w:pPr>
        <w:pStyle w:val="InsideAddress"/>
        <w:ind w:left="720" w:hanging="36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6B27E4" w:rsidRPr="009F320E">
        <w:rPr>
          <w:rFonts w:asciiTheme="minorHAnsi" w:hAnsiTheme="minorHAnsi" w:cstheme="minorHAnsi"/>
          <w:sz w:val="22"/>
          <w:szCs w:val="22"/>
          <w:u w:val="single"/>
        </w:rPr>
        <w:t>Maintenance Staff Training</w:t>
      </w:r>
      <w:r>
        <w:rPr>
          <w:rFonts w:asciiTheme="minorHAnsi" w:hAnsiTheme="minorHAnsi" w:cstheme="minorHAnsi"/>
          <w:sz w:val="22"/>
          <w:szCs w:val="22"/>
        </w:rPr>
        <w:t xml:space="preserve"> – </w:t>
      </w:r>
      <w:r w:rsidR="006B27E4">
        <w:rPr>
          <w:rFonts w:asciiTheme="minorHAnsi" w:hAnsiTheme="minorHAnsi" w:cstheme="minorHAnsi"/>
          <w:sz w:val="22"/>
          <w:szCs w:val="22"/>
        </w:rPr>
        <w:t>It is imperative that the maintenance staff of the property understand the upgrades that have been made and the upkeep that is required.  The management company’s handbook and training need to be modified to encompass the new maintenance and upkeep requirements.</w:t>
      </w:r>
    </w:p>
    <w:p w:rsidR="006B27E4" w:rsidRDefault="006B27E4" w:rsidP="006B27E4">
      <w:pPr>
        <w:pStyle w:val="InsideAddress"/>
        <w:rPr>
          <w:rFonts w:asciiTheme="minorHAnsi" w:hAnsiTheme="minorHAnsi" w:cstheme="minorHAnsi"/>
          <w:sz w:val="22"/>
          <w:szCs w:val="22"/>
        </w:rPr>
      </w:pPr>
    </w:p>
    <w:p w:rsidR="006B27E4" w:rsidRDefault="009F320E" w:rsidP="009F320E">
      <w:pPr>
        <w:pStyle w:val="InsideAddress"/>
        <w:ind w:left="720" w:hanging="36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6B27E4" w:rsidRPr="009F320E">
        <w:rPr>
          <w:rFonts w:asciiTheme="minorHAnsi" w:hAnsiTheme="minorHAnsi" w:cstheme="minorHAnsi"/>
          <w:sz w:val="22"/>
          <w:szCs w:val="22"/>
          <w:u w:val="single"/>
        </w:rPr>
        <w:t>Resident Outreach and Education</w:t>
      </w:r>
      <w:r>
        <w:rPr>
          <w:rFonts w:asciiTheme="minorHAnsi" w:hAnsiTheme="minorHAnsi" w:cstheme="minorHAnsi"/>
          <w:sz w:val="22"/>
          <w:szCs w:val="22"/>
        </w:rPr>
        <w:t xml:space="preserve"> – </w:t>
      </w:r>
      <w:r w:rsidR="006B27E4">
        <w:rPr>
          <w:rFonts w:asciiTheme="minorHAnsi" w:hAnsiTheme="minorHAnsi" w:cstheme="minorHAnsi"/>
          <w:sz w:val="22"/>
          <w:szCs w:val="22"/>
        </w:rPr>
        <w:t xml:space="preserve">No matter the extent of utility upgrades, resident behavior will have a significant impact on the results.  </w:t>
      </w:r>
      <w:r w:rsidR="001919B6">
        <w:rPr>
          <w:rFonts w:asciiTheme="minorHAnsi" w:hAnsiTheme="minorHAnsi" w:cstheme="minorHAnsi"/>
          <w:sz w:val="22"/>
          <w:szCs w:val="22"/>
        </w:rPr>
        <w:t xml:space="preserve">PHFA will assist property managers in working with residents; provide periodic training opportunities for property managers and their staff; and prepare specific written and graphic materials for residents to showcase how to maximize the benefits of the energy efficient features of their apartments.  </w:t>
      </w:r>
    </w:p>
    <w:p w:rsidR="00356221" w:rsidRDefault="00356221" w:rsidP="009F320E">
      <w:pPr>
        <w:pStyle w:val="InsideAddress"/>
        <w:ind w:left="720" w:hanging="360"/>
        <w:rPr>
          <w:rFonts w:asciiTheme="minorHAnsi" w:hAnsiTheme="minorHAnsi" w:cstheme="minorHAnsi"/>
          <w:sz w:val="22"/>
          <w:szCs w:val="22"/>
        </w:rPr>
      </w:pPr>
    </w:p>
    <w:p w:rsidR="001919B6" w:rsidRDefault="009F320E" w:rsidP="001919B6">
      <w:pPr>
        <w:pStyle w:val="InsideAddress"/>
        <w:rPr>
          <w:rFonts w:asciiTheme="minorHAnsi" w:hAnsiTheme="minorHAnsi" w:cstheme="minorHAnsi"/>
          <w:sz w:val="22"/>
          <w:szCs w:val="22"/>
        </w:rPr>
      </w:pPr>
      <w:r>
        <w:rPr>
          <w:rFonts w:asciiTheme="minorHAnsi" w:hAnsiTheme="minorHAnsi" w:cstheme="minorHAnsi"/>
          <w:sz w:val="22"/>
          <w:szCs w:val="22"/>
        </w:rPr>
        <w:t>There are several aspects that will impact the potential success of the program and will most likely require a great deal of discussion and consideration.  These include:</w:t>
      </w:r>
    </w:p>
    <w:p w:rsidR="009F320E" w:rsidRDefault="009F320E" w:rsidP="001919B6">
      <w:pPr>
        <w:pStyle w:val="InsideAddress"/>
        <w:rPr>
          <w:rFonts w:asciiTheme="minorHAnsi" w:hAnsiTheme="minorHAnsi" w:cstheme="minorHAnsi"/>
          <w:sz w:val="22"/>
          <w:szCs w:val="22"/>
        </w:rPr>
      </w:pPr>
    </w:p>
    <w:p w:rsidR="00B36498" w:rsidRDefault="00B36498" w:rsidP="00B36498">
      <w:pPr>
        <w:pStyle w:val="InsideAddress"/>
        <w:ind w:left="72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Interest rates of lenders to the capital pool will be lower if disconnection is applicable to the nonpayment of the loan.  Since building owners will have a very strong incentive to pay their utility bills, lenders view the OBR mechanism with disconnection possibilities as a key to high quality credit.</w:t>
      </w:r>
    </w:p>
    <w:p w:rsidR="00B36498" w:rsidRDefault="00B36498" w:rsidP="00B36498">
      <w:pPr>
        <w:pStyle w:val="InsideAddress"/>
        <w:ind w:left="720" w:hanging="360"/>
        <w:rPr>
          <w:rFonts w:asciiTheme="minorHAnsi" w:hAnsiTheme="minorHAnsi" w:cstheme="minorHAnsi"/>
          <w:sz w:val="22"/>
          <w:szCs w:val="22"/>
        </w:rPr>
      </w:pPr>
    </w:p>
    <w:p w:rsidR="00B36498" w:rsidRDefault="00B36498" w:rsidP="00B36498">
      <w:pPr>
        <w:pStyle w:val="InsideAddress"/>
        <w:ind w:left="720" w:hanging="36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If disconnection is possible, then partial payments should be allocated on a pro rata basis.  If it is not possible, payments should be allocated to utility charges first, with any remaining payment amount being applied toward the loan.</w:t>
      </w:r>
    </w:p>
    <w:p w:rsidR="00B36498" w:rsidRDefault="00B36498" w:rsidP="00B36498">
      <w:pPr>
        <w:pStyle w:val="InsideAddress"/>
        <w:ind w:left="720" w:hanging="360"/>
        <w:rPr>
          <w:rFonts w:asciiTheme="minorHAnsi" w:hAnsiTheme="minorHAnsi" w:cstheme="minorHAnsi"/>
          <w:sz w:val="22"/>
          <w:szCs w:val="22"/>
        </w:rPr>
      </w:pPr>
    </w:p>
    <w:p w:rsidR="00860B7B" w:rsidRDefault="00B36498" w:rsidP="00860B7B">
      <w:pPr>
        <w:pStyle w:val="InsideAddress"/>
        <w:ind w:left="720" w:hanging="36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If disconnection is not possible, </w:t>
      </w:r>
      <w:r w:rsidR="00860B7B">
        <w:rPr>
          <w:rFonts w:asciiTheme="minorHAnsi" w:hAnsiTheme="minorHAnsi" w:cstheme="minorHAnsi"/>
          <w:sz w:val="22"/>
          <w:szCs w:val="22"/>
        </w:rPr>
        <w:t xml:space="preserve">a mechanism will need to be put in place to assure timely payments of the loans to the capital pool providers. </w:t>
      </w:r>
      <w:r w:rsidR="00860B7B">
        <w:rPr>
          <w:rFonts w:asciiTheme="minorHAnsi" w:hAnsiTheme="minorHAnsi" w:cstheme="minorHAnsi"/>
          <w:sz w:val="22"/>
          <w:szCs w:val="22"/>
        </w:rPr>
        <w:tab/>
        <w:t>One possible solution may be the funding of a capital reserve.  Past experience of PHFA has shown that such a reserve should be at least equal to ten percent of the loans from the capital pool.</w:t>
      </w:r>
    </w:p>
    <w:p w:rsidR="00860B7B" w:rsidRDefault="00860B7B" w:rsidP="00860B7B">
      <w:pPr>
        <w:pStyle w:val="InsideAddress"/>
        <w:ind w:left="720" w:hanging="360"/>
        <w:rPr>
          <w:rFonts w:asciiTheme="minorHAnsi" w:hAnsiTheme="minorHAnsi" w:cstheme="minorHAnsi"/>
          <w:sz w:val="22"/>
          <w:szCs w:val="22"/>
        </w:rPr>
      </w:pPr>
    </w:p>
    <w:p w:rsidR="00860B7B" w:rsidRDefault="00860B7B" w:rsidP="00860B7B">
      <w:pPr>
        <w:pStyle w:val="InsideAddress"/>
        <w:ind w:left="720" w:hanging="36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For a more complete and widespread program, an integrated approach with gas utility providers would be most effective.</w:t>
      </w:r>
    </w:p>
    <w:p w:rsidR="00860B7B" w:rsidRDefault="00860B7B" w:rsidP="00860B7B">
      <w:pPr>
        <w:pStyle w:val="InsideAddress"/>
        <w:rPr>
          <w:rFonts w:asciiTheme="minorHAnsi" w:hAnsiTheme="minorHAnsi" w:cstheme="minorHAnsi"/>
          <w:sz w:val="22"/>
          <w:szCs w:val="22"/>
        </w:rPr>
      </w:pPr>
    </w:p>
    <w:p w:rsidR="00860B7B" w:rsidRPr="00860B7B" w:rsidRDefault="00860B7B" w:rsidP="00860B7B">
      <w:pPr>
        <w:pStyle w:val="InsideAddress"/>
        <w:rPr>
          <w:rFonts w:asciiTheme="minorHAnsi" w:hAnsiTheme="minorHAnsi" w:cstheme="minorHAnsi"/>
          <w:b/>
          <w:sz w:val="22"/>
          <w:szCs w:val="22"/>
        </w:rPr>
      </w:pPr>
      <w:r w:rsidRPr="00860B7B">
        <w:rPr>
          <w:rFonts w:asciiTheme="minorHAnsi" w:hAnsiTheme="minorHAnsi" w:cstheme="minorHAnsi"/>
          <w:b/>
          <w:sz w:val="22"/>
          <w:szCs w:val="22"/>
        </w:rPr>
        <w:t>Background on PHFA</w:t>
      </w:r>
    </w:p>
    <w:p w:rsidR="00860B7B" w:rsidRDefault="00860B7B" w:rsidP="00860B7B">
      <w:pPr>
        <w:pStyle w:val="InsideAddress"/>
        <w:rPr>
          <w:rFonts w:asciiTheme="minorHAnsi" w:hAnsiTheme="minorHAnsi" w:cstheme="minorHAnsi"/>
          <w:sz w:val="22"/>
          <w:szCs w:val="22"/>
        </w:rPr>
      </w:pPr>
    </w:p>
    <w:p w:rsidR="00652303" w:rsidRDefault="00FB3922" w:rsidP="00860B7B">
      <w:pPr>
        <w:pStyle w:val="InsideAddress"/>
        <w:rPr>
          <w:rFonts w:asciiTheme="minorHAnsi" w:hAnsiTheme="minorHAnsi" w:cstheme="minorHAnsi"/>
          <w:sz w:val="22"/>
          <w:szCs w:val="22"/>
        </w:rPr>
      </w:pPr>
      <w:r>
        <w:rPr>
          <w:rFonts w:asciiTheme="minorHAnsi" w:hAnsiTheme="minorHAnsi" w:cstheme="minorHAnsi"/>
          <w:sz w:val="22"/>
          <w:szCs w:val="22"/>
        </w:rPr>
        <w:t>The Pennsylvania Housing Finance Agency is a state-affiliated entity created in 1972, and</w:t>
      </w:r>
      <w:r w:rsidR="00860B7B">
        <w:rPr>
          <w:rFonts w:asciiTheme="minorHAnsi" w:hAnsiTheme="minorHAnsi" w:cstheme="minorHAnsi"/>
          <w:sz w:val="22"/>
          <w:szCs w:val="22"/>
        </w:rPr>
        <w:t xml:space="preserve"> has been providing loans and other funding for the development and operations of affordable multifamily properties since </w:t>
      </w:r>
      <w:r>
        <w:rPr>
          <w:rFonts w:asciiTheme="minorHAnsi" w:hAnsiTheme="minorHAnsi" w:cstheme="minorHAnsi"/>
          <w:sz w:val="22"/>
          <w:szCs w:val="22"/>
        </w:rPr>
        <w:t xml:space="preserve">that time. </w:t>
      </w:r>
      <w:r w:rsidR="00652303">
        <w:rPr>
          <w:rFonts w:asciiTheme="minorHAnsi" w:hAnsiTheme="minorHAnsi" w:cstheme="minorHAnsi"/>
          <w:sz w:val="22"/>
          <w:szCs w:val="22"/>
        </w:rPr>
        <w:t xml:space="preserve"> We have funded over 127,000 apartment units and have been involved with the construction oversight, financing, asset management, and property management of these deals.  Our experienced staff includes underwriters, financial analysts, architects, engineers, construction overseers, and supportive services providers.  </w:t>
      </w:r>
    </w:p>
    <w:p w:rsidR="00652303" w:rsidRDefault="00652303" w:rsidP="00860B7B">
      <w:pPr>
        <w:pStyle w:val="InsideAddress"/>
        <w:rPr>
          <w:rFonts w:asciiTheme="minorHAnsi" w:hAnsiTheme="minorHAnsi" w:cstheme="minorHAnsi"/>
          <w:sz w:val="22"/>
          <w:szCs w:val="22"/>
        </w:rPr>
      </w:pPr>
    </w:p>
    <w:p w:rsidR="00FB3922" w:rsidRDefault="00FB3922" w:rsidP="00860B7B">
      <w:pPr>
        <w:pStyle w:val="InsideAddress"/>
        <w:rPr>
          <w:rFonts w:asciiTheme="minorHAnsi" w:hAnsiTheme="minorHAnsi" w:cstheme="minorHAnsi"/>
          <w:sz w:val="22"/>
          <w:szCs w:val="22"/>
        </w:rPr>
      </w:pPr>
      <w:r>
        <w:rPr>
          <w:rFonts w:asciiTheme="minorHAnsi" w:hAnsiTheme="minorHAnsi" w:cstheme="minorHAnsi"/>
          <w:sz w:val="22"/>
          <w:szCs w:val="22"/>
        </w:rPr>
        <w:t xml:space="preserve">In addition, </w:t>
      </w:r>
      <w:r w:rsidR="00652303">
        <w:rPr>
          <w:rFonts w:asciiTheme="minorHAnsi" w:hAnsiTheme="minorHAnsi" w:cstheme="minorHAnsi"/>
          <w:sz w:val="22"/>
          <w:szCs w:val="22"/>
        </w:rPr>
        <w:t>over the past several years</w:t>
      </w:r>
      <w:r w:rsidR="00356221">
        <w:rPr>
          <w:rFonts w:asciiTheme="minorHAnsi" w:hAnsiTheme="minorHAnsi" w:cstheme="minorHAnsi"/>
          <w:sz w:val="22"/>
          <w:szCs w:val="22"/>
        </w:rPr>
        <w:t>,</w:t>
      </w:r>
      <w:r>
        <w:rPr>
          <w:rFonts w:asciiTheme="minorHAnsi" w:hAnsiTheme="minorHAnsi" w:cstheme="minorHAnsi"/>
          <w:sz w:val="22"/>
          <w:szCs w:val="22"/>
        </w:rPr>
        <w:t xml:space="preserve"> under </w:t>
      </w:r>
      <w:r w:rsidR="00652303">
        <w:rPr>
          <w:rFonts w:asciiTheme="minorHAnsi" w:hAnsiTheme="minorHAnsi" w:cstheme="minorHAnsi"/>
          <w:sz w:val="22"/>
          <w:szCs w:val="22"/>
        </w:rPr>
        <w:t>our</w:t>
      </w:r>
      <w:r>
        <w:rPr>
          <w:rFonts w:asciiTheme="minorHAnsi" w:hAnsiTheme="minorHAnsi" w:cstheme="minorHAnsi"/>
          <w:sz w:val="22"/>
          <w:szCs w:val="22"/>
        </w:rPr>
        <w:t xml:space="preserve"> Preservation through Smart Rehab Program, we</w:t>
      </w:r>
      <w:r w:rsidR="00652303">
        <w:rPr>
          <w:rFonts w:asciiTheme="minorHAnsi" w:hAnsiTheme="minorHAnsi" w:cstheme="minorHAnsi"/>
          <w:sz w:val="22"/>
          <w:szCs w:val="22"/>
        </w:rPr>
        <w:t xml:space="preserve"> have</w:t>
      </w:r>
      <w:r>
        <w:rPr>
          <w:rFonts w:asciiTheme="minorHAnsi" w:hAnsiTheme="minorHAnsi" w:cstheme="minorHAnsi"/>
          <w:sz w:val="22"/>
          <w:szCs w:val="22"/>
        </w:rPr>
        <w:t xml:space="preserve"> provided energy efficiency upgrades to 109 </w:t>
      </w:r>
      <w:r w:rsidR="00C22EF8">
        <w:rPr>
          <w:rFonts w:asciiTheme="minorHAnsi" w:hAnsiTheme="minorHAnsi" w:cstheme="minorHAnsi"/>
          <w:sz w:val="22"/>
          <w:szCs w:val="22"/>
        </w:rPr>
        <w:t>multifamily</w:t>
      </w:r>
      <w:r>
        <w:rPr>
          <w:rFonts w:asciiTheme="minorHAnsi" w:hAnsiTheme="minorHAnsi" w:cstheme="minorHAnsi"/>
          <w:sz w:val="22"/>
          <w:szCs w:val="22"/>
        </w:rPr>
        <w:t xml:space="preserve"> developments with over 8,300</w:t>
      </w:r>
      <w:r w:rsidR="00C22EF8">
        <w:rPr>
          <w:rFonts w:asciiTheme="minorHAnsi" w:hAnsiTheme="minorHAnsi" w:cstheme="minorHAnsi"/>
          <w:sz w:val="22"/>
          <w:szCs w:val="22"/>
        </w:rPr>
        <w:t xml:space="preserve"> units.  </w:t>
      </w:r>
    </w:p>
    <w:p w:rsidR="003B0347" w:rsidRDefault="003B0347" w:rsidP="00860B7B">
      <w:pPr>
        <w:pStyle w:val="InsideAddress"/>
        <w:rPr>
          <w:rFonts w:asciiTheme="minorHAnsi" w:hAnsiTheme="minorHAnsi" w:cstheme="minorHAnsi"/>
          <w:sz w:val="22"/>
          <w:szCs w:val="22"/>
        </w:rPr>
      </w:pPr>
    </w:p>
    <w:p w:rsidR="003B0347" w:rsidRDefault="003B0347" w:rsidP="00860B7B">
      <w:pPr>
        <w:pStyle w:val="InsideAddress"/>
        <w:rPr>
          <w:rFonts w:asciiTheme="minorHAnsi" w:hAnsiTheme="minorHAnsi" w:cstheme="minorHAnsi"/>
          <w:sz w:val="22"/>
          <w:szCs w:val="22"/>
        </w:rPr>
      </w:pPr>
      <w:r>
        <w:rPr>
          <w:rFonts w:asciiTheme="minorHAnsi" w:hAnsiTheme="minorHAnsi" w:cstheme="minorHAnsi"/>
          <w:sz w:val="22"/>
          <w:szCs w:val="22"/>
        </w:rPr>
        <w:t xml:space="preserve">Through our work with HUD and the LIHTC program, we have access to every owner of affordable rental housing throughout the Commonwealth.   Our work with lending institutions should provide us with the ability to bring </w:t>
      </w:r>
      <w:r w:rsidR="00356221">
        <w:rPr>
          <w:rFonts w:asciiTheme="minorHAnsi" w:hAnsiTheme="minorHAnsi" w:cstheme="minorHAnsi"/>
          <w:sz w:val="22"/>
          <w:szCs w:val="22"/>
        </w:rPr>
        <w:t xml:space="preserve">in </w:t>
      </w:r>
      <w:r>
        <w:rPr>
          <w:rFonts w:asciiTheme="minorHAnsi" w:hAnsiTheme="minorHAnsi" w:cstheme="minorHAnsi"/>
          <w:sz w:val="22"/>
          <w:szCs w:val="22"/>
        </w:rPr>
        <w:t xml:space="preserve">resources for the capital pool.  </w:t>
      </w:r>
    </w:p>
    <w:sectPr w:rsidR="003B0347" w:rsidSect="00BB6F9E">
      <w:headerReference w:type="default" r:id="rId9"/>
      <w:footerReference w:type="default" r:id="rId10"/>
      <w:type w:val="continuous"/>
      <w:pgSz w:w="12240" w:h="15840" w:code="1"/>
      <w:pgMar w:top="1440" w:right="1440" w:bottom="1440" w:left="1440" w:header="960" w:footer="960" w:gutter="0"/>
      <w:pgNumType w:fmt="numberInDash"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26" w:rsidRDefault="004C0F26">
      <w:r>
        <w:separator/>
      </w:r>
    </w:p>
  </w:endnote>
  <w:endnote w:type="continuationSeparator" w:id="0">
    <w:p w:rsidR="004C0F26" w:rsidRDefault="004C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03" w:rsidRDefault="00951036">
    <w:pPr>
      <w:pStyle w:val="Footer"/>
      <w:jc w:val="center"/>
    </w:pPr>
    <w:r>
      <w:fldChar w:fldCharType="begin"/>
    </w:r>
    <w:r>
      <w:instrText xml:space="preserve"> PAGE   \* MERGEFORMAT </w:instrText>
    </w:r>
    <w:r>
      <w:fldChar w:fldCharType="separate"/>
    </w:r>
    <w:r w:rsidR="008435B9">
      <w:rPr>
        <w:noProof/>
      </w:rPr>
      <w:t>- 1 -</w:t>
    </w:r>
    <w:r>
      <w:rPr>
        <w:noProof/>
      </w:rPr>
      <w:fldChar w:fldCharType="end"/>
    </w:r>
  </w:p>
  <w:p w:rsidR="00652303" w:rsidRDefault="00652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26" w:rsidRDefault="004C0F26">
      <w:r>
        <w:separator/>
      </w:r>
    </w:p>
  </w:footnote>
  <w:footnote w:type="continuationSeparator" w:id="0">
    <w:p w:rsidR="004C0F26" w:rsidRDefault="004C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03" w:rsidRDefault="00652303">
    <w:pPr>
      <w:pStyle w:val="Header"/>
    </w:pPr>
  </w:p>
  <w:p w:rsidR="00652303" w:rsidRDefault="00652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803"/>
    <w:multiLevelType w:val="hybridMultilevel"/>
    <w:tmpl w:val="86A6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64D50"/>
    <w:multiLevelType w:val="hybridMultilevel"/>
    <w:tmpl w:val="97C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nsid w:val="34821454"/>
    <w:multiLevelType w:val="hybridMultilevel"/>
    <w:tmpl w:val="24FA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EB"/>
    <w:rsid w:val="000039CA"/>
    <w:rsid w:val="0003490D"/>
    <w:rsid w:val="000460E9"/>
    <w:rsid w:val="000726D5"/>
    <w:rsid w:val="000B69C1"/>
    <w:rsid w:val="000C0007"/>
    <w:rsid w:val="000D1DE5"/>
    <w:rsid w:val="000F0E44"/>
    <w:rsid w:val="00126CA0"/>
    <w:rsid w:val="001336F4"/>
    <w:rsid w:val="001351B4"/>
    <w:rsid w:val="00172662"/>
    <w:rsid w:val="001816E0"/>
    <w:rsid w:val="001919B6"/>
    <w:rsid w:val="00211434"/>
    <w:rsid w:val="00260340"/>
    <w:rsid w:val="002C681C"/>
    <w:rsid w:val="002F5CA2"/>
    <w:rsid w:val="003035DC"/>
    <w:rsid w:val="00304DD0"/>
    <w:rsid w:val="0032213A"/>
    <w:rsid w:val="00356221"/>
    <w:rsid w:val="003A5F70"/>
    <w:rsid w:val="003B0347"/>
    <w:rsid w:val="003D5AA0"/>
    <w:rsid w:val="003E39AB"/>
    <w:rsid w:val="00413CFD"/>
    <w:rsid w:val="0042789D"/>
    <w:rsid w:val="00447665"/>
    <w:rsid w:val="004528C2"/>
    <w:rsid w:val="00461544"/>
    <w:rsid w:val="00492683"/>
    <w:rsid w:val="004A00DD"/>
    <w:rsid w:val="004A4D17"/>
    <w:rsid w:val="004C0F26"/>
    <w:rsid w:val="004D4A1B"/>
    <w:rsid w:val="004E6D9A"/>
    <w:rsid w:val="0050247B"/>
    <w:rsid w:val="00513353"/>
    <w:rsid w:val="0054477D"/>
    <w:rsid w:val="005451BE"/>
    <w:rsid w:val="00545EEB"/>
    <w:rsid w:val="00557513"/>
    <w:rsid w:val="00565FC3"/>
    <w:rsid w:val="00574A20"/>
    <w:rsid w:val="00590325"/>
    <w:rsid w:val="00597E23"/>
    <w:rsid w:val="005A0A71"/>
    <w:rsid w:val="005C1A20"/>
    <w:rsid w:val="005F0B70"/>
    <w:rsid w:val="005F12F6"/>
    <w:rsid w:val="006133EC"/>
    <w:rsid w:val="00614F33"/>
    <w:rsid w:val="00627C4A"/>
    <w:rsid w:val="0063653C"/>
    <w:rsid w:val="00646A96"/>
    <w:rsid w:val="00652303"/>
    <w:rsid w:val="006B27E4"/>
    <w:rsid w:val="006F46F8"/>
    <w:rsid w:val="006F7F06"/>
    <w:rsid w:val="00704484"/>
    <w:rsid w:val="00761089"/>
    <w:rsid w:val="0077078F"/>
    <w:rsid w:val="00776608"/>
    <w:rsid w:val="007768DB"/>
    <w:rsid w:val="00787941"/>
    <w:rsid w:val="007B4A6D"/>
    <w:rsid w:val="007B5215"/>
    <w:rsid w:val="007E3F44"/>
    <w:rsid w:val="008435B9"/>
    <w:rsid w:val="00860B7B"/>
    <w:rsid w:val="0088189A"/>
    <w:rsid w:val="008A4F0A"/>
    <w:rsid w:val="008B44D5"/>
    <w:rsid w:val="008E6C4F"/>
    <w:rsid w:val="009046B6"/>
    <w:rsid w:val="009441B5"/>
    <w:rsid w:val="00951036"/>
    <w:rsid w:val="0095236D"/>
    <w:rsid w:val="009767E9"/>
    <w:rsid w:val="009F320E"/>
    <w:rsid w:val="009F3C4A"/>
    <w:rsid w:val="00A1519E"/>
    <w:rsid w:val="00A2117E"/>
    <w:rsid w:val="00A32AED"/>
    <w:rsid w:val="00A445F3"/>
    <w:rsid w:val="00A71856"/>
    <w:rsid w:val="00A873AA"/>
    <w:rsid w:val="00AD3E05"/>
    <w:rsid w:val="00B31F2A"/>
    <w:rsid w:val="00B36498"/>
    <w:rsid w:val="00B538EB"/>
    <w:rsid w:val="00B86CB9"/>
    <w:rsid w:val="00BA3E94"/>
    <w:rsid w:val="00BB6F9E"/>
    <w:rsid w:val="00BC00C5"/>
    <w:rsid w:val="00C2187F"/>
    <w:rsid w:val="00C22EF8"/>
    <w:rsid w:val="00C44033"/>
    <w:rsid w:val="00C45653"/>
    <w:rsid w:val="00CA6DF2"/>
    <w:rsid w:val="00CD6CDF"/>
    <w:rsid w:val="00CF0263"/>
    <w:rsid w:val="00D0134D"/>
    <w:rsid w:val="00D608E1"/>
    <w:rsid w:val="00DA1E25"/>
    <w:rsid w:val="00DB35DF"/>
    <w:rsid w:val="00DD1421"/>
    <w:rsid w:val="00E15051"/>
    <w:rsid w:val="00E57D28"/>
    <w:rsid w:val="00E6654C"/>
    <w:rsid w:val="00E715F6"/>
    <w:rsid w:val="00E80DA7"/>
    <w:rsid w:val="00E92CF8"/>
    <w:rsid w:val="00F23C14"/>
    <w:rsid w:val="00F37E94"/>
    <w:rsid w:val="00F51C93"/>
    <w:rsid w:val="00F75A05"/>
    <w:rsid w:val="00FB3922"/>
    <w:rsid w:val="00FC1A62"/>
    <w:rsid w:val="00FE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7E"/>
    <w:pPr>
      <w:jc w:val="both"/>
    </w:pPr>
    <w:rPr>
      <w:rFonts w:ascii="Arial" w:hAnsi="Arial"/>
      <w:spacing w:val="-5"/>
    </w:rPr>
  </w:style>
  <w:style w:type="paragraph" w:styleId="Heading1">
    <w:name w:val="heading 1"/>
    <w:basedOn w:val="HeadingBase"/>
    <w:next w:val="BodyText"/>
    <w:qFormat/>
    <w:rsid w:val="00A2117E"/>
    <w:pPr>
      <w:spacing w:after="220"/>
      <w:jc w:val="left"/>
      <w:outlineLvl w:val="0"/>
    </w:pPr>
  </w:style>
  <w:style w:type="paragraph" w:styleId="Heading2">
    <w:name w:val="heading 2"/>
    <w:basedOn w:val="HeadingBase"/>
    <w:next w:val="BodyText"/>
    <w:qFormat/>
    <w:rsid w:val="00A2117E"/>
    <w:pPr>
      <w:jc w:val="left"/>
      <w:outlineLvl w:val="1"/>
    </w:pPr>
    <w:rPr>
      <w:sz w:val="18"/>
    </w:rPr>
  </w:style>
  <w:style w:type="paragraph" w:styleId="Heading3">
    <w:name w:val="heading 3"/>
    <w:basedOn w:val="HeadingBase"/>
    <w:next w:val="BodyText"/>
    <w:qFormat/>
    <w:rsid w:val="00A2117E"/>
    <w:pPr>
      <w:spacing w:after="220"/>
      <w:jc w:val="left"/>
      <w:outlineLvl w:val="2"/>
    </w:pPr>
    <w:rPr>
      <w:rFonts w:ascii="Arial" w:hAnsi="Arial"/>
      <w:sz w:val="22"/>
    </w:rPr>
  </w:style>
  <w:style w:type="paragraph" w:styleId="Heading4">
    <w:name w:val="heading 4"/>
    <w:basedOn w:val="HeadingBase"/>
    <w:next w:val="BodyText"/>
    <w:qFormat/>
    <w:rsid w:val="00A2117E"/>
    <w:pPr>
      <w:ind w:left="360"/>
      <w:outlineLvl w:val="3"/>
    </w:pPr>
    <w:rPr>
      <w:spacing w:val="-5"/>
      <w:sz w:val="18"/>
    </w:rPr>
  </w:style>
  <w:style w:type="paragraph" w:styleId="Heading5">
    <w:name w:val="heading 5"/>
    <w:basedOn w:val="HeadingBase"/>
    <w:next w:val="BodyText"/>
    <w:qFormat/>
    <w:rsid w:val="00A2117E"/>
    <w:pPr>
      <w:ind w:left="720"/>
      <w:outlineLvl w:val="4"/>
    </w:pPr>
    <w:rPr>
      <w:spacing w:val="-5"/>
      <w:sz w:val="18"/>
    </w:rPr>
  </w:style>
  <w:style w:type="paragraph" w:styleId="Heading6">
    <w:name w:val="heading 6"/>
    <w:basedOn w:val="HeadingBase"/>
    <w:next w:val="BodyText"/>
    <w:qFormat/>
    <w:rsid w:val="00A2117E"/>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2117E"/>
    <w:pPr>
      <w:spacing w:before="220" w:after="220" w:line="220" w:lineRule="atLeast"/>
    </w:pPr>
  </w:style>
  <w:style w:type="paragraph" w:styleId="Salutation">
    <w:name w:val="Salutation"/>
    <w:basedOn w:val="Normal"/>
    <w:next w:val="SubjectLine"/>
    <w:rsid w:val="00A2117E"/>
    <w:pPr>
      <w:spacing w:before="220" w:after="220" w:line="220" w:lineRule="atLeast"/>
      <w:jc w:val="left"/>
    </w:pPr>
  </w:style>
  <w:style w:type="paragraph" w:styleId="BodyText">
    <w:name w:val="Body Text"/>
    <w:basedOn w:val="Normal"/>
    <w:rsid w:val="00A2117E"/>
    <w:pPr>
      <w:spacing w:after="220" w:line="220" w:lineRule="atLeast"/>
    </w:pPr>
  </w:style>
  <w:style w:type="paragraph" w:customStyle="1" w:styleId="CcList">
    <w:name w:val="Cc List"/>
    <w:basedOn w:val="Normal"/>
    <w:rsid w:val="00A2117E"/>
    <w:pPr>
      <w:keepLines/>
      <w:spacing w:line="220" w:lineRule="atLeast"/>
      <w:ind w:left="360" w:hanging="360"/>
    </w:pPr>
  </w:style>
  <w:style w:type="paragraph" w:styleId="Closing">
    <w:name w:val="Closing"/>
    <w:basedOn w:val="Normal"/>
    <w:next w:val="Signature"/>
    <w:rsid w:val="00A2117E"/>
    <w:pPr>
      <w:keepNext/>
      <w:spacing w:after="60" w:line="220" w:lineRule="atLeast"/>
    </w:pPr>
  </w:style>
  <w:style w:type="paragraph" w:styleId="Signature">
    <w:name w:val="Signature"/>
    <w:basedOn w:val="Normal"/>
    <w:next w:val="SignatureJobTitle"/>
    <w:rsid w:val="00A2117E"/>
    <w:pPr>
      <w:keepNext/>
      <w:spacing w:before="880" w:line="220" w:lineRule="atLeast"/>
      <w:jc w:val="left"/>
    </w:pPr>
  </w:style>
  <w:style w:type="paragraph" w:customStyle="1" w:styleId="CompanyName">
    <w:name w:val="Company Name"/>
    <w:basedOn w:val="Normal"/>
    <w:rsid w:val="00A2117E"/>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2117E"/>
    <w:pPr>
      <w:spacing w:after="220" w:line="220" w:lineRule="atLeast"/>
    </w:pPr>
  </w:style>
  <w:style w:type="character" w:styleId="Emphasis">
    <w:name w:val="Emphasis"/>
    <w:qFormat/>
    <w:rsid w:val="00A2117E"/>
    <w:rPr>
      <w:rFonts w:ascii="Arial Black" w:hAnsi="Arial Black"/>
      <w:sz w:val="18"/>
    </w:rPr>
  </w:style>
  <w:style w:type="paragraph" w:customStyle="1" w:styleId="Enclosure">
    <w:name w:val="Enclosure"/>
    <w:basedOn w:val="Normal"/>
    <w:next w:val="CcList"/>
    <w:rsid w:val="00A2117E"/>
    <w:pPr>
      <w:keepNext/>
      <w:keepLines/>
      <w:spacing w:after="220" w:line="220" w:lineRule="atLeast"/>
    </w:pPr>
  </w:style>
  <w:style w:type="paragraph" w:customStyle="1" w:styleId="HeadingBase">
    <w:name w:val="Heading Base"/>
    <w:basedOn w:val="Normal"/>
    <w:next w:val="BodyText"/>
    <w:rsid w:val="00A2117E"/>
    <w:pPr>
      <w:keepNext/>
      <w:keepLines/>
      <w:spacing w:line="220" w:lineRule="atLeast"/>
    </w:pPr>
    <w:rPr>
      <w:rFonts w:ascii="Arial Black" w:hAnsi="Arial Black"/>
      <w:spacing w:val="-10"/>
      <w:kern w:val="20"/>
    </w:rPr>
  </w:style>
  <w:style w:type="paragraph" w:customStyle="1" w:styleId="InsideAddress">
    <w:name w:val="Inside Address"/>
    <w:basedOn w:val="Normal"/>
    <w:rsid w:val="00A2117E"/>
    <w:pPr>
      <w:spacing w:line="220" w:lineRule="atLeast"/>
    </w:pPr>
  </w:style>
  <w:style w:type="paragraph" w:customStyle="1" w:styleId="InsideAddressName">
    <w:name w:val="Inside Address Name"/>
    <w:basedOn w:val="InsideAddress"/>
    <w:next w:val="InsideAddress"/>
    <w:rsid w:val="00A2117E"/>
    <w:pPr>
      <w:spacing w:before="220"/>
    </w:pPr>
  </w:style>
  <w:style w:type="paragraph" w:customStyle="1" w:styleId="MailingInstructions">
    <w:name w:val="Mailing Instructions"/>
    <w:basedOn w:val="Normal"/>
    <w:next w:val="InsideAddressName"/>
    <w:rsid w:val="00A2117E"/>
    <w:pPr>
      <w:spacing w:after="220" w:line="220" w:lineRule="atLeast"/>
    </w:pPr>
    <w:rPr>
      <w:caps/>
    </w:rPr>
  </w:style>
  <w:style w:type="paragraph" w:customStyle="1" w:styleId="ReferenceInitials">
    <w:name w:val="Reference Initials"/>
    <w:basedOn w:val="Normal"/>
    <w:next w:val="Enclosure"/>
    <w:rsid w:val="00A2117E"/>
    <w:pPr>
      <w:keepNext/>
      <w:keepLines/>
      <w:spacing w:before="220" w:line="220" w:lineRule="atLeast"/>
    </w:pPr>
  </w:style>
  <w:style w:type="paragraph" w:customStyle="1" w:styleId="ReferenceLine">
    <w:name w:val="Reference Line"/>
    <w:basedOn w:val="Normal"/>
    <w:next w:val="MailingInstructions"/>
    <w:rsid w:val="00A2117E"/>
    <w:pPr>
      <w:spacing w:after="220" w:line="220" w:lineRule="atLeast"/>
      <w:jc w:val="left"/>
    </w:pPr>
  </w:style>
  <w:style w:type="paragraph" w:customStyle="1" w:styleId="ReturnAddress">
    <w:name w:val="Return Address"/>
    <w:basedOn w:val="Normal"/>
    <w:rsid w:val="00A2117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2117E"/>
    <w:pPr>
      <w:spacing w:before="0"/>
    </w:pPr>
  </w:style>
  <w:style w:type="paragraph" w:customStyle="1" w:styleId="SignatureJobTitle">
    <w:name w:val="Signature Job Title"/>
    <w:basedOn w:val="Signature"/>
    <w:next w:val="SignatureCompany"/>
    <w:rsid w:val="00A2117E"/>
    <w:pPr>
      <w:spacing w:before="0"/>
    </w:pPr>
  </w:style>
  <w:style w:type="character" w:customStyle="1" w:styleId="Slogan">
    <w:name w:val="Slogan"/>
    <w:basedOn w:val="DefaultParagraphFont"/>
    <w:rsid w:val="00A2117E"/>
    <w:rPr>
      <w:rFonts w:ascii="Arial Black" w:hAnsi="Arial Black"/>
      <w:sz w:val="18"/>
    </w:rPr>
  </w:style>
  <w:style w:type="paragraph" w:customStyle="1" w:styleId="SubjectLine">
    <w:name w:val="Subject Line"/>
    <w:basedOn w:val="Normal"/>
    <w:next w:val="BodyText"/>
    <w:rsid w:val="00A2117E"/>
    <w:pPr>
      <w:spacing w:after="220" w:line="220" w:lineRule="atLeast"/>
      <w:jc w:val="left"/>
    </w:pPr>
    <w:rPr>
      <w:rFonts w:ascii="Arial Black" w:hAnsi="Arial Black"/>
      <w:spacing w:val="-10"/>
    </w:rPr>
  </w:style>
  <w:style w:type="paragraph" w:styleId="Header">
    <w:name w:val="header"/>
    <w:basedOn w:val="Normal"/>
    <w:rsid w:val="00A2117E"/>
    <w:pPr>
      <w:tabs>
        <w:tab w:val="center" w:pos="4320"/>
        <w:tab w:val="right" w:pos="8640"/>
      </w:tabs>
    </w:pPr>
  </w:style>
  <w:style w:type="paragraph" w:styleId="Footer">
    <w:name w:val="footer"/>
    <w:basedOn w:val="Normal"/>
    <w:link w:val="FooterChar"/>
    <w:uiPriority w:val="99"/>
    <w:rsid w:val="00A2117E"/>
    <w:pPr>
      <w:tabs>
        <w:tab w:val="center" w:pos="4320"/>
        <w:tab w:val="right" w:pos="8640"/>
      </w:tabs>
    </w:pPr>
  </w:style>
  <w:style w:type="character" w:styleId="Hyperlink">
    <w:name w:val="Hyperlink"/>
    <w:basedOn w:val="DefaultParagraphFont"/>
    <w:rsid w:val="00B538EB"/>
    <w:rPr>
      <w:color w:val="0000FF"/>
      <w:u w:val="single"/>
    </w:rPr>
  </w:style>
  <w:style w:type="paragraph" w:styleId="List">
    <w:name w:val="List"/>
    <w:basedOn w:val="BodyText"/>
    <w:rsid w:val="00A2117E"/>
    <w:pPr>
      <w:ind w:left="360" w:hanging="360"/>
    </w:pPr>
  </w:style>
  <w:style w:type="paragraph" w:styleId="ListBullet">
    <w:name w:val="List Bullet"/>
    <w:basedOn w:val="List"/>
    <w:autoRedefine/>
    <w:rsid w:val="00A2117E"/>
    <w:pPr>
      <w:numPr>
        <w:numId w:val="1"/>
      </w:numPr>
    </w:pPr>
  </w:style>
  <w:style w:type="paragraph" w:styleId="ListNumber">
    <w:name w:val="List Number"/>
    <w:basedOn w:val="BodyText"/>
    <w:rsid w:val="00A2117E"/>
    <w:pPr>
      <w:numPr>
        <w:numId w:val="2"/>
      </w:numPr>
    </w:pPr>
  </w:style>
  <w:style w:type="paragraph" w:styleId="BalloonText">
    <w:name w:val="Balloon Text"/>
    <w:basedOn w:val="Normal"/>
    <w:link w:val="BalloonTextChar"/>
    <w:uiPriority w:val="99"/>
    <w:semiHidden/>
    <w:unhideWhenUsed/>
    <w:rsid w:val="006F46F8"/>
    <w:rPr>
      <w:rFonts w:ascii="Tahoma" w:hAnsi="Tahoma" w:cs="Tahoma"/>
      <w:sz w:val="16"/>
      <w:szCs w:val="16"/>
    </w:rPr>
  </w:style>
  <w:style w:type="character" w:customStyle="1" w:styleId="BalloonTextChar">
    <w:name w:val="Balloon Text Char"/>
    <w:basedOn w:val="DefaultParagraphFont"/>
    <w:link w:val="BalloonText"/>
    <w:uiPriority w:val="99"/>
    <w:semiHidden/>
    <w:rsid w:val="006F46F8"/>
    <w:rPr>
      <w:rFonts w:ascii="Tahoma" w:hAnsi="Tahoma" w:cs="Tahoma"/>
      <w:spacing w:val="-5"/>
      <w:sz w:val="16"/>
      <w:szCs w:val="16"/>
    </w:rPr>
  </w:style>
  <w:style w:type="character" w:customStyle="1" w:styleId="DeltaViewInsertion">
    <w:name w:val="DeltaView Insertion"/>
    <w:basedOn w:val="DefaultParagraphFont"/>
    <w:rsid w:val="00627C4A"/>
    <w:rPr>
      <w:b/>
      <w:bCs/>
      <w:color w:val="0000FF"/>
      <w:u w:val="double"/>
    </w:rPr>
  </w:style>
  <w:style w:type="character" w:customStyle="1" w:styleId="DeltaViewDeletion">
    <w:name w:val="DeltaView Deletion"/>
    <w:rsid w:val="00627C4A"/>
    <w:rPr>
      <w:strike/>
      <w:color w:val="FF0000"/>
    </w:rPr>
  </w:style>
  <w:style w:type="character" w:customStyle="1" w:styleId="FooterChar">
    <w:name w:val="Footer Char"/>
    <w:basedOn w:val="DefaultParagraphFont"/>
    <w:link w:val="Footer"/>
    <w:uiPriority w:val="99"/>
    <w:rsid w:val="00BB6F9E"/>
    <w:rPr>
      <w:rFonts w:ascii="Arial" w:hAnsi="Arial"/>
      <w:spacing w:val="-5"/>
    </w:rPr>
  </w:style>
  <w:style w:type="character" w:styleId="CommentReference">
    <w:name w:val="annotation reference"/>
    <w:basedOn w:val="DefaultParagraphFont"/>
    <w:uiPriority w:val="99"/>
    <w:semiHidden/>
    <w:unhideWhenUsed/>
    <w:rsid w:val="00DB35DF"/>
    <w:rPr>
      <w:sz w:val="16"/>
      <w:szCs w:val="16"/>
    </w:rPr>
  </w:style>
  <w:style w:type="paragraph" w:styleId="CommentText">
    <w:name w:val="annotation text"/>
    <w:basedOn w:val="Normal"/>
    <w:link w:val="CommentTextChar"/>
    <w:uiPriority w:val="99"/>
    <w:semiHidden/>
    <w:unhideWhenUsed/>
    <w:rsid w:val="00DB35DF"/>
  </w:style>
  <w:style w:type="character" w:customStyle="1" w:styleId="CommentTextChar">
    <w:name w:val="Comment Text Char"/>
    <w:basedOn w:val="DefaultParagraphFont"/>
    <w:link w:val="CommentText"/>
    <w:uiPriority w:val="99"/>
    <w:semiHidden/>
    <w:rsid w:val="00DB35DF"/>
    <w:rPr>
      <w:rFonts w:ascii="Arial" w:hAnsi="Arial"/>
      <w:spacing w:val="-5"/>
    </w:rPr>
  </w:style>
  <w:style w:type="paragraph" w:styleId="CommentSubject">
    <w:name w:val="annotation subject"/>
    <w:basedOn w:val="CommentText"/>
    <w:next w:val="CommentText"/>
    <w:link w:val="CommentSubjectChar"/>
    <w:uiPriority w:val="99"/>
    <w:semiHidden/>
    <w:unhideWhenUsed/>
    <w:rsid w:val="00DB35DF"/>
    <w:rPr>
      <w:b/>
      <w:bCs/>
    </w:rPr>
  </w:style>
  <w:style w:type="character" w:customStyle="1" w:styleId="CommentSubjectChar">
    <w:name w:val="Comment Subject Char"/>
    <w:basedOn w:val="CommentTextChar"/>
    <w:link w:val="CommentSubject"/>
    <w:uiPriority w:val="99"/>
    <w:semiHidden/>
    <w:rsid w:val="00DB35DF"/>
    <w:rPr>
      <w:rFonts w:ascii="Arial" w:hAnsi="Arial"/>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7E"/>
    <w:pPr>
      <w:jc w:val="both"/>
    </w:pPr>
    <w:rPr>
      <w:rFonts w:ascii="Arial" w:hAnsi="Arial"/>
      <w:spacing w:val="-5"/>
    </w:rPr>
  </w:style>
  <w:style w:type="paragraph" w:styleId="Heading1">
    <w:name w:val="heading 1"/>
    <w:basedOn w:val="HeadingBase"/>
    <w:next w:val="BodyText"/>
    <w:qFormat/>
    <w:rsid w:val="00A2117E"/>
    <w:pPr>
      <w:spacing w:after="220"/>
      <w:jc w:val="left"/>
      <w:outlineLvl w:val="0"/>
    </w:pPr>
  </w:style>
  <w:style w:type="paragraph" w:styleId="Heading2">
    <w:name w:val="heading 2"/>
    <w:basedOn w:val="HeadingBase"/>
    <w:next w:val="BodyText"/>
    <w:qFormat/>
    <w:rsid w:val="00A2117E"/>
    <w:pPr>
      <w:jc w:val="left"/>
      <w:outlineLvl w:val="1"/>
    </w:pPr>
    <w:rPr>
      <w:sz w:val="18"/>
    </w:rPr>
  </w:style>
  <w:style w:type="paragraph" w:styleId="Heading3">
    <w:name w:val="heading 3"/>
    <w:basedOn w:val="HeadingBase"/>
    <w:next w:val="BodyText"/>
    <w:qFormat/>
    <w:rsid w:val="00A2117E"/>
    <w:pPr>
      <w:spacing w:after="220"/>
      <w:jc w:val="left"/>
      <w:outlineLvl w:val="2"/>
    </w:pPr>
    <w:rPr>
      <w:rFonts w:ascii="Arial" w:hAnsi="Arial"/>
      <w:sz w:val="22"/>
    </w:rPr>
  </w:style>
  <w:style w:type="paragraph" w:styleId="Heading4">
    <w:name w:val="heading 4"/>
    <w:basedOn w:val="HeadingBase"/>
    <w:next w:val="BodyText"/>
    <w:qFormat/>
    <w:rsid w:val="00A2117E"/>
    <w:pPr>
      <w:ind w:left="360"/>
      <w:outlineLvl w:val="3"/>
    </w:pPr>
    <w:rPr>
      <w:spacing w:val="-5"/>
      <w:sz w:val="18"/>
    </w:rPr>
  </w:style>
  <w:style w:type="paragraph" w:styleId="Heading5">
    <w:name w:val="heading 5"/>
    <w:basedOn w:val="HeadingBase"/>
    <w:next w:val="BodyText"/>
    <w:qFormat/>
    <w:rsid w:val="00A2117E"/>
    <w:pPr>
      <w:ind w:left="720"/>
      <w:outlineLvl w:val="4"/>
    </w:pPr>
    <w:rPr>
      <w:spacing w:val="-5"/>
      <w:sz w:val="18"/>
    </w:rPr>
  </w:style>
  <w:style w:type="paragraph" w:styleId="Heading6">
    <w:name w:val="heading 6"/>
    <w:basedOn w:val="HeadingBase"/>
    <w:next w:val="BodyText"/>
    <w:qFormat/>
    <w:rsid w:val="00A2117E"/>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2117E"/>
    <w:pPr>
      <w:spacing w:before="220" w:after="220" w:line="220" w:lineRule="atLeast"/>
    </w:pPr>
  </w:style>
  <w:style w:type="paragraph" w:styleId="Salutation">
    <w:name w:val="Salutation"/>
    <w:basedOn w:val="Normal"/>
    <w:next w:val="SubjectLine"/>
    <w:rsid w:val="00A2117E"/>
    <w:pPr>
      <w:spacing w:before="220" w:after="220" w:line="220" w:lineRule="atLeast"/>
      <w:jc w:val="left"/>
    </w:pPr>
  </w:style>
  <w:style w:type="paragraph" w:styleId="BodyText">
    <w:name w:val="Body Text"/>
    <w:basedOn w:val="Normal"/>
    <w:rsid w:val="00A2117E"/>
    <w:pPr>
      <w:spacing w:after="220" w:line="220" w:lineRule="atLeast"/>
    </w:pPr>
  </w:style>
  <w:style w:type="paragraph" w:customStyle="1" w:styleId="CcList">
    <w:name w:val="Cc List"/>
    <w:basedOn w:val="Normal"/>
    <w:rsid w:val="00A2117E"/>
    <w:pPr>
      <w:keepLines/>
      <w:spacing w:line="220" w:lineRule="atLeast"/>
      <w:ind w:left="360" w:hanging="360"/>
    </w:pPr>
  </w:style>
  <w:style w:type="paragraph" w:styleId="Closing">
    <w:name w:val="Closing"/>
    <w:basedOn w:val="Normal"/>
    <w:next w:val="Signature"/>
    <w:rsid w:val="00A2117E"/>
    <w:pPr>
      <w:keepNext/>
      <w:spacing w:after="60" w:line="220" w:lineRule="atLeast"/>
    </w:pPr>
  </w:style>
  <w:style w:type="paragraph" w:styleId="Signature">
    <w:name w:val="Signature"/>
    <w:basedOn w:val="Normal"/>
    <w:next w:val="SignatureJobTitle"/>
    <w:rsid w:val="00A2117E"/>
    <w:pPr>
      <w:keepNext/>
      <w:spacing w:before="880" w:line="220" w:lineRule="atLeast"/>
      <w:jc w:val="left"/>
    </w:pPr>
  </w:style>
  <w:style w:type="paragraph" w:customStyle="1" w:styleId="CompanyName">
    <w:name w:val="Company Name"/>
    <w:basedOn w:val="Normal"/>
    <w:rsid w:val="00A2117E"/>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2117E"/>
    <w:pPr>
      <w:spacing w:after="220" w:line="220" w:lineRule="atLeast"/>
    </w:pPr>
  </w:style>
  <w:style w:type="character" w:styleId="Emphasis">
    <w:name w:val="Emphasis"/>
    <w:qFormat/>
    <w:rsid w:val="00A2117E"/>
    <w:rPr>
      <w:rFonts w:ascii="Arial Black" w:hAnsi="Arial Black"/>
      <w:sz w:val="18"/>
    </w:rPr>
  </w:style>
  <w:style w:type="paragraph" w:customStyle="1" w:styleId="Enclosure">
    <w:name w:val="Enclosure"/>
    <w:basedOn w:val="Normal"/>
    <w:next w:val="CcList"/>
    <w:rsid w:val="00A2117E"/>
    <w:pPr>
      <w:keepNext/>
      <w:keepLines/>
      <w:spacing w:after="220" w:line="220" w:lineRule="atLeast"/>
    </w:pPr>
  </w:style>
  <w:style w:type="paragraph" w:customStyle="1" w:styleId="HeadingBase">
    <w:name w:val="Heading Base"/>
    <w:basedOn w:val="Normal"/>
    <w:next w:val="BodyText"/>
    <w:rsid w:val="00A2117E"/>
    <w:pPr>
      <w:keepNext/>
      <w:keepLines/>
      <w:spacing w:line="220" w:lineRule="atLeast"/>
    </w:pPr>
    <w:rPr>
      <w:rFonts w:ascii="Arial Black" w:hAnsi="Arial Black"/>
      <w:spacing w:val="-10"/>
      <w:kern w:val="20"/>
    </w:rPr>
  </w:style>
  <w:style w:type="paragraph" w:customStyle="1" w:styleId="InsideAddress">
    <w:name w:val="Inside Address"/>
    <w:basedOn w:val="Normal"/>
    <w:rsid w:val="00A2117E"/>
    <w:pPr>
      <w:spacing w:line="220" w:lineRule="atLeast"/>
    </w:pPr>
  </w:style>
  <w:style w:type="paragraph" w:customStyle="1" w:styleId="InsideAddressName">
    <w:name w:val="Inside Address Name"/>
    <w:basedOn w:val="InsideAddress"/>
    <w:next w:val="InsideAddress"/>
    <w:rsid w:val="00A2117E"/>
    <w:pPr>
      <w:spacing w:before="220"/>
    </w:pPr>
  </w:style>
  <w:style w:type="paragraph" w:customStyle="1" w:styleId="MailingInstructions">
    <w:name w:val="Mailing Instructions"/>
    <w:basedOn w:val="Normal"/>
    <w:next w:val="InsideAddressName"/>
    <w:rsid w:val="00A2117E"/>
    <w:pPr>
      <w:spacing w:after="220" w:line="220" w:lineRule="atLeast"/>
    </w:pPr>
    <w:rPr>
      <w:caps/>
    </w:rPr>
  </w:style>
  <w:style w:type="paragraph" w:customStyle="1" w:styleId="ReferenceInitials">
    <w:name w:val="Reference Initials"/>
    <w:basedOn w:val="Normal"/>
    <w:next w:val="Enclosure"/>
    <w:rsid w:val="00A2117E"/>
    <w:pPr>
      <w:keepNext/>
      <w:keepLines/>
      <w:spacing w:before="220" w:line="220" w:lineRule="atLeast"/>
    </w:pPr>
  </w:style>
  <w:style w:type="paragraph" w:customStyle="1" w:styleId="ReferenceLine">
    <w:name w:val="Reference Line"/>
    <w:basedOn w:val="Normal"/>
    <w:next w:val="MailingInstructions"/>
    <w:rsid w:val="00A2117E"/>
    <w:pPr>
      <w:spacing w:after="220" w:line="220" w:lineRule="atLeast"/>
      <w:jc w:val="left"/>
    </w:pPr>
  </w:style>
  <w:style w:type="paragraph" w:customStyle="1" w:styleId="ReturnAddress">
    <w:name w:val="Return Address"/>
    <w:basedOn w:val="Normal"/>
    <w:rsid w:val="00A2117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2117E"/>
    <w:pPr>
      <w:spacing w:before="0"/>
    </w:pPr>
  </w:style>
  <w:style w:type="paragraph" w:customStyle="1" w:styleId="SignatureJobTitle">
    <w:name w:val="Signature Job Title"/>
    <w:basedOn w:val="Signature"/>
    <w:next w:val="SignatureCompany"/>
    <w:rsid w:val="00A2117E"/>
    <w:pPr>
      <w:spacing w:before="0"/>
    </w:pPr>
  </w:style>
  <w:style w:type="character" w:customStyle="1" w:styleId="Slogan">
    <w:name w:val="Slogan"/>
    <w:basedOn w:val="DefaultParagraphFont"/>
    <w:rsid w:val="00A2117E"/>
    <w:rPr>
      <w:rFonts w:ascii="Arial Black" w:hAnsi="Arial Black"/>
      <w:sz w:val="18"/>
    </w:rPr>
  </w:style>
  <w:style w:type="paragraph" w:customStyle="1" w:styleId="SubjectLine">
    <w:name w:val="Subject Line"/>
    <w:basedOn w:val="Normal"/>
    <w:next w:val="BodyText"/>
    <w:rsid w:val="00A2117E"/>
    <w:pPr>
      <w:spacing w:after="220" w:line="220" w:lineRule="atLeast"/>
      <w:jc w:val="left"/>
    </w:pPr>
    <w:rPr>
      <w:rFonts w:ascii="Arial Black" w:hAnsi="Arial Black"/>
      <w:spacing w:val="-10"/>
    </w:rPr>
  </w:style>
  <w:style w:type="paragraph" w:styleId="Header">
    <w:name w:val="header"/>
    <w:basedOn w:val="Normal"/>
    <w:rsid w:val="00A2117E"/>
    <w:pPr>
      <w:tabs>
        <w:tab w:val="center" w:pos="4320"/>
        <w:tab w:val="right" w:pos="8640"/>
      </w:tabs>
    </w:pPr>
  </w:style>
  <w:style w:type="paragraph" w:styleId="Footer">
    <w:name w:val="footer"/>
    <w:basedOn w:val="Normal"/>
    <w:link w:val="FooterChar"/>
    <w:uiPriority w:val="99"/>
    <w:rsid w:val="00A2117E"/>
    <w:pPr>
      <w:tabs>
        <w:tab w:val="center" w:pos="4320"/>
        <w:tab w:val="right" w:pos="8640"/>
      </w:tabs>
    </w:pPr>
  </w:style>
  <w:style w:type="character" w:styleId="Hyperlink">
    <w:name w:val="Hyperlink"/>
    <w:basedOn w:val="DefaultParagraphFont"/>
    <w:rsid w:val="00B538EB"/>
    <w:rPr>
      <w:color w:val="0000FF"/>
      <w:u w:val="single"/>
    </w:rPr>
  </w:style>
  <w:style w:type="paragraph" w:styleId="List">
    <w:name w:val="List"/>
    <w:basedOn w:val="BodyText"/>
    <w:rsid w:val="00A2117E"/>
    <w:pPr>
      <w:ind w:left="360" w:hanging="360"/>
    </w:pPr>
  </w:style>
  <w:style w:type="paragraph" w:styleId="ListBullet">
    <w:name w:val="List Bullet"/>
    <w:basedOn w:val="List"/>
    <w:autoRedefine/>
    <w:rsid w:val="00A2117E"/>
    <w:pPr>
      <w:numPr>
        <w:numId w:val="1"/>
      </w:numPr>
    </w:pPr>
  </w:style>
  <w:style w:type="paragraph" w:styleId="ListNumber">
    <w:name w:val="List Number"/>
    <w:basedOn w:val="BodyText"/>
    <w:rsid w:val="00A2117E"/>
    <w:pPr>
      <w:numPr>
        <w:numId w:val="2"/>
      </w:numPr>
    </w:pPr>
  </w:style>
  <w:style w:type="paragraph" w:styleId="BalloonText">
    <w:name w:val="Balloon Text"/>
    <w:basedOn w:val="Normal"/>
    <w:link w:val="BalloonTextChar"/>
    <w:uiPriority w:val="99"/>
    <w:semiHidden/>
    <w:unhideWhenUsed/>
    <w:rsid w:val="006F46F8"/>
    <w:rPr>
      <w:rFonts w:ascii="Tahoma" w:hAnsi="Tahoma" w:cs="Tahoma"/>
      <w:sz w:val="16"/>
      <w:szCs w:val="16"/>
    </w:rPr>
  </w:style>
  <w:style w:type="character" w:customStyle="1" w:styleId="BalloonTextChar">
    <w:name w:val="Balloon Text Char"/>
    <w:basedOn w:val="DefaultParagraphFont"/>
    <w:link w:val="BalloonText"/>
    <w:uiPriority w:val="99"/>
    <w:semiHidden/>
    <w:rsid w:val="006F46F8"/>
    <w:rPr>
      <w:rFonts w:ascii="Tahoma" w:hAnsi="Tahoma" w:cs="Tahoma"/>
      <w:spacing w:val="-5"/>
      <w:sz w:val="16"/>
      <w:szCs w:val="16"/>
    </w:rPr>
  </w:style>
  <w:style w:type="character" w:customStyle="1" w:styleId="DeltaViewInsertion">
    <w:name w:val="DeltaView Insertion"/>
    <w:basedOn w:val="DefaultParagraphFont"/>
    <w:rsid w:val="00627C4A"/>
    <w:rPr>
      <w:b/>
      <w:bCs/>
      <w:color w:val="0000FF"/>
      <w:u w:val="double"/>
    </w:rPr>
  </w:style>
  <w:style w:type="character" w:customStyle="1" w:styleId="DeltaViewDeletion">
    <w:name w:val="DeltaView Deletion"/>
    <w:rsid w:val="00627C4A"/>
    <w:rPr>
      <w:strike/>
      <w:color w:val="FF0000"/>
    </w:rPr>
  </w:style>
  <w:style w:type="character" w:customStyle="1" w:styleId="FooterChar">
    <w:name w:val="Footer Char"/>
    <w:basedOn w:val="DefaultParagraphFont"/>
    <w:link w:val="Footer"/>
    <w:uiPriority w:val="99"/>
    <w:rsid w:val="00BB6F9E"/>
    <w:rPr>
      <w:rFonts w:ascii="Arial" w:hAnsi="Arial"/>
      <w:spacing w:val="-5"/>
    </w:rPr>
  </w:style>
  <w:style w:type="character" w:styleId="CommentReference">
    <w:name w:val="annotation reference"/>
    <w:basedOn w:val="DefaultParagraphFont"/>
    <w:uiPriority w:val="99"/>
    <w:semiHidden/>
    <w:unhideWhenUsed/>
    <w:rsid w:val="00DB35DF"/>
    <w:rPr>
      <w:sz w:val="16"/>
      <w:szCs w:val="16"/>
    </w:rPr>
  </w:style>
  <w:style w:type="paragraph" w:styleId="CommentText">
    <w:name w:val="annotation text"/>
    <w:basedOn w:val="Normal"/>
    <w:link w:val="CommentTextChar"/>
    <w:uiPriority w:val="99"/>
    <w:semiHidden/>
    <w:unhideWhenUsed/>
    <w:rsid w:val="00DB35DF"/>
  </w:style>
  <w:style w:type="character" w:customStyle="1" w:styleId="CommentTextChar">
    <w:name w:val="Comment Text Char"/>
    <w:basedOn w:val="DefaultParagraphFont"/>
    <w:link w:val="CommentText"/>
    <w:uiPriority w:val="99"/>
    <w:semiHidden/>
    <w:rsid w:val="00DB35DF"/>
    <w:rPr>
      <w:rFonts w:ascii="Arial" w:hAnsi="Arial"/>
      <w:spacing w:val="-5"/>
    </w:rPr>
  </w:style>
  <w:style w:type="paragraph" w:styleId="CommentSubject">
    <w:name w:val="annotation subject"/>
    <w:basedOn w:val="CommentText"/>
    <w:next w:val="CommentText"/>
    <w:link w:val="CommentSubjectChar"/>
    <w:uiPriority w:val="99"/>
    <w:semiHidden/>
    <w:unhideWhenUsed/>
    <w:rsid w:val="00DB35DF"/>
    <w:rPr>
      <w:b/>
      <w:bCs/>
    </w:rPr>
  </w:style>
  <w:style w:type="character" w:customStyle="1" w:styleId="CommentSubjectChar">
    <w:name w:val="Comment Subject Char"/>
    <w:basedOn w:val="CommentTextChar"/>
    <w:link w:val="CommentSubject"/>
    <w:uiPriority w:val="99"/>
    <w:semiHidden/>
    <w:rsid w:val="00DB35DF"/>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ans\Local%20Settings\Temporary%20Internet%20Files\OLK73\DEvansLtf%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DEvansLtf Color</Template>
  <TotalTime>0</TotalTime>
  <Pages>1</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Professional Letter</vt:lpstr>
    </vt:vector>
  </TitlesOfParts>
  <Company>Pa Public Utility Commission</Company>
  <LinksUpToDate>false</LinksUpToDate>
  <CharactersWithSpaces>11667</CharactersWithSpaces>
  <SharedDoc>false</SharedDoc>
  <HLinks>
    <vt:vector size="6" baseType="variant">
      <vt:variant>
        <vt:i4>5111889</vt:i4>
      </vt:variant>
      <vt:variant>
        <vt:i4>3</vt:i4>
      </vt:variant>
      <vt:variant>
        <vt:i4>0</vt:i4>
      </vt:variant>
      <vt:variant>
        <vt:i4>5</vt:i4>
      </vt:variant>
      <vt:variant>
        <vt:lpwstr>http://www.phfa.org/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evans</dc:creator>
  <cp:lastModifiedBy>Dewey, Sarah L</cp:lastModifiedBy>
  <cp:revision>2</cp:revision>
  <cp:lastPrinted>2013-03-25T14:33:00Z</cp:lastPrinted>
  <dcterms:created xsi:type="dcterms:W3CDTF">2013-10-28T18:02:00Z</dcterms:created>
  <dcterms:modified xsi:type="dcterms:W3CDTF">2013-10-28T18:02:00Z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