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D7" w:rsidRPr="005002D7" w:rsidRDefault="005002D7" w:rsidP="005002D7">
      <w:pPr>
        <w:spacing w:after="0"/>
        <w:ind w:left="270" w:right="270"/>
        <w:jc w:val="center"/>
        <w:rPr>
          <w:rFonts w:asciiTheme="minorHAnsi" w:hAnsiTheme="minorHAnsi" w:cstheme="minorHAnsi"/>
          <w:b/>
          <w:sz w:val="40"/>
          <w:szCs w:val="40"/>
        </w:rPr>
      </w:pPr>
      <w:bookmarkStart w:id="0" w:name="_GoBack"/>
      <w:bookmarkEnd w:id="0"/>
      <w:r w:rsidRPr="005002D7">
        <w:rPr>
          <w:rFonts w:asciiTheme="minorHAnsi" w:hAnsiTheme="minorHAnsi" w:cstheme="minorHAnsi"/>
          <w:b/>
          <w:sz w:val="40"/>
          <w:szCs w:val="40"/>
        </w:rPr>
        <w:t>Act 13 of 2012 Impact Fee Schedule</w:t>
      </w:r>
    </w:p>
    <w:p w:rsidR="005002D7" w:rsidRDefault="005002D7" w:rsidP="00087BF2">
      <w:pPr>
        <w:spacing w:after="0"/>
        <w:ind w:left="270" w:right="270"/>
        <w:rPr>
          <w:rFonts w:asciiTheme="minorHAnsi" w:hAnsiTheme="minorHAnsi" w:cstheme="minorHAnsi"/>
          <w:sz w:val="24"/>
        </w:rPr>
      </w:pPr>
    </w:p>
    <w:p w:rsidR="001F776B" w:rsidRPr="00BD742E" w:rsidRDefault="002D5B28" w:rsidP="00087BF2">
      <w:pPr>
        <w:spacing w:after="0"/>
        <w:ind w:left="270" w:right="270"/>
        <w:rPr>
          <w:rFonts w:asciiTheme="minorHAnsi" w:hAnsiTheme="minorHAnsi" w:cstheme="minorHAnsi"/>
          <w:sz w:val="24"/>
        </w:rPr>
      </w:pPr>
      <w:r>
        <w:rPr>
          <w:rFonts w:asciiTheme="minorHAnsi" w:hAnsiTheme="minorHAnsi" w:cstheme="minorHAnsi"/>
          <w:sz w:val="24"/>
        </w:rPr>
        <w:t>According to Act 13, t</w:t>
      </w:r>
      <w:r w:rsidRPr="002D5B28">
        <w:rPr>
          <w:rFonts w:asciiTheme="minorHAnsi" w:hAnsiTheme="minorHAnsi" w:cstheme="minorHAnsi"/>
          <w:sz w:val="24"/>
        </w:rPr>
        <w:t>he fee begins the year the well is “spud</w:t>
      </w:r>
      <w:r>
        <w:rPr>
          <w:rFonts w:asciiTheme="minorHAnsi" w:hAnsiTheme="minorHAnsi" w:cstheme="minorHAnsi"/>
          <w:sz w:val="24"/>
        </w:rPr>
        <w:t>,</w:t>
      </w:r>
      <w:r w:rsidRPr="002D5B28">
        <w:rPr>
          <w:rFonts w:asciiTheme="minorHAnsi" w:hAnsiTheme="minorHAnsi" w:cstheme="minorHAnsi"/>
          <w:sz w:val="24"/>
        </w:rPr>
        <w:t xml:space="preserve">” </w:t>
      </w:r>
      <w:r>
        <w:rPr>
          <w:rFonts w:asciiTheme="minorHAnsi" w:hAnsiTheme="minorHAnsi" w:cstheme="minorHAnsi"/>
          <w:sz w:val="24"/>
        </w:rPr>
        <w:t xml:space="preserve">which is defined as the </w:t>
      </w:r>
      <w:r w:rsidRPr="002D5B28">
        <w:rPr>
          <w:rFonts w:asciiTheme="minorHAnsi" w:hAnsiTheme="minorHAnsi" w:cstheme="minorHAnsi"/>
          <w:sz w:val="24"/>
        </w:rPr>
        <w:t>year the actual drilling of the unconventional well began.</w:t>
      </w:r>
      <w:r w:rsidR="004C131C">
        <w:rPr>
          <w:rFonts w:asciiTheme="minorHAnsi" w:hAnsiTheme="minorHAnsi" w:cstheme="minorHAnsi"/>
          <w:sz w:val="24"/>
        </w:rPr>
        <w:t xml:space="preserve"> </w:t>
      </w:r>
      <w:r w:rsidR="00087BF2">
        <w:rPr>
          <w:rFonts w:asciiTheme="minorHAnsi" w:hAnsiTheme="minorHAnsi" w:cstheme="minorHAnsi"/>
          <w:sz w:val="24"/>
        </w:rPr>
        <w:t>T</w:t>
      </w:r>
      <w:r w:rsidR="00EC15F4">
        <w:rPr>
          <w:rFonts w:asciiTheme="minorHAnsi" w:hAnsiTheme="minorHAnsi" w:cstheme="minorHAnsi"/>
          <w:sz w:val="24"/>
        </w:rPr>
        <w:t>he f</w:t>
      </w:r>
      <w:r w:rsidR="001F776B" w:rsidRPr="00BD742E">
        <w:rPr>
          <w:rFonts w:asciiTheme="minorHAnsi" w:hAnsiTheme="minorHAnsi" w:cstheme="minorHAnsi"/>
          <w:sz w:val="24"/>
        </w:rPr>
        <w:t xml:space="preserve">ee </w:t>
      </w:r>
      <w:r w:rsidR="00C95BA8">
        <w:rPr>
          <w:rFonts w:asciiTheme="minorHAnsi" w:hAnsiTheme="minorHAnsi" w:cstheme="minorHAnsi"/>
          <w:sz w:val="24"/>
        </w:rPr>
        <w:t>for horizontal wells</w:t>
      </w:r>
      <w:r w:rsidR="00087BF2">
        <w:rPr>
          <w:rStyle w:val="FootnoteReference"/>
          <w:rFonts w:asciiTheme="minorHAnsi" w:hAnsiTheme="minorHAnsi" w:cstheme="minorHAnsi"/>
          <w:sz w:val="24"/>
        </w:rPr>
        <w:footnoteReference w:id="1"/>
      </w:r>
      <w:r w:rsidR="00C95BA8">
        <w:rPr>
          <w:rFonts w:asciiTheme="minorHAnsi" w:hAnsiTheme="minorHAnsi" w:cstheme="minorHAnsi"/>
          <w:sz w:val="24"/>
        </w:rPr>
        <w:t xml:space="preserve"> </w:t>
      </w:r>
      <w:r w:rsidR="00CE37F8">
        <w:rPr>
          <w:rFonts w:asciiTheme="minorHAnsi" w:hAnsiTheme="minorHAnsi" w:cstheme="minorHAnsi"/>
          <w:sz w:val="24"/>
        </w:rPr>
        <w:t>will</w:t>
      </w:r>
      <w:r w:rsidR="001F776B" w:rsidRPr="00BD742E">
        <w:rPr>
          <w:rFonts w:asciiTheme="minorHAnsi" w:hAnsiTheme="minorHAnsi" w:cstheme="minorHAnsi"/>
          <w:sz w:val="24"/>
        </w:rPr>
        <w:t xml:space="preserve"> be based upon year of well and average price of natural gas as follows:</w:t>
      </w:r>
    </w:p>
    <w:p w:rsidR="001F776B" w:rsidRPr="00BD742E" w:rsidRDefault="001F776B" w:rsidP="001F776B">
      <w:pPr>
        <w:spacing w:after="0"/>
        <w:ind w:left="720"/>
        <w:rPr>
          <w:rFonts w:asciiTheme="minorHAnsi" w:hAnsiTheme="minorHAnsi" w:cstheme="minorHAnsi"/>
          <w:sz w:val="24"/>
        </w:rPr>
      </w:pPr>
    </w:p>
    <w:tbl>
      <w:tblPr>
        <w:tblW w:w="8725"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771"/>
        <w:gridCol w:w="1537"/>
        <w:gridCol w:w="1841"/>
        <w:gridCol w:w="1787"/>
        <w:gridCol w:w="1572"/>
        <w:gridCol w:w="1217"/>
      </w:tblGrid>
      <w:tr w:rsidR="001F776B" w:rsidRPr="00BD742E" w:rsidTr="00CB78D4">
        <w:trPr>
          <w:trHeight w:val="235"/>
          <w:jc w:val="center"/>
        </w:trPr>
        <w:tc>
          <w:tcPr>
            <w:tcW w:w="771" w:type="dxa"/>
            <w:shd w:val="clear" w:color="auto" w:fill="8DB3E2"/>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Year</w:t>
            </w:r>
          </w:p>
        </w:tc>
        <w:tc>
          <w:tcPr>
            <w:tcW w:w="1537" w:type="dxa"/>
            <w:shd w:val="clear" w:color="auto" w:fill="8DB3E2"/>
            <w:noWrap/>
            <w:hideMark/>
          </w:tcPr>
          <w:p w:rsidR="001F776B" w:rsidRPr="00BD742E" w:rsidRDefault="001F776B" w:rsidP="00FC2319">
            <w:pPr>
              <w:spacing w:after="0"/>
              <w:rPr>
                <w:rFonts w:asciiTheme="minorHAnsi" w:hAnsiTheme="minorHAnsi" w:cstheme="minorHAnsi"/>
                <w:sz w:val="24"/>
              </w:rPr>
            </w:pPr>
            <w:r w:rsidRPr="00BD742E">
              <w:rPr>
                <w:rFonts w:asciiTheme="minorHAnsi" w:hAnsiTheme="minorHAnsi" w:cstheme="minorHAnsi"/>
                <w:sz w:val="24"/>
              </w:rPr>
              <w:t>$0-2.25</w:t>
            </w:r>
          </w:p>
        </w:tc>
        <w:tc>
          <w:tcPr>
            <w:tcW w:w="1841" w:type="dxa"/>
            <w:shd w:val="clear" w:color="auto" w:fill="8DB3E2"/>
            <w:noWrap/>
            <w:hideMark/>
          </w:tcPr>
          <w:p w:rsidR="001F776B" w:rsidRPr="00BD742E" w:rsidRDefault="001F776B" w:rsidP="00FC2319">
            <w:pPr>
              <w:spacing w:after="0"/>
              <w:rPr>
                <w:rFonts w:asciiTheme="minorHAnsi" w:hAnsiTheme="minorHAnsi" w:cstheme="minorHAnsi"/>
                <w:sz w:val="24"/>
              </w:rPr>
            </w:pPr>
            <w:r w:rsidRPr="00BD742E">
              <w:rPr>
                <w:rFonts w:asciiTheme="minorHAnsi" w:hAnsiTheme="minorHAnsi" w:cstheme="minorHAnsi"/>
                <w:sz w:val="24"/>
              </w:rPr>
              <w:t>$2.26-2.99</w:t>
            </w:r>
          </w:p>
        </w:tc>
        <w:tc>
          <w:tcPr>
            <w:tcW w:w="1787" w:type="dxa"/>
            <w:shd w:val="clear" w:color="auto" w:fill="8DB3E2"/>
            <w:noWrap/>
            <w:hideMark/>
          </w:tcPr>
          <w:p w:rsidR="001F776B" w:rsidRPr="00BD742E" w:rsidRDefault="001F776B" w:rsidP="00FC2319">
            <w:pPr>
              <w:spacing w:after="0"/>
              <w:rPr>
                <w:rFonts w:asciiTheme="minorHAnsi" w:hAnsiTheme="minorHAnsi" w:cstheme="minorHAnsi"/>
                <w:sz w:val="24"/>
              </w:rPr>
            </w:pPr>
            <w:r w:rsidRPr="00BD742E">
              <w:rPr>
                <w:rFonts w:asciiTheme="minorHAnsi" w:hAnsiTheme="minorHAnsi" w:cstheme="minorHAnsi"/>
                <w:sz w:val="24"/>
              </w:rPr>
              <w:t>$3.00-4.99</w:t>
            </w:r>
          </w:p>
        </w:tc>
        <w:tc>
          <w:tcPr>
            <w:tcW w:w="1572" w:type="dxa"/>
            <w:shd w:val="clear" w:color="auto" w:fill="8DB3E2"/>
            <w:noWrap/>
            <w:hideMark/>
          </w:tcPr>
          <w:p w:rsidR="001F776B" w:rsidRPr="00BD742E" w:rsidRDefault="001F776B" w:rsidP="00FC2319">
            <w:pPr>
              <w:spacing w:after="0"/>
              <w:rPr>
                <w:rFonts w:asciiTheme="minorHAnsi" w:hAnsiTheme="minorHAnsi" w:cstheme="minorHAnsi"/>
                <w:sz w:val="24"/>
              </w:rPr>
            </w:pPr>
            <w:r w:rsidRPr="00BD742E">
              <w:rPr>
                <w:rFonts w:asciiTheme="minorHAnsi" w:hAnsiTheme="minorHAnsi" w:cstheme="minorHAnsi"/>
                <w:sz w:val="24"/>
              </w:rPr>
              <w:t>$5-5.99</w:t>
            </w:r>
          </w:p>
        </w:tc>
        <w:tc>
          <w:tcPr>
            <w:tcW w:w="1217" w:type="dxa"/>
            <w:shd w:val="clear" w:color="auto" w:fill="8DB3E2"/>
            <w:noWrap/>
            <w:hideMark/>
          </w:tcPr>
          <w:p w:rsidR="001F776B" w:rsidRPr="00BD742E" w:rsidRDefault="001F776B" w:rsidP="00FC2319">
            <w:pPr>
              <w:spacing w:after="0"/>
              <w:rPr>
                <w:rFonts w:asciiTheme="minorHAnsi" w:hAnsiTheme="minorHAnsi" w:cstheme="minorHAnsi"/>
                <w:sz w:val="24"/>
              </w:rPr>
            </w:pPr>
            <w:r w:rsidRPr="00BD742E">
              <w:rPr>
                <w:rFonts w:asciiTheme="minorHAnsi" w:hAnsiTheme="minorHAnsi" w:cstheme="minorHAnsi"/>
                <w:sz w:val="24"/>
              </w:rPr>
              <w:t>$6</w:t>
            </w:r>
            <w:r w:rsidR="00FC2319">
              <w:rPr>
                <w:rFonts w:asciiTheme="minorHAnsi" w:hAnsiTheme="minorHAnsi" w:cstheme="minorHAnsi"/>
                <w:sz w:val="24"/>
              </w:rPr>
              <w:t xml:space="preserve"> and up</w:t>
            </w:r>
          </w:p>
        </w:tc>
      </w:tr>
      <w:tr w:rsidR="001F776B" w:rsidRPr="00BD742E" w:rsidTr="00CB78D4">
        <w:trPr>
          <w:trHeight w:val="305"/>
          <w:jc w:val="center"/>
        </w:trPr>
        <w:tc>
          <w:tcPr>
            <w:tcW w:w="77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1</w:t>
            </w:r>
          </w:p>
        </w:tc>
        <w:tc>
          <w:tcPr>
            <w:tcW w:w="153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$40,000 </w:t>
            </w:r>
          </w:p>
        </w:tc>
        <w:tc>
          <w:tcPr>
            <w:tcW w:w="184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$45,000 </w:t>
            </w:r>
          </w:p>
        </w:tc>
        <w:tc>
          <w:tcPr>
            <w:tcW w:w="178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$50,000 </w:t>
            </w:r>
          </w:p>
        </w:tc>
        <w:tc>
          <w:tcPr>
            <w:tcW w:w="1572"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$55,000 </w:t>
            </w:r>
          </w:p>
        </w:tc>
        <w:tc>
          <w:tcPr>
            <w:tcW w:w="121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$60,000 </w:t>
            </w:r>
          </w:p>
        </w:tc>
      </w:tr>
      <w:tr w:rsidR="001F776B" w:rsidRPr="00BD742E" w:rsidTr="00CB78D4">
        <w:trPr>
          <w:trHeight w:val="235"/>
          <w:jc w:val="center"/>
        </w:trPr>
        <w:tc>
          <w:tcPr>
            <w:tcW w:w="77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2</w:t>
            </w:r>
          </w:p>
        </w:tc>
        <w:tc>
          <w:tcPr>
            <w:tcW w:w="153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$30,000 </w:t>
            </w:r>
          </w:p>
        </w:tc>
        <w:tc>
          <w:tcPr>
            <w:tcW w:w="184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$35,000 </w:t>
            </w:r>
          </w:p>
        </w:tc>
        <w:tc>
          <w:tcPr>
            <w:tcW w:w="178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$40,000 </w:t>
            </w:r>
          </w:p>
        </w:tc>
        <w:tc>
          <w:tcPr>
            <w:tcW w:w="1572"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$45,000 </w:t>
            </w:r>
          </w:p>
        </w:tc>
        <w:tc>
          <w:tcPr>
            <w:tcW w:w="121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$55,000 </w:t>
            </w:r>
          </w:p>
        </w:tc>
      </w:tr>
      <w:tr w:rsidR="001F776B" w:rsidRPr="00BD742E" w:rsidTr="00CB78D4">
        <w:trPr>
          <w:trHeight w:val="235"/>
          <w:jc w:val="center"/>
        </w:trPr>
        <w:tc>
          <w:tcPr>
            <w:tcW w:w="77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3</w:t>
            </w:r>
          </w:p>
        </w:tc>
        <w:tc>
          <w:tcPr>
            <w:tcW w:w="153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$25,000 </w:t>
            </w:r>
          </w:p>
        </w:tc>
        <w:tc>
          <w:tcPr>
            <w:tcW w:w="184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$30,000 </w:t>
            </w:r>
          </w:p>
        </w:tc>
        <w:tc>
          <w:tcPr>
            <w:tcW w:w="178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$30,000 </w:t>
            </w:r>
          </w:p>
        </w:tc>
        <w:tc>
          <w:tcPr>
            <w:tcW w:w="1572"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$40,000 </w:t>
            </w:r>
          </w:p>
        </w:tc>
        <w:tc>
          <w:tcPr>
            <w:tcW w:w="121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$50,000 </w:t>
            </w:r>
          </w:p>
        </w:tc>
      </w:tr>
      <w:tr w:rsidR="001F776B" w:rsidRPr="00BD742E" w:rsidTr="00CB78D4">
        <w:trPr>
          <w:trHeight w:val="235"/>
          <w:jc w:val="center"/>
        </w:trPr>
        <w:tc>
          <w:tcPr>
            <w:tcW w:w="77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4</w:t>
            </w:r>
          </w:p>
        </w:tc>
        <w:tc>
          <w:tcPr>
            <w:tcW w:w="153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$10,000 </w:t>
            </w:r>
          </w:p>
        </w:tc>
        <w:tc>
          <w:tcPr>
            <w:tcW w:w="184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$15,000 </w:t>
            </w:r>
          </w:p>
        </w:tc>
        <w:tc>
          <w:tcPr>
            <w:tcW w:w="178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$20,000 </w:t>
            </w:r>
          </w:p>
        </w:tc>
        <w:tc>
          <w:tcPr>
            <w:tcW w:w="1572"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$20,000 </w:t>
            </w:r>
          </w:p>
        </w:tc>
        <w:tc>
          <w:tcPr>
            <w:tcW w:w="121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$20,000 </w:t>
            </w:r>
          </w:p>
        </w:tc>
      </w:tr>
      <w:tr w:rsidR="001F776B" w:rsidRPr="00BD742E" w:rsidTr="00CB78D4">
        <w:trPr>
          <w:trHeight w:val="235"/>
          <w:jc w:val="center"/>
        </w:trPr>
        <w:tc>
          <w:tcPr>
            <w:tcW w:w="77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5</w:t>
            </w:r>
          </w:p>
        </w:tc>
        <w:tc>
          <w:tcPr>
            <w:tcW w:w="153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$10,000 </w:t>
            </w:r>
          </w:p>
        </w:tc>
        <w:tc>
          <w:tcPr>
            <w:tcW w:w="184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$15,000 </w:t>
            </w:r>
          </w:p>
        </w:tc>
        <w:tc>
          <w:tcPr>
            <w:tcW w:w="178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$20,000 </w:t>
            </w:r>
          </w:p>
        </w:tc>
        <w:tc>
          <w:tcPr>
            <w:tcW w:w="1572"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$20,000 </w:t>
            </w:r>
          </w:p>
        </w:tc>
        <w:tc>
          <w:tcPr>
            <w:tcW w:w="121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$20,000 </w:t>
            </w:r>
          </w:p>
        </w:tc>
      </w:tr>
      <w:tr w:rsidR="001F776B" w:rsidRPr="00BD742E" w:rsidTr="00CB78D4">
        <w:trPr>
          <w:trHeight w:val="235"/>
          <w:jc w:val="center"/>
        </w:trPr>
        <w:tc>
          <w:tcPr>
            <w:tcW w:w="77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6</w:t>
            </w:r>
          </w:p>
        </w:tc>
        <w:tc>
          <w:tcPr>
            <w:tcW w:w="153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$10,000 </w:t>
            </w:r>
          </w:p>
        </w:tc>
        <w:tc>
          <w:tcPr>
            <w:tcW w:w="184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$15,000 </w:t>
            </w:r>
          </w:p>
        </w:tc>
        <w:tc>
          <w:tcPr>
            <w:tcW w:w="178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$20,000 </w:t>
            </w:r>
          </w:p>
        </w:tc>
        <w:tc>
          <w:tcPr>
            <w:tcW w:w="1572"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$20,000 </w:t>
            </w:r>
          </w:p>
        </w:tc>
        <w:tc>
          <w:tcPr>
            <w:tcW w:w="121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$20,000 </w:t>
            </w:r>
          </w:p>
        </w:tc>
      </w:tr>
      <w:tr w:rsidR="001F776B" w:rsidRPr="00BD742E" w:rsidTr="00CB78D4">
        <w:trPr>
          <w:trHeight w:val="235"/>
          <w:jc w:val="center"/>
        </w:trPr>
        <w:tc>
          <w:tcPr>
            <w:tcW w:w="77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7</w:t>
            </w:r>
          </w:p>
        </w:tc>
        <w:tc>
          <w:tcPr>
            <w:tcW w:w="153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$10,000 </w:t>
            </w:r>
          </w:p>
        </w:tc>
        <w:tc>
          <w:tcPr>
            <w:tcW w:w="184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$15,000 </w:t>
            </w:r>
          </w:p>
        </w:tc>
        <w:tc>
          <w:tcPr>
            <w:tcW w:w="178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$20,000 </w:t>
            </w:r>
          </w:p>
        </w:tc>
        <w:tc>
          <w:tcPr>
            <w:tcW w:w="1572"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$20,000 </w:t>
            </w:r>
          </w:p>
        </w:tc>
        <w:tc>
          <w:tcPr>
            <w:tcW w:w="121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$20,000 </w:t>
            </w:r>
          </w:p>
        </w:tc>
      </w:tr>
      <w:tr w:rsidR="001F776B" w:rsidRPr="00BD742E" w:rsidTr="00CB78D4">
        <w:trPr>
          <w:trHeight w:val="235"/>
          <w:jc w:val="center"/>
        </w:trPr>
        <w:tc>
          <w:tcPr>
            <w:tcW w:w="77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8</w:t>
            </w:r>
          </w:p>
        </w:tc>
        <w:tc>
          <w:tcPr>
            <w:tcW w:w="153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$10,000 </w:t>
            </w:r>
          </w:p>
        </w:tc>
        <w:tc>
          <w:tcPr>
            <w:tcW w:w="184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$15,000 </w:t>
            </w:r>
          </w:p>
        </w:tc>
        <w:tc>
          <w:tcPr>
            <w:tcW w:w="178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$20,000 </w:t>
            </w:r>
          </w:p>
        </w:tc>
        <w:tc>
          <w:tcPr>
            <w:tcW w:w="1572"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$20,000 </w:t>
            </w:r>
          </w:p>
        </w:tc>
        <w:tc>
          <w:tcPr>
            <w:tcW w:w="121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$20,000 </w:t>
            </w:r>
          </w:p>
        </w:tc>
      </w:tr>
      <w:tr w:rsidR="001F776B" w:rsidRPr="00BD742E" w:rsidTr="00CB78D4">
        <w:trPr>
          <w:trHeight w:val="235"/>
          <w:jc w:val="center"/>
        </w:trPr>
        <w:tc>
          <w:tcPr>
            <w:tcW w:w="77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9</w:t>
            </w:r>
          </w:p>
        </w:tc>
        <w:tc>
          <w:tcPr>
            <w:tcW w:w="153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$10,000 </w:t>
            </w:r>
          </w:p>
        </w:tc>
        <w:tc>
          <w:tcPr>
            <w:tcW w:w="184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$15,000 </w:t>
            </w:r>
          </w:p>
        </w:tc>
        <w:tc>
          <w:tcPr>
            <w:tcW w:w="178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$20,000 </w:t>
            </w:r>
          </w:p>
        </w:tc>
        <w:tc>
          <w:tcPr>
            <w:tcW w:w="1572"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$20,000 </w:t>
            </w:r>
          </w:p>
        </w:tc>
        <w:tc>
          <w:tcPr>
            <w:tcW w:w="121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$20,000 </w:t>
            </w:r>
          </w:p>
        </w:tc>
      </w:tr>
      <w:tr w:rsidR="001F776B" w:rsidRPr="00BD742E" w:rsidTr="00CB78D4">
        <w:trPr>
          <w:trHeight w:val="235"/>
          <w:jc w:val="center"/>
        </w:trPr>
        <w:tc>
          <w:tcPr>
            <w:tcW w:w="77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10</w:t>
            </w:r>
          </w:p>
        </w:tc>
        <w:tc>
          <w:tcPr>
            <w:tcW w:w="153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$10,000 </w:t>
            </w:r>
          </w:p>
        </w:tc>
        <w:tc>
          <w:tcPr>
            <w:tcW w:w="184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$15,000 </w:t>
            </w:r>
          </w:p>
        </w:tc>
        <w:tc>
          <w:tcPr>
            <w:tcW w:w="178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$20,000 </w:t>
            </w:r>
          </w:p>
        </w:tc>
        <w:tc>
          <w:tcPr>
            <w:tcW w:w="1572"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$20,000 </w:t>
            </w:r>
          </w:p>
        </w:tc>
        <w:tc>
          <w:tcPr>
            <w:tcW w:w="121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$20,000 </w:t>
            </w:r>
          </w:p>
        </w:tc>
      </w:tr>
      <w:tr w:rsidR="001F776B" w:rsidRPr="00BD742E" w:rsidTr="00CB78D4">
        <w:trPr>
          <w:trHeight w:val="235"/>
          <w:jc w:val="center"/>
        </w:trPr>
        <w:tc>
          <w:tcPr>
            <w:tcW w:w="77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11</w:t>
            </w:r>
          </w:p>
        </w:tc>
        <w:tc>
          <w:tcPr>
            <w:tcW w:w="153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$5,000 </w:t>
            </w:r>
          </w:p>
        </w:tc>
        <w:tc>
          <w:tcPr>
            <w:tcW w:w="184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$5,000 </w:t>
            </w:r>
          </w:p>
        </w:tc>
        <w:tc>
          <w:tcPr>
            <w:tcW w:w="178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$10,000 </w:t>
            </w:r>
          </w:p>
        </w:tc>
        <w:tc>
          <w:tcPr>
            <w:tcW w:w="1572"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$10,000 </w:t>
            </w:r>
          </w:p>
        </w:tc>
        <w:tc>
          <w:tcPr>
            <w:tcW w:w="121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$10,000 </w:t>
            </w:r>
          </w:p>
        </w:tc>
      </w:tr>
      <w:tr w:rsidR="001F776B" w:rsidRPr="00BD742E" w:rsidTr="00CB78D4">
        <w:trPr>
          <w:trHeight w:val="235"/>
          <w:jc w:val="center"/>
        </w:trPr>
        <w:tc>
          <w:tcPr>
            <w:tcW w:w="77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12</w:t>
            </w:r>
          </w:p>
        </w:tc>
        <w:tc>
          <w:tcPr>
            <w:tcW w:w="153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$5,000 </w:t>
            </w:r>
          </w:p>
        </w:tc>
        <w:tc>
          <w:tcPr>
            <w:tcW w:w="184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$5,000 </w:t>
            </w:r>
          </w:p>
        </w:tc>
        <w:tc>
          <w:tcPr>
            <w:tcW w:w="178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$10,000 </w:t>
            </w:r>
          </w:p>
        </w:tc>
        <w:tc>
          <w:tcPr>
            <w:tcW w:w="1572"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$10,000 </w:t>
            </w:r>
          </w:p>
        </w:tc>
        <w:tc>
          <w:tcPr>
            <w:tcW w:w="121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$10,000 </w:t>
            </w:r>
          </w:p>
        </w:tc>
      </w:tr>
      <w:tr w:rsidR="001F776B" w:rsidRPr="00BD742E" w:rsidTr="00CB78D4">
        <w:trPr>
          <w:trHeight w:val="235"/>
          <w:jc w:val="center"/>
        </w:trPr>
        <w:tc>
          <w:tcPr>
            <w:tcW w:w="77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13</w:t>
            </w:r>
          </w:p>
        </w:tc>
        <w:tc>
          <w:tcPr>
            <w:tcW w:w="153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$5,000 </w:t>
            </w:r>
          </w:p>
        </w:tc>
        <w:tc>
          <w:tcPr>
            <w:tcW w:w="184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$5,000 </w:t>
            </w:r>
          </w:p>
        </w:tc>
        <w:tc>
          <w:tcPr>
            <w:tcW w:w="178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$10,000 </w:t>
            </w:r>
          </w:p>
        </w:tc>
        <w:tc>
          <w:tcPr>
            <w:tcW w:w="1572"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$10,000 </w:t>
            </w:r>
          </w:p>
        </w:tc>
        <w:tc>
          <w:tcPr>
            <w:tcW w:w="121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$10,000 </w:t>
            </w:r>
          </w:p>
        </w:tc>
      </w:tr>
      <w:tr w:rsidR="001F776B" w:rsidRPr="00BD742E" w:rsidTr="00CB78D4">
        <w:trPr>
          <w:trHeight w:val="235"/>
          <w:jc w:val="center"/>
        </w:trPr>
        <w:tc>
          <w:tcPr>
            <w:tcW w:w="77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14</w:t>
            </w:r>
          </w:p>
        </w:tc>
        <w:tc>
          <w:tcPr>
            <w:tcW w:w="153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$5,000 </w:t>
            </w:r>
          </w:p>
        </w:tc>
        <w:tc>
          <w:tcPr>
            <w:tcW w:w="184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$5,000 </w:t>
            </w:r>
          </w:p>
        </w:tc>
        <w:tc>
          <w:tcPr>
            <w:tcW w:w="178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$10,000 </w:t>
            </w:r>
          </w:p>
        </w:tc>
        <w:tc>
          <w:tcPr>
            <w:tcW w:w="1572"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$10,000 </w:t>
            </w:r>
          </w:p>
        </w:tc>
        <w:tc>
          <w:tcPr>
            <w:tcW w:w="121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$10,000 </w:t>
            </w:r>
          </w:p>
        </w:tc>
      </w:tr>
      <w:tr w:rsidR="001F776B" w:rsidRPr="00BD742E" w:rsidTr="00CB78D4">
        <w:trPr>
          <w:trHeight w:val="235"/>
          <w:jc w:val="center"/>
        </w:trPr>
        <w:tc>
          <w:tcPr>
            <w:tcW w:w="77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15</w:t>
            </w:r>
          </w:p>
        </w:tc>
        <w:tc>
          <w:tcPr>
            <w:tcW w:w="153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$5,000 </w:t>
            </w:r>
          </w:p>
        </w:tc>
        <w:tc>
          <w:tcPr>
            <w:tcW w:w="184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$5,000 </w:t>
            </w:r>
          </w:p>
        </w:tc>
        <w:tc>
          <w:tcPr>
            <w:tcW w:w="178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$10,000 </w:t>
            </w:r>
          </w:p>
        </w:tc>
        <w:tc>
          <w:tcPr>
            <w:tcW w:w="1572"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$10,000 </w:t>
            </w:r>
          </w:p>
        </w:tc>
        <w:tc>
          <w:tcPr>
            <w:tcW w:w="121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$10,000 </w:t>
            </w:r>
          </w:p>
        </w:tc>
      </w:tr>
    </w:tbl>
    <w:p w:rsidR="001F776B" w:rsidRPr="00BD742E" w:rsidRDefault="001F776B" w:rsidP="001F776B">
      <w:pPr>
        <w:spacing w:after="0"/>
        <w:ind w:left="720"/>
        <w:rPr>
          <w:rFonts w:asciiTheme="minorHAnsi" w:hAnsiTheme="minorHAnsi" w:cstheme="minorHAnsi"/>
          <w:sz w:val="24"/>
        </w:rPr>
      </w:pPr>
    </w:p>
    <w:p w:rsidR="001F776B" w:rsidRPr="00BD742E" w:rsidRDefault="001F776B" w:rsidP="002D5B28">
      <w:pPr>
        <w:spacing w:after="0"/>
        <w:ind w:left="270" w:right="270"/>
        <w:rPr>
          <w:rFonts w:asciiTheme="minorHAnsi" w:hAnsiTheme="minorHAnsi" w:cstheme="minorHAnsi"/>
          <w:sz w:val="24"/>
        </w:rPr>
      </w:pPr>
      <w:r w:rsidRPr="00BD742E">
        <w:rPr>
          <w:rFonts w:asciiTheme="minorHAnsi" w:hAnsiTheme="minorHAnsi" w:cstheme="minorHAnsi"/>
          <w:sz w:val="24"/>
        </w:rPr>
        <w:t xml:space="preserve">Under Act 13, beginning Jan. 1, 2013, the PUC </w:t>
      </w:r>
      <w:r w:rsidR="00CB78D4">
        <w:rPr>
          <w:rFonts w:asciiTheme="minorHAnsi" w:hAnsiTheme="minorHAnsi" w:cstheme="minorHAnsi"/>
          <w:sz w:val="24"/>
        </w:rPr>
        <w:t xml:space="preserve">may </w:t>
      </w:r>
      <w:r w:rsidRPr="00BD742E">
        <w:rPr>
          <w:rFonts w:asciiTheme="minorHAnsi" w:hAnsiTheme="minorHAnsi" w:cstheme="minorHAnsi"/>
          <w:sz w:val="24"/>
        </w:rPr>
        <w:t>annually adjust the fee to reflect any upward changes in the Consumer Price Index for all Urban Consumers for the Pennsylvania, New Jersey, Delaware and Maryland area in the preceding 12 months.</w:t>
      </w:r>
      <w:r w:rsidR="00CB78D4">
        <w:rPr>
          <w:rFonts w:asciiTheme="minorHAnsi" w:hAnsiTheme="minorHAnsi" w:cstheme="minorHAnsi"/>
          <w:sz w:val="24"/>
        </w:rPr>
        <w:t xml:space="preserve"> The adjustment may </w:t>
      </w:r>
      <w:r w:rsidR="00D10E90">
        <w:rPr>
          <w:rFonts w:asciiTheme="minorHAnsi" w:hAnsiTheme="minorHAnsi" w:cstheme="minorHAnsi"/>
          <w:sz w:val="24"/>
        </w:rPr>
        <w:t xml:space="preserve">only </w:t>
      </w:r>
      <w:r w:rsidR="00CB78D4">
        <w:rPr>
          <w:rFonts w:asciiTheme="minorHAnsi" w:hAnsiTheme="minorHAnsi" w:cstheme="minorHAnsi"/>
          <w:sz w:val="24"/>
        </w:rPr>
        <w:t xml:space="preserve">occur if </w:t>
      </w:r>
      <w:r w:rsidR="00CB78D4" w:rsidRPr="00CB78D4">
        <w:rPr>
          <w:rFonts w:asciiTheme="minorHAnsi" w:hAnsiTheme="minorHAnsi" w:cstheme="minorHAnsi"/>
          <w:sz w:val="24"/>
        </w:rPr>
        <w:t>the total number of unconventional wells spud in a given year exceeds the number of unconventional wells in the prior year.</w:t>
      </w:r>
    </w:p>
    <w:p w:rsidR="00541B3F" w:rsidRPr="00BD742E" w:rsidRDefault="00541B3F">
      <w:pPr>
        <w:rPr>
          <w:rFonts w:asciiTheme="minorHAnsi" w:hAnsiTheme="minorHAnsi" w:cstheme="minorHAnsi"/>
          <w:sz w:val="24"/>
        </w:rPr>
      </w:pPr>
    </w:p>
    <w:sectPr w:rsidR="00541B3F" w:rsidRPr="00BD742E" w:rsidSect="00541B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261" w:rsidRDefault="00E11261" w:rsidP="00087BF2">
      <w:pPr>
        <w:spacing w:after="0" w:line="240" w:lineRule="auto"/>
      </w:pPr>
      <w:r>
        <w:separator/>
      </w:r>
    </w:p>
  </w:endnote>
  <w:endnote w:type="continuationSeparator" w:id="0">
    <w:p w:rsidR="00E11261" w:rsidRDefault="00E11261" w:rsidP="0008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261" w:rsidRDefault="00E11261" w:rsidP="00087BF2">
      <w:pPr>
        <w:spacing w:after="0" w:line="240" w:lineRule="auto"/>
      </w:pPr>
      <w:r>
        <w:separator/>
      </w:r>
    </w:p>
  </w:footnote>
  <w:footnote w:type="continuationSeparator" w:id="0">
    <w:p w:rsidR="00E11261" w:rsidRDefault="00E11261" w:rsidP="00087BF2">
      <w:pPr>
        <w:spacing w:after="0" w:line="240" w:lineRule="auto"/>
      </w:pPr>
      <w:r>
        <w:continuationSeparator/>
      </w:r>
    </w:p>
  </w:footnote>
  <w:footnote w:id="1">
    <w:p w:rsidR="00087BF2" w:rsidRDefault="00087BF2">
      <w:pPr>
        <w:pStyle w:val="FootnoteText"/>
      </w:pPr>
      <w:r>
        <w:rPr>
          <w:rStyle w:val="FootnoteReference"/>
        </w:rPr>
        <w:footnoteRef/>
      </w:r>
      <w:r>
        <w:t xml:space="preserve"> </w:t>
      </w:r>
      <w:r w:rsidRPr="00087BF2">
        <w:rPr>
          <w:rFonts w:asciiTheme="minorHAnsi" w:hAnsiTheme="minorHAnsi" w:cstheme="minorHAnsi"/>
        </w:rPr>
        <w:t>Vertical wells</w:t>
      </w:r>
      <w:r>
        <w:rPr>
          <w:rFonts w:asciiTheme="minorHAnsi" w:hAnsiTheme="minorHAnsi" w:cstheme="minorHAnsi"/>
        </w:rPr>
        <w:t xml:space="preserve"> are assessed at 20 per</w:t>
      </w:r>
      <w:r w:rsidR="00207F82">
        <w:rPr>
          <w:rFonts w:asciiTheme="minorHAnsi" w:hAnsiTheme="minorHAnsi" w:cstheme="minorHAnsi"/>
        </w:rPr>
        <w:t>cent of the horizontal well fee for 10 years.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D4744"/>
    <w:multiLevelType w:val="hybridMultilevel"/>
    <w:tmpl w:val="EBCA550C"/>
    <w:lvl w:ilvl="0" w:tplc="292CF844">
      <w:start w:val="2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76B"/>
    <w:rsid w:val="00006E6D"/>
    <w:rsid w:val="00087BF2"/>
    <w:rsid w:val="001C10F3"/>
    <w:rsid w:val="001F776B"/>
    <w:rsid w:val="00207F82"/>
    <w:rsid w:val="002778C8"/>
    <w:rsid w:val="002C2A65"/>
    <w:rsid w:val="002D5B28"/>
    <w:rsid w:val="0032434C"/>
    <w:rsid w:val="004406D9"/>
    <w:rsid w:val="004C131C"/>
    <w:rsid w:val="005002D7"/>
    <w:rsid w:val="00541B3F"/>
    <w:rsid w:val="005C6E8E"/>
    <w:rsid w:val="006759C1"/>
    <w:rsid w:val="006F3540"/>
    <w:rsid w:val="00711418"/>
    <w:rsid w:val="007C7E47"/>
    <w:rsid w:val="008D2BD0"/>
    <w:rsid w:val="00916B34"/>
    <w:rsid w:val="00960EFB"/>
    <w:rsid w:val="009B44D2"/>
    <w:rsid w:val="00A168A2"/>
    <w:rsid w:val="00A47604"/>
    <w:rsid w:val="00BD742E"/>
    <w:rsid w:val="00C42127"/>
    <w:rsid w:val="00C573FC"/>
    <w:rsid w:val="00C95BA8"/>
    <w:rsid w:val="00CB78D4"/>
    <w:rsid w:val="00CC38BF"/>
    <w:rsid w:val="00CE37F8"/>
    <w:rsid w:val="00D10E90"/>
    <w:rsid w:val="00E11261"/>
    <w:rsid w:val="00EC15F4"/>
    <w:rsid w:val="00FC2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76B"/>
    <w:rPr>
      <w:rFonts w:ascii="Times New Roman" w:eastAsia="Calibri"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7B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7BF2"/>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087BF2"/>
    <w:rPr>
      <w:vertAlign w:val="superscript"/>
    </w:rPr>
  </w:style>
  <w:style w:type="paragraph" w:styleId="BalloonText">
    <w:name w:val="Balloon Text"/>
    <w:basedOn w:val="Normal"/>
    <w:link w:val="BalloonTextChar"/>
    <w:uiPriority w:val="99"/>
    <w:semiHidden/>
    <w:unhideWhenUsed/>
    <w:rsid w:val="00006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E6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76B"/>
    <w:rPr>
      <w:rFonts w:ascii="Times New Roman" w:eastAsia="Calibri"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7B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7BF2"/>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087BF2"/>
    <w:rPr>
      <w:vertAlign w:val="superscript"/>
    </w:rPr>
  </w:style>
  <w:style w:type="paragraph" w:styleId="BalloonText">
    <w:name w:val="Balloon Text"/>
    <w:basedOn w:val="Normal"/>
    <w:link w:val="BalloonTextChar"/>
    <w:uiPriority w:val="99"/>
    <w:semiHidden/>
    <w:unhideWhenUsed/>
    <w:rsid w:val="00006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E6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197882">
      <w:bodyDiv w:val="1"/>
      <w:marLeft w:val="0"/>
      <w:marRight w:val="0"/>
      <w:marTop w:val="0"/>
      <w:marBottom w:val="0"/>
      <w:divBdr>
        <w:top w:val="none" w:sz="0" w:space="0" w:color="auto"/>
        <w:left w:val="none" w:sz="0" w:space="0" w:color="auto"/>
        <w:bottom w:val="none" w:sz="0" w:space="0" w:color="auto"/>
        <w:right w:val="none" w:sz="0" w:space="0" w:color="auto"/>
      </w:divBdr>
    </w:div>
    <w:div w:id="195744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EBBC4-BDAC-4A17-89E6-79479A87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cypage</cp:lastModifiedBy>
  <cp:revision>2</cp:revision>
  <cp:lastPrinted>2012-03-14T17:47:00Z</cp:lastPrinted>
  <dcterms:created xsi:type="dcterms:W3CDTF">2013-02-08T16:43:00Z</dcterms:created>
  <dcterms:modified xsi:type="dcterms:W3CDTF">2013-02-08T16:43:00Z</dcterms:modified>
</cp:coreProperties>
</file>