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8B2" w:rsidRDefault="000336BA" w:rsidP="000336BA">
      <w:pPr>
        <w:spacing w:after="0" w:line="240" w:lineRule="auto"/>
        <w:jc w:val="center"/>
      </w:pPr>
      <w:bookmarkStart w:id="0" w:name="_GoBack"/>
      <w:bookmarkEnd w:id="0"/>
      <w:r>
        <w:t xml:space="preserve">Pennsylvania Public Utility Commission </w:t>
      </w:r>
    </w:p>
    <w:p w:rsidR="000336BA" w:rsidRDefault="000336BA" w:rsidP="000336BA">
      <w:pPr>
        <w:spacing w:after="0" w:line="240" w:lineRule="auto"/>
        <w:jc w:val="center"/>
      </w:pPr>
      <w:r>
        <w:t>Local Zoning Outside Counsel RFP</w:t>
      </w:r>
    </w:p>
    <w:p w:rsidR="000336BA" w:rsidRDefault="000336BA" w:rsidP="000336BA">
      <w:pPr>
        <w:spacing w:after="0" w:line="240" w:lineRule="auto"/>
        <w:jc w:val="center"/>
      </w:pPr>
      <w:r>
        <w:t>Pa PUC RFP 2012-4</w:t>
      </w:r>
    </w:p>
    <w:p w:rsidR="000336BA" w:rsidRDefault="000336BA" w:rsidP="000336BA">
      <w:pPr>
        <w:spacing w:after="0" w:line="240" w:lineRule="auto"/>
        <w:jc w:val="center"/>
      </w:pPr>
    </w:p>
    <w:p w:rsidR="000336BA" w:rsidRDefault="000336BA" w:rsidP="000336BA">
      <w:pPr>
        <w:spacing w:after="0" w:line="240" w:lineRule="auto"/>
        <w:jc w:val="center"/>
      </w:pPr>
      <w:r>
        <w:t xml:space="preserve">Preproposal Conference Questions and Answers </w:t>
      </w:r>
    </w:p>
    <w:p w:rsidR="000336BA" w:rsidRDefault="000336BA" w:rsidP="000336BA">
      <w:pPr>
        <w:spacing w:after="0" w:line="240" w:lineRule="auto"/>
        <w:jc w:val="center"/>
      </w:pPr>
      <w:r>
        <w:t>March 28, 2012</w:t>
      </w:r>
    </w:p>
    <w:p w:rsidR="000336BA" w:rsidRDefault="000336BA" w:rsidP="000336BA">
      <w:pPr>
        <w:spacing w:after="0" w:line="240" w:lineRule="auto"/>
      </w:pPr>
    </w:p>
    <w:p w:rsidR="000336BA" w:rsidRDefault="00DB145E" w:rsidP="000336BA">
      <w:pPr>
        <w:spacing w:after="0" w:line="240" w:lineRule="auto"/>
      </w:pPr>
      <w:r>
        <w:t xml:space="preserve">March 21, 2012 </w:t>
      </w:r>
      <w:r w:rsidR="000336BA">
        <w:t>Preproposal Conference attendees:</w:t>
      </w:r>
    </w:p>
    <w:p w:rsidR="000336BA" w:rsidRDefault="000336BA" w:rsidP="000336BA">
      <w:pPr>
        <w:spacing w:after="0" w:line="240" w:lineRule="auto"/>
      </w:pPr>
    </w:p>
    <w:p w:rsidR="000336BA" w:rsidRPr="000336BA" w:rsidRDefault="000336BA" w:rsidP="000336BA">
      <w:pPr>
        <w:spacing w:after="0" w:line="240" w:lineRule="auto"/>
        <w:ind w:left="-900" w:right="-900"/>
        <w:rPr>
          <w:u w:val="single"/>
        </w:rPr>
      </w:pPr>
      <w:r w:rsidRPr="000336BA">
        <w:rPr>
          <w:u w:val="single"/>
        </w:rPr>
        <w:t>Name</w:t>
      </w:r>
      <w:r>
        <w:tab/>
      </w:r>
      <w:r>
        <w:tab/>
      </w:r>
      <w:r>
        <w:tab/>
      </w:r>
      <w:r>
        <w:rPr>
          <w:u w:val="single"/>
        </w:rPr>
        <w:t>Company</w:t>
      </w:r>
      <w:r>
        <w:tab/>
      </w:r>
      <w:r>
        <w:tab/>
      </w:r>
      <w:r>
        <w:tab/>
      </w:r>
      <w:r>
        <w:tab/>
      </w:r>
      <w:r>
        <w:tab/>
      </w:r>
      <w:r>
        <w:rPr>
          <w:u w:val="single"/>
        </w:rPr>
        <w:t>Email</w:t>
      </w:r>
      <w:r>
        <w:tab/>
      </w:r>
      <w:r>
        <w:tab/>
      </w:r>
      <w:r>
        <w:tab/>
      </w:r>
      <w:r>
        <w:tab/>
      </w:r>
      <w:r>
        <w:rPr>
          <w:u w:val="single"/>
        </w:rPr>
        <w:t>Phone</w:t>
      </w:r>
    </w:p>
    <w:p w:rsidR="000336BA" w:rsidRDefault="000336BA" w:rsidP="000336BA">
      <w:pPr>
        <w:spacing w:after="0" w:line="240" w:lineRule="auto"/>
        <w:ind w:left="-900" w:right="-900"/>
      </w:pPr>
    </w:p>
    <w:p w:rsidR="000336BA" w:rsidRDefault="000336BA" w:rsidP="000336BA">
      <w:pPr>
        <w:spacing w:after="0" w:line="240" w:lineRule="auto"/>
        <w:ind w:left="-900" w:right="-900"/>
      </w:pPr>
      <w:r>
        <w:t>Robert Sisko</w:t>
      </w:r>
      <w:r>
        <w:tab/>
      </w:r>
      <w:r>
        <w:tab/>
        <w:t>Morgan, Hallgren, Crosswell &amp; Kane, P.C.</w:t>
      </w:r>
      <w:r>
        <w:tab/>
      </w:r>
      <w:hyperlink r:id="rId7" w:history="1">
        <w:r w:rsidRPr="00695D38">
          <w:rPr>
            <w:rStyle w:val="Hyperlink"/>
          </w:rPr>
          <w:t>rsisko@mhck.com</w:t>
        </w:r>
      </w:hyperlink>
      <w:r>
        <w:tab/>
      </w:r>
      <w:r>
        <w:tab/>
        <w:t>(717) 299-5251</w:t>
      </w:r>
    </w:p>
    <w:p w:rsidR="000336BA" w:rsidRDefault="000336BA" w:rsidP="000336BA">
      <w:pPr>
        <w:spacing w:after="0" w:line="240" w:lineRule="auto"/>
        <w:ind w:left="-900" w:right="-900"/>
      </w:pPr>
    </w:p>
    <w:p w:rsidR="000336BA" w:rsidRDefault="000336BA" w:rsidP="000336BA">
      <w:pPr>
        <w:spacing w:after="0" w:line="240" w:lineRule="auto"/>
        <w:ind w:left="-900" w:right="-900"/>
      </w:pPr>
      <w:r>
        <w:t>Jonathan Andrews</w:t>
      </w:r>
      <w:r>
        <w:tab/>
        <w:t>McNees Wallace &amp; Nurick, LLC</w:t>
      </w:r>
      <w:r>
        <w:tab/>
      </w:r>
      <w:r>
        <w:tab/>
      </w:r>
      <w:r>
        <w:tab/>
      </w:r>
      <w:hyperlink r:id="rId8" w:history="1">
        <w:r w:rsidRPr="00695D38">
          <w:rPr>
            <w:rStyle w:val="Hyperlink"/>
          </w:rPr>
          <w:t>jandrews@mwn.com</w:t>
        </w:r>
      </w:hyperlink>
      <w:r>
        <w:tab/>
      </w:r>
      <w:r>
        <w:tab/>
        <w:t>(717) 237-5358</w:t>
      </w:r>
    </w:p>
    <w:p w:rsidR="000336BA" w:rsidRDefault="000336BA" w:rsidP="000336BA">
      <w:pPr>
        <w:spacing w:after="0" w:line="240" w:lineRule="auto"/>
        <w:ind w:left="-900" w:right="-900"/>
      </w:pPr>
    </w:p>
    <w:p w:rsidR="000336BA" w:rsidRDefault="000336BA" w:rsidP="000336BA">
      <w:pPr>
        <w:spacing w:after="0" w:line="240" w:lineRule="auto"/>
        <w:ind w:left="-900" w:right="-900"/>
      </w:pPr>
      <w:r>
        <w:t>Michael Chabitoy</w:t>
      </w:r>
      <w:r>
        <w:tab/>
      </w:r>
      <w:r>
        <w:tab/>
        <w:t>Buchanon Ingersoll &amp; Rooney</w:t>
      </w:r>
      <w:r>
        <w:tab/>
      </w:r>
      <w:r>
        <w:tab/>
      </w:r>
      <w:r>
        <w:tab/>
      </w:r>
      <w:hyperlink r:id="rId9" w:history="1">
        <w:r w:rsidRPr="00695D38">
          <w:rPr>
            <w:rStyle w:val="Hyperlink"/>
          </w:rPr>
          <w:t>Michael.chabitnoy@bipc.com</w:t>
        </w:r>
      </w:hyperlink>
      <w:r>
        <w:t xml:space="preserve"> </w:t>
      </w:r>
      <w:r>
        <w:tab/>
        <w:t>(717) 237-4876</w:t>
      </w:r>
    </w:p>
    <w:p w:rsidR="000336BA" w:rsidRDefault="000336BA" w:rsidP="000336BA">
      <w:pPr>
        <w:spacing w:after="0" w:line="240" w:lineRule="auto"/>
        <w:ind w:left="-900" w:right="-900"/>
      </w:pPr>
    </w:p>
    <w:p w:rsidR="006907E0" w:rsidRDefault="006907E0" w:rsidP="000336BA">
      <w:pPr>
        <w:spacing w:after="0" w:line="240" w:lineRule="auto"/>
        <w:ind w:left="-900" w:right="-900"/>
      </w:pPr>
      <w:r>
        <w:t>Stephen Dzuranin</w:t>
      </w:r>
      <w:r>
        <w:tab/>
      </w:r>
      <w:r>
        <w:tab/>
        <w:t>Wix, Wenger &amp; Weidner</w:t>
      </w:r>
      <w:r>
        <w:tab/>
      </w:r>
      <w:r>
        <w:tab/>
      </w:r>
      <w:r>
        <w:tab/>
      </w:r>
      <w:hyperlink r:id="rId10" w:history="1">
        <w:r w:rsidRPr="00695D38">
          <w:rPr>
            <w:rStyle w:val="Hyperlink"/>
          </w:rPr>
          <w:t>sdzuranin@wwwpalaw.com</w:t>
        </w:r>
      </w:hyperlink>
      <w:r>
        <w:tab/>
        <w:t>(717) 234-4182</w:t>
      </w:r>
    </w:p>
    <w:p w:rsidR="006907E0" w:rsidRDefault="006907E0" w:rsidP="000336BA">
      <w:pPr>
        <w:spacing w:after="0" w:line="240" w:lineRule="auto"/>
        <w:ind w:left="-900" w:right="-900"/>
      </w:pPr>
    </w:p>
    <w:p w:rsidR="000336BA" w:rsidRDefault="000336BA" w:rsidP="000336BA">
      <w:pPr>
        <w:spacing w:after="0" w:line="240" w:lineRule="auto"/>
        <w:ind w:left="-900" w:right="-900"/>
      </w:pPr>
      <w:r>
        <w:t>Lacey Reapsome</w:t>
      </w:r>
      <w:r>
        <w:tab/>
      </w:r>
      <w:r>
        <w:tab/>
        <w:t>Clark Resources</w:t>
      </w:r>
      <w:r>
        <w:tab/>
      </w:r>
      <w:r>
        <w:tab/>
      </w:r>
      <w:r>
        <w:tab/>
      </w:r>
      <w:r>
        <w:tab/>
      </w:r>
      <w:r>
        <w:tab/>
      </w:r>
      <w:hyperlink r:id="rId11" w:history="1">
        <w:r w:rsidRPr="00695D38">
          <w:rPr>
            <w:rStyle w:val="Hyperlink"/>
          </w:rPr>
          <w:t>reapsome@fclarkresources.com</w:t>
        </w:r>
      </w:hyperlink>
      <w:r>
        <w:t xml:space="preserve"> (717) 230-8861</w:t>
      </w:r>
    </w:p>
    <w:p w:rsidR="000336BA" w:rsidRDefault="000336BA" w:rsidP="000336BA">
      <w:pPr>
        <w:spacing w:after="0" w:line="240" w:lineRule="auto"/>
        <w:ind w:left="-900" w:right="-900"/>
      </w:pPr>
    </w:p>
    <w:p w:rsidR="000336BA" w:rsidRDefault="000336BA" w:rsidP="000336BA">
      <w:pPr>
        <w:spacing w:after="0" w:line="240" w:lineRule="auto"/>
        <w:ind w:left="-900" w:right="-900"/>
      </w:pPr>
    </w:p>
    <w:p w:rsidR="00DB145E" w:rsidRDefault="00DB145E" w:rsidP="00DB145E">
      <w:pPr>
        <w:pStyle w:val="PlainText"/>
        <w:ind w:left="1080" w:right="720" w:hanging="360"/>
      </w:pPr>
      <w:r>
        <w:t xml:space="preserve">1.    Will outside legal counsel be expected to represent the PUC in Commonwealth Court or Supreme Court proceedings?  </w:t>
      </w:r>
    </w:p>
    <w:p w:rsidR="00DB145E" w:rsidRDefault="00DB145E" w:rsidP="00DB145E">
      <w:pPr>
        <w:pStyle w:val="PlainText"/>
      </w:pPr>
    </w:p>
    <w:p w:rsidR="00DB145E" w:rsidRDefault="00305CC3" w:rsidP="00DB145E">
      <w:pPr>
        <w:pStyle w:val="PlainText"/>
      </w:pPr>
      <w:r w:rsidRPr="00305CC3">
        <w:t>No.  The Law Bureau will represent the Commission.</w:t>
      </w:r>
    </w:p>
    <w:p w:rsidR="00DB145E" w:rsidRDefault="00DB145E" w:rsidP="00DB145E">
      <w:pPr>
        <w:pStyle w:val="PlainText"/>
      </w:pPr>
    </w:p>
    <w:p w:rsidR="00DB145E" w:rsidRDefault="00DB145E" w:rsidP="00DB145E">
      <w:pPr>
        <w:pStyle w:val="PlainText"/>
      </w:pPr>
    </w:p>
    <w:p w:rsidR="00DB145E" w:rsidRDefault="00DB145E" w:rsidP="00DB145E">
      <w:pPr>
        <w:pStyle w:val="PlainText"/>
        <w:ind w:left="1080" w:right="720" w:hanging="360"/>
      </w:pPr>
      <w:r>
        <w:t>2.    Will outside legal counsel be preparing any requested advisory opinions and orders, or will outside legal counsel simply be providing the initial analysis of local ordinances to the PUC?</w:t>
      </w:r>
    </w:p>
    <w:p w:rsidR="00DB145E" w:rsidRDefault="00DB145E" w:rsidP="00DB145E">
      <w:pPr>
        <w:pStyle w:val="PlainText"/>
      </w:pPr>
    </w:p>
    <w:p w:rsidR="00DB145E" w:rsidRDefault="00DB145E" w:rsidP="00DB145E">
      <w:pPr>
        <w:pStyle w:val="PlainText"/>
      </w:pPr>
      <w:r>
        <w:t>No.  This will be Law Bureau's responsibility.   We expect outside legal counsel to provide general advice and support as needed</w:t>
      </w:r>
      <w:r w:rsidR="002E1A57">
        <w:t xml:space="preserve"> to PUC staff</w:t>
      </w:r>
      <w:r>
        <w:t xml:space="preserve"> regarding </w:t>
      </w:r>
      <w:r w:rsidR="00FE1F7C">
        <w:t xml:space="preserve">local zoning and </w:t>
      </w:r>
      <w:r>
        <w:t>municipal law.</w:t>
      </w:r>
    </w:p>
    <w:p w:rsidR="00DB145E" w:rsidRDefault="00DB145E" w:rsidP="00DB145E">
      <w:pPr>
        <w:pStyle w:val="PlainText"/>
      </w:pPr>
      <w:r>
        <w:t xml:space="preserve"> </w:t>
      </w:r>
    </w:p>
    <w:p w:rsidR="00DB145E" w:rsidRDefault="00DB145E" w:rsidP="00DB145E">
      <w:pPr>
        <w:pStyle w:val="PlainText"/>
      </w:pPr>
    </w:p>
    <w:p w:rsidR="00DB145E" w:rsidRDefault="00DB145E" w:rsidP="00DB145E">
      <w:pPr>
        <w:pStyle w:val="PlainText"/>
        <w:ind w:left="1080" w:right="720" w:hanging="360"/>
      </w:pPr>
      <w:r>
        <w:t>3.    Will outside legal counsel be expected to conduct any training sessions or prepare any guidance material for municipalities, counties or other state agencies, on behalf of the PUC?</w:t>
      </w:r>
    </w:p>
    <w:p w:rsidR="00DB145E" w:rsidRDefault="00DB145E" w:rsidP="00DB145E">
      <w:pPr>
        <w:pStyle w:val="PlainText"/>
      </w:pPr>
    </w:p>
    <w:p w:rsidR="00DB145E" w:rsidRDefault="00DB145E" w:rsidP="00DB145E">
      <w:pPr>
        <w:pStyle w:val="PlainText"/>
      </w:pPr>
      <w:r>
        <w:t>No.  Training</w:t>
      </w:r>
      <w:r w:rsidR="00FE1F7C">
        <w:t xml:space="preserve"> sessions and the preparation of guidance materials</w:t>
      </w:r>
      <w:r>
        <w:t xml:space="preserve">, if any, would be </w:t>
      </w:r>
      <w:r w:rsidR="00FE1F7C">
        <w:t xml:space="preserve">for PUC </w:t>
      </w:r>
      <w:r>
        <w:t>staff.</w:t>
      </w:r>
    </w:p>
    <w:p w:rsidR="00DB145E" w:rsidRDefault="00DB145E" w:rsidP="00DB145E">
      <w:pPr>
        <w:pStyle w:val="PlainText"/>
      </w:pPr>
      <w:r>
        <w:t xml:space="preserve"> </w:t>
      </w:r>
    </w:p>
    <w:p w:rsidR="00DB145E" w:rsidRDefault="00DB145E" w:rsidP="00DB145E">
      <w:pPr>
        <w:pStyle w:val="PlainText"/>
      </w:pPr>
    </w:p>
    <w:p w:rsidR="00DB145E" w:rsidRDefault="00DB145E" w:rsidP="00DB145E">
      <w:pPr>
        <w:pStyle w:val="PlainText"/>
        <w:ind w:left="1080" w:right="720" w:hanging="360"/>
      </w:pPr>
      <w:r>
        <w:t>4.    Will outside counsel be called upon to provide any advice regarding Ch. 23 of the Oil &amp; Gas Act (regarding unconventional gas well fees)?</w:t>
      </w:r>
    </w:p>
    <w:p w:rsidR="00DB145E" w:rsidRDefault="00DB145E" w:rsidP="00DB145E">
      <w:pPr>
        <w:pStyle w:val="PlainText"/>
      </w:pPr>
    </w:p>
    <w:p w:rsidR="00DB145E" w:rsidRDefault="002E1A57" w:rsidP="00DB145E">
      <w:pPr>
        <w:pStyle w:val="PlainText"/>
      </w:pPr>
      <w:r>
        <w:t>Yes, as it relates to local zoning.</w:t>
      </w:r>
    </w:p>
    <w:p w:rsidR="00DB145E" w:rsidRDefault="00DB145E" w:rsidP="00DB145E">
      <w:pPr>
        <w:pStyle w:val="PlainText"/>
      </w:pPr>
    </w:p>
    <w:p w:rsidR="00DB145E" w:rsidRDefault="00DB145E" w:rsidP="00DB145E">
      <w:pPr>
        <w:pStyle w:val="PlainText"/>
      </w:pPr>
      <w:r>
        <w:lastRenderedPageBreak/>
        <w:t xml:space="preserve"> </w:t>
      </w:r>
    </w:p>
    <w:p w:rsidR="00DB145E" w:rsidRDefault="00DB145E" w:rsidP="00DB145E">
      <w:pPr>
        <w:pStyle w:val="PlainText"/>
        <w:ind w:left="1080" w:right="720" w:hanging="360"/>
      </w:pPr>
      <w:r>
        <w:t>5.    How should a Proposer respond to the request for information regarding Disadvantaged Businesses if the Proposer does not qualify as a Disadvantaged Business or Enterprise Zone Small Business Participant (i.e., is a simple paragraph to that effect a technically compliant response)?</w:t>
      </w:r>
    </w:p>
    <w:p w:rsidR="00DB145E" w:rsidRDefault="00DB145E" w:rsidP="00DB145E">
      <w:pPr>
        <w:pStyle w:val="PlainText"/>
      </w:pPr>
    </w:p>
    <w:p w:rsidR="00DB145E" w:rsidRDefault="00DB145E" w:rsidP="00DB145E">
      <w:pPr>
        <w:pStyle w:val="PlainText"/>
      </w:pPr>
      <w:r>
        <w:t xml:space="preserve">The Bureau of Minority and Women’s Business Opportunities (BMWBO) handles all questions regarding the Disadvantaged Business program.   Please contact them directly at their contact information listed in the RFP. </w:t>
      </w:r>
    </w:p>
    <w:p w:rsidR="00DB145E" w:rsidRDefault="00DB145E" w:rsidP="00DB145E">
      <w:pPr>
        <w:pStyle w:val="PlainText"/>
      </w:pPr>
    </w:p>
    <w:p w:rsidR="00DB145E" w:rsidRDefault="00DB145E" w:rsidP="00DB145E">
      <w:pPr>
        <w:pStyle w:val="PlainText"/>
      </w:pPr>
    </w:p>
    <w:p w:rsidR="00DB145E" w:rsidRDefault="00DB145E" w:rsidP="00DB145E">
      <w:pPr>
        <w:pStyle w:val="PlainText"/>
        <w:ind w:left="1080" w:right="720" w:hanging="360"/>
      </w:pPr>
      <w:r>
        <w:t>6.</w:t>
      </w:r>
      <w:r>
        <w:tab/>
        <w:t>Will the outside counsel be asked for legal analysis regarding the Constitutionality of the Impact Fee Act?</w:t>
      </w:r>
    </w:p>
    <w:p w:rsidR="00DB145E" w:rsidRDefault="00DB145E" w:rsidP="00DB145E">
      <w:pPr>
        <w:pStyle w:val="PlainText"/>
      </w:pPr>
    </w:p>
    <w:p w:rsidR="00DB145E" w:rsidRDefault="00DB145E" w:rsidP="00DB145E">
      <w:pPr>
        <w:pStyle w:val="PlainText"/>
      </w:pPr>
      <w:r>
        <w:t>No.</w:t>
      </w:r>
      <w:r w:rsidR="002E1A57">
        <w:t xml:space="preserve">  </w:t>
      </w:r>
      <w:r w:rsidR="00C117C8">
        <w:t>Outside counsel may be asked regarding the legal precedent regarding Constitutionality of local zoning ordinances generally.</w:t>
      </w:r>
    </w:p>
    <w:p w:rsidR="002E1A57" w:rsidRDefault="002E1A57" w:rsidP="00DB145E">
      <w:pPr>
        <w:pStyle w:val="PlainText"/>
      </w:pPr>
    </w:p>
    <w:p w:rsidR="002E1A57" w:rsidRDefault="002E1A57" w:rsidP="00DB145E">
      <w:pPr>
        <w:pStyle w:val="PlainText"/>
      </w:pPr>
    </w:p>
    <w:p w:rsidR="002E1A57" w:rsidRDefault="002E1A57" w:rsidP="002E1A57">
      <w:pPr>
        <w:pStyle w:val="PlainText"/>
        <w:ind w:left="1080" w:right="720" w:hanging="360"/>
      </w:pPr>
      <w:r>
        <w:t>7.</w:t>
      </w:r>
      <w:r>
        <w:tab/>
        <w:t>How far will outside counsel be asked to travel?</w:t>
      </w:r>
    </w:p>
    <w:p w:rsidR="002E1A57" w:rsidRDefault="002E1A57" w:rsidP="002E1A57">
      <w:pPr>
        <w:pStyle w:val="PlainText"/>
        <w:ind w:left="1080" w:right="720" w:hanging="360"/>
      </w:pPr>
    </w:p>
    <w:p w:rsidR="006907E0" w:rsidRDefault="002E1A57" w:rsidP="002E1A57">
      <w:pPr>
        <w:pStyle w:val="PlainText"/>
      </w:pPr>
      <w:r>
        <w:t>Outside counsel may need to attend meetings at our offices in Harrisburg.</w:t>
      </w:r>
    </w:p>
    <w:p w:rsidR="002E1A57" w:rsidRDefault="002E1A57" w:rsidP="002E1A57">
      <w:pPr>
        <w:pStyle w:val="PlainText"/>
      </w:pPr>
    </w:p>
    <w:p w:rsidR="002E1A57" w:rsidRDefault="002E1A57" w:rsidP="002E1A57">
      <w:pPr>
        <w:pStyle w:val="PlainText"/>
      </w:pPr>
    </w:p>
    <w:p w:rsidR="002E1A57" w:rsidRDefault="00B17A96" w:rsidP="002E1A57">
      <w:pPr>
        <w:pStyle w:val="PlainText"/>
        <w:ind w:left="1080" w:right="720" w:hanging="360"/>
      </w:pPr>
      <w:r>
        <w:t>8.</w:t>
      </w:r>
      <w:r>
        <w:tab/>
        <w:t xml:space="preserve">What is the range of hourly rates that would </w:t>
      </w:r>
      <w:r w:rsidR="000D26EF">
        <w:t xml:space="preserve">be </w:t>
      </w:r>
      <w:r>
        <w:t>acceptable?</w:t>
      </w:r>
    </w:p>
    <w:p w:rsidR="00B17A96" w:rsidRDefault="00B17A96" w:rsidP="00B17A96">
      <w:pPr>
        <w:pStyle w:val="PlainText"/>
      </w:pPr>
    </w:p>
    <w:p w:rsidR="00B17A96" w:rsidRDefault="00B17A96" w:rsidP="00B17A96">
      <w:pPr>
        <w:pStyle w:val="PlainText"/>
      </w:pPr>
      <w:r>
        <w:t xml:space="preserve">Normal attorney rates for similar work.  </w:t>
      </w:r>
      <w:r w:rsidR="0052641E">
        <w:t>C</w:t>
      </w:r>
      <w:r>
        <w:t>ost is 30% of the scoring criteria; therefore the level of hourly rates, relative to experience and skill, will be a factor in scoring.</w:t>
      </w:r>
    </w:p>
    <w:p w:rsidR="00B17A96" w:rsidRDefault="00B17A96" w:rsidP="00B17A96">
      <w:pPr>
        <w:pStyle w:val="PlainText"/>
      </w:pPr>
    </w:p>
    <w:p w:rsidR="00B17A96" w:rsidRDefault="00B17A96" w:rsidP="00B17A96">
      <w:pPr>
        <w:pStyle w:val="PlainText"/>
      </w:pPr>
      <w:r>
        <w:t xml:space="preserve">  </w:t>
      </w:r>
    </w:p>
    <w:p w:rsidR="00B17A96" w:rsidRDefault="00B17A96" w:rsidP="00B17A96">
      <w:pPr>
        <w:pStyle w:val="PlainText"/>
        <w:ind w:left="1080" w:right="720" w:hanging="360"/>
      </w:pPr>
      <w:r>
        <w:t>9.</w:t>
      </w:r>
      <w:r>
        <w:tab/>
        <w:t xml:space="preserve">Will outside counsel be </w:t>
      </w:r>
      <w:r w:rsidR="00C117C8">
        <w:t>the primary attorney regarding any assignments?</w:t>
      </w:r>
    </w:p>
    <w:p w:rsidR="00C117C8" w:rsidRDefault="00C117C8" w:rsidP="00B17A96">
      <w:pPr>
        <w:pStyle w:val="PlainText"/>
        <w:ind w:left="1080" w:right="720" w:hanging="360"/>
      </w:pPr>
    </w:p>
    <w:p w:rsidR="00B17A96" w:rsidRDefault="00C117C8" w:rsidP="00B17A96">
      <w:pPr>
        <w:pStyle w:val="PlainText"/>
      </w:pPr>
      <w:r>
        <w:t xml:space="preserve">No.  Outside counsel will provide generalized legal counsel on local zoning and municipal law to Commission staff (primarily Law Bureau attorneys) to enable Commission staff to render advisory opinions to municipalities on municipal zoning ordinances, and for Commission staff to address challenges brought before the Commission to local zoning ordinances from aggrieved parties.   </w:t>
      </w:r>
    </w:p>
    <w:p w:rsidR="00C117C8" w:rsidRDefault="00C117C8" w:rsidP="00B17A96">
      <w:pPr>
        <w:pStyle w:val="PlainText"/>
      </w:pPr>
    </w:p>
    <w:p w:rsidR="00C117C8" w:rsidRDefault="00C117C8" w:rsidP="00B17A96">
      <w:pPr>
        <w:pStyle w:val="PlainText"/>
      </w:pPr>
    </w:p>
    <w:p w:rsidR="00C117C8" w:rsidRDefault="00C117C8" w:rsidP="00C117C8">
      <w:pPr>
        <w:pStyle w:val="PlainText"/>
        <w:ind w:left="1080" w:right="720" w:hanging="360"/>
      </w:pPr>
      <w:r>
        <w:t>10.</w:t>
      </w:r>
      <w:r>
        <w:tab/>
        <w:t>What is expected turnaround time for assignments?</w:t>
      </w:r>
    </w:p>
    <w:p w:rsidR="00C117C8" w:rsidRDefault="00C117C8" w:rsidP="00C117C8">
      <w:pPr>
        <w:pStyle w:val="PlainText"/>
        <w:ind w:left="1080" w:right="720" w:hanging="360"/>
      </w:pPr>
    </w:p>
    <w:p w:rsidR="00C117C8" w:rsidRDefault="00C117C8" w:rsidP="00C117C8">
      <w:pPr>
        <w:pStyle w:val="PlainText"/>
      </w:pPr>
      <w:r>
        <w:t xml:space="preserve">For </w:t>
      </w:r>
      <w:r w:rsidR="00D37B08">
        <w:t>more straightforward questions, a few days</w:t>
      </w:r>
      <w:r w:rsidR="0052641E">
        <w:t xml:space="preserve"> to a week</w:t>
      </w:r>
      <w:r w:rsidR="00D37B08">
        <w:t xml:space="preserve">.  For more complex or general questions, a few weeks.  </w:t>
      </w:r>
    </w:p>
    <w:sectPr w:rsidR="00C117C8" w:rsidSect="00391CF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BB0" w:rsidRDefault="00722BB0" w:rsidP="00DB145E">
      <w:pPr>
        <w:spacing w:after="0" w:line="240" w:lineRule="auto"/>
      </w:pPr>
      <w:r>
        <w:separator/>
      </w:r>
    </w:p>
  </w:endnote>
  <w:endnote w:type="continuationSeparator" w:id="0">
    <w:p w:rsidR="00722BB0" w:rsidRDefault="00722BB0" w:rsidP="00DB1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091881"/>
      <w:docPartObj>
        <w:docPartGallery w:val="Page Numbers (Bottom of Page)"/>
        <w:docPartUnique/>
      </w:docPartObj>
    </w:sdtPr>
    <w:sdtEndPr>
      <w:rPr>
        <w:noProof/>
      </w:rPr>
    </w:sdtEndPr>
    <w:sdtContent>
      <w:p w:rsidR="00DB145E" w:rsidRDefault="00DB145E">
        <w:pPr>
          <w:pStyle w:val="Footer"/>
          <w:jc w:val="center"/>
        </w:pPr>
        <w:r>
          <w:fldChar w:fldCharType="begin"/>
        </w:r>
        <w:r>
          <w:instrText xml:space="preserve"> PAGE   \* MERGEFORMAT </w:instrText>
        </w:r>
        <w:r>
          <w:fldChar w:fldCharType="separate"/>
        </w:r>
        <w:r w:rsidR="00F56256">
          <w:rPr>
            <w:noProof/>
          </w:rPr>
          <w:t>1</w:t>
        </w:r>
        <w:r>
          <w:rPr>
            <w:noProof/>
          </w:rPr>
          <w:fldChar w:fldCharType="end"/>
        </w:r>
      </w:p>
    </w:sdtContent>
  </w:sdt>
  <w:p w:rsidR="00DB145E" w:rsidRDefault="00DB14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BB0" w:rsidRDefault="00722BB0" w:rsidP="00DB145E">
      <w:pPr>
        <w:spacing w:after="0" w:line="240" w:lineRule="auto"/>
      </w:pPr>
      <w:r>
        <w:separator/>
      </w:r>
    </w:p>
  </w:footnote>
  <w:footnote w:type="continuationSeparator" w:id="0">
    <w:p w:rsidR="00722BB0" w:rsidRDefault="00722BB0" w:rsidP="00DB14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8E6"/>
    <w:rsid w:val="000336BA"/>
    <w:rsid w:val="000D26EF"/>
    <w:rsid w:val="001C0EB3"/>
    <w:rsid w:val="002E1A57"/>
    <w:rsid w:val="00305CC3"/>
    <w:rsid w:val="00391CF1"/>
    <w:rsid w:val="003B3333"/>
    <w:rsid w:val="0052641E"/>
    <w:rsid w:val="006907E0"/>
    <w:rsid w:val="00722BB0"/>
    <w:rsid w:val="008261BE"/>
    <w:rsid w:val="00881C7E"/>
    <w:rsid w:val="008A68E6"/>
    <w:rsid w:val="00AC42E3"/>
    <w:rsid w:val="00B17A96"/>
    <w:rsid w:val="00B41701"/>
    <w:rsid w:val="00B8552F"/>
    <w:rsid w:val="00C117C8"/>
    <w:rsid w:val="00C16DE3"/>
    <w:rsid w:val="00CC1B7A"/>
    <w:rsid w:val="00D20B34"/>
    <w:rsid w:val="00D37B08"/>
    <w:rsid w:val="00DB145E"/>
    <w:rsid w:val="00DF29A0"/>
    <w:rsid w:val="00F56256"/>
    <w:rsid w:val="00FE1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36BA"/>
    <w:rPr>
      <w:color w:val="0000FF" w:themeColor="hyperlink"/>
      <w:u w:val="single"/>
    </w:rPr>
  </w:style>
  <w:style w:type="paragraph" w:styleId="PlainText">
    <w:name w:val="Plain Text"/>
    <w:basedOn w:val="Normal"/>
    <w:link w:val="PlainTextChar"/>
    <w:uiPriority w:val="99"/>
    <w:semiHidden/>
    <w:unhideWhenUsed/>
    <w:rsid w:val="00DB145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B145E"/>
    <w:rPr>
      <w:rFonts w:ascii="Calibri" w:hAnsi="Calibri"/>
      <w:szCs w:val="21"/>
    </w:rPr>
  </w:style>
  <w:style w:type="paragraph" w:styleId="Header">
    <w:name w:val="header"/>
    <w:basedOn w:val="Normal"/>
    <w:link w:val="HeaderChar"/>
    <w:uiPriority w:val="99"/>
    <w:unhideWhenUsed/>
    <w:rsid w:val="00DB1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45E"/>
  </w:style>
  <w:style w:type="paragraph" w:styleId="Footer">
    <w:name w:val="footer"/>
    <w:basedOn w:val="Normal"/>
    <w:link w:val="FooterChar"/>
    <w:uiPriority w:val="99"/>
    <w:unhideWhenUsed/>
    <w:rsid w:val="00DB1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4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36BA"/>
    <w:rPr>
      <w:color w:val="0000FF" w:themeColor="hyperlink"/>
      <w:u w:val="single"/>
    </w:rPr>
  </w:style>
  <w:style w:type="paragraph" w:styleId="PlainText">
    <w:name w:val="Plain Text"/>
    <w:basedOn w:val="Normal"/>
    <w:link w:val="PlainTextChar"/>
    <w:uiPriority w:val="99"/>
    <w:semiHidden/>
    <w:unhideWhenUsed/>
    <w:rsid w:val="00DB145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B145E"/>
    <w:rPr>
      <w:rFonts w:ascii="Calibri" w:hAnsi="Calibri"/>
      <w:szCs w:val="21"/>
    </w:rPr>
  </w:style>
  <w:style w:type="paragraph" w:styleId="Header">
    <w:name w:val="header"/>
    <w:basedOn w:val="Normal"/>
    <w:link w:val="HeaderChar"/>
    <w:uiPriority w:val="99"/>
    <w:unhideWhenUsed/>
    <w:rsid w:val="00DB1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45E"/>
  </w:style>
  <w:style w:type="paragraph" w:styleId="Footer">
    <w:name w:val="footer"/>
    <w:basedOn w:val="Normal"/>
    <w:link w:val="FooterChar"/>
    <w:uiPriority w:val="99"/>
    <w:unhideWhenUsed/>
    <w:rsid w:val="00DB1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45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drews@mw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sisko@mhck.com"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reapsome@fclarkresources.com" TargetMode="External"/><Relationship Id="rId5" Type="http://schemas.openxmlformats.org/officeDocument/2006/relationships/footnotes" Target="footnotes.xml"/><Relationship Id="rId10" Type="http://schemas.openxmlformats.org/officeDocument/2006/relationships/hyperlink" Target="mailto:sdzuranin@wwwpalaw.com" TargetMode="External"/><Relationship Id="rId4" Type="http://schemas.openxmlformats.org/officeDocument/2006/relationships/webSettings" Target="webSettings.xml"/><Relationship Id="rId9" Type="http://schemas.openxmlformats.org/officeDocument/2006/relationships/hyperlink" Target="mailto:Michael.chabitnoy@bip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sbainbridg2</dc:creator>
  <cp:lastModifiedBy>cypage</cp:lastModifiedBy>
  <cp:revision>2</cp:revision>
  <dcterms:created xsi:type="dcterms:W3CDTF">2012-03-28T20:07:00Z</dcterms:created>
  <dcterms:modified xsi:type="dcterms:W3CDTF">2012-03-28T20:07:00Z</dcterms:modified>
</cp:coreProperties>
</file>