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2F58F8">
        <w:tc>
          <w:tcPr>
            <w:tcW w:w="2448" w:type="dxa"/>
          </w:tcPr>
          <w:p w:rsidR="00D850D4" w:rsidRPr="002F58F8" w:rsidRDefault="00D850D4" w:rsidP="00092C0A">
            <w:pPr>
              <w:pStyle w:val="Heading3"/>
              <w:rPr>
                <w:rFonts w:ascii="Times New Roman" w:hAnsi="Times New Roman" w:cs="Times New Roman"/>
              </w:rPr>
            </w:pPr>
          </w:p>
        </w:tc>
        <w:tc>
          <w:tcPr>
            <w:tcW w:w="5130" w:type="dxa"/>
          </w:tcPr>
          <w:p w:rsidR="00D850D4" w:rsidRPr="002F58F8" w:rsidRDefault="00D850D4" w:rsidP="003921DD">
            <w:pPr>
              <w:spacing w:line="240" w:lineRule="auto"/>
              <w:jc w:val="center"/>
              <w:rPr>
                <w:b/>
                <w:sz w:val="26"/>
                <w:szCs w:val="26"/>
              </w:rPr>
            </w:pPr>
            <w:r w:rsidRPr="002F58F8">
              <w:rPr>
                <w:b/>
                <w:sz w:val="26"/>
                <w:szCs w:val="26"/>
              </w:rPr>
              <w:t>PENNSYLVANIA</w:t>
            </w:r>
          </w:p>
          <w:p w:rsidR="00D850D4" w:rsidRPr="002F58F8" w:rsidRDefault="00D850D4" w:rsidP="003921DD">
            <w:pPr>
              <w:spacing w:line="240" w:lineRule="auto"/>
              <w:jc w:val="center"/>
              <w:rPr>
                <w:b/>
                <w:sz w:val="26"/>
                <w:szCs w:val="26"/>
              </w:rPr>
            </w:pPr>
            <w:r w:rsidRPr="002F58F8">
              <w:rPr>
                <w:b/>
                <w:sz w:val="26"/>
                <w:szCs w:val="26"/>
              </w:rPr>
              <w:t>PUBLIC UTILITY COMMISSION</w:t>
            </w:r>
          </w:p>
          <w:p w:rsidR="00D850D4" w:rsidRPr="002F58F8" w:rsidRDefault="00D850D4" w:rsidP="003921DD">
            <w:pPr>
              <w:pStyle w:val="StyleCentered"/>
              <w:spacing w:line="240" w:lineRule="auto"/>
              <w:rPr>
                <w:b/>
                <w:sz w:val="26"/>
                <w:szCs w:val="26"/>
              </w:rPr>
            </w:pPr>
            <w:r w:rsidRPr="002F58F8">
              <w:rPr>
                <w:b/>
                <w:sz w:val="26"/>
                <w:szCs w:val="26"/>
              </w:rPr>
              <w:t>Harrisburg</w:t>
            </w:r>
            <w:r w:rsidR="006048E2" w:rsidRPr="002F58F8">
              <w:rPr>
                <w:b/>
                <w:sz w:val="26"/>
                <w:szCs w:val="26"/>
              </w:rPr>
              <w:t>, PA</w:t>
            </w:r>
            <w:r w:rsidRPr="002F58F8">
              <w:rPr>
                <w:b/>
                <w:sz w:val="26"/>
                <w:szCs w:val="26"/>
              </w:rPr>
              <w:t xml:space="preserve">  17105-3265</w:t>
            </w:r>
          </w:p>
        </w:tc>
        <w:tc>
          <w:tcPr>
            <w:tcW w:w="2700" w:type="dxa"/>
          </w:tcPr>
          <w:p w:rsidR="00D850D4" w:rsidRPr="002F58F8" w:rsidRDefault="00D850D4">
            <w:pPr>
              <w:rPr>
                <w:sz w:val="26"/>
                <w:szCs w:val="26"/>
              </w:rPr>
            </w:pPr>
          </w:p>
        </w:tc>
      </w:tr>
    </w:tbl>
    <w:p w:rsidR="00D850D4" w:rsidRPr="002F58F8"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2F58F8">
        <w:tc>
          <w:tcPr>
            <w:tcW w:w="5148" w:type="dxa"/>
          </w:tcPr>
          <w:p w:rsidR="00D850D4" w:rsidRPr="002F58F8" w:rsidRDefault="00D850D4">
            <w:pPr>
              <w:rPr>
                <w:sz w:val="26"/>
                <w:szCs w:val="26"/>
              </w:rPr>
            </w:pPr>
          </w:p>
        </w:tc>
        <w:tc>
          <w:tcPr>
            <w:tcW w:w="5148" w:type="dxa"/>
          </w:tcPr>
          <w:p w:rsidR="00D850D4" w:rsidRPr="002F58F8" w:rsidRDefault="00D850D4" w:rsidP="00205B68">
            <w:pPr>
              <w:ind w:firstLine="612"/>
              <w:rPr>
                <w:sz w:val="26"/>
                <w:szCs w:val="26"/>
              </w:rPr>
            </w:pPr>
            <w:r w:rsidRPr="002F58F8">
              <w:rPr>
                <w:sz w:val="26"/>
                <w:szCs w:val="26"/>
              </w:rPr>
              <w:t xml:space="preserve">Public Meeting held </w:t>
            </w:r>
            <w:r w:rsidR="00205B68">
              <w:rPr>
                <w:sz w:val="26"/>
                <w:szCs w:val="26"/>
              </w:rPr>
              <w:t>May 10, 2012</w:t>
            </w:r>
          </w:p>
        </w:tc>
      </w:tr>
      <w:tr w:rsidR="00D850D4" w:rsidRPr="002F58F8">
        <w:tc>
          <w:tcPr>
            <w:tcW w:w="5148" w:type="dxa"/>
          </w:tcPr>
          <w:p w:rsidR="00D850D4" w:rsidRPr="002F58F8" w:rsidRDefault="00D850D4">
            <w:pPr>
              <w:rPr>
                <w:sz w:val="26"/>
                <w:szCs w:val="26"/>
              </w:rPr>
            </w:pPr>
            <w:r w:rsidRPr="002F58F8">
              <w:rPr>
                <w:sz w:val="26"/>
                <w:szCs w:val="26"/>
              </w:rPr>
              <w:t>Commissioners Present:</w:t>
            </w:r>
          </w:p>
        </w:tc>
        <w:tc>
          <w:tcPr>
            <w:tcW w:w="5148" w:type="dxa"/>
          </w:tcPr>
          <w:p w:rsidR="00D850D4" w:rsidRPr="002F58F8" w:rsidRDefault="00D850D4">
            <w:pPr>
              <w:rPr>
                <w:sz w:val="26"/>
                <w:szCs w:val="26"/>
              </w:rPr>
            </w:pPr>
          </w:p>
        </w:tc>
      </w:tr>
    </w:tbl>
    <w:p w:rsidR="00D850D4" w:rsidRPr="002F58F8"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4E58A5" w:rsidRPr="002F58F8" w:rsidTr="00107AB8">
        <w:tc>
          <w:tcPr>
            <w:tcW w:w="9378" w:type="dxa"/>
            <w:gridSpan w:val="3"/>
          </w:tcPr>
          <w:p w:rsidR="00205B68" w:rsidRDefault="00205B68" w:rsidP="00C02265">
            <w:pPr>
              <w:spacing w:line="276" w:lineRule="auto"/>
              <w:ind w:left="90" w:firstLine="630"/>
              <w:rPr>
                <w:sz w:val="26"/>
                <w:szCs w:val="26"/>
              </w:rPr>
            </w:pPr>
            <w:r w:rsidRPr="00205B68">
              <w:rPr>
                <w:sz w:val="26"/>
                <w:szCs w:val="26"/>
              </w:rPr>
              <w:t>Robert F. Powelson</w:t>
            </w:r>
            <w:r>
              <w:rPr>
                <w:sz w:val="26"/>
                <w:szCs w:val="26"/>
              </w:rPr>
              <w:t xml:space="preserve">, </w:t>
            </w:r>
            <w:r w:rsidRPr="00205B68">
              <w:rPr>
                <w:sz w:val="26"/>
                <w:szCs w:val="26"/>
              </w:rPr>
              <w:t>Chairman</w:t>
            </w:r>
          </w:p>
          <w:p w:rsidR="00205B68" w:rsidRDefault="00205B68" w:rsidP="00C02265">
            <w:pPr>
              <w:spacing w:line="276" w:lineRule="auto"/>
              <w:ind w:left="90" w:firstLine="630"/>
              <w:rPr>
                <w:sz w:val="26"/>
                <w:szCs w:val="26"/>
              </w:rPr>
            </w:pPr>
            <w:r w:rsidRPr="00205B68">
              <w:rPr>
                <w:sz w:val="26"/>
                <w:szCs w:val="26"/>
              </w:rPr>
              <w:t>John F. Coleman, Jr.</w:t>
            </w:r>
            <w:r>
              <w:rPr>
                <w:sz w:val="26"/>
                <w:szCs w:val="26"/>
              </w:rPr>
              <w:t xml:space="preserve">, </w:t>
            </w:r>
            <w:r w:rsidRPr="00205B68">
              <w:rPr>
                <w:sz w:val="26"/>
                <w:szCs w:val="26"/>
              </w:rPr>
              <w:t>Vice Chairman</w:t>
            </w:r>
          </w:p>
          <w:p w:rsidR="00B107FC" w:rsidRDefault="00B107FC" w:rsidP="00C02265">
            <w:pPr>
              <w:spacing w:line="276" w:lineRule="auto"/>
              <w:ind w:left="90" w:firstLine="630"/>
              <w:rPr>
                <w:sz w:val="26"/>
                <w:szCs w:val="26"/>
              </w:rPr>
            </w:pPr>
            <w:r>
              <w:rPr>
                <w:sz w:val="26"/>
                <w:szCs w:val="26"/>
              </w:rPr>
              <w:t>Wayne E. Gardner</w:t>
            </w:r>
          </w:p>
          <w:p w:rsidR="00205B68" w:rsidRDefault="004E58A5" w:rsidP="00C02265">
            <w:pPr>
              <w:spacing w:line="276" w:lineRule="auto"/>
              <w:ind w:left="90" w:firstLine="630"/>
              <w:rPr>
                <w:sz w:val="26"/>
                <w:szCs w:val="26"/>
              </w:rPr>
            </w:pPr>
            <w:r w:rsidRPr="002F58F8">
              <w:rPr>
                <w:sz w:val="26"/>
                <w:szCs w:val="26"/>
              </w:rPr>
              <w:t>James H. Cawley</w:t>
            </w:r>
          </w:p>
          <w:p w:rsidR="004E58A5" w:rsidRPr="002F58F8" w:rsidRDefault="00205B68" w:rsidP="00C02265">
            <w:pPr>
              <w:spacing w:line="276" w:lineRule="auto"/>
              <w:ind w:left="90" w:firstLine="630"/>
              <w:rPr>
                <w:sz w:val="26"/>
                <w:szCs w:val="26"/>
              </w:rPr>
            </w:pPr>
            <w:r>
              <w:rPr>
                <w:sz w:val="26"/>
                <w:szCs w:val="26"/>
              </w:rPr>
              <w:t>Pamela A. Witmer</w:t>
            </w:r>
            <w:r w:rsidR="004E58A5" w:rsidRPr="002F58F8">
              <w:rPr>
                <w:sz w:val="26"/>
                <w:szCs w:val="26"/>
              </w:rPr>
              <w:t xml:space="preserve"> </w:t>
            </w:r>
          </w:p>
        </w:tc>
        <w:tc>
          <w:tcPr>
            <w:tcW w:w="918" w:type="dxa"/>
          </w:tcPr>
          <w:p w:rsidR="004E58A5" w:rsidRPr="002F58F8" w:rsidRDefault="004E58A5">
            <w:pPr>
              <w:rPr>
                <w:sz w:val="26"/>
                <w:szCs w:val="26"/>
              </w:rPr>
            </w:pPr>
          </w:p>
        </w:tc>
      </w:tr>
      <w:tr w:rsidR="00F70FFE" w:rsidRPr="002F58F8" w:rsidTr="00F70FFE">
        <w:trPr>
          <w:gridAfter w:val="2"/>
          <w:wAfter w:w="1440" w:type="dxa"/>
        </w:trPr>
        <w:tc>
          <w:tcPr>
            <w:tcW w:w="5958" w:type="dxa"/>
          </w:tcPr>
          <w:p w:rsidR="00F70FFE" w:rsidRPr="00E73E94" w:rsidRDefault="00F70FFE" w:rsidP="00C02265">
            <w:pPr>
              <w:spacing w:line="276" w:lineRule="auto"/>
              <w:rPr>
                <w:sz w:val="26"/>
                <w:szCs w:val="26"/>
              </w:rPr>
            </w:pPr>
          </w:p>
        </w:tc>
        <w:tc>
          <w:tcPr>
            <w:tcW w:w="2898" w:type="dxa"/>
          </w:tcPr>
          <w:p w:rsidR="00F70FFE" w:rsidRPr="00E73E94" w:rsidRDefault="00F70FFE" w:rsidP="00F70FFE">
            <w:pPr>
              <w:jc w:val="center"/>
              <w:rPr>
                <w:sz w:val="26"/>
                <w:szCs w:val="26"/>
              </w:rPr>
            </w:pPr>
          </w:p>
        </w:tc>
      </w:tr>
    </w:tbl>
    <w:p w:rsidR="00E96680" w:rsidRDefault="00E96680" w:rsidP="00796A87">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5653AA" w:rsidTr="005653AA">
        <w:tc>
          <w:tcPr>
            <w:tcW w:w="5238" w:type="dxa"/>
          </w:tcPr>
          <w:p w:rsidR="005653AA" w:rsidRDefault="005653AA" w:rsidP="00801258">
            <w:pPr>
              <w:spacing w:line="240" w:lineRule="auto"/>
              <w:rPr>
                <w:sz w:val="26"/>
                <w:szCs w:val="26"/>
              </w:rPr>
            </w:pPr>
            <w:r>
              <w:rPr>
                <w:sz w:val="26"/>
                <w:szCs w:val="26"/>
              </w:rPr>
              <w:t xml:space="preserve">Investigation Regarding Intrastate Access Charges and </w:t>
            </w:r>
            <w:proofErr w:type="spellStart"/>
            <w:r>
              <w:rPr>
                <w:sz w:val="26"/>
                <w:szCs w:val="26"/>
              </w:rPr>
              <w:t>IntraLATA</w:t>
            </w:r>
            <w:proofErr w:type="spellEnd"/>
            <w:r>
              <w:rPr>
                <w:sz w:val="26"/>
                <w:szCs w:val="26"/>
              </w:rPr>
              <w:t xml:space="preserve"> Toll Rates of Rural Carriers and The </w:t>
            </w:r>
            <w:r w:rsidRPr="005653AA">
              <w:rPr>
                <w:sz w:val="26"/>
                <w:szCs w:val="26"/>
              </w:rPr>
              <w:t>Pennsylvania</w:t>
            </w:r>
            <w:r>
              <w:rPr>
                <w:sz w:val="26"/>
                <w:szCs w:val="26"/>
              </w:rPr>
              <w:t xml:space="preserve"> Universal Service Fund</w:t>
            </w:r>
          </w:p>
          <w:p w:rsidR="005653AA" w:rsidRDefault="005653AA" w:rsidP="00801258">
            <w:pPr>
              <w:spacing w:line="240" w:lineRule="auto"/>
              <w:rPr>
                <w:sz w:val="26"/>
                <w:szCs w:val="26"/>
              </w:rPr>
            </w:pPr>
          </w:p>
        </w:tc>
        <w:tc>
          <w:tcPr>
            <w:tcW w:w="4338" w:type="dxa"/>
          </w:tcPr>
          <w:p w:rsidR="005653AA" w:rsidRDefault="005653AA" w:rsidP="005653AA">
            <w:pPr>
              <w:rPr>
                <w:sz w:val="26"/>
                <w:szCs w:val="26"/>
              </w:rPr>
            </w:pPr>
            <w:r>
              <w:rPr>
                <w:sz w:val="26"/>
                <w:szCs w:val="26"/>
              </w:rPr>
              <w:tab/>
            </w:r>
            <w:r>
              <w:rPr>
                <w:sz w:val="26"/>
                <w:szCs w:val="26"/>
              </w:rPr>
              <w:tab/>
              <w:t>I-00040105</w:t>
            </w:r>
          </w:p>
        </w:tc>
      </w:tr>
      <w:tr w:rsidR="005653AA" w:rsidTr="005653AA">
        <w:tc>
          <w:tcPr>
            <w:tcW w:w="5238" w:type="dxa"/>
          </w:tcPr>
          <w:p w:rsidR="005653AA" w:rsidRDefault="005653AA" w:rsidP="00801258">
            <w:pPr>
              <w:spacing w:line="240" w:lineRule="auto"/>
              <w:rPr>
                <w:sz w:val="26"/>
                <w:szCs w:val="26"/>
              </w:rPr>
            </w:pPr>
            <w:r>
              <w:rPr>
                <w:sz w:val="26"/>
                <w:szCs w:val="26"/>
              </w:rPr>
              <w:t xml:space="preserve">AT&amp;T Communications of </w:t>
            </w:r>
            <w:r w:rsidRPr="005653AA">
              <w:rPr>
                <w:sz w:val="26"/>
                <w:szCs w:val="26"/>
              </w:rPr>
              <w:t>Pennsylvania</w:t>
            </w:r>
            <w:r>
              <w:rPr>
                <w:sz w:val="26"/>
                <w:szCs w:val="26"/>
              </w:rPr>
              <w:t xml:space="preserve">, </w:t>
            </w:r>
            <w:r>
              <w:rPr>
                <w:i/>
                <w:sz w:val="26"/>
                <w:szCs w:val="26"/>
              </w:rPr>
              <w:t>et al.</w:t>
            </w:r>
          </w:p>
          <w:p w:rsidR="005653AA" w:rsidRDefault="005653AA" w:rsidP="00801258">
            <w:pPr>
              <w:spacing w:line="240" w:lineRule="auto"/>
              <w:rPr>
                <w:sz w:val="26"/>
                <w:szCs w:val="26"/>
              </w:rPr>
            </w:pPr>
            <w:r>
              <w:rPr>
                <w:sz w:val="26"/>
                <w:szCs w:val="26"/>
              </w:rPr>
              <w:tab/>
            </w:r>
            <w:r>
              <w:rPr>
                <w:sz w:val="26"/>
                <w:szCs w:val="26"/>
              </w:rPr>
              <w:tab/>
            </w:r>
            <w:proofErr w:type="gramStart"/>
            <w:r>
              <w:rPr>
                <w:sz w:val="26"/>
                <w:szCs w:val="26"/>
              </w:rPr>
              <w:t>v</w:t>
            </w:r>
            <w:proofErr w:type="gramEnd"/>
            <w:r>
              <w:rPr>
                <w:sz w:val="26"/>
                <w:szCs w:val="26"/>
              </w:rPr>
              <w:t>.</w:t>
            </w:r>
          </w:p>
          <w:p w:rsidR="005653AA" w:rsidRDefault="005653AA" w:rsidP="00801258">
            <w:pPr>
              <w:spacing w:line="240" w:lineRule="auto"/>
              <w:rPr>
                <w:sz w:val="26"/>
                <w:szCs w:val="26"/>
              </w:rPr>
            </w:pPr>
            <w:r>
              <w:rPr>
                <w:sz w:val="26"/>
                <w:szCs w:val="26"/>
              </w:rPr>
              <w:t>Armstrong Telephone Company-</w:t>
            </w:r>
            <w:r w:rsidRPr="005653AA">
              <w:rPr>
                <w:sz w:val="26"/>
                <w:szCs w:val="26"/>
              </w:rPr>
              <w:t>Pennsylvania</w:t>
            </w:r>
            <w:r>
              <w:rPr>
                <w:sz w:val="26"/>
                <w:szCs w:val="26"/>
              </w:rPr>
              <w:t xml:space="preserve">, </w:t>
            </w:r>
            <w:r>
              <w:rPr>
                <w:i/>
                <w:sz w:val="26"/>
                <w:szCs w:val="26"/>
              </w:rPr>
              <w:t>et al.</w:t>
            </w:r>
          </w:p>
          <w:p w:rsidR="005653AA" w:rsidRPr="005653AA" w:rsidRDefault="005653AA" w:rsidP="00801258">
            <w:pPr>
              <w:spacing w:line="240" w:lineRule="auto"/>
              <w:rPr>
                <w:sz w:val="26"/>
                <w:szCs w:val="26"/>
              </w:rPr>
            </w:pPr>
          </w:p>
        </w:tc>
        <w:tc>
          <w:tcPr>
            <w:tcW w:w="4338" w:type="dxa"/>
          </w:tcPr>
          <w:p w:rsidR="005653AA" w:rsidRPr="005653AA" w:rsidRDefault="005653AA" w:rsidP="005653AA">
            <w:pPr>
              <w:rPr>
                <w:i/>
                <w:sz w:val="26"/>
                <w:szCs w:val="26"/>
              </w:rPr>
            </w:pPr>
            <w:r>
              <w:rPr>
                <w:sz w:val="26"/>
                <w:szCs w:val="26"/>
              </w:rPr>
              <w:tab/>
            </w:r>
            <w:r>
              <w:rPr>
                <w:sz w:val="26"/>
                <w:szCs w:val="26"/>
              </w:rPr>
              <w:tab/>
              <w:t xml:space="preserve">C-2009-2098380, </w:t>
            </w:r>
            <w:r>
              <w:rPr>
                <w:i/>
                <w:sz w:val="26"/>
                <w:szCs w:val="26"/>
              </w:rPr>
              <w:t>et al.</w:t>
            </w:r>
          </w:p>
        </w:tc>
      </w:tr>
      <w:tr w:rsidR="005653AA" w:rsidTr="005653AA">
        <w:tc>
          <w:tcPr>
            <w:tcW w:w="5238" w:type="dxa"/>
          </w:tcPr>
          <w:p w:rsidR="005653AA" w:rsidRDefault="005653AA" w:rsidP="00801258">
            <w:pPr>
              <w:spacing w:line="240" w:lineRule="auto"/>
              <w:rPr>
                <w:sz w:val="26"/>
                <w:szCs w:val="26"/>
              </w:rPr>
            </w:pPr>
            <w:r>
              <w:rPr>
                <w:sz w:val="26"/>
                <w:szCs w:val="26"/>
              </w:rPr>
              <w:t>Implementation of the Federal Communications Commission’s Order of November 18, 2011 As Amended Or Revised</w:t>
            </w:r>
            <w:r w:rsidR="006F2085">
              <w:rPr>
                <w:sz w:val="26"/>
                <w:szCs w:val="26"/>
              </w:rPr>
              <w:t xml:space="preserve"> And Coordination With Certain Intrastate Matters</w:t>
            </w:r>
          </w:p>
        </w:tc>
        <w:tc>
          <w:tcPr>
            <w:tcW w:w="4338" w:type="dxa"/>
          </w:tcPr>
          <w:p w:rsidR="005653AA" w:rsidRDefault="005653AA" w:rsidP="005653AA">
            <w:pPr>
              <w:rPr>
                <w:sz w:val="26"/>
                <w:szCs w:val="26"/>
              </w:rPr>
            </w:pPr>
            <w:r>
              <w:rPr>
                <w:sz w:val="26"/>
                <w:szCs w:val="26"/>
              </w:rPr>
              <w:tab/>
            </w:r>
            <w:r>
              <w:rPr>
                <w:sz w:val="26"/>
                <w:szCs w:val="26"/>
              </w:rPr>
              <w:tab/>
              <w:t>M-2012-2291824</w:t>
            </w:r>
          </w:p>
        </w:tc>
      </w:tr>
    </w:tbl>
    <w:p w:rsidR="005653AA" w:rsidRDefault="005653AA" w:rsidP="00796A87">
      <w:pPr>
        <w:rPr>
          <w:sz w:val="26"/>
          <w:szCs w:val="26"/>
        </w:rPr>
      </w:pPr>
    </w:p>
    <w:p w:rsidR="0007074D" w:rsidRPr="003921DD" w:rsidRDefault="0007074D" w:rsidP="003921DD">
      <w:pPr>
        <w:jc w:val="center"/>
        <w:rPr>
          <w:b/>
          <w:sz w:val="26"/>
          <w:szCs w:val="26"/>
        </w:rPr>
      </w:pPr>
      <w:r>
        <w:rPr>
          <w:b/>
          <w:sz w:val="26"/>
          <w:szCs w:val="26"/>
        </w:rPr>
        <w:t>CONSOLIDATED SHORT FORM AND PROTECTIVE ORDER</w:t>
      </w:r>
    </w:p>
    <w:p w:rsidR="000E58B7" w:rsidRPr="002F58F8" w:rsidRDefault="000E58B7" w:rsidP="00796A87">
      <w:pPr>
        <w:rPr>
          <w:sz w:val="26"/>
          <w:szCs w:val="26"/>
        </w:rPr>
      </w:pPr>
    </w:p>
    <w:p w:rsidR="00513442" w:rsidRPr="002F58F8" w:rsidRDefault="00DF0470" w:rsidP="00796A87">
      <w:pPr>
        <w:pStyle w:val="p3"/>
        <w:rPr>
          <w:b/>
          <w:sz w:val="26"/>
          <w:szCs w:val="26"/>
        </w:rPr>
      </w:pPr>
      <w:r w:rsidRPr="002F58F8">
        <w:rPr>
          <w:b/>
          <w:sz w:val="26"/>
          <w:szCs w:val="26"/>
        </w:rPr>
        <w:t>BY THE COMMISSION:</w:t>
      </w:r>
    </w:p>
    <w:p w:rsidR="00205B68" w:rsidRDefault="00205B68" w:rsidP="00205B68">
      <w:pPr>
        <w:pStyle w:val="p3"/>
        <w:rPr>
          <w:sz w:val="26"/>
          <w:szCs w:val="26"/>
        </w:rPr>
      </w:pPr>
    </w:p>
    <w:p w:rsidR="003921DD" w:rsidRDefault="00205B68" w:rsidP="000707BF">
      <w:pPr>
        <w:pStyle w:val="p3"/>
        <w:tabs>
          <w:tab w:val="clear" w:pos="204"/>
          <w:tab w:val="left" w:pos="720"/>
        </w:tabs>
        <w:rPr>
          <w:sz w:val="26"/>
          <w:szCs w:val="26"/>
        </w:rPr>
      </w:pPr>
      <w:r>
        <w:rPr>
          <w:sz w:val="26"/>
          <w:szCs w:val="26"/>
        </w:rPr>
        <w:tab/>
      </w:r>
      <w:r w:rsidR="00734DA7">
        <w:rPr>
          <w:sz w:val="26"/>
          <w:szCs w:val="26"/>
        </w:rPr>
        <w:t>In accordance with our previous Order entered on March 22, 2012</w:t>
      </w:r>
      <w:r w:rsidR="003921DD">
        <w:rPr>
          <w:sz w:val="26"/>
          <w:szCs w:val="26"/>
        </w:rPr>
        <w:t>,</w:t>
      </w:r>
      <w:r w:rsidR="00734DA7">
        <w:rPr>
          <w:sz w:val="26"/>
          <w:szCs w:val="26"/>
        </w:rPr>
        <w:t xml:space="preserve"> in this proceeding, t</w:t>
      </w:r>
      <w:r w:rsidRPr="00205B68">
        <w:rPr>
          <w:sz w:val="26"/>
          <w:szCs w:val="26"/>
        </w:rPr>
        <w:t xml:space="preserve">his Commission is </w:t>
      </w:r>
      <w:r w:rsidR="00734DA7">
        <w:rPr>
          <w:sz w:val="26"/>
          <w:szCs w:val="26"/>
        </w:rPr>
        <w:t xml:space="preserve">moving ahead </w:t>
      </w:r>
      <w:r w:rsidRPr="00205B68">
        <w:rPr>
          <w:sz w:val="26"/>
          <w:szCs w:val="26"/>
        </w:rPr>
        <w:t>with the implement</w:t>
      </w:r>
      <w:r w:rsidR="00734DA7">
        <w:rPr>
          <w:sz w:val="26"/>
          <w:szCs w:val="26"/>
        </w:rPr>
        <w:t>ation of</w:t>
      </w:r>
      <w:r w:rsidRPr="00205B68">
        <w:rPr>
          <w:sz w:val="26"/>
          <w:szCs w:val="26"/>
        </w:rPr>
        <w:t xml:space="preserve"> the substantial changes to </w:t>
      </w:r>
      <w:r w:rsidR="00734DA7">
        <w:rPr>
          <w:sz w:val="26"/>
          <w:szCs w:val="26"/>
        </w:rPr>
        <w:t xml:space="preserve">the </w:t>
      </w:r>
      <w:r w:rsidRPr="00205B68">
        <w:rPr>
          <w:sz w:val="26"/>
          <w:szCs w:val="26"/>
        </w:rPr>
        <w:t xml:space="preserve">intercarrier carrier compensation </w:t>
      </w:r>
      <w:r w:rsidR="00734DA7">
        <w:rPr>
          <w:sz w:val="26"/>
          <w:szCs w:val="26"/>
        </w:rPr>
        <w:t xml:space="preserve">regime </w:t>
      </w:r>
      <w:r w:rsidRPr="00205B68">
        <w:rPr>
          <w:sz w:val="26"/>
          <w:szCs w:val="26"/>
        </w:rPr>
        <w:t xml:space="preserve">ordered by the Federal </w:t>
      </w:r>
      <w:r w:rsidRPr="00205B68">
        <w:rPr>
          <w:sz w:val="26"/>
          <w:szCs w:val="26"/>
        </w:rPr>
        <w:lastRenderedPageBreak/>
        <w:t>Communications Commission (</w:t>
      </w:r>
      <w:r w:rsidRPr="00205B68">
        <w:rPr>
          <w:i/>
          <w:sz w:val="26"/>
          <w:szCs w:val="26"/>
        </w:rPr>
        <w:t>FCC</w:t>
      </w:r>
      <w:r w:rsidRPr="00205B68">
        <w:rPr>
          <w:sz w:val="26"/>
          <w:szCs w:val="26"/>
        </w:rPr>
        <w:t xml:space="preserve">) in its decision, </w:t>
      </w:r>
      <w:r w:rsidRPr="00205B68">
        <w:rPr>
          <w:i/>
          <w:sz w:val="26"/>
          <w:szCs w:val="26"/>
        </w:rPr>
        <w:t>In re: Connect America Fund,</w:t>
      </w:r>
      <w:r w:rsidRPr="00205B68">
        <w:rPr>
          <w:sz w:val="26"/>
          <w:szCs w:val="26"/>
        </w:rPr>
        <w:t xml:space="preserve"> Docket No. 10-90, et.al. (</w:t>
      </w:r>
      <w:r w:rsidRPr="00205B68">
        <w:rPr>
          <w:i/>
          <w:sz w:val="26"/>
          <w:szCs w:val="26"/>
        </w:rPr>
        <w:t>FCC Orde</w:t>
      </w:r>
      <w:r w:rsidR="00544A8A">
        <w:rPr>
          <w:i/>
          <w:sz w:val="26"/>
          <w:szCs w:val="26"/>
        </w:rPr>
        <w:t>r</w:t>
      </w:r>
      <w:r w:rsidR="00544A8A" w:rsidRPr="003921DD">
        <w:rPr>
          <w:rStyle w:val="FootnoteReference"/>
          <w:sz w:val="26"/>
          <w:szCs w:val="26"/>
        </w:rPr>
        <w:footnoteReference w:id="1"/>
      </w:r>
      <w:r w:rsidRPr="00205B68">
        <w:rPr>
          <w:sz w:val="26"/>
          <w:szCs w:val="26"/>
        </w:rPr>
        <w:t>)</w:t>
      </w:r>
      <w:r w:rsidR="000E58B7">
        <w:rPr>
          <w:sz w:val="26"/>
          <w:szCs w:val="26"/>
        </w:rPr>
        <w:t>.</w:t>
      </w:r>
      <w:r w:rsidR="00544A8A">
        <w:rPr>
          <w:sz w:val="26"/>
          <w:szCs w:val="26"/>
        </w:rPr>
        <w:t xml:space="preserve"> </w:t>
      </w:r>
      <w:r w:rsidRPr="00205B68">
        <w:rPr>
          <w:sz w:val="26"/>
          <w:szCs w:val="26"/>
        </w:rPr>
        <w:t xml:space="preserve"> </w:t>
      </w:r>
      <w:r w:rsidR="00734DA7">
        <w:rPr>
          <w:sz w:val="26"/>
          <w:szCs w:val="26"/>
        </w:rPr>
        <w:t xml:space="preserve">We again note that although the </w:t>
      </w:r>
      <w:r w:rsidR="00734DA7">
        <w:rPr>
          <w:i/>
          <w:sz w:val="26"/>
          <w:szCs w:val="26"/>
        </w:rPr>
        <w:t xml:space="preserve">FCC </w:t>
      </w:r>
      <w:r w:rsidR="00734DA7" w:rsidRPr="00734DA7">
        <w:rPr>
          <w:i/>
          <w:sz w:val="26"/>
          <w:szCs w:val="26"/>
        </w:rPr>
        <w:t>Order</w:t>
      </w:r>
      <w:r w:rsidR="00734DA7">
        <w:rPr>
          <w:sz w:val="26"/>
          <w:szCs w:val="26"/>
        </w:rPr>
        <w:t xml:space="preserve"> has been appealed</w:t>
      </w:r>
      <w:r w:rsidR="006F6FA4">
        <w:rPr>
          <w:sz w:val="26"/>
          <w:szCs w:val="26"/>
        </w:rPr>
        <w:t>, it has not been stayed and it triggers a series of compliance obligations and associated deadlines that involve both regulated telecommunications carriers and State utility commissions.</w:t>
      </w:r>
      <w:r w:rsidR="006F6FA4">
        <w:rPr>
          <w:rStyle w:val="FootnoteReference"/>
          <w:sz w:val="26"/>
          <w:szCs w:val="26"/>
        </w:rPr>
        <w:footnoteReference w:id="2"/>
      </w:r>
      <w:r w:rsidR="006F6FA4">
        <w:rPr>
          <w:sz w:val="26"/>
          <w:szCs w:val="26"/>
        </w:rPr>
        <w:t xml:space="preserve"> </w:t>
      </w:r>
      <w:r w:rsidR="00734DA7">
        <w:rPr>
          <w:sz w:val="26"/>
          <w:szCs w:val="26"/>
        </w:rPr>
        <w:t xml:space="preserve"> </w:t>
      </w:r>
      <w:r w:rsidR="006F6FA4">
        <w:rPr>
          <w:sz w:val="26"/>
          <w:szCs w:val="26"/>
        </w:rPr>
        <w:t xml:space="preserve">The </w:t>
      </w:r>
      <w:r w:rsidR="006F6FA4">
        <w:rPr>
          <w:i/>
          <w:sz w:val="26"/>
          <w:szCs w:val="26"/>
        </w:rPr>
        <w:t>FCC Order</w:t>
      </w:r>
      <w:r w:rsidR="006F6FA4">
        <w:rPr>
          <w:sz w:val="26"/>
          <w:szCs w:val="26"/>
        </w:rPr>
        <w:t xml:space="preserve"> directs a multiyear transition from current intrastate switched carrier access rates to initial parity with federal access rates, and a subseq</w:t>
      </w:r>
      <w:r w:rsidR="00BA1D58">
        <w:rPr>
          <w:sz w:val="26"/>
          <w:szCs w:val="26"/>
        </w:rPr>
        <w:t>uent movement to a uniform bill-</w:t>
      </w:r>
      <w:r w:rsidR="006F6FA4">
        <w:rPr>
          <w:sz w:val="26"/>
          <w:szCs w:val="26"/>
        </w:rPr>
        <w:t>and</w:t>
      </w:r>
      <w:r w:rsidR="00BA1D58">
        <w:rPr>
          <w:sz w:val="26"/>
          <w:szCs w:val="26"/>
        </w:rPr>
        <w:t>-</w:t>
      </w:r>
      <w:r w:rsidR="006F6FA4">
        <w:rPr>
          <w:sz w:val="26"/>
          <w:szCs w:val="26"/>
        </w:rPr>
        <w:t>keep intercarrier compensation regime</w:t>
      </w:r>
      <w:r w:rsidRPr="00205B68">
        <w:rPr>
          <w:sz w:val="26"/>
          <w:szCs w:val="26"/>
        </w:rPr>
        <w:t>.</w:t>
      </w:r>
    </w:p>
    <w:p w:rsidR="00BA1D58" w:rsidRDefault="006076F1" w:rsidP="000707BF">
      <w:pPr>
        <w:pStyle w:val="p3"/>
        <w:tabs>
          <w:tab w:val="clear" w:pos="204"/>
          <w:tab w:val="left" w:pos="720"/>
        </w:tabs>
        <w:rPr>
          <w:sz w:val="26"/>
          <w:szCs w:val="26"/>
        </w:rPr>
      </w:pPr>
      <w:r>
        <w:rPr>
          <w:sz w:val="26"/>
          <w:szCs w:val="26"/>
        </w:rPr>
        <w:t xml:space="preserve">  </w:t>
      </w:r>
    </w:p>
    <w:p w:rsidR="000707BF" w:rsidRDefault="00BA1D58" w:rsidP="000707BF">
      <w:pPr>
        <w:pStyle w:val="p3"/>
        <w:tabs>
          <w:tab w:val="clear" w:pos="204"/>
          <w:tab w:val="left" w:pos="720"/>
        </w:tabs>
      </w:pPr>
      <w:r w:rsidRPr="003921DD">
        <w:rPr>
          <w:sz w:val="26"/>
          <w:szCs w:val="26"/>
        </w:rPr>
        <w:tab/>
      </w:r>
      <w:r w:rsidR="006076F1" w:rsidRPr="003921DD">
        <w:rPr>
          <w:sz w:val="26"/>
          <w:szCs w:val="26"/>
        </w:rPr>
        <w:t xml:space="preserve">At the outset of this transition, all transitional intrastate switched </w:t>
      </w:r>
      <w:r w:rsidRPr="003921DD">
        <w:rPr>
          <w:sz w:val="26"/>
          <w:szCs w:val="26"/>
        </w:rPr>
        <w:t xml:space="preserve">carrier </w:t>
      </w:r>
      <w:r w:rsidR="006076F1" w:rsidRPr="003921DD">
        <w:rPr>
          <w:sz w:val="26"/>
          <w:szCs w:val="26"/>
        </w:rPr>
        <w:t xml:space="preserve">access rate elements for </w:t>
      </w:r>
      <w:r w:rsidRPr="003921DD">
        <w:rPr>
          <w:sz w:val="26"/>
          <w:szCs w:val="26"/>
        </w:rPr>
        <w:t>incumbent local exchange carriers (I</w:t>
      </w:r>
      <w:r w:rsidR="006076F1" w:rsidRPr="003921DD">
        <w:rPr>
          <w:sz w:val="26"/>
          <w:szCs w:val="26"/>
        </w:rPr>
        <w:t>LECs</w:t>
      </w:r>
      <w:r w:rsidRPr="003921DD">
        <w:rPr>
          <w:sz w:val="26"/>
          <w:szCs w:val="26"/>
        </w:rPr>
        <w:t>)</w:t>
      </w:r>
      <w:r w:rsidR="006076F1" w:rsidRPr="003921DD">
        <w:rPr>
          <w:sz w:val="26"/>
          <w:szCs w:val="26"/>
        </w:rPr>
        <w:t xml:space="preserve"> classified as price cap carriers at the federal level were capped at their levels in effect on December 29, 2011, and all terminating transitional intrastate switched access rate elements for </w:t>
      </w:r>
      <w:r w:rsidRPr="003921DD">
        <w:rPr>
          <w:sz w:val="26"/>
          <w:szCs w:val="26"/>
        </w:rPr>
        <w:t>I</w:t>
      </w:r>
      <w:r w:rsidR="006076F1" w:rsidRPr="003921DD">
        <w:rPr>
          <w:sz w:val="26"/>
          <w:szCs w:val="26"/>
        </w:rPr>
        <w:t xml:space="preserve">LECs classified as rate-of-return </w:t>
      </w:r>
      <w:r w:rsidRPr="003921DD">
        <w:rPr>
          <w:sz w:val="26"/>
          <w:szCs w:val="26"/>
        </w:rPr>
        <w:t xml:space="preserve">(ROR) </w:t>
      </w:r>
      <w:r w:rsidR="006076F1" w:rsidRPr="003921DD">
        <w:rPr>
          <w:sz w:val="26"/>
          <w:szCs w:val="26"/>
        </w:rPr>
        <w:t xml:space="preserve">carriers at the federal level were capped at their levels in effect December 29, 2011.  Subsequent to this, the FCC Order directs a multiyear process under which </w:t>
      </w:r>
      <w:r w:rsidRPr="003921DD">
        <w:rPr>
          <w:sz w:val="26"/>
          <w:szCs w:val="26"/>
        </w:rPr>
        <w:t>I</w:t>
      </w:r>
      <w:r w:rsidR="006076F1" w:rsidRPr="003921DD">
        <w:rPr>
          <w:sz w:val="26"/>
          <w:szCs w:val="26"/>
        </w:rPr>
        <w:t xml:space="preserve">LECs are to make filings effective July 1 of each year to gradually transition certain interstate and intrastate access rates to </w:t>
      </w:r>
      <w:r w:rsidRPr="003921DD">
        <w:rPr>
          <w:sz w:val="26"/>
          <w:szCs w:val="26"/>
        </w:rPr>
        <w:t xml:space="preserve">the </w:t>
      </w:r>
      <w:r w:rsidR="006076F1" w:rsidRPr="003921DD">
        <w:rPr>
          <w:sz w:val="26"/>
          <w:szCs w:val="26"/>
        </w:rPr>
        <w:t>bill-and-keep</w:t>
      </w:r>
      <w:r w:rsidRPr="003921DD">
        <w:rPr>
          <w:sz w:val="26"/>
          <w:szCs w:val="26"/>
        </w:rPr>
        <w:t xml:space="preserve"> regime</w:t>
      </w:r>
      <w:r w:rsidR="006076F1" w:rsidRPr="003921DD">
        <w:rPr>
          <w:sz w:val="26"/>
          <w:szCs w:val="26"/>
        </w:rPr>
        <w:t xml:space="preserve">.  </w:t>
      </w:r>
      <w:r w:rsidR="00FC463D">
        <w:rPr>
          <w:sz w:val="26"/>
          <w:szCs w:val="26"/>
        </w:rPr>
        <w:t xml:space="preserve">A generally corresponding transition is also contemplated for the intrastate switched carrier access services and rates of competitive local exchange carriers (CLECs).  </w:t>
      </w:r>
      <w:r>
        <w:rPr>
          <w:sz w:val="26"/>
          <w:szCs w:val="26"/>
        </w:rPr>
        <w:t xml:space="preserve">  The initial transition step that is contemplated by the </w:t>
      </w:r>
      <w:r>
        <w:rPr>
          <w:i/>
          <w:sz w:val="26"/>
          <w:szCs w:val="26"/>
        </w:rPr>
        <w:t xml:space="preserve">FCC </w:t>
      </w:r>
      <w:r w:rsidRPr="00BA1D58">
        <w:rPr>
          <w:i/>
          <w:sz w:val="26"/>
          <w:szCs w:val="26"/>
        </w:rPr>
        <w:t>Order</w:t>
      </w:r>
      <w:r>
        <w:rPr>
          <w:i/>
          <w:sz w:val="26"/>
          <w:szCs w:val="26"/>
        </w:rPr>
        <w:t xml:space="preserve"> </w:t>
      </w:r>
      <w:r w:rsidR="006F2085">
        <w:rPr>
          <w:sz w:val="26"/>
          <w:szCs w:val="26"/>
        </w:rPr>
        <w:t xml:space="preserve">will be implemented through an intrastate switched carrier access revenue reduction mechanism that will also affect decreases in the values of individual intrastate switched carrier access services rate elements. </w:t>
      </w:r>
      <w:r w:rsidRPr="003921DD">
        <w:rPr>
          <w:i/>
          <w:sz w:val="26"/>
          <w:szCs w:val="26"/>
        </w:rPr>
        <w:t xml:space="preserve"> </w:t>
      </w:r>
      <w:r w:rsidR="000707BF" w:rsidRPr="003921DD">
        <w:rPr>
          <w:i/>
          <w:sz w:val="26"/>
          <w:szCs w:val="26"/>
        </w:rPr>
        <w:t>FCC</w:t>
      </w:r>
      <w:r w:rsidR="000707BF">
        <w:rPr>
          <w:i/>
          <w:sz w:val="26"/>
          <w:szCs w:val="26"/>
        </w:rPr>
        <w:t xml:space="preserve"> Order</w:t>
      </w:r>
      <w:r w:rsidR="006F2085">
        <w:rPr>
          <w:sz w:val="26"/>
          <w:szCs w:val="26"/>
        </w:rPr>
        <w:t>,</w:t>
      </w:r>
      <w:r w:rsidR="000707BF">
        <w:rPr>
          <w:sz w:val="26"/>
          <w:szCs w:val="26"/>
        </w:rPr>
        <w:t xml:space="preserve"> </w:t>
      </w:r>
      <w:r w:rsidR="000707BF" w:rsidRPr="003921DD">
        <w:rPr>
          <w:sz w:val="26"/>
          <w:szCs w:val="26"/>
        </w:rPr>
        <w:t>¶¶</w:t>
      </w:r>
      <w:r w:rsidR="000707BF" w:rsidRPr="006F2085">
        <w:rPr>
          <w:sz w:val="26"/>
          <w:szCs w:val="26"/>
        </w:rPr>
        <w:t xml:space="preserve"> </w:t>
      </w:r>
      <w:r w:rsidR="000707BF">
        <w:rPr>
          <w:sz w:val="26"/>
          <w:szCs w:val="26"/>
        </w:rPr>
        <w:t>799-801</w:t>
      </w:r>
      <w:r w:rsidR="006F2085">
        <w:rPr>
          <w:sz w:val="26"/>
          <w:szCs w:val="26"/>
        </w:rPr>
        <w:t>, at 270-272, and Fig. 9</w:t>
      </w:r>
      <w:r w:rsidR="000707BF">
        <w:rPr>
          <w:sz w:val="26"/>
          <w:szCs w:val="26"/>
        </w:rPr>
        <w:t>.</w:t>
      </w:r>
      <w:r w:rsidR="000707BF">
        <w:t xml:space="preserve"> </w:t>
      </w:r>
    </w:p>
    <w:p w:rsidR="00CA7CD8" w:rsidRDefault="00CA7CD8" w:rsidP="003C6DA2">
      <w:pPr>
        <w:pStyle w:val="p3"/>
        <w:tabs>
          <w:tab w:val="clear" w:pos="204"/>
          <w:tab w:val="left" w:pos="720"/>
        </w:tabs>
        <w:rPr>
          <w:sz w:val="26"/>
          <w:szCs w:val="26"/>
        </w:rPr>
      </w:pPr>
    </w:p>
    <w:p w:rsidR="00246D71" w:rsidRPr="002F58F8" w:rsidRDefault="00246D71" w:rsidP="00246D71">
      <w:pPr>
        <w:jc w:val="center"/>
        <w:rPr>
          <w:b/>
          <w:sz w:val="26"/>
          <w:szCs w:val="26"/>
        </w:rPr>
      </w:pPr>
      <w:r>
        <w:rPr>
          <w:b/>
          <w:sz w:val="26"/>
          <w:szCs w:val="26"/>
        </w:rPr>
        <w:lastRenderedPageBreak/>
        <w:t>BACKGROUND</w:t>
      </w:r>
    </w:p>
    <w:p w:rsidR="00246D71" w:rsidRDefault="00246D71" w:rsidP="003C6DA2">
      <w:pPr>
        <w:pStyle w:val="p3"/>
        <w:tabs>
          <w:tab w:val="clear" w:pos="204"/>
          <w:tab w:val="left" w:pos="720"/>
        </w:tabs>
        <w:rPr>
          <w:sz w:val="26"/>
          <w:szCs w:val="26"/>
        </w:rPr>
      </w:pPr>
    </w:p>
    <w:p w:rsidR="00CA7CD8" w:rsidRDefault="00CA7CD8" w:rsidP="003C6DA2">
      <w:pPr>
        <w:pStyle w:val="p3"/>
        <w:tabs>
          <w:tab w:val="clear" w:pos="204"/>
          <w:tab w:val="left" w:pos="720"/>
        </w:tabs>
        <w:rPr>
          <w:sz w:val="26"/>
          <w:szCs w:val="26"/>
        </w:rPr>
      </w:pPr>
      <w:r>
        <w:rPr>
          <w:sz w:val="26"/>
          <w:szCs w:val="26"/>
        </w:rPr>
        <w:tab/>
        <w:t xml:space="preserve">The </w:t>
      </w:r>
      <w:r>
        <w:rPr>
          <w:i/>
          <w:sz w:val="26"/>
          <w:szCs w:val="26"/>
        </w:rPr>
        <w:t>FCC Order</w:t>
      </w:r>
      <w:r>
        <w:rPr>
          <w:sz w:val="26"/>
          <w:szCs w:val="26"/>
        </w:rPr>
        <w:t xml:space="preserve"> affects current and future </w:t>
      </w:r>
      <w:r w:rsidRPr="00CA7CD8">
        <w:rPr>
          <w:sz w:val="26"/>
          <w:szCs w:val="26"/>
        </w:rPr>
        <w:t>Commission</w:t>
      </w:r>
      <w:r>
        <w:rPr>
          <w:sz w:val="26"/>
          <w:szCs w:val="26"/>
        </w:rPr>
        <w:t xml:space="preserve"> proceedings and responsibilities, including </w:t>
      </w:r>
      <w:r w:rsidR="002D6957">
        <w:rPr>
          <w:sz w:val="26"/>
          <w:szCs w:val="26"/>
        </w:rPr>
        <w:t>an</w:t>
      </w:r>
      <w:r>
        <w:rPr>
          <w:sz w:val="26"/>
          <w:szCs w:val="26"/>
        </w:rPr>
        <w:t xml:space="preserve"> investigation </w:t>
      </w:r>
      <w:r w:rsidR="00F83B2C">
        <w:rPr>
          <w:sz w:val="26"/>
          <w:szCs w:val="26"/>
        </w:rPr>
        <w:t>into</w:t>
      </w:r>
      <w:r>
        <w:rPr>
          <w:sz w:val="26"/>
          <w:szCs w:val="26"/>
        </w:rPr>
        <w:t xml:space="preserve"> intrastate access charges and the need for specific carrier information </w:t>
      </w:r>
      <w:r w:rsidR="00565355">
        <w:rPr>
          <w:sz w:val="26"/>
          <w:szCs w:val="26"/>
        </w:rPr>
        <w:t>related</w:t>
      </w:r>
      <w:r w:rsidR="00F55223">
        <w:rPr>
          <w:sz w:val="26"/>
          <w:szCs w:val="26"/>
        </w:rPr>
        <w:t xml:space="preserve"> to </w:t>
      </w:r>
      <w:r w:rsidR="002D6957">
        <w:rPr>
          <w:sz w:val="26"/>
          <w:szCs w:val="26"/>
        </w:rPr>
        <w:t>access service</w:t>
      </w:r>
      <w:r w:rsidR="00203986">
        <w:rPr>
          <w:sz w:val="26"/>
          <w:szCs w:val="26"/>
        </w:rPr>
        <w:t xml:space="preserve">.  The </w:t>
      </w:r>
      <w:r w:rsidR="00203986" w:rsidRPr="00203986">
        <w:rPr>
          <w:sz w:val="26"/>
          <w:szCs w:val="26"/>
        </w:rPr>
        <w:t>Commission</w:t>
      </w:r>
      <w:r w:rsidR="00203986">
        <w:rPr>
          <w:sz w:val="26"/>
          <w:szCs w:val="26"/>
        </w:rPr>
        <w:t>’s</w:t>
      </w:r>
      <w:r w:rsidR="002D6957">
        <w:rPr>
          <w:sz w:val="26"/>
          <w:szCs w:val="26"/>
        </w:rPr>
        <w:t xml:space="preserve"> decisions made in the</w:t>
      </w:r>
      <w:r w:rsidR="00203986">
        <w:rPr>
          <w:sz w:val="26"/>
          <w:szCs w:val="26"/>
        </w:rPr>
        <w:t xml:space="preserve"> implementation of the </w:t>
      </w:r>
      <w:r w:rsidR="00203986">
        <w:rPr>
          <w:i/>
          <w:sz w:val="26"/>
          <w:szCs w:val="26"/>
        </w:rPr>
        <w:t>FCC Order</w:t>
      </w:r>
      <w:r w:rsidR="002D6957">
        <w:rPr>
          <w:i/>
          <w:sz w:val="26"/>
          <w:szCs w:val="26"/>
        </w:rPr>
        <w:t>,</w:t>
      </w:r>
      <w:r w:rsidR="00203986">
        <w:rPr>
          <w:sz w:val="26"/>
          <w:szCs w:val="26"/>
        </w:rPr>
        <w:t xml:space="preserve"> </w:t>
      </w:r>
      <w:r w:rsidR="002D6957">
        <w:rPr>
          <w:sz w:val="26"/>
          <w:szCs w:val="26"/>
        </w:rPr>
        <w:t>do</w:t>
      </w:r>
      <w:r w:rsidR="00203986">
        <w:rPr>
          <w:sz w:val="26"/>
          <w:szCs w:val="26"/>
        </w:rPr>
        <w:t xml:space="preserve"> not infringe upon the pursuit of our appellate rights in the pending federal appeals.</w:t>
      </w:r>
      <w:r w:rsidR="00203986">
        <w:rPr>
          <w:rStyle w:val="FootnoteReference"/>
          <w:sz w:val="26"/>
          <w:szCs w:val="26"/>
        </w:rPr>
        <w:footnoteReference w:id="3"/>
      </w:r>
      <w:r w:rsidR="00203986">
        <w:rPr>
          <w:sz w:val="26"/>
          <w:szCs w:val="26"/>
        </w:rPr>
        <w:t xml:space="preserve"> </w:t>
      </w:r>
    </w:p>
    <w:p w:rsidR="002D6957" w:rsidRDefault="002D6957" w:rsidP="003C6DA2">
      <w:pPr>
        <w:pStyle w:val="p3"/>
        <w:tabs>
          <w:tab w:val="clear" w:pos="204"/>
          <w:tab w:val="left" w:pos="720"/>
        </w:tabs>
        <w:rPr>
          <w:sz w:val="26"/>
          <w:szCs w:val="26"/>
        </w:rPr>
      </w:pPr>
    </w:p>
    <w:p w:rsidR="002D6957" w:rsidRPr="002D6957" w:rsidRDefault="002D6957" w:rsidP="002D6957">
      <w:pPr>
        <w:pStyle w:val="p3"/>
        <w:tabs>
          <w:tab w:val="clear" w:pos="204"/>
          <w:tab w:val="left" w:pos="720"/>
        </w:tabs>
        <w:rPr>
          <w:sz w:val="26"/>
          <w:szCs w:val="26"/>
        </w:rPr>
      </w:pPr>
      <w:r>
        <w:rPr>
          <w:sz w:val="26"/>
          <w:szCs w:val="26"/>
        </w:rPr>
        <w:tab/>
      </w:r>
      <w:r w:rsidRPr="002D6957">
        <w:rPr>
          <w:sz w:val="26"/>
          <w:szCs w:val="26"/>
        </w:rPr>
        <w:t>Through an Order entered on March 20, 2012, at Docket Nos. I-00040105 and C</w:t>
      </w:r>
      <w:r w:rsidRPr="002D6957">
        <w:rPr>
          <w:sz w:val="26"/>
          <w:szCs w:val="26"/>
        </w:rPr>
        <w:noBreakHyphen/>
        <w:t>2009</w:t>
      </w:r>
      <w:r w:rsidRPr="002D6957">
        <w:rPr>
          <w:sz w:val="26"/>
          <w:szCs w:val="26"/>
        </w:rPr>
        <w:noBreakHyphen/>
        <w:t xml:space="preserve">2098380, </w:t>
      </w:r>
      <w:r w:rsidRPr="002D6957">
        <w:rPr>
          <w:i/>
          <w:sz w:val="26"/>
          <w:szCs w:val="26"/>
        </w:rPr>
        <w:t>et al.</w:t>
      </w:r>
      <w:r w:rsidRPr="002D6957">
        <w:rPr>
          <w:sz w:val="26"/>
          <w:szCs w:val="26"/>
        </w:rPr>
        <w:t xml:space="preserve">, the Commission reopened the record for a limited purpose and invited the submission of updated Petitions for Reconsideration in the Rural ILEC Access Charge Investigation proceeding relevant to the Commission’s July 18, 2011 Order and the </w:t>
      </w:r>
      <w:r w:rsidRPr="002D6957">
        <w:rPr>
          <w:i/>
          <w:sz w:val="26"/>
          <w:szCs w:val="26"/>
        </w:rPr>
        <w:t>FCC Order</w:t>
      </w:r>
      <w:r w:rsidRPr="002D6957">
        <w:rPr>
          <w:sz w:val="26"/>
          <w:szCs w:val="26"/>
        </w:rPr>
        <w:t>.</w:t>
      </w:r>
      <w:r w:rsidRPr="002D6957">
        <w:rPr>
          <w:sz w:val="26"/>
          <w:szCs w:val="26"/>
          <w:vertAlign w:val="superscript"/>
        </w:rPr>
        <w:footnoteReference w:id="4"/>
      </w:r>
      <w:r w:rsidRPr="002D6957">
        <w:rPr>
          <w:sz w:val="26"/>
          <w:szCs w:val="26"/>
        </w:rPr>
        <w:t xml:space="preserve">  Related updated Petitions for Reconsideration, accompanying verified statements, and Answers were submitted on April 9 and 19, 2012.</w:t>
      </w:r>
    </w:p>
    <w:p w:rsidR="002D6957" w:rsidRPr="00D46430" w:rsidRDefault="002D6957" w:rsidP="002D6957">
      <w:pPr>
        <w:pStyle w:val="p3"/>
        <w:tabs>
          <w:tab w:val="clear" w:pos="204"/>
          <w:tab w:val="left" w:pos="720"/>
        </w:tabs>
        <w:rPr>
          <w:sz w:val="26"/>
          <w:szCs w:val="26"/>
          <w:highlight w:val="yellow"/>
        </w:rPr>
      </w:pPr>
    </w:p>
    <w:p w:rsidR="002D6957" w:rsidRPr="00CA152E" w:rsidRDefault="002D6957" w:rsidP="002D6957">
      <w:pPr>
        <w:pStyle w:val="p3"/>
        <w:widowControl/>
        <w:tabs>
          <w:tab w:val="clear" w:pos="204"/>
          <w:tab w:val="left" w:pos="720"/>
        </w:tabs>
        <w:rPr>
          <w:sz w:val="26"/>
          <w:szCs w:val="26"/>
        </w:rPr>
      </w:pPr>
      <w:r w:rsidRPr="002D6957">
        <w:rPr>
          <w:sz w:val="26"/>
          <w:szCs w:val="26"/>
        </w:rPr>
        <w:tab/>
        <w:t xml:space="preserve">The Commission also initiated its FCC Order Implementation proceeding through an </w:t>
      </w:r>
      <w:r>
        <w:rPr>
          <w:sz w:val="26"/>
          <w:szCs w:val="26"/>
        </w:rPr>
        <w:t>o</w:t>
      </w:r>
      <w:r w:rsidRPr="002D6957">
        <w:rPr>
          <w:sz w:val="26"/>
          <w:szCs w:val="26"/>
        </w:rPr>
        <w:t xml:space="preserve">rder that was entered on March 22, 2012, at Docket No. </w:t>
      </w:r>
      <w:proofErr w:type="gramStart"/>
      <w:r w:rsidRPr="002D6957">
        <w:rPr>
          <w:sz w:val="26"/>
          <w:szCs w:val="26"/>
        </w:rPr>
        <w:t>M-2012-2291824.</w:t>
      </w:r>
      <w:proofErr w:type="gramEnd"/>
      <w:r w:rsidRPr="002D6957">
        <w:rPr>
          <w:sz w:val="26"/>
          <w:szCs w:val="26"/>
          <w:vertAlign w:val="superscript"/>
        </w:rPr>
        <w:footnoteReference w:id="5"/>
      </w:r>
      <w:r w:rsidRPr="002D6957">
        <w:rPr>
          <w:sz w:val="26"/>
          <w:szCs w:val="26"/>
        </w:rPr>
        <w:t xml:space="preserve">  The Commission invited comments on the implementation of the FCC Order and conducted an on-the-record technical collaborative session on April 20, 2012.  The Commission has also proceeded with certain activities relating to the necessary intrastate switched carrier access tariffs that need to be filed in response to the FCC Order.</w:t>
      </w:r>
      <w:r w:rsidRPr="002D6957">
        <w:rPr>
          <w:sz w:val="26"/>
          <w:szCs w:val="26"/>
          <w:vertAlign w:val="superscript"/>
        </w:rPr>
        <w:footnoteReference w:id="6"/>
      </w:r>
    </w:p>
    <w:p w:rsidR="00246D71" w:rsidRDefault="00246D71" w:rsidP="00246D71">
      <w:pPr>
        <w:jc w:val="center"/>
        <w:rPr>
          <w:b/>
          <w:sz w:val="26"/>
          <w:szCs w:val="26"/>
        </w:rPr>
      </w:pPr>
    </w:p>
    <w:p w:rsidR="00F81CE8" w:rsidRDefault="00F81CE8">
      <w:pPr>
        <w:rPr>
          <w:b/>
          <w:sz w:val="26"/>
          <w:szCs w:val="26"/>
        </w:rPr>
      </w:pPr>
      <w:r>
        <w:rPr>
          <w:b/>
          <w:sz w:val="26"/>
          <w:szCs w:val="26"/>
        </w:rPr>
        <w:br w:type="page"/>
      </w:r>
    </w:p>
    <w:p w:rsidR="00246D71" w:rsidRPr="002F58F8" w:rsidRDefault="00246D71" w:rsidP="00246D71">
      <w:pPr>
        <w:jc w:val="center"/>
        <w:rPr>
          <w:b/>
          <w:sz w:val="26"/>
          <w:szCs w:val="26"/>
        </w:rPr>
      </w:pPr>
      <w:r w:rsidRPr="002F58F8">
        <w:rPr>
          <w:b/>
          <w:sz w:val="26"/>
          <w:szCs w:val="26"/>
        </w:rPr>
        <w:lastRenderedPageBreak/>
        <w:t>DISCUSSION</w:t>
      </w:r>
    </w:p>
    <w:p w:rsidR="00203986" w:rsidRPr="00CA7CD8" w:rsidRDefault="00203986" w:rsidP="003C6DA2">
      <w:pPr>
        <w:pStyle w:val="p3"/>
        <w:tabs>
          <w:tab w:val="clear" w:pos="204"/>
          <w:tab w:val="left" w:pos="720"/>
        </w:tabs>
        <w:rPr>
          <w:sz w:val="26"/>
          <w:szCs w:val="26"/>
        </w:rPr>
      </w:pPr>
    </w:p>
    <w:p w:rsidR="00203986" w:rsidRDefault="00F83B2C" w:rsidP="00F83B2C">
      <w:pPr>
        <w:pStyle w:val="p3"/>
        <w:tabs>
          <w:tab w:val="clear" w:pos="204"/>
          <w:tab w:val="left" w:pos="720"/>
        </w:tabs>
        <w:rPr>
          <w:sz w:val="26"/>
          <w:szCs w:val="26"/>
        </w:rPr>
      </w:pPr>
      <w:r>
        <w:rPr>
          <w:sz w:val="26"/>
          <w:szCs w:val="26"/>
        </w:rPr>
        <w:tab/>
      </w:r>
      <w:proofErr w:type="gramStart"/>
      <w:r w:rsidR="00565355">
        <w:rPr>
          <w:sz w:val="26"/>
          <w:szCs w:val="26"/>
        </w:rPr>
        <w:t>Certain s</w:t>
      </w:r>
      <w:r w:rsidR="00203986" w:rsidRPr="00CA7CD8">
        <w:rPr>
          <w:sz w:val="26"/>
          <w:szCs w:val="26"/>
        </w:rPr>
        <w:t xml:space="preserve">ummary findings concerning </w:t>
      </w:r>
      <w:r w:rsidR="00565355">
        <w:rPr>
          <w:sz w:val="26"/>
          <w:szCs w:val="26"/>
        </w:rPr>
        <w:t>the</w:t>
      </w:r>
      <w:r w:rsidR="00565355" w:rsidRPr="00CA7CD8">
        <w:rPr>
          <w:sz w:val="26"/>
          <w:szCs w:val="26"/>
        </w:rPr>
        <w:t xml:space="preserve"> </w:t>
      </w:r>
      <w:r w:rsidR="00203986" w:rsidRPr="00CA7CD8">
        <w:rPr>
          <w:sz w:val="26"/>
          <w:szCs w:val="26"/>
        </w:rPr>
        <w:t>updated Petitions for Reconsideration currently pending at Docket Nos.</w:t>
      </w:r>
      <w:proofErr w:type="gramEnd"/>
      <w:r w:rsidR="00203986" w:rsidRPr="00CA7CD8">
        <w:rPr>
          <w:sz w:val="26"/>
          <w:szCs w:val="26"/>
        </w:rPr>
        <w:t xml:space="preserve"> I-00040105 and C-2009-2098380</w:t>
      </w:r>
      <w:r w:rsidR="00565355">
        <w:rPr>
          <w:sz w:val="26"/>
          <w:szCs w:val="26"/>
        </w:rPr>
        <w:t>,</w:t>
      </w:r>
      <w:r w:rsidR="00203986" w:rsidRPr="00CA7CD8">
        <w:rPr>
          <w:sz w:val="26"/>
          <w:szCs w:val="26"/>
        </w:rPr>
        <w:t xml:space="preserve"> </w:t>
      </w:r>
      <w:r w:rsidR="00203986" w:rsidRPr="00CA7CD8">
        <w:rPr>
          <w:i/>
          <w:sz w:val="26"/>
          <w:szCs w:val="26"/>
        </w:rPr>
        <w:t>et al.</w:t>
      </w:r>
      <w:r w:rsidR="00203986" w:rsidRPr="00CA7CD8">
        <w:rPr>
          <w:sz w:val="26"/>
          <w:szCs w:val="26"/>
        </w:rPr>
        <w:t xml:space="preserve">, </w:t>
      </w:r>
      <w:r>
        <w:rPr>
          <w:sz w:val="26"/>
          <w:szCs w:val="26"/>
        </w:rPr>
        <w:t>must be</w:t>
      </w:r>
      <w:r w:rsidR="00203986" w:rsidRPr="00CA7CD8">
        <w:rPr>
          <w:sz w:val="26"/>
          <w:szCs w:val="26"/>
        </w:rPr>
        <w:t xml:space="preserve"> synchronized with the Commission’s ongoing activities relating to its implementa</w:t>
      </w:r>
      <w:r w:rsidR="00203986" w:rsidRPr="00CA7CD8">
        <w:rPr>
          <w:sz w:val="26"/>
          <w:szCs w:val="26"/>
        </w:rPr>
        <w:softHyphen/>
        <w:t xml:space="preserve">tion of the </w:t>
      </w:r>
      <w:r w:rsidR="00565355">
        <w:rPr>
          <w:i/>
          <w:sz w:val="26"/>
          <w:szCs w:val="26"/>
        </w:rPr>
        <w:t>FCC Order</w:t>
      </w:r>
      <w:r w:rsidR="00565355">
        <w:rPr>
          <w:sz w:val="26"/>
          <w:szCs w:val="26"/>
        </w:rPr>
        <w:t xml:space="preserve"> </w:t>
      </w:r>
      <w:r w:rsidR="00203986" w:rsidRPr="00CA7CD8">
        <w:rPr>
          <w:sz w:val="26"/>
          <w:szCs w:val="26"/>
        </w:rPr>
        <w:t xml:space="preserve">at Docket No. </w:t>
      </w:r>
      <w:proofErr w:type="gramStart"/>
      <w:r w:rsidR="00203986" w:rsidRPr="00CA7CD8">
        <w:rPr>
          <w:sz w:val="26"/>
          <w:szCs w:val="26"/>
        </w:rPr>
        <w:t>M-2012-2291824.</w:t>
      </w:r>
      <w:proofErr w:type="gramEnd"/>
      <w:r w:rsidR="00203986" w:rsidRPr="00CA7CD8">
        <w:rPr>
          <w:sz w:val="26"/>
          <w:szCs w:val="26"/>
        </w:rPr>
        <w:t xml:space="preserve">  </w:t>
      </w:r>
      <w:r>
        <w:rPr>
          <w:sz w:val="26"/>
          <w:szCs w:val="26"/>
        </w:rPr>
        <w:t xml:space="preserve"> </w:t>
      </w:r>
      <w:proofErr w:type="gramStart"/>
      <w:r w:rsidR="00203986" w:rsidRPr="00CA7CD8">
        <w:rPr>
          <w:sz w:val="26"/>
          <w:szCs w:val="26"/>
        </w:rPr>
        <w:t>These specific summary findings in the Commission’s Rural ILEC Access Charge Investigation proceeding at Docket Nos.</w:t>
      </w:r>
      <w:proofErr w:type="gramEnd"/>
      <w:r w:rsidR="00203986" w:rsidRPr="00CA7CD8">
        <w:rPr>
          <w:sz w:val="26"/>
          <w:szCs w:val="26"/>
        </w:rPr>
        <w:t xml:space="preserve"> I</w:t>
      </w:r>
      <w:r w:rsidR="00203986" w:rsidRPr="00CA7CD8">
        <w:rPr>
          <w:sz w:val="26"/>
          <w:szCs w:val="26"/>
        </w:rPr>
        <w:noBreakHyphen/>
        <w:t>00040105 and C-2009-2098380</w:t>
      </w:r>
      <w:r w:rsidR="00565355">
        <w:rPr>
          <w:sz w:val="26"/>
          <w:szCs w:val="26"/>
        </w:rPr>
        <w:t>,</w:t>
      </w:r>
      <w:r w:rsidR="00203986" w:rsidRPr="00CA7CD8">
        <w:rPr>
          <w:sz w:val="26"/>
          <w:szCs w:val="26"/>
        </w:rPr>
        <w:t xml:space="preserve"> </w:t>
      </w:r>
      <w:r w:rsidR="00203986" w:rsidRPr="00CA7CD8">
        <w:rPr>
          <w:i/>
          <w:sz w:val="26"/>
          <w:szCs w:val="26"/>
        </w:rPr>
        <w:t>et al.</w:t>
      </w:r>
      <w:r w:rsidR="00203986" w:rsidRPr="00CA7CD8">
        <w:rPr>
          <w:sz w:val="26"/>
          <w:szCs w:val="26"/>
        </w:rPr>
        <w:t xml:space="preserve">, do not dispose of all the pending issues and are only intended to provide the necessary guidance as we move forward with the FCC Order Implementation activities at Docket No. </w:t>
      </w:r>
      <w:proofErr w:type="gramStart"/>
      <w:r w:rsidR="00203986" w:rsidRPr="00CA7CD8">
        <w:rPr>
          <w:sz w:val="26"/>
          <w:szCs w:val="26"/>
        </w:rPr>
        <w:t>M</w:t>
      </w:r>
      <w:r w:rsidR="00BA723E">
        <w:rPr>
          <w:sz w:val="26"/>
          <w:szCs w:val="26"/>
        </w:rPr>
        <w:noBreakHyphen/>
      </w:r>
      <w:r w:rsidR="00203986" w:rsidRPr="00CA7CD8">
        <w:rPr>
          <w:sz w:val="26"/>
          <w:szCs w:val="26"/>
        </w:rPr>
        <w:t>2012-2291824.</w:t>
      </w:r>
      <w:proofErr w:type="gramEnd"/>
      <w:r w:rsidR="00565355">
        <w:rPr>
          <w:sz w:val="26"/>
          <w:szCs w:val="26"/>
        </w:rPr>
        <w:t xml:space="preserve">  </w:t>
      </w:r>
      <w:proofErr w:type="gramStart"/>
      <w:r w:rsidR="00565355">
        <w:rPr>
          <w:sz w:val="26"/>
          <w:szCs w:val="26"/>
        </w:rPr>
        <w:t xml:space="preserve">Moreover, given the industry’s immediate need for </w:t>
      </w:r>
      <w:r w:rsidR="00CA152E">
        <w:rPr>
          <w:sz w:val="26"/>
          <w:szCs w:val="26"/>
        </w:rPr>
        <w:t>guidance</w:t>
      </w:r>
      <w:r w:rsidR="00565355">
        <w:rPr>
          <w:sz w:val="26"/>
          <w:szCs w:val="26"/>
        </w:rPr>
        <w:t xml:space="preserve"> for filing </w:t>
      </w:r>
      <w:r w:rsidR="007B1CDC">
        <w:rPr>
          <w:sz w:val="26"/>
          <w:szCs w:val="26"/>
        </w:rPr>
        <w:t xml:space="preserve">intrastate switched carrier </w:t>
      </w:r>
      <w:r w:rsidR="00565355">
        <w:rPr>
          <w:sz w:val="26"/>
          <w:szCs w:val="26"/>
        </w:rPr>
        <w:t xml:space="preserve">access tariffs to be effective July 1, 2012, </w:t>
      </w:r>
      <w:r w:rsidR="00CA152E">
        <w:rPr>
          <w:sz w:val="26"/>
          <w:szCs w:val="26"/>
        </w:rPr>
        <w:t xml:space="preserve">we provide the necessary direction in this order, </w:t>
      </w:r>
      <w:r w:rsidR="002D6957">
        <w:rPr>
          <w:sz w:val="26"/>
          <w:szCs w:val="26"/>
        </w:rPr>
        <w:t>pending a</w:t>
      </w:r>
      <w:r w:rsidR="00CA152E">
        <w:rPr>
          <w:sz w:val="26"/>
          <w:szCs w:val="26"/>
        </w:rPr>
        <w:t xml:space="preserve"> detailed discussion of </w:t>
      </w:r>
      <w:r w:rsidR="002D6957">
        <w:rPr>
          <w:sz w:val="26"/>
          <w:szCs w:val="26"/>
        </w:rPr>
        <w:t>our decisions in the upcoming</w:t>
      </w:r>
      <w:r w:rsidR="00CA152E">
        <w:rPr>
          <w:sz w:val="26"/>
          <w:szCs w:val="26"/>
        </w:rPr>
        <w:t xml:space="preserve"> full reconsideration order at Docket No</w:t>
      </w:r>
      <w:r w:rsidR="007B1CDC">
        <w:rPr>
          <w:sz w:val="26"/>
          <w:szCs w:val="26"/>
        </w:rPr>
        <w:t>s</w:t>
      </w:r>
      <w:r w:rsidR="00CA152E">
        <w:rPr>
          <w:sz w:val="26"/>
          <w:szCs w:val="26"/>
        </w:rPr>
        <w:t>.</w:t>
      </w:r>
      <w:proofErr w:type="gramEnd"/>
      <w:r w:rsidR="00CA152E">
        <w:rPr>
          <w:sz w:val="26"/>
          <w:szCs w:val="26"/>
        </w:rPr>
        <w:t xml:space="preserve"> </w:t>
      </w:r>
      <w:proofErr w:type="gramStart"/>
      <w:r w:rsidR="00CA152E">
        <w:rPr>
          <w:sz w:val="26"/>
          <w:szCs w:val="26"/>
        </w:rPr>
        <w:t>I-00040105</w:t>
      </w:r>
      <w:r w:rsidR="007B1CDC">
        <w:rPr>
          <w:sz w:val="26"/>
          <w:szCs w:val="26"/>
        </w:rPr>
        <w:t xml:space="preserve"> and C-2009-2098380 </w:t>
      </w:r>
      <w:r w:rsidR="007B1CDC">
        <w:rPr>
          <w:i/>
          <w:sz w:val="26"/>
          <w:szCs w:val="26"/>
        </w:rPr>
        <w:t>et al</w:t>
      </w:r>
      <w:r w:rsidR="00CA152E">
        <w:rPr>
          <w:sz w:val="26"/>
          <w:szCs w:val="26"/>
        </w:rPr>
        <w:t>.</w:t>
      </w:r>
      <w:proofErr w:type="gramEnd"/>
    </w:p>
    <w:p w:rsidR="00203986" w:rsidRPr="00CA7CD8" w:rsidRDefault="00203986" w:rsidP="00203986">
      <w:pPr>
        <w:pStyle w:val="p3"/>
        <w:tabs>
          <w:tab w:val="left" w:pos="720"/>
        </w:tabs>
        <w:rPr>
          <w:sz w:val="26"/>
          <w:szCs w:val="26"/>
        </w:rPr>
      </w:pPr>
    </w:p>
    <w:p w:rsidR="00205B68" w:rsidRDefault="00854A57" w:rsidP="003C6DA2">
      <w:pPr>
        <w:pStyle w:val="p3"/>
        <w:tabs>
          <w:tab w:val="clear" w:pos="204"/>
          <w:tab w:val="left" w:pos="720"/>
        </w:tabs>
        <w:rPr>
          <w:sz w:val="26"/>
          <w:szCs w:val="26"/>
        </w:rPr>
      </w:pPr>
      <w:r>
        <w:rPr>
          <w:sz w:val="26"/>
          <w:szCs w:val="26"/>
        </w:rPr>
        <w:tab/>
      </w:r>
      <w:r w:rsidR="00205B68" w:rsidRPr="00205B68">
        <w:rPr>
          <w:sz w:val="26"/>
          <w:szCs w:val="26"/>
        </w:rPr>
        <w:t xml:space="preserve">Commensurate with our </w:t>
      </w:r>
      <w:r w:rsidR="007B1CDC">
        <w:rPr>
          <w:sz w:val="26"/>
          <w:szCs w:val="26"/>
        </w:rPr>
        <w:t xml:space="preserve">ongoing activities </w:t>
      </w:r>
      <w:r w:rsidR="00205B68" w:rsidRPr="00205B68">
        <w:rPr>
          <w:sz w:val="26"/>
          <w:szCs w:val="26"/>
        </w:rPr>
        <w:t>to implement the transition,</w:t>
      </w:r>
      <w:r w:rsidR="004533B0">
        <w:rPr>
          <w:sz w:val="26"/>
          <w:szCs w:val="26"/>
        </w:rPr>
        <w:t xml:space="preserve"> </w:t>
      </w:r>
      <w:r w:rsidR="000E58B7">
        <w:rPr>
          <w:sz w:val="26"/>
          <w:szCs w:val="26"/>
        </w:rPr>
        <w:t xml:space="preserve">the </w:t>
      </w:r>
      <w:r w:rsidR="004533B0">
        <w:rPr>
          <w:sz w:val="26"/>
          <w:szCs w:val="26"/>
        </w:rPr>
        <w:t xml:space="preserve">Commission </w:t>
      </w:r>
      <w:r w:rsidR="000E58B7">
        <w:rPr>
          <w:sz w:val="26"/>
          <w:szCs w:val="26"/>
        </w:rPr>
        <w:t>has</w:t>
      </w:r>
      <w:r w:rsidR="004533B0">
        <w:rPr>
          <w:sz w:val="26"/>
          <w:szCs w:val="26"/>
        </w:rPr>
        <w:t xml:space="preserve"> </w:t>
      </w:r>
      <w:r w:rsidR="00205B68" w:rsidRPr="00205B68">
        <w:rPr>
          <w:sz w:val="26"/>
          <w:szCs w:val="26"/>
        </w:rPr>
        <w:t xml:space="preserve">engaged in substantial </w:t>
      </w:r>
      <w:r w:rsidR="00DE20FC">
        <w:rPr>
          <w:sz w:val="26"/>
          <w:szCs w:val="26"/>
        </w:rPr>
        <w:t>collaborative discussions</w:t>
      </w:r>
      <w:r w:rsidR="00205B68" w:rsidRPr="00205B68">
        <w:rPr>
          <w:sz w:val="26"/>
          <w:szCs w:val="26"/>
        </w:rPr>
        <w:t xml:space="preserve">, seeking vital input from the telecommunications carriers directly impacted by the </w:t>
      </w:r>
      <w:r w:rsidR="00205B68" w:rsidRPr="004533B0">
        <w:rPr>
          <w:i/>
          <w:sz w:val="26"/>
          <w:szCs w:val="26"/>
        </w:rPr>
        <w:t>FCC Order</w:t>
      </w:r>
      <w:r w:rsidR="00205B68" w:rsidRPr="00205B68">
        <w:rPr>
          <w:sz w:val="26"/>
          <w:szCs w:val="26"/>
        </w:rPr>
        <w:t>.</w:t>
      </w:r>
      <w:r>
        <w:rPr>
          <w:sz w:val="26"/>
          <w:szCs w:val="26"/>
        </w:rPr>
        <w:t xml:space="preserve">  </w:t>
      </w:r>
      <w:r w:rsidR="00DE20FC">
        <w:rPr>
          <w:sz w:val="26"/>
          <w:szCs w:val="26"/>
        </w:rPr>
        <w:t xml:space="preserve">In accordance with our March 22, 2012 Order in this proceeding, an extensive on-the-record collaborative session was held on April 20, 2012.  </w:t>
      </w:r>
      <w:r w:rsidR="00205B68" w:rsidRPr="00205B68">
        <w:rPr>
          <w:sz w:val="26"/>
          <w:szCs w:val="26"/>
        </w:rPr>
        <w:t xml:space="preserve">As </w:t>
      </w:r>
      <w:r>
        <w:rPr>
          <w:sz w:val="26"/>
          <w:szCs w:val="26"/>
        </w:rPr>
        <w:t xml:space="preserve">a result of </w:t>
      </w:r>
      <w:r w:rsidR="00DE20FC">
        <w:rPr>
          <w:sz w:val="26"/>
          <w:szCs w:val="26"/>
        </w:rPr>
        <w:t>these collaborative discussions</w:t>
      </w:r>
      <w:r>
        <w:rPr>
          <w:sz w:val="26"/>
          <w:szCs w:val="26"/>
        </w:rPr>
        <w:t xml:space="preserve"> and review of carrier input</w:t>
      </w:r>
      <w:r w:rsidR="00205B68" w:rsidRPr="00205B68">
        <w:rPr>
          <w:sz w:val="26"/>
          <w:szCs w:val="26"/>
        </w:rPr>
        <w:t xml:space="preserve">, </w:t>
      </w:r>
      <w:r w:rsidR="000E58B7">
        <w:rPr>
          <w:sz w:val="26"/>
          <w:szCs w:val="26"/>
        </w:rPr>
        <w:t xml:space="preserve">the </w:t>
      </w:r>
      <w:r w:rsidR="00205B68" w:rsidRPr="00205B68">
        <w:rPr>
          <w:sz w:val="26"/>
          <w:szCs w:val="26"/>
        </w:rPr>
        <w:t xml:space="preserve">Commission has prepared </w:t>
      </w:r>
      <w:r w:rsidR="007B1CDC">
        <w:rPr>
          <w:sz w:val="26"/>
          <w:szCs w:val="26"/>
        </w:rPr>
        <w:t xml:space="preserve">computational </w:t>
      </w:r>
      <w:r w:rsidR="000E58B7">
        <w:rPr>
          <w:sz w:val="26"/>
          <w:szCs w:val="26"/>
        </w:rPr>
        <w:t>templates requesting specific carrier</w:t>
      </w:r>
      <w:r w:rsidR="00205B68" w:rsidRPr="00205B68">
        <w:rPr>
          <w:sz w:val="26"/>
          <w:szCs w:val="26"/>
        </w:rPr>
        <w:t xml:space="preserve"> information </w:t>
      </w:r>
      <w:r w:rsidR="007B1CDC">
        <w:rPr>
          <w:sz w:val="26"/>
          <w:szCs w:val="26"/>
        </w:rPr>
        <w:t xml:space="preserve">and data </w:t>
      </w:r>
      <w:r w:rsidR="000E58B7">
        <w:rPr>
          <w:sz w:val="26"/>
          <w:szCs w:val="26"/>
        </w:rPr>
        <w:t>necessary to carry out our responsibility.</w:t>
      </w:r>
      <w:r w:rsidR="00205B68" w:rsidRPr="00205B68">
        <w:rPr>
          <w:sz w:val="26"/>
          <w:szCs w:val="26"/>
        </w:rPr>
        <w:t xml:space="preserve">  </w:t>
      </w:r>
      <w:r w:rsidR="000E58B7">
        <w:rPr>
          <w:sz w:val="26"/>
          <w:szCs w:val="26"/>
        </w:rPr>
        <w:t>Unavoidably, carriers are required to submit</w:t>
      </w:r>
      <w:r w:rsidR="00205B68" w:rsidRPr="00205B68">
        <w:rPr>
          <w:sz w:val="26"/>
          <w:szCs w:val="26"/>
        </w:rPr>
        <w:t xml:space="preserve"> </w:t>
      </w:r>
      <w:r w:rsidR="00205B68" w:rsidRPr="007C17FB">
        <w:rPr>
          <w:sz w:val="26"/>
          <w:szCs w:val="26"/>
        </w:rPr>
        <w:t xml:space="preserve">sensitive </w:t>
      </w:r>
      <w:r w:rsidR="007B1CDC">
        <w:rPr>
          <w:sz w:val="26"/>
          <w:szCs w:val="26"/>
        </w:rPr>
        <w:t xml:space="preserve">switched access demand </w:t>
      </w:r>
      <w:r w:rsidR="003B24F2" w:rsidRPr="007C17FB">
        <w:rPr>
          <w:sz w:val="26"/>
          <w:szCs w:val="26"/>
        </w:rPr>
        <w:t>and revenue information related to their</w:t>
      </w:r>
      <w:r w:rsidR="009247AD" w:rsidRPr="007C17FB">
        <w:rPr>
          <w:sz w:val="26"/>
          <w:szCs w:val="26"/>
        </w:rPr>
        <w:t xml:space="preserve"> respective </w:t>
      </w:r>
      <w:r w:rsidR="007B1CDC">
        <w:rPr>
          <w:sz w:val="26"/>
          <w:szCs w:val="26"/>
        </w:rPr>
        <w:t xml:space="preserve">and anticipated </w:t>
      </w:r>
      <w:r w:rsidR="003B24F2" w:rsidRPr="007C17FB">
        <w:rPr>
          <w:sz w:val="26"/>
          <w:szCs w:val="26"/>
        </w:rPr>
        <w:t>Transitional Intrastate Access Services</w:t>
      </w:r>
      <w:r w:rsidR="007B1CDC">
        <w:rPr>
          <w:sz w:val="26"/>
          <w:szCs w:val="26"/>
        </w:rPr>
        <w:t xml:space="preserve"> tariff submissions</w:t>
      </w:r>
      <w:r w:rsidR="00CA7CD8">
        <w:rPr>
          <w:sz w:val="26"/>
          <w:szCs w:val="26"/>
        </w:rPr>
        <w:t>.</w:t>
      </w:r>
    </w:p>
    <w:p w:rsidR="009247AD" w:rsidRPr="00205B68" w:rsidRDefault="009247AD" w:rsidP="00205B68">
      <w:pPr>
        <w:pStyle w:val="p3"/>
        <w:rPr>
          <w:sz w:val="26"/>
          <w:szCs w:val="26"/>
        </w:rPr>
      </w:pPr>
    </w:p>
    <w:p w:rsidR="00CA152E" w:rsidRDefault="000E58B7" w:rsidP="00F81CE8">
      <w:pPr>
        <w:pStyle w:val="p3"/>
        <w:widowControl/>
        <w:tabs>
          <w:tab w:val="clear" w:pos="204"/>
          <w:tab w:val="left" w:pos="720"/>
        </w:tabs>
        <w:rPr>
          <w:sz w:val="26"/>
          <w:szCs w:val="26"/>
        </w:rPr>
      </w:pPr>
      <w:r>
        <w:rPr>
          <w:sz w:val="26"/>
          <w:szCs w:val="26"/>
        </w:rPr>
        <w:tab/>
      </w:r>
      <w:r w:rsidR="00205B68" w:rsidRPr="00205B68">
        <w:rPr>
          <w:sz w:val="26"/>
          <w:szCs w:val="26"/>
        </w:rPr>
        <w:t xml:space="preserve">To ensure the confidential proprietary status of the information, the Commission shall grant a protective order for information required from carriers as part of the </w:t>
      </w:r>
      <w:r w:rsidR="00205B68" w:rsidRPr="00205B68">
        <w:rPr>
          <w:sz w:val="26"/>
          <w:szCs w:val="26"/>
        </w:rPr>
        <w:lastRenderedPageBreak/>
        <w:t xml:space="preserve">Commission’s implementation of </w:t>
      </w:r>
      <w:r w:rsidR="00854A57">
        <w:rPr>
          <w:sz w:val="26"/>
          <w:szCs w:val="26"/>
        </w:rPr>
        <w:t>this first step</w:t>
      </w:r>
      <w:r w:rsidR="002616CB">
        <w:rPr>
          <w:sz w:val="26"/>
          <w:szCs w:val="26"/>
        </w:rPr>
        <w:t xml:space="preserve"> (Step 1)</w:t>
      </w:r>
      <w:r w:rsidR="00205B68" w:rsidRPr="00205B68">
        <w:rPr>
          <w:sz w:val="26"/>
          <w:szCs w:val="26"/>
        </w:rPr>
        <w:t xml:space="preserve"> of the transition of </w:t>
      </w:r>
      <w:r w:rsidR="007B1CDC">
        <w:rPr>
          <w:sz w:val="26"/>
          <w:szCs w:val="26"/>
        </w:rPr>
        <w:t xml:space="preserve">the intrastate </w:t>
      </w:r>
      <w:r w:rsidR="00205B68" w:rsidRPr="00205B68">
        <w:rPr>
          <w:sz w:val="26"/>
          <w:szCs w:val="26"/>
        </w:rPr>
        <w:t xml:space="preserve">intercarrier compensation </w:t>
      </w:r>
      <w:r w:rsidR="007B1CDC">
        <w:rPr>
          <w:sz w:val="26"/>
          <w:szCs w:val="26"/>
        </w:rPr>
        <w:t>regime as</w:t>
      </w:r>
      <w:r w:rsidR="00205B68" w:rsidRPr="00205B68">
        <w:rPr>
          <w:sz w:val="26"/>
          <w:szCs w:val="26"/>
        </w:rPr>
        <w:t xml:space="preserve"> outlined in the </w:t>
      </w:r>
      <w:r w:rsidR="00205B68" w:rsidRPr="003921DD">
        <w:rPr>
          <w:i/>
          <w:sz w:val="26"/>
          <w:szCs w:val="26"/>
        </w:rPr>
        <w:t>FCC Order</w:t>
      </w:r>
      <w:r w:rsidR="00205B68" w:rsidRPr="00205B68">
        <w:rPr>
          <w:sz w:val="26"/>
          <w:szCs w:val="26"/>
        </w:rPr>
        <w:t>.</w:t>
      </w:r>
    </w:p>
    <w:p w:rsidR="004533B0" w:rsidRDefault="004533B0" w:rsidP="002F3B19">
      <w:pPr>
        <w:jc w:val="center"/>
        <w:rPr>
          <w:b/>
          <w:sz w:val="26"/>
          <w:szCs w:val="26"/>
        </w:rPr>
      </w:pPr>
    </w:p>
    <w:p w:rsidR="004533B0" w:rsidRPr="00246D71" w:rsidRDefault="00246D71" w:rsidP="004533B0">
      <w:pPr>
        <w:rPr>
          <w:b/>
          <w:sz w:val="26"/>
          <w:szCs w:val="26"/>
        </w:rPr>
      </w:pPr>
      <w:r w:rsidRPr="00246D71">
        <w:rPr>
          <w:b/>
          <w:sz w:val="26"/>
          <w:szCs w:val="26"/>
        </w:rPr>
        <w:t>Maintaining the Intrastate Carrier Charge</w:t>
      </w:r>
    </w:p>
    <w:p w:rsidR="00246D71" w:rsidRDefault="00246D71" w:rsidP="004533B0">
      <w:pPr>
        <w:rPr>
          <w:sz w:val="26"/>
          <w:szCs w:val="26"/>
        </w:rPr>
      </w:pPr>
    </w:p>
    <w:p w:rsidR="00246D71" w:rsidRDefault="00246D71" w:rsidP="00246D71">
      <w:pPr>
        <w:rPr>
          <w:sz w:val="26"/>
          <w:szCs w:val="26"/>
        </w:rPr>
      </w:pPr>
      <w:r>
        <w:rPr>
          <w:sz w:val="26"/>
          <w:szCs w:val="26"/>
        </w:rPr>
        <w:tab/>
      </w:r>
      <w:r w:rsidRPr="00246D71">
        <w:rPr>
          <w:sz w:val="26"/>
          <w:szCs w:val="26"/>
        </w:rPr>
        <w:t xml:space="preserve">The treatment of the intrastate fixed per line carrier charge or common carrier line charge (CC/CCLC) element of the rural incumbent local exchange carriers (rural ILECs), as well as of other ILECs and competitive local exchange carriers (CLECs) under the </w:t>
      </w:r>
      <w:r w:rsidRPr="00246D71">
        <w:rPr>
          <w:i/>
          <w:sz w:val="26"/>
          <w:szCs w:val="26"/>
        </w:rPr>
        <w:t>FCC Order</w:t>
      </w:r>
      <w:r w:rsidRPr="00246D71">
        <w:rPr>
          <w:sz w:val="26"/>
          <w:szCs w:val="26"/>
        </w:rPr>
        <w:t xml:space="preserve">, is an issue that needs to be </w:t>
      </w:r>
      <w:r w:rsidR="009D247B">
        <w:rPr>
          <w:sz w:val="26"/>
          <w:szCs w:val="26"/>
        </w:rPr>
        <w:t>immediately</w:t>
      </w:r>
      <w:r w:rsidR="009D247B" w:rsidRPr="00246D71">
        <w:rPr>
          <w:sz w:val="26"/>
          <w:szCs w:val="26"/>
        </w:rPr>
        <w:t xml:space="preserve"> </w:t>
      </w:r>
      <w:r w:rsidRPr="00246D71">
        <w:rPr>
          <w:sz w:val="26"/>
          <w:szCs w:val="26"/>
        </w:rPr>
        <w:t xml:space="preserve">and summarily addressed.  This issue has been raised in the pending updated </w:t>
      </w:r>
      <w:r w:rsidR="00BA723E">
        <w:rPr>
          <w:sz w:val="26"/>
          <w:szCs w:val="26"/>
        </w:rPr>
        <w:t>petitions for reconsideration</w:t>
      </w:r>
      <w:r w:rsidRPr="00246D71">
        <w:rPr>
          <w:sz w:val="26"/>
          <w:szCs w:val="26"/>
        </w:rPr>
        <w:t xml:space="preserve"> in our Rural ILEC Access Charge Investigation at Docket Nos. </w:t>
      </w:r>
      <w:proofErr w:type="gramStart"/>
      <w:r w:rsidRPr="00246D71">
        <w:rPr>
          <w:sz w:val="26"/>
          <w:szCs w:val="26"/>
        </w:rPr>
        <w:t>I-00040105 and C</w:t>
      </w:r>
      <w:r w:rsidRPr="00246D71">
        <w:rPr>
          <w:sz w:val="26"/>
          <w:szCs w:val="26"/>
        </w:rPr>
        <w:noBreakHyphen/>
        <w:t>2009</w:t>
      </w:r>
      <w:r w:rsidRPr="00246D71">
        <w:rPr>
          <w:sz w:val="26"/>
          <w:szCs w:val="26"/>
        </w:rPr>
        <w:noBreakHyphen/>
        <w:t>2098380</w:t>
      </w:r>
      <w:r>
        <w:rPr>
          <w:sz w:val="26"/>
          <w:szCs w:val="26"/>
        </w:rPr>
        <w:t>,</w:t>
      </w:r>
      <w:r w:rsidRPr="00246D71">
        <w:rPr>
          <w:sz w:val="26"/>
          <w:szCs w:val="26"/>
        </w:rPr>
        <w:t xml:space="preserve"> </w:t>
      </w:r>
      <w:r w:rsidRPr="00246D71">
        <w:rPr>
          <w:i/>
          <w:sz w:val="26"/>
          <w:szCs w:val="26"/>
        </w:rPr>
        <w:t>et al.</w:t>
      </w:r>
      <w:proofErr w:type="gramEnd"/>
      <w:r w:rsidRPr="00246D71">
        <w:rPr>
          <w:sz w:val="26"/>
          <w:szCs w:val="26"/>
        </w:rPr>
        <w:t xml:space="preserve">  For example, AT&amp;T seeks the outright elimination of the rural ILEC CC/CCLC.</w:t>
      </w:r>
      <w:r w:rsidRPr="00246D71">
        <w:rPr>
          <w:sz w:val="26"/>
          <w:szCs w:val="26"/>
          <w:vertAlign w:val="superscript"/>
        </w:rPr>
        <w:footnoteReference w:id="7"/>
      </w:r>
      <w:r w:rsidRPr="00246D71">
        <w:rPr>
          <w:sz w:val="26"/>
          <w:szCs w:val="26"/>
        </w:rPr>
        <w:t xml:space="preserve">  The Pennsylvania Telephone Association (PTA) and CenturyLink oppose this outcome,</w:t>
      </w:r>
      <w:r w:rsidRPr="00246D71">
        <w:rPr>
          <w:sz w:val="26"/>
          <w:szCs w:val="26"/>
          <w:vertAlign w:val="superscript"/>
        </w:rPr>
        <w:footnoteReference w:id="8"/>
      </w:r>
      <w:r w:rsidRPr="00246D71">
        <w:rPr>
          <w:sz w:val="26"/>
          <w:szCs w:val="26"/>
        </w:rPr>
        <w:t xml:space="preserve"> and the Office of Consumer Advocate (OCA) points to our July 18, 2011 Order where we stated that “the RLECs’ intrastate switched access service NTS [non-traffic sensitive] joint and common costs primarily associated with the RLECs’ local loop plant must be </w:t>
      </w:r>
      <w:r w:rsidRPr="00E61472">
        <w:rPr>
          <w:sz w:val="26"/>
          <w:szCs w:val="26"/>
        </w:rPr>
        <w:t>recovered from all users of the RLECs’ network.”</w:t>
      </w:r>
      <w:r w:rsidRPr="00E61472">
        <w:rPr>
          <w:sz w:val="26"/>
          <w:szCs w:val="26"/>
          <w:vertAlign w:val="superscript"/>
        </w:rPr>
        <w:footnoteReference w:id="9"/>
      </w:r>
      <w:r w:rsidRPr="00E61472">
        <w:rPr>
          <w:sz w:val="26"/>
          <w:szCs w:val="26"/>
        </w:rPr>
        <w:t xml:space="preserve">  We see no reason why the underlying</w:t>
      </w:r>
      <w:r w:rsidRPr="00246D71">
        <w:rPr>
          <w:sz w:val="26"/>
          <w:szCs w:val="26"/>
        </w:rPr>
        <w:t xml:space="preserve"> rationale of our July 18, 2011 Order in maintaining the intrastate CC/CCLC at some level at this time should change irrespective of the intercarrier compensation regime that the </w:t>
      </w:r>
      <w:r w:rsidRPr="00246D71">
        <w:rPr>
          <w:i/>
          <w:sz w:val="26"/>
          <w:szCs w:val="26"/>
        </w:rPr>
        <w:t>FCC Order</w:t>
      </w:r>
      <w:r w:rsidRPr="00246D71">
        <w:rPr>
          <w:sz w:val="26"/>
          <w:szCs w:val="26"/>
        </w:rPr>
        <w:t xml:space="preserve"> is gradually placing into effect.</w:t>
      </w:r>
    </w:p>
    <w:p w:rsidR="00246D71" w:rsidRPr="00246D71" w:rsidRDefault="00246D71" w:rsidP="00246D71">
      <w:pPr>
        <w:overflowPunct w:val="0"/>
        <w:autoSpaceDE w:val="0"/>
        <w:autoSpaceDN w:val="0"/>
        <w:adjustRightInd w:val="0"/>
        <w:textAlignment w:val="baseline"/>
        <w:rPr>
          <w:sz w:val="26"/>
          <w:szCs w:val="26"/>
        </w:rPr>
      </w:pPr>
    </w:p>
    <w:p w:rsidR="00246D71" w:rsidRPr="00246D71" w:rsidRDefault="00246D71" w:rsidP="00246D71">
      <w:pPr>
        <w:overflowPunct w:val="0"/>
        <w:autoSpaceDE w:val="0"/>
        <w:autoSpaceDN w:val="0"/>
        <w:adjustRightInd w:val="0"/>
        <w:textAlignment w:val="baseline"/>
        <w:rPr>
          <w:sz w:val="26"/>
          <w:szCs w:val="26"/>
        </w:rPr>
      </w:pPr>
      <w:r w:rsidRPr="00246D71">
        <w:rPr>
          <w:b/>
          <w:sz w:val="26"/>
          <w:szCs w:val="26"/>
        </w:rPr>
        <w:t>Allocating the Intrastate Carrier Charge</w:t>
      </w:r>
    </w:p>
    <w:p w:rsidR="00246D71" w:rsidRPr="00246D71" w:rsidRDefault="00246D71" w:rsidP="00246D71">
      <w:pPr>
        <w:overflowPunct w:val="0"/>
        <w:autoSpaceDE w:val="0"/>
        <w:autoSpaceDN w:val="0"/>
        <w:adjustRightInd w:val="0"/>
        <w:textAlignment w:val="baseline"/>
        <w:rPr>
          <w:sz w:val="26"/>
          <w:szCs w:val="26"/>
        </w:rPr>
      </w:pPr>
    </w:p>
    <w:p w:rsidR="00246D71" w:rsidRPr="00246D71" w:rsidRDefault="00BA723E" w:rsidP="00246D71">
      <w:pPr>
        <w:overflowPunct w:val="0"/>
        <w:autoSpaceDE w:val="0"/>
        <w:autoSpaceDN w:val="0"/>
        <w:adjustRightInd w:val="0"/>
        <w:textAlignment w:val="baseline"/>
        <w:rPr>
          <w:sz w:val="26"/>
          <w:szCs w:val="26"/>
        </w:rPr>
      </w:pPr>
      <w:r>
        <w:rPr>
          <w:sz w:val="26"/>
          <w:szCs w:val="26"/>
        </w:rPr>
        <w:tab/>
      </w:r>
      <w:r w:rsidR="00246D71" w:rsidRPr="00246D71">
        <w:rPr>
          <w:sz w:val="26"/>
          <w:szCs w:val="26"/>
        </w:rPr>
        <w:t xml:space="preserve">The issue of allocating the intrastate CC/CCLC between originating and terminating switched access traffic for purposes of implementing the </w:t>
      </w:r>
      <w:r w:rsidR="00246D71" w:rsidRPr="00BA723E">
        <w:rPr>
          <w:i/>
          <w:sz w:val="26"/>
          <w:szCs w:val="26"/>
        </w:rPr>
        <w:t>FCC Order</w:t>
      </w:r>
      <w:r w:rsidR="00246D71" w:rsidRPr="00246D71">
        <w:rPr>
          <w:sz w:val="26"/>
          <w:szCs w:val="26"/>
        </w:rPr>
        <w:t xml:space="preserve"> intercarrier compensation regime has been raised both in the updated </w:t>
      </w:r>
      <w:r>
        <w:rPr>
          <w:sz w:val="26"/>
          <w:szCs w:val="26"/>
        </w:rPr>
        <w:t xml:space="preserve">petitions for </w:t>
      </w:r>
      <w:r>
        <w:rPr>
          <w:sz w:val="26"/>
          <w:szCs w:val="26"/>
        </w:rPr>
        <w:lastRenderedPageBreak/>
        <w:t>reconsideration</w:t>
      </w:r>
      <w:r w:rsidR="00246D71" w:rsidRPr="00246D71">
        <w:rPr>
          <w:sz w:val="26"/>
          <w:szCs w:val="26"/>
        </w:rPr>
        <w:t xml:space="preserve"> in the Rural ILEC Access Charge Investigation adjudication at Docket Nos. </w:t>
      </w:r>
      <w:proofErr w:type="gramStart"/>
      <w:r w:rsidR="00246D71" w:rsidRPr="00246D71">
        <w:rPr>
          <w:sz w:val="26"/>
          <w:szCs w:val="26"/>
        </w:rPr>
        <w:t>I-00040105 and C-2009-2098380, as well as in the FCC Order Implementation proceeding at Docket No.</w:t>
      </w:r>
      <w:proofErr w:type="gramEnd"/>
      <w:r w:rsidR="00246D71" w:rsidRPr="00246D71">
        <w:rPr>
          <w:sz w:val="26"/>
          <w:szCs w:val="26"/>
        </w:rPr>
        <w:t xml:space="preserve"> </w:t>
      </w:r>
      <w:proofErr w:type="gramStart"/>
      <w:r w:rsidR="00246D71" w:rsidRPr="00246D71">
        <w:rPr>
          <w:sz w:val="26"/>
          <w:szCs w:val="26"/>
        </w:rPr>
        <w:t>M-2012-2291824.</w:t>
      </w:r>
      <w:proofErr w:type="gramEnd"/>
      <w:r w:rsidR="00246D71" w:rsidRPr="00246D71">
        <w:rPr>
          <w:sz w:val="26"/>
          <w:szCs w:val="26"/>
        </w:rPr>
        <w:t xml:space="preserve">  AT&amp;T in its updated </w:t>
      </w:r>
      <w:r>
        <w:rPr>
          <w:sz w:val="26"/>
          <w:szCs w:val="26"/>
        </w:rPr>
        <w:t>petition for reconsideration</w:t>
      </w:r>
      <w:r w:rsidR="00246D71" w:rsidRPr="00246D71">
        <w:rPr>
          <w:sz w:val="26"/>
          <w:szCs w:val="26"/>
        </w:rPr>
        <w:t xml:space="preserve"> has put forward a methodology addressing the allocation of the intrastate CC/CCLC revenues between originating and terminating traffic and its use in the context of the </w:t>
      </w:r>
      <w:r w:rsidR="00246D71" w:rsidRPr="00BA723E">
        <w:rPr>
          <w:i/>
          <w:sz w:val="26"/>
          <w:szCs w:val="26"/>
        </w:rPr>
        <w:t>FCC Order</w:t>
      </w:r>
      <w:r w:rsidR="00246D71" w:rsidRPr="00246D71">
        <w:rPr>
          <w:sz w:val="26"/>
          <w:szCs w:val="26"/>
        </w:rPr>
        <w:t>.</w:t>
      </w:r>
      <w:r w:rsidR="00246D71" w:rsidRPr="00246D71">
        <w:rPr>
          <w:sz w:val="26"/>
          <w:szCs w:val="26"/>
          <w:vertAlign w:val="superscript"/>
        </w:rPr>
        <w:footnoteReference w:id="10"/>
      </w:r>
      <w:r w:rsidR="00246D71" w:rsidRPr="00246D71">
        <w:rPr>
          <w:sz w:val="26"/>
          <w:szCs w:val="26"/>
        </w:rPr>
        <w:t xml:space="preserve">  This AT&amp;T method has been endorsed by the OCA.</w:t>
      </w:r>
      <w:r w:rsidR="00246D71" w:rsidRPr="00246D71">
        <w:rPr>
          <w:sz w:val="26"/>
          <w:szCs w:val="26"/>
          <w:vertAlign w:val="superscript"/>
        </w:rPr>
        <w:footnoteReference w:id="11"/>
      </w:r>
    </w:p>
    <w:p w:rsidR="00BA723E" w:rsidRDefault="00BA723E" w:rsidP="00246D71">
      <w:pPr>
        <w:rPr>
          <w:sz w:val="26"/>
          <w:szCs w:val="26"/>
        </w:rPr>
      </w:pPr>
    </w:p>
    <w:p w:rsidR="00246D71" w:rsidRDefault="00BA723E" w:rsidP="00246D71">
      <w:pPr>
        <w:overflowPunct w:val="0"/>
        <w:autoSpaceDE w:val="0"/>
        <w:autoSpaceDN w:val="0"/>
        <w:adjustRightInd w:val="0"/>
        <w:textAlignment w:val="baseline"/>
        <w:rPr>
          <w:sz w:val="26"/>
          <w:szCs w:val="26"/>
        </w:rPr>
      </w:pPr>
      <w:r>
        <w:rPr>
          <w:sz w:val="26"/>
          <w:szCs w:val="26"/>
        </w:rPr>
        <w:tab/>
      </w:r>
      <w:proofErr w:type="gramStart"/>
      <w:r w:rsidR="00246D71" w:rsidRPr="00246D71">
        <w:rPr>
          <w:sz w:val="26"/>
          <w:szCs w:val="26"/>
        </w:rPr>
        <w:t>In the context of the FCC Order Implementation proceeding at Docket No.</w:t>
      </w:r>
      <w:proofErr w:type="gramEnd"/>
      <w:r w:rsidR="00246D71" w:rsidRPr="00246D71">
        <w:rPr>
          <w:sz w:val="26"/>
          <w:szCs w:val="26"/>
        </w:rPr>
        <w:t xml:space="preserve"> M</w:t>
      </w:r>
      <w:r w:rsidR="00246D71" w:rsidRPr="00246D71">
        <w:rPr>
          <w:sz w:val="26"/>
          <w:szCs w:val="26"/>
        </w:rPr>
        <w:noBreakHyphen/>
        <w:t>2012</w:t>
      </w:r>
      <w:r w:rsidR="00246D71" w:rsidRPr="00246D71">
        <w:rPr>
          <w:sz w:val="26"/>
          <w:szCs w:val="26"/>
        </w:rPr>
        <w:noBreakHyphen/>
        <w:t>2291824, AT&amp;T submitted a letter communication dated on May 2, 2012</w:t>
      </w:r>
      <w:r>
        <w:rPr>
          <w:sz w:val="26"/>
          <w:szCs w:val="26"/>
        </w:rPr>
        <w:t>,</w:t>
      </w:r>
      <w:r w:rsidR="00246D71" w:rsidRPr="00246D71">
        <w:rPr>
          <w:sz w:val="26"/>
          <w:szCs w:val="26"/>
        </w:rPr>
        <w:t xml:space="preserve"> recommending that the Commission “should adopt a subset of the FCC-approved templates, fine-tuned to incorporate data requirements unique to Pennsylvania (such as the Carrier Charge calculations), as the means by which carriers, including CLECs, will provide standardized information to this Commission as support for their proposed intrastate access tariffs” (albeit with possible excep</w:t>
      </w:r>
      <w:r w:rsidR="00246D71" w:rsidRPr="00246D71">
        <w:rPr>
          <w:sz w:val="26"/>
          <w:szCs w:val="26"/>
        </w:rPr>
        <w:softHyphen/>
        <w:t>tions among a certain category of smaller ILECs).</w:t>
      </w:r>
      <w:r w:rsidR="00246D71" w:rsidRPr="00246D71">
        <w:rPr>
          <w:sz w:val="26"/>
          <w:szCs w:val="26"/>
          <w:vertAlign w:val="superscript"/>
        </w:rPr>
        <w:footnoteReference w:id="12"/>
      </w:r>
      <w:r w:rsidR="00246D71" w:rsidRPr="00246D71">
        <w:rPr>
          <w:sz w:val="26"/>
          <w:szCs w:val="26"/>
        </w:rPr>
        <w:t xml:space="preserve">  The AT&amp;T May 2, 2012 letter included a “Terminating Intrastate Carrier Charge (CC)/Common Carrier Line (CCL) Calculation Work</w:t>
      </w:r>
      <w:r w:rsidR="00246D71" w:rsidRPr="00246D71">
        <w:rPr>
          <w:sz w:val="26"/>
          <w:szCs w:val="26"/>
        </w:rPr>
        <w:softHyphen/>
        <w:t>sheet” that also purports to convert the flat per access line per month intrastate CC/CCLC amount to a per minute of use (MOU) rate.  Verizon</w:t>
      </w:r>
      <w:r>
        <w:rPr>
          <w:sz w:val="26"/>
          <w:szCs w:val="26"/>
        </w:rPr>
        <w:t>,</w:t>
      </w:r>
      <w:r w:rsidR="00246D71" w:rsidRPr="00246D71">
        <w:rPr>
          <w:sz w:val="26"/>
          <w:szCs w:val="26"/>
        </w:rPr>
        <w:t xml:space="preserve"> via a letter submission dated May 3, 2012</w:t>
      </w:r>
      <w:r>
        <w:rPr>
          <w:sz w:val="26"/>
          <w:szCs w:val="26"/>
        </w:rPr>
        <w:t>,</w:t>
      </w:r>
      <w:r w:rsidR="00246D71" w:rsidRPr="00246D71">
        <w:rPr>
          <w:sz w:val="26"/>
          <w:szCs w:val="26"/>
        </w:rPr>
        <w:t xml:space="preserve"> supported the AT&amp;T proposal.</w:t>
      </w:r>
      <w:r w:rsidR="00246D71" w:rsidRPr="00246D71">
        <w:rPr>
          <w:sz w:val="26"/>
          <w:szCs w:val="26"/>
          <w:vertAlign w:val="superscript"/>
        </w:rPr>
        <w:footnoteReference w:id="13"/>
      </w:r>
      <w:r w:rsidR="00246D71" w:rsidRPr="00246D71">
        <w:rPr>
          <w:sz w:val="26"/>
          <w:szCs w:val="26"/>
        </w:rPr>
        <w:t xml:space="preserve">  With a letter submission dated May 3, 2012</w:t>
      </w:r>
      <w:r>
        <w:rPr>
          <w:sz w:val="26"/>
          <w:szCs w:val="26"/>
        </w:rPr>
        <w:t>,</w:t>
      </w:r>
      <w:r w:rsidR="00246D71" w:rsidRPr="00246D71">
        <w:rPr>
          <w:sz w:val="26"/>
          <w:szCs w:val="26"/>
        </w:rPr>
        <w:t xml:space="preserve"> CenturyLink opposed certain aspects of the AT&amp;T recommendation.  CenturyLink stated the following:</w:t>
      </w:r>
    </w:p>
    <w:p w:rsidR="00F81CE8" w:rsidRPr="00246D71" w:rsidRDefault="00F81CE8" w:rsidP="00F81CE8">
      <w:pPr>
        <w:overflowPunct w:val="0"/>
        <w:autoSpaceDE w:val="0"/>
        <w:autoSpaceDN w:val="0"/>
        <w:adjustRightInd w:val="0"/>
        <w:spacing w:line="240" w:lineRule="auto"/>
        <w:textAlignment w:val="baseline"/>
        <w:rPr>
          <w:sz w:val="26"/>
          <w:szCs w:val="26"/>
        </w:rPr>
      </w:pPr>
    </w:p>
    <w:p w:rsidR="00246D71" w:rsidRPr="00246D71" w:rsidRDefault="00BA723E" w:rsidP="00801258">
      <w:pPr>
        <w:overflowPunct w:val="0"/>
        <w:autoSpaceDE w:val="0"/>
        <w:autoSpaceDN w:val="0"/>
        <w:adjustRightInd w:val="0"/>
        <w:spacing w:line="240" w:lineRule="auto"/>
        <w:ind w:left="720" w:right="720"/>
        <w:textAlignment w:val="baseline"/>
        <w:rPr>
          <w:sz w:val="26"/>
          <w:szCs w:val="26"/>
        </w:rPr>
      </w:pPr>
      <w:r>
        <w:rPr>
          <w:sz w:val="26"/>
          <w:szCs w:val="26"/>
        </w:rPr>
        <w:t xml:space="preserve">    </w:t>
      </w:r>
      <w:r w:rsidR="00246D71" w:rsidRPr="00246D71">
        <w:rPr>
          <w:sz w:val="26"/>
          <w:szCs w:val="26"/>
        </w:rPr>
        <w:t xml:space="preserve">CenturyLink objects to a requirement to provide any additional information beyond a split in </w:t>
      </w:r>
      <w:proofErr w:type="gramStart"/>
      <w:r w:rsidR="00246D71" w:rsidRPr="00246D71">
        <w:rPr>
          <w:sz w:val="26"/>
          <w:szCs w:val="26"/>
        </w:rPr>
        <w:t>the per</w:t>
      </w:r>
      <w:proofErr w:type="gramEnd"/>
      <w:r w:rsidR="00246D71" w:rsidRPr="00246D71">
        <w:rPr>
          <w:sz w:val="26"/>
          <w:szCs w:val="26"/>
        </w:rPr>
        <w:t xml:space="preserve"> line CC/CCL (as between originating and terminating).  In particular, CenturyLink strongly objects to AT&amp;T foisting a requirement to convert to a permanent CC/CCL per MOU-based </w:t>
      </w:r>
      <w:r w:rsidR="00246D71" w:rsidRPr="00246D71">
        <w:rPr>
          <w:sz w:val="26"/>
          <w:szCs w:val="26"/>
        </w:rPr>
        <w:lastRenderedPageBreak/>
        <w:t>charge.  Once again AT&amp;T engages the Commission and Pennsylvania parties in unnecessary work, distraction, and expense.  CenturyLink is confident that the Pennsylvania Commission and Staff can readily address the upcoming tariff filings without the AT&amp;T-orchestrated additional worksheet and conversion requirement.</w:t>
      </w:r>
    </w:p>
    <w:p w:rsidR="00246D71" w:rsidRPr="00246D71" w:rsidRDefault="00246D71" w:rsidP="00246D71">
      <w:pPr>
        <w:overflowPunct w:val="0"/>
        <w:autoSpaceDE w:val="0"/>
        <w:autoSpaceDN w:val="0"/>
        <w:adjustRightInd w:val="0"/>
        <w:textAlignment w:val="baseline"/>
        <w:rPr>
          <w:sz w:val="26"/>
          <w:szCs w:val="26"/>
        </w:rPr>
      </w:pPr>
    </w:p>
    <w:p w:rsidR="00246D71" w:rsidRDefault="00246D71" w:rsidP="00246D71">
      <w:pPr>
        <w:rPr>
          <w:sz w:val="26"/>
          <w:szCs w:val="26"/>
        </w:rPr>
      </w:pPr>
      <w:proofErr w:type="gramStart"/>
      <w:r w:rsidRPr="00246D71">
        <w:rPr>
          <w:sz w:val="26"/>
          <w:szCs w:val="26"/>
        </w:rPr>
        <w:t>CenturyLink Letter Submission, Docket No.</w:t>
      </w:r>
      <w:proofErr w:type="gramEnd"/>
      <w:r w:rsidRPr="00246D71">
        <w:rPr>
          <w:sz w:val="26"/>
          <w:szCs w:val="26"/>
        </w:rPr>
        <w:t xml:space="preserve"> </w:t>
      </w:r>
      <w:proofErr w:type="gramStart"/>
      <w:r w:rsidRPr="00246D71">
        <w:rPr>
          <w:sz w:val="26"/>
          <w:szCs w:val="26"/>
        </w:rPr>
        <w:t>M-2012-2291824, May 3, 2012, at 2.</w:t>
      </w:r>
      <w:proofErr w:type="gramEnd"/>
    </w:p>
    <w:p w:rsidR="00BA723E" w:rsidRPr="00246D71" w:rsidRDefault="00BA723E" w:rsidP="00246D71">
      <w:pPr>
        <w:overflowPunct w:val="0"/>
        <w:autoSpaceDE w:val="0"/>
        <w:autoSpaceDN w:val="0"/>
        <w:adjustRightInd w:val="0"/>
        <w:textAlignment w:val="baseline"/>
        <w:rPr>
          <w:sz w:val="26"/>
          <w:szCs w:val="26"/>
        </w:rPr>
      </w:pPr>
    </w:p>
    <w:p w:rsidR="00246D71" w:rsidRDefault="00246D71" w:rsidP="00BA723E">
      <w:pPr>
        <w:rPr>
          <w:sz w:val="26"/>
          <w:szCs w:val="26"/>
        </w:rPr>
      </w:pPr>
      <w:r w:rsidRPr="00246D71">
        <w:rPr>
          <w:sz w:val="26"/>
          <w:szCs w:val="26"/>
        </w:rPr>
        <w:tab/>
      </w:r>
      <w:r w:rsidR="00385F3C">
        <w:rPr>
          <w:sz w:val="26"/>
          <w:szCs w:val="26"/>
        </w:rPr>
        <w:t xml:space="preserve">  </w:t>
      </w:r>
      <w:r w:rsidRPr="00246D71">
        <w:rPr>
          <w:sz w:val="26"/>
          <w:szCs w:val="26"/>
        </w:rPr>
        <w:t>We conclude that the use of the AT&amp;T additional worksheet relating to the per MOU conversion of the originating and terminating CC/CCLC is unnecessary at this time</w:t>
      </w:r>
      <w:r w:rsidR="00B81F2A">
        <w:rPr>
          <w:sz w:val="26"/>
          <w:szCs w:val="26"/>
        </w:rPr>
        <w:t>.  Rather,</w:t>
      </w:r>
      <w:r w:rsidR="005B5729" w:rsidRPr="00246D71" w:rsidDel="00385F3C">
        <w:rPr>
          <w:sz w:val="26"/>
          <w:szCs w:val="26"/>
        </w:rPr>
        <w:t xml:space="preserve"> </w:t>
      </w:r>
      <w:r w:rsidR="00D3065C">
        <w:rPr>
          <w:sz w:val="26"/>
          <w:szCs w:val="26"/>
        </w:rPr>
        <w:t xml:space="preserve">we believe </w:t>
      </w:r>
      <w:r w:rsidR="005B5729" w:rsidRPr="00246D71" w:rsidDel="00385F3C">
        <w:rPr>
          <w:sz w:val="26"/>
          <w:szCs w:val="26"/>
        </w:rPr>
        <w:t>the intrastate CC/CCLC revenue allocation method that was put forward by AT&amp;T in its above-referenced Exhibit C is sufficient</w:t>
      </w:r>
      <w:r w:rsidRPr="00246D71">
        <w:rPr>
          <w:sz w:val="26"/>
          <w:szCs w:val="26"/>
        </w:rPr>
        <w:t xml:space="preserve">.  We also conclude that we do not need to utilize a subset of the FCC prescribed templates.  We believe that the Commission generated templates are generally similar to those that will be used for federal purposes.  Finally, we continue to have appropriate jurisdiction to address the anticipated </w:t>
      </w:r>
      <w:r w:rsidRPr="00246D71">
        <w:rPr>
          <w:i/>
          <w:sz w:val="26"/>
          <w:szCs w:val="26"/>
        </w:rPr>
        <w:t>intrastate</w:t>
      </w:r>
      <w:r w:rsidRPr="00246D71">
        <w:rPr>
          <w:sz w:val="26"/>
          <w:szCs w:val="26"/>
        </w:rPr>
        <w:t xml:space="preserve"> switched carrier access tariff submissions and supporting calculations that are occasioned because of the </w:t>
      </w:r>
      <w:r w:rsidRPr="00BA723E">
        <w:rPr>
          <w:i/>
          <w:sz w:val="26"/>
          <w:szCs w:val="26"/>
        </w:rPr>
        <w:t>FCC Order</w:t>
      </w:r>
      <w:r w:rsidRPr="00246D71">
        <w:rPr>
          <w:sz w:val="26"/>
          <w:szCs w:val="26"/>
        </w:rPr>
        <w:t xml:space="preserve">.  </w:t>
      </w:r>
    </w:p>
    <w:p w:rsidR="00BA723E" w:rsidRPr="00246D71"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b/>
          <w:sz w:val="26"/>
          <w:szCs w:val="26"/>
        </w:rPr>
      </w:pPr>
      <w:r w:rsidRPr="00BA723E">
        <w:rPr>
          <w:b/>
          <w:sz w:val="26"/>
          <w:szCs w:val="26"/>
        </w:rPr>
        <w:t>Level of Intrastate Carrier Charge</w:t>
      </w:r>
    </w:p>
    <w:p w:rsidR="00BA723E" w:rsidRPr="00BA723E"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b/>
          <w:sz w:val="26"/>
          <w:szCs w:val="26"/>
        </w:rPr>
      </w:pPr>
      <w:r>
        <w:rPr>
          <w:sz w:val="26"/>
          <w:szCs w:val="26"/>
        </w:rPr>
        <w:tab/>
      </w:r>
      <w:r w:rsidRPr="00BA723E">
        <w:rPr>
          <w:sz w:val="26"/>
          <w:szCs w:val="26"/>
        </w:rPr>
        <w:t xml:space="preserve">In view of the drastic effects of the </w:t>
      </w:r>
      <w:r w:rsidRPr="00BA723E">
        <w:rPr>
          <w:i/>
          <w:sz w:val="26"/>
          <w:szCs w:val="26"/>
        </w:rPr>
        <w:t>FCC Order</w:t>
      </w:r>
      <w:r w:rsidRPr="00BA723E">
        <w:rPr>
          <w:sz w:val="26"/>
          <w:szCs w:val="26"/>
        </w:rPr>
        <w:t xml:space="preserve"> to the decisions made in our July 18, 2011 Order</w:t>
      </w:r>
      <w:r>
        <w:rPr>
          <w:sz w:val="26"/>
          <w:szCs w:val="26"/>
        </w:rPr>
        <w:t>,</w:t>
      </w:r>
      <w:r w:rsidRPr="00BA723E">
        <w:rPr>
          <w:sz w:val="26"/>
          <w:szCs w:val="26"/>
        </w:rPr>
        <w:t xml:space="preserve"> we stay the intrastate switched carrier access rate reforms that were then directed.  These include the related Commission-directed reforms of the CC/CCLC rates.  The computational mechanism of intrastate intercarrier compensation reform that is prescribed under the FCC Order will sufficiently implicate the terminating CC/CCLC rates and revenues of various carriers.  Thus, prescribing a precise level of terminating CC/CCLC rates is not necessary at this time.</w:t>
      </w:r>
    </w:p>
    <w:p w:rsidR="00BA723E" w:rsidRPr="00BA723E" w:rsidRDefault="00BA723E" w:rsidP="00BA723E">
      <w:pPr>
        <w:overflowPunct w:val="0"/>
        <w:autoSpaceDE w:val="0"/>
        <w:autoSpaceDN w:val="0"/>
        <w:adjustRightInd w:val="0"/>
        <w:textAlignment w:val="baseline"/>
        <w:rPr>
          <w:sz w:val="26"/>
          <w:szCs w:val="26"/>
        </w:rPr>
      </w:pPr>
    </w:p>
    <w:p w:rsidR="00F81CE8" w:rsidRDefault="00F81CE8">
      <w:pPr>
        <w:rPr>
          <w:b/>
          <w:sz w:val="26"/>
          <w:szCs w:val="26"/>
        </w:rPr>
      </w:pPr>
      <w:r>
        <w:rPr>
          <w:b/>
          <w:sz w:val="26"/>
          <w:szCs w:val="26"/>
        </w:rPr>
        <w:br w:type="page"/>
      </w:r>
    </w:p>
    <w:p w:rsidR="00BA723E" w:rsidRPr="00BA723E" w:rsidRDefault="00BA723E" w:rsidP="00BA723E">
      <w:pPr>
        <w:overflowPunct w:val="0"/>
        <w:autoSpaceDE w:val="0"/>
        <w:autoSpaceDN w:val="0"/>
        <w:adjustRightInd w:val="0"/>
        <w:textAlignment w:val="baseline"/>
        <w:rPr>
          <w:b/>
          <w:sz w:val="26"/>
          <w:szCs w:val="26"/>
        </w:rPr>
      </w:pPr>
      <w:r w:rsidRPr="00BA723E">
        <w:rPr>
          <w:b/>
          <w:sz w:val="26"/>
          <w:szCs w:val="26"/>
        </w:rPr>
        <w:lastRenderedPageBreak/>
        <w:t>Intrastate Originating Access Reforms</w:t>
      </w:r>
    </w:p>
    <w:p w:rsidR="00BA723E" w:rsidRPr="00BA723E" w:rsidRDefault="00BA723E" w:rsidP="00BA723E">
      <w:pPr>
        <w:overflowPunct w:val="0"/>
        <w:autoSpaceDE w:val="0"/>
        <w:autoSpaceDN w:val="0"/>
        <w:adjustRightInd w:val="0"/>
        <w:textAlignment w:val="baseline"/>
        <w:rPr>
          <w:sz w:val="26"/>
          <w:szCs w:val="26"/>
        </w:rPr>
      </w:pPr>
    </w:p>
    <w:p w:rsidR="00BA723E" w:rsidRPr="00BA723E" w:rsidRDefault="00BA723E" w:rsidP="00BA723E">
      <w:pPr>
        <w:overflowPunct w:val="0"/>
        <w:autoSpaceDE w:val="0"/>
        <w:autoSpaceDN w:val="0"/>
        <w:adjustRightInd w:val="0"/>
        <w:textAlignment w:val="baseline"/>
        <w:rPr>
          <w:sz w:val="26"/>
          <w:szCs w:val="26"/>
        </w:rPr>
      </w:pPr>
      <w:r>
        <w:rPr>
          <w:sz w:val="26"/>
          <w:szCs w:val="26"/>
        </w:rPr>
        <w:tab/>
      </w:r>
      <w:r w:rsidRPr="00BA723E">
        <w:rPr>
          <w:sz w:val="26"/>
          <w:szCs w:val="26"/>
        </w:rPr>
        <w:t xml:space="preserve">In view of the drastic impacts that the </w:t>
      </w:r>
      <w:r w:rsidRPr="00BA723E">
        <w:rPr>
          <w:i/>
          <w:sz w:val="26"/>
          <w:szCs w:val="26"/>
        </w:rPr>
        <w:t>FCC Order</w:t>
      </w:r>
      <w:r w:rsidRPr="00BA723E">
        <w:rPr>
          <w:sz w:val="26"/>
          <w:szCs w:val="26"/>
        </w:rPr>
        <w:t xml:space="preserve"> has had on the measured intrastate access reforms adopted with our July 18, 2011 Order, and in view of the further FCC actions contemplated in the area of intercarrier compensation for originating traffic, we are reluctant at this time to engage in any actions affecting intrastate switched carrier access rates for originating traffic.</w:t>
      </w:r>
      <w:r w:rsidRPr="00BA723E">
        <w:rPr>
          <w:sz w:val="26"/>
          <w:szCs w:val="26"/>
          <w:vertAlign w:val="superscript"/>
        </w:rPr>
        <w:footnoteReference w:id="14"/>
      </w:r>
      <w:r w:rsidRPr="00BA723E">
        <w:rPr>
          <w:sz w:val="26"/>
          <w:szCs w:val="26"/>
        </w:rPr>
        <w:t xml:space="preserve">  The only exception in this area concerns the allocation of the intrastate CC/CCLC that has been previously addressed.</w:t>
      </w:r>
    </w:p>
    <w:p w:rsidR="00246D71" w:rsidRDefault="00246D71" w:rsidP="004533B0">
      <w:pPr>
        <w:rPr>
          <w:sz w:val="26"/>
          <w:szCs w:val="26"/>
        </w:rPr>
      </w:pPr>
    </w:p>
    <w:p w:rsidR="00246D71" w:rsidRDefault="00246D71" w:rsidP="004533B0">
      <w:pPr>
        <w:rPr>
          <w:sz w:val="26"/>
          <w:szCs w:val="26"/>
        </w:rPr>
      </w:pPr>
      <w:r>
        <w:rPr>
          <w:b/>
          <w:sz w:val="26"/>
          <w:szCs w:val="26"/>
        </w:rPr>
        <w:t>Protective Order</w:t>
      </w:r>
    </w:p>
    <w:p w:rsidR="00246D71" w:rsidRPr="00246D71" w:rsidRDefault="00246D71" w:rsidP="004533B0">
      <w:pPr>
        <w:rPr>
          <w:sz w:val="26"/>
          <w:szCs w:val="26"/>
        </w:rPr>
      </w:pPr>
    </w:p>
    <w:p w:rsidR="004533B0" w:rsidRDefault="00385F3C" w:rsidP="004533B0">
      <w:pPr>
        <w:ind w:firstLine="720"/>
        <w:rPr>
          <w:sz w:val="26"/>
          <w:szCs w:val="26"/>
        </w:rPr>
      </w:pPr>
      <w:r>
        <w:rPr>
          <w:sz w:val="26"/>
          <w:szCs w:val="26"/>
        </w:rPr>
        <w:t xml:space="preserve">As previously stated, carriers, as part of Step 1, will be submitting sensitive switched access demand and revenue information related to their respective and anticipated Transitional Intrastate Access Services tariff submissions.  </w:t>
      </w:r>
      <w:r w:rsidR="004533B0" w:rsidRPr="004533B0">
        <w:rPr>
          <w:sz w:val="26"/>
          <w:szCs w:val="26"/>
        </w:rPr>
        <w:t xml:space="preserve">Under Commission regulations at 52 Pa. Code §§ 5.362(7) and 5.423(b), a Protective Order may be entered to limit or prohibit disclosure of confidential information where the potential harm to the party would be substantial and outweighs the public’s interest in having access to the confidential information.  In its review whether to grant a Protective Order, the Commission must balance the potential harm to the party of disclosure of the confidential information at issue with the public’s interest in free and open access to the administrative process.  </w:t>
      </w:r>
    </w:p>
    <w:p w:rsidR="004533B0" w:rsidRPr="004533B0" w:rsidRDefault="004533B0" w:rsidP="004533B0">
      <w:pPr>
        <w:rPr>
          <w:sz w:val="26"/>
          <w:szCs w:val="26"/>
        </w:rPr>
      </w:pPr>
    </w:p>
    <w:p w:rsidR="004533B0" w:rsidRPr="004533B0" w:rsidRDefault="004533B0" w:rsidP="004533B0">
      <w:pPr>
        <w:ind w:firstLine="720"/>
        <w:rPr>
          <w:sz w:val="26"/>
          <w:szCs w:val="26"/>
        </w:rPr>
      </w:pPr>
      <w:r w:rsidRPr="004533B0">
        <w:rPr>
          <w:sz w:val="26"/>
          <w:szCs w:val="26"/>
        </w:rPr>
        <w:t xml:space="preserve">The relevant factors to be considered when addressing a request for protective order include: </w:t>
      </w:r>
      <w:r w:rsidR="008C5F12">
        <w:rPr>
          <w:sz w:val="26"/>
          <w:szCs w:val="26"/>
        </w:rPr>
        <w:t>(</w:t>
      </w:r>
      <w:r w:rsidRPr="004533B0">
        <w:rPr>
          <w:sz w:val="26"/>
          <w:szCs w:val="26"/>
        </w:rPr>
        <w:t xml:space="preserve">1) the extent to which disclosure would cause unfair economic or competitive damage; </w:t>
      </w:r>
      <w:r w:rsidR="008C5F12">
        <w:rPr>
          <w:sz w:val="26"/>
          <w:szCs w:val="26"/>
        </w:rPr>
        <w:t>(</w:t>
      </w:r>
      <w:r w:rsidRPr="004533B0">
        <w:rPr>
          <w:sz w:val="26"/>
          <w:szCs w:val="26"/>
        </w:rPr>
        <w:t xml:space="preserve">2) the extent to which the information may already be known by others; </w:t>
      </w:r>
      <w:r w:rsidR="008C5F12">
        <w:rPr>
          <w:sz w:val="26"/>
          <w:szCs w:val="26"/>
        </w:rPr>
        <w:t>(</w:t>
      </w:r>
      <w:r w:rsidRPr="004533B0">
        <w:rPr>
          <w:sz w:val="26"/>
          <w:szCs w:val="26"/>
        </w:rPr>
        <w:t xml:space="preserve">3) the potential value of such information to the participant and the participant’s </w:t>
      </w:r>
      <w:r w:rsidRPr="004533B0">
        <w:rPr>
          <w:sz w:val="26"/>
          <w:szCs w:val="26"/>
        </w:rPr>
        <w:lastRenderedPageBreak/>
        <w:t xml:space="preserve">competitors and trade partners; and </w:t>
      </w:r>
      <w:r w:rsidR="008C5F12">
        <w:rPr>
          <w:sz w:val="26"/>
          <w:szCs w:val="26"/>
        </w:rPr>
        <w:t>(</w:t>
      </w:r>
      <w:r w:rsidRPr="004533B0">
        <w:rPr>
          <w:sz w:val="26"/>
          <w:szCs w:val="26"/>
        </w:rPr>
        <w:t>4) other statutes or regulations dealing specifically with the disclosure of the information.  52 Pa. Code §§ 5.423(a</w:t>
      </w:r>
      <w:proofErr w:type="gramStart"/>
      <w:r w:rsidRPr="004533B0">
        <w:rPr>
          <w:sz w:val="26"/>
          <w:szCs w:val="26"/>
        </w:rPr>
        <w:t>)(</w:t>
      </w:r>
      <w:proofErr w:type="gramEnd"/>
      <w:r w:rsidRPr="004533B0">
        <w:rPr>
          <w:sz w:val="26"/>
          <w:szCs w:val="26"/>
        </w:rPr>
        <w:t>1)-(3) and (5).</w:t>
      </w:r>
    </w:p>
    <w:p w:rsidR="004533B0" w:rsidRDefault="004533B0" w:rsidP="004533B0">
      <w:pPr>
        <w:rPr>
          <w:sz w:val="26"/>
          <w:szCs w:val="26"/>
        </w:rPr>
      </w:pPr>
    </w:p>
    <w:p w:rsidR="004533B0" w:rsidRDefault="004533B0" w:rsidP="004533B0">
      <w:pPr>
        <w:ind w:firstLine="720"/>
        <w:rPr>
          <w:sz w:val="26"/>
          <w:szCs w:val="26"/>
        </w:rPr>
      </w:pPr>
      <w:r>
        <w:rPr>
          <w:sz w:val="26"/>
          <w:szCs w:val="26"/>
        </w:rPr>
        <w:t>O</w:t>
      </w:r>
      <w:r w:rsidRPr="004533B0">
        <w:rPr>
          <w:sz w:val="26"/>
          <w:szCs w:val="26"/>
        </w:rPr>
        <w:t xml:space="preserve">f the information requested of carriers in this matter, certain portions satisfy the standard for </w:t>
      </w:r>
      <w:r w:rsidR="00335E09">
        <w:rPr>
          <w:sz w:val="26"/>
          <w:szCs w:val="26"/>
        </w:rPr>
        <w:t xml:space="preserve">the </w:t>
      </w:r>
      <w:r w:rsidRPr="004533B0">
        <w:rPr>
          <w:sz w:val="26"/>
          <w:szCs w:val="26"/>
        </w:rPr>
        <w:t xml:space="preserve">grant of </w:t>
      </w:r>
      <w:r w:rsidR="00FC463D">
        <w:rPr>
          <w:sz w:val="26"/>
          <w:szCs w:val="26"/>
        </w:rPr>
        <w:t xml:space="preserve">a </w:t>
      </w:r>
      <w:r w:rsidRPr="004533B0">
        <w:rPr>
          <w:sz w:val="26"/>
          <w:szCs w:val="26"/>
        </w:rPr>
        <w:t>protect</w:t>
      </w:r>
      <w:r w:rsidR="00FC463D">
        <w:rPr>
          <w:sz w:val="26"/>
          <w:szCs w:val="26"/>
        </w:rPr>
        <w:t>ive</w:t>
      </w:r>
      <w:r w:rsidRPr="004533B0">
        <w:rPr>
          <w:sz w:val="26"/>
          <w:szCs w:val="26"/>
        </w:rPr>
        <w:t xml:space="preserve"> order</w:t>
      </w:r>
      <w:r w:rsidR="00EC0304">
        <w:rPr>
          <w:sz w:val="26"/>
          <w:szCs w:val="26"/>
        </w:rPr>
        <w:t xml:space="preserve">.  Specifically, we shall treat carriers’ access line totals, </w:t>
      </w:r>
      <w:r w:rsidR="00FC463D">
        <w:rPr>
          <w:sz w:val="26"/>
          <w:szCs w:val="26"/>
        </w:rPr>
        <w:t xml:space="preserve">switched access traffic </w:t>
      </w:r>
      <w:r w:rsidR="00EC0304">
        <w:rPr>
          <w:sz w:val="26"/>
          <w:szCs w:val="26"/>
        </w:rPr>
        <w:t>demand minutes of use</w:t>
      </w:r>
      <w:r w:rsidR="00FC463D">
        <w:rPr>
          <w:sz w:val="26"/>
          <w:szCs w:val="26"/>
        </w:rPr>
        <w:t xml:space="preserve"> (MOUs)</w:t>
      </w:r>
      <w:r w:rsidR="00EC0304">
        <w:rPr>
          <w:sz w:val="26"/>
          <w:szCs w:val="26"/>
        </w:rPr>
        <w:t xml:space="preserve">, and disaggregated revenues derived from individual </w:t>
      </w:r>
      <w:r w:rsidR="00FC463D">
        <w:rPr>
          <w:sz w:val="26"/>
          <w:szCs w:val="26"/>
        </w:rPr>
        <w:t xml:space="preserve">carrier </w:t>
      </w:r>
      <w:r w:rsidR="00EC0304">
        <w:rPr>
          <w:sz w:val="26"/>
          <w:szCs w:val="26"/>
        </w:rPr>
        <w:t>access rate elements as proprietary.</w:t>
      </w:r>
      <w:r w:rsidRPr="004533B0">
        <w:rPr>
          <w:sz w:val="26"/>
          <w:szCs w:val="26"/>
        </w:rPr>
        <w:t xml:space="preserve">   </w:t>
      </w:r>
      <w:r w:rsidR="000A313A">
        <w:rPr>
          <w:sz w:val="26"/>
          <w:szCs w:val="26"/>
        </w:rPr>
        <w:t>Historically</w:t>
      </w:r>
      <w:r w:rsidR="0096799A">
        <w:rPr>
          <w:sz w:val="26"/>
          <w:szCs w:val="26"/>
        </w:rPr>
        <w:t>,</w:t>
      </w:r>
      <w:r w:rsidR="000A313A">
        <w:rPr>
          <w:sz w:val="26"/>
          <w:szCs w:val="26"/>
        </w:rPr>
        <w:t xml:space="preserve"> the Commission has ruled this information to be confidential and proprietary in past </w:t>
      </w:r>
      <w:r w:rsidR="00FC463D">
        <w:rPr>
          <w:sz w:val="26"/>
          <w:szCs w:val="26"/>
        </w:rPr>
        <w:t>ILEC</w:t>
      </w:r>
      <w:r w:rsidR="000A313A">
        <w:rPr>
          <w:sz w:val="26"/>
          <w:szCs w:val="26"/>
        </w:rPr>
        <w:t xml:space="preserve"> price cap and revenue-neutral rate rebalancing filings.  </w:t>
      </w:r>
      <w:r w:rsidR="0096799A">
        <w:rPr>
          <w:sz w:val="26"/>
          <w:szCs w:val="26"/>
        </w:rPr>
        <w:t>In a competitive market, the release of this type of information and financial data</w:t>
      </w:r>
      <w:r w:rsidRPr="004533B0">
        <w:rPr>
          <w:sz w:val="26"/>
          <w:szCs w:val="26"/>
        </w:rPr>
        <w:t xml:space="preserve"> would cause substantial harm to a carrier</w:t>
      </w:r>
      <w:r w:rsidR="00FC463D">
        <w:rPr>
          <w:sz w:val="26"/>
          <w:szCs w:val="26"/>
        </w:rPr>
        <w:t xml:space="preserve"> that is providing wholesale switched carrier access services and may be competing with other providers of functionally equivalent or similar services</w:t>
      </w:r>
      <w:r w:rsidR="0096799A">
        <w:rPr>
          <w:sz w:val="26"/>
          <w:szCs w:val="26"/>
        </w:rPr>
        <w:t>.  The resulting harm would be sufficient</w:t>
      </w:r>
      <w:r w:rsidR="0096799A" w:rsidRPr="004533B0">
        <w:rPr>
          <w:sz w:val="26"/>
          <w:szCs w:val="26"/>
        </w:rPr>
        <w:t xml:space="preserve"> </w:t>
      </w:r>
      <w:r w:rsidRPr="004533B0">
        <w:rPr>
          <w:sz w:val="26"/>
          <w:szCs w:val="26"/>
        </w:rPr>
        <w:t xml:space="preserve">to outweigh the public interest in access to the information.  While we are sensitive to the open access of public information, the disclosure of information </w:t>
      </w:r>
      <w:r w:rsidR="002616CB">
        <w:rPr>
          <w:sz w:val="26"/>
          <w:szCs w:val="26"/>
        </w:rPr>
        <w:t xml:space="preserve">that </w:t>
      </w:r>
      <w:r w:rsidRPr="004533B0">
        <w:rPr>
          <w:sz w:val="26"/>
          <w:szCs w:val="26"/>
        </w:rPr>
        <w:t>harm</w:t>
      </w:r>
      <w:r w:rsidR="002616CB">
        <w:rPr>
          <w:sz w:val="26"/>
          <w:szCs w:val="26"/>
        </w:rPr>
        <w:t>s</w:t>
      </w:r>
      <w:r w:rsidRPr="004533B0">
        <w:rPr>
          <w:sz w:val="26"/>
          <w:szCs w:val="26"/>
        </w:rPr>
        <w:t xml:space="preserve"> the competitive position of carriers would thereby cause indirect harm to Pennsylvania’s </w:t>
      </w:r>
      <w:r>
        <w:rPr>
          <w:sz w:val="26"/>
          <w:szCs w:val="26"/>
        </w:rPr>
        <w:t xml:space="preserve">telecommunications </w:t>
      </w:r>
      <w:r w:rsidRPr="004533B0">
        <w:rPr>
          <w:sz w:val="26"/>
          <w:szCs w:val="26"/>
        </w:rPr>
        <w:t xml:space="preserve">consumer, by its negative impact upon the competitive telecommunications market. </w:t>
      </w:r>
    </w:p>
    <w:p w:rsidR="004533B0" w:rsidRDefault="004533B0" w:rsidP="004533B0">
      <w:pPr>
        <w:ind w:firstLine="720"/>
        <w:rPr>
          <w:sz w:val="26"/>
          <w:szCs w:val="26"/>
        </w:rPr>
      </w:pPr>
    </w:p>
    <w:p w:rsidR="004533B0" w:rsidRDefault="004533B0" w:rsidP="004533B0">
      <w:pPr>
        <w:ind w:firstLine="720"/>
        <w:rPr>
          <w:sz w:val="26"/>
          <w:szCs w:val="26"/>
        </w:rPr>
      </w:pPr>
      <w:r w:rsidRPr="004533B0">
        <w:rPr>
          <w:sz w:val="26"/>
          <w:szCs w:val="26"/>
        </w:rPr>
        <w:t xml:space="preserve"> For those portions of the information requested from carriers </w:t>
      </w:r>
      <w:r w:rsidR="002616CB">
        <w:rPr>
          <w:sz w:val="26"/>
          <w:szCs w:val="26"/>
        </w:rPr>
        <w:t>that</w:t>
      </w:r>
      <w:r w:rsidR="002616CB" w:rsidRPr="004533B0">
        <w:rPr>
          <w:sz w:val="26"/>
          <w:szCs w:val="26"/>
        </w:rPr>
        <w:t xml:space="preserve"> </w:t>
      </w:r>
      <w:r w:rsidRPr="004533B0">
        <w:rPr>
          <w:sz w:val="26"/>
          <w:szCs w:val="26"/>
        </w:rPr>
        <w:t xml:space="preserve">do not </w:t>
      </w:r>
      <w:proofErr w:type="gramStart"/>
      <w:r w:rsidRPr="004533B0">
        <w:rPr>
          <w:sz w:val="26"/>
          <w:szCs w:val="26"/>
        </w:rPr>
        <w:t>raise</w:t>
      </w:r>
      <w:proofErr w:type="gramEnd"/>
      <w:r w:rsidRPr="004533B0">
        <w:rPr>
          <w:sz w:val="26"/>
          <w:szCs w:val="26"/>
        </w:rPr>
        <w:t xml:space="preserve"> the same concern for proprietary treatment and confidential status</w:t>
      </w:r>
      <w:r>
        <w:rPr>
          <w:sz w:val="26"/>
          <w:szCs w:val="26"/>
        </w:rPr>
        <w:t xml:space="preserve"> </w:t>
      </w:r>
      <w:r w:rsidRPr="004533B0">
        <w:rPr>
          <w:sz w:val="26"/>
          <w:szCs w:val="26"/>
        </w:rPr>
        <w:t>because</w:t>
      </w:r>
      <w:r w:rsidR="002616CB">
        <w:rPr>
          <w:sz w:val="26"/>
          <w:szCs w:val="26"/>
        </w:rPr>
        <w:t xml:space="preserve"> they do</w:t>
      </w:r>
      <w:r w:rsidRPr="004533B0">
        <w:rPr>
          <w:sz w:val="26"/>
          <w:szCs w:val="26"/>
        </w:rPr>
        <w:t xml:space="preserve"> not negatively impact the competitive position</w:t>
      </w:r>
      <w:r w:rsidR="002616CB">
        <w:rPr>
          <w:sz w:val="26"/>
          <w:szCs w:val="26"/>
        </w:rPr>
        <w:t>s</w:t>
      </w:r>
      <w:r w:rsidRPr="004533B0">
        <w:rPr>
          <w:sz w:val="26"/>
          <w:szCs w:val="26"/>
        </w:rPr>
        <w:t xml:space="preserve"> of telecommunications carriers, we shall require disclosure.  </w:t>
      </w:r>
      <w:r w:rsidR="00EC0304">
        <w:rPr>
          <w:sz w:val="26"/>
          <w:szCs w:val="26"/>
        </w:rPr>
        <w:t xml:space="preserve"> Specifically, this information includes present and proposed individual </w:t>
      </w:r>
      <w:r w:rsidR="009247AD">
        <w:rPr>
          <w:sz w:val="26"/>
          <w:szCs w:val="26"/>
        </w:rPr>
        <w:t>Transitional Access Service Rate Elements</w:t>
      </w:r>
      <w:r w:rsidR="00EC0304">
        <w:rPr>
          <w:sz w:val="26"/>
          <w:szCs w:val="26"/>
        </w:rPr>
        <w:t xml:space="preserve"> and present and proposed total Transitional Intrastate Access Service Revenues.  </w:t>
      </w:r>
    </w:p>
    <w:p w:rsidR="004533B0" w:rsidRPr="004533B0" w:rsidRDefault="004533B0" w:rsidP="004533B0">
      <w:pPr>
        <w:ind w:firstLine="720"/>
        <w:rPr>
          <w:sz w:val="26"/>
          <w:szCs w:val="26"/>
        </w:rPr>
      </w:pPr>
    </w:p>
    <w:p w:rsidR="004533B0" w:rsidRPr="004533B0" w:rsidRDefault="004533B0" w:rsidP="004533B0">
      <w:pPr>
        <w:ind w:firstLine="720"/>
        <w:rPr>
          <w:sz w:val="26"/>
          <w:szCs w:val="26"/>
        </w:rPr>
      </w:pPr>
      <w:r>
        <w:rPr>
          <w:sz w:val="26"/>
          <w:szCs w:val="26"/>
        </w:rPr>
        <w:t>T</w:t>
      </w:r>
      <w:r w:rsidRPr="004533B0">
        <w:rPr>
          <w:sz w:val="26"/>
          <w:szCs w:val="26"/>
        </w:rPr>
        <w:t>he information required from carriers in order to facilitate the Commission’s efforts to implement Step 1</w:t>
      </w:r>
      <w:r w:rsidR="00544A8A">
        <w:rPr>
          <w:rStyle w:val="FootnoteReference"/>
          <w:sz w:val="26"/>
          <w:szCs w:val="26"/>
        </w:rPr>
        <w:footnoteReference w:id="15"/>
      </w:r>
      <w:r w:rsidRPr="004533B0">
        <w:rPr>
          <w:sz w:val="26"/>
          <w:szCs w:val="26"/>
        </w:rPr>
        <w:t xml:space="preserve"> of this transition is set forth in Attachment A.  The portions </w:t>
      </w:r>
      <w:r w:rsidRPr="004533B0">
        <w:rPr>
          <w:sz w:val="26"/>
          <w:szCs w:val="26"/>
        </w:rPr>
        <w:lastRenderedPageBreak/>
        <w:t xml:space="preserve">of the information submitted by carriers which shall be afforded confidential proprietary status and therefore not subject to public disclosure are highlighted in blue.  The portions of the information submitted by carriers which shall be subject to public access are highlighted in yellow. </w:t>
      </w:r>
      <w:r>
        <w:rPr>
          <w:sz w:val="26"/>
          <w:szCs w:val="26"/>
        </w:rPr>
        <w:t xml:space="preserve">These forms are available on the Commission web page </w:t>
      </w:r>
      <w:r w:rsidR="009247AD">
        <w:rPr>
          <w:sz w:val="26"/>
          <w:szCs w:val="26"/>
        </w:rPr>
        <w:t xml:space="preserve">at </w:t>
      </w:r>
      <w:hyperlink r:id="rId9" w:history="1">
        <w:r w:rsidR="009247AD" w:rsidRPr="00347FF8">
          <w:rPr>
            <w:rStyle w:val="Hyperlink"/>
            <w:sz w:val="26"/>
            <w:szCs w:val="26"/>
          </w:rPr>
          <w:t>http://www.puc.state.pa.us/telecom/FCC_Implementation_Order.aspx</w:t>
        </w:r>
      </w:hyperlink>
      <w:r w:rsidR="009247AD">
        <w:rPr>
          <w:sz w:val="26"/>
          <w:szCs w:val="26"/>
        </w:rPr>
        <w:t xml:space="preserve"> under the section entitled “Mandated Access Charge Reduction Filings.”</w:t>
      </w:r>
      <w:r>
        <w:rPr>
          <w:sz w:val="26"/>
          <w:szCs w:val="26"/>
        </w:rPr>
        <w:t xml:space="preserve">  </w:t>
      </w:r>
      <w:r w:rsidRPr="004533B0">
        <w:rPr>
          <w:sz w:val="26"/>
          <w:szCs w:val="26"/>
        </w:rPr>
        <w:t xml:space="preserve"> </w:t>
      </w:r>
    </w:p>
    <w:p w:rsidR="004533B0" w:rsidRPr="004533B0" w:rsidRDefault="004533B0" w:rsidP="004533B0">
      <w:pPr>
        <w:rPr>
          <w:sz w:val="26"/>
          <w:szCs w:val="26"/>
        </w:rPr>
      </w:pPr>
    </w:p>
    <w:p w:rsidR="004533B0" w:rsidRDefault="004533B0" w:rsidP="00544A8A">
      <w:pPr>
        <w:ind w:firstLine="720"/>
        <w:rPr>
          <w:sz w:val="26"/>
          <w:szCs w:val="26"/>
        </w:rPr>
      </w:pPr>
      <w:r w:rsidRPr="004533B0">
        <w:rPr>
          <w:sz w:val="26"/>
          <w:szCs w:val="26"/>
        </w:rPr>
        <w:t xml:space="preserve">While we issue this Protective Order to assure the confidentiality of proprietary and otherwise competitively sensitive material, we also however, expressly note that any protective order granted in the circumstances is with the reservation that the protective order does not prohibit the sharing of all carrier information submitted to the </w:t>
      </w:r>
      <w:r w:rsidR="00073FC4">
        <w:rPr>
          <w:sz w:val="26"/>
          <w:szCs w:val="26"/>
        </w:rPr>
        <w:t>C</w:t>
      </w:r>
      <w:r w:rsidRPr="004533B0">
        <w:rPr>
          <w:sz w:val="26"/>
          <w:szCs w:val="26"/>
        </w:rPr>
        <w:t xml:space="preserve">ommission if sought in connection with any </w:t>
      </w:r>
      <w:r w:rsidR="002616CB">
        <w:rPr>
          <w:sz w:val="26"/>
          <w:szCs w:val="26"/>
        </w:rPr>
        <w:t xml:space="preserve">joint </w:t>
      </w:r>
      <w:r w:rsidRPr="004533B0">
        <w:rPr>
          <w:sz w:val="26"/>
          <w:szCs w:val="26"/>
        </w:rPr>
        <w:t>state</w:t>
      </w:r>
      <w:r w:rsidR="002616CB">
        <w:rPr>
          <w:sz w:val="26"/>
          <w:szCs w:val="26"/>
        </w:rPr>
        <w:t>-</w:t>
      </w:r>
      <w:r w:rsidRPr="004533B0">
        <w:rPr>
          <w:sz w:val="26"/>
          <w:szCs w:val="26"/>
        </w:rPr>
        <w:t>federal investigation or enforcement action.</w:t>
      </w:r>
    </w:p>
    <w:p w:rsidR="004533B0" w:rsidRDefault="004533B0" w:rsidP="004533B0">
      <w:pPr>
        <w:rPr>
          <w:sz w:val="26"/>
          <w:szCs w:val="26"/>
        </w:rPr>
      </w:pPr>
    </w:p>
    <w:p w:rsidR="00A465D5" w:rsidRPr="00A465D5" w:rsidRDefault="00A465D5" w:rsidP="004533B0">
      <w:pPr>
        <w:rPr>
          <w:b/>
          <w:sz w:val="26"/>
          <w:szCs w:val="26"/>
        </w:rPr>
      </w:pPr>
      <w:r>
        <w:rPr>
          <w:b/>
          <w:sz w:val="26"/>
          <w:szCs w:val="26"/>
        </w:rPr>
        <w:t>Timing and Process for Filing Tariffs</w:t>
      </w:r>
    </w:p>
    <w:p w:rsidR="00263DFE" w:rsidRDefault="00263DFE" w:rsidP="00263DFE">
      <w:pPr>
        <w:rPr>
          <w:sz w:val="26"/>
          <w:szCs w:val="26"/>
        </w:rPr>
      </w:pPr>
    </w:p>
    <w:p w:rsidR="00263DFE" w:rsidRDefault="00263DFE" w:rsidP="00263DFE">
      <w:pPr>
        <w:rPr>
          <w:sz w:val="26"/>
          <w:szCs w:val="26"/>
        </w:rPr>
      </w:pPr>
      <w:r>
        <w:rPr>
          <w:sz w:val="26"/>
          <w:szCs w:val="26"/>
        </w:rPr>
        <w:tab/>
        <w:t>All local exchange carriers</w:t>
      </w:r>
      <w:r w:rsidRPr="00263DFE">
        <w:rPr>
          <w:sz w:val="26"/>
          <w:szCs w:val="26"/>
        </w:rPr>
        <w:t xml:space="preserve"> </w:t>
      </w:r>
      <w:r w:rsidR="00801258">
        <w:rPr>
          <w:sz w:val="26"/>
          <w:szCs w:val="26"/>
        </w:rPr>
        <w:t xml:space="preserve">(LECs) </w:t>
      </w:r>
      <w:r w:rsidRPr="00263DFE">
        <w:rPr>
          <w:sz w:val="26"/>
          <w:szCs w:val="26"/>
        </w:rPr>
        <w:t xml:space="preserve">are to file </w:t>
      </w:r>
      <w:r>
        <w:rPr>
          <w:sz w:val="26"/>
          <w:szCs w:val="26"/>
        </w:rPr>
        <w:t xml:space="preserve">tariff supplements and </w:t>
      </w:r>
      <w:r w:rsidRPr="00263DFE">
        <w:rPr>
          <w:sz w:val="26"/>
          <w:szCs w:val="26"/>
        </w:rPr>
        <w:t>supporting information</w:t>
      </w:r>
      <w:r w:rsidR="00B81F2A">
        <w:rPr>
          <w:sz w:val="26"/>
          <w:szCs w:val="26"/>
        </w:rPr>
        <w:t>,</w:t>
      </w:r>
      <w:r w:rsidRPr="00263DFE">
        <w:rPr>
          <w:sz w:val="26"/>
          <w:szCs w:val="26"/>
        </w:rPr>
        <w:t xml:space="preserve"> which illustrates their calculations of </w:t>
      </w:r>
      <w:r>
        <w:rPr>
          <w:sz w:val="26"/>
          <w:szCs w:val="26"/>
        </w:rPr>
        <w:t>any</w:t>
      </w:r>
      <w:r w:rsidRPr="00263DFE">
        <w:rPr>
          <w:sz w:val="26"/>
          <w:szCs w:val="26"/>
        </w:rPr>
        <w:t xml:space="preserve"> rates contained in </w:t>
      </w:r>
      <w:r>
        <w:rPr>
          <w:sz w:val="26"/>
          <w:szCs w:val="26"/>
        </w:rPr>
        <w:t xml:space="preserve">the tariff supplements.  In order to meet the FCC’s July 1, 2012 </w:t>
      </w:r>
      <w:r w:rsidRPr="000A012D">
        <w:rPr>
          <w:sz w:val="26"/>
          <w:szCs w:val="26"/>
        </w:rPr>
        <w:t xml:space="preserve">deadline </w:t>
      </w:r>
      <w:r w:rsidRPr="00C45BFB">
        <w:rPr>
          <w:sz w:val="26"/>
          <w:szCs w:val="26"/>
        </w:rPr>
        <w:t>to</w:t>
      </w:r>
      <w:r w:rsidRPr="00F81CE8">
        <w:rPr>
          <w:sz w:val="26"/>
          <w:szCs w:val="26"/>
        </w:rPr>
        <w:t xml:space="preserve"> </w:t>
      </w:r>
      <w:r w:rsidR="000707BF" w:rsidRPr="00F81CE8">
        <w:rPr>
          <w:sz w:val="26"/>
          <w:szCs w:val="26"/>
        </w:rPr>
        <w:t>reduce LEC access rates</w:t>
      </w:r>
      <w:r w:rsidRPr="000A012D">
        <w:rPr>
          <w:sz w:val="26"/>
          <w:szCs w:val="26"/>
        </w:rPr>
        <w:t>, we shall require carriers to file their tariff supplements by the following</w:t>
      </w:r>
      <w:r>
        <w:rPr>
          <w:sz w:val="26"/>
          <w:szCs w:val="26"/>
        </w:rPr>
        <w:t xml:space="preserve"> </w:t>
      </w:r>
      <w:r w:rsidR="00F12CA7">
        <w:rPr>
          <w:sz w:val="26"/>
          <w:szCs w:val="26"/>
        </w:rPr>
        <w:t xml:space="preserve">revised </w:t>
      </w:r>
      <w:r>
        <w:rPr>
          <w:sz w:val="26"/>
          <w:szCs w:val="26"/>
        </w:rPr>
        <w:t>dates:</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ILECs who are Price Cap Carriers at the federal level must file tariff supplements and supporting calculations by May 17, 2012.</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ILECs who are Rate-of-Return Carriers at the federal level must file tariff supplements and supporting calculations by May 23, 2012.</w:t>
      </w:r>
    </w:p>
    <w:p w:rsidR="00263DFE" w:rsidRPr="00263DFE" w:rsidRDefault="00263DFE" w:rsidP="00263DFE">
      <w:pPr>
        <w:pStyle w:val="ListParagraph"/>
        <w:numPr>
          <w:ilvl w:val="0"/>
          <w:numId w:val="19"/>
        </w:numPr>
        <w:spacing w:line="360" w:lineRule="auto"/>
        <w:ind w:left="1080" w:right="720"/>
        <w:rPr>
          <w:rFonts w:ascii="Times New Roman" w:hAnsi="Times New Roman"/>
          <w:sz w:val="26"/>
          <w:szCs w:val="26"/>
        </w:rPr>
      </w:pPr>
      <w:r w:rsidRPr="00263DFE">
        <w:rPr>
          <w:rFonts w:ascii="Times New Roman" w:hAnsi="Times New Roman"/>
          <w:sz w:val="26"/>
          <w:szCs w:val="26"/>
        </w:rPr>
        <w:t>CLECs must file Tariff Supplements and supporting calculations by June 1, 2012.</w:t>
      </w:r>
    </w:p>
    <w:p w:rsidR="00A465D5" w:rsidRDefault="00263DFE" w:rsidP="004533B0">
      <w:pPr>
        <w:rPr>
          <w:sz w:val="26"/>
          <w:szCs w:val="26"/>
        </w:rPr>
      </w:pPr>
      <w:r>
        <w:rPr>
          <w:sz w:val="26"/>
          <w:szCs w:val="26"/>
        </w:rPr>
        <w:lastRenderedPageBreak/>
        <w:tab/>
      </w:r>
      <w:r w:rsidRPr="00263DFE">
        <w:rPr>
          <w:sz w:val="26"/>
          <w:szCs w:val="26"/>
        </w:rPr>
        <w:t xml:space="preserve">In addition to filing hard copies of their filings with the Commission’s Secretary’s Bureau, all LECs should send </w:t>
      </w:r>
      <w:r w:rsidR="00B5099B">
        <w:rPr>
          <w:sz w:val="26"/>
          <w:szCs w:val="26"/>
        </w:rPr>
        <w:t xml:space="preserve">electronic </w:t>
      </w:r>
      <w:r w:rsidRPr="00263DFE">
        <w:rPr>
          <w:sz w:val="26"/>
          <w:szCs w:val="26"/>
        </w:rPr>
        <w:t xml:space="preserve">copies of their filings in Microsoft Excel Format to </w:t>
      </w:r>
      <w:hyperlink r:id="rId10" w:history="1">
        <w:r w:rsidRPr="00263DFE">
          <w:rPr>
            <w:sz w:val="26"/>
            <w:szCs w:val="26"/>
          </w:rPr>
          <w:t>RA-PUCTelco@pa.gov</w:t>
        </w:r>
      </w:hyperlink>
      <w:r w:rsidRPr="00263DFE">
        <w:rPr>
          <w:sz w:val="26"/>
          <w:szCs w:val="26"/>
        </w:rPr>
        <w:t>.</w:t>
      </w:r>
    </w:p>
    <w:p w:rsidR="00A465D5" w:rsidRDefault="00A465D5" w:rsidP="004533B0">
      <w:pPr>
        <w:rPr>
          <w:sz w:val="26"/>
          <w:szCs w:val="26"/>
        </w:rPr>
      </w:pPr>
    </w:p>
    <w:p w:rsidR="004533B0" w:rsidRPr="004533B0" w:rsidRDefault="004533B0" w:rsidP="004533B0">
      <w:pPr>
        <w:jc w:val="center"/>
        <w:rPr>
          <w:b/>
          <w:sz w:val="26"/>
          <w:szCs w:val="26"/>
        </w:rPr>
      </w:pPr>
      <w:r w:rsidRPr="004533B0">
        <w:rPr>
          <w:b/>
          <w:sz w:val="26"/>
          <w:szCs w:val="26"/>
        </w:rPr>
        <w:t>CONCLUSION</w:t>
      </w:r>
    </w:p>
    <w:p w:rsidR="004533B0" w:rsidRDefault="004533B0" w:rsidP="002F3B19">
      <w:pPr>
        <w:jc w:val="center"/>
        <w:rPr>
          <w:b/>
          <w:sz w:val="26"/>
          <w:szCs w:val="26"/>
        </w:rPr>
      </w:pPr>
    </w:p>
    <w:p w:rsidR="00FA40BB" w:rsidRPr="002F58F8" w:rsidRDefault="00E61472" w:rsidP="00544A8A">
      <w:pPr>
        <w:ind w:firstLine="720"/>
        <w:rPr>
          <w:b/>
          <w:sz w:val="26"/>
          <w:szCs w:val="26"/>
        </w:rPr>
      </w:pPr>
      <w:r>
        <w:rPr>
          <w:sz w:val="26"/>
          <w:szCs w:val="26"/>
        </w:rPr>
        <w:t xml:space="preserve">Given the recent actions of the FCC and the </w:t>
      </w:r>
      <w:r w:rsidR="00E6095C">
        <w:rPr>
          <w:sz w:val="26"/>
          <w:szCs w:val="26"/>
        </w:rPr>
        <w:t>e</w:t>
      </w:r>
      <w:r>
        <w:rPr>
          <w:sz w:val="26"/>
          <w:szCs w:val="26"/>
        </w:rPr>
        <w:t xml:space="preserve">ffect of the FCC Order </w:t>
      </w:r>
      <w:r w:rsidR="00E6095C">
        <w:rPr>
          <w:sz w:val="26"/>
          <w:szCs w:val="26"/>
        </w:rPr>
        <w:t xml:space="preserve">on pending </w:t>
      </w:r>
      <w:r w:rsidR="00E6095C" w:rsidRPr="00E6095C">
        <w:rPr>
          <w:sz w:val="26"/>
          <w:szCs w:val="26"/>
        </w:rPr>
        <w:t>Commission</w:t>
      </w:r>
      <w:r w:rsidR="00E6095C">
        <w:rPr>
          <w:sz w:val="26"/>
          <w:szCs w:val="26"/>
        </w:rPr>
        <w:t xml:space="preserve"> proceedings, we will stay the intrastate switched carrier access rate reforms directed by our July 18, 2011 Order.  </w:t>
      </w:r>
      <w:r w:rsidR="004533B0">
        <w:rPr>
          <w:sz w:val="26"/>
          <w:szCs w:val="26"/>
        </w:rPr>
        <w:t xml:space="preserve">In order to </w:t>
      </w:r>
      <w:r>
        <w:rPr>
          <w:sz w:val="26"/>
          <w:szCs w:val="26"/>
        </w:rPr>
        <w:t xml:space="preserve">meet the aggressive time frame of the FCC, </w:t>
      </w:r>
      <w:r w:rsidR="00E6095C">
        <w:rPr>
          <w:sz w:val="26"/>
          <w:szCs w:val="26"/>
        </w:rPr>
        <w:t xml:space="preserve">we state now that we will maintain intrastate fixed line carrier charge or common carrier line charge at some level at this time, with a detailed discussion provided in our upcoming order addressing </w:t>
      </w:r>
      <w:r w:rsidR="00B5099B">
        <w:rPr>
          <w:sz w:val="26"/>
          <w:szCs w:val="26"/>
        </w:rPr>
        <w:t xml:space="preserve">the updated </w:t>
      </w:r>
      <w:r w:rsidR="00E6095C">
        <w:rPr>
          <w:sz w:val="26"/>
          <w:szCs w:val="26"/>
        </w:rPr>
        <w:t>petitions for reconsideration of our July 18, 2011 Order</w:t>
      </w:r>
      <w:r w:rsidR="00B5099B">
        <w:rPr>
          <w:sz w:val="26"/>
          <w:szCs w:val="26"/>
        </w:rPr>
        <w:t xml:space="preserve"> at Docket Nos. </w:t>
      </w:r>
      <w:proofErr w:type="gramStart"/>
      <w:r w:rsidR="00B5099B">
        <w:rPr>
          <w:sz w:val="26"/>
          <w:szCs w:val="26"/>
        </w:rPr>
        <w:t xml:space="preserve">I-00040105 and C-2009-2098380 </w:t>
      </w:r>
      <w:r w:rsidR="00B5099B">
        <w:rPr>
          <w:i/>
          <w:sz w:val="26"/>
          <w:szCs w:val="26"/>
        </w:rPr>
        <w:t>et al</w:t>
      </w:r>
      <w:r w:rsidR="00E6095C">
        <w:rPr>
          <w:sz w:val="26"/>
          <w:szCs w:val="26"/>
        </w:rPr>
        <w:t>.</w:t>
      </w:r>
      <w:proofErr w:type="gramEnd"/>
      <w:r w:rsidR="00E6095C">
        <w:rPr>
          <w:sz w:val="26"/>
          <w:szCs w:val="26"/>
        </w:rPr>
        <w:t xml:space="preserve">  We will adopt the </w:t>
      </w:r>
      <w:r w:rsidR="00B5099B">
        <w:rPr>
          <w:sz w:val="26"/>
          <w:szCs w:val="26"/>
        </w:rPr>
        <w:t xml:space="preserve">computational </w:t>
      </w:r>
      <w:r w:rsidR="00E6095C">
        <w:rPr>
          <w:sz w:val="26"/>
          <w:szCs w:val="26"/>
        </w:rPr>
        <w:t xml:space="preserve">templates attached to this order, which </w:t>
      </w:r>
      <w:r w:rsidR="00B5099B">
        <w:rPr>
          <w:sz w:val="26"/>
          <w:szCs w:val="26"/>
        </w:rPr>
        <w:t xml:space="preserve">also </w:t>
      </w:r>
      <w:r w:rsidR="00E6095C">
        <w:rPr>
          <w:sz w:val="26"/>
          <w:szCs w:val="26"/>
        </w:rPr>
        <w:t xml:space="preserve">utilize the </w:t>
      </w:r>
      <w:r w:rsidR="00B5099B">
        <w:rPr>
          <w:sz w:val="26"/>
          <w:szCs w:val="26"/>
        </w:rPr>
        <w:t xml:space="preserve">CC/CCLC </w:t>
      </w:r>
      <w:r w:rsidR="00E6095C">
        <w:rPr>
          <w:sz w:val="26"/>
          <w:szCs w:val="26"/>
        </w:rPr>
        <w:t xml:space="preserve">revenue allocation method set forth </w:t>
      </w:r>
      <w:r w:rsidR="008851EE">
        <w:rPr>
          <w:sz w:val="26"/>
          <w:szCs w:val="26"/>
        </w:rPr>
        <w:t>herein</w:t>
      </w:r>
      <w:r w:rsidR="00E6095C">
        <w:rPr>
          <w:sz w:val="26"/>
          <w:szCs w:val="26"/>
        </w:rPr>
        <w:t xml:space="preserve">.  Lastly, to </w:t>
      </w:r>
      <w:r w:rsidR="004533B0" w:rsidRPr="004533B0">
        <w:rPr>
          <w:sz w:val="26"/>
          <w:szCs w:val="26"/>
        </w:rPr>
        <w:t>ensure the confidential proprietary status of the information</w:t>
      </w:r>
      <w:r w:rsidR="004533B0">
        <w:rPr>
          <w:sz w:val="26"/>
          <w:szCs w:val="26"/>
        </w:rPr>
        <w:t xml:space="preserve"> requested by Commiss</w:t>
      </w:r>
      <w:r w:rsidR="00544A8A">
        <w:rPr>
          <w:sz w:val="26"/>
          <w:szCs w:val="26"/>
        </w:rPr>
        <w:t>i</w:t>
      </w:r>
      <w:r w:rsidR="004533B0">
        <w:rPr>
          <w:sz w:val="26"/>
          <w:szCs w:val="26"/>
        </w:rPr>
        <w:t>on staff</w:t>
      </w:r>
      <w:r w:rsidR="004533B0" w:rsidRPr="004533B0">
        <w:rPr>
          <w:sz w:val="26"/>
          <w:szCs w:val="26"/>
        </w:rPr>
        <w:t xml:space="preserve">, the Commission shall grant a protective order for information required from carriers as part of the Commission’s implementation of Step 1 of the </w:t>
      </w:r>
      <w:r w:rsidR="00C922FB">
        <w:rPr>
          <w:sz w:val="26"/>
          <w:szCs w:val="26"/>
        </w:rPr>
        <w:t xml:space="preserve">eventual </w:t>
      </w:r>
      <w:r w:rsidR="004533B0" w:rsidRPr="004533B0">
        <w:rPr>
          <w:sz w:val="26"/>
          <w:szCs w:val="26"/>
        </w:rPr>
        <w:t xml:space="preserve">transition of </w:t>
      </w:r>
      <w:r w:rsidR="00B5099B">
        <w:rPr>
          <w:sz w:val="26"/>
          <w:szCs w:val="26"/>
        </w:rPr>
        <w:t xml:space="preserve">the </w:t>
      </w:r>
      <w:r w:rsidR="004533B0" w:rsidRPr="004533B0">
        <w:rPr>
          <w:sz w:val="26"/>
          <w:szCs w:val="26"/>
        </w:rPr>
        <w:t xml:space="preserve">intercarrier compensation </w:t>
      </w:r>
      <w:r w:rsidR="00B5099B">
        <w:rPr>
          <w:sz w:val="26"/>
          <w:szCs w:val="26"/>
        </w:rPr>
        <w:t>regime as</w:t>
      </w:r>
      <w:r w:rsidR="004533B0" w:rsidRPr="004533B0">
        <w:rPr>
          <w:sz w:val="26"/>
          <w:szCs w:val="26"/>
        </w:rPr>
        <w:t xml:space="preserve"> outlined in the </w:t>
      </w:r>
      <w:r w:rsidR="004533B0" w:rsidRPr="003921DD">
        <w:rPr>
          <w:i/>
          <w:sz w:val="26"/>
          <w:szCs w:val="26"/>
        </w:rPr>
        <w:t>FCC Order</w:t>
      </w:r>
      <w:r w:rsidR="004533B0" w:rsidRPr="004533B0">
        <w:rPr>
          <w:sz w:val="26"/>
          <w:szCs w:val="26"/>
        </w:rPr>
        <w:t>.</w:t>
      </w:r>
      <w:r w:rsidR="004533B0">
        <w:rPr>
          <w:b/>
          <w:sz w:val="26"/>
          <w:szCs w:val="26"/>
        </w:rPr>
        <w:t xml:space="preserve"> </w:t>
      </w:r>
      <w:r w:rsidR="00C922FB">
        <w:rPr>
          <w:b/>
          <w:sz w:val="26"/>
          <w:szCs w:val="26"/>
        </w:rPr>
        <w:t xml:space="preserve"> </w:t>
      </w:r>
      <w:r w:rsidR="00FA40BB" w:rsidRPr="002F58F8">
        <w:rPr>
          <w:b/>
          <w:sz w:val="26"/>
          <w:szCs w:val="26"/>
        </w:rPr>
        <w:t>THEREFORE</w:t>
      </w:r>
      <w:r w:rsidR="009247AD">
        <w:rPr>
          <w:b/>
          <w:sz w:val="26"/>
          <w:szCs w:val="26"/>
        </w:rPr>
        <w:t>;</w:t>
      </w:r>
    </w:p>
    <w:p w:rsidR="00622AFA" w:rsidRPr="002F58F8" w:rsidRDefault="00622AFA" w:rsidP="00796A87">
      <w:pPr>
        <w:tabs>
          <w:tab w:val="left" w:pos="742"/>
        </w:tabs>
        <w:rPr>
          <w:sz w:val="26"/>
          <w:szCs w:val="26"/>
        </w:rPr>
      </w:pPr>
    </w:p>
    <w:p w:rsidR="00D037B7" w:rsidRPr="002F58F8" w:rsidRDefault="002B18E0" w:rsidP="00796A87">
      <w:pPr>
        <w:rPr>
          <w:b/>
          <w:bCs/>
          <w:sz w:val="26"/>
          <w:szCs w:val="26"/>
        </w:rPr>
      </w:pPr>
      <w:r w:rsidRPr="002F58F8">
        <w:rPr>
          <w:b/>
          <w:bCs/>
          <w:sz w:val="26"/>
          <w:szCs w:val="26"/>
        </w:rPr>
        <w:tab/>
      </w:r>
      <w:r w:rsidR="006B1962" w:rsidRPr="002F58F8">
        <w:rPr>
          <w:b/>
          <w:bCs/>
          <w:sz w:val="26"/>
          <w:szCs w:val="26"/>
        </w:rPr>
        <w:t>I</w:t>
      </w:r>
      <w:r w:rsidR="00DF0470" w:rsidRPr="002F58F8">
        <w:rPr>
          <w:b/>
          <w:bCs/>
          <w:sz w:val="26"/>
          <w:szCs w:val="26"/>
        </w:rPr>
        <w:t>T IS ORDERED:</w:t>
      </w:r>
    </w:p>
    <w:p w:rsidR="00AC2B55" w:rsidRPr="002F58F8" w:rsidRDefault="00AC2B55" w:rsidP="00796A87">
      <w:pPr>
        <w:ind w:left="720"/>
        <w:rPr>
          <w:bCs/>
          <w:sz w:val="26"/>
          <w:szCs w:val="26"/>
        </w:rPr>
      </w:pPr>
    </w:p>
    <w:p w:rsidR="00A465D5" w:rsidRDefault="00A465D5" w:rsidP="003921DD">
      <w:pPr>
        <w:pStyle w:val="ListParagraph"/>
        <w:numPr>
          <w:ilvl w:val="0"/>
          <w:numId w:val="10"/>
        </w:numPr>
        <w:spacing w:line="360" w:lineRule="auto"/>
        <w:ind w:left="0" w:firstLine="720"/>
        <w:rPr>
          <w:rFonts w:ascii="Times New Roman" w:eastAsia="Times New Roman" w:hAnsi="Times New Roman"/>
          <w:sz w:val="26"/>
          <w:szCs w:val="26"/>
        </w:rPr>
      </w:pPr>
      <w:r w:rsidRPr="00A465D5">
        <w:rPr>
          <w:rFonts w:ascii="Times New Roman" w:eastAsia="Times New Roman" w:hAnsi="Times New Roman"/>
          <w:sz w:val="26"/>
          <w:szCs w:val="26"/>
        </w:rPr>
        <w:t>That the intrastate switched carrier access rate reforms</w:t>
      </w:r>
      <w:r>
        <w:rPr>
          <w:rFonts w:ascii="Times New Roman" w:eastAsia="Times New Roman" w:hAnsi="Times New Roman"/>
          <w:sz w:val="26"/>
          <w:szCs w:val="26"/>
        </w:rPr>
        <w:t>, including the reforms of the fixed line carrier charge or common carrier line charge,</w:t>
      </w:r>
      <w:r w:rsidRPr="00A465D5">
        <w:rPr>
          <w:rFonts w:ascii="Times New Roman" w:eastAsia="Times New Roman" w:hAnsi="Times New Roman"/>
          <w:sz w:val="26"/>
          <w:szCs w:val="26"/>
        </w:rPr>
        <w:t xml:space="preserve"> directed in our July 18, 2011 Order at Docket Nos. I-00040105, C-2009-2098380, </w:t>
      </w:r>
      <w:r w:rsidRPr="003921DD">
        <w:rPr>
          <w:rFonts w:ascii="Times New Roman" w:eastAsia="Times New Roman" w:hAnsi="Times New Roman"/>
          <w:i/>
          <w:sz w:val="26"/>
          <w:szCs w:val="26"/>
        </w:rPr>
        <w:t>et al.</w:t>
      </w:r>
      <w:r>
        <w:rPr>
          <w:rFonts w:ascii="Times New Roman" w:eastAsia="Times New Roman" w:hAnsi="Times New Roman"/>
          <w:sz w:val="26"/>
          <w:szCs w:val="26"/>
        </w:rPr>
        <w:t>, are hereby stayed</w:t>
      </w:r>
      <w:r w:rsidR="0007074D">
        <w:rPr>
          <w:rFonts w:ascii="Times New Roman" w:eastAsia="Times New Roman" w:hAnsi="Times New Roman"/>
          <w:sz w:val="26"/>
          <w:szCs w:val="26"/>
        </w:rPr>
        <w:t xml:space="preserve"> consistent with the discussion in this Consolidated Order</w:t>
      </w:r>
      <w:r>
        <w:rPr>
          <w:rFonts w:ascii="Times New Roman" w:eastAsia="Times New Roman" w:hAnsi="Times New Roman"/>
          <w:sz w:val="26"/>
          <w:szCs w:val="26"/>
        </w:rPr>
        <w:t>.</w:t>
      </w:r>
    </w:p>
    <w:p w:rsidR="003E15DF" w:rsidRDefault="003E15DF"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 xml:space="preserve">That the intrastate fixed line carrier charge or common carrier line </w:t>
      </w:r>
      <w:r w:rsidR="00B11993">
        <w:rPr>
          <w:rFonts w:ascii="Times New Roman" w:eastAsia="Times New Roman" w:hAnsi="Times New Roman"/>
          <w:sz w:val="26"/>
          <w:szCs w:val="26"/>
        </w:rPr>
        <w:t xml:space="preserve"> rate element</w:t>
      </w:r>
      <w:r>
        <w:rPr>
          <w:rFonts w:ascii="Times New Roman" w:eastAsia="Times New Roman" w:hAnsi="Times New Roman"/>
          <w:sz w:val="26"/>
          <w:szCs w:val="26"/>
        </w:rPr>
        <w:t xml:space="preserve"> will be maintained at this time</w:t>
      </w:r>
      <w:r w:rsidR="00B11993">
        <w:rPr>
          <w:rFonts w:ascii="Times New Roman" w:eastAsia="Times New Roman" w:hAnsi="Times New Roman"/>
          <w:sz w:val="26"/>
          <w:szCs w:val="26"/>
        </w:rPr>
        <w:t xml:space="preserve"> consistent with this Consolidated Order</w:t>
      </w:r>
      <w:r>
        <w:rPr>
          <w:rFonts w:ascii="Times New Roman" w:eastAsia="Times New Roman" w:hAnsi="Times New Roman"/>
          <w:sz w:val="26"/>
          <w:szCs w:val="26"/>
        </w:rPr>
        <w:t xml:space="preserve">, with a </w:t>
      </w:r>
      <w:r>
        <w:rPr>
          <w:rFonts w:ascii="Times New Roman" w:eastAsia="Times New Roman" w:hAnsi="Times New Roman"/>
          <w:sz w:val="26"/>
          <w:szCs w:val="26"/>
        </w:rPr>
        <w:lastRenderedPageBreak/>
        <w:t xml:space="preserve">detailed discussion to be provided in the upcoming order addressing </w:t>
      </w:r>
      <w:r w:rsidR="00B5099B">
        <w:rPr>
          <w:rFonts w:ascii="Times New Roman" w:eastAsia="Times New Roman" w:hAnsi="Times New Roman"/>
          <w:sz w:val="26"/>
          <w:szCs w:val="26"/>
        </w:rPr>
        <w:t xml:space="preserve">the updated petitions for </w:t>
      </w:r>
      <w:r>
        <w:rPr>
          <w:rFonts w:ascii="Times New Roman" w:eastAsia="Times New Roman" w:hAnsi="Times New Roman"/>
          <w:sz w:val="26"/>
          <w:szCs w:val="26"/>
        </w:rPr>
        <w:t xml:space="preserve">reconsideration of </w:t>
      </w:r>
      <w:r w:rsidRPr="00A465D5">
        <w:rPr>
          <w:rFonts w:ascii="Times New Roman" w:eastAsia="Times New Roman" w:hAnsi="Times New Roman"/>
          <w:sz w:val="26"/>
          <w:szCs w:val="26"/>
        </w:rPr>
        <w:t xml:space="preserve">our July 18, 2011 Order at Docket Nos. I-00040105, C-2009-2098380, </w:t>
      </w:r>
      <w:r w:rsidRPr="003921DD">
        <w:rPr>
          <w:rFonts w:ascii="Times New Roman" w:eastAsia="Times New Roman" w:hAnsi="Times New Roman"/>
          <w:i/>
          <w:sz w:val="26"/>
          <w:szCs w:val="26"/>
        </w:rPr>
        <w:t>et al</w:t>
      </w:r>
      <w:r w:rsidRPr="00A465D5">
        <w:rPr>
          <w:rFonts w:ascii="Times New Roman" w:eastAsia="Times New Roman" w:hAnsi="Times New Roman"/>
          <w:sz w:val="26"/>
          <w:szCs w:val="26"/>
        </w:rPr>
        <w:t>.</w:t>
      </w:r>
    </w:p>
    <w:p w:rsidR="00E6095C" w:rsidRDefault="00E6095C"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That the intrastate fixed line carrier charge or common carrier line charge revenue allocation method set forth by AT&amp;T Communications of Pennsylvania in Exhibit C of its April 9, 2012 affidavit is adopted.</w:t>
      </w:r>
    </w:p>
    <w:p w:rsidR="00E55124" w:rsidRDefault="00E55124" w:rsidP="003921DD">
      <w:pPr>
        <w:pStyle w:val="ListParagraph"/>
        <w:spacing w:line="360" w:lineRule="auto"/>
        <w:rPr>
          <w:rFonts w:ascii="Times New Roman" w:eastAsia="Times New Roman" w:hAnsi="Times New Roman"/>
          <w:sz w:val="26"/>
          <w:szCs w:val="26"/>
        </w:rPr>
      </w:pPr>
    </w:p>
    <w:p w:rsidR="003E15DF" w:rsidRDefault="003E15DF" w:rsidP="003921DD">
      <w:pPr>
        <w:pStyle w:val="ListParagraph"/>
        <w:numPr>
          <w:ilvl w:val="0"/>
          <w:numId w:val="10"/>
        </w:numPr>
        <w:spacing w:line="360" w:lineRule="auto"/>
        <w:ind w:left="0" w:firstLine="720"/>
        <w:rPr>
          <w:rFonts w:ascii="Times New Roman" w:eastAsia="Times New Roman" w:hAnsi="Times New Roman"/>
          <w:sz w:val="26"/>
          <w:szCs w:val="26"/>
        </w:rPr>
      </w:pPr>
      <w:r>
        <w:rPr>
          <w:rFonts w:ascii="Times New Roman" w:eastAsia="Times New Roman" w:hAnsi="Times New Roman"/>
          <w:sz w:val="26"/>
          <w:szCs w:val="26"/>
        </w:rPr>
        <w:t xml:space="preserve">That </w:t>
      </w:r>
      <w:r w:rsidR="00E55124">
        <w:rPr>
          <w:rFonts w:ascii="Times New Roman" w:eastAsia="Times New Roman" w:hAnsi="Times New Roman"/>
          <w:sz w:val="26"/>
          <w:szCs w:val="26"/>
        </w:rPr>
        <w:t>we decline to engage in further actions affecting intrastate switched carrier access rates for originating traffic at this time.</w:t>
      </w:r>
    </w:p>
    <w:p w:rsid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Incumbent Local Exchange Carriers who are Price Cap Carriers at the federal level file tariff supplements and supporting calculations by May 17, 2012.</w:t>
      </w:r>
    </w:p>
    <w:p w:rsidR="00F81CE8" w:rsidRP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Incumbent Local Exchange Carriers who are Rate-of-Return Carriers at the federal level must file tariff supplements and supporting calculations by May 23, 2012.</w:t>
      </w:r>
    </w:p>
    <w:p w:rsidR="00F81CE8" w:rsidRP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all Competitive Local Exchange Carriers must file Tariff Supplements and supporting calculations by June 1, 2012.</w:t>
      </w:r>
    </w:p>
    <w:p w:rsidR="00F81CE8" w:rsidRDefault="00F81CE8" w:rsidP="00F81CE8">
      <w:pPr>
        <w:pStyle w:val="ListParagraph"/>
        <w:spacing w:line="360" w:lineRule="auto"/>
        <w:rPr>
          <w:rFonts w:ascii="Times New Roman" w:eastAsia="Times New Roman" w:hAnsi="Times New Roman"/>
          <w:sz w:val="26"/>
          <w:szCs w:val="26"/>
        </w:rPr>
      </w:pPr>
    </w:p>
    <w:p w:rsidR="00F81CE8" w:rsidRDefault="00F81CE8" w:rsidP="00F81CE8">
      <w:pPr>
        <w:pStyle w:val="ListParagraph"/>
        <w:numPr>
          <w:ilvl w:val="0"/>
          <w:numId w:val="10"/>
        </w:numPr>
        <w:spacing w:line="360" w:lineRule="auto"/>
        <w:ind w:left="0" w:firstLine="720"/>
        <w:rPr>
          <w:rFonts w:ascii="Times New Roman" w:eastAsia="Times New Roman" w:hAnsi="Times New Roman"/>
          <w:sz w:val="26"/>
          <w:szCs w:val="26"/>
        </w:rPr>
      </w:pPr>
      <w:r w:rsidRPr="00F81CE8">
        <w:rPr>
          <w:rFonts w:ascii="Times New Roman" w:eastAsia="Times New Roman" w:hAnsi="Times New Roman"/>
          <w:sz w:val="26"/>
          <w:szCs w:val="26"/>
        </w:rPr>
        <w:t>That failure to file these tariff supplements may be subject to civil penalties of up to $1,000 per violation per day payable to the Commonwealth of Pennsylvania, in accordance with 66 P</w:t>
      </w:r>
      <w:r>
        <w:rPr>
          <w:rFonts w:ascii="Times New Roman" w:eastAsia="Times New Roman" w:hAnsi="Times New Roman"/>
          <w:sz w:val="26"/>
          <w:szCs w:val="26"/>
        </w:rPr>
        <w:t>a.</w:t>
      </w:r>
      <w:r w:rsidRPr="00F81CE8">
        <w:rPr>
          <w:rFonts w:ascii="Times New Roman" w:eastAsia="Times New Roman" w:hAnsi="Times New Roman"/>
          <w:sz w:val="26"/>
          <w:szCs w:val="26"/>
        </w:rPr>
        <w:t xml:space="preserve"> C.S. § 3301(a)&amp;(b).</w:t>
      </w:r>
    </w:p>
    <w:p w:rsidR="00F81CE8" w:rsidRDefault="00F81CE8" w:rsidP="00F81CE8">
      <w:pPr>
        <w:pStyle w:val="ListParagraph"/>
        <w:spacing w:after="0" w:line="360" w:lineRule="auto"/>
        <w:rPr>
          <w:rFonts w:ascii="Times New Roman" w:eastAsia="Times New Roman" w:hAnsi="Times New Roman"/>
          <w:sz w:val="26"/>
          <w:szCs w:val="26"/>
        </w:rPr>
      </w:pPr>
    </w:p>
    <w:p w:rsidR="00E31511" w:rsidRDefault="00544A8A" w:rsidP="003C6DA2">
      <w:pPr>
        <w:numPr>
          <w:ilvl w:val="0"/>
          <w:numId w:val="10"/>
        </w:numPr>
        <w:ind w:left="0" w:firstLine="720"/>
        <w:rPr>
          <w:sz w:val="26"/>
          <w:szCs w:val="26"/>
        </w:rPr>
      </w:pPr>
      <w:r>
        <w:rPr>
          <w:sz w:val="26"/>
          <w:szCs w:val="26"/>
        </w:rPr>
        <w:t xml:space="preserve">That a protective order pursuant to this Commission’s authority under </w:t>
      </w:r>
      <w:r w:rsidRPr="00544A8A">
        <w:rPr>
          <w:sz w:val="26"/>
          <w:szCs w:val="26"/>
        </w:rPr>
        <w:t>52 Pa. Code §§ 5.362(7) and 5.423(b)</w:t>
      </w:r>
      <w:r>
        <w:rPr>
          <w:sz w:val="26"/>
          <w:szCs w:val="26"/>
        </w:rPr>
        <w:t xml:space="preserve"> be issued for all </w:t>
      </w:r>
      <w:r w:rsidR="00C922FB">
        <w:rPr>
          <w:sz w:val="26"/>
          <w:szCs w:val="26"/>
        </w:rPr>
        <w:t xml:space="preserve">material designated </w:t>
      </w:r>
      <w:r>
        <w:rPr>
          <w:sz w:val="26"/>
          <w:szCs w:val="26"/>
        </w:rPr>
        <w:t>confidential</w:t>
      </w:r>
      <w:r w:rsidR="00C922FB">
        <w:rPr>
          <w:sz w:val="26"/>
          <w:szCs w:val="26"/>
        </w:rPr>
        <w:t xml:space="preserve">, </w:t>
      </w:r>
      <w:r>
        <w:rPr>
          <w:sz w:val="26"/>
          <w:szCs w:val="26"/>
        </w:rPr>
        <w:t xml:space="preserve">as illustrated in Attachment A, </w:t>
      </w:r>
      <w:r w:rsidR="00C922FB">
        <w:rPr>
          <w:sz w:val="26"/>
          <w:szCs w:val="26"/>
        </w:rPr>
        <w:t xml:space="preserve">and </w:t>
      </w:r>
      <w:r>
        <w:rPr>
          <w:sz w:val="26"/>
          <w:szCs w:val="26"/>
        </w:rPr>
        <w:t xml:space="preserve">submitted </w:t>
      </w:r>
      <w:r w:rsidR="00C922FB">
        <w:rPr>
          <w:sz w:val="26"/>
          <w:szCs w:val="26"/>
        </w:rPr>
        <w:t xml:space="preserve">by </w:t>
      </w:r>
      <w:r>
        <w:rPr>
          <w:sz w:val="26"/>
          <w:szCs w:val="26"/>
        </w:rPr>
        <w:t xml:space="preserve">telecommunication carriers in connection </w:t>
      </w:r>
      <w:r>
        <w:rPr>
          <w:sz w:val="26"/>
          <w:szCs w:val="26"/>
        </w:rPr>
        <w:lastRenderedPageBreak/>
        <w:t xml:space="preserve">with </w:t>
      </w:r>
      <w:r w:rsidR="00C922FB">
        <w:rPr>
          <w:sz w:val="26"/>
          <w:szCs w:val="26"/>
        </w:rPr>
        <w:t xml:space="preserve">state </w:t>
      </w:r>
      <w:r>
        <w:rPr>
          <w:sz w:val="26"/>
          <w:szCs w:val="26"/>
        </w:rPr>
        <w:t xml:space="preserve">implementation of the Federal Communications Commission’s Order, </w:t>
      </w:r>
      <w:r w:rsidRPr="00544A8A">
        <w:rPr>
          <w:i/>
          <w:sz w:val="26"/>
          <w:szCs w:val="26"/>
        </w:rPr>
        <w:t>In re: Connect America Fund</w:t>
      </w:r>
      <w:r w:rsidRPr="00544A8A">
        <w:rPr>
          <w:sz w:val="26"/>
          <w:szCs w:val="26"/>
        </w:rPr>
        <w:t xml:space="preserve">, Docket No. 10-90, </w:t>
      </w:r>
      <w:r w:rsidRPr="003C6DA2">
        <w:rPr>
          <w:i/>
          <w:sz w:val="26"/>
          <w:szCs w:val="26"/>
        </w:rPr>
        <w:t>et.al.</w:t>
      </w:r>
      <w:r w:rsidR="00CF42AA">
        <w:rPr>
          <w:sz w:val="26"/>
          <w:szCs w:val="26"/>
        </w:rPr>
        <w:t xml:space="preserve"> </w:t>
      </w:r>
    </w:p>
    <w:p w:rsidR="00E55124" w:rsidRDefault="00E55124">
      <w:pPr>
        <w:rPr>
          <w:sz w:val="26"/>
          <w:szCs w:val="26"/>
        </w:rPr>
      </w:pPr>
    </w:p>
    <w:p w:rsidR="00CF42AA" w:rsidRDefault="00CF42AA" w:rsidP="003C6DA2">
      <w:pPr>
        <w:numPr>
          <w:ilvl w:val="0"/>
          <w:numId w:val="10"/>
        </w:numPr>
        <w:ind w:left="0" w:firstLine="720"/>
        <w:rPr>
          <w:sz w:val="26"/>
          <w:szCs w:val="26"/>
        </w:rPr>
      </w:pPr>
      <w:r>
        <w:rPr>
          <w:sz w:val="26"/>
          <w:szCs w:val="26"/>
        </w:rPr>
        <w:t xml:space="preserve">The </w:t>
      </w:r>
      <w:r w:rsidRPr="00CF42AA">
        <w:rPr>
          <w:sz w:val="26"/>
          <w:szCs w:val="26"/>
        </w:rPr>
        <w:t xml:space="preserve">protective order </w:t>
      </w:r>
      <w:r>
        <w:rPr>
          <w:sz w:val="26"/>
          <w:szCs w:val="26"/>
        </w:rPr>
        <w:t xml:space="preserve">is </w:t>
      </w:r>
      <w:r w:rsidRPr="00CF42AA">
        <w:rPr>
          <w:sz w:val="26"/>
          <w:szCs w:val="26"/>
        </w:rPr>
        <w:t xml:space="preserve">granted </w:t>
      </w:r>
      <w:r>
        <w:rPr>
          <w:sz w:val="26"/>
          <w:szCs w:val="26"/>
        </w:rPr>
        <w:t xml:space="preserve">with </w:t>
      </w:r>
      <w:r w:rsidRPr="00CF42AA">
        <w:rPr>
          <w:sz w:val="26"/>
          <w:szCs w:val="26"/>
        </w:rPr>
        <w:t xml:space="preserve">the reservation that the protective order does not prohibit the sharing of all </w:t>
      </w:r>
      <w:r>
        <w:rPr>
          <w:sz w:val="26"/>
          <w:szCs w:val="26"/>
        </w:rPr>
        <w:t xml:space="preserve">telecommunications </w:t>
      </w:r>
      <w:r w:rsidRPr="00CF42AA">
        <w:rPr>
          <w:sz w:val="26"/>
          <w:szCs w:val="26"/>
        </w:rPr>
        <w:t xml:space="preserve">carrier information submitted to the commission if sought in connection with any </w:t>
      </w:r>
      <w:r w:rsidR="00C922FB">
        <w:rPr>
          <w:sz w:val="26"/>
          <w:szCs w:val="26"/>
        </w:rPr>
        <w:t xml:space="preserve">joint </w:t>
      </w:r>
      <w:r w:rsidRPr="00CF42AA">
        <w:rPr>
          <w:sz w:val="26"/>
          <w:szCs w:val="26"/>
        </w:rPr>
        <w:t>state</w:t>
      </w:r>
      <w:r w:rsidR="00C922FB">
        <w:rPr>
          <w:sz w:val="26"/>
          <w:szCs w:val="26"/>
        </w:rPr>
        <w:t>-</w:t>
      </w:r>
      <w:r w:rsidRPr="00CF42AA">
        <w:rPr>
          <w:sz w:val="26"/>
          <w:szCs w:val="26"/>
        </w:rPr>
        <w:t>federal investigation or enforcement action.</w:t>
      </w:r>
    </w:p>
    <w:p w:rsidR="00F81CE8" w:rsidRDefault="00F81CE8" w:rsidP="00F81CE8">
      <w:pPr>
        <w:ind w:left="720"/>
        <w:rPr>
          <w:sz w:val="26"/>
          <w:szCs w:val="26"/>
        </w:rPr>
      </w:pPr>
    </w:p>
    <w:p w:rsidR="00F81CE8" w:rsidRPr="002F58F8" w:rsidRDefault="0004424A" w:rsidP="00F81CE8">
      <w:pPr>
        <w:numPr>
          <w:ilvl w:val="0"/>
          <w:numId w:val="10"/>
        </w:numPr>
        <w:ind w:left="0" w:firstLine="720"/>
        <w:rPr>
          <w:sz w:val="26"/>
          <w:szCs w:val="26"/>
        </w:rPr>
      </w:pPr>
      <w:r w:rsidRPr="0004424A">
        <w:rPr>
          <w:sz w:val="26"/>
          <w:szCs w:val="26"/>
        </w:rPr>
        <w:t>That this Order be served on all Incumbent Local Exchange Carriers</w:t>
      </w:r>
      <w:r>
        <w:rPr>
          <w:sz w:val="26"/>
          <w:szCs w:val="26"/>
        </w:rPr>
        <w:t>,</w:t>
      </w:r>
      <w:r w:rsidRPr="0004424A">
        <w:rPr>
          <w:sz w:val="26"/>
          <w:szCs w:val="26"/>
        </w:rPr>
        <w:t xml:space="preserve"> those Competitive Local Exchange Carriers having switched access tariffs, the Pennsylvania Telephone Association, the Broadband Cable Association of Pennsylvania, the Office of Consumer Advocate, and the Office of Small Business Advocate.  In addition, this Order shall be posted on the Commission’s website.</w:t>
      </w:r>
    </w:p>
    <w:p w:rsidR="004D623A" w:rsidRPr="002F58F8" w:rsidRDefault="004D623A" w:rsidP="009E26DF">
      <w:pPr>
        <w:tabs>
          <w:tab w:val="left" w:pos="4320"/>
        </w:tabs>
        <w:rPr>
          <w:bCs/>
          <w:sz w:val="26"/>
          <w:szCs w:val="26"/>
        </w:rPr>
      </w:pPr>
    </w:p>
    <w:p w:rsidR="00DF0470" w:rsidRDefault="00106CDA" w:rsidP="00796A87">
      <w:pPr>
        <w:pStyle w:val="p17"/>
        <w:ind w:left="5057"/>
        <w:rPr>
          <w:b/>
          <w:bCs/>
          <w:sz w:val="26"/>
          <w:szCs w:val="26"/>
        </w:rPr>
      </w:pPr>
      <w:r>
        <w:rPr>
          <w:noProof/>
        </w:rPr>
        <w:drawing>
          <wp:anchor distT="0" distB="0" distL="114300" distR="114300" simplePos="0" relativeHeight="251659264" behindDoc="1" locked="0" layoutInCell="1" allowOverlap="1" wp14:anchorId="50D4F719" wp14:editId="15185413">
            <wp:simplePos x="0" y="0"/>
            <wp:positionH relativeFrom="column">
              <wp:posOffset>2800350</wp:posOffset>
            </wp:positionH>
            <wp:positionV relativeFrom="paragraph">
              <wp:posOffset>43815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2F58F8">
        <w:rPr>
          <w:b/>
          <w:bCs/>
          <w:sz w:val="26"/>
          <w:szCs w:val="26"/>
        </w:rPr>
        <w:t>BY THE COMMISSION</w:t>
      </w:r>
    </w:p>
    <w:p w:rsidR="00106CDA" w:rsidRPr="002F58F8" w:rsidRDefault="00106CDA" w:rsidP="00796A87">
      <w:pPr>
        <w:pStyle w:val="p17"/>
        <w:ind w:left="5057"/>
        <w:rPr>
          <w:b/>
          <w:bCs/>
          <w:sz w:val="26"/>
          <w:szCs w:val="26"/>
        </w:rPr>
      </w:pPr>
      <w:bookmarkStart w:id="0" w:name="_GoBack"/>
      <w:bookmarkEnd w:id="0"/>
    </w:p>
    <w:p w:rsidR="00DF0470" w:rsidRPr="002F58F8" w:rsidRDefault="00DF0470" w:rsidP="00796A87">
      <w:pPr>
        <w:tabs>
          <w:tab w:val="left" w:pos="5057"/>
        </w:tabs>
        <w:rPr>
          <w:b/>
          <w:bCs/>
          <w:sz w:val="26"/>
          <w:szCs w:val="26"/>
        </w:rPr>
      </w:pPr>
    </w:p>
    <w:p w:rsidR="0022503C" w:rsidRPr="002F58F8" w:rsidRDefault="0022503C" w:rsidP="00652515">
      <w:pPr>
        <w:pStyle w:val="p18"/>
        <w:spacing w:line="240" w:lineRule="auto"/>
        <w:ind w:left="5062"/>
        <w:rPr>
          <w:sz w:val="26"/>
          <w:szCs w:val="26"/>
        </w:rPr>
      </w:pPr>
      <w:r w:rsidRPr="002F58F8">
        <w:rPr>
          <w:sz w:val="26"/>
          <w:szCs w:val="26"/>
        </w:rPr>
        <w:t>Rosemary Chiavetta</w:t>
      </w:r>
    </w:p>
    <w:p w:rsidR="00DF0470" w:rsidRPr="002F58F8" w:rsidRDefault="00DF0470" w:rsidP="00652515">
      <w:pPr>
        <w:pStyle w:val="p18"/>
        <w:spacing w:line="240" w:lineRule="auto"/>
        <w:ind w:left="5062"/>
        <w:rPr>
          <w:sz w:val="26"/>
          <w:szCs w:val="26"/>
        </w:rPr>
      </w:pPr>
      <w:r w:rsidRPr="002F58F8">
        <w:rPr>
          <w:sz w:val="26"/>
          <w:szCs w:val="26"/>
        </w:rPr>
        <w:t>Secretary</w:t>
      </w:r>
    </w:p>
    <w:p w:rsidR="00DF0470" w:rsidRPr="002F58F8" w:rsidRDefault="00DF0470" w:rsidP="00796A87">
      <w:pPr>
        <w:tabs>
          <w:tab w:val="left" w:pos="5062"/>
        </w:tabs>
        <w:rPr>
          <w:sz w:val="26"/>
          <w:szCs w:val="26"/>
        </w:rPr>
      </w:pPr>
    </w:p>
    <w:p w:rsidR="003C6DA2" w:rsidRDefault="003C6DA2" w:rsidP="00796A87">
      <w:pPr>
        <w:pStyle w:val="p14"/>
        <w:rPr>
          <w:sz w:val="26"/>
          <w:szCs w:val="26"/>
        </w:rPr>
      </w:pPr>
    </w:p>
    <w:p w:rsidR="00DF0470" w:rsidRPr="002F58F8" w:rsidRDefault="00DF0470" w:rsidP="00652515">
      <w:pPr>
        <w:pStyle w:val="p14"/>
        <w:rPr>
          <w:sz w:val="26"/>
          <w:szCs w:val="26"/>
        </w:rPr>
      </w:pPr>
      <w:r w:rsidRPr="002F58F8">
        <w:rPr>
          <w:sz w:val="26"/>
          <w:szCs w:val="26"/>
        </w:rPr>
        <w:t>(SEAL)</w:t>
      </w:r>
    </w:p>
    <w:p w:rsidR="00DF0470" w:rsidRPr="002F58F8" w:rsidRDefault="00DF0470" w:rsidP="00652515">
      <w:pPr>
        <w:pStyle w:val="p14"/>
        <w:rPr>
          <w:sz w:val="26"/>
          <w:szCs w:val="26"/>
        </w:rPr>
      </w:pPr>
      <w:r w:rsidRPr="002F58F8">
        <w:rPr>
          <w:sz w:val="26"/>
          <w:szCs w:val="26"/>
        </w:rPr>
        <w:t xml:space="preserve">ORDER ADOPTED:  </w:t>
      </w:r>
      <w:r w:rsidR="00205B68">
        <w:rPr>
          <w:sz w:val="26"/>
          <w:szCs w:val="26"/>
        </w:rPr>
        <w:t>May 10</w:t>
      </w:r>
      <w:r w:rsidR="009C24AE" w:rsidRPr="002F58F8">
        <w:rPr>
          <w:sz w:val="26"/>
          <w:szCs w:val="26"/>
        </w:rPr>
        <w:t>, 201</w:t>
      </w:r>
      <w:r w:rsidR="00B11993">
        <w:rPr>
          <w:sz w:val="26"/>
          <w:szCs w:val="26"/>
        </w:rPr>
        <w:t>2</w:t>
      </w:r>
    </w:p>
    <w:p w:rsidR="00826B87" w:rsidRPr="002F58F8" w:rsidRDefault="00DF0470" w:rsidP="00652515">
      <w:pPr>
        <w:pStyle w:val="p14"/>
        <w:rPr>
          <w:sz w:val="26"/>
          <w:szCs w:val="26"/>
        </w:rPr>
      </w:pPr>
      <w:r w:rsidRPr="002F58F8">
        <w:rPr>
          <w:sz w:val="26"/>
          <w:szCs w:val="26"/>
        </w:rPr>
        <w:t xml:space="preserve">ORDER ENTERED:  </w:t>
      </w:r>
      <w:r w:rsidR="00106CDA">
        <w:rPr>
          <w:sz w:val="26"/>
          <w:szCs w:val="26"/>
        </w:rPr>
        <w:t xml:space="preserve"> May 10, 2012</w:t>
      </w:r>
    </w:p>
    <w:sectPr w:rsidR="00826B87" w:rsidRPr="002F58F8"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5C" w:rsidRDefault="0065695C">
      <w:r>
        <w:separator/>
      </w:r>
    </w:p>
  </w:endnote>
  <w:endnote w:type="continuationSeparator" w:id="0">
    <w:p w:rsidR="0065695C" w:rsidRDefault="0065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4" w:rsidRDefault="00D31A41">
    <w:pPr>
      <w:pStyle w:val="Footer"/>
      <w:framePr w:wrap="around" w:vAnchor="text" w:hAnchor="margin" w:xAlign="center" w:y="1"/>
      <w:rPr>
        <w:rStyle w:val="PageNumber"/>
      </w:rPr>
    </w:pPr>
    <w:r>
      <w:rPr>
        <w:rStyle w:val="PageNumber"/>
      </w:rPr>
      <w:fldChar w:fldCharType="begin"/>
    </w:r>
    <w:r w:rsidR="00C42F34">
      <w:rPr>
        <w:rStyle w:val="PageNumber"/>
      </w:rPr>
      <w:instrText xml:space="preserve">PAGE  </w:instrText>
    </w:r>
    <w:r>
      <w:rPr>
        <w:rStyle w:val="PageNumber"/>
      </w:rPr>
      <w:fldChar w:fldCharType="end"/>
    </w:r>
  </w:p>
  <w:p w:rsidR="00C42F34" w:rsidRDefault="00C4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4" w:rsidRDefault="00D31A41">
    <w:pPr>
      <w:pStyle w:val="Footer"/>
      <w:framePr w:wrap="around" w:vAnchor="text" w:hAnchor="margin" w:xAlign="center" w:y="1"/>
      <w:rPr>
        <w:rStyle w:val="PageNumber"/>
      </w:rPr>
    </w:pPr>
    <w:r>
      <w:rPr>
        <w:rStyle w:val="PageNumber"/>
      </w:rPr>
      <w:fldChar w:fldCharType="begin"/>
    </w:r>
    <w:r w:rsidR="00C42F34">
      <w:rPr>
        <w:rStyle w:val="PageNumber"/>
      </w:rPr>
      <w:instrText xml:space="preserve">PAGE  </w:instrText>
    </w:r>
    <w:r>
      <w:rPr>
        <w:rStyle w:val="PageNumber"/>
      </w:rPr>
      <w:fldChar w:fldCharType="separate"/>
    </w:r>
    <w:r w:rsidR="00106CDA">
      <w:rPr>
        <w:rStyle w:val="PageNumber"/>
        <w:noProof/>
      </w:rPr>
      <w:t>13</w:t>
    </w:r>
    <w:r>
      <w:rPr>
        <w:rStyle w:val="PageNumber"/>
      </w:rPr>
      <w:fldChar w:fldCharType="end"/>
    </w:r>
  </w:p>
  <w:p w:rsidR="00C42F34" w:rsidRDefault="00C42F34"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5C" w:rsidRDefault="0065695C">
      <w:r>
        <w:separator/>
      </w:r>
    </w:p>
  </w:footnote>
  <w:footnote w:type="continuationSeparator" w:id="0">
    <w:p w:rsidR="0065695C" w:rsidRDefault="0065695C">
      <w:r>
        <w:continuationSeparator/>
      </w:r>
    </w:p>
  </w:footnote>
  <w:footnote w:id="1">
    <w:p w:rsidR="00544A8A" w:rsidRDefault="00544A8A" w:rsidP="00801258">
      <w:pPr>
        <w:pStyle w:val="FootnoteText"/>
        <w:spacing w:line="240" w:lineRule="auto"/>
      </w:pPr>
      <w:r>
        <w:rPr>
          <w:rStyle w:val="FootnoteReference"/>
        </w:rPr>
        <w:footnoteRef/>
      </w:r>
      <w:r>
        <w:t xml:space="preserve"> </w:t>
      </w:r>
      <w:r w:rsidRPr="00544A8A">
        <w:t xml:space="preserve">See </w:t>
      </w:r>
      <w:r w:rsidRPr="003921DD">
        <w:rPr>
          <w:i/>
        </w:rPr>
        <w:t>FCC Order</w:t>
      </w:r>
      <w:r w:rsidRPr="00544A8A">
        <w:t xml:space="preserve"> adopted October 27, </w:t>
      </w:r>
      <w:proofErr w:type="gramStart"/>
      <w:r w:rsidRPr="00544A8A">
        <w:t>2011,</w:t>
      </w:r>
      <w:proofErr w:type="gramEnd"/>
      <w:r w:rsidRPr="00544A8A">
        <w:t xml:space="preserve"> and Released November 18, 2011</w:t>
      </w:r>
      <w:r w:rsidR="006F6FA4">
        <w:t>.</w:t>
      </w:r>
      <w:r w:rsidRPr="00544A8A">
        <w:t xml:space="preserve"> </w:t>
      </w:r>
      <w:r w:rsidR="003921DD">
        <w:t xml:space="preserve"> </w:t>
      </w:r>
      <w:r w:rsidRPr="003921DD">
        <w:rPr>
          <w:i/>
        </w:rPr>
        <w:t>In the Matter of Connect America Fund</w:t>
      </w:r>
      <w:r w:rsidRPr="00544A8A">
        <w:t xml:space="preserve">, WC Docket No. 10-90; </w:t>
      </w:r>
      <w:r w:rsidRPr="003921DD">
        <w:rPr>
          <w:i/>
        </w:rPr>
        <w:t>A National Broadband Plan for Our Future</w:t>
      </w:r>
      <w:r w:rsidRPr="00544A8A">
        <w:t xml:space="preserve">, GN Docket No. 09-51; </w:t>
      </w:r>
      <w:r w:rsidRPr="003921DD">
        <w:rPr>
          <w:i/>
        </w:rPr>
        <w:t>Establishing Just and Reasonable Rates for Local Exchange Carriers</w:t>
      </w:r>
      <w:r w:rsidRPr="00544A8A">
        <w:t xml:space="preserve">, W Docket No. 07-135;  </w:t>
      </w:r>
      <w:r w:rsidRPr="003921DD">
        <w:rPr>
          <w:i/>
        </w:rPr>
        <w:t>High-Cost Universal Service Support</w:t>
      </w:r>
      <w:r w:rsidRPr="00544A8A">
        <w:t xml:space="preserve">, WC Docket No. 05-337; </w:t>
      </w:r>
      <w:r w:rsidRPr="003921DD">
        <w:rPr>
          <w:i/>
        </w:rPr>
        <w:t>Developing a Unified Intercarrier Compensation Regime</w:t>
      </w:r>
      <w:r w:rsidRPr="00544A8A">
        <w:t xml:space="preserve">, CC Docket No. 01-92; </w:t>
      </w:r>
      <w:r w:rsidRPr="003921DD">
        <w:rPr>
          <w:i/>
        </w:rPr>
        <w:t>Federal-state Joint Board on Universal Service</w:t>
      </w:r>
      <w:r w:rsidRPr="00544A8A">
        <w:t xml:space="preserve">, CC Docket No. 96-45; </w:t>
      </w:r>
      <w:r w:rsidRPr="003921DD">
        <w:rPr>
          <w:i/>
        </w:rPr>
        <w:t>Lifeline and Link-Up</w:t>
      </w:r>
      <w:r w:rsidRPr="00544A8A">
        <w:t xml:space="preserve">, WC Docket No. 03-109; </w:t>
      </w:r>
      <w:r w:rsidRPr="003921DD">
        <w:rPr>
          <w:i/>
        </w:rPr>
        <w:t>Universal Service Reform - Mobility Fund</w:t>
      </w:r>
      <w:r w:rsidRPr="00544A8A">
        <w:t>, WT Docket No. 10-208.</w:t>
      </w:r>
      <w:r w:rsidR="002D6957">
        <w:t xml:space="preserve">  </w:t>
      </w:r>
      <w:r w:rsidR="002D6957" w:rsidRPr="00CD6642">
        <w:t xml:space="preserve">The FCC has issued additional reconsideration and clarification Orders in the same proceeding and the issuance of further such FCC rulings is anticipated (collectively </w:t>
      </w:r>
      <w:r w:rsidR="002D6957" w:rsidRPr="002D6957">
        <w:rPr>
          <w:i/>
        </w:rPr>
        <w:t>FCC Order</w:t>
      </w:r>
      <w:r w:rsidR="002D6957" w:rsidRPr="00CD6642">
        <w:t>).</w:t>
      </w:r>
    </w:p>
  </w:footnote>
  <w:footnote w:id="2">
    <w:p w:rsidR="006F6FA4" w:rsidRDefault="006F6FA4">
      <w:pPr>
        <w:pStyle w:val="FootnoteText"/>
      </w:pPr>
      <w:r>
        <w:rPr>
          <w:rStyle w:val="FootnoteReference"/>
        </w:rPr>
        <w:footnoteRef/>
      </w:r>
      <w:r>
        <w:t xml:space="preserve"> Docket No. M-2012-2291824, Order entered March 22, 2012</w:t>
      </w:r>
      <w:r w:rsidR="00F81CE8">
        <w:t>,</w:t>
      </w:r>
      <w:r>
        <w:t xml:space="preserve"> at 1.</w:t>
      </w:r>
    </w:p>
  </w:footnote>
  <w:footnote w:id="3">
    <w:p w:rsidR="00203986" w:rsidRDefault="00203986" w:rsidP="00801258">
      <w:pPr>
        <w:pStyle w:val="FootnoteText"/>
        <w:spacing w:line="240" w:lineRule="auto"/>
      </w:pPr>
      <w:r>
        <w:rPr>
          <w:rStyle w:val="FootnoteReference"/>
        </w:rPr>
        <w:footnoteRef/>
      </w:r>
      <w:r>
        <w:t xml:space="preserve"> </w:t>
      </w:r>
      <w:r w:rsidR="00565355" w:rsidRPr="003921DD">
        <w:rPr>
          <w:i/>
        </w:rPr>
        <w:t>Commonwealth of Pennsylvania, Pennsylvania Public Utility Commission</w:t>
      </w:r>
      <w:r w:rsidR="00565355" w:rsidRPr="00E948D4">
        <w:t xml:space="preserve"> v. </w:t>
      </w:r>
      <w:r w:rsidR="00565355" w:rsidRPr="003921DD">
        <w:rPr>
          <w:i/>
        </w:rPr>
        <w:t>Federal Communications Commission and the United States of America</w:t>
      </w:r>
      <w:r w:rsidR="00565355" w:rsidRPr="00565355">
        <w:t>, Docket Nos. 11-9900 and 11-9585 (10</w:t>
      </w:r>
      <w:r w:rsidR="00565355" w:rsidRPr="00565355">
        <w:rPr>
          <w:vertAlign w:val="superscript"/>
        </w:rPr>
        <w:t>th</w:t>
      </w:r>
      <w:r w:rsidR="00565355" w:rsidRPr="00565355">
        <w:t xml:space="preserve"> Cir. 2011).</w:t>
      </w:r>
    </w:p>
  </w:footnote>
  <w:footnote w:id="4">
    <w:p w:rsidR="002D6957" w:rsidRPr="00CD6642" w:rsidRDefault="002D6957" w:rsidP="00801258">
      <w:pPr>
        <w:pStyle w:val="FootnoteText"/>
        <w:spacing w:line="240" w:lineRule="auto"/>
      </w:pPr>
      <w:r w:rsidRPr="004173C3">
        <w:rPr>
          <w:rStyle w:val="FootnoteReference"/>
        </w:rPr>
        <w:footnoteRef/>
      </w:r>
      <w:r w:rsidRPr="004173C3">
        <w:t xml:space="preserve"> </w:t>
      </w:r>
      <w:proofErr w:type="gramStart"/>
      <w:r>
        <w:rPr>
          <w:i/>
        </w:rPr>
        <w:t xml:space="preserve">Investigation Regarding Intrastate Access Charges and </w:t>
      </w:r>
      <w:proofErr w:type="spellStart"/>
      <w:r>
        <w:rPr>
          <w:i/>
        </w:rPr>
        <w:t>IntraLATA</w:t>
      </w:r>
      <w:proofErr w:type="spellEnd"/>
      <w:r>
        <w:rPr>
          <w:i/>
        </w:rPr>
        <w:t xml:space="preserve"> Toll Rates of Rural Carriers and the Pennsylvania Universal Service Fund et al.</w:t>
      </w:r>
      <w:r>
        <w:t xml:space="preserve"> Docket Nos.</w:t>
      </w:r>
      <w:proofErr w:type="gramEnd"/>
      <w:r>
        <w:t xml:space="preserve"> I-00040105, C-2009-2098380 </w:t>
      </w:r>
      <w:r>
        <w:rPr>
          <w:i/>
        </w:rPr>
        <w:t>et al.</w:t>
      </w:r>
      <w:r>
        <w:t xml:space="preserve"> Order entered March 20, 2012; Order entered July 18, 2011.</w:t>
      </w:r>
    </w:p>
  </w:footnote>
  <w:footnote w:id="5">
    <w:p w:rsidR="002D6957" w:rsidRPr="00B7671D" w:rsidRDefault="002D6957" w:rsidP="00801258">
      <w:pPr>
        <w:pStyle w:val="FootnoteText"/>
        <w:spacing w:line="240" w:lineRule="auto"/>
      </w:pPr>
      <w:r w:rsidRPr="00183B05">
        <w:rPr>
          <w:rStyle w:val="FootnoteReference"/>
        </w:rPr>
        <w:footnoteRef/>
      </w:r>
      <w:r w:rsidRPr="00183B05">
        <w:t xml:space="preserve"> </w:t>
      </w:r>
      <w:r>
        <w:rPr>
          <w:i/>
        </w:rPr>
        <w:t xml:space="preserve">Implementation of the Federal Communications Commission’s Order of November 18, 2011 As Amended </w:t>
      </w:r>
      <w:proofErr w:type="gramStart"/>
      <w:r>
        <w:rPr>
          <w:i/>
        </w:rPr>
        <w:t>Or Revised And Coordination With</w:t>
      </w:r>
      <w:proofErr w:type="gramEnd"/>
      <w:r>
        <w:rPr>
          <w:i/>
        </w:rPr>
        <w:t xml:space="preserve"> Certain Intrastate Matters</w:t>
      </w:r>
      <w:r>
        <w:t>, Docket No. M-2012-2291824, Order entered March 22, 2012.</w:t>
      </w:r>
    </w:p>
  </w:footnote>
  <w:footnote w:id="6">
    <w:p w:rsidR="002D6957" w:rsidRPr="00B7671D" w:rsidRDefault="002D6957" w:rsidP="00801258">
      <w:pPr>
        <w:pStyle w:val="FootnoteText"/>
        <w:spacing w:line="240" w:lineRule="auto"/>
      </w:pPr>
      <w:r w:rsidRPr="00B7671D">
        <w:rPr>
          <w:rStyle w:val="FootnoteReference"/>
        </w:rPr>
        <w:footnoteRef/>
      </w:r>
      <w:r w:rsidRPr="00B7671D">
        <w:t xml:space="preserve"> </w:t>
      </w:r>
      <w:proofErr w:type="gramStart"/>
      <w:r>
        <w:t>Secretarial Letter, Docket No.</w:t>
      </w:r>
      <w:proofErr w:type="gramEnd"/>
      <w:r>
        <w:t xml:space="preserve"> </w:t>
      </w:r>
      <w:proofErr w:type="gramStart"/>
      <w:r>
        <w:t>M-2012-2291824, April 3, 2012 (draft tariff calculation support templates and filing schedule).</w:t>
      </w:r>
      <w:proofErr w:type="gramEnd"/>
    </w:p>
  </w:footnote>
  <w:footnote w:id="7">
    <w:p w:rsidR="00246D71" w:rsidRPr="00E5482E" w:rsidRDefault="00246D71" w:rsidP="00801258">
      <w:pPr>
        <w:pStyle w:val="FootnoteText"/>
        <w:spacing w:line="240" w:lineRule="auto"/>
      </w:pPr>
      <w:r w:rsidRPr="004A71D4">
        <w:rPr>
          <w:rStyle w:val="FootnoteReference"/>
        </w:rPr>
        <w:footnoteRef/>
      </w:r>
      <w:r w:rsidRPr="004A71D4">
        <w:t xml:space="preserve"> AT&amp;</w:t>
      </w:r>
      <w:proofErr w:type="gramStart"/>
      <w:r w:rsidRPr="004A71D4">
        <w:t>T,</w:t>
      </w:r>
      <w:proofErr w:type="gramEnd"/>
      <w:r w:rsidRPr="004A71D4">
        <w:t xml:space="preserve"> Updated PFR, April 9, 2012, at 4.</w:t>
      </w:r>
      <w:r>
        <w:t xml:space="preserve">  </w:t>
      </w:r>
      <w:r>
        <w:rPr>
          <w:i/>
        </w:rPr>
        <w:t>See also</w:t>
      </w:r>
      <w:r>
        <w:t xml:space="preserve"> Sprint Answer to Updated PFRs, at 3.</w:t>
      </w:r>
    </w:p>
  </w:footnote>
  <w:footnote w:id="8">
    <w:p w:rsidR="00246D71" w:rsidRPr="004A71D4" w:rsidRDefault="00246D71" w:rsidP="00801258">
      <w:pPr>
        <w:pStyle w:val="FootnoteText"/>
        <w:spacing w:line="240" w:lineRule="auto"/>
      </w:pPr>
      <w:r w:rsidRPr="004A71D4">
        <w:rPr>
          <w:rStyle w:val="FootnoteReference"/>
        </w:rPr>
        <w:footnoteRef/>
      </w:r>
      <w:r w:rsidRPr="004A71D4">
        <w:t xml:space="preserve"> </w:t>
      </w:r>
      <w:r>
        <w:t>Joint Answer of PTA and CenturyLink to the AT&amp;T PFR, April 19, 2012, ¶ 21, at 9-10, citing July 18, 2011 Order at 118.</w:t>
      </w:r>
    </w:p>
  </w:footnote>
  <w:footnote w:id="9">
    <w:p w:rsidR="00246D71" w:rsidRPr="00383693" w:rsidRDefault="00246D71" w:rsidP="00801258">
      <w:pPr>
        <w:pStyle w:val="FootnoteText"/>
        <w:spacing w:line="240" w:lineRule="auto"/>
      </w:pPr>
      <w:r w:rsidRPr="00383693">
        <w:rPr>
          <w:rStyle w:val="FootnoteReference"/>
        </w:rPr>
        <w:footnoteRef/>
      </w:r>
      <w:r w:rsidRPr="00383693">
        <w:t xml:space="preserve"> </w:t>
      </w:r>
      <w:r>
        <w:t xml:space="preserve">OCA Affidavit of Dr. Robert </w:t>
      </w:r>
      <w:proofErr w:type="spellStart"/>
      <w:r>
        <w:t>Loube</w:t>
      </w:r>
      <w:proofErr w:type="spellEnd"/>
      <w:r>
        <w:t>, April 19, 2012, at 4-5, citing July 18, 2011 Order at 118.</w:t>
      </w:r>
    </w:p>
  </w:footnote>
  <w:footnote w:id="10">
    <w:p w:rsidR="00246D71" w:rsidRPr="00B36975" w:rsidRDefault="00246D71" w:rsidP="00801258">
      <w:pPr>
        <w:pStyle w:val="FootnoteText"/>
        <w:spacing w:line="240" w:lineRule="auto"/>
      </w:pPr>
      <w:r w:rsidRPr="00B36975">
        <w:rPr>
          <w:rStyle w:val="FootnoteReference"/>
        </w:rPr>
        <w:footnoteRef/>
      </w:r>
      <w:r w:rsidRPr="00B36975">
        <w:t xml:space="preserve"> </w:t>
      </w:r>
      <w:proofErr w:type="gramStart"/>
      <w:r>
        <w:t xml:space="preserve">AT&amp;T, Joint Affidavit of E. Christopher Nurse and Dr. Ola A. </w:t>
      </w:r>
      <w:proofErr w:type="spellStart"/>
      <w:r>
        <w:t>Oyefusi</w:t>
      </w:r>
      <w:proofErr w:type="spellEnd"/>
      <w:r>
        <w:t xml:space="preserve">, April 9, 2012, ¶ 9, at 3-4 and </w:t>
      </w:r>
      <w:proofErr w:type="spellStart"/>
      <w:r>
        <w:t>Exh</w:t>
      </w:r>
      <w:proofErr w:type="spellEnd"/>
      <w:r>
        <w:t>.</w:t>
      </w:r>
      <w:proofErr w:type="gramEnd"/>
      <w:r>
        <w:t xml:space="preserve"> C.</w:t>
      </w:r>
    </w:p>
  </w:footnote>
  <w:footnote w:id="11">
    <w:p w:rsidR="00246D71" w:rsidRPr="0086372F" w:rsidRDefault="00246D71" w:rsidP="00801258">
      <w:pPr>
        <w:pStyle w:val="FootnoteText"/>
        <w:spacing w:line="240" w:lineRule="auto"/>
      </w:pPr>
      <w:r w:rsidRPr="0086372F">
        <w:rPr>
          <w:rStyle w:val="FootnoteReference"/>
        </w:rPr>
        <w:footnoteRef/>
      </w:r>
      <w:r w:rsidRPr="0086372F">
        <w:t xml:space="preserve"> </w:t>
      </w:r>
      <w:proofErr w:type="gramStart"/>
      <w:r w:rsidRPr="0086372F">
        <w:t xml:space="preserve">OCA Affidavit of Dr. Robert </w:t>
      </w:r>
      <w:proofErr w:type="spellStart"/>
      <w:r w:rsidRPr="0086372F">
        <w:t>Loube</w:t>
      </w:r>
      <w:proofErr w:type="spellEnd"/>
      <w:r w:rsidRPr="0086372F">
        <w:t>, April 19, 2012, at 6.</w:t>
      </w:r>
      <w:proofErr w:type="gramEnd"/>
    </w:p>
  </w:footnote>
  <w:footnote w:id="12">
    <w:p w:rsidR="00246D71" w:rsidRPr="00B21FFA" w:rsidRDefault="00246D71" w:rsidP="00801258">
      <w:pPr>
        <w:pStyle w:val="FootnoteText"/>
        <w:spacing w:line="240" w:lineRule="auto"/>
      </w:pPr>
      <w:r w:rsidRPr="00B21FFA">
        <w:rPr>
          <w:rStyle w:val="FootnoteReference"/>
        </w:rPr>
        <w:footnoteRef/>
      </w:r>
      <w:r w:rsidRPr="00B21FFA">
        <w:t xml:space="preserve"> </w:t>
      </w:r>
      <w:proofErr w:type="gramStart"/>
      <w:r w:rsidRPr="00B21FFA">
        <w:t>AT&amp;T Letter Submission, Docket No.</w:t>
      </w:r>
      <w:proofErr w:type="gramEnd"/>
      <w:r w:rsidRPr="00B21FFA">
        <w:t xml:space="preserve"> </w:t>
      </w:r>
      <w:proofErr w:type="gramStart"/>
      <w:r w:rsidRPr="00B21FFA">
        <w:t>M-2012-2291824, May 2, 2012, at 1-2 and n. 2.</w:t>
      </w:r>
      <w:proofErr w:type="gramEnd"/>
      <w:r w:rsidRPr="00B21FFA">
        <w:t xml:space="preserve">  The AT&amp;T May 2, 2012 Letter Submission was triggered by an FCC Order that put forward “standardized spreadsheet templates” for certain filings and tariffs to be submitted to the FCC.  </w:t>
      </w:r>
      <w:r w:rsidRPr="00B21FFA">
        <w:rPr>
          <w:i/>
        </w:rPr>
        <w:t>In re Material to be Filed in Support of 2012 Annual Access Tariff Filings</w:t>
      </w:r>
      <w:r w:rsidRPr="00B21FFA">
        <w:t>, (FCC Rel. April 19, 2012), WCB/Pricing File No. 12-08, Order, DA 12-575.</w:t>
      </w:r>
    </w:p>
  </w:footnote>
  <w:footnote w:id="13">
    <w:p w:rsidR="00246D71" w:rsidRPr="004B1AE9" w:rsidRDefault="00246D71" w:rsidP="00801258">
      <w:pPr>
        <w:pStyle w:val="FootnoteText"/>
        <w:spacing w:line="240" w:lineRule="auto"/>
      </w:pPr>
      <w:r w:rsidRPr="004B1AE9">
        <w:rPr>
          <w:rStyle w:val="FootnoteReference"/>
        </w:rPr>
        <w:footnoteRef/>
      </w:r>
      <w:r w:rsidRPr="004B1AE9">
        <w:t xml:space="preserve"> </w:t>
      </w:r>
      <w:proofErr w:type="gramStart"/>
      <w:r w:rsidRPr="004B1AE9">
        <w:t>Verizon Letter Submission, Docket No.</w:t>
      </w:r>
      <w:proofErr w:type="gramEnd"/>
      <w:r w:rsidRPr="004B1AE9">
        <w:t xml:space="preserve"> M-2012-2291824, May 3, 2012.</w:t>
      </w:r>
    </w:p>
  </w:footnote>
  <w:footnote w:id="14">
    <w:p w:rsidR="00BA723E" w:rsidRPr="00FB7C72" w:rsidRDefault="00BA723E" w:rsidP="00801258">
      <w:pPr>
        <w:pStyle w:val="FootnoteText"/>
        <w:spacing w:line="240" w:lineRule="auto"/>
      </w:pPr>
      <w:r w:rsidRPr="00FB7C72">
        <w:rPr>
          <w:rStyle w:val="FootnoteReference"/>
        </w:rPr>
        <w:footnoteRef/>
      </w:r>
      <w:r w:rsidRPr="00FB7C72">
        <w:t xml:space="preserve"> OCA, Answer to Updated P</w:t>
      </w:r>
      <w:r w:rsidR="00801258">
        <w:t xml:space="preserve">etitions for </w:t>
      </w:r>
      <w:r w:rsidRPr="00FB7C72">
        <w:t>R</w:t>
      </w:r>
      <w:r w:rsidR="00801258">
        <w:t>econsideration</w:t>
      </w:r>
      <w:r w:rsidRPr="00FB7C72">
        <w:t>, April 19, 2012, at 4 (the Commission should exercise restraint regarding originating access reform).</w:t>
      </w:r>
    </w:p>
  </w:footnote>
  <w:footnote w:id="15">
    <w:p w:rsidR="00544A8A" w:rsidRDefault="00544A8A" w:rsidP="00801258">
      <w:pPr>
        <w:pStyle w:val="FootnoteText"/>
        <w:spacing w:line="240" w:lineRule="auto"/>
      </w:pPr>
      <w:r>
        <w:rPr>
          <w:rStyle w:val="FootnoteReference"/>
        </w:rPr>
        <w:footnoteRef/>
      </w:r>
      <w:r w:rsidR="00FC463D">
        <w:rPr>
          <w:i/>
        </w:rPr>
        <w:t>FCC Order</w:t>
      </w:r>
      <w:r w:rsidRPr="00544A8A">
        <w:t>, Appendix A, 47 C.F.R. § 51.907(b) and § 51.909(b)</w:t>
      </w:r>
      <w:r w:rsidR="00CB070D">
        <w:t>, at 507-508 and 511-512.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A1A49A2"/>
    <w:multiLevelType w:val="hybridMultilevel"/>
    <w:tmpl w:val="E0D04750"/>
    <w:lvl w:ilvl="0" w:tplc="41467702">
      <w:start w:val="1"/>
      <w:numFmt w:val="upperLetter"/>
      <w:lvlText w:val="%1."/>
      <w:lvlJc w:val="left"/>
      <w:pPr>
        <w:ind w:left="990" w:hanging="360"/>
      </w:pPr>
      <w:rPr>
        <w:rFonts w:hint="default"/>
        <w:b/>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E54AE8"/>
    <w:multiLevelType w:val="hybridMultilevel"/>
    <w:tmpl w:val="BBDEABBE"/>
    <w:lvl w:ilvl="0" w:tplc="68F61F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C1274"/>
    <w:multiLevelType w:val="hybridMultilevel"/>
    <w:tmpl w:val="33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0544B"/>
    <w:multiLevelType w:val="hybridMultilevel"/>
    <w:tmpl w:val="BAA6FF20"/>
    <w:lvl w:ilvl="0" w:tplc="358483D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13F0556"/>
    <w:multiLevelType w:val="hybridMultilevel"/>
    <w:tmpl w:val="508A1694"/>
    <w:lvl w:ilvl="0" w:tplc="7F229C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76845CE"/>
    <w:multiLevelType w:val="hybridMultilevel"/>
    <w:tmpl w:val="9630303A"/>
    <w:lvl w:ilvl="0" w:tplc="EEAA7F78">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3B7B7A"/>
    <w:multiLevelType w:val="hybridMultilevel"/>
    <w:tmpl w:val="194836B6"/>
    <w:lvl w:ilvl="0" w:tplc="6B3C6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86D10"/>
    <w:multiLevelType w:val="hybridMultilevel"/>
    <w:tmpl w:val="36129BD8"/>
    <w:lvl w:ilvl="0" w:tplc="512EEB36">
      <w:start w:val="1"/>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0DD141D"/>
    <w:multiLevelType w:val="hybridMultilevel"/>
    <w:tmpl w:val="791EFC82"/>
    <w:lvl w:ilvl="0" w:tplc="CEA067F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C13678"/>
    <w:multiLevelType w:val="hybridMultilevel"/>
    <w:tmpl w:val="BE52FC04"/>
    <w:lvl w:ilvl="0" w:tplc="71E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92AC1"/>
    <w:multiLevelType w:val="hybridMultilevel"/>
    <w:tmpl w:val="DCE6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EFC6D76"/>
    <w:multiLevelType w:val="hybridMultilevel"/>
    <w:tmpl w:val="E6D4F214"/>
    <w:lvl w:ilvl="0" w:tplc="A8B23B2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5"/>
  </w:num>
  <w:num w:numId="4">
    <w:abstractNumId w:val="13"/>
  </w:num>
  <w:num w:numId="5">
    <w:abstractNumId w:val="10"/>
  </w:num>
  <w:num w:numId="6">
    <w:abstractNumId w:val="17"/>
  </w:num>
  <w:num w:numId="7">
    <w:abstractNumId w:val="3"/>
  </w:num>
  <w:num w:numId="8">
    <w:abstractNumId w:val="11"/>
  </w:num>
  <w:num w:numId="9">
    <w:abstractNumId w:val="9"/>
  </w:num>
  <w:num w:numId="10">
    <w:abstractNumId w:val="15"/>
  </w:num>
  <w:num w:numId="11">
    <w:abstractNumId w:val="7"/>
  </w:num>
  <w:num w:numId="12">
    <w:abstractNumId w:val="14"/>
  </w:num>
  <w:num w:numId="13">
    <w:abstractNumId w:val="8"/>
  </w:num>
  <w:num w:numId="14">
    <w:abstractNumId w:val="2"/>
  </w:num>
  <w:num w:numId="15">
    <w:abstractNumId w:val="6"/>
  </w:num>
  <w:num w:numId="16">
    <w:abstractNumId w:val="12"/>
  </w:num>
  <w:num w:numId="17">
    <w:abstractNumId w:val="16"/>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566"/>
    <w:rsid w:val="0000186B"/>
    <w:rsid w:val="00010DC1"/>
    <w:rsid w:val="0001171E"/>
    <w:rsid w:val="000167E4"/>
    <w:rsid w:val="00016C31"/>
    <w:rsid w:val="00025EEE"/>
    <w:rsid w:val="00026DE3"/>
    <w:rsid w:val="00034893"/>
    <w:rsid w:val="000378B0"/>
    <w:rsid w:val="000409C3"/>
    <w:rsid w:val="0004424A"/>
    <w:rsid w:val="00051236"/>
    <w:rsid w:val="00057330"/>
    <w:rsid w:val="00057E43"/>
    <w:rsid w:val="00060D00"/>
    <w:rsid w:val="00063FB4"/>
    <w:rsid w:val="00064B00"/>
    <w:rsid w:val="000675A4"/>
    <w:rsid w:val="0007074D"/>
    <w:rsid w:val="000707BF"/>
    <w:rsid w:val="000736D9"/>
    <w:rsid w:val="00073C43"/>
    <w:rsid w:val="00073FC4"/>
    <w:rsid w:val="00074B15"/>
    <w:rsid w:val="0008027E"/>
    <w:rsid w:val="000811B9"/>
    <w:rsid w:val="00082C2D"/>
    <w:rsid w:val="00084D7B"/>
    <w:rsid w:val="00087EB2"/>
    <w:rsid w:val="000903DB"/>
    <w:rsid w:val="00090747"/>
    <w:rsid w:val="00092C0A"/>
    <w:rsid w:val="0009367A"/>
    <w:rsid w:val="000A012D"/>
    <w:rsid w:val="000A2D21"/>
    <w:rsid w:val="000A313A"/>
    <w:rsid w:val="000A4327"/>
    <w:rsid w:val="000A6AC7"/>
    <w:rsid w:val="000B5547"/>
    <w:rsid w:val="000B6F2A"/>
    <w:rsid w:val="000B7E8E"/>
    <w:rsid w:val="000C0E2F"/>
    <w:rsid w:val="000C11A7"/>
    <w:rsid w:val="000C4908"/>
    <w:rsid w:val="000C56DB"/>
    <w:rsid w:val="000D114D"/>
    <w:rsid w:val="000D627C"/>
    <w:rsid w:val="000D786A"/>
    <w:rsid w:val="000E14D0"/>
    <w:rsid w:val="000E3ECD"/>
    <w:rsid w:val="000E58B7"/>
    <w:rsid w:val="000E67B6"/>
    <w:rsid w:val="000E7AAC"/>
    <w:rsid w:val="000F34E9"/>
    <w:rsid w:val="000F62E2"/>
    <w:rsid w:val="000F719B"/>
    <w:rsid w:val="00103C21"/>
    <w:rsid w:val="00104D27"/>
    <w:rsid w:val="00106CDA"/>
    <w:rsid w:val="00107AB8"/>
    <w:rsid w:val="00110585"/>
    <w:rsid w:val="001119EF"/>
    <w:rsid w:val="001205E5"/>
    <w:rsid w:val="001208CD"/>
    <w:rsid w:val="001323F2"/>
    <w:rsid w:val="0013447F"/>
    <w:rsid w:val="00142828"/>
    <w:rsid w:val="0014778C"/>
    <w:rsid w:val="00151E30"/>
    <w:rsid w:val="00152426"/>
    <w:rsid w:val="0015549B"/>
    <w:rsid w:val="00156040"/>
    <w:rsid w:val="0017369E"/>
    <w:rsid w:val="00181CBB"/>
    <w:rsid w:val="00186F34"/>
    <w:rsid w:val="00187556"/>
    <w:rsid w:val="00197465"/>
    <w:rsid w:val="00197F6C"/>
    <w:rsid w:val="001A1F6E"/>
    <w:rsid w:val="001A3072"/>
    <w:rsid w:val="001A7EC7"/>
    <w:rsid w:val="001B1BA6"/>
    <w:rsid w:val="001B339D"/>
    <w:rsid w:val="001B56D3"/>
    <w:rsid w:val="001B59B3"/>
    <w:rsid w:val="001B6DC1"/>
    <w:rsid w:val="001B7588"/>
    <w:rsid w:val="001B7A9D"/>
    <w:rsid w:val="001C3602"/>
    <w:rsid w:val="001C3EE3"/>
    <w:rsid w:val="001D0145"/>
    <w:rsid w:val="001D3109"/>
    <w:rsid w:val="001D6941"/>
    <w:rsid w:val="001E0921"/>
    <w:rsid w:val="001E24E5"/>
    <w:rsid w:val="001E3846"/>
    <w:rsid w:val="001E60F3"/>
    <w:rsid w:val="001F25BB"/>
    <w:rsid w:val="001F2858"/>
    <w:rsid w:val="001F3CD8"/>
    <w:rsid w:val="00201110"/>
    <w:rsid w:val="00203986"/>
    <w:rsid w:val="00205B68"/>
    <w:rsid w:val="002142E2"/>
    <w:rsid w:val="00214C36"/>
    <w:rsid w:val="0021545C"/>
    <w:rsid w:val="00217848"/>
    <w:rsid w:val="00217EF7"/>
    <w:rsid w:val="00220664"/>
    <w:rsid w:val="00220BAB"/>
    <w:rsid w:val="00221631"/>
    <w:rsid w:val="0022503C"/>
    <w:rsid w:val="00230B74"/>
    <w:rsid w:val="0024214C"/>
    <w:rsid w:val="002424E6"/>
    <w:rsid w:val="00246D71"/>
    <w:rsid w:val="0024712C"/>
    <w:rsid w:val="00250087"/>
    <w:rsid w:val="00251C6E"/>
    <w:rsid w:val="00253562"/>
    <w:rsid w:val="002616CB"/>
    <w:rsid w:val="00263DFE"/>
    <w:rsid w:val="00270A18"/>
    <w:rsid w:val="00281AE5"/>
    <w:rsid w:val="00283E0A"/>
    <w:rsid w:val="00290A3D"/>
    <w:rsid w:val="0029259B"/>
    <w:rsid w:val="00295A7D"/>
    <w:rsid w:val="00296396"/>
    <w:rsid w:val="002A00CD"/>
    <w:rsid w:val="002A1449"/>
    <w:rsid w:val="002A22F9"/>
    <w:rsid w:val="002A23AC"/>
    <w:rsid w:val="002A2598"/>
    <w:rsid w:val="002A4069"/>
    <w:rsid w:val="002B034F"/>
    <w:rsid w:val="002B18E0"/>
    <w:rsid w:val="002B2F7B"/>
    <w:rsid w:val="002B49E8"/>
    <w:rsid w:val="002B5F7B"/>
    <w:rsid w:val="002C0F23"/>
    <w:rsid w:val="002C30F7"/>
    <w:rsid w:val="002C5AFD"/>
    <w:rsid w:val="002C7630"/>
    <w:rsid w:val="002D0EFF"/>
    <w:rsid w:val="002D1F16"/>
    <w:rsid w:val="002D6957"/>
    <w:rsid w:val="002E0008"/>
    <w:rsid w:val="002E1A25"/>
    <w:rsid w:val="002E2B14"/>
    <w:rsid w:val="002E3961"/>
    <w:rsid w:val="002E7632"/>
    <w:rsid w:val="002F0850"/>
    <w:rsid w:val="002F2770"/>
    <w:rsid w:val="002F3B19"/>
    <w:rsid w:val="002F451C"/>
    <w:rsid w:val="002F58F8"/>
    <w:rsid w:val="002F5B3F"/>
    <w:rsid w:val="002F6205"/>
    <w:rsid w:val="002F6BA1"/>
    <w:rsid w:val="002F7691"/>
    <w:rsid w:val="0030377F"/>
    <w:rsid w:val="00304809"/>
    <w:rsid w:val="00310538"/>
    <w:rsid w:val="00312C74"/>
    <w:rsid w:val="00313A99"/>
    <w:rsid w:val="003263A6"/>
    <w:rsid w:val="00327B5E"/>
    <w:rsid w:val="00334DE1"/>
    <w:rsid w:val="00335D3D"/>
    <w:rsid w:val="00335E09"/>
    <w:rsid w:val="00343753"/>
    <w:rsid w:val="00344938"/>
    <w:rsid w:val="0034587A"/>
    <w:rsid w:val="00345899"/>
    <w:rsid w:val="00345A7E"/>
    <w:rsid w:val="0035040B"/>
    <w:rsid w:val="00353A13"/>
    <w:rsid w:val="0035732D"/>
    <w:rsid w:val="00361065"/>
    <w:rsid w:val="003649FE"/>
    <w:rsid w:val="0037116C"/>
    <w:rsid w:val="0037328B"/>
    <w:rsid w:val="00375A9B"/>
    <w:rsid w:val="00382CE7"/>
    <w:rsid w:val="00385F3C"/>
    <w:rsid w:val="003921DD"/>
    <w:rsid w:val="003A4414"/>
    <w:rsid w:val="003B24F2"/>
    <w:rsid w:val="003B309A"/>
    <w:rsid w:val="003B45AF"/>
    <w:rsid w:val="003C24D3"/>
    <w:rsid w:val="003C4CF8"/>
    <w:rsid w:val="003C53DB"/>
    <w:rsid w:val="003C6DA2"/>
    <w:rsid w:val="003D0274"/>
    <w:rsid w:val="003E125C"/>
    <w:rsid w:val="003E15DF"/>
    <w:rsid w:val="003E5F7C"/>
    <w:rsid w:val="003F338F"/>
    <w:rsid w:val="003F392D"/>
    <w:rsid w:val="003F507E"/>
    <w:rsid w:val="00401737"/>
    <w:rsid w:val="00403F48"/>
    <w:rsid w:val="00404E9A"/>
    <w:rsid w:val="00410D82"/>
    <w:rsid w:val="0041290D"/>
    <w:rsid w:val="004136CF"/>
    <w:rsid w:val="00420772"/>
    <w:rsid w:val="00431DBA"/>
    <w:rsid w:val="00440452"/>
    <w:rsid w:val="00441DDF"/>
    <w:rsid w:val="004533B0"/>
    <w:rsid w:val="00456109"/>
    <w:rsid w:val="0046033F"/>
    <w:rsid w:val="00461536"/>
    <w:rsid w:val="00465900"/>
    <w:rsid w:val="0046650A"/>
    <w:rsid w:val="00471E12"/>
    <w:rsid w:val="004737AE"/>
    <w:rsid w:val="004768B5"/>
    <w:rsid w:val="00483F7A"/>
    <w:rsid w:val="0049213C"/>
    <w:rsid w:val="004926BE"/>
    <w:rsid w:val="00493257"/>
    <w:rsid w:val="00495317"/>
    <w:rsid w:val="004B70D7"/>
    <w:rsid w:val="004C1526"/>
    <w:rsid w:val="004D3A35"/>
    <w:rsid w:val="004D4EAA"/>
    <w:rsid w:val="004D5D69"/>
    <w:rsid w:val="004D623A"/>
    <w:rsid w:val="004E4DA7"/>
    <w:rsid w:val="004E58A5"/>
    <w:rsid w:val="004F2BE7"/>
    <w:rsid w:val="004F370A"/>
    <w:rsid w:val="00501253"/>
    <w:rsid w:val="00503CD4"/>
    <w:rsid w:val="00507943"/>
    <w:rsid w:val="00513442"/>
    <w:rsid w:val="00514ECE"/>
    <w:rsid w:val="00520427"/>
    <w:rsid w:val="00520BE7"/>
    <w:rsid w:val="00523A8C"/>
    <w:rsid w:val="00524B6D"/>
    <w:rsid w:val="00525E2D"/>
    <w:rsid w:val="005365E8"/>
    <w:rsid w:val="005372D7"/>
    <w:rsid w:val="0054406C"/>
    <w:rsid w:val="00544A8A"/>
    <w:rsid w:val="00547877"/>
    <w:rsid w:val="00552113"/>
    <w:rsid w:val="005529E9"/>
    <w:rsid w:val="0055360F"/>
    <w:rsid w:val="00553B84"/>
    <w:rsid w:val="00563190"/>
    <w:rsid w:val="00565355"/>
    <w:rsid w:val="005653AA"/>
    <w:rsid w:val="005702CB"/>
    <w:rsid w:val="00571027"/>
    <w:rsid w:val="00572CCC"/>
    <w:rsid w:val="00586DA0"/>
    <w:rsid w:val="005920F9"/>
    <w:rsid w:val="005A0CE3"/>
    <w:rsid w:val="005A7356"/>
    <w:rsid w:val="005B1FAA"/>
    <w:rsid w:val="005B26AB"/>
    <w:rsid w:val="005B46C0"/>
    <w:rsid w:val="005B5729"/>
    <w:rsid w:val="005B7457"/>
    <w:rsid w:val="005B7C50"/>
    <w:rsid w:val="005C5E95"/>
    <w:rsid w:val="005C68DF"/>
    <w:rsid w:val="005D03E0"/>
    <w:rsid w:val="005D3DC0"/>
    <w:rsid w:val="005D78D8"/>
    <w:rsid w:val="005E1977"/>
    <w:rsid w:val="005E641C"/>
    <w:rsid w:val="005F00C2"/>
    <w:rsid w:val="005F1C61"/>
    <w:rsid w:val="005F3889"/>
    <w:rsid w:val="005F457E"/>
    <w:rsid w:val="005F6369"/>
    <w:rsid w:val="005F763F"/>
    <w:rsid w:val="00600A17"/>
    <w:rsid w:val="00600FCE"/>
    <w:rsid w:val="006027A7"/>
    <w:rsid w:val="006048E2"/>
    <w:rsid w:val="006076F1"/>
    <w:rsid w:val="00611A55"/>
    <w:rsid w:val="00613CD5"/>
    <w:rsid w:val="0061714E"/>
    <w:rsid w:val="00617939"/>
    <w:rsid w:val="00621EEE"/>
    <w:rsid w:val="00622AFA"/>
    <w:rsid w:val="0062341E"/>
    <w:rsid w:val="00625A23"/>
    <w:rsid w:val="00627E7D"/>
    <w:rsid w:val="0063658E"/>
    <w:rsid w:val="0064333D"/>
    <w:rsid w:val="006479EC"/>
    <w:rsid w:val="00652298"/>
    <w:rsid w:val="00652515"/>
    <w:rsid w:val="0065695C"/>
    <w:rsid w:val="00661E87"/>
    <w:rsid w:val="00662973"/>
    <w:rsid w:val="00663734"/>
    <w:rsid w:val="00664271"/>
    <w:rsid w:val="00666F69"/>
    <w:rsid w:val="00670316"/>
    <w:rsid w:val="0067117E"/>
    <w:rsid w:val="0067176C"/>
    <w:rsid w:val="00672340"/>
    <w:rsid w:val="006756AC"/>
    <w:rsid w:val="00676080"/>
    <w:rsid w:val="00676F7E"/>
    <w:rsid w:val="0069332A"/>
    <w:rsid w:val="00693708"/>
    <w:rsid w:val="006947FF"/>
    <w:rsid w:val="00697266"/>
    <w:rsid w:val="006A01F9"/>
    <w:rsid w:val="006A033F"/>
    <w:rsid w:val="006A265F"/>
    <w:rsid w:val="006B0831"/>
    <w:rsid w:val="006B1962"/>
    <w:rsid w:val="006B219E"/>
    <w:rsid w:val="006B2984"/>
    <w:rsid w:val="006B47BB"/>
    <w:rsid w:val="006B77BE"/>
    <w:rsid w:val="006C1161"/>
    <w:rsid w:val="006C1196"/>
    <w:rsid w:val="006D1876"/>
    <w:rsid w:val="006D5D08"/>
    <w:rsid w:val="006E2EB0"/>
    <w:rsid w:val="006E54D8"/>
    <w:rsid w:val="006F2085"/>
    <w:rsid w:val="006F20FB"/>
    <w:rsid w:val="006F31CB"/>
    <w:rsid w:val="006F6FA4"/>
    <w:rsid w:val="006F7D05"/>
    <w:rsid w:val="0071408D"/>
    <w:rsid w:val="0071536E"/>
    <w:rsid w:val="0072353D"/>
    <w:rsid w:val="00726F65"/>
    <w:rsid w:val="00734DA7"/>
    <w:rsid w:val="007356BE"/>
    <w:rsid w:val="007370E2"/>
    <w:rsid w:val="00743B82"/>
    <w:rsid w:val="00744453"/>
    <w:rsid w:val="00744B71"/>
    <w:rsid w:val="00747283"/>
    <w:rsid w:val="00747943"/>
    <w:rsid w:val="00750D48"/>
    <w:rsid w:val="007531D3"/>
    <w:rsid w:val="007632B0"/>
    <w:rsid w:val="00771124"/>
    <w:rsid w:val="007729E1"/>
    <w:rsid w:val="00772C0C"/>
    <w:rsid w:val="0078180A"/>
    <w:rsid w:val="00783292"/>
    <w:rsid w:val="00783CC1"/>
    <w:rsid w:val="007867F6"/>
    <w:rsid w:val="00792A83"/>
    <w:rsid w:val="00796A87"/>
    <w:rsid w:val="007A19FB"/>
    <w:rsid w:val="007A1FE4"/>
    <w:rsid w:val="007A297D"/>
    <w:rsid w:val="007A4815"/>
    <w:rsid w:val="007A6272"/>
    <w:rsid w:val="007B1CDC"/>
    <w:rsid w:val="007B23FE"/>
    <w:rsid w:val="007B2569"/>
    <w:rsid w:val="007B2C6F"/>
    <w:rsid w:val="007B744C"/>
    <w:rsid w:val="007B746F"/>
    <w:rsid w:val="007C17FB"/>
    <w:rsid w:val="007C1E42"/>
    <w:rsid w:val="007C5DDC"/>
    <w:rsid w:val="007C6DD6"/>
    <w:rsid w:val="007D31BF"/>
    <w:rsid w:val="007D368E"/>
    <w:rsid w:val="007D66A5"/>
    <w:rsid w:val="007E0AAD"/>
    <w:rsid w:val="007E0D90"/>
    <w:rsid w:val="007E328D"/>
    <w:rsid w:val="007E6598"/>
    <w:rsid w:val="007E6986"/>
    <w:rsid w:val="007E77BC"/>
    <w:rsid w:val="007E7F48"/>
    <w:rsid w:val="007F20F0"/>
    <w:rsid w:val="007F37C1"/>
    <w:rsid w:val="007F41D4"/>
    <w:rsid w:val="007F6D93"/>
    <w:rsid w:val="007F79BB"/>
    <w:rsid w:val="008003F2"/>
    <w:rsid w:val="00801258"/>
    <w:rsid w:val="00806E34"/>
    <w:rsid w:val="00810830"/>
    <w:rsid w:val="00813ED0"/>
    <w:rsid w:val="00816287"/>
    <w:rsid w:val="008217DF"/>
    <w:rsid w:val="00823E60"/>
    <w:rsid w:val="00825602"/>
    <w:rsid w:val="00826B87"/>
    <w:rsid w:val="00835BE7"/>
    <w:rsid w:val="008371E1"/>
    <w:rsid w:val="00840196"/>
    <w:rsid w:val="008465B7"/>
    <w:rsid w:val="00851B2A"/>
    <w:rsid w:val="00854A57"/>
    <w:rsid w:val="00855135"/>
    <w:rsid w:val="008551B1"/>
    <w:rsid w:val="0085730D"/>
    <w:rsid w:val="00862A07"/>
    <w:rsid w:val="008642A1"/>
    <w:rsid w:val="008671A5"/>
    <w:rsid w:val="0087088C"/>
    <w:rsid w:val="00880CD4"/>
    <w:rsid w:val="008851EE"/>
    <w:rsid w:val="0089317D"/>
    <w:rsid w:val="00894CC0"/>
    <w:rsid w:val="0089549E"/>
    <w:rsid w:val="008A1A22"/>
    <w:rsid w:val="008B4AE7"/>
    <w:rsid w:val="008B5653"/>
    <w:rsid w:val="008B6B43"/>
    <w:rsid w:val="008C0900"/>
    <w:rsid w:val="008C5F12"/>
    <w:rsid w:val="008C7ABF"/>
    <w:rsid w:val="008D0FCE"/>
    <w:rsid w:val="008D18D6"/>
    <w:rsid w:val="008D1D33"/>
    <w:rsid w:val="008D611F"/>
    <w:rsid w:val="008E3839"/>
    <w:rsid w:val="008E5DF3"/>
    <w:rsid w:val="008F1803"/>
    <w:rsid w:val="008F24A8"/>
    <w:rsid w:val="008F2A01"/>
    <w:rsid w:val="00900897"/>
    <w:rsid w:val="00905626"/>
    <w:rsid w:val="00905DE8"/>
    <w:rsid w:val="00906270"/>
    <w:rsid w:val="00906845"/>
    <w:rsid w:val="009205C7"/>
    <w:rsid w:val="009211AE"/>
    <w:rsid w:val="00921DD9"/>
    <w:rsid w:val="00922362"/>
    <w:rsid w:val="00922F7E"/>
    <w:rsid w:val="009247AD"/>
    <w:rsid w:val="009248F5"/>
    <w:rsid w:val="00925289"/>
    <w:rsid w:val="00930E27"/>
    <w:rsid w:val="00932307"/>
    <w:rsid w:val="009324FB"/>
    <w:rsid w:val="00941451"/>
    <w:rsid w:val="0094370C"/>
    <w:rsid w:val="00960C14"/>
    <w:rsid w:val="00961EC3"/>
    <w:rsid w:val="00965F1F"/>
    <w:rsid w:val="0096799A"/>
    <w:rsid w:val="00972AB2"/>
    <w:rsid w:val="009730C5"/>
    <w:rsid w:val="00981EE0"/>
    <w:rsid w:val="00983014"/>
    <w:rsid w:val="00983EA5"/>
    <w:rsid w:val="00984539"/>
    <w:rsid w:val="00985472"/>
    <w:rsid w:val="00987983"/>
    <w:rsid w:val="009A62AE"/>
    <w:rsid w:val="009C12AA"/>
    <w:rsid w:val="009C1782"/>
    <w:rsid w:val="009C1B26"/>
    <w:rsid w:val="009C24AE"/>
    <w:rsid w:val="009C3782"/>
    <w:rsid w:val="009C5E54"/>
    <w:rsid w:val="009C6364"/>
    <w:rsid w:val="009C69DC"/>
    <w:rsid w:val="009D247B"/>
    <w:rsid w:val="009D5F04"/>
    <w:rsid w:val="009D6FF9"/>
    <w:rsid w:val="009E26DF"/>
    <w:rsid w:val="009E5591"/>
    <w:rsid w:val="009F723D"/>
    <w:rsid w:val="00A01A28"/>
    <w:rsid w:val="00A01C5D"/>
    <w:rsid w:val="00A0488E"/>
    <w:rsid w:val="00A0607C"/>
    <w:rsid w:val="00A1269D"/>
    <w:rsid w:val="00A14B67"/>
    <w:rsid w:val="00A15F14"/>
    <w:rsid w:val="00A20BE8"/>
    <w:rsid w:val="00A21292"/>
    <w:rsid w:val="00A22A77"/>
    <w:rsid w:val="00A23AFC"/>
    <w:rsid w:val="00A2544E"/>
    <w:rsid w:val="00A45AD4"/>
    <w:rsid w:val="00A465D5"/>
    <w:rsid w:val="00A5013E"/>
    <w:rsid w:val="00A508B3"/>
    <w:rsid w:val="00A54BFA"/>
    <w:rsid w:val="00A57928"/>
    <w:rsid w:val="00A623EE"/>
    <w:rsid w:val="00A64D0E"/>
    <w:rsid w:val="00A65D7E"/>
    <w:rsid w:val="00A720F3"/>
    <w:rsid w:val="00A753A1"/>
    <w:rsid w:val="00A75804"/>
    <w:rsid w:val="00A76950"/>
    <w:rsid w:val="00A7722D"/>
    <w:rsid w:val="00A82B74"/>
    <w:rsid w:val="00A82FC9"/>
    <w:rsid w:val="00A84A5C"/>
    <w:rsid w:val="00A9040A"/>
    <w:rsid w:val="00AA141B"/>
    <w:rsid w:val="00AA65EA"/>
    <w:rsid w:val="00AA6CC2"/>
    <w:rsid w:val="00AB0CF5"/>
    <w:rsid w:val="00AB732F"/>
    <w:rsid w:val="00AC2B55"/>
    <w:rsid w:val="00AC50A3"/>
    <w:rsid w:val="00AC68E5"/>
    <w:rsid w:val="00AD3916"/>
    <w:rsid w:val="00AD5F40"/>
    <w:rsid w:val="00AD78C4"/>
    <w:rsid w:val="00AE288C"/>
    <w:rsid w:val="00AE3E24"/>
    <w:rsid w:val="00B016A2"/>
    <w:rsid w:val="00B0673E"/>
    <w:rsid w:val="00B107FC"/>
    <w:rsid w:val="00B10E4F"/>
    <w:rsid w:val="00B10F16"/>
    <w:rsid w:val="00B1140F"/>
    <w:rsid w:val="00B11993"/>
    <w:rsid w:val="00B12951"/>
    <w:rsid w:val="00B143E2"/>
    <w:rsid w:val="00B152B4"/>
    <w:rsid w:val="00B2682E"/>
    <w:rsid w:val="00B26C13"/>
    <w:rsid w:val="00B308BA"/>
    <w:rsid w:val="00B3246D"/>
    <w:rsid w:val="00B35309"/>
    <w:rsid w:val="00B353C3"/>
    <w:rsid w:val="00B35636"/>
    <w:rsid w:val="00B363B0"/>
    <w:rsid w:val="00B42760"/>
    <w:rsid w:val="00B44482"/>
    <w:rsid w:val="00B45FB4"/>
    <w:rsid w:val="00B47267"/>
    <w:rsid w:val="00B5099B"/>
    <w:rsid w:val="00B51C5F"/>
    <w:rsid w:val="00B55A82"/>
    <w:rsid w:val="00B60FA7"/>
    <w:rsid w:val="00B664CB"/>
    <w:rsid w:val="00B731A7"/>
    <w:rsid w:val="00B747A6"/>
    <w:rsid w:val="00B758F3"/>
    <w:rsid w:val="00B8194F"/>
    <w:rsid w:val="00B81F2A"/>
    <w:rsid w:val="00B8360D"/>
    <w:rsid w:val="00B928A1"/>
    <w:rsid w:val="00B93EE1"/>
    <w:rsid w:val="00B94D39"/>
    <w:rsid w:val="00B9643A"/>
    <w:rsid w:val="00B96468"/>
    <w:rsid w:val="00B974E8"/>
    <w:rsid w:val="00BA075A"/>
    <w:rsid w:val="00BA18DC"/>
    <w:rsid w:val="00BA1D58"/>
    <w:rsid w:val="00BA3E39"/>
    <w:rsid w:val="00BA5913"/>
    <w:rsid w:val="00BA723E"/>
    <w:rsid w:val="00BB02BC"/>
    <w:rsid w:val="00BB0920"/>
    <w:rsid w:val="00BB0EAC"/>
    <w:rsid w:val="00BB59A1"/>
    <w:rsid w:val="00BB7001"/>
    <w:rsid w:val="00BB7208"/>
    <w:rsid w:val="00BC0C4C"/>
    <w:rsid w:val="00BC104A"/>
    <w:rsid w:val="00BD2465"/>
    <w:rsid w:val="00BD4A3C"/>
    <w:rsid w:val="00BD7C30"/>
    <w:rsid w:val="00BE2339"/>
    <w:rsid w:val="00BE2A81"/>
    <w:rsid w:val="00BE3CDD"/>
    <w:rsid w:val="00BE499A"/>
    <w:rsid w:val="00BF0A65"/>
    <w:rsid w:val="00BF5608"/>
    <w:rsid w:val="00BF689A"/>
    <w:rsid w:val="00BF776C"/>
    <w:rsid w:val="00C01D96"/>
    <w:rsid w:val="00C02265"/>
    <w:rsid w:val="00C0451E"/>
    <w:rsid w:val="00C05FD4"/>
    <w:rsid w:val="00C0730F"/>
    <w:rsid w:val="00C1235C"/>
    <w:rsid w:val="00C14B6E"/>
    <w:rsid w:val="00C16CDA"/>
    <w:rsid w:val="00C209C2"/>
    <w:rsid w:val="00C259BD"/>
    <w:rsid w:val="00C2623D"/>
    <w:rsid w:val="00C27D86"/>
    <w:rsid w:val="00C30F05"/>
    <w:rsid w:val="00C36845"/>
    <w:rsid w:val="00C377D4"/>
    <w:rsid w:val="00C37F3A"/>
    <w:rsid w:val="00C410FE"/>
    <w:rsid w:val="00C42F34"/>
    <w:rsid w:val="00C45BFB"/>
    <w:rsid w:val="00C4691E"/>
    <w:rsid w:val="00C51FED"/>
    <w:rsid w:val="00C5353F"/>
    <w:rsid w:val="00C5387E"/>
    <w:rsid w:val="00C65596"/>
    <w:rsid w:val="00C75642"/>
    <w:rsid w:val="00C756B5"/>
    <w:rsid w:val="00C7728D"/>
    <w:rsid w:val="00C82103"/>
    <w:rsid w:val="00C831C2"/>
    <w:rsid w:val="00C905D0"/>
    <w:rsid w:val="00C906B1"/>
    <w:rsid w:val="00C922FB"/>
    <w:rsid w:val="00C96C9C"/>
    <w:rsid w:val="00CA152E"/>
    <w:rsid w:val="00CA3D79"/>
    <w:rsid w:val="00CA50B1"/>
    <w:rsid w:val="00CA7632"/>
    <w:rsid w:val="00CA7CD8"/>
    <w:rsid w:val="00CB06B2"/>
    <w:rsid w:val="00CB070D"/>
    <w:rsid w:val="00CB5FB2"/>
    <w:rsid w:val="00CB61E8"/>
    <w:rsid w:val="00CB626E"/>
    <w:rsid w:val="00CC72AD"/>
    <w:rsid w:val="00CD2EF3"/>
    <w:rsid w:val="00CD50A1"/>
    <w:rsid w:val="00CD56AE"/>
    <w:rsid w:val="00CD658D"/>
    <w:rsid w:val="00CD6C97"/>
    <w:rsid w:val="00CD7E2B"/>
    <w:rsid w:val="00CF041B"/>
    <w:rsid w:val="00CF42AA"/>
    <w:rsid w:val="00CF4BC0"/>
    <w:rsid w:val="00D02B19"/>
    <w:rsid w:val="00D037B7"/>
    <w:rsid w:val="00D05129"/>
    <w:rsid w:val="00D052A4"/>
    <w:rsid w:val="00D069B8"/>
    <w:rsid w:val="00D073CE"/>
    <w:rsid w:val="00D150D1"/>
    <w:rsid w:val="00D16F67"/>
    <w:rsid w:val="00D22BB2"/>
    <w:rsid w:val="00D23FDE"/>
    <w:rsid w:val="00D25DA3"/>
    <w:rsid w:val="00D3065C"/>
    <w:rsid w:val="00D31A41"/>
    <w:rsid w:val="00D3251A"/>
    <w:rsid w:val="00D354B3"/>
    <w:rsid w:val="00D4149E"/>
    <w:rsid w:val="00D46430"/>
    <w:rsid w:val="00D50B0E"/>
    <w:rsid w:val="00D53CF7"/>
    <w:rsid w:val="00D542E2"/>
    <w:rsid w:val="00D548AE"/>
    <w:rsid w:val="00D5584F"/>
    <w:rsid w:val="00D61F9F"/>
    <w:rsid w:val="00D66638"/>
    <w:rsid w:val="00D71007"/>
    <w:rsid w:val="00D718D1"/>
    <w:rsid w:val="00D75588"/>
    <w:rsid w:val="00D758CD"/>
    <w:rsid w:val="00D83182"/>
    <w:rsid w:val="00D83F11"/>
    <w:rsid w:val="00D84FD1"/>
    <w:rsid w:val="00D850D4"/>
    <w:rsid w:val="00D853F2"/>
    <w:rsid w:val="00D918D4"/>
    <w:rsid w:val="00D959ED"/>
    <w:rsid w:val="00DA1A06"/>
    <w:rsid w:val="00DA4F7F"/>
    <w:rsid w:val="00DB623A"/>
    <w:rsid w:val="00DC4F29"/>
    <w:rsid w:val="00DC70B2"/>
    <w:rsid w:val="00DC7F2D"/>
    <w:rsid w:val="00DD11A2"/>
    <w:rsid w:val="00DD4E4F"/>
    <w:rsid w:val="00DD589B"/>
    <w:rsid w:val="00DE097F"/>
    <w:rsid w:val="00DE20FC"/>
    <w:rsid w:val="00DE40A2"/>
    <w:rsid w:val="00DE520F"/>
    <w:rsid w:val="00DF0470"/>
    <w:rsid w:val="00DF6F25"/>
    <w:rsid w:val="00E01960"/>
    <w:rsid w:val="00E135DA"/>
    <w:rsid w:val="00E14085"/>
    <w:rsid w:val="00E1463B"/>
    <w:rsid w:val="00E23850"/>
    <w:rsid w:val="00E31511"/>
    <w:rsid w:val="00E33042"/>
    <w:rsid w:val="00E35D7F"/>
    <w:rsid w:val="00E441EC"/>
    <w:rsid w:val="00E44A53"/>
    <w:rsid w:val="00E4583F"/>
    <w:rsid w:val="00E5067E"/>
    <w:rsid w:val="00E52E18"/>
    <w:rsid w:val="00E5432B"/>
    <w:rsid w:val="00E54CE6"/>
    <w:rsid w:val="00E55124"/>
    <w:rsid w:val="00E5609D"/>
    <w:rsid w:val="00E56EA7"/>
    <w:rsid w:val="00E573B2"/>
    <w:rsid w:val="00E6095C"/>
    <w:rsid w:val="00E61472"/>
    <w:rsid w:val="00E62A96"/>
    <w:rsid w:val="00E63498"/>
    <w:rsid w:val="00E6472B"/>
    <w:rsid w:val="00E80716"/>
    <w:rsid w:val="00E8177F"/>
    <w:rsid w:val="00E86D7A"/>
    <w:rsid w:val="00E90E99"/>
    <w:rsid w:val="00E913AD"/>
    <w:rsid w:val="00E948D4"/>
    <w:rsid w:val="00E95A9A"/>
    <w:rsid w:val="00E96680"/>
    <w:rsid w:val="00EA0A48"/>
    <w:rsid w:val="00EA5B39"/>
    <w:rsid w:val="00EA64FA"/>
    <w:rsid w:val="00EA78E6"/>
    <w:rsid w:val="00EB1A57"/>
    <w:rsid w:val="00EB2D0C"/>
    <w:rsid w:val="00EB3990"/>
    <w:rsid w:val="00EB4E47"/>
    <w:rsid w:val="00EB7255"/>
    <w:rsid w:val="00EC0304"/>
    <w:rsid w:val="00EC6961"/>
    <w:rsid w:val="00ED5657"/>
    <w:rsid w:val="00EF3515"/>
    <w:rsid w:val="00F00097"/>
    <w:rsid w:val="00F00238"/>
    <w:rsid w:val="00F036D4"/>
    <w:rsid w:val="00F0440D"/>
    <w:rsid w:val="00F07D76"/>
    <w:rsid w:val="00F12CA7"/>
    <w:rsid w:val="00F15A31"/>
    <w:rsid w:val="00F27679"/>
    <w:rsid w:val="00F339FF"/>
    <w:rsid w:val="00F3614B"/>
    <w:rsid w:val="00F3675B"/>
    <w:rsid w:val="00F37D63"/>
    <w:rsid w:val="00F425CC"/>
    <w:rsid w:val="00F4756B"/>
    <w:rsid w:val="00F55223"/>
    <w:rsid w:val="00F55B91"/>
    <w:rsid w:val="00F57EAD"/>
    <w:rsid w:val="00F649E4"/>
    <w:rsid w:val="00F70FFE"/>
    <w:rsid w:val="00F7342B"/>
    <w:rsid w:val="00F80429"/>
    <w:rsid w:val="00F80571"/>
    <w:rsid w:val="00F81CE8"/>
    <w:rsid w:val="00F83B2C"/>
    <w:rsid w:val="00F8457E"/>
    <w:rsid w:val="00F84E5A"/>
    <w:rsid w:val="00F84EB5"/>
    <w:rsid w:val="00F934E0"/>
    <w:rsid w:val="00F953FF"/>
    <w:rsid w:val="00F9599C"/>
    <w:rsid w:val="00FA29A2"/>
    <w:rsid w:val="00FA3113"/>
    <w:rsid w:val="00FA40BB"/>
    <w:rsid w:val="00FA57EF"/>
    <w:rsid w:val="00FA58EC"/>
    <w:rsid w:val="00FB3FC9"/>
    <w:rsid w:val="00FB4C8B"/>
    <w:rsid w:val="00FB4F14"/>
    <w:rsid w:val="00FB6DE1"/>
    <w:rsid w:val="00FB758C"/>
    <w:rsid w:val="00FC0C3D"/>
    <w:rsid w:val="00FC3A65"/>
    <w:rsid w:val="00FC463D"/>
    <w:rsid w:val="00FC5F93"/>
    <w:rsid w:val="00FC61FE"/>
    <w:rsid w:val="00FC6A45"/>
    <w:rsid w:val="00FC6C04"/>
    <w:rsid w:val="00FC72A5"/>
    <w:rsid w:val="00FD2233"/>
    <w:rsid w:val="00FD2AA9"/>
    <w:rsid w:val="00FD569F"/>
    <w:rsid w:val="00FE744A"/>
    <w:rsid w:val="00FF31E0"/>
    <w:rsid w:val="00FF3870"/>
    <w:rsid w:val="00FF3E32"/>
    <w:rsid w:val="00FF4ED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7B23FE"/>
  </w:style>
  <w:style w:type="paragraph" w:styleId="FootnoteText">
    <w:name w:val="footnote text"/>
    <w:basedOn w:val="Normal"/>
    <w:link w:val="FootnoteTextChar"/>
    <w:uiPriority w:val="99"/>
    <w:semiHidden/>
    <w:rsid w:val="009248F5"/>
    <w:rPr>
      <w:sz w:val="20"/>
    </w:rPr>
  </w:style>
  <w:style w:type="character" w:styleId="FootnoteReference">
    <w:name w:val="footnote reference"/>
    <w:basedOn w:val="DefaultParagraphFont"/>
    <w:uiPriority w:val="99"/>
    <w:semiHidden/>
    <w:rsid w:val="009248F5"/>
    <w:rPr>
      <w:vertAlign w:val="superscript"/>
    </w:rPr>
  </w:style>
  <w:style w:type="paragraph" w:customStyle="1" w:styleId="c1">
    <w:name w:val="c1"/>
    <w:basedOn w:val="Normal"/>
    <w:rsid w:val="00DF0470"/>
    <w:pPr>
      <w:widowControl w:val="0"/>
      <w:jc w:val="center"/>
    </w:pPr>
    <w:rPr>
      <w:szCs w:val="24"/>
    </w:rPr>
  </w:style>
  <w:style w:type="paragraph" w:customStyle="1" w:styleId="p3">
    <w:name w:val="p3"/>
    <w:basedOn w:val="Normal"/>
    <w:rsid w:val="00DF0470"/>
    <w:pPr>
      <w:widowControl w:val="0"/>
      <w:tabs>
        <w:tab w:val="left" w:pos="204"/>
      </w:tabs>
    </w:pPr>
    <w:rPr>
      <w:szCs w:val="24"/>
    </w:rPr>
  </w:style>
  <w:style w:type="paragraph" w:customStyle="1" w:styleId="p6">
    <w:name w:val="p6"/>
    <w:basedOn w:val="Normal"/>
    <w:rsid w:val="00DF0470"/>
    <w:pPr>
      <w:widowControl w:val="0"/>
      <w:ind w:firstLine="742"/>
    </w:pPr>
    <w:rPr>
      <w:szCs w:val="24"/>
    </w:rPr>
  </w:style>
  <w:style w:type="paragraph" w:customStyle="1" w:styleId="p8">
    <w:name w:val="p8"/>
    <w:basedOn w:val="Normal"/>
    <w:rsid w:val="00DF0470"/>
    <w:pPr>
      <w:widowControl w:val="0"/>
      <w:tabs>
        <w:tab w:val="left" w:pos="204"/>
      </w:tabs>
    </w:pPr>
    <w:rPr>
      <w:szCs w:val="24"/>
    </w:rPr>
  </w:style>
  <w:style w:type="paragraph" w:customStyle="1" w:styleId="c9">
    <w:name w:val="c9"/>
    <w:basedOn w:val="Normal"/>
    <w:rsid w:val="00DF0470"/>
    <w:pPr>
      <w:widowControl w:val="0"/>
      <w:jc w:val="center"/>
    </w:pPr>
    <w:rPr>
      <w:szCs w:val="24"/>
    </w:rPr>
  </w:style>
  <w:style w:type="paragraph" w:customStyle="1" w:styleId="c10">
    <w:name w:val="c10"/>
    <w:basedOn w:val="Normal"/>
    <w:rsid w:val="00DF0470"/>
    <w:pPr>
      <w:widowControl w:val="0"/>
      <w:jc w:val="center"/>
    </w:pPr>
    <w:rPr>
      <w:szCs w:val="24"/>
    </w:rPr>
  </w:style>
  <w:style w:type="paragraph" w:customStyle="1" w:styleId="p13">
    <w:name w:val="p13"/>
    <w:basedOn w:val="Normal"/>
    <w:rsid w:val="00DF0470"/>
    <w:pPr>
      <w:widowControl w:val="0"/>
      <w:tabs>
        <w:tab w:val="left" w:pos="742"/>
        <w:tab w:val="left" w:pos="1451"/>
      </w:tabs>
      <w:ind w:left="742" w:firstLine="709"/>
    </w:pPr>
    <w:rPr>
      <w:szCs w:val="24"/>
    </w:rPr>
  </w:style>
  <w:style w:type="paragraph" w:customStyle="1" w:styleId="p14">
    <w:name w:val="p14"/>
    <w:basedOn w:val="Normal"/>
    <w:rsid w:val="00DF0470"/>
    <w:pPr>
      <w:widowControl w:val="0"/>
      <w:tabs>
        <w:tab w:val="left" w:pos="204"/>
      </w:tabs>
    </w:pPr>
    <w:rPr>
      <w:szCs w:val="24"/>
    </w:rPr>
  </w:style>
  <w:style w:type="paragraph" w:customStyle="1" w:styleId="p15">
    <w:name w:val="p15"/>
    <w:basedOn w:val="Normal"/>
    <w:rsid w:val="00DF0470"/>
    <w:pPr>
      <w:widowControl w:val="0"/>
      <w:tabs>
        <w:tab w:val="left" w:pos="204"/>
      </w:tabs>
    </w:pPr>
    <w:rPr>
      <w:szCs w:val="24"/>
    </w:rPr>
  </w:style>
  <w:style w:type="paragraph" w:customStyle="1" w:styleId="p17">
    <w:name w:val="p17"/>
    <w:basedOn w:val="Normal"/>
    <w:rsid w:val="00DF0470"/>
    <w:pPr>
      <w:widowControl w:val="0"/>
      <w:tabs>
        <w:tab w:val="left" w:pos="5057"/>
      </w:tabs>
      <w:ind w:left="3617"/>
    </w:pPr>
    <w:rPr>
      <w:szCs w:val="24"/>
    </w:rPr>
  </w:style>
  <w:style w:type="paragraph" w:customStyle="1" w:styleId="p18">
    <w:name w:val="p18"/>
    <w:basedOn w:val="Normal"/>
    <w:rsid w:val="00DF0470"/>
    <w:pPr>
      <w:widowControl w:val="0"/>
      <w:tabs>
        <w:tab w:val="left" w:pos="5062"/>
      </w:tabs>
      <w:ind w:left="3622"/>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basedOn w:val="DefaultParagraphFont"/>
    <w:link w:val="FootnoteText"/>
    <w:uiPriority w:val="99"/>
    <w:semiHidden/>
    <w:rsid w:val="007D66A5"/>
  </w:style>
  <w:style w:type="paragraph" w:styleId="ListParagraph">
    <w:name w:val="List Paragraph"/>
    <w:basedOn w:val="Normal"/>
    <w:uiPriority w:val="34"/>
    <w:qFormat/>
    <w:rsid w:val="00BB0920"/>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D758CD"/>
    <w:rPr>
      <w:sz w:val="20"/>
    </w:rPr>
  </w:style>
  <w:style w:type="character" w:customStyle="1" w:styleId="EndnoteTextChar">
    <w:name w:val="Endnote Text Char"/>
    <w:basedOn w:val="DefaultParagraphFont"/>
    <w:link w:val="EndnoteText"/>
    <w:rsid w:val="00D758CD"/>
  </w:style>
  <w:style w:type="character" w:styleId="EndnoteReference">
    <w:name w:val="endnote reference"/>
    <w:basedOn w:val="DefaultParagraphFont"/>
    <w:rsid w:val="00D758CD"/>
    <w:rPr>
      <w:vertAlign w:val="superscript"/>
    </w:rPr>
  </w:style>
  <w:style w:type="character" w:styleId="Hyperlink">
    <w:name w:val="Hyperlink"/>
    <w:basedOn w:val="DefaultParagraphFont"/>
    <w:uiPriority w:val="99"/>
    <w:unhideWhenUsed/>
    <w:rsid w:val="002A4069"/>
    <w:rPr>
      <w:color w:val="0000FF"/>
      <w:u w:val="single"/>
    </w:rPr>
  </w:style>
  <w:style w:type="character" w:styleId="CommentReference">
    <w:name w:val="annotation reference"/>
    <w:basedOn w:val="DefaultParagraphFont"/>
    <w:rsid w:val="002F451C"/>
    <w:rPr>
      <w:sz w:val="16"/>
      <w:szCs w:val="16"/>
    </w:rPr>
  </w:style>
  <w:style w:type="paragraph" w:styleId="CommentText">
    <w:name w:val="annotation text"/>
    <w:basedOn w:val="Normal"/>
    <w:link w:val="CommentTextChar"/>
    <w:rsid w:val="002F451C"/>
    <w:rPr>
      <w:sz w:val="20"/>
    </w:rPr>
  </w:style>
  <w:style w:type="character" w:customStyle="1" w:styleId="CommentTextChar">
    <w:name w:val="Comment Text Char"/>
    <w:basedOn w:val="DefaultParagraphFont"/>
    <w:link w:val="CommentText"/>
    <w:rsid w:val="002F451C"/>
  </w:style>
  <w:style w:type="paragraph" w:styleId="CommentSubject">
    <w:name w:val="annotation subject"/>
    <w:basedOn w:val="CommentText"/>
    <w:next w:val="CommentText"/>
    <w:link w:val="CommentSubjectChar"/>
    <w:rsid w:val="002F451C"/>
    <w:rPr>
      <w:b/>
      <w:bCs/>
    </w:rPr>
  </w:style>
  <w:style w:type="character" w:customStyle="1" w:styleId="CommentSubjectChar">
    <w:name w:val="Comment Subject Char"/>
    <w:basedOn w:val="CommentTextChar"/>
    <w:link w:val="CommentSubject"/>
    <w:rsid w:val="002F451C"/>
    <w:rPr>
      <w:b/>
      <w:bCs/>
    </w:rPr>
  </w:style>
  <w:style w:type="table" w:styleId="TableGrid">
    <w:name w:val="Table Grid"/>
    <w:basedOn w:val="TableNormal"/>
    <w:rsid w:val="005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7B23FE"/>
  </w:style>
  <w:style w:type="paragraph" w:styleId="FootnoteText">
    <w:name w:val="footnote text"/>
    <w:basedOn w:val="Normal"/>
    <w:link w:val="FootnoteTextChar"/>
    <w:uiPriority w:val="99"/>
    <w:semiHidden/>
    <w:rsid w:val="009248F5"/>
    <w:rPr>
      <w:sz w:val="20"/>
    </w:rPr>
  </w:style>
  <w:style w:type="character" w:styleId="FootnoteReference">
    <w:name w:val="footnote reference"/>
    <w:basedOn w:val="DefaultParagraphFont"/>
    <w:uiPriority w:val="99"/>
    <w:semiHidden/>
    <w:rsid w:val="009248F5"/>
    <w:rPr>
      <w:vertAlign w:val="superscript"/>
    </w:rPr>
  </w:style>
  <w:style w:type="paragraph" w:customStyle="1" w:styleId="c1">
    <w:name w:val="c1"/>
    <w:basedOn w:val="Normal"/>
    <w:rsid w:val="00DF0470"/>
    <w:pPr>
      <w:widowControl w:val="0"/>
      <w:jc w:val="center"/>
    </w:pPr>
    <w:rPr>
      <w:szCs w:val="24"/>
    </w:rPr>
  </w:style>
  <w:style w:type="paragraph" w:customStyle="1" w:styleId="p3">
    <w:name w:val="p3"/>
    <w:basedOn w:val="Normal"/>
    <w:rsid w:val="00DF0470"/>
    <w:pPr>
      <w:widowControl w:val="0"/>
      <w:tabs>
        <w:tab w:val="left" w:pos="204"/>
      </w:tabs>
    </w:pPr>
    <w:rPr>
      <w:szCs w:val="24"/>
    </w:rPr>
  </w:style>
  <w:style w:type="paragraph" w:customStyle="1" w:styleId="p6">
    <w:name w:val="p6"/>
    <w:basedOn w:val="Normal"/>
    <w:rsid w:val="00DF0470"/>
    <w:pPr>
      <w:widowControl w:val="0"/>
      <w:ind w:firstLine="742"/>
    </w:pPr>
    <w:rPr>
      <w:szCs w:val="24"/>
    </w:rPr>
  </w:style>
  <w:style w:type="paragraph" w:customStyle="1" w:styleId="p8">
    <w:name w:val="p8"/>
    <w:basedOn w:val="Normal"/>
    <w:rsid w:val="00DF0470"/>
    <w:pPr>
      <w:widowControl w:val="0"/>
      <w:tabs>
        <w:tab w:val="left" w:pos="204"/>
      </w:tabs>
    </w:pPr>
    <w:rPr>
      <w:szCs w:val="24"/>
    </w:rPr>
  </w:style>
  <w:style w:type="paragraph" w:customStyle="1" w:styleId="c9">
    <w:name w:val="c9"/>
    <w:basedOn w:val="Normal"/>
    <w:rsid w:val="00DF0470"/>
    <w:pPr>
      <w:widowControl w:val="0"/>
      <w:jc w:val="center"/>
    </w:pPr>
    <w:rPr>
      <w:szCs w:val="24"/>
    </w:rPr>
  </w:style>
  <w:style w:type="paragraph" w:customStyle="1" w:styleId="c10">
    <w:name w:val="c10"/>
    <w:basedOn w:val="Normal"/>
    <w:rsid w:val="00DF0470"/>
    <w:pPr>
      <w:widowControl w:val="0"/>
      <w:jc w:val="center"/>
    </w:pPr>
    <w:rPr>
      <w:szCs w:val="24"/>
    </w:rPr>
  </w:style>
  <w:style w:type="paragraph" w:customStyle="1" w:styleId="p13">
    <w:name w:val="p13"/>
    <w:basedOn w:val="Normal"/>
    <w:rsid w:val="00DF0470"/>
    <w:pPr>
      <w:widowControl w:val="0"/>
      <w:tabs>
        <w:tab w:val="left" w:pos="742"/>
        <w:tab w:val="left" w:pos="1451"/>
      </w:tabs>
      <w:ind w:left="742" w:firstLine="709"/>
    </w:pPr>
    <w:rPr>
      <w:szCs w:val="24"/>
    </w:rPr>
  </w:style>
  <w:style w:type="paragraph" w:customStyle="1" w:styleId="p14">
    <w:name w:val="p14"/>
    <w:basedOn w:val="Normal"/>
    <w:rsid w:val="00DF0470"/>
    <w:pPr>
      <w:widowControl w:val="0"/>
      <w:tabs>
        <w:tab w:val="left" w:pos="204"/>
      </w:tabs>
    </w:pPr>
    <w:rPr>
      <w:szCs w:val="24"/>
    </w:rPr>
  </w:style>
  <w:style w:type="paragraph" w:customStyle="1" w:styleId="p15">
    <w:name w:val="p15"/>
    <w:basedOn w:val="Normal"/>
    <w:rsid w:val="00DF0470"/>
    <w:pPr>
      <w:widowControl w:val="0"/>
      <w:tabs>
        <w:tab w:val="left" w:pos="204"/>
      </w:tabs>
    </w:pPr>
    <w:rPr>
      <w:szCs w:val="24"/>
    </w:rPr>
  </w:style>
  <w:style w:type="paragraph" w:customStyle="1" w:styleId="p17">
    <w:name w:val="p17"/>
    <w:basedOn w:val="Normal"/>
    <w:rsid w:val="00DF0470"/>
    <w:pPr>
      <w:widowControl w:val="0"/>
      <w:tabs>
        <w:tab w:val="left" w:pos="5057"/>
      </w:tabs>
      <w:ind w:left="3617"/>
    </w:pPr>
    <w:rPr>
      <w:szCs w:val="24"/>
    </w:rPr>
  </w:style>
  <w:style w:type="paragraph" w:customStyle="1" w:styleId="p18">
    <w:name w:val="p18"/>
    <w:basedOn w:val="Normal"/>
    <w:rsid w:val="00DF0470"/>
    <w:pPr>
      <w:widowControl w:val="0"/>
      <w:tabs>
        <w:tab w:val="left" w:pos="5062"/>
      </w:tabs>
      <w:ind w:left="3622"/>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basedOn w:val="DefaultParagraphFont"/>
    <w:link w:val="FootnoteText"/>
    <w:uiPriority w:val="99"/>
    <w:semiHidden/>
    <w:rsid w:val="007D66A5"/>
  </w:style>
  <w:style w:type="paragraph" w:styleId="ListParagraph">
    <w:name w:val="List Paragraph"/>
    <w:basedOn w:val="Normal"/>
    <w:uiPriority w:val="34"/>
    <w:qFormat/>
    <w:rsid w:val="00BB0920"/>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D758CD"/>
    <w:rPr>
      <w:sz w:val="20"/>
    </w:rPr>
  </w:style>
  <w:style w:type="character" w:customStyle="1" w:styleId="EndnoteTextChar">
    <w:name w:val="Endnote Text Char"/>
    <w:basedOn w:val="DefaultParagraphFont"/>
    <w:link w:val="EndnoteText"/>
    <w:rsid w:val="00D758CD"/>
  </w:style>
  <w:style w:type="character" w:styleId="EndnoteReference">
    <w:name w:val="endnote reference"/>
    <w:basedOn w:val="DefaultParagraphFont"/>
    <w:rsid w:val="00D758CD"/>
    <w:rPr>
      <w:vertAlign w:val="superscript"/>
    </w:rPr>
  </w:style>
  <w:style w:type="character" w:styleId="Hyperlink">
    <w:name w:val="Hyperlink"/>
    <w:basedOn w:val="DefaultParagraphFont"/>
    <w:uiPriority w:val="99"/>
    <w:unhideWhenUsed/>
    <w:rsid w:val="002A4069"/>
    <w:rPr>
      <w:color w:val="0000FF"/>
      <w:u w:val="single"/>
    </w:rPr>
  </w:style>
  <w:style w:type="character" w:styleId="CommentReference">
    <w:name w:val="annotation reference"/>
    <w:basedOn w:val="DefaultParagraphFont"/>
    <w:rsid w:val="002F451C"/>
    <w:rPr>
      <w:sz w:val="16"/>
      <w:szCs w:val="16"/>
    </w:rPr>
  </w:style>
  <w:style w:type="paragraph" w:styleId="CommentText">
    <w:name w:val="annotation text"/>
    <w:basedOn w:val="Normal"/>
    <w:link w:val="CommentTextChar"/>
    <w:rsid w:val="002F451C"/>
    <w:rPr>
      <w:sz w:val="20"/>
    </w:rPr>
  </w:style>
  <w:style w:type="character" w:customStyle="1" w:styleId="CommentTextChar">
    <w:name w:val="Comment Text Char"/>
    <w:basedOn w:val="DefaultParagraphFont"/>
    <w:link w:val="CommentText"/>
    <w:rsid w:val="002F451C"/>
  </w:style>
  <w:style w:type="paragraph" w:styleId="CommentSubject">
    <w:name w:val="annotation subject"/>
    <w:basedOn w:val="CommentText"/>
    <w:next w:val="CommentText"/>
    <w:link w:val="CommentSubjectChar"/>
    <w:rsid w:val="002F451C"/>
    <w:rPr>
      <w:b/>
      <w:bCs/>
    </w:rPr>
  </w:style>
  <w:style w:type="character" w:customStyle="1" w:styleId="CommentSubjectChar">
    <w:name w:val="Comment Subject Char"/>
    <w:basedOn w:val="CommentTextChar"/>
    <w:link w:val="CommentSubject"/>
    <w:rsid w:val="002F451C"/>
    <w:rPr>
      <w:b/>
      <w:bCs/>
    </w:rPr>
  </w:style>
  <w:style w:type="table" w:styleId="TableGrid">
    <w:name w:val="Table Grid"/>
    <w:basedOn w:val="TableNormal"/>
    <w:rsid w:val="005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1400">
      <w:bodyDiv w:val="1"/>
      <w:marLeft w:val="0"/>
      <w:marRight w:val="0"/>
      <w:marTop w:val="0"/>
      <w:marBottom w:val="0"/>
      <w:divBdr>
        <w:top w:val="none" w:sz="0" w:space="0" w:color="auto"/>
        <w:left w:val="none" w:sz="0" w:space="0" w:color="auto"/>
        <w:bottom w:val="none" w:sz="0" w:space="0" w:color="auto"/>
        <w:right w:val="none" w:sz="0" w:space="0" w:color="auto"/>
      </w:divBdr>
    </w:div>
    <w:div w:id="412437046">
      <w:bodyDiv w:val="1"/>
      <w:marLeft w:val="0"/>
      <w:marRight w:val="0"/>
      <w:marTop w:val="0"/>
      <w:marBottom w:val="0"/>
      <w:divBdr>
        <w:top w:val="none" w:sz="0" w:space="0" w:color="auto"/>
        <w:left w:val="none" w:sz="0" w:space="0" w:color="auto"/>
        <w:bottom w:val="none" w:sz="0" w:space="0" w:color="auto"/>
        <w:right w:val="none" w:sz="0" w:space="0" w:color="auto"/>
      </w:divBdr>
    </w:div>
    <w:div w:id="72129273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170020580">
      <w:bodyDiv w:val="1"/>
      <w:marLeft w:val="0"/>
      <w:marRight w:val="0"/>
      <w:marTop w:val="0"/>
      <w:marBottom w:val="0"/>
      <w:divBdr>
        <w:top w:val="none" w:sz="0" w:space="0" w:color="auto"/>
        <w:left w:val="none" w:sz="0" w:space="0" w:color="auto"/>
        <w:bottom w:val="none" w:sz="0" w:space="0" w:color="auto"/>
        <w:right w:val="none" w:sz="0" w:space="0" w:color="auto"/>
      </w:divBdr>
    </w:div>
    <w:div w:id="1496918424">
      <w:bodyDiv w:val="1"/>
      <w:marLeft w:val="0"/>
      <w:marRight w:val="0"/>
      <w:marTop w:val="0"/>
      <w:marBottom w:val="0"/>
      <w:divBdr>
        <w:top w:val="none" w:sz="0" w:space="0" w:color="auto"/>
        <w:left w:val="none" w:sz="0" w:space="0" w:color="auto"/>
        <w:bottom w:val="none" w:sz="0" w:space="0" w:color="auto"/>
        <w:right w:val="none" w:sz="0" w:space="0" w:color="auto"/>
      </w:divBdr>
    </w:div>
    <w:div w:id="15620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state.pa.us/telecom/FCC_Implementation_Orde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3DFF-84B6-4537-9E5E-6D02B563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21003</CharactersWithSpaces>
  <SharedDoc>false</SharedDoc>
  <HLinks>
    <vt:vector size="12" baseType="variant">
      <vt:variant>
        <vt:i4>1835032</vt:i4>
      </vt:variant>
      <vt:variant>
        <vt:i4>3</vt:i4>
      </vt:variant>
      <vt:variant>
        <vt:i4>0</vt:i4>
      </vt:variant>
      <vt:variant>
        <vt:i4>5</vt:i4>
      </vt:variant>
      <vt:variant>
        <vt:lpwstr>http://www.assurancewireless.com/Public/MorePrograms.aspx</vt:lpwstr>
      </vt:variant>
      <vt:variant>
        <vt:lpwstr/>
      </vt:variant>
      <vt:variant>
        <vt:i4>1704011</vt:i4>
      </vt:variant>
      <vt:variant>
        <vt:i4>0</vt:i4>
      </vt:variant>
      <vt:variant>
        <vt:i4>0</vt:i4>
      </vt:variant>
      <vt:variant>
        <vt:i4>5</vt:i4>
      </vt:variant>
      <vt:variant>
        <vt:lpwstr>http://www.assurancewireless.com/Public/TermsOfServiceRider.aspx</vt:lpwstr>
      </vt:variant>
      <vt:variant>
        <vt:lpwstr>tos6a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Miller, Sara</cp:lastModifiedBy>
  <cp:revision>3</cp:revision>
  <cp:lastPrinted>2012-05-10T14:49:00Z</cp:lastPrinted>
  <dcterms:created xsi:type="dcterms:W3CDTF">2012-05-10T13:41:00Z</dcterms:created>
  <dcterms:modified xsi:type="dcterms:W3CDTF">2012-05-10T14:50:00Z</dcterms:modified>
</cp:coreProperties>
</file>