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DF" w:rsidRPr="00077419" w:rsidRDefault="009078DF" w:rsidP="00092F4A">
      <w:pPr>
        <w:tabs>
          <w:tab w:val="center" w:pos="4680"/>
        </w:tabs>
        <w:suppressAutoHyphens/>
        <w:spacing w:line="240" w:lineRule="auto"/>
        <w:jc w:val="center"/>
        <w:rPr>
          <w:b/>
          <w:sz w:val="26"/>
          <w:szCs w:val="26"/>
        </w:rPr>
      </w:pPr>
      <w:r w:rsidRPr="00077419">
        <w:rPr>
          <w:b/>
          <w:sz w:val="26"/>
          <w:szCs w:val="26"/>
        </w:rPr>
        <w:t>PENNSYLVANIA</w:t>
      </w:r>
    </w:p>
    <w:p w:rsidR="009078DF" w:rsidRPr="00077419" w:rsidRDefault="009078DF" w:rsidP="00092F4A">
      <w:pPr>
        <w:tabs>
          <w:tab w:val="center" w:pos="4680"/>
        </w:tabs>
        <w:suppressAutoHyphens/>
        <w:spacing w:line="240" w:lineRule="auto"/>
        <w:jc w:val="center"/>
        <w:rPr>
          <w:sz w:val="26"/>
          <w:szCs w:val="26"/>
        </w:rPr>
      </w:pPr>
      <w:r w:rsidRPr="00077419">
        <w:rPr>
          <w:b/>
          <w:sz w:val="26"/>
          <w:szCs w:val="26"/>
        </w:rPr>
        <w:t>PUBLIC UTILITY COMMISSION</w:t>
      </w:r>
    </w:p>
    <w:p w:rsidR="009078DF" w:rsidRPr="00077419" w:rsidRDefault="009078DF" w:rsidP="00092F4A">
      <w:pPr>
        <w:tabs>
          <w:tab w:val="center" w:pos="4680"/>
        </w:tabs>
        <w:suppressAutoHyphens/>
        <w:spacing w:line="240" w:lineRule="auto"/>
        <w:jc w:val="center"/>
        <w:rPr>
          <w:sz w:val="26"/>
          <w:szCs w:val="26"/>
        </w:rPr>
      </w:pPr>
      <w:r w:rsidRPr="00077419">
        <w:rPr>
          <w:b/>
          <w:sz w:val="26"/>
          <w:szCs w:val="26"/>
        </w:rPr>
        <w:t>Harrisburg, PA 17105-3265</w:t>
      </w:r>
    </w:p>
    <w:p w:rsidR="009078DF" w:rsidRPr="00077419" w:rsidRDefault="009078DF" w:rsidP="00092F4A">
      <w:pPr>
        <w:tabs>
          <w:tab w:val="left" w:pos="-720"/>
        </w:tabs>
        <w:suppressAutoHyphens/>
        <w:spacing w:line="240" w:lineRule="auto"/>
        <w:rPr>
          <w:sz w:val="26"/>
          <w:szCs w:val="26"/>
        </w:rPr>
      </w:pPr>
    </w:p>
    <w:p w:rsidR="009078DF" w:rsidRPr="00077419" w:rsidRDefault="009078DF" w:rsidP="00092F4A">
      <w:pPr>
        <w:tabs>
          <w:tab w:val="left" w:pos="-720"/>
        </w:tabs>
        <w:suppressAutoHyphens/>
        <w:spacing w:line="240" w:lineRule="auto"/>
        <w:jc w:val="right"/>
        <w:rPr>
          <w:sz w:val="26"/>
          <w:szCs w:val="26"/>
        </w:rPr>
      </w:pPr>
      <w:r w:rsidRPr="00077419">
        <w:rPr>
          <w:sz w:val="26"/>
          <w:szCs w:val="26"/>
        </w:rPr>
        <w:t xml:space="preserve">Public Meeting held </w:t>
      </w:r>
      <w:r w:rsidR="00DF17E8">
        <w:rPr>
          <w:sz w:val="26"/>
          <w:szCs w:val="26"/>
        </w:rPr>
        <w:t>September 13, 2012</w:t>
      </w:r>
    </w:p>
    <w:p w:rsidR="009078DF" w:rsidRPr="00077419" w:rsidRDefault="009078DF" w:rsidP="00092F4A">
      <w:pPr>
        <w:tabs>
          <w:tab w:val="left" w:pos="-720"/>
        </w:tabs>
        <w:suppressAutoHyphens/>
        <w:spacing w:line="240" w:lineRule="auto"/>
        <w:rPr>
          <w:sz w:val="26"/>
          <w:szCs w:val="26"/>
        </w:rPr>
      </w:pPr>
    </w:p>
    <w:p w:rsidR="009078DF" w:rsidRPr="00077419" w:rsidRDefault="009078DF" w:rsidP="00092F4A">
      <w:pPr>
        <w:tabs>
          <w:tab w:val="left" w:pos="-720"/>
        </w:tabs>
        <w:suppressAutoHyphens/>
        <w:spacing w:line="240" w:lineRule="auto"/>
        <w:ind w:firstLine="0"/>
        <w:rPr>
          <w:sz w:val="26"/>
          <w:szCs w:val="26"/>
        </w:rPr>
      </w:pPr>
      <w:r w:rsidRPr="00077419">
        <w:rPr>
          <w:sz w:val="26"/>
          <w:szCs w:val="26"/>
        </w:rPr>
        <w:t>Commissioners Present:</w:t>
      </w:r>
    </w:p>
    <w:p w:rsidR="009078DF" w:rsidRPr="00077419" w:rsidRDefault="009078DF" w:rsidP="00092F4A">
      <w:pPr>
        <w:tabs>
          <w:tab w:val="left" w:pos="-720"/>
        </w:tabs>
        <w:suppressAutoHyphens/>
        <w:spacing w:line="240" w:lineRule="auto"/>
        <w:ind w:firstLine="0"/>
        <w:rPr>
          <w:sz w:val="26"/>
          <w:szCs w:val="26"/>
        </w:rPr>
      </w:pPr>
    </w:p>
    <w:p w:rsidR="00DF17E8" w:rsidRDefault="00DF17E8" w:rsidP="00DF17E8">
      <w:pPr>
        <w:spacing w:line="240" w:lineRule="auto"/>
        <w:ind w:firstLine="547"/>
        <w:rPr>
          <w:rFonts w:ascii="Times New (W1)" w:hAnsi="Times New (W1)"/>
          <w:sz w:val="26"/>
          <w:szCs w:val="20"/>
        </w:rPr>
      </w:pPr>
      <w:r w:rsidRPr="00DF17E8">
        <w:rPr>
          <w:rFonts w:ascii="Times New (W1)" w:hAnsi="Times New (W1)"/>
          <w:sz w:val="26"/>
          <w:szCs w:val="20"/>
        </w:rPr>
        <w:t>Robert F. Powelson, Chairman</w:t>
      </w:r>
    </w:p>
    <w:p w:rsidR="00DF17E8" w:rsidRPr="00DF17E8" w:rsidRDefault="00DF17E8" w:rsidP="00DF17E8">
      <w:pPr>
        <w:spacing w:line="240" w:lineRule="auto"/>
        <w:ind w:firstLine="547"/>
        <w:rPr>
          <w:rFonts w:ascii="Times New (W1)" w:hAnsi="Times New (W1)"/>
          <w:sz w:val="26"/>
          <w:szCs w:val="20"/>
        </w:rPr>
      </w:pPr>
      <w:r w:rsidRPr="00DF17E8">
        <w:rPr>
          <w:rFonts w:ascii="Times New (W1)" w:hAnsi="Times New (W1)"/>
          <w:sz w:val="26"/>
          <w:szCs w:val="20"/>
        </w:rPr>
        <w:t>John F. Coleman, Jr., Vice Chairman</w:t>
      </w:r>
    </w:p>
    <w:p w:rsidR="00DF17E8" w:rsidRPr="00DF17E8" w:rsidRDefault="00DF17E8" w:rsidP="00DF17E8">
      <w:pPr>
        <w:spacing w:line="240" w:lineRule="auto"/>
        <w:ind w:firstLine="547"/>
        <w:rPr>
          <w:rFonts w:ascii="Times New (W1)" w:hAnsi="Times New (W1)"/>
          <w:sz w:val="26"/>
          <w:szCs w:val="20"/>
        </w:rPr>
      </w:pPr>
      <w:r w:rsidRPr="00DF17E8">
        <w:rPr>
          <w:rFonts w:ascii="Times New (W1)" w:hAnsi="Times New (W1)"/>
          <w:sz w:val="26"/>
          <w:szCs w:val="20"/>
        </w:rPr>
        <w:t>Wayne E. Gardner</w:t>
      </w:r>
    </w:p>
    <w:p w:rsidR="00DF17E8" w:rsidRPr="00DF17E8" w:rsidRDefault="00DF17E8" w:rsidP="00DF17E8">
      <w:pPr>
        <w:spacing w:line="240" w:lineRule="auto"/>
        <w:ind w:firstLine="547"/>
        <w:rPr>
          <w:rFonts w:ascii="Times New (W1)" w:hAnsi="Times New (W1)"/>
          <w:sz w:val="26"/>
          <w:szCs w:val="20"/>
        </w:rPr>
      </w:pPr>
      <w:r w:rsidRPr="00DF17E8">
        <w:rPr>
          <w:rFonts w:ascii="Times New (W1)" w:hAnsi="Times New (W1)"/>
          <w:sz w:val="26"/>
          <w:szCs w:val="20"/>
        </w:rPr>
        <w:t>James H. Cawley</w:t>
      </w:r>
    </w:p>
    <w:p w:rsidR="00DF17E8" w:rsidRPr="00DF17E8" w:rsidRDefault="00DF17E8" w:rsidP="00DF17E8">
      <w:pPr>
        <w:spacing w:line="240" w:lineRule="auto"/>
        <w:ind w:firstLine="547"/>
        <w:rPr>
          <w:rFonts w:ascii="Times New (W1)" w:hAnsi="Times New (W1)"/>
          <w:sz w:val="26"/>
          <w:szCs w:val="20"/>
        </w:rPr>
      </w:pPr>
      <w:r w:rsidRPr="00DF17E8">
        <w:rPr>
          <w:rFonts w:ascii="Times New (W1)" w:hAnsi="Times New (W1)"/>
          <w:sz w:val="26"/>
          <w:szCs w:val="20"/>
        </w:rPr>
        <w:t>Pamela A. Witmer</w:t>
      </w:r>
    </w:p>
    <w:p w:rsidR="009078DF" w:rsidRPr="00077419" w:rsidRDefault="009078DF" w:rsidP="00092F4A">
      <w:pPr>
        <w:tabs>
          <w:tab w:val="left" w:pos="-720"/>
          <w:tab w:val="left" w:pos="0"/>
        </w:tabs>
        <w:suppressAutoHyphens/>
        <w:spacing w:line="240" w:lineRule="auto"/>
        <w:ind w:firstLine="0"/>
        <w:rPr>
          <w:sz w:val="26"/>
          <w:szCs w:val="26"/>
        </w:rPr>
      </w:pPr>
    </w:p>
    <w:p w:rsidR="009078DF" w:rsidRDefault="00DF17E8" w:rsidP="00092F4A">
      <w:pPr>
        <w:spacing w:line="240" w:lineRule="auto"/>
        <w:ind w:firstLine="0"/>
        <w:rPr>
          <w:sz w:val="26"/>
        </w:rPr>
      </w:pPr>
      <w:r>
        <w:rPr>
          <w:sz w:val="26"/>
        </w:rPr>
        <w:t xml:space="preserve">Application of NRG Energy Center Harrisburg </w:t>
      </w:r>
      <w:r w:rsidR="006F283E">
        <w:rPr>
          <w:sz w:val="26"/>
        </w:rPr>
        <w:tab/>
      </w:r>
      <w:r w:rsidR="006F283E">
        <w:rPr>
          <w:sz w:val="26"/>
        </w:rPr>
        <w:tab/>
      </w:r>
      <w:r w:rsidR="006F283E">
        <w:rPr>
          <w:sz w:val="26"/>
        </w:rPr>
        <w:tab/>
      </w:r>
      <w:r w:rsidR="006F283E">
        <w:rPr>
          <w:sz w:val="26"/>
        </w:rPr>
        <w:tab/>
        <w:t xml:space="preserve">     </w:t>
      </w:r>
      <w:r w:rsidR="006F283E" w:rsidRPr="006F283E">
        <w:rPr>
          <w:sz w:val="26"/>
        </w:rPr>
        <w:t>A-2011-2239521</w:t>
      </w:r>
    </w:p>
    <w:p w:rsidR="00DF17E8" w:rsidRDefault="00DF17E8" w:rsidP="00092F4A">
      <w:pPr>
        <w:spacing w:line="240" w:lineRule="auto"/>
        <w:ind w:firstLine="0"/>
        <w:rPr>
          <w:sz w:val="26"/>
        </w:rPr>
      </w:pPr>
      <w:r>
        <w:rPr>
          <w:sz w:val="26"/>
        </w:rPr>
        <w:t>LLC for approval to abandon steam service on</w:t>
      </w:r>
    </w:p>
    <w:p w:rsidR="00DF17E8" w:rsidRDefault="00DF17E8" w:rsidP="00092F4A">
      <w:pPr>
        <w:spacing w:line="240" w:lineRule="auto"/>
        <w:ind w:firstLine="0"/>
        <w:rPr>
          <w:sz w:val="26"/>
        </w:rPr>
      </w:pPr>
      <w:r>
        <w:rPr>
          <w:sz w:val="26"/>
        </w:rPr>
        <w:t>the following seven segments of its low pressure</w:t>
      </w:r>
    </w:p>
    <w:p w:rsidR="00DF17E8" w:rsidRDefault="00DF17E8" w:rsidP="00092F4A">
      <w:pPr>
        <w:spacing w:line="240" w:lineRule="auto"/>
        <w:ind w:firstLine="0"/>
        <w:rPr>
          <w:sz w:val="26"/>
        </w:rPr>
      </w:pPr>
      <w:r>
        <w:rPr>
          <w:sz w:val="26"/>
        </w:rPr>
        <w:t>steam system in the City of Harrisburg, Dauphin</w:t>
      </w:r>
    </w:p>
    <w:p w:rsidR="00DF17E8" w:rsidRDefault="00DF17E8" w:rsidP="00092F4A">
      <w:pPr>
        <w:spacing w:line="240" w:lineRule="auto"/>
        <w:ind w:firstLine="0"/>
        <w:rPr>
          <w:sz w:val="26"/>
        </w:rPr>
      </w:pPr>
      <w:r>
        <w:rPr>
          <w:sz w:val="26"/>
        </w:rPr>
        <w:t xml:space="preserve">County, PA:  a) North Third Street between </w:t>
      </w:r>
    </w:p>
    <w:p w:rsidR="00DF17E8" w:rsidRDefault="00DF17E8" w:rsidP="00092F4A">
      <w:pPr>
        <w:spacing w:line="240" w:lineRule="auto"/>
        <w:ind w:firstLine="0"/>
        <w:rPr>
          <w:sz w:val="26"/>
        </w:rPr>
      </w:pPr>
      <w:r>
        <w:rPr>
          <w:sz w:val="26"/>
        </w:rPr>
        <w:t>Forster and Reily Streets; b) Green Street</w:t>
      </w:r>
    </w:p>
    <w:p w:rsidR="00DF17E8" w:rsidRDefault="00DF17E8" w:rsidP="00092F4A">
      <w:pPr>
        <w:spacing w:line="240" w:lineRule="auto"/>
        <w:ind w:firstLine="0"/>
        <w:rPr>
          <w:sz w:val="26"/>
        </w:rPr>
      </w:pPr>
      <w:r>
        <w:rPr>
          <w:sz w:val="26"/>
        </w:rPr>
        <w:t xml:space="preserve">between North and Forster; </w:t>
      </w:r>
      <w:r w:rsidR="006F283E">
        <w:rPr>
          <w:sz w:val="26"/>
        </w:rPr>
        <w:t>c) Locust</w:t>
      </w:r>
    </w:p>
    <w:p w:rsidR="00DF17E8" w:rsidRDefault="00DF17E8" w:rsidP="00092F4A">
      <w:pPr>
        <w:spacing w:line="240" w:lineRule="auto"/>
        <w:ind w:firstLine="0"/>
        <w:rPr>
          <w:sz w:val="26"/>
        </w:rPr>
      </w:pPr>
      <w:r>
        <w:rPr>
          <w:sz w:val="26"/>
        </w:rPr>
        <w:t>Street between North Second and Court Streets;</w:t>
      </w:r>
    </w:p>
    <w:p w:rsidR="00DF17E8" w:rsidRDefault="00DF17E8" w:rsidP="00092F4A">
      <w:pPr>
        <w:spacing w:line="240" w:lineRule="auto"/>
        <w:ind w:firstLine="0"/>
        <w:rPr>
          <w:sz w:val="26"/>
        </w:rPr>
      </w:pPr>
      <w:r>
        <w:rPr>
          <w:sz w:val="26"/>
        </w:rPr>
        <w:t xml:space="preserve">d) North Second Street between North and Herr </w:t>
      </w:r>
    </w:p>
    <w:p w:rsidR="00DF17E8" w:rsidRDefault="00DF17E8" w:rsidP="00092F4A">
      <w:pPr>
        <w:spacing w:line="240" w:lineRule="auto"/>
        <w:ind w:firstLine="0"/>
        <w:rPr>
          <w:sz w:val="26"/>
        </w:rPr>
      </w:pPr>
      <w:r>
        <w:rPr>
          <w:sz w:val="26"/>
        </w:rPr>
        <w:t>Streets; e) Forster Street between North Second</w:t>
      </w:r>
    </w:p>
    <w:p w:rsidR="00DF17E8" w:rsidRDefault="00F100A8" w:rsidP="00092F4A">
      <w:pPr>
        <w:spacing w:line="240" w:lineRule="auto"/>
        <w:ind w:firstLine="0"/>
        <w:rPr>
          <w:sz w:val="26"/>
        </w:rPr>
      </w:pPr>
      <w:r>
        <w:rPr>
          <w:sz w:val="26"/>
        </w:rPr>
        <w:t>a</w:t>
      </w:r>
      <w:r w:rsidR="00DF17E8">
        <w:rPr>
          <w:sz w:val="26"/>
        </w:rPr>
        <w:t>nd Bartine Streets; f) Bartine Street between</w:t>
      </w:r>
    </w:p>
    <w:p w:rsidR="00DF17E8" w:rsidRDefault="00DF17E8" w:rsidP="00092F4A">
      <w:pPr>
        <w:spacing w:line="240" w:lineRule="auto"/>
        <w:ind w:firstLine="0"/>
        <w:rPr>
          <w:sz w:val="26"/>
        </w:rPr>
      </w:pPr>
      <w:r>
        <w:rPr>
          <w:sz w:val="26"/>
        </w:rPr>
        <w:t>Briggs and Union Streets; and g) Briggs Street</w:t>
      </w:r>
    </w:p>
    <w:p w:rsidR="00DF17E8" w:rsidRDefault="00DF17E8" w:rsidP="00092F4A">
      <w:pPr>
        <w:spacing w:line="240" w:lineRule="auto"/>
        <w:ind w:firstLine="0"/>
        <w:rPr>
          <w:sz w:val="26"/>
        </w:rPr>
      </w:pPr>
      <w:r>
        <w:rPr>
          <w:sz w:val="26"/>
        </w:rPr>
        <w:t>Between North Second and Green Streets.</w:t>
      </w:r>
    </w:p>
    <w:p w:rsidR="00DF17E8" w:rsidRPr="00077419" w:rsidRDefault="00DF17E8" w:rsidP="00092F4A">
      <w:pPr>
        <w:spacing w:line="240" w:lineRule="auto"/>
        <w:ind w:firstLine="0"/>
        <w:rPr>
          <w:sz w:val="26"/>
        </w:rPr>
      </w:pPr>
    </w:p>
    <w:p w:rsidR="009078DF" w:rsidRPr="00077419" w:rsidRDefault="00DF17E8" w:rsidP="00092F4A">
      <w:pPr>
        <w:spacing w:line="240" w:lineRule="auto"/>
        <w:ind w:firstLine="0"/>
        <w:rPr>
          <w:sz w:val="26"/>
        </w:rPr>
      </w:pPr>
      <w:r>
        <w:rPr>
          <w:sz w:val="26"/>
        </w:rPr>
        <w:t xml:space="preserve">Ira and Sheila Weinstock </w:t>
      </w:r>
      <w:r>
        <w:rPr>
          <w:sz w:val="26"/>
        </w:rPr>
        <w:tab/>
      </w:r>
      <w:r>
        <w:rPr>
          <w:sz w:val="26"/>
        </w:rPr>
        <w:tab/>
      </w:r>
      <w:r w:rsidR="009078DF" w:rsidRPr="00077419">
        <w:rPr>
          <w:sz w:val="26"/>
        </w:rPr>
        <w:tab/>
      </w:r>
      <w:r w:rsidR="009078DF" w:rsidRPr="00077419">
        <w:rPr>
          <w:sz w:val="26"/>
        </w:rPr>
        <w:tab/>
      </w:r>
      <w:r w:rsidR="009078DF" w:rsidRPr="00077419">
        <w:rPr>
          <w:sz w:val="26"/>
        </w:rPr>
        <w:tab/>
      </w:r>
      <w:r w:rsidR="009078DF" w:rsidRPr="00077419">
        <w:rPr>
          <w:sz w:val="26"/>
        </w:rPr>
        <w:tab/>
      </w:r>
      <w:r w:rsidR="009078DF" w:rsidRPr="00077419">
        <w:rPr>
          <w:sz w:val="26"/>
        </w:rPr>
        <w:tab/>
        <w:t xml:space="preserve">     C-20</w:t>
      </w:r>
      <w:r w:rsidR="00DF2EE9" w:rsidRPr="00077419">
        <w:rPr>
          <w:sz w:val="26"/>
        </w:rPr>
        <w:t>1</w:t>
      </w:r>
      <w:r>
        <w:rPr>
          <w:sz w:val="26"/>
        </w:rPr>
        <w:t>1</w:t>
      </w:r>
      <w:r w:rsidR="0026237F" w:rsidRPr="00077419">
        <w:rPr>
          <w:sz w:val="26"/>
        </w:rPr>
        <w:t>-2</w:t>
      </w:r>
      <w:r>
        <w:rPr>
          <w:sz w:val="26"/>
        </w:rPr>
        <w:t>245834</w:t>
      </w:r>
    </w:p>
    <w:p w:rsidR="009078DF" w:rsidRPr="00077419" w:rsidRDefault="009078DF" w:rsidP="00092F4A">
      <w:pPr>
        <w:tabs>
          <w:tab w:val="left" w:pos="-720"/>
          <w:tab w:val="left" w:pos="0"/>
        </w:tabs>
        <w:suppressAutoHyphens/>
        <w:spacing w:line="240" w:lineRule="auto"/>
        <w:ind w:firstLine="0"/>
        <w:rPr>
          <w:sz w:val="26"/>
          <w:szCs w:val="26"/>
        </w:rPr>
      </w:pPr>
    </w:p>
    <w:p w:rsidR="009078DF" w:rsidRPr="00077419" w:rsidRDefault="009078DF" w:rsidP="00092F4A">
      <w:pPr>
        <w:tabs>
          <w:tab w:val="left" w:pos="-720"/>
          <w:tab w:val="left" w:pos="0"/>
        </w:tabs>
        <w:suppressAutoHyphens/>
        <w:spacing w:line="240" w:lineRule="auto"/>
        <w:ind w:firstLine="0"/>
        <w:rPr>
          <w:sz w:val="26"/>
          <w:szCs w:val="26"/>
        </w:rPr>
      </w:pPr>
      <w:r w:rsidRPr="00077419">
        <w:rPr>
          <w:sz w:val="26"/>
          <w:szCs w:val="26"/>
        </w:rPr>
        <w:tab/>
      </w:r>
      <w:r w:rsidRPr="00077419">
        <w:rPr>
          <w:sz w:val="26"/>
          <w:szCs w:val="26"/>
        </w:rPr>
        <w:tab/>
        <w:t>v.</w:t>
      </w:r>
    </w:p>
    <w:p w:rsidR="009078DF" w:rsidRPr="00077419" w:rsidRDefault="009078DF" w:rsidP="00092F4A">
      <w:pPr>
        <w:tabs>
          <w:tab w:val="left" w:pos="-720"/>
          <w:tab w:val="left" w:pos="0"/>
        </w:tabs>
        <w:suppressAutoHyphens/>
        <w:spacing w:line="240" w:lineRule="auto"/>
        <w:ind w:firstLine="0"/>
        <w:rPr>
          <w:sz w:val="26"/>
          <w:szCs w:val="26"/>
        </w:rPr>
      </w:pPr>
    </w:p>
    <w:p w:rsidR="0026237F" w:rsidRDefault="00DF17E8" w:rsidP="00092F4A">
      <w:pPr>
        <w:tabs>
          <w:tab w:val="left" w:pos="-720"/>
          <w:tab w:val="left" w:pos="0"/>
        </w:tabs>
        <w:suppressAutoHyphens/>
        <w:spacing w:line="240" w:lineRule="auto"/>
        <w:ind w:firstLine="0"/>
        <w:rPr>
          <w:sz w:val="26"/>
          <w:szCs w:val="26"/>
        </w:rPr>
      </w:pPr>
      <w:r>
        <w:rPr>
          <w:sz w:val="26"/>
          <w:szCs w:val="26"/>
        </w:rPr>
        <w:t>NR</w:t>
      </w:r>
      <w:r w:rsidR="00DF2EE9" w:rsidRPr="00077419">
        <w:rPr>
          <w:sz w:val="26"/>
          <w:szCs w:val="26"/>
        </w:rPr>
        <w:t>G</w:t>
      </w:r>
      <w:r>
        <w:rPr>
          <w:sz w:val="26"/>
          <w:szCs w:val="26"/>
        </w:rPr>
        <w:t xml:space="preserve"> Energy Center Harrisburg, LLC</w:t>
      </w:r>
    </w:p>
    <w:p w:rsidR="009078DF" w:rsidRPr="00077419" w:rsidRDefault="009078DF" w:rsidP="00092F4A">
      <w:pPr>
        <w:spacing w:line="240" w:lineRule="auto"/>
        <w:ind w:firstLine="0"/>
        <w:rPr>
          <w:sz w:val="26"/>
          <w:szCs w:val="26"/>
        </w:rPr>
      </w:pPr>
    </w:p>
    <w:p w:rsidR="000A4EA4" w:rsidRDefault="000A4EA4" w:rsidP="00092F4A">
      <w:pPr>
        <w:tabs>
          <w:tab w:val="center" w:pos="4680"/>
        </w:tabs>
        <w:suppressAutoHyphens/>
        <w:spacing w:line="240" w:lineRule="auto"/>
        <w:jc w:val="center"/>
        <w:rPr>
          <w:b/>
          <w:sz w:val="26"/>
        </w:rPr>
      </w:pPr>
    </w:p>
    <w:p w:rsidR="009078DF" w:rsidRDefault="009078DF" w:rsidP="006F283E">
      <w:pPr>
        <w:tabs>
          <w:tab w:val="center" w:pos="4680"/>
        </w:tabs>
        <w:suppressAutoHyphens/>
        <w:spacing w:line="240" w:lineRule="auto"/>
        <w:ind w:firstLine="0"/>
        <w:jc w:val="center"/>
        <w:rPr>
          <w:b/>
          <w:sz w:val="26"/>
        </w:rPr>
      </w:pPr>
      <w:r w:rsidRPr="00077419">
        <w:rPr>
          <w:b/>
          <w:sz w:val="26"/>
        </w:rPr>
        <w:t>OPINION AND ORDER</w:t>
      </w:r>
    </w:p>
    <w:p w:rsidR="008A1D71" w:rsidRPr="00077419" w:rsidRDefault="008A1D71" w:rsidP="00092F4A">
      <w:pPr>
        <w:tabs>
          <w:tab w:val="center" w:pos="4680"/>
        </w:tabs>
        <w:suppressAutoHyphens/>
        <w:spacing w:line="240" w:lineRule="auto"/>
        <w:jc w:val="center"/>
        <w:rPr>
          <w:b/>
          <w:sz w:val="26"/>
        </w:rPr>
      </w:pPr>
    </w:p>
    <w:p w:rsidR="009078DF" w:rsidRDefault="009078DF" w:rsidP="00092F4A">
      <w:pPr>
        <w:tabs>
          <w:tab w:val="left" w:pos="-720"/>
        </w:tabs>
        <w:suppressAutoHyphens/>
        <w:ind w:firstLine="0"/>
        <w:rPr>
          <w:b/>
          <w:sz w:val="26"/>
        </w:rPr>
      </w:pPr>
      <w:r w:rsidRPr="00077419">
        <w:rPr>
          <w:b/>
          <w:sz w:val="26"/>
        </w:rPr>
        <w:t>BY THE COMMISSION:</w:t>
      </w:r>
    </w:p>
    <w:p w:rsidR="00DF17E8" w:rsidRPr="00077419" w:rsidRDefault="00DF17E8" w:rsidP="00092F4A">
      <w:pPr>
        <w:tabs>
          <w:tab w:val="left" w:pos="-720"/>
        </w:tabs>
        <w:suppressAutoHyphens/>
        <w:ind w:firstLine="0"/>
        <w:rPr>
          <w:sz w:val="26"/>
        </w:rPr>
      </w:pPr>
    </w:p>
    <w:p w:rsidR="00D91268" w:rsidRPr="00D91268" w:rsidRDefault="00DF17E8" w:rsidP="00D91268">
      <w:pPr>
        <w:tabs>
          <w:tab w:val="left" w:pos="-720"/>
        </w:tabs>
        <w:suppressAutoHyphens/>
        <w:rPr>
          <w:sz w:val="26"/>
          <w:szCs w:val="20"/>
        </w:rPr>
      </w:pPr>
      <w:r w:rsidRPr="00DF17E8">
        <w:rPr>
          <w:sz w:val="26"/>
          <w:szCs w:val="20"/>
        </w:rPr>
        <w:t xml:space="preserve">Before the Pennsylvania Public Utility Commission (Commission) for consideration and disposition is </w:t>
      </w:r>
      <w:r w:rsidR="00B92F1B" w:rsidRPr="00B92F1B">
        <w:rPr>
          <w:sz w:val="26"/>
          <w:szCs w:val="20"/>
        </w:rPr>
        <w:t xml:space="preserve">the Recommended Decision of Administrative Law </w:t>
      </w:r>
      <w:r w:rsidR="00B92F1B" w:rsidRPr="00B92F1B">
        <w:rPr>
          <w:sz w:val="26"/>
          <w:szCs w:val="20"/>
        </w:rPr>
        <w:lastRenderedPageBreak/>
        <w:t xml:space="preserve">Judge (ALJ) </w:t>
      </w:r>
      <w:r w:rsidR="00B92F1B">
        <w:rPr>
          <w:sz w:val="26"/>
          <w:szCs w:val="20"/>
        </w:rPr>
        <w:t>Dennis J. Buckley</w:t>
      </w:r>
      <w:r w:rsidR="00B92F1B" w:rsidRPr="00B92F1B">
        <w:rPr>
          <w:sz w:val="26"/>
          <w:szCs w:val="20"/>
        </w:rPr>
        <w:t xml:space="preserve">, issued on </w:t>
      </w:r>
      <w:r w:rsidR="00B92F1B">
        <w:rPr>
          <w:sz w:val="26"/>
          <w:szCs w:val="20"/>
        </w:rPr>
        <w:t>August 21</w:t>
      </w:r>
      <w:r w:rsidR="00B92F1B" w:rsidRPr="00B92F1B">
        <w:rPr>
          <w:sz w:val="26"/>
          <w:szCs w:val="20"/>
        </w:rPr>
        <w:t>, 201</w:t>
      </w:r>
      <w:r w:rsidR="00B92F1B">
        <w:rPr>
          <w:sz w:val="26"/>
          <w:szCs w:val="20"/>
        </w:rPr>
        <w:t>2</w:t>
      </w:r>
      <w:r w:rsidR="00B92F1B" w:rsidRPr="00B92F1B">
        <w:rPr>
          <w:sz w:val="26"/>
          <w:szCs w:val="20"/>
        </w:rPr>
        <w:t xml:space="preserve">.  The ALJ recommended, </w:t>
      </w:r>
      <w:r w:rsidR="00B92F1B" w:rsidRPr="00B92F1B">
        <w:rPr>
          <w:i/>
          <w:sz w:val="26"/>
          <w:szCs w:val="20"/>
        </w:rPr>
        <w:t>inter alia</w:t>
      </w:r>
      <w:r w:rsidR="00B92F1B" w:rsidRPr="00B92F1B">
        <w:rPr>
          <w:sz w:val="26"/>
          <w:szCs w:val="20"/>
        </w:rPr>
        <w:t xml:space="preserve">, the approval of the </w:t>
      </w:r>
      <w:r w:rsidR="00B92F1B">
        <w:rPr>
          <w:sz w:val="26"/>
          <w:szCs w:val="20"/>
        </w:rPr>
        <w:t>Joint Petition for</w:t>
      </w:r>
      <w:r w:rsidR="00B92F1B" w:rsidRPr="00B92F1B">
        <w:rPr>
          <w:sz w:val="26"/>
          <w:szCs w:val="20"/>
        </w:rPr>
        <w:t xml:space="preserve"> Settlement</w:t>
      </w:r>
      <w:r w:rsidR="0065093F">
        <w:rPr>
          <w:sz w:val="26"/>
          <w:szCs w:val="20"/>
        </w:rPr>
        <w:t xml:space="preserve"> (</w:t>
      </w:r>
      <w:r w:rsidR="00DC6E1E">
        <w:rPr>
          <w:sz w:val="26"/>
          <w:szCs w:val="20"/>
        </w:rPr>
        <w:t xml:space="preserve">General </w:t>
      </w:r>
      <w:r w:rsidR="0065093F">
        <w:rPr>
          <w:sz w:val="26"/>
          <w:szCs w:val="20"/>
        </w:rPr>
        <w:t>Settlement)</w:t>
      </w:r>
      <w:r w:rsidR="00D51B9F">
        <w:rPr>
          <w:sz w:val="26"/>
          <w:szCs w:val="20"/>
        </w:rPr>
        <w:t xml:space="preserve"> and</w:t>
      </w:r>
      <w:r w:rsidR="001F6AFB">
        <w:rPr>
          <w:sz w:val="26"/>
          <w:szCs w:val="20"/>
        </w:rPr>
        <w:t xml:space="preserve"> four</w:t>
      </w:r>
      <w:r w:rsidR="00D51B9F">
        <w:rPr>
          <w:sz w:val="26"/>
          <w:szCs w:val="20"/>
        </w:rPr>
        <w:t xml:space="preserve"> separate Individual Settlements</w:t>
      </w:r>
      <w:r w:rsidR="00B92F1B">
        <w:rPr>
          <w:sz w:val="26"/>
          <w:szCs w:val="20"/>
        </w:rPr>
        <w:t>.</w:t>
      </w:r>
      <w:r w:rsidR="0065093F">
        <w:rPr>
          <w:sz w:val="26"/>
          <w:szCs w:val="20"/>
        </w:rPr>
        <w:t xml:space="preserve">  The ALJ and the Parties submit that the proposed </w:t>
      </w:r>
      <w:r w:rsidR="00DC6E1E">
        <w:rPr>
          <w:sz w:val="26"/>
          <w:szCs w:val="20"/>
        </w:rPr>
        <w:t xml:space="preserve">General </w:t>
      </w:r>
      <w:r w:rsidR="0065093F">
        <w:rPr>
          <w:sz w:val="26"/>
          <w:szCs w:val="20"/>
        </w:rPr>
        <w:t>Settlement</w:t>
      </w:r>
      <w:r w:rsidR="00D51B9F">
        <w:rPr>
          <w:sz w:val="26"/>
          <w:szCs w:val="20"/>
        </w:rPr>
        <w:t xml:space="preserve"> and Individual Settlements are</w:t>
      </w:r>
      <w:r w:rsidR="0065093F">
        <w:rPr>
          <w:sz w:val="26"/>
          <w:szCs w:val="20"/>
        </w:rPr>
        <w:t xml:space="preserve"> in the public interest.</w:t>
      </w:r>
      <w:r w:rsidR="00D91268">
        <w:rPr>
          <w:sz w:val="26"/>
          <w:szCs w:val="20"/>
        </w:rPr>
        <w:t xml:space="preserve">  </w:t>
      </w:r>
      <w:r w:rsidR="00D91268">
        <w:rPr>
          <w:sz w:val="26"/>
          <w:szCs w:val="26"/>
        </w:rPr>
        <w:t xml:space="preserve">For the reasons stated below, we will approve the terms of </w:t>
      </w:r>
      <w:r w:rsidR="00D51B9F">
        <w:rPr>
          <w:sz w:val="26"/>
          <w:szCs w:val="26"/>
        </w:rPr>
        <w:t xml:space="preserve">all </w:t>
      </w:r>
      <w:r w:rsidR="00D91268">
        <w:rPr>
          <w:sz w:val="26"/>
          <w:szCs w:val="26"/>
        </w:rPr>
        <w:t>the Settlement</w:t>
      </w:r>
      <w:r w:rsidR="00D51B9F">
        <w:rPr>
          <w:sz w:val="26"/>
          <w:szCs w:val="26"/>
        </w:rPr>
        <w:t>s</w:t>
      </w:r>
      <w:r w:rsidR="00D91268">
        <w:rPr>
          <w:sz w:val="26"/>
          <w:szCs w:val="26"/>
        </w:rPr>
        <w:t>, adopt the Recommended Decision</w:t>
      </w:r>
      <w:r w:rsidR="0031042D">
        <w:rPr>
          <w:sz w:val="26"/>
          <w:szCs w:val="26"/>
        </w:rPr>
        <w:t xml:space="preserve">, and </w:t>
      </w:r>
      <w:r w:rsidR="00D91268">
        <w:rPr>
          <w:sz w:val="26"/>
          <w:szCs w:val="26"/>
        </w:rPr>
        <w:t xml:space="preserve">modify the </w:t>
      </w:r>
      <w:r w:rsidR="0031042D">
        <w:rPr>
          <w:sz w:val="26"/>
          <w:szCs w:val="26"/>
        </w:rPr>
        <w:t>Order</w:t>
      </w:r>
      <w:r w:rsidR="001B46A0">
        <w:rPr>
          <w:sz w:val="26"/>
          <w:szCs w:val="26"/>
        </w:rPr>
        <w:t xml:space="preserve"> to include an ordering paragraph requiring that notice of compliance be filed.</w:t>
      </w:r>
    </w:p>
    <w:p w:rsidR="00DF17E8" w:rsidRPr="00DF17E8" w:rsidRDefault="00DF17E8" w:rsidP="00DF17E8">
      <w:pPr>
        <w:tabs>
          <w:tab w:val="left" w:pos="-720"/>
        </w:tabs>
        <w:suppressAutoHyphens/>
        <w:rPr>
          <w:sz w:val="26"/>
          <w:szCs w:val="20"/>
        </w:rPr>
      </w:pPr>
    </w:p>
    <w:p w:rsidR="009078DF" w:rsidRPr="006F283E" w:rsidRDefault="009078DF" w:rsidP="00092F4A">
      <w:pPr>
        <w:ind w:firstLine="0"/>
        <w:jc w:val="center"/>
        <w:rPr>
          <w:b/>
          <w:sz w:val="26"/>
          <w:szCs w:val="26"/>
        </w:rPr>
      </w:pPr>
      <w:r w:rsidRPr="006F283E">
        <w:rPr>
          <w:b/>
          <w:sz w:val="26"/>
          <w:szCs w:val="26"/>
        </w:rPr>
        <w:t>History of the Proceeding</w:t>
      </w:r>
    </w:p>
    <w:p w:rsidR="006C486B" w:rsidRPr="00077419" w:rsidRDefault="006C486B" w:rsidP="00092F4A">
      <w:pPr>
        <w:jc w:val="center"/>
        <w:rPr>
          <w:b/>
          <w:sz w:val="26"/>
          <w:szCs w:val="26"/>
          <w:u w:val="single"/>
        </w:rPr>
      </w:pPr>
    </w:p>
    <w:p w:rsidR="0065093F" w:rsidRPr="0065093F" w:rsidRDefault="0065093F" w:rsidP="0065093F">
      <w:pPr>
        <w:autoSpaceDE w:val="0"/>
        <w:autoSpaceDN w:val="0"/>
        <w:ind w:firstLine="0"/>
        <w:rPr>
          <w:sz w:val="26"/>
        </w:rPr>
      </w:pPr>
      <w:r>
        <w:rPr>
          <w:sz w:val="26"/>
        </w:rPr>
        <w:tab/>
      </w:r>
      <w:r>
        <w:rPr>
          <w:sz w:val="26"/>
        </w:rPr>
        <w:tab/>
      </w:r>
      <w:r w:rsidRPr="0065093F">
        <w:rPr>
          <w:sz w:val="26"/>
        </w:rPr>
        <w:t>On April 27, 2011, NRG Energy Center Harrisburg LLC (NRG or Applicant) filed an Application</w:t>
      </w:r>
      <w:r w:rsidR="00F100A8">
        <w:rPr>
          <w:sz w:val="26"/>
        </w:rPr>
        <w:t xml:space="preserve"> (Application)</w:t>
      </w:r>
      <w:r w:rsidRPr="0065093F">
        <w:rPr>
          <w:sz w:val="26"/>
        </w:rPr>
        <w:t xml:space="preserve"> with the Commission seeking a certificate of public convenience pursuant to</w:t>
      </w:r>
      <w:r>
        <w:rPr>
          <w:sz w:val="26"/>
        </w:rPr>
        <w:t xml:space="preserve"> </w:t>
      </w:r>
      <w:r w:rsidRPr="0065093F">
        <w:rPr>
          <w:sz w:val="26"/>
        </w:rPr>
        <w:t>Sections 1102 and 1103 of the Pennsylvania Public Utility Code (Code), 66 Pa. C.S. §§ 1102</w:t>
      </w:r>
      <w:r>
        <w:rPr>
          <w:sz w:val="26"/>
        </w:rPr>
        <w:t xml:space="preserve"> </w:t>
      </w:r>
      <w:r w:rsidRPr="0065093F">
        <w:rPr>
          <w:sz w:val="26"/>
        </w:rPr>
        <w:t>and 1103, authorizing it to abandon steam service on the following seven segments of its low</w:t>
      </w:r>
      <w:r>
        <w:rPr>
          <w:sz w:val="26"/>
        </w:rPr>
        <w:t xml:space="preserve"> </w:t>
      </w:r>
      <w:r w:rsidRPr="0065093F">
        <w:rPr>
          <w:sz w:val="26"/>
        </w:rPr>
        <w:t>pressure steam system in the City of Harrisburg, Dauphin County, Pennsylvania: (a) North Third</w:t>
      </w:r>
      <w:r>
        <w:rPr>
          <w:sz w:val="26"/>
        </w:rPr>
        <w:t xml:space="preserve"> </w:t>
      </w:r>
      <w:r w:rsidRPr="0065093F">
        <w:rPr>
          <w:sz w:val="26"/>
        </w:rPr>
        <w:t>Street between Forster and Reily Streets; (b) Green Street between North and Forster Streets; (c)</w:t>
      </w:r>
      <w:r>
        <w:rPr>
          <w:sz w:val="26"/>
        </w:rPr>
        <w:t xml:space="preserve"> </w:t>
      </w:r>
      <w:r w:rsidRPr="0065093F">
        <w:rPr>
          <w:sz w:val="26"/>
        </w:rPr>
        <w:t>Locust Street between North Second and Court Streets; (d) North Second Street between North</w:t>
      </w:r>
      <w:r>
        <w:rPr>
          <w:sz w:val="26"/>
        </w:rPr>
        <w:t xml:space="preserve"> </w:t>
      </w:r>
      <w:r w:rsidRPr="0065093F">
        <w:rPr>
          <w:sz w:val="26"/>
        </w:rPr>
        <w:t>and Herr Streets; (e) Forster Street between North Second and Bartine Streets; (1) Bartine Street</w:t>
      </w:r>
      <w:r>
        <w:rPr>
          <w:sz w:val="26"/>
        </w:rPr>
        <w:t xml:space="preserve"> </w:t>
      </w:r>
      <w:r w:rsidRPr="0065093F">
        <w:rPr>
          <w:sz w:val="26"/>
        </w:rPr>
        <w:t>between Briggs and Union Streets; and, (g) Briggs Street between North Second and Green</w:t>
      </w:r>
      <w:r>
        <w:rPr>
          <w:sz w:val="26"/>
        </w:rPr>
        <w:t xml:space="preserve"> </w:t>
      </w:r>
      <w:r w:rsidRPr="0065093F">
        <w:rPr>
          <w:sz w:val="26"/>
        </w:rPr>
        <w:t>Streets.</w:t>
      </w:r>
    </w:p>
    <w:p w:rsidR="0065093F" w:rsidRPr="0065093F" w:rsidRDefault="0065093F" w:rsidP="0065093F">
      <w:pPr>
        <w:autoSpaceDE w:val="0"/>
        <w:autoSpaceDN w:val="0"/>
        <w:ind w:firstLine="0"/>
        <w:rPr>
          <w:sz w:val="26"/>
        </w:rPr>
      </w:pPr>
    </w:p>
    <w:p w:rsidR="0065093F" w:rsidRPr="0065093F" w:rsidRDefault="0065093F" w:rsidP="0065093F">
      <w:pPr>
        <w:autoSpaceDE w:val="0"/>
        <w:autoSpaceDN w:val="0"/>
        <w:ind w:firstLine="0"/>
        <w:rPr>
          <w:sz w:val="26"/>
        </w:rPr>
      </w:pPr>
      <w:r w:rsidRPr="0065093F">
        <w:rPr>
          <w:sz w:val="26"/>
        </w:rPr>
        <w:tab/>
      </w:r>
      <w:r w:rsidRPr="0065093F">
        <w:rPr>
          <w:sz w:val="26"/>
        </w:rPr>
        <w:tab/>
        <w:t xml:space="preserve">Notice of the Application was published in the May 14, 2011 edition of the </w:t>
      </w:r>
      <w:r w:rsidRPr="0065093F">
        <w:rPr>
          <w:i/>
          <w:sz w:val="26"/>
        </w:rPr>
        <w:t>Pennsylvania Bulletin</w:t>
      </w:r>
      <w:r w:rsidRPr="0065093F">
        <w:rPr>
          <w:sz w:val="26"/>
        </w:rPr>
        <w:t>.</w:t>
      </w:r>
      <w:r w:rsidRPr="0065093F">
        <w:rPr>
          <w:sz w:val="26"/>
          <w:vertAlign w:val="superscript"/>
        </w:rPr>
        <w:footnoteReference w:id="1"/>
      </w:r>
    </w:p>
    <w:p w:rsidR="0065093F" w:rsidRPr="0065093F" w:rsidRDefault="0065093F" w:rsidP="0065093F">
      <w:pPr>
        <w:autoSpaceDE w:val="0"/>
        <w:autoSpaceDN w:val="0"/>
        <w:ind w:firstLine="0"/>
        <w:rPr>
          <w:sz w:val="26"/>
        </w:rPr>
      </w:pPr>
    </w:p>
    <w:p w:rsidR="0065093F" w:rsidRDefault="0065093F" w:rsidP="0065093F">
      <w:pPr>
        <w:autoSpaceDE w:val="0"/>
        <w:autoSpaceDN w:val="0"/>
        <w:ind w:firstLine="0"/>
        <w:rPr>
          <w:sz w:val="26"/>
        </w:rPr>
      </w:pPr>
      <w:r w:rsidRPr="0065093F">
        <w:rPr>
          <w:sz w:val="26"/>
        </w:rPr>
        <w:lastRenderedPageBreak/>
        <w:tab/>
      </w:r>
      <w:r w:rsidRPr="0065093F">
        <w:rPr>
          <w:sz w:val="26"/>
        </w:rPr>
        <w:tab/>
        <w:t>The Pennsylvania Office of Consumer Advocate (OCA) filed a Protest to the Application on May 27, 2011.  Protests also</w:t>
      </w:r>
      <w:r w:rsidR="006D0E1C">
        <w:rPr>
          <w:sz w:val="26"/>
        </w:rPr>
        <w:t xml:space="preserve"> were</w:t>
      </w:r>
      <w:r w:rsidRPr="0065093F">
        <w:rPr>
          <w:sz w:val="26"/>
        </w:rPr>
        <w:t xml:space="preserve"> filed by </w:t>
      </w:r>
      <w:r w:rsidR="008A1D71">
        <w:rPr>
          <w:sz w:val="26"/>
        </w:rPr>
        <w:t xml:space="preserve">a number of </w:t>
      </w:r>
      <w:r w:rsidRPr="0065093F">
        <w:rPr>
          <w:sz w:val="26"/>
        </w:rPr>
        <w:t>affected customers of NRG.  These customers ultimately joined in the proposed General Settlement filed in this</w:t>
      </w:r>
      <w:r w:rsidR="006D0E1C">
        <w:rPr>
          <w:sz w:val="26"/>
        </w:rPr>
        <w:t xml:space="preserve"> case by NRG.  Other customers that</w:t>
      </w:r>
      <w:r w:rsidRPr="0065093F">
        <w:rPr>
          <w:sz w:val="26"/>
        </w:rPr>
        <w:t xml:space="preserve"> filed Protests were the Broad Street Market Corporation; Historic Harrisburg Association; and James E. Ellison.</w:t>
      </w:r>
    </w:p>
    <w:p w:rsidR="0065093F" w:rsidRPr="0065093F" w:rsidRDefault="0065093F" w:rsidP="0065093F">
      <w:pPr>
        <w:autoSpaceDE w:val="0"/>
        <w:autoSpaceDN w:val="0"/>
        <w:ind w:firstLine="0"/>
        <w:rPr>
          <w:sz w:val="26"/>
        </w:rPr>
      </w:pPr>
    </w:p>
    <w:p w:rsidR="0065093F" w:rsidRPr="0065093F" w:rsidRDefault="0065093F" w:rsidP="0065093F">
      <w:pPr>
        <w:autoSpaceDE w:val="0"/>
        <w:autoSpaceDN w:val="0"/>
        <w:ind w:firstLine="0"/>
        <w:rPr>
          <w:sz w:val="26"/>
        </w:rPr>
      </w:pPr>
      <w:r w:rsidRPr="0065093F">
        <w:rPr>
          <w:sz w:val="26"/>
        </w:rPr>
        <w:tab/>
      </w:r>
      <w:r w:rsidRPr="0065093F">
        <w:rPr>
          <w:sz w:val="26"/>
        </w:rPr>
        <w:tab/>
        <w:t xml:space="preserve">On May 31, 2011, Ira and Sheila Weinstock filed a </w:t>
      </w:r>
      <w:r w:rsidR="008A1D71">
        <w:rPr>
          <w:sz w:val="26"/>
        </w:rPr>
        <w:t>F</w:t>
      </w:r>
      <w:r w:rsidRPr="0065093F">
        <w:rPr>
          <w:sz w:val="26"/>
        </w:rPr>
        <w:t>ormal Complaint that was docketed at Docket No. C-2011-2245834.  On June 21, 2011, NRG filed an Answer to the Complaint, and on that date NRG also fil</w:t>
      </w:r>
      <w:r w:rsidR="008A1D71">
        <w:rPr>
          <w:sz w:val="26"/>
        </w:rPr>
        <w:t>ed a Motion to Consolidate the F</w:t>
      </w:r>
      <w:r w:rsidRPr="0065093F">
        <w:rPr>
          <w:sz w:val="26"/>
        </w:rPr>
        <w:t>ormal Complaint with the Application proceeding.</w:t>
      </w:r>
    </w:p>
    <w:p w:rsidR="0065093F" w:rsidRPr="0065093F" w:rsidRDefault="0065093F" w:rsidP="0065093F">
      <w:pPr>
        <w:autoSpaceDE w:val="0"/>
        <w:autoSpaceDN w:val="0"/>
        <w:ind w:firstLine="0"/>
        <w:rPr>
          <w:sz w:val="26"/>
        </w:rPr>
      </w:pPr>
    </w:p>
    <w:p w:rsidR="0065093F" w:rsidRPr="0065093F" w:rsidRDefault="0065093F" w:rsidP="0065093F">
      <w:pPr>
        <w:autoSpaceDE w:val="0"/>
        <w:autoSpaceDN w:val="0"/>
        <w:ind w:firstLine="0"/>
        <w:rPr>
          <w:sz w:val="26"/>
        </w:rPr>
      </w:pPr>
      <w:r w:rsidRPr="0065093F">
        <w:rPr>
          <w:sz w:val="26"/>
        </w:rPr>
        <w:tab/>
      </w:r>
      <w:r w:rsidRPr="0065093F">
        <w:rPr>
          <w:sz w:val="26"/>
        </w:rPr>
        <w:tab/>
        <w:t>On June 2, 2011, the Commission’s Bureau of Investigation and Enforcement (I&amp;E) filed a Notice of Appearance in this case.</w:t>
      </w:r>
    </w:p>
    <w:p w:rsidR="0065093F" w:rsidRPr="0065093F" w:rsidRDefault="0065093F" w:rsidP="0065093F">
      <w:pPr>
        <w:autoSpaceDE w:val="0"/>
        <w:autoSpaceDN w:val="0"/>
        <w:ind w:firstLine="0"/>
        <w:rPr>
          <w:sz w:val="26"/>
        </w:rPr>
      </w:pPr>
      <w:r w:rsidRPr="0065093F">
        <w:rPr>
          <w:sz w:val="26"/>
        </w:rPr>
        <w:tab/>
      </w:r>
    </w:p>
    <w:p w:rsidR="0065093F" w:rsidRDefault="0065093F" w:rsidP="0065093F">
      <w:pPr>
        <w:autoSpaceDE w:val="0"/>
        <w:autoSpaceDN w:val="0"/>
        <w:ind w:firstLine="0"/>
        <w:rPr>
          <w:sz w:val="26"/>
        </w:rPr>
      </w:pPr>
      <w:r w:rsidRPr="0065093F">
        <w:rPr>
          <w:sz w:val="26"/>
        </w:rPr>
        <w:tab/>
      </w:r>
      <w:r w:rsidRPr="0065093F">
        <w:rPr>
          <w:sz w:val="26"/>
        </w:rPr>
        <w:tab/>
        <w:t>On March 30, 2012, NRG filed: (1) Settlements in Resolution of All Issues (Confidential Version)</w:t>
      </w:r>
      <w:r w:rsidRPr="0065093F">
        <w:rPr>
          <w:sz w:val="26"/>
          <w:vertAlign w:val="superscript"/>
        </w:rPr>
        <w:footnoteReference w:id="2"/>
      </w:r>
      <w:r w:rsidR="006D0E1C">
        <w:rPr>
          <w:sz w:val="26"/>
        </w:rPr>
        <w:t xml:space="preserve">; </w:t>
      </w:r>
      <w:r w:rsidRPr="0065093F">
        <w:rPr>
          <w:sz w:val="26"/>
        </w:rPr>
        <w:t>(2) Settlements in Resolution of All Issues (Non-Confidential Version)</w:t>
      </w:r>
      <w:r w:rsidRPr="0065093F">
        <w:rPr>
          <w:sz w:val="26"/>
          <w:vertAlign w:val="superscript"/>
        </w:rPr>
        <w:footnoteReference w:id="3"/>
      </w:r>
      <w:r w:rsidR="006D0E1C">
        <w:rPr>
          <w:sz w:val="26"/>
        </w:rPr>
        <w:t>;</w:t>
      </w:r>
      <w:r w:rsidRPr="0065093F">
        <w:rPr>
          <w:sz w:val="26"/>
        </w:rPr>
        <w:t xml:space="preserve"> a</w:t>
      </w:r>
      <w:r w:rsidR="006D0E1C">
        <w:rPr>
          <w:sz w:val="26"/>
        </w:rPr>
        <w:t>nd (3)</w:t>
      </w:r>
      <w:r w:rsidRPr="0065093F">
        <w:rPr>
          <w:sz w:val="26"/>
        </w:rPr>
        <w:t xml:space="preserve"> a Joint Stipulation of Evidence and Facts.</w:t>
      </w:r>
      <w:r w:rsidR="006D0E1C">
        <w:rPr>
          <w:sz w:val="26"/>
        </w:rPr>
        <w:t xml:space="preserve">  Statements in support of the General Settlement were filed by NRG, the OCA and I&amp;E.</w:t>
      </w:r>
      <w:r w:rsidRPr="0065093F">
        <w:rPr>
          <w:sz w:val="26"/>
        </w:rPr>
        <w:t xml:space="preserve"> </w:t>
      </w:r>
    </w:p>
    <w:p w:rsidR="00C954FE" w:rsidRPr="006F283E" w:rsidRDefault="008A1D71" w:rsidP="007A0124">
      <w:pPr>
        <w:autoSpaceDE w:val="0"/>
        <w:autoSpaceDN w:val="0"/>
        <w:ind w:firstLine="0"/>
        <w:jc w:val="center"/>
        <w:rPr>
          <w:b/>
          <w:snapToGrid w:val="0"/>
          <w:sz w:val="26"/>
          <w:szCs w:val="26"/>
        </w:rPr>
      </w:pPr>
      <w:r>
        <w:rPr>
          <w:sz w:val="26"/>
        </w:rPr>
        <w:br w:type="page"/>
      </w:r>
      <w:r w:rsidR="00F3622E" w:rsidRPr="006F283E">
        <w:rPr>
          <w:b/>
          <w:snapToGrid w:val="0"/>
          <w:sz w:val="26"/>
          <w:szCs w:val="26"/>
        </w:rPr>
        <w:lastRenderedPageBreak/>
        <w:t>Terms of Settlement</w:t>
      </w:r>
    </w:p>
    <w:p w:rsidR="00F3622E" w:rsidRDefault="00F3622E" w:rsidP="00F3622E">
      <w:pPr>
        <w:ind w:firstLine="0"/>
        <w:jc w:val="center"/>
        <w:rPr>
          <w:b/>
          <w:snapToGrid w:val="0"/>
          <w:sz w:val="26"/>
          <w:szCs w:val="26"/>
        </w:rPr>
      </w:pPr>
    </w:p>
    <w:p w:rsidR="00F3622E" w:rsidRDefault="00F3622E" w:rsidP="00F3622E">
      <w:pPr>
        <w:ind w:firstLine="0"/>
        <w:rPr>
          <w:snapToGrid w:val="0"/>
          <w:sz w:val="26"/>
          <w:szCs w:val="26"/>
        </w:rPr>
      </w:pPr>
      <w:r>
        <w:rPr>
          <w:b/>
          <w:snapToGrid w:val="0"/>
          <w:sz w:val="26"/>
          <w:szCs w:val="26"/>
        </w:rPr>
        <w:tab/>
      </w:r>
      <w:r>
        <w:rPr>
          <w:b/>
          <w:snapToGrid w:val="0"/>
          <w:sz w:val="26"/>
          <w:szCs w:val="26"/>
        </w:rPr>
        <w:tab/>
      </w:r>
      <w:r>
        <w:rPr>
          <w:snapToGrid w:val="0"/>
          <w:sz w:val="26"/>
          <w:szCs w:val="26"/>
        </w:rPr>
        <w:t xml:space="preserve">The </w:t>
      </w:r>
      <w:r w:rsidR="00DC6E1E">
        <w:rPr>
          <w:snapToGrid w:val="0"/>
          <w:sz w:val="26"/>
          <w:szCs w:val="26"/>
        </w:rPr>
        <w:t>Parties agree upon the following s</w:t>
      </w:r>
      <w:r w:rsidR="00941AC6">
        <w:rPr>
          <w:snapToGrid w:val="0"/>
          <w:sz w:val="26"/>
          <w:szCs w:val="26"/>
        </w:rPr>
        <w:t xml:space="preserve">ettlement </w:t>
      </w:r>
      <w:r w:rsidR="00993F87">
        <w:rPr>
          <w:snapToGrid w:val="0"/>
          <w:sz w:val="26"/>
          <w:szCs w:val="26"/>
        </w:rPr>
        <w:t xml:space="preserve">terms </w:t>
      </w:r>
      <w:r w:rsidR="00941AC6">
        <w:rPr>
          <w:snapToGrid w:val="0"/>
          <w:sz w:val="26"/>
          <w:szCs w:val="26"/>
        </w:rPr>
        <w:t>set forth below, using the headings specific to the General Settlement document itself:</w:t>
      </w:r>
    </w:p>
    <w:p w:rsidR="00941AC6" w:rsidRDefault="00941AC6" w:rsidP="00941AC6">
      <w:pPr>
        <w:rPr>
          <w:snapToGrid w:val="0"/>
          <w:sz w:val="26"/>
          <w:szCs w:val="26"/>
        </w:rPr>
      </w:pPr>
    </w:p>
    <w:p w:rsidR="00941AC6" w:rsidRPr="00941AC6" w:rsidRDefault="00941AC6" w:rsidP="007A0124">
      <w:pPr>
        <w:ind w:left="1440" w:right="1440" w:firstLine="0"/>
        <w:rPr>
          <w:sz w:val="26"/>
        </w:rPr>
      </w:pPr>
      <w:r w:rsidRPr="00941AC6">
        <w:rPr>
          <w:sz w:val="26"/>
        </w:rPr>
        <w:t xml:space="preserve">A. </w:t>
      </w:r>
      <w:r w:rsidRPr="00941AC6">
        <w:rPr>
          <w:sz w:val="26"/>
        </w:rPr>
        <w:tab/>
        <w:t>CONVERSION CONTRIBUTION OPTIONS</w:t>
      </w:r>
    </w:p>
    <w:p w:rsidR="00941AC6" w:rsidRDefault="00941AC6" w:rsidP="007A0124">
      <w:pPr>
        <w:ind w:left="1440" w:right="1440"/>
        <w:rPr>
          <w:sz w:val="26"/>
        </w:rPr>
      </w:pPr>
    </w:p>
    <w:p w:rsidR="00941AC6" w:rsidRPr="00941AC6" w:rsidRDefault="00941AC6" w:rsidP="007A0124">
      <w:pPr>
        <w:spacing w:line="240" w:lineRule="auto"/>
        <w:ind w:left="1440" w:right="1440" w:firstLine="720"/>
        <w:rPr>
          <w:sz w:val="26"/>
        </w:rPr>
      </w:pPr>
      <w:r w:rsidRPr="00941AC6">
        <w:rPr>
          <w:sz w:val="26"/>
        </w:rPr>
        <w:t>19.  Pursuant to Section 17 ("Transition Service") of NRG's Tariff Steam - PA PUC No. 4 ("Transition Service Tariff), a copy of which is attached hereto as Appendix A, NRG will make a contribution ("Conversion Contribution") toward a Settling Customer's cost of converting to an alternative heating system ("Conversion Cost"). NRG shall offer the following two Conversion Contribution options to a Settling Customer whose total Conversion Cost does not exceed $15,000:</w:t>
      </w:r>
    </w:p>
    <w:p w:rsidR="00941AC6" w:rsidRDefault="00941AC6" w:rsidP="007A0124">
      <w:pPr>
        <w:spacing w:line="240" w:lineRule="auto"/>
        <w:ind w:left="1440" w:right="1440"/>
        <w:rPr>
          <w:sz w:val="26"/>
        </w:rPr>
      </w:pPr>
    </w:p>
    <w:p w:rsidR="00941AC6" w:rsidRPr="00941AC6" w:rsidRDefault="00941AC6" w:rsidP="007A0124">
      <w:pPr>
        <w:spacing w:line="240" w:lineRule="auto"/>
        <w:ind w:left="1440" w:right="1440" w:firstLine="0"/>
        <w:rPr>
          <w:sz w:val="26"/>
        </w:rPr>
      </w:pPr>
      <w:r w:rsidRPr="00941AC6">
        <w:rPr>
          <w:sz w:val="26"/>
        </w:rPr>
        <w:t>(a) Option 1: NRG shall pay the applicable one-time, lump sum Conversion Contribution set forth in the sliding scale attached hereto as Appendix B.</w:t>
      </w:r>
    </w:p>
    <w:p w:rsidR="00941AC6" w:rsidRPr="00941AC6" w:rsidRDefault="00941AC6" w:rsidP="007A0124">
      <w:pPr>
        <w:spacing w:line="240" w:lineRule="auto"/>
        <w:ind w:left="1440" w:right="1440"/>
        <w:rPr>
          <w:sz w:val="26"/>
        </w:rPr>
      </w:pPr>
    </w:p>
    <w:p w:rsidR="00941AC6" w:rsidRPr="00941AC6" w:rsidRDefault="00941AC6" w:rsidP="007A0124">
      <w:pPr>
        <w:spacing w:line="240" w:lineRule="auto"/>
        <w:ind w:left="1440" w:right="1440" w:firstLine="0"/>
        <w:rPr>
          <w:sz w:val="26"/>
        </w:rPr>
      </w:pPr>
      <w:r w:rsidRPr="00941AC6">
        <w:rPr>
          <w:sz w:val="26"/>
        </w:rPr>
        <w:t>(b) Option 2: NRG shall offer interest-free financing for the Conversion Cost (less a $1000 Conversion Contribution subsidy) for the applicable term set forth on the schedule attached hereto as Appendix C. The Settling</w:t>
      </w:r>
      <w:r>
        <w:rPr>
          <w:sz w:val="26"/>
        </w:rPr>
        <w:t xml:space="preserve"> </w:t>
      </w:r>
      <w:r w:rsidRPr="00941AC6">
        <w:rPr>
          <w:sz w:val="26"/>
        </w:rPr>
        <w:t>Customer shall be responsible for making monthly payments to NRG</w:t>
      </w:r>
      <w:r>
        <w:rPr>
          <w:sz w:val="26"/>
        </w:rPr>
        <w:t xml:space="preserve"> </w:t>
      </w:r>
      <w:r w:rsidRPr="00941AC6">
        <w:rPr>
          <w:sz w:val="26"/>
        </w:rPr>
        <w:t>pursuant to an executed promissory note and NRG may, in its discretion,</w:t>
      </w:r>
      <w:r>
        <w:rPr>
          <w:sz w:val="26"/>
        </w:rPr>
        <w:t xml:space="preserve"> </w:t>
      </w:r>
      <w:r w:rsidRPr="00941AC6">
        <w:rPr>
          <w:sz w:val="26"/>
        </w:rPr>
        <w:t>take a lien on the customer's new heating system until payment in full is</w:t>
      </w:r>
      <w:r>
        <w:rPr>
          <w:sz w:val="26"/>
        </w:rPr>
        <w:t xml:space="preserve"> </w:t>
      </w:r>
      <w:r w:rsidRPr="00941AC6">
        <w:rPr>
          <w:sz w:val="26"/>
        </w:rPr>
        <w:t>made. If necessary, OCA and I&amp;E shall support a tariff supplement filing</w:t>
      </w:r>
      <w:r>
        <w:rPr>
          <w:sz w:val="26"/>
        </w:rPr>
        <w:t xml:space="preserve"> </w:t>
      </w:r>
      <w:r w:rsidRPr="00941AC6">
        <w:rPr>
          <w:sz w:val="26"/>
        </w:rPr>
        <w:t>by NRG to allow financing for terms in excess of five (5) years.</w:t>
      </w:r>
    </w:p>
    <w:p w:rsidR="00941AC6" w:rsidRPr="00941AC6" w:rsidRDefault="00941AC6" w:rsidP="007A0124">
      <w:pPr>
        <w:spacing w:line="240" w:lineRule="auto"/>
        <w:ind w:left="1440" w:right="1440"/>
        <w:rPr>
          <w:sz w:val="26"/>
        </w:rPr>
      </w:pPr>
    </w:p>
    <w:p w:rsidR="00993F87" w:rsidRDefault="00941AC6" w:rsidP="007A0124">
      <w:pPr>
        <w:spacing w:line="240" w:lineRule="auto"/>
        <w:ind w:left="1440" w:right="1440" w:firstLine="720"/>
        <w:rPr>
          <w:sz w:val="26"/>
        </w:rPr>
      </w:pPr>
      <w:r w:rsidRPr="00941AC6">
        <w:rPr>
          <w:sz w:val="26"/>
        </w:rPr>
        <w:t>20.  NRG shall, on a case-by-case basis, negotiate an appropriate Conversion</w:t>
      </w:r>
      <w:r>
        <w:rPr>
          <w:sz w:val="26"/>
        </w:rPr>
        <w:t xml:space="preserve"> </w:t>
      </w:r>
      <w:r w:rsidRPr="00941AC6">
        <w:rPr>
          <w:sz w:val="26"/>
        </w:rPr>
        <w:t xml:space="preserve">Contribution with a customer whose total Conversion Cost exceeds </w:t>
      </w:r>
    </w:p>
    <w:p w:rsidR="00941AC6" w:rsidRPr="00941AC6" w:rsidRDefault="00931A3A" w:rsidP="007A0124">
      <w:pPr>
        <w:spacing w:line="240" w:lineRule="auto"/>
        <w:ind w:left="1440" w:right="1440" w:firstLine="0"/>
        <w:rPr>
          <w:sz w:val="26"/>
        </w:rPr>
      </w:pPr>
      <w:r>
        <w:rPr>
          <w:sz w:val="26"/>
        </w:rPr>
        <w:t>$</w:t>
      </w:r>
      <w:r w:rsidR="00941AC6" w:rsidRPr="00941AC6">
        <w:rPr>
          <w:sz w:val="26"/>
        </w:rPr>
        <w:t>15,000.</w:t>
      </w:r>
    </w:p>
    <w:p w:rsidR="00941AC6" w:rsidRPr="00941AC6" w:rsidRDefault="007A0124" w:rsidP="007A0124">
      <w:pPr>
        <w:ind w:left="1440" w:right="1440"/>
        <w:rPr>
          <w:sz w:val="26"/>
        </w:rPr>
      </w:pPr>
      <w:r>
        <w:rPr>
          <w:sz w:val="26"/>
        </w:rPr>
        <w:br w:type="page"/>
      </w:r>
    </w:p>
    <w:p w:rsidR="00941AC6" w:rsidRPr="00941AC6" w:rsidRDefault="00941AC6" w:rsidP="007A0124">
      <w:pPr>
        <w:ind w:left="1440" w:right="1440" w:firstLine="0"/>
        <w:rPr>
          <w:sz w:val="26"/>
        </w:rPr>
      </w:pPr>
      <w:r w:rsidRPr="00941AC6">
        <w:rPr>
          <w:sz w:val="26"/>
        </w:rPr>
        <w:lastRenderedPageBreak/>
        <w:t xml:space="preserve">B. </w:t>
      </w:r>
      <w:r w:rsidRPr="00941AC6">
        <w:rPr>
          <w:sz w:val="26"/>
        </w:rPr>
        <w:tab/>
        <w:t>COSTS INCLUDED IN CONVERSION COST</w:t>
      </w:r>
    </w:p>
    <w:p w:rsidR="00941AC6" w:rsidRPr="00941AC6" w:rsidRDefault="00941AC6" w:rsidP="007A0124">
      <w:pPr>
        <w:ind w:left="1440" w:right="1440"/>
        <w:rPr>
          <w:sz w:val="26"/>
        </w:rPr>
      </w:pPr>
    </w:p>
    <w:p w:rsidR="00941AC6" w:rsidRPr="00941AC6" w:rsidRDefault="00941AC6" w:rsidP="007A0124">
      <w:pPr>
        <w:spacing w:line="240" w:lineRule="auto"/>
        <w:ind w:left="1440" w:right="1440" w:firstLine="720"/>
        <w:rPr>
          <w:sz w:val="26"/>
        </w:rPr>
      </w:pPr>
      <w:r w:rsidRPr="00941AC6">
        <w:rPr>
          <w:sz w:val="26"/>
        </w:rPr>
        <w:t>21.  The Conversion Cost, to which the Conversion Contribution shall apply, shall</w:t>
      </w:r>
      <w:r>
        <w:rPr>
          <w:sz w:val="26"/>
        </w:rPr>
        <w:t xml:space="preserve"> </w:t>
      </w:r>
      <w:r w:rsidRPr="00941AC6">
        <w:rPr>
          <w:sz w:val="26"/>
        </w:rPr>
        <w:t>include the items listed in Appendix D attached hereto.</w:t>
      </w:r>
    </w:p>
    <w:p w:rsidR="00941AC6" w:rsidRPr="00941AC6" w:rsidRDefault="00941AC6" w:rsidP="007A0124">
      <w:pPr>
        <w:spacing w:line="240" w:lineRule="auto"/>
        <w:ind w:left="1440" w:right="1440" w:firstLine="720"/>
        <w:rPr>
          <w:sz w:val="26"/>
        </w:rPr>
      </w:pPr>
    </w:p>
    <w:p w:rsidR="00941AC6" w:rsidRPr="00941AC6" w:rsidRDefault="00941AC6" w:rsidP="007A0124">
      <w:pPr>
        <w:spacing w:line="240" w:lineRule="auto"/>
        <w:ind w:left="1440" w:right="1440" w:firstLine="720"/>
        <w:rPr>
          <w:sz w:val="26"/>
        </w:rPr>
      </w:pPr>
      <w:r w:rsidRPr="00941AC6">
        <w:rPr>
          <w:sz w:val="26"/>
        </w:rPr>
        <w:t xml:space="preserve">22. </w:t>
      </w:r>
      <w:r w:rsidR="007C2AE6">
        <w:rPr>
          <w:sz w:val="26"/>
        </w:rPr>
        <w:t xml:space="preserve"> </w:t>
      </w:r>
      <w:r w:rsidRPr="00941AC6">
        <w:rPr>
          <w:sz w:val="26"/>
        </w:rPr>
        <w:t>To the extent that a Settling Customer requires physical modifications to the property to accommodate conversion (as satisfactorily demonstrated to NRG), NRG will include associated costs in the Conversion Cost; provided, however, that the Conversion Cost shall not include the cost of correcting existing code violations or structural defects.</w:t>
      </w:r>
    </w:p>
    <w:p w:rsidR="00941AC6" w:rsidRPr="00941AC6" w:rsidRDefault="00941AC6" w:rsidP="007A0124">
      <w:pPr>
        <w:ind w:left="1440" w:right="1440"/>
        <w:rPr>
          <w:sz w:val="26"/>
        </w:rPr>
      </w:pPr>
    </w:p>
    <w:p w:rsidR="00941AC6" w:rsidRPr="00941AC6" w:rsidRDefault="00941AC6" w:rsidP="007A0124">
      <w:pPr>
        <w:ind w:left="1440" w:right="1440" w:firstLine="0"/>
        <w:rPr>
          <w:sz w:val="26"/>
        </w:rPr>
      </w:pPr>
      <w:r w:rsidRPr="00941AC6">
        <w:rPr>
          <w:sz w:val="26"/>
        </w:rPr>
        <w:t xml:space="preserve">C. </w:t>
      </w:r>
      <w:r w:rsidRPr="00941AC6">
        <w:rPr>
          <w:sz w:val="26"/>
        </w:rPr>
        <w:tab/>
        <w:t>PAYMENT OF CONVERSION COST</w:t>
      </w:r>
    </w:p>
    <w:p w:rsidR="00941AC6" w:rsidRPr="00941AC6" w:rsidRDefault="00941AC6" w:rsidP="007A0124">
      <w:pPr>
        <w:ind w:left="1440" w:right="1440"/>
        <w:rPr>
          <w:sz w:val="26"/>
        </w:rPr>
      </w:pPr>
    </w:p>
    <w:p w:rsidR="00941AC6" w:rsidRPr="00941AC6" w:rsidRDefault="00941AC6" w:rsidP="007A0124">
      <w:pPr>
        <w:spacing w:line="240" w:lineRule="auto"/>
        <w:ind w:left="1440" w:right="1440" w:firstLine="720"/>
        <w:rPr>
          <w:sz w:val="26"/>
        </w:rPr>
      </w:pPr>
      <w:r w:rsidRPr="00941AC6">
        <w:rPr>
          <w:sz w:val="26"/>
        </w:rPr>
        <w:t xml:space="preserve">23.  The Conversion Cost, upon which the maximum Conversion Contribution </w:t>
      </w:r>
      <w:r w:rsidRPr="00941AC6">
        <w:rPr>
          <w:sz w:val="26"/>
        </w:rPr>
        <w:tab/>
        <w:t>under Option 1 shall be based and by which the amount to be financed under Option 2 will be</w:t>
      </w:r>
      <w:r w:rsidR="007C2AE6">
        <w:rPr>
          <w:sz w:val="26"/>
        </w:rPr>
        <w:t xml:space="preserve"> </w:t>
      </w:r>
      <w:r w:rsidRPr="00941AC6">
        <w:rPr>
          <w:sz w:val="26"/>
        </w:rPr>
        <w:t>determined, will be the actual Conversion Cost or the estimate given by UGI HVAC, whichever is less.</w:t>
      </w:r>
    </w:p>
    <w:p w:rsidR="00941AC6" w:rsidRPr="00941AC6" w:rsidRDefault="00941AC6" w:rsidP="007A0124">
      <w:pPr>
        <w:spacing w:line="240" w:lineRule="auto"/>
        <w:ind w:left="1440" w:right="1440" w:firstLine="720"/>
        <w:rPr>
          <w:sz w:val="26"/>
        </w:rPr>
      </w:pPr>
    </w:p>
    <w:p w:rsidR="00941AC6" w:rsidRPr="00941AC6" w:rsidRDefault="00941AC6" w:rsidP="007A0124">
      <w:pPr>
        <w:spacing w:line="240" w:lineRule="auto"/>
        <w:ind w:left="1440" w:right="1440" w:firstLine="720"/>
        <w:rPr>
          <w:sz w:val="26"/>
        </w:rPr>
      </w:pPr>
      <w:r w:rsidRPr="00941AC6">
        <w:rPr>
          <w:sz w:val="26"/>
        </w:rPr>
        <w:t>24.  Under Option 2, the $1000 Conversion Contribution subsidy shall be deducted from the Conversion Cost (which shall be initially paid by NRG) in order to determine the amount to be financed by the customer.</w:t>
      </w:r>
    </w:p>
    <w:p w:rsidR="00941AC6" w:rsidRPr="00941AC6" w:rsidRDefault="00941AC6" w:rsidP="007A0124">
      <w:pPr>
        <w:spacing w:line="240" w:lineRule="auto"/>
        <w:ind w:left="1440" w:right="1440" w:firstLine="720"/>
        <w:rPr>
          <w:sz w:val="26"/>
        </w:rPr>
      </w:pPr>
    </w:p>
    <w:p w:rsidR="00941AC6" w:rsidRPr="00941AC6" w:rsidRDefault="00941AC6" w:rsidP="007A0124">
      <w:pPr>
        <w:spacing w:line="240" w:lineRule="auto"/>
        <w:ind w:left="1440" w:right="1440" w:firstLine="720"/>
        <w:rPr>
          <w:sz w:val="26"/>
        </w:rPr>
      </w:pPr>
      <w:r w:rsidRPr="00941AC6">
        <w:rPr>
          <w:sz w:val="26"/>
        </w:rPr>
        <w:t>25.  NRG shall work with the Settling Customer and the applicable installer so that NRG pays the Conversion Contribution amount directly to the installer. Payment of the Conversion Contribution shall be made to the installer within the time frame set forth in the final Conversion Cost invoice issued by the installer to NRG.</w:t>
      </w:r>
    </w:p>
    <w:p w:rsidR="007C2AE6" w:rsidRDefault="007A0124" w:rsidP="007A0124">
      <w:pPr>
        <w:ind w:left="1440" w:right="1440" w:firstLine="720"/>
        <w:rPr>
          <w:sz w:val="26"/>
        </w:rPr>
      </w:pPr>
      <w:r>
        <w:rPr>
          <w:sz w:val="26"/>
        </w:rPr>
        <w:br w:type="page"/>
      </w:r>
    </w:p>
    <w:p w:rsidR="00941AC6" w:rsidRPr="00941AC6" w:rsidRDefault="00941AC6" w:rsidP="007A0124">
      <w:pPr>
        <w:ind w:left="1440" w:right="1440" w:firstLine="0"/>
        <w:rPr>
          <w:sz w:val="26"/>
        </w:rPr>
      </w:pPr>
      <w:r w:rsidRPr="00941AC6">
        <w:rPr>
          <w:sz w:val="26"/>
        </w:rPr>
        <w:lastRenderedPageBreak/>
        <w:t xml:space="preserve">D. </w:t>
      </w:r>
      <w:r w:rsidRPr="00941AC6">
        <w:rPr>
          <w:sz w:val="26"/>
        </w:rPr>
        <w:tab/>
        <w:t>SUBSEQUENT REMEDIAL MEASURES</w:t>
      </w:r>
    </w:p>
    <w:p w:rsidR="00941AC6" w:rsidRPr="00941AC6" w:rsidRDefault="00941AC6" w:rsidP="007A0124">
      <w:pPr>
        <w:ind w:left="1440" w:right="1440" w:firstLine="720"/>
        <w:rPr>
          <w:sz w:val="26"/>
        </w:rPr>
      </w:pPr>
    </w:p>
    <w:p w:rsidR="00941AC6" w:rsidRPr="00941AC6" w:rsidRDefault="00941AC6" w:rsidP="007A0124">
      <w:pPr>
        <w:spacing w:line="240" w:lineRule="auto"/>
        <w:ind w:left="1440" w:right="1440" w:firstLine="720"/>
        <w:rPr>
          <w:sz w:val="26"/>
        </w:rPr>
      </w:pPr>
      <w:r w:rsidRPr="00941AC6">
        <w:rPr>
          <w:sz w:val="26"/>
        </w:rPr>
        <w:t>26.  If the new system requires remedial measures or repairs after the initial</w:t>
      </w:r>
      <w:r w:rsidR="007C2AE6">
        <w:rPr>
          <w:sz w:val="26"/>
        </w:rPr>
        <w:t xml:space="preserve"> </w:t>
      </w:r>
      <w:r w:rsidRPr="00941AC6">
        <w:rPr>
          <w:sz w:val="26"/>
        </w:rPr>
        <w:t>installation (such as the installation of a condensate pump system), the Settling Customer will first seek recourse with the installer. If the installer refuses to provide the needed repairs, NRG shall assist the customer in dealing with the installer to correct the problem. If the installer ultimately refuses to correct the problem, NRG shall arrange for the needed repairs at its expense; provided, however, that such obligation by NRG shall continue only for a period of two (2) years following installation.</w:t>
      </w:r>
    </w:p>
    <w:p w:rsidR="00941AC6" w:rsidRPr="00941AC6" w:rsidRDefault="00941AC6" w:rsidP="007A0124">
      <w:pPr>
        <w:ind w:left="1440" w:right="1440"/>
        <w:rPr>
          <w:sz w:val="26"/>
        </w:rPr>
      </w:pPr>
    </w:p>
    <w:p w:rsidR="00941AC6" w:rsidRPr="00941AC6" w:rsidRDefault="00941AC6" w:rsidP="007A0124">
      <w:pPr>
        <w:ind w:left="1440" w:right="1440" w:firstLine="0"/>
        <w:rPr>
          <w:sz w:val="26"/>
        </w:rPr>
      </w:pPr>
      <w:r w:rsidRPr="00941AC6">
        <w:rPr>
          <w:sz w:val="26"/>
        </w:rPr>
        <w:t xml:space="preserve">E. </w:t>
      </w:r>
      <w:r w:rsidRPr="00941AC6">
        <w:rPr>
          <w:sz w:val="26"/>
        </w:rPr>
        <w:tab/>
        <w:t>AVAILABILITY OF STEAM SERVICE</w:t>
      </w:r>
    </w:p>
    <w:p w:rsidR="00941AC6" w:rsidRPr="00941AC6" w:rsidRDefault="00941AC6" w:rsidP="007A0124">
      <w:pPr>
        <w:ind w:left="1440" w:right="1440" w:firstLine="720"/>
        <w:rPr>
          <w:sz w:val="26"/>
        </w:rPr>
      </w:pPr>
    </w:p>
    <w:p w:rsidR="00941AC6" w:rsidRPr="00941AC6" w:rsidRDefault="00941AC6" w:rsidP="007A0124">
      <w:pPr>
        <w:spacing w:line="240" w:lineRule="auto"/>
        <w:ind w:left="1440" w:right="1440" w:firstLine="720"/>
        <w:rPr>
          <w:sz w:val="26"/>
        </w:rPr>
      </w:pPr>
      <w:r w:rsidRPr="00941AC6">
        <w:rPr>
          <w:sz w:val="26"/>
        </w:rPr>
        <w:t>27.  NRG shall make steam service available to the Settling Customers for their</w:t>
      </w:r>
      <w:r w:rsidR="007C2AE6">
        <w:rPr>
          <w:sz w:val="26"/>
        </w:rPr>
        <w:t xml:space="preserve"> </w:t>
      </w:r>
      <w:r w:rsidRPr="00941AC6">
        <w:rPr>
          <w:sz w:val="26"/>
        </w:rPr>
        <w:t>affected propert</w:t>
      </w:r>
      <w:r w:rsidR="00AD0C78">
        <w:rPr>
          <w:sz w:val="26"/>
        </w:rPr>
        <w:t>ies through the end of the 2011</w:t>
      </w:r>
      <w:r w:rsidRPr="00941AC6">
        <w:rPr>
          <w:sz w:val="26"/>
        </w:rPr>
        <w:t>-12 heating season.</w:t>
      </w:r>
    </w:p>
    <w:p w:rsidR="00941AC6" w:rsidRPr="00941AC6" w:rsidRDefault="00941AC6" w:rsidP="007A0124">
      <w:pPr>
        <w:spacing w:line="240" w:lineRule="auto"/>
        <w:ind w:left="1440" w:right="1440" w:firstLine="720"/>
        <w:rPr>
          <w:sz w:val="26"/>
        </w:rPr>
      </w:pPr>
    </w:p>
    <w:p w:rsidR="00941AC6" w:rsidRPr="00941AC6" w:rsidRDefault="00941AC6" w:rsidP="007A0124">
      <w:pPr>
        <w:spacing w:line="240" w:lineRule="auto"/>
        <w:ind w:left="1440" w:right="1440" w:firstLine="720"/>
        <w:rPr>
          <w:sz w:val="26"/>
        </w:rPr>
      </w:pPr>
      <w:r w:rsidRPr="00941AC6">
        <w:rPr>
          <w:sz w:val="26"/>
        </w:rPr>
        <w:t>28.  No other persons or entities shall be permitted to receive, begin, or reinstate steam service from the lines to be abandoned.</w:t>
      </w:r>
    </w:p>
    <w:p w:rsidR="00941AC6" w:rsidRPr="00941AC6" w:rsidRDefault="00941AC6" w:rsidP="007A0124">
      <w:pPr>
        <w:ind w:left="1440" w:right="1440"/>
        <w:rPr>
          <w:sz w:val="26"/>
        </w:rPr>
      </w:pPr>
    </w:p>
    <w:p w:rsidR="00F3622E" w:rsidRPr="00904450" w:rsidRDefault="00F3622E" w:rsidP="00F3622E">
      <w:pPr>
        <w:keepNext/>
        <w:tabs>
          <w:tab w:val="center" w:pos="720"/>
        </w:tabs>
        <w:suppressAutoHyphens/>
        <w:ind w:firstLine="0"/>
        <w:jc w:val="center"/>
        <w:rPr>
          <w:b/>
          <w:sz w:val="26"/>
          <w:szCs w:val="26"/>
        </w:rPr>
      </w:pPr>
      <w:r w:rsidRPr="00904450">
        <w:rPr>
          <w:b/>
          <w:sz w:val="26"/>
          <w:szCs w:val="26"/>
        </w:rPr>
        <w:t>Discussion</w:t>
      </w:r>
    </w:p>
    <w:p w:rsidR="007C2AE6" w:rsidRDefault="007C2AE6" w:rsidP="00F3622E">
      <w:pPr>
        <w:keepNext/>
        <w:tabs>
          <w:tab w:val="center" w:pos="720"/>
        </w:tabs>
        <w:suppressAutoHyphens/>
        <w:ind w:firstLine="0"/>
        <w:jc w:val="center"/>
        <w:rPr>
          <w:b/>
          <w:sz w:val="26"/>
          <w:szCs w:val="26"/>
          <w:u w:val="single"/>
        </w:rPr>
      </w:pPr>
    </w:p>
    <w:p w:rsidR="007C2AE6" w:rsidRPr="007C2AE6" w:rsidRDefault="007C2AE6" w:rsidP="007C2AE6">
      <w:pPr>
        <w:rPr>
          <w:sz w:val="26"/>
        </w:rPr>
      </w:pPr>
      <w:r w:rsidRPr="007C2AE6">
        <w:rPr>
          <w:sz w:val="26"/>
        </w:rPr>
        <w:t>Pursuant to our Regulations at 52 Pa. Code §</w:t>
      </w:r>
      <w:r w:rsidR="00496AD5">
        <w:rPr>
          <w:sz w:val="26"/>
        </w:rPr>
        <w:t xml:space="preserve"> </w:t>
      </w:r>
      <w:r w:rsidRPr="007C2AE6">
        <w:rPr>
          <w:sz w:val="26"/>
        </w:rPr>
        <w:t>5.231, it is the Commission’s policy to promote settlements.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7C2AE6" w:rsidRPr="004E1B80" w:rsidRDefault="007C2AE6" w:rsidP="007C2AE6"/>
    <w:p w:rsidR="007C2AE6" w:rsidRPr="007C2AE6" w:rsidRDefault="007C2AE6" w:rsidP="007C2AE6">
      <w:pPr>
        <w:rPr>
          <w:sz w:val="26"/>
        </w:rPr>
      </w:pPr>
      <w:r w:rsidRPr="007C2AE6">
        <w:rPr>
          <w:sz w:val="26"/>
        </w:rPr>
        <w:t xml:space="preserve">By definition, a “settlement” reflects a compromise of the parties’ positions and arguably fosters and promotes the public interest.  When active parties in a </w:t>
      </w:r>
      <w:r w:rsidRPr="007C2AE6">
        <w:rPr>
          <w:sz w:val="26"/>
        </w:rPr>
        <w:lastRenderedPageBreak/>
        <w:t xml:space="preserve">proceeding reach a settlement, the principal issue for Commission consideration is whether the agreement reached suits the public interest.  </w:t>
      </w:r>
      <w:r w:rsidR="00FE5854">
        <w:rPr>
          <w:i/>
          <w:sz w:val="26"/>
        </w:rPr>
        <w:t xml:space="preserve">Pa. PUC </w:t>
      </w:r>
      <w:r w:rsidRPr="007C2AE6">
        <w:rPr>
          <w:i/>
          <w:sz w:val="26"/>
        </w:rPr>
        <w:t xml:space="preserve"> v. CS Water and Sewer Associates</w:t>
      </w:r>
      <w:r w:rsidRPr="007C2AE6">
        <w:rPr>
          <w:sz w:val="26"/>
        </w:rPr>
        <w:t xml:space="preserve">, </w:t>
      </w:r>
      <w:r w:rsidR="009453D1">
        <w:rPr>
          <w:sz w:val="26"/>
        </w:rPr>
        <w:t>74 Pa. P.U.C. 767, 771 (1991).</w:t>
      </w:r>
    </w:p>
    <w:p w:rsidR="007C2AE6" w:rsidRPr="007C2AE6" w:rsidRDefault="007C2AE6" w:rsidP="007C2AE6">
      <w:pPr>
        <w:rPr>
          <w:sz w:val="26"/>
        </w:rPr>
      </w:pPr>
    </w:p>
    <w:p w:rsidR="007C2AE6" w:rsidRPr="007C2AE6" w:rsidRDefault="007C2AE6" w:rsidP="007C2AE6">
      <w:pPr>
        <w:rPr>
          <w:sz w:val="26"/>
        </w:rPr>
      </w:pPr>
      <w:r w:rsidRPr="007C2AE6">
        <w:rPr>
          <w:sz w:val="26"/>
        </w:rPr>
        <w:t xml:space="preserve">Once the settling parties have submitted their joint settlement petition for approval, the principal issue for Commission consideration is whether the agreement serves the public interest.  </w:t>
      </w:r>
      <w:r w:rsidR="00FE5854">
        <w:rPr>
          <w:i/>
          <w:sz w:val="26"/>
        </w:rPr>
        <w:t>Pa. PUC</w:t>
      </w:r>
      <w:r w:rsidRPr="007C2AE6">
        <w:rPr>
          <w:i/>
          <w:sz w:val="26"/>
        </w:rPr>
        <w:t xml:space="preserve"> v. Philadelphia Electric Company</w:t>
      </w:r>
      <w:r w:rsidRPr="007C2AE6">
        <w:rPr>
          <w:sz w:val="26"/>
        </w:rPr>
        <w:t xml:space="preserve">, 60 Pa. P.U.C. 1, 21 (1985); </w:t>
      </w:r>
      <w:r w:rsidR="00FE5854">
        <w:rPr>
          <w:i/>
          <w:sz w:val="26"/>
        </w:rPr>
        <w:t>Pa. PUC</w:t>
      </w:r>
      <w:r w:rsidRPr="007C2AE6">
        <w:rPr>
          <w:i/>
          <w:sz w:val="26"/>
        </w:rPr>
        <w:t xml:space="preserve"> v. CS Water and Sewer Associates</w:t>
      </w:r>
      <w:r w:rsidRPr="007C2AE6">
        <w:rPr>
          <w:sz w:val="26"/>
        </w:rPr>
        <w:t xml:space="preserve">, 74 Pa. P.U.C. 767, 771 (1991). </w:t>
      </w:r>
    </w:p>
    <w:p w:rsidR="00F3622E" w:rsidRPr="00077419" w:rsidRDefault="00F3622E" w:rsidP="00F3622E">
      <w:pPr>
        <w:keepNext/>
        <w:tabs>
          <w:tab w:val="center" w:pos="720"/>
        </w:tabs>
        <w:suppressAutoHyphens/>
        <w:rPr>
          <w:b/>
          <w:sz w:val="26"/>
          <w:szCs w:val="26"/>
          <w:u w:val="single"/>
        </w:rPr>
      </w:pPr>
    </w:p>
    <w:p w:rsidR="00F3622E" w:rsidRDefault="00F3622E" w:rsidP="00F3622E">
      <w:pPr>
        <w:rPr>
          <w:sz w:val="26"/>
          <w:szCs w:val="26"/>
        </w:rPr>
      </w:pPr>
      <w:r w:rsidRPr="00077419">
        <w:rPr>
          <w:sz w:val="26"/>
          <w:szCs w:val="26"/>
        </w:rPr>
        <w:t xml:space="preserve">The ALJ made </w:t>
      </w:r>
      <w:r w:rsidR="004A0F46">
        <w:rPr>
          <w:sz w:val="26"/>
          <w:szCs w:val="26"/>
        </w:rPr>
        <w:t>twenty-</w:t>
      </w:r>
      <w:r w:rsidRPr="00077419">
        <w:rPr>
          <w:sz w:val="26"/>
          <w:szCs w:val="26"/>
        </w:rPr>
        <w:t xml:space="preserve">seven Findings of Fact and reached </w:t>
      </w:r>
      <w:r w:rsidR="004A0F46">
        <w:rPr>
          <w:sz w:val="26"/>
          <w:szCs w:val="26"/>
        </w:rPr>
        <w:t xml:space="preserve">five </w:t>
      </w:r>
      <w:r w:rsidRPr="00077419">
        <w:rPr>
          <w:sz w:val="26"/>
          <w:szCs w:val="26"/>
        </w:rPr>
        <w:t xml:space="preserve">Conclusions of Law.  </w:t>
      </w:r>
      <w:r w:rsidR="00F178AE">
        <w:rPr>
          <w:sz w:val="26"/>
          <w:szCs w:val="26"/>
        </w:rPr>
        <w:t xml:space="preserve">R.D. at 8-13, 28-29.  </w:t>
      </w:r>
      <w:r w:rsidRPr="00077419">
        <w:rPr>
          <w:sz w:val="26"/>
          <w:szCs w:val="26"/>
        </w:rPr>
        <w:t xml:space="preserve">The Findings of Fact and Conclusions of Law are incorporated herein by reference and are adopted without comment, unless they are either expressly or by necessary implication rejected or modified </w:t>
      </w:r>
      <w:r w:rsidR="009453D1">
        <w:rPr>
          <w:sz w:val="26"/>
          <w:szCs w:val="26"/>
        </w:rPr>
        <w:t>by this Opinion and Order.</w:t>
      </w:r>
    </w:p>
    <w:p w:rsidR="004A0F46" w:rsidRDefault="004A0F46" w:rsidP="00F3622E">
      <w:pPr>
        <w:rPr>
          <w:sz w:val="26"/>
          <w:szCs w:val="26"/>
        </w:rPr>
      </w:pPr>
    </w:p>
    <w:p w:rsidR="004A0F46" w:rsidRDefault="004A0F46" w:rsidP="00F3622E">
      <w:pPr>
        <w:rPr>
          <w:sz w:val="26"/>
          <w:szCs w:val="26"/>
        </w:rPr>
      </w:pPr>
      <w:r>
        <w:rPr>
          <w:sz w:val="26"/>
          <w:szCs w:val="26"/>
        </w:rPr>
        <w:t>NRG is seeking Commission approval to abandon steam service to seven segments of its low pressure steam system in the City of Harrisburg.  NRG alleges that these seven segments have deteriorated and are uneconomic to repair.  NRG also seeks to concentrate on its core business of serving Commonwealth government customers and asserts that it is necessary to shrink its system and reduce lost and unaccounted for steam so that it can remain economically viable.  A General Settlement has been entered into by</w:t>
      </w:r>
      <w:r w:rsidR="00277A2C">
        <w:rPr>
          <w:sz w:val="26"/>
          <w:szCs w:val="26"/>
        </w:rPr>
        <w:t xml:space="preserve"> the parties setting forth the relevant terms and conditions of abandonment.  Separate settlement agreements were entered into by NRG and the Broad Street Market</w:t>
      </w:r>
      <w:r w:rsidR="00F178AE">
        <w:rPr>
          <w:sz w:val="26"/>
          <w:szCs w:val="26"/>
        </w:rPr>
        <w:t xml:space="preserve"> Corporation, the </w:t>
      </w:r>
      <w:r w:rsidR="00277A2C">
        <w:rPr>
          <w:sz w:val="26"/>
          <w:szCs w:val="26"/>
        </w:rPr>
        <w:t>Historic Harrisburg</w:t>
      </w:r>
      <w:r w:rsidR="00F178AE">
        <w:rPr>
          <w:sz w:val="26"/>
          <w:szCs w:val="26"/>
        </w:rPr>
        <w:t xml:space="preserve"> Association, and two individual customers</w:t>
      </w:r>
      <w:r w:rsidR="00277A2C">
        <w:rPr>
          <w:sz w:val="26"/>
          <w:szCs w:val="26"/>
        </w:rPr>
        <w:t>, and were filed simultaneously with the General Settlement for Commission review and approval.</w:t>
      </w:r>
    </w:p>
    <w:p w:rsidR="004A0F46" w:rsidRDefault="004A0F46" w:rsidP="00F3622E">
      <w:pPr>
        <w:rPr>
          <w:sz w:val="26"/>
          <w:szCs w:val="26"/>
        </w:rPr>
      </w:pPr>
    </w:p>
    <w:p w:rsidR="00877BA0" w:rsidRDefault="00877BA0" w:rsidP="00F3622E">
      <w:pPr>
        <w:rPr>
          <w:sz w:val="26"/>
          <w:szCs w:val="26"/>
        </w:rPr>
      </w:pPr>
      <w:r>
        <w:rPr>
          <w:sz w:val="26"/>
          <w:szCs w:val="26"/>
        </w:rPr>
        <w:t>The ALJ</w:t>
      </w:r>
      <w:r w:rsidR="00410991">
        <w:rPr>
          <w:sz w:val="26"/>
          <w:szCs w:val="26"/>
        </w:rPr>
        <w:t xml:space="preserve"> concluded that the proposed Settlements properly balance the public interest and the interest of the utility and </w:t>
      </w:r>
      <w:r>
        <w:rPr>
          <w:sz w:val="26"/>
          <w:szCs w:val="26"/>
        </w:rPr>
        <w:t xml:space="preserve">recommended that the Commission approve the </w:t>
      </w:r>
      <w:r w:rsidR="002D3620">
        <w:rPr>
          <w:sz w:val="26"/>
          <w:szCs w:val="26"/>
        </w:rPr>
        <w:t xml:space="preserve">General </w:t>
      </w:r>
      <w:r>
        <w:rPr>
          <w:sz w:val="26"/>
          <w:szCs w:val="26"/>
        </w:rPr>
        <w:t>Settlement</w:t>
      </w:r>
      <w:r w:rsidR="00122813">
        <w:rPr>
          <w:sz w:val="26"/>
          <w:szCs w:val="26"/>
        </w:rPr>
        <w:t xml:space="preserve"> and </w:t>
      </w:r>
      <w:r w:rsidR="00410991">
        <w:rPr>
          <w:sz w:val="26"/>
          <w:szCs w:val="26"/>
        </w:rPr>
        <w:t xml:space="preserve">the </w:t>
      </w:r>
      <w:r w:rsidR="00122813">
        <w:rPr>
          <w:sz w:val="26"/>
          <w:szCs w:val="26"/>
        </w:rPr>
        <w:t>separate Individual Settlements</w:t>
      </w:r>
      <w:r>
        <w:rPr>
          <w:sz w:val="26"/>
          <w:szCs w:val="26"/>
        </w:rPr>
        <w:t xml:space="preserve"> without </w:t>
      </w:r>
      <w:r>
        <w:rPr>
          <w:sz w:val="26"/>
          <w:szCs w:val="26"/>
        </w:rPr>
        <w:lastRenderedPageBreak/>
        <w:t xml:space="preserve">modification.  No Party has filed Exceptions.  We agree with the ALJ’s recommendation to approve the </w:t>
      </w:r>
      <w:r w:rsidR="008076D6">
        <w:rPr>
          <w:sz w:val="26"/>
          <w:szCs w:val="26"/>
        </w:rPr>
        <w:t>Settlements</w:t>
      </w:r>
      <w:r>
        <w:rPr>
          <w:sz w:val="26"/>
          <w:szCs w:val="26"/>
        </w:rPr>
        <w:t xml:space="preserve">. </w:t>
      </w:r>
      <w:r w:rsidR="009453D1">
        <w:rPr>
          <w:sz w:val="26"/>
          <w:szCs w:val="26"/>
        </w:rPr>
        <w:t xml:space="preserve"> </w:t>
      </w:r>
      <w:r w:rsidR="005C30F7">
        <w:rPr>
          <w:sz w:val="26"/>
          <w:szCs w:val="26"/>
        </w:rPr>
        <w:t>Although t</w:t>
      </w:r>
      <w:r>
        <w:rPr>
          <w:sz w:val="26"/>
          <w:szCs w:val="26"/>
        </w:rPr>
        <w:t xml:space="preserve">he terms outlined in the </w:t>
      </w:r>
      <w:r w:rsidR="005C30F7">
        <w:rPr>
          <w:sz w:val="26"/>
          <w:szCs w:val="26"/>
        </w:rPr>
        <w:t>Settlement</w:t>
      </w:r>
      <w:r>
        <w:rPr>
          <w:sz w:val="26"/>
          <w:szCs w:val="26"/>
        </w:rPr>
        <w:t xml:space="preserve">s are consistent with the Commission’s procedure </w:t>
      </w:r>
      <w:r w:rsidR="005C30F7">
        <w:rPr>
          <w:sz w:val="26"/>
          <w:szCs w:val="26"/>
        </w:rPr>
        <w:t>for</w:t>
      </w:r>
      <w:r>
        <w:rPr>
          <w:sz w:val="26"/>
          <w:szCs w:val="26"/>
        </w:rPr>
        <w:t xml:space="preserve"> the approval of abandonment</w:t>
      </w:r>
      <w:r w:rsidR="005C30F7">
        <w:rPr>
          <w:sz w:val="26"/>
          <w:szCs w:val="26"/>
        </w:rPr>
        <w:t xml:space="preserve"> of service, </w:t>
      </w:r>
      <w:r w:rsidR="00717376">
        <w:rPr>
          <w:sz w:val="26"/>
          <w:szCs w:val="26"/>
        </w:rPr>
        <w:t xml:space="preserve">nothing in the </w:t>
      </w:r>
      <w:r w:rsidR="005C30F7">
        <w:rPr>
          <w:sz w:val="26"/>
          <w:szCs w:val="26"/>
        </w:rPr>
        <w:t xml:space="preserve">Settlements </w:t>
      </w:r>
      <w:r w:rsidR="00717376">
        <w:rPr>
          <w:sz w:val="26"/>
          <w:szCs w:val="26"/>
        </w:rPr>
        <w:t>require</w:t>
      </w:r>
      <w:r w:rsidR="005C30F7">
        <w:rPr>
          <w:sz w:val="26"/>
          <w:szCs w:val="26"/>
        </w:rPr>
        <w:t>s</w:t>
      </w:r>
      <w:r w:rsidR="00717376">
        <w:rPr>
          <w:sz w:val="26"/>
          <w:szCs w:val="26"/>
        </w:rPr>
        <w:t xml:space="preserve"> NRG to inform this Commission when compliance with the </w:t>
      </w:r>
      <w:r w:rsidR="005C30F7">
        <w:rPr>
          <w:sz w:val="26"/>
          <w:szCs w:val="26"/>
        </w:rPr>
        <w:t>Settlements has been completed</w:t>
      </w:r>
      <w:r w:rsidR="00717376">
        <w:rPr>
          <w:sz w:val="26"/>
          <w:szCs w:val="26"/>
        </w:rPr>
        <w:t xml:space="preserve">.  </w:t>
      </w:r>
      <w:r w:rsidR="005C30F7">
        <w:rPr>
          <w:sz w:val="26"/>
          <w:szCs w:val="26"/>
        </w:rPr>
        <w:t>Therefore</w:t>
      </w:r>
      <w:r w:rsidR="00717376">
        <w:rPr>
          <w:sz w:val="26"/>
          <w:szCs w:val="26"/>
        </w:rPr>
        <w:t xml:space="preserve">, upon </w:t>
      </w:r>
      <w:r w:rsidR="00197141">
        <w:rPr>
          <w:sz w:val="26"/>
          <w:szCs w:val="26"/>
        </w:rPr>
        <w:t>fulfilling its obligations</w:t>
      </w:r>
      <w:r w:rsidR="005C30F7">
        <w:rPr>
          <w:sz w:val="26"/>
          <w:szCs w:val="26"/>
        </w:rPr>
        <w:t xml:space="preserve"> under the Settlements,</w:t>
      </w:r>
      <w:r w:rsidR="00197141">
        <w:rPr>
          <w:sz w:val="26"/>
          <w:szCs w:val="26"/>
        </w:rPr>
        <w:t xml:space="preserve"> we shall require NRG to file a notice of compliance with the Secretary of the Commission </w:t>
      </w:r>
      <w:r w:rsidR="00621C1A">
        <w:rPr>
          <w:sz w:val="26"/>
          <w:szCs w:val="26"/>
        </w:rPr>
        <w:t xml:space="preserve">within thirty days </w:t>
      </w:r>
      <w:r w:rsidR="00FD3872">
        <w:rPr>
          <w:sz w:val="26"/>
          <w:szCs w:val="26"/>
        </w:rPr>
        <w:t>from the date of</w:t>
      </w:r>
      <w:r w:rsidR="00197141">
        <w:rPr>
          <w:sz w:val="26"/>
          <w:szCs w:val="26"/>
        </w:rPr>
        <w:t xml:space="preserve"> completion and satisfaction of the terms and conditions set forth in the </w:t>
      </w:r>
      <w:r w:rsidR="005C30F7">
        <w:rPr>
          <w:sz w:val="26"/>
          <w:szCs w:val="26"/>
        </w:rPr>
        <w:t>S</w:t>
      </w:r>
      <w:r w:rsidR="00197141">
        <w:rPr>
          <w:sz w:val="26"/>
          <w:szCs w:val="26"/>
        </w:rPr>
        <w:t>ettlement</w:t>
      </w:r>
      <w:r w:rsidR="005C30F7">
        <w:rPr>
          <w:sz w:val="26"/>
          <w:szCs w:val="26"/>
        </w:rPr>
        <w:t xml:space="preserve">s, </w:t>
      </w:r>
      <w:r>
        <w:rPr>
          <w:sz w:val="26"/>
          <w:szCs w:val="26"/>
        </w:rPr>
        <w:t xml:space="preserve">and the </w:t>
      </w:r>
      <w:r w:rsidR="00FD3872">
        <w:rPr>
          <w:sz w:val="26"/>
          <w:szCs w:val="26"/>
        </w:rPr>
        <w:t xml:space="preserve">date of </w:t>
      </w:r>
      <w:r>
        <w:rPr>
          <w:sz w:val="26"/>
          <w:szCs w:val="26"/>
        </w:rPr>
        <w:t xml:space="preserve">completion of each of the individual abandonments subject to </w:t>
      </w:r>
      <w:r w:rsidR="005C30F7">
        <w:rPr>
          <w:sz w:val="26"/>
          <w:szCs w:val="26"/>
        </w:rPr>
        <w:t>the Settlements</w:t>
      </w:r>
      <w:r>
        <w:rPr>
          <w:sz w:val="26"/>
          <w:szCs w:val="26"/>
        </w:rPr>
        <w:t>.</w:t>
      </w:r>
    </w:p>
    <w:p w:rsidR="00D91268" w:rsidRPr="00D91268" w:rsidRDefault="00D91268" w:rsidP="00D91268">
      <w:pPr>
        <w:tabs>
          <w:tab w:val="left" w:pos="720"/>
          <w:tab w:val="left" w:pos="1350"/>
        </w:tabs>
        <w:ind w:firstLine="0"/>
        <w:rPr>
          <w:rFonts w:cs="Mangal"/>
          <w:b/>
          <w:sz w:val="26"/>
          <w:szCs w:val="26"/>
          <w:lang w:bidi="hi-IN"/>
        </w:rPr>
      </w:pPr>
    </w:p>
    <w:p w:rsidR="00480ED8" w:rsidRPr="009453D1" w:rsidRDefault="00480ED8" w:rsidP="009453D1">
      <w:pPr>
        <w:ind w:firstLine="0"/>
        <w:jc w:val="center"/>
        <w:rPr>
          <w:b/>
          <w:color w:val="000000"/>
          <w:sz w:val="26"/>
          <w:szCs w:val="26"/>
        </w:rPr>
      </w:pPr>
      <w:r w:rsidRPr="009453D1">
        <w:rPr>
          <w:b/>
          <w:color w:val="000000"/>
          <w:sz w:val="26"/>
          <w:szCs w:val="26"/>
        </w:rPr>
        <w:t>Conclusion</w:t>
      </w:r>
    </w:p>
    <w:p w:rsidR="002A4B28" w:rsidRPr="00077419" w:rsidRDefault="002A4B28" w:rsidP="00092F4A">
      <w:pPr>
        <w:rPr>
          <w:color w:val="000000"/>
          <w:sz w:val="26"/>
          <w:szCs w:val="26"/>
        </w:rPr>
      </w:pPr>
    </w:p>
    <w:p w:rsidR="009922A9" w:rsidRPr="00077419" w:rsidRDefault="003D7FD1" w:rsidP="00092F4A">
      <w:pPr>
        <w:rPr>
          <w:rFonts w:eastAsia="Batang"/>
          <w:sz w:val="26"/>
          <w:szCs w:val="26"/>
        </w:rPr>
      </w:pPr>
      <w:r>
        <w:rPr>
          <w:rFonts w:eastAsia="Batang"/>
          <w:sz w:val="26"/>
          <w:szCs w:val="26"/>
        </w:rPr>
        <w:t>In accordance with the foregoing discussion, w</w:t>
      </w:r>
      <w:r w:rsidR="004901E9" w:rsidRPr="00077419">
        <w:rPr>
          <w:rFonts w:eastAsia="Batang"/>
          <w:sz w:val="26"/>
          <w:szCs w:val="26"/>
        </w:rPr>
        <w:t xml:space="preserve">e </w:t>
      </w:r>
      <w:r w:rsidR="00680F42" w:rsidRPr="00077419">
        <w:rPr>
          <w:rFonts w:eastAsia="Batang"/>
          <w:sz w:val="26"/>
          <w:szCs w:val="26"/>
        </w:rPr>
        <w:t xml:space="preserve">shall </w:t>
      </w:r>
      <w:r w:rsidR="004901E9" w:rsidRPr="00077419">
        <w:rPr>
          <w:rFonts w:eastAsia="Batang"/>
          <w:sz w:val="26"/>
          <w:szCs w:val="26"/>
        </w:rPr>
        <w:t>adopt the ALJ</w:t>
      </w:r>
      <w:r w:rsidR="00480ED8" w:rsidRPr="00077419">
        <w:rPr>
          <w:rFonts w:eastAsia="Batang"/>
          <w:sz w:val="26"/>
          <w:szCs w:val="26"/>
        </w:rPr>
        <w:t>’</w:t>
      </w:r>
      <w:r w:rsidR="004D23C8">
        <w:rPr>
          <w:rFonts w:eastAsia="Batang"/>
          <w:sz w:val="26"/>
          <w:szCs w:val="26"/>
        </w:rPr>
        <w:t>s</w:t>
      </w:r>
      <w:r w:rsidR="004901E9" w:rsidRPr="00077419">
        <w:rPr>
          <w:rFonts w:eastAsia="Batang"/>
          <w:sz w:val="26"/>
          <w:szCs w:val="26"/>
        </w:rPr>
        <w:t xml:space="preserve"> recommendation to approve the </w:t>
      </w:r>
      <w:r w:rsidR="004D23C8">
        <w:rPr>
          <w:rFonts w:eastAsia="Batang"/>
          <w:sz w:val="26"/>
          <w:szCs w:val="26"/>
        </w:rPr>
        <w:t>General S</w:t>
      </w:r>
      <w:r w:rsidR="004901E9" w:rsidRPr="00077419">
        <w:rPr>
          <w:rFonts w:eastAsia="Batang"/>
          <w:sz w:val="26"/>
          <w:szCs w:val="26"/>
        </w:rPr>
        <w:t>ettlement</w:t>
      </w:r>
      <w:r w:rsidR="003B05D6">
        <w:rPr>
          <w:rFonts w:eastAsia="Batang"/>
          <w:sz w:val="26"/>
          <w:szCs w:val="26"/>
        </w:rPr>
        <w:t xml:space="preserve"> and</w:t>
      </w:r>
      <w:r w:rsidR="00CA790E">
        <w:rPr>
          <w:rFonts w:eastAsia="Batang"/>
          <w:sz w:val="26"/>
          <w:szCs w:val="26"/>
        </w:rPr>
        <w:t xml:space="preserve"> the four</w:t>
      </w:r>
      <w:r w:rsidR="003B05D6">
        <w:rPr>
          <w:rFonts w:eastAsia="Batang"/>
          <w:sz w:val="26"/>
          <w:szCs w:val="26"/>
        </w:rPr>
        <w:t xml:space="preserve"> Individual Settlements</w:t>
      </w:r>
      <w:r>
        <w:rPr>
          <w:rFonts w:eastAsia="Batang"/>
          <w:sz w:val="26"/>
          <w:szCs w:val="26"/>
        </w:rPr>
        <w:t>.  We also</w:t>
      </w:r>
      <w:r w:rsidR="00CA790E">
        <w:rPr>
          <w:rFonts w:eastAsia="Batang"/>
          <w:sz w:val="26"/>
          <w:szCs w:val="26"/>
        </w:rPr>
        <w:t xml:space="preserve"> shall</w:t>
      </w:r>
      <w:r>
        <w:rPr>
          <w:rFonts w:eastAsia="Batang"/>
          <w:sz w:val="26"/>
          <w:szCs w:val="26"/>
        </w:rPr>
        <w:t xml:space="preserve"> require NRG to file a notice of compliance with the Secretary of the Commission consistent with this Opinion and </w:t>
      </w:r>
      <w:r w:rsidR="004D23C8">
        <w:rPr>
          <w:rFonts w:eastAsia="Batang"/>
          <w:sz w:val="26"/>
          <w:szCs w:val="26"/>
        </w:rPr>
        <w:t>Order</w:t>
      </w:r>
      <w:r>
        <w:rPr>
          <w:rFonts w:eastAsia="Batang"/>
          <w:sz w:val="26"/>
          <w:szCs w:val="26"/>
        </w:rPr>
        <w:t xml:space="preserve">; </w:t>
      </w:r>
      <w:r w:rsidR="004901E9" w:rsidRPr="00077419">
        <w:rPr>
          <w:rFonts w:eastAsia="Batang"/>
          <w:sz w:val="26"/>
          <w:szCs w:val="26"/>
        </w:rPr>
        <w:t xml:space="preserve"> </w:t>
      </w:r>
      <w:r w:rsidR="004901E9" w:rsidRPr="00077419">
        <w:rPr>
          <w:rFonts w:eastAsia="Batang"/>
          <w:b/>
          <w:sz w:val="26"/>
          <w:szCs w:val="26"/>
        </w:rPr>
        <w:t>THEREFORE</w:t>
      </w:r>
      <w:r w:rsidR="00211584" w:rsidRPr="00077419">
        <w:rPr>
          <w:rFonts w:eastAsia="Batang"/>
          <w:b/>
          <w:sz w:val="26"/>
          <w:szCs w:val="26"/>
        </w:rPr>
        <w:t>,</w:t>
      </w:r>
    </w:p>
    <w:p w:rsidR="00D91268" w:rsidRPr="00D91268" w:rsidRDefault="00D91268" w:rsidP="00D91268">
      <w:pPr>
        <w:tabs>
          <w:tab w:val="left" w:pos="720"/>
          <w:tab w:val="left" w:pos="1350"/>
        </w:tabs>
        <w:ind w:firstLine="0"/>
        <w:rPr>
          <w:rFonts w:cs="Mangal"/>
          <w:b/>
          <w:sz w:val="26"/>
          <w:szCs w:val="26"/>
          <w:lang w:bidi="hi-IN"/>
        </w:rPr>
      </w:pPr>
    </w:p>
    <w:p w:rsidR="00F57B67" w:rsidRPr="00077419" w:rsidRDefault="00480ED8" w:rsidP="00092F4A">
      <w:pPr>
        <w:tabs>
          <w:tab w:val="center" w:pos="720"/>
        </w:tabs>
        <w:suppressAutoHyphens/>
        <w:ind w:firstLine="0"/>
        <w:rPr>
          <w:b/>
          <w:sz w:val="26"/>
          <w:szCs w:val="26"/>
        </w:rPr>
      </w:pPr>
      <w:r w:rsidRPr="00077419">
        <w:rPr>
          <w:b/>
          <w:sz w:val="26"/>
          <w:szCs w:val="26"/>
        </w:rPr>
        <w:tab/>
      </w:r>
      <w:r w:rsidRPr="00077419">
        <w:rPr>
          <w:b/>
          <w:sz w:val="26"/>
          <w:szCs w:val="26"/>
        </w:rPr>
        <w:tab/>
      </w:r>
      <w:r w:rsidR="00F57B67" w:rsidRPr="00077419">
        <w:rPr>
          <w:b/>
          <w:sz w:val="26"/>
          <w:szCs w:val="26"/>
        </w:rPr>
        <w:t xml:space="preserve">IT </w:t>
      </w:r>
      <w:r w:rsidR="009078DF" w:rsidRPr="00077419">
        <w:rPr>
          <w:b/>
          <w:sz w:val="26"/>
          <w:szCs w:val="26"/>
        </w:rPr>
        <w:t>IS ORDERED:</w:t>
      </w:r>
    </w:p>
    <w:p w:rsidR="0037474E" w:rsidRDefault="0037474E" w:rsidP="00092F4A">
      <w:pPr>
        <w:rPr>
          <w:sz w:val="26"/>
          <w:szCs w:val="26"/>
        </w:rPr>
      </w:pPr>
    </w:p>
    <w:p w:rsidR="000A3CB2" w:rsidRPr="000A3CB2" w:rsidRDefault="000A3CB2" w:rsidP="000A3CB2">
      <w:pPr>
        <w:suppressAutoHyphens/>
        <w:rPr>
          <w:sz w:val="26"/>
        </w:rPr>
      </w:pPr>
      <w:r w:rsidRPr="000A3CB2">
        <w:rPr>
          <w:sz w:val="26"/>
        </w:rPr>
        <w:t>1.</w:t>
      </w:r>
      <w:r w:rsidRPr="000A3CB2">
        <w:rPr>
          <w:sz w:val="26"/>
        </w:rPr>
        <w:tab/>
        <w:t>That the Joint Petition for Approv</w:t>
      </w:r>
      <w:r w:rsidR="00931A3A">
        <w:rPr>
          <w:sz w:val="26"/>
        </w:rPr>
        <w:t>al of Settlement of the General </w:t>
      </w:r>
      <w:r w:rsidRPr="000A3CB2">
        <w:rPr>
          <w:sz w:val="26"/>
        </w:rPr>
        <w:t>Settlement and Individual Settlements at D</w:t>
      </w:r>
      <w:r w:rsidR="00931A3A">
        <w:rPr>
          <w:sz w:val="26"/>
        </w:rPr>
        <w:t>ocket Nos. A-2011-2239521 and C</w:t>
      </w:r>
      <w:r w:rsidR="00931A3A">
        <w:rPr>
          <w:sz w:val="26"/>
        </w:rPr>
        <w:noBreakHyphen/>
      </w:r>
      <w:r w:rsidRPr="000A3CB2">
        <w:rPr>
          <w:sz w:val="26"/>
        </w:rPr>
        <w:t xml:space="preserve">2011-2245834 </w:t>
      </w:r>
      <w:r w:rsidR="003D7FD1">
        <w:rPr>
          <w:sz w:val="26"/>
        </w:rPr>
        <w:t>is</w:t>
      </w:r>
      <w:r w:rsidRPr="000A3CB2">
        <w:rPr>
          <w:sz w:val="26"/>
        </w:rPr>
        <w:t xml:space="preserve"> approved</w:t>
      </w:r>
      <w:r w:rsidR="00621C1A">
        <w:rPr>
          <w:sz w:val="26"/>
        </w:rPr>
        <w:t>.</w:t>
      </w:r>
    </w:p>
    <w:p w:rsidR="000A3CB2" w:rsidRPr="000A3CB2" w:rsidRDefault="000A3CB2" w:rsidP="000A3CB2">
      <w:pPr>
        <w:suppressAutoHyphens/>
        <w:rPr>
          <w:sz w:val="26"/>
        </w:rPr>
      </w:pPr>
    </w:p>
    <w:p w:rsidR="000A3CB2" w:rsidRPr="000A3CB2" w:rsidRDefault="000A3CB2" w:rsidP="000A3CB2">
      <w:pPr>
        <w:suppressAutoHyphens/>
        <w:rPr>
          <w:sz w:val="26"/>
        </w:rPr>
      </w:pPr>
      <w:r w:rsidRPr="000A3CB2">
        <w:rPr>
          <w:sz w:val="26"/>
        </w:rPr>
        <w:t>2.</w:t>
      </w:r>
      <w:r w:rsidRPr="000A3CB2">
        <w:rPr>
          <w:sz w:val="26"/>
        </w:rPr>
        <w:tab/>
        <w:t>That the Joint Stipulation of Evidence and Facts, the Joint Petition for Approval of Settlement Between NRG Energy Center Harrisburg LLC, the Office of Consumer Advocate, the Bureau of Investigation and Enforcement, an Intervening Customer and Various Protesting Customers, and all Appendices, filed on March 30, 2012, are admitted into the record of this proceeding.</w:t>
      </w:r>
    </w:p>
    <w:p w:rsidR="000A3CB2" w:rsidRPr="000A3CB2" w:rsidRDefault="000A3CB2" w:rsidP="000A3CB2">
      <w:pPr>
        <w:suppressAutoHyphens/>
        <w:rPr>
          <w:sz w:val="26"/>
        </w:rPr>
      </w:pPr>
    </w:p>
    <w:p w:rsidR="000A3CB2" w:rsidRPr="000A3CB2" w:rsidRDefault="000A3CB2" w:rsidP="000A3CB2">
      <w:pPr>
        <w:suppressAutoHyphens/>
        <w:rPr>
          <w:sz w:val="26"/>
        </w:rPr>
      </w:pPr>
      <w:r w:rsidRPr="000A3CB2">
        <w:rPr>
          <w:sz w:val="26"/>
        </w:rPr>
        <w:lastRenderedPageBreak/>
        <w:t>3.</w:t>
      </w:r>
      <w:r w:rsidRPr="000A3CB2">
        <w:rPr>
          <w:sz w:val="26"/>
        </w:rPr>
        <w:tab/>
        <w:t>That, for purposes of filing, to the extent that Confidential information, as identified and marked by the Parties, is placed in the Commission's report folders, such information shall be handled in accordance with routine Commission procedures inasmuch as the report folders are not subject to public disclosure.</w:t>
      </w:r>
    </w:p>
    <w:p w:rsidR="000A3CB2" w:rsidRPr="000A3CB2" w:rsidRDefault="000A3CB2" w:rsidP="000A3CB2">
      <w:pPr>
        <w:suppressAutoHyphens/>
        <w:rPr>
          <w:sz w:val="26"/>
        </w:rPr>
      </w:pPr>
    </w:p>
    <w:p w:rsidR="000A3CB2" w:rsidRPr="000A3CB2" w:rsidRDefault="000A3CB2" w:rsidP="000A3CB2">
      <w:pPr>
        <w:suppressAutoHyphens/>
        <w:rPr>
          <w:sz w:val="26"/>
        </w:rPr>
      </w:pPr>
      <w:r w:rsidRPr="000A3CB2">
        <w:rPr>
          <w:sz w:val="26"/>
        </w:rPr>
        <w:t>4.</w:t>
      </w:r>
      <w:r w:rsidRPr="000A3CB2">
        <w:rPr>
          <w:sz w:val="26"/>
        </w:rPr>
        <w:tab/>
        <w:t>That, to the extent that Confidential information is placed in the Commission's testimony or document folders, such information shall be separately bound, conspicuously marked, and not subject to public disclosure.</w:t>
      </w:r>
    </w:p>
    <w:p w:rsidR="000A3CB2" w:rsidRPr="000A3CB2" w:rsidRDefault="000A3CB2" w:rsidP="000A3CB2">
      <w:pPr>
        <w:suppressAutoHyphens/>
        <w:rPr>
          <w:sz w:val="26"/>
        </w:rPr>
      </w:pPr>
    </w:p>
    <w:p w:rsidR="000A3CB2" w:rsidRPr="000A3CB2" w:rsidRDefault="000A3CB2" w:rsidP="000A3CB2">
      <w:pPr>
        <w:suppressAutoHyphens/>
        <w:rPr>
          <w:sz w:val="26"/>
        </w:rPr>
      </w:pPr>
      <w:r w:rsidRPr="000A3CB2">
        <w:rPr>
          <w:sz w:val="26"/>
        </w:rPr>
        <w:t>5.</w:t>
      </w:r>
      <w:r w:rsidRPr="000A3CB2">
        <w:rPr>
          <w:sz w:val="26"/>
        </w:rPr>
        <w:tab/>
        <w:t>That the Secretary of the Commission issue a Certificate of Public Convenience authorizing NRG Energy Center Harrisburg LLC to abandon service along Green Street between North and Forster Streets, Locust Street between North Second and Court Streets, North Second Street between North and Herr Streets, Forster Street between North Second and Bartine Streets, Bartine Street between Briggs and Union Streets, and Briggs Street between North and Second Streets.</w:t>
      </w:r>
    </w:p>
    <w:p w:rsidR="000A3CB2" w:rsidRPr="000A3CB2" w:rsidRDefault="000A3CB2" w:rsidP="000A3CB2">
      <w:pPr>
        <w:suppressAutoHyphens/>
        <w:rPr>
          <w:sz w:val="26"/>
        </w:rPr>
      </w:pPr>
    </w:p>
    <w:p w:rsidR="000A3CB2" w:rsidRDefault="000A3CB2" w:rsidP="000A3CB2">
      <w:pPr>
        <w:suppressAutoHyphens/>
        <w:rPr>
          <w:sz w:val="26"/>
        </w:rPr>
      </w:pPr>
      <w:r w:rsidRPr="000A3CB2">
        <w:rPr>
          <w:sz w:val="26"/>
        </w:rPr>
        <w:t>6.</w:t>
      </w:r>
      <w:r w:rsidRPr="000A3CB2">
        <w:rPr>
          <w:sz w:val="26"/>
        </w:rPr>
        <w:tab/>
        <w:t>That the abandonment of NRG Energy Center Harrisburg LLC's line along North Third Street between Forster and Reily Streets serving the Broad Street Market is conditioned upon satisfaction of the conditions precedent set forth in the Broad Street Market Settlement.  NRG Energy Center Harrisburg LLC will file a notice of compliance with the Secretary of the Commission upon satisfaction of the conditions precedent, at which time the Secretary of the Commission will issue a separate Certificate of Public Convenience authorizing NRG Energy Center Harrisburg LLC to abandon this line.</w:t>
      </w:r>
    </w:p>
    <w:p w:rsidR="000A3CB2" w:rsidRDefault="000A3CB2" w:rsidP="000A3CB2">
      <w:pPr>
        <w:suppressAutoHyphens/>
        <w:rPr>
          <w:sz w:val="26"/>
        </w:rPr>
      </w:pPr>
    </w:p>
    <w:p w:rsidR="000A3CB2" w:rsidRPr="000A3CB2" w:rsidRDefault="000A3CB2" w:rsidP="005A34CD">
      <w:pPr>
        <w:suppressAutoHyphens/>
        <w:rPr>
          <w:spacing w:val="-3"/>
          <w:sz w:val="26"/>
        </w:rPr>
      </w:pPr>
      <w:r>
        <w:rPr>
          <w:sz w:val="26"/>
        </w:rPr>
        <w:t>7.</w:t>
      </w:r>
      <w:r>
        <w:rPr>
          <w:sz w:val="26"/>
        </w:rPr>
        <w:tab/>
      </w:r>
      <w:r w:rsidRPr="000A3CB2">
        <w:rPr>
          <w:spacing w:val="-3"/>
          <w:sz w:val="26"/>
        </w:rPr>
        <w:t>That the Complaint of Ira &amp; Sheila Weinstock at Docket No. C-2011-2245834 be dismissed as satisfied.</w:t>
      </w:r>
    </w:p>
    <w:p w:rsidR="000A3CB2" w:rsidRPr="000A3CB2" w:rsidRDefault="000A3CB2" w:rsidP="000A3CB2">
      <w:pPr>
        <w:rPr>
          <w:spacing w:val="-3"/>
          <w:sz w:val="26"/>
        </w:rPr>
      </w:pPr>
    </w:p>
    <w:p w:rsidR="000A3CB2" w:rsidRPr="000A3CB2" w:rsidRDefault="005A34CD" w:rsidP="000A3CB2">
      <w:pPr>
        <w:tabs>
          <w:tab w:val="left" w:pos="0"/>
        </w:tabs>
        <w:rPr>
          <w:spacing w:val="-3"/>
          <w:sz w:val="26"/>
        </w:rPr>
      </w:pPr>
      <w:r>
        <w:rPr>
          <w:spacing w:val="-3"/>
          <w:sz w:val="26"/>
        </w:rPr>
        <w:lastRenderedPageBreak/>
        <w:t>8</w:t>
      </w:r>
      <w:r w:rsidR="000A3CB2" w:rsidRPr="000A3CB2">
        <w:rPr>
          <w:spacing w:val="-3"/>
          <w:sz w:val="26"/>
        </w:rPr>
        <w:t>.</w:t>
      </w:r>
      <w:r w:rsidR="000A3CB2" w:rsidRPr="000A3CB2">
        <w:rPr>
          <w:spacing w:val="-3"/>
          <w:sz w:val="26"/>
        </w:rPr>
        <w:tab/>
        <w:t>That upon receipt of the approval from the City Engineer of the City of Harrisburg for its Phase 2 abandonment proposal, NRG will file a copy of that approval with the Commission.</w:t>
      </w:r>
    </w:p>
    <w:p w:rsidR="000A3CB2" w:rsidRPr="000A3CB2" w:rsidRDefault="000A3CB2" w:rsidP="00092F4A">
      <w:pPr>
        <w:rPr>
          <w:sz w:val="26"/>
          <w:szCs w:val="26"/>
        </w:rPr>
      </w:pPr>
    </w:p>
    <w:p w:rsidR="00621C1A" w:rsidRDefault="005A34CD" w:rsidP="00621C1A">
      <w:pPr>
        <w:rPr>
          <w:sz w:val="26"/>
          <w:szCs w:val="26"/>
        </w:rPr>
      </w:pPr>
      <w:r>
        <w:rPr>
          <w:sz w:val="26"/>
          <w:szCs w:val="26"/>
        </w:rPr>
        <w:t>9</w:t>
      </w:r>
      <w:r w:rsidR="00621C1A">
        <w:rPr>
          <w:sz w:val="26"/>
          <w:szCs w:val="26"/>
        </w:rPr>
        <w:t>.</w:t>
      </w:r>
      <w:r w:rsidR="00621C1A">
        <w:rPr>
          <w:sz w:val="26"/>
          <w:szCs w:val="26"/>
        </w:rPr>
        <w:tab/>
        <w:t xml:space="preserve">That upon fulfilling its obligations </w:t>
      </w:r>
      <w:r>
        <w:rPr>
          <w:sz w:val="26"/>
          <w:szCs w:val="26"/>
        </w:rPr>
        <w:t>pertaining to</w:t>
      </w:r>
      <w:r w:rsidR="00621C1A">
        <w:rPr>
          <w:sz w:val="26"/>
          <w:szCs w:val="26"/>
        </w:rPr>
        <w:t xml:space="preserve"> all matters contained in the </w:t>
      </w:r>
      <w:r>
        <w:rPr>
          <w:sz w:val="26"/>
          <w:szCs w:val="26"/>
        </w:rPr>
        <w:t xml:space="preserve">Settlement Agreements, NRG </w:t>
      </w:r>
      <w:r w:rsidR="00621C1A">
        <w:rPr>
          <w:sz w:val="26"/>
          <w:szCs w:val="26"/>
        </w:rPr>
        <w:t>s</w:t>
      </w:r>
      <w:r>
        <w:rPr>
          <w:sz w:val="26"/>
          <w:szCs w:val="26"/>
        </w:rPr>
        <w:t>hall</w:t>
      </w:r>
      <w:r w:rsidR="00621C1A">
        <w:rPr>
          <w:sz w:val="26"/>
          <w:szCs w:val="26"/>
        </w:rPr>
        <w:t xml:space="preserve"> to file a notice of compliance with the Secretary of the Commission, within thirty (30) days </w:t>
      </w:r>
      <w:r w:rsidR="00FD3872">
        <w:rPr>
          <w:sz w:val="26"/>
          <w:szCs w:val="26"/>
        </w:rPr>
        <w:t xml:space="preserve">from </w:t>
      </w:r>
      <w:r w:rsidR="00621C1A">
        <w:rPr>
          <w:sz w:val="26"/>
          <w:szCs w:val="26"/>
        </w:rPr>
        <w:t xml:space="preserve">the </w:t>
      </w:r>
      <w:r w:rsidR="00FD3872">
        <w:rPr>
          <w:sz w:val="26"/>
          <w:szCs w:val="26"/>
        </w:rPr>
        <w:t xml:space="preserve">date of </w:t>
      </w:r>
      <w:r w:rsidR="00621C1A">
        <w:rPr>
          <w:sz w:val="26"/>
          <w:szCs w:val="26"/>
        </w:rPr>
        <w:t xml:space="preserve">completion and satisfaction of the terms and conditions set forth in the </w:t>
      </w:r>
      <w:r>
        <w:rPr>
          <w:sz w:val="26"/>
          <w:szCs w:val="26"/>
        </w:rPr>
        <w:t>S</w:t>
      </w:r>
      <w:r w:rsidR="00621C1A">
        <w:rPr>
          <w:sz w:val="26"/>
          <w:szCs w:val="26"/>
        </w:rPr>
        <w:t xml:space="preserve">ettlement </w:t>
      </w:r>
      <w:r>
        <w:rPr>
          <w:sz w:val="26"/>
          <w:szCs w:val="26"/>
        </w:rPr>
        <w:t>A</w:t>
      </w:r>
      <w:r w:rsidR="00621C1A">
        <w:rPr>
          <w:sz w:val="26"/>
          <w:szCs w:val="26"/>
        </w:rPr>
        <w:t>greements</w:t>
      </w:r>
      <w:r>
        <w:rPr>
          <w:sz w:val="26"/>
          <w:szCs w:val="26"/>
        </w:rPr>
        <w:t>,</w:t>
      </w:r>
      <w:r w:rsidR="00621C1A">
        <w:rPr>
          <w:sz w:val="26"/>
          <w:szCs w:val="26"/>
        </w:rPr>
        <w:t xml:space="preserve"> and the </w:t>
      </w:r>
      <w:r w:rsidR="00FD3872">
        <w:rPr>
          <w:sz w:val="26"/>
          <w:szCs w:val="26"/>
        </w:rPr>
        <w:t xml:space="preserve">date of </w:t>
      </w:r>
      <w:r w:rsidR="00621C1A">
        <w:rPr>
          <w:sz w:val="26"/>
          <w:szCs w:val="26"/>
        </w:rPr>
        <w:t>completion of each of the individual</w:t>
      </w:r>
      <w:r>
        <w:rPr>
          <w:sz w:val="26"/>
          <w:szCs w:val="26"/>
        </w:rPr>
        <w:t xml:space="preserve"> abandonments subject to these S</w:t>
      </w:r>
      <w:r w:rsidR="00621C1A">
        <w:rPr>
          <w:sz w:val="26"/>
          <w:szCs w:val="26"/>
        </w:rPr>
        <w:t>ettlement</w:t>
      </w:r>
      <w:r>
        <w:rPr>
          <w:sz w:val="26"/>
          <w:szCs w:val="26"/>
        </w:rPr>
        <w:t>s</w:t>
      </w:r>
      <w:r w:rsidR="00621C1A">
        <w:rPr>
          <w:sz w:val="26"/>
          <w:szCs w:val="26"/>
        </w:rPr>
        <w:t>.</w:t>
      </w:r>
    </w:p>
    <w:p w:rsidR="00FD3872" w:rsidRDefault="00101192" w:rsidP="00621C1A">
      <w:pPr>
        <w:rPr>
          <w:sz w:val="26"/>
          <w:szCs w:val="26"/>
        </w:rPr>
      </w:pPr>
      <w:bookmarkStart w:id="0" w:name="_GoBack"/>
      <w:r w:rsidRPr="00A14635">
        <w:rPr>
          <w:noProof/>
        </w:rPr>
        <w:drawing>
          <wp:anchor distT="0" distB="0" distL="114300" distR="114300" simplePos="0" relativeHeight="251659264" behindDoc="1" locked="0" layoutInCell="1" allowOverlap="1" wp14:anchorId="53DFCAE3" wp14:editId="4B774BFE">
            <wp:simplePos x="0" y="0"/>
            <wp:positionH relativeFrom="column">
              <wp:posOffset>2998470</wp:posOffset>
            </wp:positionH>
            <wp:positionV relativeFrom="paragraph">
              <wp:posOffset>281940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9078DF" w:rsidRPr="00077419" w:rsidRDefault="009078DF" w:rsidP="00621C1A">
      <w:pPr>
        <w:rPr>
          <w:b/>
          <w:sz w:val="26"/>
          <w:szCs w:val="26"/>
        </w:rPr>
      </w:pPr>
      <w:r w:rsidRPr="00077419">
        <w:rPr>
          <w:sz w:val="26"/>
          <w:szCs w:val="26"/>
        </w:rPr>
        <w:tab/>
      </w:r>
      <w:r w:rsidRPr="00077419">
        <w:rPr>
          <w:sz w:val="26"/>
          <w:szCs w:val="26"/>
        </w:rPr>
        <w:tab/>
      </w:r>
      <w:r w:rsidRPr="00077419">
        <w:rPr>
          <w:sz w:val="26"/>
          <w:szCs w:val="26"/>
        </w:rPr>
        <w:tab/>
      </w:r>
      <w:r w:rsidRPr="00077419">
        <w:rPr>
          <w:sz w:val="26"/>
          <w:szCs w:val="26"/>
        </w:rPr>
        <w:tab/>
      </w:r>
      <w:r w:rsidRPr="00077419">
        <w:rPr>
          <w:sz w:val="26"/>
          <w:szCs w:val="26"/>
        </w:rPr>
        <w:tab/>
      </w:r>
      <w:r w:rsidRPr="00077419">
        <w:rPr>
          <w:b/>
          <w:sz w:val="26"/>
          <w:szCs w:val="26"/>
        </w:rPr>
        <w:t>BY THE COMMISSION,</w:t>
      </w:r>
    </w:p>
    <w:p w:rsidR="009078DF" w:rsidRPr="00077419" w:rsidRDefault="009078DF" w:rsidP="00092F4A">
      <w:pPr>
        <w:keepNext/>
        <w:keepLines/>
        <w:rPr>
          <w:sz w:val="26"/>
          <w:szCs w:val="26"/>
        </w:rPr>
      </w:pPr>
    </w:p>
    <w:p w:rsidR="009078DF" w:rsidRPr="00077419" w:rsidRDefault="009078DF" w:rsidP="00092F4A">
      <w:pPr>
        <w:keepNext/>
        <w:keepLines/>
        <w:spacing w:line="240" w:lineRule="auto"/>
        <w:rPr>
          <w:sz w:val="26"/>
          <w:szCs w:val="26"/>
        </w:rPr>
      </w:pPr>
    </w:p>
    <w:p w:rsidR="009078DF" w:rsidRPr="00077419" w:rsidRDefault="009078DF" w:rsidP="00092F4A">
      <w:pPr>
        <w:keepNext/>
        <w:keepLines/>
        <w:spacing w:line="240" w:lineRule="auto"/>
        <w:rPr>
          <w:sz w:val="26"/>
          <w:szCs w:val="26"/>
        </w:rPr>
      </w:pPr>
      <w:r w:rsidRPr="00077419">
        <w:rPr>
          <w:sz w:val="26"/>
          <w:szCs w:val="26"/>
        </w:rPr>
        <w:tab/>
      </w:r>
      <w:r w:rsidRPr="00077419">
        <w:rPr>
          <w:sz w:val="26"/>
          <w:szCs w:val="26"/>
        </w:rPr>
        <w:tab/>
      </w:r>
      <w:r w:rsidRPr="00077419">
        <w:rPr>
          <w:sz w:val="26"/>
          <w:szCs w:val="26"/>
        </w:rPr>
        <w:tab/>
      </w:r>
      <w:r w:rsidRPr="00077419">
        <w:rPr>
          <w:sz w:val="26"/>
          <w:szCs w:val="26"/>
        </w:rPr>
        <w:tab/>
      </w:r>
      <w:r w:rsidRPr="00077419">
        <w:rPr>
          <w:sz w:val="26"/>
          <w:szCs w:val="26"/>
        </w:rPr>
        <w:tab/>
      </w:r>
      <w:r w:rsidR="00EE5EB7" w:rsidRPr="00077419">
        <w:rPr>
          <w:sz w:val="26"/>
          <w:szCs w:val="26"/>
        </w:rPr>
        <w:t>Rosemary Chiavetta</w:t>
      </w:r>
    </w:p>
    <w:p w:rsidR="009078DF" w:rsidRPr="00077419" w:rsidRDefault="009078DF" w:rsidP="00092F4A">
      <w:pPr>
        <w:keepNext/>
        <w:keepLines/>
        <w:spacing w:line="240" w:lineRule="auto"/>
        <w:rPr>
          <w:sz w:val="26"/>
          <w:szCs w:val="26"/>
        </w:rPr>
      </w:pPr>
      <w:r w:rsidRPr="00077419">
        <w:rPr>
          <w:sz w:val="26"/>
          <w:szCs w:val="26"/>
        </w:rPr>
        <w:tab/>
      </w:r>
      <w:r w:rsidRPr="00077419">
        <w:rPr>
          <w:sz w:val="26"/>
          <w:szCs w:val="26"/>
        </w:rPr>
        <w:tab/>
      </w:r>
      <w:r w:rsidRPr="00077419">
        <w:rPr>
          <w:sz w:val="26"/>
          <w:szCs w:val="26"/>
        </w:rPr>
        <w:tab/>
      </w:r>
      <w:r w:rsidRPr="00077419">
        <w:rPr>
          <w:sz w:val="26"/>
          <w:szCs w:val="26"/>
        </w:rPr>
        <w:tab/>
      </w:r>
      <w:r w:rsidRPr="00077419">
        <w:rPr>
          <w:sz w:val="26"/>
          <w:szCs w:val="26"/>
        </w:rPr>
        <w:tab/>
        <w:t>Secretary</w:t>
      </w:r>
    </w:p>
    <w:p w:rsidR="00E27127" w:rsidRPr="00077419" w:rsidRDefault="00E27127" w:rsidP="00092F4A">
      <w:pPr>
        <w:keepNext/>
        <w:keepLines/>
        <w:spacing w:line="240" w:lineRule="auto"/>
        <w:rPr>
          <w:sz w:val="26"/>
          <w:szCs w:val="26"/>
        </w:rPr>
      </w:pPr>
    </w:p>
    <w:p w:rsidR="009078DF" w:rsidRPr="00077419" w:rsidRDefault="009078DF" w:rsidP="00092F4A">
      <w:pPr>
        <w:keepNext/>
        <w:keepLines/>
        <w:spacing w:line="240" w:lineRule="auto"/>
        <w:ind w:firstLine="0"/>
        <w:rPr>
          <w:sz w:val="26"/>
          <w:szCs w:val="26"/>
        </w:rPr>
      </w:pPr>
    </w:p>
    <w:p w:rsidR="00766A8C" w:rsidRPr="00077419" w:rsidRDefault="00766A8C" w:rsidP="00092F4A">
      <w:pPr>
        <w:keepNext/>
        <w:keepLines/>
        <w:tabs>
          <w:tab w:val="left" w:pos="-720"/>
        </w:tabs>
        <w:suppressAutoHyphens/>
        <w:spacing w:line="240" w:lineRule="auto"/>
        <w:ind w:firstLine="0"/>
        <w:rPr>
          <w:sz w:val="26"/>
          <w:szCs w:val="26"/>
        </w:rPr>
      </w:pPr>
    </w:p>
    <w:p w:rsidR="00EE5EB7" w:rsidRPr="00077419" w:rsidRDefault="00EE5EB7" w:rsidP="00092F4A">
      <w:pPr>
        <w:keepNext/>
        <w:keepLines/>
        <w:tabs>
          <w:tab w:val="left" w:pos="-720"/>
        </w:tabs>
        <w:suppressAutoHyphens/>
        <w:spacing w:line="240" w:lineRule="auto"/>
        <w:ind w:firstLine="0"/>
        <w:rPr>
          <w:sz w:val="26"/>
          <w:szCs w:val="26"/>
        </w:rPr>
      </w:pPr>
      <w:r w:rsidRPr="00077419">
        <w:rPr>
          <w:sz w:val="26"/>
          <w:szCs w:val="26"/>
        </w:rPr>
        <w:t>(SEAL)</w:t>
      </w:r>
    </w:p>
    <w:p w:rsidR="009078DF" w:rsidRPr="00077419" w:rsidRDefault="009078DF" w:rsidP="00092F4A">
      <w:pPr>
        <w:keepNext/>
        <w:keepLines/>
        <w:spacing w:line="240" w:lineRule="auto"/>
        <w:rPr>
          <w:sz w:val="26"/>
          <w:szCs w:val="26"/>
        </w:rPr>
      </w:pPr>
    </w:p>
    <w:p w:rsidR="009078DF" w:rsidRPr="00077419" w:rsidRDefault="009078DF" w:rsidP="00092F4A">
      <w:pPr>
        <w:keepNext/>
        <w:keepLines/>
        <w:spacing w:line="240" w:lineRule="auto"/>
        <w:ind w:firstLine="0"/>
        <w:rPr>
          <w:sz w:val="26"/>
          <w:szCs w:val="26"/>
        </w:rPr>
      </w:pPr>
      <w:r w:rsidRPr="00077419">
        <w:rPr>
          <w:sz w:val="26"/>
          <w:szCs w:val="26"/>
        </w:rPr>
        <w:t xml:space="preserve">ORDER ADOPTED:  </w:t>
      </w:r>
      <w:r w:rsidR="00927C77">
        <w:rPr>
          <w:sz w:val="26"/>
          <w:szCs w:val="26"/>
        </w:rPr>
        <w:t>September 13, 2012</w:t>
      </w:r>
    </w:p>
    <w:p w:rsidR="009078DF" w:rsidRPr="00077419" w:rsidRDefault="009078DF" w:rsidP="00092F4A">
      <w:pPr>
        <w:keepNext/>
        <w:keepLines/>
        <w:spacing w:line="240" w:lineRule="auto"/>
        <w:rPr>
          <w:sz w:val="26"/>
          <w:szCs w:val="26"/>
        </w:rPr>
      </w:pPr>
    </w:p>
    <w:p w:rsidR="009078DF" w:rsidRPr="00077419" w:rsidRDefault="009078DF" w:rsidP="00092F4A">
      <w:pPr>
        <w:keepNext/>
        <w:keepLines/>
        <w:spacing w:line="240" w:lineRule="auto"/>
        <w:ind w:firstLine="0"/>
        <w:rPr>
          <w:sz w:val="26"/>
          <w:szCs w:val="26"/>
        </w:rPr>
      </w:pPr>
      <w:r w:rsidRPr="00077419">
        <w:rPr>
          <w:sz w:val="26"/>
          <w:szCs w:val="26"/>
        </w:rPr>
        <w:t xml:space="preserve">ORDER ENTERED:  </w:t>
      </w:r>
      <w:r w:rsidR="00101192">
        <w:rPr>
          <w:sz w:val="26"/>
          <w:szCs w:val="26"/>
        </w:rPr>
        <w:t>October 2, 2012</w:t>
      </w:r>
    </w:p>
    <w:p w:rsidR="009078DF" w:rsidRPr="00077419" w:rsidRDefault="009078DF" w:rsidP="00092F4A">
      <w:pPr>
        <w:keepNext/>
        <w:keepLines/>
        <w:tabs>
          <w:tab w:val="left" w:pos="-720"/>
        </w:tabs>
        <w:suppressAutoHyphens/>
        <w:spacing w:line="240" w:lineRule="auto"/>
        <w:rPr>
          <w:sz w:val="26"/>
          <w:szCs w:val="26"/>
        </w:rPr>
      </w:pPr>
    </w:p>
    <w:sectPr w:rsidR="009078DF" w:rsidRPr="0007741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08" w:rsidRDefault="001D2808">
      <w:r>
        <w:separator/>
      </w:r>
    </w:p>
  </w:endnote>
  <w:endnote w:type="continuationSeparator" w:id="0">
    <w:p w:rsidR="001D2808" w:rsidRDefault="001D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DF" w:rsidRDefault="00907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8DF" w:rsidRDefault="00907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DF" w:rsidRPr="00931A3A" w:rsidRDefault="009078DF" w:rsidP="00931A3A">
    <w:pPr>
      <w:pStyle w:val="Footer"/>
      <w:framePr w:wrap="around" w:vAnchor="text" w:hAnchor="margin" w:xAlign="center" w:y="1"/>
      <w:ind w:firstLine="0"/>
      <w:rPr>
        <w:rStyle w:val="PageNumber"/>
        <w:sz w:val="26"/>
        <w:szCs w:val="26"/>
      </w:rPr>
    </w:pPr>
    <w:r>
      <w:rPr>
        <w:rStyle w:val="PageNumber"/>
      </w:rPr>
      <w:fldChar w:fldCharType="begin"/>
    </w:r>
    <w:r>
      <w:rPr>
        <w:rStyle w:val="PageNumber"/>
      </w:rPr>
      <w:instrText xml:space="preserve">PAGE  </w:instrText>
    </w:r>
    <w:r>
      <w:rPr>
        <w:rStyle w:val="PageNumber"/>
      </w:rPr>
      <w:fldChar w:fldCharType="separate"/>
    </w:r>
    <w:r w:rsidR="00101192">
      <w:rPr>
        <w:rStyle w:val="PageNumber"/>
        <w:noProof/>
      </w:rPr>
      <w:t>10</w:t>
    </w:r>
    <w:r>
      <w:rPr>
        <w:rStyle w:val="PageNumber"/>
      </w:rPr>
      <w:fldChar w:fldCharType="end"/>
    </w:r>
  </w:p>
  <w:p w:rsidR="009078DF" w:rsidRDefault="00907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08" w:rsidRDefault="001D2808">
      <w:r>
        <w:separator/>
      </w:r>
    </w:p>
  </w:footnote>
  <w:footnote w:type="continuationSeparator" w:id="0">
    <w:p w:rsidR="001D2808" w:rsidRDefault="001D2808">
      <w:r>
        <w:continuationSeparator/>
      </w:r>
    </w:p>
  </w:footnote>
  <w:footnote w:id="1">
    <w:p w:rsidR="0065093F" w:rsidRPr="00F3622E" w:rsidRDefault="0065093F" w:rsidP="0065093F">
      <w:pPr>
        <w:pStyle w:val="FootnoteText"/>
        <w:rPr>
          <w:sz w:val="26"/>
        </w:rPr>
      </w:pPr>
      <w:r w:rsidRPr="00F3622E">
        <w:rPr>
          <w:rStyle w:val="FootnoteReference"/>
          <w:sz w:val="26"/>
        </w:rPr>
        <w:footnoteRef/>
      </w:r>
      <w:r w:rsidRPr="00F3622E">
        <w:rPr>
          <w:sz w:val="26"/>
        </w:rPr>
        <w:t xml:space="preserve"> </w:t>
      </w:r>
      <w:r>
        <w:tab/>
      </w:r>
      <w:r w:rsidRPr="00F3622E">
        <w:rPr>
          <w:sz w:val="26"/>
        </w:rPr>
        <w:t xml:space="preserve">41 </w:t>
      </w:r>
      <w:r w:rsidRPr="00F100A8">
        <w:rPr>
          <w:i/>
          <w:sz w:val="26"/>
        </w:rPr>
        <w:t>Pa.B.</w:t>
      </w:r>
      <w:r w:rsidRPr="00F3622E">
        <w:rPr>
          <w:sz w:val="26"/>
        </w:rPr>
        <w:t xml:space="preserve"> 2504.</w:t>
      </w:r>
    </w:p>
    <w:p w:rsidR="0065093F" w:rsidRDefault="0065093F" w:rsidP="0065093F">
      <w:pPr>
        <w:pStyle w:val="FootnoteText"/>
      </w:pPr>
    </w:p>
  </w:footnote>
  <w:footnote w:id="2">
    <w:p w:rsidR="0065093F" w:rsidRDefault="0065093F" w:rsidP="007337C9">
      <w:pPr>
        <w:pStyle w:val="FootnoteText"/>
        <w:spacing w:line="240" w:lineRule="auto"/>
      </w:pPr>
      <w:r w:rsidRPr="00F3622E">
        <w:rPr>
          <w:rStyle w:val="FootnoteReference"/>
          <w:sz w:val="26"/>
        </w:rPr>
        <w:footnoteRef/>
      </w:r>
      <w:r w:rsidRPr="00F3622E">
        <w:rPr>
          <w:sz w:val="26"/>
        </w:rPr>
        <w:t xml:space="preserve"> </w:t>
      </w:r>
      <w:r w:rsidRPr="00F3622E">
        <w:rPr>
          <w:sz w:val="26"/>
        </w:rPr>
        <w:tab/>
        <w:t xml:space="preserve">NRG entered into separate transition service/settlement agreements with the Broad Street Market </w:t>
      </w:r>
      <w:r w:rsidR="006D0E1C">
        <w:rPr>
          <w:sz w:val="26"/>
        </w:rPr>
        <w:t xml:space="preserve">Corporation; </w:t>
      </w:r>
      <w:r w:rsidRPr="00F3622E">
        <w:rPr>
          <w:sz w:val="26"/>
        </w:rPr>
        <w:t xml:space="preserve">the Historic Harrisburg </w:t>
      </w:r>
      <w:r w:rsidR="006D0E1C">
        <w:rPr>
          <w:sz w:val="26"/>
        </w:rPr>
        <w:t>Association; James Ellison, Esq.; and Ira Weinstock, Esq.  T</w:t>
      </w:r>
      <w:r w:rsidRPr="00F3622E">
        <w:rPr>
          <w:sz w:val="26"/>
        </w:rPr>
        <w:t xml:space="preserve">hese proposed Settlements were </w:t>
      </w:r>
      <w:r w:rsidR="006D0E1C">
        <w:rPr>
          <w:sz w:val="26"/>
        </w:rPr>
        <w:t>included</w:t>
      </w:r>
      <w:r w:rsidRPr="00F3622E">
        <w:rPr>
          <w:sz w:val="26"/>
        </w:rPr>
        <w:t xml:space="preserve"> with the General Settlement for Commission review and approval.</w:t>
      </w:r>
      <w:r w:rsidR="006D0E1C">
        <w:rPr>
          <w:sz w:val="26"/>
        </w:rPr>
        <w:t xml:space="preserve">  R.D. at 21.</w:t>
      </w:r>
    </w:p>
  </w:footnote>
  <w:footnote w:id="3">
    <w:p w:rsidR="0065093F" w:rsidRPr="00F3622E" w:rsidRDefault="0065093F" w:rsidP="00F3622E">
      <w:pPr>
        <w:pStyle w:val="FootnoteText"/>
        <w:spacing w:line="240" w:lineRule="auto"/>
        <w:rPr>
          <w:sz w:val="26"/>
        </w:rPr>
      </w:pPr>
      <w:r w:rsidRPr="00F3622E">
        <w:rPr>
          <w:rStyle w:val="FootnoteReference"/>
          <w:sz w:val="26"/>
        </w:rPr>
        <w:footnoteRef/>
      </w:r>
      <w:r w:rsidRPr="00F3622E">
        <w:rPr>
          <w:sz w:val="26"/>
        </w:rPr>
        <w:t xml:space="preserve"> </w:t>
      </w:r>
      <w:r w:rsidRPr="00F3622E">
        <w:rPr>
          <w:sz w:val="26"/>
        </w:rPr>
        <w:tab/>
        <w:t xml:space="preserve">Enclosures 2 through 5 of the Confidential Version contain Confidential Transition Service/Settlement Agreements with specific customers and contain customer-specific information. </w:t>
      </w:r>
    </w:p>
    <w:p w:rsidR="0065093F" w:rsidRDefault="0065093F" w:rsidP="0065093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66A8A"/>
    <w:multiLevelType w:val="hybridMultilevel"/>
    <w:tmpl w:val="1772BBC0"/>
    <w:lvl w:ilvl="0" w:tplc="D3088C9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BC4D58"/>
    <w:multiLevelType w:val="hybridMultilevel"/>
    <w:tmpl w:val="B3CAE4CA"/>
    <w:lvl w:ilvl="0" w:tplc="F7BA523E">
      <w:start w:val="1"/>
      <w:numFmt w:val="lowerLetter"/>
      <w:lvlText w:val="%1."/>
      <w:lvlJc w:val="left"/>
      <w:pPr>
        <w:tabs>
          <w:tab w:val="num" w:pos="2520"/>
        </w:tabs>
        <w:ind w:left="2520" w:hanging="360"/>
      </w:pPr>
      <w:rPr>
        <w:rFonts w:hint="default"/>
      </w:rPr>
    </w:lvl>
    <w:lvl w:ilvl="1" w:tplc="7FF41C0E">
      <w:start w:val="1"/>
      <w:numFmt w:val="lowerLetter"/>
      <w:lvlText w:val="%2."/>
      <w:lvlJc w:val="left"/>
      <w:pPr>
        <w:tabs>
          <w:tab w:val="num" w:pos="3600"/>
        </w:tabs>
        <w:ind w:left="3600" w:hanging="360"/>
      </w:pPr>
    </w:lvl>
    <w:lvl w:ilvl="2" w:tplc="BB648B94">
      <w:start w:val="1"/>
      <w:numFmt w:val="lowerRoman"/>
      <w:lvlText w:val="%3."/>
      <w:lvlJc w:val="right"/>
      <w:pPr>
        <w:tabs>
          <w:tab w:val="num" w:pos="4320"/>
        </w:tabs>
        <w:ind w:left="4320" w:hanging="180"/>
      </w:pPr>
    </w:lvl>
    <w:lvl w:ilvl="3" w:tplc="1C0EA972">
      <w:start w:val="1"/>
      <w:numFmt w:val="lowerLetter"/>
      <w:lvlText w:val="%4."/>
      <w:lvlJc w:val="left"/>
      <w:pPr>
        <w:tabs>
          <w:tab w:val="num" w:pos="5040"/>
        </w:tabs>
        <w:ind w:left="5040" w:hanging="360"/>
      </w:pPr>
      <w:rPr>
        <w:rFonts w:hint="default"/>
      </w:rPr>
    </w:lvl>
    <w:lvl w:ilvl="4" w:tplc="ECD8D7C4">
      <w:start w:val="1"/>
      <w:numFmt w:val="decimal"/>
      <w:lvlText w:val="%5."/>
      <w:lvlJc w:val="left"/>
      <w:pPr>
        <w:tabs>
          <w:tab w:val="num" w:pos="5760"/>
        </w:tabs>
        <w:ind w:left="5760" w:hanging="360"/>
      </w:pPr>
      <w:rPr>
        <w:rFonts w:hint="default"/>
      </w:rPr>
    </w:lvl>
    <w:lvl w:ilvl="5" w:tplc="31A00EDA" w:tentative="1">
      <w:start w:val="1"/>
      <w:numFmt w:val="lowerRoman"/>
      <w:lvlText w:val="%6."/>
      <w:lvlJc w:val="right"/>
      <w:pPr>
        <w:tabs>
          <w:tab w:val="num" w:pos="6480"/>
        </w:tabs>
        <w:ind w:left="6480" w:hanging="180"/>
      </w:pPr>
    </w:lvl>
    <w:lvl w:ilvl="6" w:tplc="35E87D46" w:tentative="1">
      <w:start w:val="1"/>
      <w:numFmt w:val="decimal"/>
      <w:lvlText w:val="%7."/>
      <w:lvlJc w:val="left"/>
      <w:pPr>
        <w:tabs>
          <w:tab w:val="num" w:pos="7200"/>
        </w:tabs>
        <w:ind w:left="7200" w:hanging="360"/>
      </w:pPr>
    </w:lvl>
    <w:lvl w:ilvl="7" w:tplc="7326F1A0" w:tentative="1">
      <w:start w:val="1"/>
      <w:numFmt w:val="lowerLetter"/>
      <w:lvlText w:val="%8."/>
      <w:lvlJc w:val="left"/>
      <w:pPr>
        <w:tabs>
          <w:tab w:val="num" w:pos="7920"/>
        </w:tabs>
        <w:ind w:left="7920" w:hanging="360"/>
      </w:pPr>
    </w:lvl>
    <w:lvl w:ilvl="8" w:tplc="4D366366" w:tentative="1">
      <w:start w:val="1"/>
      <w:numFmt w:val="lowerRoman"/>
      <w:lvlText w:val="%9."/>
      <w:lvlJc w:val="right"/>
      <w:pPr>
        <w:tabs>
          <w:tab w:val="num" w:pos="8640"/>
        </w:tabs>
        <w:ind w:left="8640" w:hanging="180"/>
      </w:pPr>
    </w:lvl>
  </w:abstractNum>
  <w:abstractNum w:abstractNumId="7">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730C12"/>
    <w:multiLevelType w:val="hybridMultilevel"/>
    <w:tmpl w:val="67C8BC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B6"/>
    <w:rsid w:val="00010C2C"/>
    <w:rsid w:val="00015E50"/>
    <w:rsid w:val="00021836"/>
    <w:rsid w:val="00031F11"/>
    <w:rsid w:val="0004057B"/>
    <w:rsid w:val="000429FD"/>
    <w:rsid w:val="000467D2"/>
    <w:rsid w:val="00046C24"/>
    <w:rsid w:val="00047549"/>
    <w:rsid w:val="000506F3"/>
    <w:rsid w:val="00055C88"/>
    <w:rsid w:val="00062EC0"/>
    <w:rsid w:val="000706D0"/>
    <w:rsid w:val="00071B89"/>
    <w:rsid w:val="0007410B"/>
    <w:rsid w:val="00074C79"/>
    <w:rsid w:val="00077419"/>
    <w:rsid w:val="0008767C"/>
    <w:rsid w:val="00092F4A"/>
    <w:rsid w:val="000953EF"/>
    <w:rsid w:val="0009559E"/>
    <w:rsid w:val="000A3CB2"/>
    <w:rsid w:val="000A4EA4"/>
    <w:rsid w:val="000A777B"/>
    <w:rsid w:val="000B232C"/>
    <w:rsid w:val="000B3C90"/>
    <w:rsid w:val="000C0687"/>
    <w:rsid w:val="000C3320"/>
    <w:rsid w:val="000C40D3"/>
    <w:rsid w:val="000F1B49"/>
    <w:rsid w:val="000F5465"/>
    <w:rsid w:val="00101192"/>
    <w:rsid w:val="001020C6"/>
    <w:rsid w:val="00103D94"/>
    <w:rsid w:val="00106217"/>
    <w:rsid w:val="00114294"/>
    <w:rsid w:val="00121A5F"/>
    <w:rsid w:val="00122813"/>
    <w:rsid w:val="00125613"/>
    <w:rsid w:val="00137A08"/>
    <w:rsid w:val="00142044"/>
    <w:rsid w:val="00142650"/>
    <w:rsid w:val="001478D0"/>
    <w:rsid w:val="0016112F"/>
    <w:rsid w:val="0016433E"/>
    <w:rsid w:val="00165DFF"/>
    <w:rsid w:val="00167F9A"/>
    <w:rsid w:val="00180022"/>
    <w:rsid w:val="0018320B"/>
    <w:rsid w:val="00190880"/>
    <w:rsid w:val="001913B0"/>
    <w:rsid w:val="00191413"/>
    <w:rsid w:val="00197141"/>
    <w:rsid w:val="001B46A0"/>
    <w:rsid w:val="001B5DB5"/>
    <w:rsid w:val="001C4774"/>
    <w:rsid w:val="001D2808"/>
    <w:rsid w:val="001D7E82"/>
    <w:rsid w:val="001E22FA"/>
    <w:rsid w:val="001E5D33"/>
    <w:rsid w:val="001F0C2D"/>
    <w:rsid w:val="001F2DB0"/>
    <w:rsid w:val="001F6AFB"/>
    <w:rsid w:val="001F72EA"/>
    <w:rsid w:val="002102FC"/>
    <w:rsid w:val="002104F3"/>
    <w:rsid w:val="00211584"/>
    <w:rsid w:val="00211DEB"/>
    <w:rsid w:val="00220C6C"/>
    <w:rsid w:val="002369DF"/>
    <w:rsid w:val="002373CD"/>
    <w:rsid w:val="0024256C"/>
    <w:rsid w:val="0025382C"/>
    <w:rsid w:val="0025701F"/>
    <w:rsid w:val="0026062F"/>
    <w:rsid w:val="00261E8E"/>
    <w:rsid w:val="0026237F"/>
    <w:rsid w:val="002707C9"/>
    <w:rsid w:val="00274B01"/>
    <w:rsid w:val="00274E87"/>
    <w:rsid w:val="0027558B"/>
    <w:rsid w:val="00276496"/>
    <w:rsid w:val="00277A2C"/>
    <w:rsid w:val="00282F9C"/>
    <w:rsid w:val="00294254"/>
    <w:rsid w:val="002A4B28"/>
    <w:rsid w:val="002A70FA"/>
    <w:rsid w:val="002B31AF"/>
    <w:rsid w:val="002C5763"/>
    <w:rsid w:val="002C7171"/>
    <w:rsid w:val="002D3620"/>
    <w:rsid w:val="002D437C"/>
    <w:rsid w:val="002D475F"/>
    <w:rsid w:val="002F2CFC"/>
    <w:rsid w:val="002F38A3"/>
    <w:rsid w:val="00302066"/>
    <w:rsid w:val="00303A18"/>
    <w:rsid w:val="0031042D"/>
    <w:rsid w:val="00320F56"/>
    <w:rsid w:val="003234F2"/>
    <w:rsid w:val="003310B4"/>
    <w:rsid w:val="00336847"/>
    <w:rsid w:val="00337C6C"/>
    <w:rsid w:val="003411F8"/>
    <w:rsid w:val="003515F4"/>
    <w:rsid w:val="00360934"/>
    <w:rsid w:val="00361C0F"/>
    <w:rsid w:val="00365C3C"/>
    <w:rsid w:val="003718D6"/>
    <w:rsid w:val="003740AB"/>
    <w:rsid w:val="003741B5"/>
    <w:rsid w:val="0037474E"/>
    <w:rsid w:val="00383356"/>
    <w:rsid w:val="00396813"/>
    <w:rsid w:val="003A6583"/>
    <w:rsid w:val="003B05D6"/>
    <w:rsid w:val="003B3576"/>
    <w:rsid w:val="003B48F2"/>
    <w:rsid w:val="003D7FD1"/>
    <w:rsid w:val="003E2525"/>
    <w:rsid w:val="003E703B"/>
    <w:rsid w:val="003F3BBB"/>
    <w:rsid w:val="00401878"/>
    <w:rsid w:val="00403632"/>
    <w:rsid w:val="00410991"/>
    <w:rsid w:val="00415F6C"/>
    <w:rsid w:val="004369EB"/>
    <w:rsid w:val="00440F85"/>
    <w:rsid w:val="00441D12"/>
    <w:rsid w:val="00441D63"/>
    <w:rsid w:val="00447D1C"/>
    <w:rsid w:val="0045414A"/>
    <w:rsid w:val="00454D4C"/>
    <w:rsid w:val="00470C63"/>
    <w:rsid w:val="00480ED8"/>
    <w:rsid w:val="004828B3"/>
    <w:rsid w:val="00483E04"/>
    <w:rsid w:val="0048640F"/>
    <w:rsid w:val="004901E9"/>
    <w:rsid w:val="004911E1"/>
    <w:rsid w:val="00491D06"/>
    <w:rsid w:val="0049622D"/>
    <w:rsid w:val="00496AD5"/>
    <w:rsid w:val="00497AC6"/>
    <w:rsid w:val="004A0F46"/>
    <w:rsid w:val="004A1D20"/>
    <w:rsid w:val="004B700A"/>
    <w:rsid w:val="004C181B"/>
    <w:rsid w:val="004C1A24"/>
    <w:rsid w:val="004D0B74"/>
    <w:rsid w:val="004D1344"/>
    <w:rsid w:val="004D23C8"/>
    <w:rsid w:val="004E163B"/>
    <w:rsid w:val="004E477E"/>
    <w:rsid w:val="004E5E88"/>
    <w:rsid w:val="004E6E76"/>
    <w:rsid w:val="0050142A"/>
    <w:rsid w:val="005062F9"/>
    <w:rsid w:val="00514A07"/>
    <w:rsid w:val="005354D9"/>
    <w:rsid w:val="00541427"/>
    <w:rsid w:val="0054227E"/>
    <w:rsid w:val="0054230B"/>
    <w:rsid w:val="00543589"/>
    <w:rsid w:val="005557F0"/>
    <w:rsid w:val="00560CE5"/>
    <w:rsid w:val="00561BA3"/>
    <w:rsid w:val="0056329A"/>
    <w:rsid w:val="005808CA"/>
    <w:rsid w:val="0059093B"/>
    <w:rsid w:val="00592A65"/>
    <w:rsid w:val="005A34CD"/>
    <w:rsid w:val="005A5F20"/>
    <w:rsid w:val="005B259E"/>
    <w:rsid w:val="005B4183"/>
    <w:rsid w:val="005B4235"/>
    <w:rsid w:val="005C30F7"/>
    <w:rsid w:val="005C436C"/>
    <w:rsid w:val="005C4415"/>
    <w:rsid w:val="005C6C58"/>
    <w:rsid w:val="005D181D"/>
    <w:rsid w:val="005E53B6"/>
    <w:rsid w:val="005F4F6F"/>
    <w:rsid w:val="0060754E"/>
    <w:rsid w:val="0061086C"/>
    <w:rsid w:val="006179D3"/>
    <w:rsid w:val="00621C1A"/>
    <w:rsid w:val="00624F34"/>
    <w:rsid w:val="00626CDD"/>
    <w:rsid w:val="0064323B"/>
    <w:rsid w:val="0064787F"/>
    <w:rsid w:val="0065093F"/>
    <w:rsid w:val="00652712"/>
    <w:rsid w:val="006537D7"/>
    <w:rsid w:val="0065607C"/>
    <w:rsid w:val="00656A9E"/>
    <w:rsid w:val="00673F14"/>
    <w:rsid w:val="0067534B"/>
    <w:rsid w:val="00675B07"/>
    <w:rsid w:val="00680F42"/>
    <w:rsid w:val="006856DF"/>
    <w:rsid w:val="0068633F"/>
    <w:rsid w:val="0069449B"/>
    <w:rsid w:val="006A7CD0"/>
    <w:rsid w:val="006B74F3"/>
    <w:rsid w:val="006C486B"/>
    <w:rsid w:val="006C792A"/>
    <w:rsid w:val="006D0E1C"/>
    <w:rsid w:val="006D24EB"/>
    <w:rsid w:val="006D4434"/>
    <w:rsid w:val="006F283E"/>
    <w:rsid w:val="006F6BD4"/>
    <w:rsid w:val="006F6F40"/>
    <w:rsid w:val="00701555"/>
    <w:rsid w:val="00704458"/>
    <w:rsid w:val="007053E1"/>
    <w:rsid w:val="00707BA8"/>
    <w:rsid w:val="00710184"/>
    <w:rsid w:val="00717376"/>
    <w:rsid w:val="00727D1B"/>
    <w:rsid w:val="007337C9"/>
    <w:rsid w:val="00736427"/>
    <w:rsid w:val="00757BF5"/>
    <w:rsid w:val="007609A4"/>
    <w:rsid w:val="0076283B"/>
    <w:rsid w:val="00766A8C"/>
    <w:rsid w:val="00771DA8"/>
    <w:rsid w:val="00771F3E"/>
    <w:rsid w:val="00772F6D"/>
    <w:rsid w:val="00774415"/>
    <w:rsid w:val="007763E2"/>
    <w:rsid w:val="00790012"/>
    <w:rsid w:val="007914F2"/>
    <w:rsid w:val="0079542C"/>
    <w:rsid w:val="00795493"/>
    <w:rsid w:val="00795C09"/>
    <w:rsid w:val="00795CA6"/>
    <w:rsid w:val="0079740C"/>
    <w:rsid w:val="007A0124"/>
    <w:rsid w:val="007A280E"/>
    <w:rsid w:val="007A2854"/>
    <w:rsid w:val="007A2BC6"/>
    <w:rsid w:val="007A7A5A"/>
    <w:rsid w:val="007C02D1"/>
    <w:rsid w:val="007C2AE6"/>
    <w:rsid w:val="007C30F0"/>
    <w:rsid w:val="007D2DA5"/>
    <w:rsid w:val="007D30D1"/>
    <w:rsid w:val="007D7D85"/>
    <w:rsid w:val="007E0162"/>
    <w:rsid w:val="007F125C"/>
    <w:rsid w:val="00805351"/>
    <w:rsid w:val="008059B3"/>
    <w:rsid w:val="008076D6"/>
    <w:rsid w:val="008160D0"/>
    <w:rsid w:val="00820CB4"/>
    <w:rsid w:val="00845224"/>
    <w:rsid w:val="00845DE1"/>
    <w:rsid w:val="008731DF"/>
    <w:rsid w:val="008755F7"/>
    <w:rsid w:val="00875EE8"/>
    <w:rsid w:val="00877BA0"/>
    <w:rsid w:val="008834A3"/>
    <w:rsid w:val="0088731C"/>
    <w:rsid w:val="008A1D71"/>
    <w:rsid w:val="008A77EE"/>
    <w:rsid w:val="008B6D44"/>
    <w:rsid w:val="008C4DB3"/>
    <w:rsid w:val="008C5DE4"/>
    <w:rsid w:val="008D3C06"/>
    <w:rsid w:val="008E2D02"/>
    <w:rsid w:val="008F13CC"/>
    <w:rsid w:val="008F184F"/>
    <w:rsid w:val="008F4B8A"/>
    <w:rsid w:val="008F7EF6"/>
    <w:rsid w:val="00904450"/>
    <w:rsid w:val="0090516B"/>
    <w:rsid w:val="009078DF"/>
    <w:rsid w:val="00915A31"/>
    <w:rsid w:val="00920AEF"/>
    <w:rsid w:val="00927C77"/>
    <w:rsid w:val="00931A3A"/>
    <w:rsid w:val="00941AC6"/>
    <w:rsid w:val="009453D1"/>
    <w:rsid w:val="00950415"/>
    <w:rsid w:val="009506DA"/>
    <w:rsid w:val="0098540C"/>
    <w:rsid w:val="0098658A"/>
    <w:rsid w:val="009922A9"/>
    <w:rsid w:val="00993F87"/>
    <w:rsid w:val="00994F76"/>
    <w:rsid w:val="009A0C09"/>
    <w:rsid w:val="009A1A09"/>
    <w:rsid w:val="009C59C7"/>
    <w:rsid w:val="009C7266"/>
    <w:rsid w:val="009D0CFE"/>
    <w:rsid w:val="009D1B05"/>
    <w:rsid w:val="009D569F"/>
    <w:rsid w:val="009D6D4A"/>
    <w:rsid w:val="009E3E40"/>
    <w:rsid w:val="009F5A03"/>
    <w:rsid w:val="00A20377"/>
    <w:rsid w:val="00A2748F"/>
    <w:rsid w:val="00A27E16"/>
    <w:rsid w:val="00A36527"/>
    <w:rsid w:val="00A54381"/>
    <w:rsid w:val="00A56C8B"/>
    <w:rsid w:val="00A573B6"/>
    <w:rsid w:val="00A65959"/>
    <w:rsid w:val="00A67402"/>
    <w:rsid w:val="00A75E07"/>
    <w:rsid w:val="00A81271"/>
    <w:rsid w:val="00A84D13"/>
    <w:rsid w:val="00A86CCE"/>
    <w:rsid w:val="00A870CC"/>
    <w:rsid w:val="00AA343F"/>
    <w:rsid w:val="00AA65CC"/>
    <w:rsid w:val="00AB27C6"/>
    <w:rsid w:val="00AB4118"/>
    <w:rsid w:val="00AC163A"/>
    <w:rsid w:val="00AC3B64"/>
    <w:rsid w:val="00AC7AD9"/>
    <w:rsid w:val="00AD0C78"/>
    <w:rsid w:val="00AD1B8F"/>
    <w:rsid w:val="00AD76AF"/>
    <w:rsid w:val="00AF323B"/>
    <w:rsid w:val="00AF4284"/>
    <w:rsid w:val="00AF5CD2"/>
    <w:rsid w:val="00AF6F2B"/>
    <w:rsid w:val="00B0628D"/>
    <w:rsid w:val="00B237F6"/>
    <w:rsid w:val="00B238A7"/>
    <w:rsid w:val="00B439AE"/>
    <w:rsid w:val="00B43ABD"/>
    <w:rsid w:val="00B45448"/>
    <w:rsid w:val="00B5077B"/>
    <w:rsid w:val="00B57EC3"/>
    <w:rsid w:val="00B60C38"/>
    <w:rsid w:val="00B620F2"/>
    <w:rsid w:val="00B66324"/>
    <w:rsid w:val="00B721AF"/>
    <w:rsid w:val="00B730E3"/>
    <w:rsid w:val="00B75DCB"/>
    <w:rsid w:val="00B81C5F"/>
    <w:rsid w:val="00B823B3"/>
    <w:rsid w:val="00B9276A"/>
    <w:rsid w:val="00B92F1B"/>
    <w:rsid w:val="00BA2BAB"/>
    <w:rsid w:val="00BA6C23"/>
    <w:rsid w:val="00BC6D8B"/>
    <w:rsid w:val="00BD77C0"/>
    <w:rsid w:val="00BE2452"/>
    <w:rsid w:val="00BE2714"/>
    <w:rsid w:val="00BE7536"/>
    <w:rsid w:val="00BF6FC2"/>
    <w:rsid w:val="00C06213"/>
    <w:rsid w:val="00C06E7B"/>
    <w:rsid w:val="00C12B9B"/>
    <w:rsid w:val="00C17ECA"/>
    <w:rsid w:val="00C206F6"/>
    <w:rsid w:val="00C256F2"/>
    <w:rsid w:val="00C30537"/>
    <w:rsid w:val="00C30C71"/>
    <w:rsid w:val="00C358E8"/>
    <w:rsid w:val="00C36DAB"/>
    <w:rsid w:val="00C41C24"/>
    <w:rsid w:val="00C42FBA"/>
    <w:rsid w:val="00C4631E"/>
    <w:rsid w:val="00C47583"/>
    <w:rsid w:val="00C53E01"/>
    <w:rsid w:val="00C557FB"/>
    <w:rsid w:val="00C573BC"/>
    <w:rsid w:val="00C60304"/>
    <w:rsid w:val="00C60489"/>
    <w:rsid w:val="00C83925"/>
    <w:rsid w:val="00C91169"/>
    <w:rsid w:val="00C9315A"/>
    <w:rsid w:val="00C954FE"/>
    <w:rsid w:val="00CA790E"/>
    <w:rsid w:val="00CB2D06"/>
    <w:rsid w:val="00CB4AED"/>
    <w:rsid w:val="00CB4FFB"/>
    <w:rsid w:val="00CC1A43"/>
    <w:rsid w:val="00CD77FF"/>
    <w:rsid w:val="00CE1703"/>
    <w:rsid w:val="00CE591B"/>
    <w:rsid w:val="00CE706A"/>
    <w:rsid w:val="00CF1AD0"/>
    <w:rsid w:val="00CF4217"/>
    <w:rsid w:val="00D13254"/>
    <w:rsid w:val="00D154BE"/>
    <w:rsid w:val="00D17E29"/>
    <w:rsid w:val="00D36A4F"/>
    <w:rsid w:val="00D379A4"/>
    <w:rsid w:val="00D44CF1"/>
    <w:rsid w:val="00D51B9F"/>
    <w:rsid w:val="00D6672E"/>
    <w:rsid w:val="00D67FD7"/>
    <w:rsid w:val="00D7631C"/>
    <w:rsid w:val="00D81ACE"/>
    <w:rsid w:val="00D905B2"/>
    <w:rsid w:val="00D91268"/>
    <w:rsid w:val="00DA067A"/>
    <w:rsid w:val="00DA08F4"/>
    <w:rsid w:val="00DA2786"/>
    <w:rsid w:val="00DC5EF7"/>
    <w:rsid w:val="00DC6E1E"/>
    <w:rsid w:val="00DD0CCB"/>
    <w:rsid w:val="00DD4679"/>
    <w:rsid w:val="00DE7132"/>
    <w:rsid w:val="00DF1268"/>
    <w:rsid w:val="00DF17E8"/>
    <w:rsid w:val="00DF2EE9"/>
    <w:rsid w:val="00DF4366"/>
    <w:rsid w:val="00E0796A"/>
    <w:rsid w:val="00E108E1"/>
    <w:rsid w:val="00E1202C"/>
    <w:rsid w:val="00E23818"/>
    <w:rsid w:val="00E26062"/>
    <w:rsid w:val="00E27127"/>
    <w:rsid w:val="00E467FA"/>
    <w:rsid w:val="00E46B0A"/>
    <w:rsid w:val="00E4767A"/>
    <w:rsid w:val="00E62493"/>
    <w:rsid w:val="00E75566"/>
    <w:rsid w:val="00E83F67"/>
    <w:rsid w:val="00E93691"/>
    <w:rsid w:val="00E94A55"/>
    <w:rsid w:val="00E95298"/>
    <w:rsid w:val="00EA2A71"/>
    <w:rsid w:val="00EA5A1A"/>
    <w:rsid w:val="00EA7C35"/>
    <w:rsid w:val="00EB628C"/>
    <w:rsid w:val="00EB7326"/>
    <w:rsid w:val="00EC0AAD"/>
    <w:rsid w:val="00EC1502"/>
    <w:rsid w:val="00ED0208"/>
    <w:rsid w:val="00ED2F75"/>
    <w:rsid w:val="00ED6755"/>
    <w:rsid w:val="00EE1BD0"/>
    <w:rsid w:val="00EE5EB7"/>
    <w:rsid w:val="00EE7112"/>
    <w:rsid w:val="00F040DE"/>
    <w:rsid w:val="00F100A8"/>
    <w:rsid w:val="00F12403"/>
    <w:rsid w:val="00F178AE"/>
    <w:rsid w:val="00F208C1"/>
    <w:rsid w:val="00F26A06"/>
    <w:rsid w:val="00F27C91"/>
    <w:rsid w:val="00F3622E"/>
    <w:rsid w:val="00F40823"/>
    <w:rsid w:val="00F57B67"/>
    <w:rsid w:val="00F76718"/>
    <w:rsid w:val="00F8451D"/>
    <w:rsid w:val="00FA2CC4"/>
    <w:rsid w:val="00FA2FDD"/>
    <w:rsid w:val="00FB14D6"/>
    <w:rsid w:val="00FB31B9"/>
    <w:rsid w:val="00FC1040"/>
    <w:rsid w:val="00FC17F3"/>
    <w:rsid w:val="00FC5AA5"/>
    <w:rsid w:val="00FD14B2"/>
    <w:rsid w:val="00FD3872"/>
    <w:rsid w:val="00FD5B35"/>
    <w:rsid w:val="00FD7F72"/>
    <w:rsid w:val="00FE17ED"/>
    <w:rsid w:val="00FE5854"/>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1440"/>
    </w:pPr>
    <w:rPr>
      <w:sz w:val="24"/>
      <w:szCs w:val="24"/>
    </w:rPr>
  </w:style>
  <w:style w:type="paragraph" w:styleId="Heading1">
    <w:name w:val="heading 1"/>
    <w:basedOn w:val="Normal"/>
    <w:next w:val="BodyText2"/>
    <w:qFormat/>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BodyText2"/>
    <w:qFormat/>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pPr>
      <w:widowControl w:val="0"/>
      <w:tabs>
        <w:tab w:val="num" w:pos="0"/>
      </w:tabs>
      <w:spacing w:after="240"/>
      <w:ind w:left="5026" w:hanging="720"/>
      <w:outlineLvl w:val="6"/>
    </w:pPr>
    <w:rPr>
      <w:snapToGrid w:val="0"/>
    </w:rPr>
  </w:style>
  <w:style w:type="paragraph" w:styleId="Heading8">
    <w:name w:val="heading 8"/>
    <w:basedOn w:val="Normal"/>
    <w:next w:val="BodyText2"/>
    <w:qFormat/>
    <w:pPr>
      <w:widowControl w:val="0"/>
      <w:tabs>
        <w:tab w:val="num" w:pos="0"/>
      </w:tabs>
      <w:spacing w:after="240"/>
      <w:ind w:left="5746" w:hanging="720"/>
      <w:outlineLvl w:val="7"/>
    </w:pPr>
    <w:rPr>
      <w:iCs/>
      <w:snapToGrid w:val="0"/>
    </w:rPr>
  </w:style>
  <w:style w:type="paragraph" w:styleId="Heading9">
    <w:name w:val="heading 9"/>
    <w:basedOn w:val="Normal"/>
    <w:next w:val="BodyText2"/>
    <w:qFormat/>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
    <w:basedOn w:val="Normal"/>
    <w:link w:val="FootnoteTextChar"/>
    <w:uiPriority w:val="99"/>
    <w:rPr>
      <w:sz w:val="20"/>
      <w:szCs w:val="20"/>
    </w:rPr>
  </w:style>
  <w:style w:type="character" w:styleId="FootnoteReference">
    <w:name w:val="footnote reference"/>
    <w:uiPriority w:val="99"/>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
    <w:name w:val="Body Text"/>
    <w:basedOn w:val="Normal"/>
    <w:rPr>
      <w:rFonts w:ascii="Times New (W1)" w:hAnsi="Times New (W1)" w:cs="Times New (W1)"/>
      <w:color w:val="000000"/>
      <w:sz w:val="26"/>
    </w:rPr>
  </w:style>
  <w:style w:type="paragraph" w:styleId="ListNumber">
    <w:name w:val="List Number"/>
    <w:basedOn w:val="Normal"/>
    <w:pPr>
      <w:numPr>
        <w:numId w:val="2"/>
      </w:numPr>
      <w:tabs>
        <w:tab w:val="clear" w:pos="360"/>
      </w:tabs>
      <w:spacing w:line="480" w:lineRule="auto"/>
      <w:ind w:left="0" w:firstLine="720"/>
    </w:pPr>
  </w:style>
  <w:style w:type="character" w:customStyle="1" w:styleId="CharChar">
    <w:name w:val="Char Char"/>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
    <w:basedOn w:val="DefaultParagraphFont"/>
    <w:link w:val="FootnoteText"/>
    <w:uiPriority w:val="99"/>
    <w:rsid w:val="00701555"/>
  </w:style>
  <w:style w:type="paragraph" w:styleId="Header">
    <w:name w:val="header"/>
    <w:basedOn w:val="Normal"/>
    <w:link w:val="HeaderChar"/>
    <w:rsid w:val="00931A3A"/>
    <w:pPr>
      <w:tabs>
        <w:tab w:val="center" w:pos="4680"/>
        <w:tab w:val="right" w:pos="9360"/>
      </w:tabs>
      <w:spacing w:line="240" w:lineRule="auto"/>
    </w:pPr>
  </w:style>
  <w:style w:type="character" w:customStyle="1" w:styleId="HeaderChar">
    <w:name w:val="Header Char"/>
    <w:basedOn w:val="DefaultParagraphFont"/>
    <w:link w:val="Header"/>
    <w:rsid w:val="00931A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1440"/>
    </w:pPr>
    <w:rPr>
      <w:sz w:val="24"/>
      <w:szCs w:val="24"/>
    </w:rPr>
  </w:style>
  <w:style w:type="paragraph" w:styleId="Heading1">
    <w:name w:val="heading 1"/>
    <w:basedOn w:val="Normal"/>
    <w:next w:val="BodyText2"/>
    <w:qFormat/>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BodyText2"/>
    <w:qFormat/>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pPr>
      <w:widowControl w:val="0"/>
      <w:tabs>
        <w:tab w:val="num" w:pos="0"/>
      </w:tabs>
      <w:spacing w:after="240"/>
      <w:ind w:left="5026" w:hanging="720"/>
      <w:outlineLvl w:val="6"/>
    </w:pPr>
    <w:rPr>
      <w:snapToGrid w:val="0"/>
    </w:rPr>
  </w:style>
  <w:style w:type="paragraph" w:styleId="Heading8">
    <w:name w:val="heading 8"/>
    <w:basedOn w:val="Normal"/>
    <w:next w:val="BodyText2"/>
    <w:qFormat/>
    <w:pPr>
      <w:widowControl w:val="0"/>
      <w:tabs>
        <w:tab w:val="num" w:pos="0"/>
      </w:tabs>
      <w:spacing w:after="240"/>
      <w:ind w:left="5746" w:hanging="720"/>
      <w:outlineLvl w:val="7"/>
    </w:pPr>
    <w:rPr>
      <w:iCs/>
      <w:snapToGrid w:val="0"/>
    </w:rPr>
  </w:style>
  <w:style w:type="paragraph" w:styleId="Heading9">
    <w:name w:val="heading 9"/>
    <w:basedOn w:val="Normal"/>
    <w:next w:val="BodyText2"/>
    <w:qFormat/>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
    <w:basedOn w:val="Normal"/>
    <w:link w:val="FootnoteTextChar"/>
    <w:uiPriority w:val="99"/>
    <w:rPr>
      <w:sz w:val="20"/>
      <w:szCs w:val="20"/>
    </w:rPr>
  </w:style>
  <w:style w:type="character" w:styleId="FootnoteReference">
    <w:name w:val="footnote reference"/>
    <w:uiPriority w:val="99"/>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
    <w:name w:val="Body Text"/>
    <w:basedOn w:val="Normal"/>
    <w:rPr>
      <w:rFonts w:ascii="Times New (W1)" w:hAnsi="Times New (W1)" w:cs="Times New (W1)"/>
      <w:color w:val="000000"/>
      <w:sz w:val="26"/>
    </w:rPr>
  </w:style>
  <w:style w:type="paragraph" w:styleId="ListNumber">
    <w:name w:val="List Number"/>
    <w:basedOn w:val="Normal"/>
    <w:pPr>
      <w:numPr>
        <w:numId w:val="2"/>
      </w:numPr>
      <w:tabs>
        <w:tab w:val="clear" w:pos="360"/>
      </w:tabs>
      <w:spacing w:line="480" w:lineRule="auto"/>
      <w:ind w:left="0" w:firstLine="720"/>
    </w:pPr>
  </w:style>
  <w:style w:type="character" w:customStyle="1" w:styleId="CharChar">
    <w:name w:val="Char Char"/>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
    <w:basedOn w:val="DefaultParagraphFont"/>
    <w:link w:val="FootnoteText"/>
    <w:uiPriority w:val="99"/>
    <w:rsid w:val="00701555"/>
  </w:style>
  <w:style w:type="paragraph" w:styleId="Header">
    <w:name w:val="header"/>
    <w:basedOn w:val="Normal"/>
    <w:link w:val="HeaderChar"/>
    <w:rsid w:val="00931A3A"/>
    <w:pPr>
      <w:tabs>
        <w:tab w:val="center" w:pos="4680"/>
        <w:tab w:val="right" w:pos="9360"/>
      </w:tabs>
      <w:spacing w:line="240" w:lineRule="auto"/>
    </w:pPr>
  </w:style>
  <w:style w:type="character" w:customStyle="1" w:styleId="HeaderChar">
    <w:name w:val="Header Char"/>
    <w:basedOn w:val="DefaultParagraphFont"/>
    <w:link w:val="Header"/>
    <w:rsid w:val="00931A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8A79-D77E-4B78-B346-379DC85B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5</cp:revision>
  <cp:lastPrinted>2012-10-02T12:38:00Z</cp:lastPrinted>
  <dcterms:created xsi:type="dcterms:W3CDTF">2012-09-27T14:00:00Z</dcterms:created>
  <dcterms:modified xsi:type="dcterms:W3CDTF">2012-10-02T12:38:00Z</dcterms:modified>
</cp:coreProperties>
</file>