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7817"/>
        <w:gridCol w:w="1710"/>
      </w:tblGrid>
      <w:tr w:rsidR="005C5D56" w:rsidRPr="005C5D56" w:rsidTr="00B87787">
        <w:trPr>
          <w:trHeight w:val="990"/>
        </w:trPr>
        <w:tc>
          <w:tcPr>
            <w:tcW w:w="1363" w:type="dxa"/>
          </w:tcPr>
          <w:p w:rsidR="005C5D56" w:rsidRPr="005C5D56" w:rsidRDefault="005C5D56" w:rsidP="005C5D56">
            <w:pPr>
              <w:rPr>
                <w:rFonts w:ascii="Times New Roman" w:eastAsia="Times New Roman" w:hAnsi="Times New Roman" w:cs="Times New Roman"/>
                <w:sz w:val="24"/>
                <w:szCs w:val="24"/>
              </w:rPr>
            </w:pPr>
            <w:r w:rsidRPr="005C5D56">
              <w:rPr>
                <w:rFonts w:ascii="Times New Roman" w:eastAsia="Times New Roman" w:hAnsi="Times New Roman" w:cs="Times New Roman"/>
                <w:noProof/>
                <w:spacing w:val="-2"/>
                <w:sz w:val="24"/>
                <w:szCs w:val="24"/>
              </w:rPr>
              <w:drawing>
                <wp:inline distT="0" distB="0" distL="0" distR="0" wp14:anchorId="410F5C96" wp14:editId="055FC74E">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817" w:type="dxa"/>
          </w:tcPr>
          <w:p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p>
          <w:p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smartTag w:uri="urn:schemas-microsoft-com:office:smarttags" w:element="place">
              <w:smartTag w:uri="urn:schemas-microsoft-com:office:smarttags" w:element="PlaceType">
                <w:r w:rsidRPr="005C5D56">
                  <w:rPr>
                    <w:rFonts w:ascii="Arial" w:eastAsia="Times New Roman" w:hAnsi="Arial" w:cs="Times New Roman"/>
                    <w:color w:val="000080"/>
                    <w:spacing w:val="-3"/>
                    <w:sz w:val="26"/>
                    <w:szCs w:val="24"/>
                  </w:rPr>
                  <w:t>COMMONWEALTH</w:t>
                </w:r>
              </w:smartTag>
              <w:r w:rsidRPr="005C5D56">
                <w:rPr>
                  <w:rFonts w:ascii="Arial" w:eastAsia="Times New Roman" w:hAnsi="Arial" w:cs="Times New Roman"/>
                  <w:color w:val="000080"/>
                  <w:spacing w:val="-3"/>
                  <w:sz w:val="26"/>
                  <w:szCs w:val="24"/>
                </w:rPr>
                <w:t xml:space="preserve"> OF </w:t>
              </w:r>
              <w:smartTag w:uri="urn:schemas-microsoft-com:office:smarttags" w:element="PlaceName">
                <w:r w:rsidRPr="005C5D56">
                  <w:rPr>
                    <w:rFonts w:ascii="Arial" w:eastAsia="Times New Roman" w:hAnsi="Arial" w:cs="Times New Roman"/>
                    <w:color w:val="000080"/>
                    <w:spacing w:val="-3"/>
                    <w:sz w:val="26"/>
                    <w:szCs w:val="24"/>
                  </w:rPr>
                  <w:t>PENNSYLVANIA</w:t>
                </w:r>
              </w:smartTag>
            </w:smartTag>
          </w:p>
          <w:p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smartTag w:uri="urn:schemas-microsoft-com:office:smarttags" w:element="place">
              <w:smartTag w:uri="urn:schemas-microsoft-com:office:smarttags" w:element="State">
                <w:r w:rsidRPr="005C5D56">
                  <w:rPr>
                    <w:rFonts w:ascii="Arial" w:eastAsia="Times New Roman" w:hAnsi="Arial" w:cs="Times New Roman"/>
                    <w:color w:val="000080"/>
                    <w:spacing w:val="-3"/>
                    <w:sz w:val="26"/>
                    <w:szCs w:val="24"/>
                  </w:rPr>
                  <w:t>PENNSYLVANIA</w:t>
                </w:r>
              </w:smartTag>
            </w:smartTag>
            <w:r w:rsidRPr="005C5D56">
              <w:rPr>
                <w:rFonts w:ascii="Arial" w:eastAsia="Times New Roman" w:hAnsi="Arial" w:cs="Times New Roman"/>
                <w:color w:val="000080"/>
                <w:spacing w:val="-3"/>
                <w:sz w:val="26"/>
                <w:szCs w:val="24"/>
              </w:rPr>
              <w:t xml:space="preserve"> PUBLIC UTILITY COMMISSION</w:t>
            </w:r>
          </w:p>
          <w:p w:rsidR="005C5D56" w:rsidRPr="005C5D56" w:rsidRDefault="005C5D56" w:rsidP="005C5D56">
            <w:pPr>
              <w:jc w:val="center"/>
              <w:rPr>
                <w:rFonts w:ascii="Arial" w:eastAsia="Times New Roman" w:hAnsi="Arial" w:cs="Times New Roman"/>
                <w:sz w:val="12"/>
                <w:szCs w:val="24"/>
              </w:rPr>
            </w:pPr>
            <w:r w:rsidRPr="005C5D56">
              <w:rPr>
                <w:rFonts w:ascii="Arial" w:eastAsia="Times New Roman" w:hAnsi="Arial" w:cs="Times New Roman"/>
                <w:color w:val="000080"/>
                <w:spacing w:val="-3"/>
                <w:sz w:val="26"/>
                <w:szCs w:val="24"/>
              </w:rPr>
              <w:t xml:space="preserve">P.O. </w:t>
            </w:r>
            <w:smartTag w:uri="urn:schemas-microsoft-com:office:smarttags" w:element="address">
              <w:smartTag w:uri="urn:schemas-microsoft-com:office:smarttags" w:element="Street">
                <w:r w:rsidRPr="005C5D56">
                  <w:rPr>
                    <w:rFonts w:ascii="Arial" w:eastAsia="Times New Roman" w:hAnsi="Arial" w:cs="Times New Roman"/>
                    <w:color w:val="000080"/>
                    <w:spacing w:val="-3"/>
                    <w:sz w:val="26"/>
                    <w:szCs w:val="24"/>
                  </w:rPr>
                  <w:t>BOX 3265</w:t>
                </w:r>
              </w:smartTag>
              <w:r w:rsidRPr="005C5D56">
                <w:rPr>
                  <w:rFonts w:ascii="Arial" w:eastAsia="Times New Roman" w:hAnsi="Arial" w:cs="Times New Roman"/>
                  <w:color w:val="000080"/>
                  <w:spacing w:val="-3"/>
                  <w:sz w:val="26"/>
                  <w:szCs w:val="24"/>
                </w:rPr>
                <w:t xml:space="preserve">, </w:t>
              </w:r>
              <w:smartTag w:uri="urn:schemas-microsoft-com:office:smarttags" w:element="City">
                <w:r w:rsidRPr="005C5D56">
                  <w:rPr>
                    <w:rFonts w:ascii="Arial" w:eastAsia="Times New Roman" w:hAnsi="Arial" w:cs="Times New Roman"/>
                    <w:color w:val="000080"/>
                    <w:spacing w:val="-3"/>
                    <w:sz w:val="26"/>
                    <w:szCs w:val="24"/>
                  </w:rPr>
                  <w:t>HARRISBURG</w:t>
                </w:r>
              </w:smartTag>
              <w:r w:rsidRPr="005C5D56">
                <w:rPr>
                  <w:rFonts w:ascii="Arial" w:eastAsia="Times New Roman" w:hAnsi="Arial" w:cs="Times New Roman"/>
                  <w:color w:val="000080"/>
                  <w:spacing w:val="-3"/>
                  <w:sz w:val="26"/>
                  <w:szCs w:val="24"/>
                </w:rPr>
                <w:t xml:space="preserve">, </w:t>
              </w:r>
              <w:smartTag w:uri="urn:schemas-microsoft-com:office:smarttags" w:element="State">
                <w:r w:rsidRPr="005C5D56">
                  <w:rPr>
                    <w:rFonts w:ascii="Arial" w:eastAsia="Times New Roman" w:hAnsi="Arial" w:cs="Times New Roman"/>
                    <w:color w:val="000080"/>
                    <w:spacing w:val="-3"/>
                    <w:sz w:val="26"/>
                    <w:szCs w:val="24"/>
                  </w:rPr>
                  <w:t>PA</w:t>
                </w:r>
              </w:smartTag>
              <w:r w:rsidRPr="005C5D56">
                <w:rPr>
                  <w:rFonts w:ascii="Arial" w:eastAsia="Times New Roman" w:hAnsi="Arial" w:cs="Times New Roman"/>
                  <w:color w:val="000080"/>
                  <w:spacing w:val="-3"/>
                  <w:sz w:val="26"/>
                  <w:szCs w:val="24"/>
                </w:rPr>
                <w:t xml:space="preserve"> </w:t>
              </w:r>
              <w:smartTag w:uri="urn:schemas-microsoft-com:office:smarttags" w:element="PostalCode">
                <w:r w:rsidRPr="005C5D56">
                  <w:rPr>
                    <w:rFonts w:ascii="Arial" w:eastAsia="Times New Roman" w:hAnsi="Arial" w:cs="Times New Roman"/>
                    <w:color w:val="000080"/>
                    <w:spacing w:val="-3"/>
                    <w:sz w:val="26"/>
                    <w:szCs w:val="24"/>
                  </w:rPr>
                  <w:t>17105-3265</w:t>
                </w:r>
              </w:smartTag>
            </w:smartTag>
          </w:p>
        </w:tc>
        <w:tc>
          <w:tcPr>
            <w:tcW w:w="1710" w:type="dxa"/>
          </w:tcPr>
          <w:p w:rsidR="005C5D56" w:rsidRPr="005C5D56" w:rsidRDefault="005C5D56" w:rsidP="005C5D56">
            <w:pPr>
              <w:rPr>
                <w:rFonts w:ascii="Arial" w:eastAsia="Times New Roman" w:hAnsi="Arial" w:cs="Times New Roman"/>
                <w:sz w:val="12"/>
                <w:szCs w:val="24"/>
              </w:rPr>
            </w:pPr>
          </w:p>
          <w:p w:rsidR="005C5D56" w:rsidRPr="005C5D56" w:rsidRDefault="005C5D56" w:rsidP="005C5D56">
            <w:pPr>
              <w:rPr>
                <w:rFonts w:ascii="Arial" w:eastAsia="Times New Roman" w:hAnsi="Arial" w:cs="Times New Roman"/>
                <w:sz w:val="12"/>
                <w:szCs w:val="24"/>
              </w:rPr>
            </w:pPr>
          </w:p>
          <w:p w:rsidR="005C5D56" w:rsidRDefault="005C5D56" w:rsidP="005C5D56">
            <w:pPr>
              <w:jc w:val="right"/>
              <w:rPr>
                <w:rFonts w:ascii="Arial" w:eastAsia="Times New Roman" w:hAnsi="Arial" w:cs="Times New Roman"/>
                <w:b/>
                <w:spacing w:val="-1"/>
                <w:sz w:val="12"/>
                <w:szCs w:val="24"/>
              </w:rPr>
            </w:pPr>
            <w:r w:rsidRPr="005C5D56">
              <w:rPr>
                <w:rFonts w:ascii="Arial" w:eastAsia="Times New Roman" w:hAnsi="Arial" w:cs="Times New Roman"/>
                <w:b/>
                <w:spacing w:val="-1"/>
                <w:sz w:val="12"/>
                <w:szCs w:val="24"/>
              </w:rPr>
              <w:t>IN REPLY PLEASE REFER TO OUR FILE</w:t>
            </w:r>
          </w:p>
          <w:p w:rsidR="00B87787" w:rsidRDefault="00B87787" w:rsidP="005C5D56">
            <w:pPr>
              <w:jc w:val="right"/>
              <w:rPr>
                <w:rFonts w:ascii="Arial" w:eastAsia="Times New Roman" w:hAnsi="Arial" w:cs="Times New Roman"/>
                <w:b/>
                <w:spacing w:val="-1"/>
                <w:sz w:val="12"/>
                <w:szCs w:val="24"/>
              </w:rPr>
            </w:pPr>
          </w:p>
          <w:p w:rsidR="00B87787" w:rsidRPr="00B05908" w:rsidRDefault="00B87787" w:rsidP="005C5D56">
            <w:pPr>
              <w:jc w:val="right"/>
              <w:rPr>
                <w:rFonts w:ascii="Arial" w:eastAsia="Times New Roman" w:hAnsi="Arial" w:cs="Times New Roman"/>
                <w:b/>
                <w:spacing w:val="-1"/>
                <w:sz w:val="16"/>
                <w:szCs w:val="24"/>
              </w:rPr>
            </w:pPr>
            <w:r w:rsidRPr="00B05908">
              <w:rPr>
                <w:rFonts w:ascii="Arial" w:eastAsia="Times New Roman" w:hAnsi="Arial" w:cs="Times New Roman"/>
                <w:b/>
                <w:spacing w:val="-1"/>
                <w:sz w:val="16"/>
                <w:szCs w:val="24"/>
              </w:rPr>
              <w:t>M-2012-2317272</w:t>
            </w:r>
          </w:p>
          <w:p w:rsidR="00B87787" w:rsidRPr="005C5D56" w:rsidRDefault="00B87787" w:rsidP="005C5D56">
            <w:pPr>
              <w:jc w:val="right"/>
              <w:rPr>
                <w:rFonts w:ascii="Arial" w:eastAsia="Times New Roman" w:hAnsi="Arial" w:cs="Times New Roman"/>
                <w:sz w:val="12"/>
                <w:szCs w:val="24"/>
              </w:rPr>
            </w:pPr>
            <w:r w:rsidRPr="00B05908">
              <w:rPr>
                <w:rFonts w:ascii="Arial" w:eastAsia="Times New Roman" w:hAnsi="Arial" w:cs="Times New Roman"/>
                <w:b/>
                <w:spacing w:val="-1"/>
                <w:sz w:val="16"/>
                <w:szCs w:val="24"/>
              </w:rPr>
              <w:t>M-2012-2293611</w:t>
            </w:r>
          </w:p>
        </w:tc>
      </w:tr>
    </w:tbl>
    <w:p w:rsidR="005C5D56" w:rsidRDefault="00682519" w:rsidP="00682519">
      <w:pPr>
        <w:jc w:val="center"/>
        <w:rPr>
          <w:rFonts w:ascii="Times New Roman" w:hAnsi="Times New Roman" w:cs="Times New Roman"/>
          <w:b/>
          <w:sz w:val="24"/>
          <w:szCs w:val="24"/>
        </w:rPr>
      </w:pPr>
      <w:r>
        <w:rPr>
          <w:rFonts w:ascii="Times New Roman" w:hAnsi="Times New Roman" w:cs="Times New Roman"/>
          <w:b/>
          <w:sz w:val="24"/>
          <w:szCs w:val="24"/>
        </w:rPr>
        <w:t>April 17, 2013</w:t>
      </w:r>
    </w:p>
    <w:p w:rsidR="005C5D56" w:rsidRDefault="005C5D56">
      <w:pPr>
        <w:rPr>
          <w:rFonts w:ascii="Times New Roman" w:hAnsi="Times New Roman" w:cs="Times New Roman"/>
          <w:b/>
          <w:sz w:val="24"/>
          <w:szCs w:val="24"/>
        </w:rPr>
      </w:pPr>
    </w:p>
    <w:p w:rsidR="00B87787" w:rsidRDefault="00B87787">
      <w:pPr>
        <w:rPr>
          <w:rFonts w:ascii="Times New Roman" w:hAnsi="Times New Roman" w:cs="Times New Roman"/>
          <w:b/>
          <w:sz w:val="24"/>
          <w:szCs w:val="24"/>
        </w:rPr>
      </w:pPr>
    </w:p>
    <w:p w:rsidR="00B87787" w:rsidRDefault="00B87787">
      <w:pPr>
        <w:rPr>
          <w:rFonts w:ascii="Times New Roman" w:hAnsi="Times New Roman" w:cs="Times New Roman"/>
          <w:b/>
          <w:sz w:val="24"/>
          <w:szCs w:val="24"/>
        </w:rPr>
      </w:pPr>
    </w:p>
    <w:p w:rsidR="00D94552" w:rsidRDefault="00B87787">
      <w:pPr>
        <w:rPr>
          <w:rFonts w:ascii="Times New Roman" w:hAnsi="Times New Roman" w:cs="Times New Roman"/>
          <w:b/>
          <w:sz w:val="24"/>
          <w:szCs w:val="24"/>
        </w:rPr>
      </w:pPr>
      <w:r>
        <w:rPr>
          <w:rFonts w:ascii="Times New Roman" w:hAnsi="Times New Roman" w:cs="Times New Roman"/>
          <w:b/>
          <w:sz w:val="24"/>
          <w:szCs w:val="24"/>
        </w:rPr>
        <w:t>To:</w:t>
      </w:r>
      <w:r w:rsidR="0078373D">
        <w:rPr>
          <w:rFonts w:ascii="Times New Roman" w:hAnsi="Times New Roman" w:cs="Times New Roman"/>
          <w:b/>
          <w:sz w:val="24"/>
          <w:szCs w:val="24"/>
        </w:rPr>
        <w:tab/>
      </w:r>
      <w:r>
        <w:rPr>
          <w:rFonts w:ascii="Times New Roman" w:hAnsi="Times New Roman" w:cs="Times New Roman"/>
          <w:b/>
          <w:sz w:val="24"/>
          <w:szCs w:val="24"/>
        </w:rPr>
        <w:t>All EDCs, NGDCs, PGW, Water, and Waste Water Utilities</w:t>
      </w:r>
    </w:p>
    <w:p w:rsidR="00D94552" w:rsidRDefault="00D94552">
      <w:pPr>
        <w:rPr>
          <w:rFonts w:ascii="Times New Roman" w:hAnsi="Times New Roman" w:cs="Times New Roman"/>
          <w:b/>
          <w:sz w:val="24"/>
          <w:szCs w:val="24"/>
        </w:rPr>
      </w:pPr>
    </w:p>
    <w:p w:rsidR="00D94552" w:rsidRDefault="00D94552">
      <w:pPr>
        <w:rPr>
          <w:rFonts w:ascii="Times New Roman" w:hAnsi="Times New Roman" w:cs="Times New Roman"/>
          <w:b/>
          <w:sz w:val="24"/>
          <w:szCs w:val="24"/>
        </w:rPr>
      </w:pPr>
    </w:p>
    <w:p w:rsidR="00B87787" w:rsidRDefault="00B87787">
      <w:pPr>
        <w:rPr>
          <w:rFonts w:ascii="Times New Roman" w:hAnsi="Times New Roman" w:cs="Times New Roman"/>
          <w:b/>
          <w:sz w:val="24"/>
          <w:szCs w:val="24"/>
        </w:rPr>
      </w:pPr>
      <w:r>
        <w:rPr>
          <w:rFonts w:ascii="Times New Roman" w:hAnsi="Times New Roman" w:cs="Times New Roman"/>
          <w:b/>
          <w:sz w:val="24"/>
          <w:szCs w:val="24"/>
        </w:rPr>
        <w:tab/>
        <w:t>Re:</w:t>
      </w:r>
      <w:r>
        <w:rPr>
          <w:rFonts w:ascii="Times New Roman" w:hAnsi="Times New Roman" w:cs="Times New Roman"/>
          <w:b/>
          <w:sz w:val="24"/>
          <w:szCs w:val="24"/>
        </w:rPr>
        <w:tab/>
        <w:t>ROE Working Group, M-2012-22</w:t>
      </w:r>
      <w:r w:rsidR="000B5CE9">
        <w:rPr>
          <w:rFonts w:ascii="Times New Roman" w:hAnsi="Times New Roman" w:cs="Times New Roman"/>
          <w:b/>
          <w:sz w:val="24"/>
          <w:szCs w:val="24"/>
        </w:rPr>
        <w:t>9</w:t>
      </w:r>
      <w:r>
        <w:rPr>
          <w:rFonts w:ascii="Times New Roman" w:hAnsi="Times New Roman" w:cs="Times New Roman"/>
          <w:b/>
          <w:sz w:val="24"/>
          <w:szCs w:val="24"/>
        </w:rPr>
        <w:t>3611</w:t>
      </w:r>
    </w:p>
    <w:p w:rsidR="00B87787" w:rsidRDefault="00B8778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Act </w:t>
      </w:r>
      <w:r w:rsidR="00662F39">
        <w:rPr>
          <w:rFonts w:ascii="Times New Roman" w:hAnsi="Times New Roman" w:cs="Times New Roman"/>
          <w:b/>
          <w:sz w:val="24"/>
          <w:szCs w:val="24"/>
        </w:rPr>
        <w:t>11</w:t>
      </w:r>
      <w:r>
        <w:rPr>
          <w:rFonts w:ascii="Times New Roman" w:hAnsi="Times New Roman" w:cs="Times New Roman"/>
          <w:b/>
          <w:sz w:val="24"/>
          <w:szCs w:val="24"/>
        </w:rPr>
        <w:t xml:space="preserve"> Final Implementation Order, M-2012-2317272 </w:t>
      </w:r>
    </w:p>
    <w:p w:rsidR="00B87787" w:rsidRDefault="00B87787">
      <w:pPr>
        <w:rPr>
          <w:rFonts w:ascii="Times New Roman" w:hAnsi="Times New Roman" w:cs="Times New Roman"/>
          <w:b/>
          <w:sz w:val="24"/>
          <w:szCs w:val="24"/>
        </w:rPr>
      </w:pPr>
    </w:p>
    <w:p w:rsidR="00D21D12" w:rsidRDefault="00B87787" w:rsidP="00270023">
      <w:pPr>
        <w:ind w:firstLine="720"/>
        <w:rPr>
          <w:rFonts w:ascii="Times New Roman" w:hAnsi="Times New Roman" w:cs="Times New Roman"/>
          <w:sz w:val="24"/>
          <w:szCs w:val="24"/>
        </w:rPr>
      </w:pPr>
      <w:r w:rsidRPr="00B87787">
        <w:rPr>
          <w:rFonts w:ascii="Times New Roman" w:hAnsi="Times New Roman" w:cs="Times New Roman"/>
          <w:sz w:val="24"/>
          <w:szCs w:val="24"/>
        </w:rPr>
        <w:t>Act 11 of 2012</w:t>
      </w:r>
      <w:r w:rsidR="00401636" w:rsidRPr="00574EC4">
        <w:rPr>
          <w:rStyle w:val="FootnoteReference"/>
        </w:rPr>
        <w:footnoteReference w:id="1"/>
      </w:r>
      <w:r w:rsidR="00214AAA">
        <w:rPr>
          <w:rFonts w:ascii="Times New Roman" w:hAnsi="Times New Roman" w:cs="Times New Roman"/>
          <w:sz w:val="24"/>
          <w:szCs w:val="24"/>
        </w:rPr>
        <w:t xml:space="preserve"> (Act 11)</w:t>
      </w:r>
      <w:r w:rsidRPr="00B87787">
        <w:rPr>
          <w:rFonts w:ascii="Times New Roman" w:hAnsi="Times New Roman" w:cs="Times New Roman"/>
          <w:sz w:val="24"/>
          <w:szCs w:val="24"/>
        </w:rPr>
        <w:t xml:space="preserve">, </w:t>
      </w:r>
      <w:r w:rsidRPr="00B87787">
        <w:rPr>
          <w:rFonts w:ascii="Times New Roman" w:hAnsi="Times New Roman" w:cs="Times New Roman"/>
          <w:i/>
          <w:sz w:val="24"/>
          <w:szCs w:val="24"/>
        </w:rPr>
        <w:t>inter alia</w:t>
      </w:r>
      <w:r w:rsidRPr="00B87787">
        <w:rPr>
          <w:rFonts w:ascii="Times New Roman" w:hAnsi="Times New Roman" w:cs="Times New Roman"/>
          <w:sz w:val="24"/>
          <w:szCs w:val="24"/>
        </w:rPr>
        <w:t>, allows jurisdictional water and wastewater utilities, electric distribution companies (EDCs), natural gas distribution companies (NGDCs)</w:t>
      </w:r>
      <w:r w:rsidR="00B05908">
        <w:rPr>
          <w:rFonts w:ascii="Times New Roman" w:hAnsi="Times New Roman" w:cs="Times New Roman"/>
          <w:sz w:val="24"/>
          <w:szCs w:val="24"/>
        </w:rPr>
        <w:t xml:space="preserve">, and a </w:t>
      </w:r>
      <w:r w:rsidRPr="00B87787">
        <w:rPr>
          <w:rFonts w:ascii="Times New Roman" w:hAnsi="Times New Roman" w:cs="Times New Roman"/>
          <w:sz w:val="24"/>
          <w:szCs w:val="24"/>
        </w:rPr>
        <w:t xml:space="preserve">city natural gas distribution operation </w:t>
      </w:r>
      <w:r>
        <w:rPr>
          <w:rFonts w:ascii="Times New Roman" w:hAnsi="Times New Roman" w:cs="Times New Roman"/>
          <w:sz w:val="24"/>
          <w:szCs w:val="24"/>
        </w:rPr>
        <w:t xml:space="preserve">(CNGDO) </w:t>
      </w:r>
      <w:r w:rsidRPr="00B87787">
        <w:rPr>
          <w:rFonts w:ascii="Times New Roman" w:hAnsi="Times New Roman" w:cs="Times New Roman"/>
          <w:sz w:val="24"/>
          <w:szCs w:val="24"/>
        </w:rPr>
        <w:t>to petition for a di</w:t>
      </w:r>
      <w:r w:rsidRPr="00B87787">
        <w:rPr>
          <w:rFonts w:ascii="Times New Roman" w:hAnsi="Times New Roman" w:cs="Times New Roman"/>
          <w:bCs/>
          <w:sz w:val="24"/>
          <w:szCs w:val="24"/>
        </w:rPr>
        <w:t>stribution system improvement charge (DSIC).</w:t>
      </w:r>
      <w:r w:rsidR="00D21D12">
        <w:rPr>
          <w:rFonts w:ascii="Times New Roman" w:hAnsi="Times New Roman" w:cs="Times New Roman"/>
          <w:bCs/>
          <w:sz w:val="24"/>
          <w:szCs w:val="24"/>
        </w:rPr>
        <w:t xml:space="preserve">  </w:t>
      </w:r>
      <w:r w:rsidR="00E02F6C">
        <w:rPr>
          <w:rFonts w:ascii="Times New Roman" w:hAnsi="Times New Roman" w:cs="Times New Roman"/>
          <w:sz w:val="24"/>
          <w:szCs w:val="24"/>
        </w:rPr>
        <w:t xml:space="preserve">A </w:t>
      </w:r>
      <w:r w:rsidR="00270023">
        <w:rPr>
          <w:rFonts w:ascii="Times New Roman" w:hAnsi="Times New Roman" w:cs="Times New Roman"/>
          <w:sz w:val="24"/>
          <w:szCs w:val="24"/>
        </w:rPr>
        <w:t xml:space="preserve">DSIC </w:t>
      </w:r>
      <w:r w:rsidR="00D21D12">
        <w:rPr>
          <w:rFonts w:ascii="Times New Roman" w:hAnsi="Times New Roman" w:cs="Times New Roman"/>
          <w:sz w:val="24"/>
          <w:szCs w:val="24"/>
        </w:rPr>
        <w:t xml:space="preserve">will allow utilities to timely recover “the reasonable and prudent costs incurred to repair, improve or replace eligible property in order to ensure and maintain adequate, efficient, safe, reliable and reasonable service.”  </w:t>
      </w:r>
      <w:proofErr w:type="gramStart"/>
      <w:r w:rsidR="00D21D12">
        <w:rPr>
          <w:rFonts w:ascii="Times New Roman" w:hAnsi="Times New Roman" w:cs="Times New Roman"/>
          <w:sz w:val="24"/>
          <w:szCs w:val="24"/>
        </w:rPr>
        <w:t>66 Pa. C.S. §</w:t>
      </w:r>
      <w:r w:rsidR="0078373D">
        <w:rPr>
          <w:rFonts w:ascii="Times New Roman" w:hAnsi="Times New Roman" w:cs="Times New Roman"/>
          <w:sz w:val="24"/>
          <w:szCs w:val="24"/>
        </w:rPr>
        <w:t xml:space="preserve"> </w:t>
      </w:r>
      <w:r w:rsidR="00D21D12">
        <w:rPr>
          <w:rFonts w:ascii="Times New Roman" w:hAnsi="Times New Roman" w:cs="Times New Roman"/>
          <w:sz w:val="24"/>
          <w:szCs w:val="24"/>
        </w:rPr>
        <w:t>1353(a).</w:t>
      </w:r>
      <w:proofErr w:type="gramEnd"/>
      <w:r w:rsidR="00D21D12">
        <w:rPr>
          <w:rFonts w:ascii="Times New Roman" w:hAnsi="Times New Roman" w:cs="Times New Roman"/>
          <w:sz w:val="24"/>
          <w:szCs w:val="24"/>
        </w:rPr>
        <w:t xml:space="preserve">  </w:t>
      </w:r>
    </w:p>
    <w:p w:rsidR="00D21D12" w:rsidRDefault="00D21D12" w:rsidP="00270023">
      <w:pPr>
        <w:ind w:firstLine="720"/>
        <w:rPr>
          <w:rFonts w:ascii="Times New Roman" w:hAnsi="Times New Roman" w:cs="Times New Roman"/>
          <w:sz w:val="24"/>
          <w:szCs w:val="24"/>
        </w:rPr>
      </w:pPr>
    </w:p>
    <w:p w:rsidR="00D21D12" w:rsidRDefault="00D21D12" w:rsidP="00270023">
      <w:pPr>
        <w:ind w:firstLine="720"/>
        <w:rPr>
          <w:rFonts w:ascii="Times New Roman" w:hAnsi="Times New Roman" w:cs="Times New Roman"/>
          <w:sz w:val="24"/>
          <w:szCs w:val="24"/>
        </w:rPr>
      </w:pPr>
      <w:r>
        <w:rPr>
          <w:rFonts w:ascii="Times New Roman" w:hAnsi="Times New Roman" w:cs="Times New Roman"/>
          <w:sz w:val="24"/>
          <w:szCs w:val="24"/>
        </w:rPr>
        <w:t xml:space="preserve">A key component in the DSIC recovery calculation is the </w:t>
      </w:r>
      <w:r w:rsidR="00E02F6C">
        <w:rPr>
          <w:rFonts w:ascii="Times New Roman" w:hAnsi="Times New Roman" w:cs="Times New Roman"/>
          <w:sz w:val="24"/>
          <w:szCs w:val="24"/>
        </w:rPr>
        <w:t>return on equity (</w:t>
      </w:r>
      <w:r w:rsidR="00270023">
        <w:rPr>
          <w:rFonts w:ascii="Times New Roman" w:hAnsi="Times New Roman" w:cs="Times New Roman"/>
          <w:sz w:val="24"/>
          <w:szCs w:val="24"/>
        </w:rPr>
        <w:t>ROE</w:t>
      </w:r>
      <w:r w:rsidR="00E02F6C">
        <w:rPr>
          <w:rFonts w:ascii="Times New Roman" w:hAnsi="Times New Roman" w:cs="Times New Roman"/>
          <w:sz w:val="24"/>
          <w:szCs w:val="24"/>
        </w:rPr>
        <w:t>)</w:t>
      </w:r>
      <w:r>
        <w:rPr>
          <w:rFonts w:ascii="Times New Roman" w:hAnsi="Times New Roman" w:cs="Times New Roman"/>
          <w:sz w:val="24"/>
          <w:szCs w:val="24"/>
        </w:rPr>
        <w:t>.  The ROE</w:t>
      </w:r>
      <w:r w:rsidR="00270023">
        <w:rPr>
          <w:rFonts w:ascii="Times New Roman" w:hAnsi="Times New Roman" w:cs="Times New Roman"/>
          <w:sz w:val="24"/>
          <w:szCs w:val="24"/>
        </w:rPr>
        <w:t xml:space="preserve"> </w:t>
      </w:r>
      <w:r w:rsidR="00B87787">
        <w:rPr>
          <w:rFonts w:ascii="Times New Roman" w:hAnsi="Times New Roman" w:cs="Times New Roman"/>
          <w:sz w:val="24"/>
          <w:szCs w:val="24"/>
        </w:rPr>
        <w:t xml:space="preserve">should </w:t>
      </w:r>
      <w:r w:rsidR="00270023">
        <w:rPr>
          <w:rFonts w:ascii="Times New Roman" w:hAnsi="Times New Roman" w:cs="Times New Roman"/>
          <w:sz w:val="24"/>
          <w:szCs w:val="24"/>
        </w:rPr>
        <w:t xml:space="preserve">balance the </w:t>
      </w:r>
      <w:r w:rsidR="00B43034">
        <w:rPr>
          <w:rFonts w:ascii="Times New Roman" w:hAnsi="Times New Roman" w:cs="Times New Roman"/>
          <w:sz w:val="24"/>
          <w:szCs w:val="24"/>
        </w:rPr>
        <w:t>interests</w:t>
      </w:r>
      <w:r w:rsidR="00270023">
        <w:rPr>
          <w:rFonts w:ascii="Times New Roman" w:hAnsi="Times New Roman" w:cs="Times New Roman"/>
          <w:sz w:val="24"/>
          <w:szCs w:val="24"/>
        </w:rPr>
        <w:t xml:space="preserve"> of consumers and utilities</w:t>
      </w:r>
      <w:r>
        <w:rPr>
          <w:rFonts w:ascii="Times New Roman" w:hAnsi="Times New Roman" w:cs="Times New Roman"/>
          <w:sz w:val="24"/>
          <w:szCs w:val="24"/>
        </w:rPr>
        <w:t xml:space="preserve">, and be </w:t>
      </w:r>
      <w:r w:rsidR="00E02F6C">
        <w:rPr>
          <w:rFonts w:ascii="Times New Roman" w:hAnsi="Times New Roman" w:cs="Times New Roman"/>
          <w:sz w:val="24"/>
          <w:szCs w:val="24"/>
        </w:rPr>
        <w:t>sufficient to attract</w:t>
      </w:r>
      <w:r>
        <w:rPr>
          <w:rFonts w:ascii="Times New Roman" w:hAnsi="Times New Roman" w:cs="Times New Roman"/>
          <w:sz w:val="24"/>
          <w:szCs w:val="24"/>
        </w:rPr>
        <w:t>, at reasonable rates,</w:t>
      </w:r>
      <w:r w:rsidR="00E02F6C">
        <w:rPr>
          <w:rFonts w:ascii="Times New Roman" w:hAnsi="Times New Roman" w:cs="Times New Roman"/>
          <w:sz w:val="24"/>
          <w:szCs w:val="24"/>
        </w:rPr>
        <w:t xml:space="preserve"> the capital needed to maintain and improve a utility’s infrastructure</w:t>
      </w:r>
      <w:r w:rsidR="00270023">
        <w:rPr>
          <w:rFonts w:ascii="Times New Roman" w:hAnsi="Times New Roman" w:cs="Times New Roman"/>
          <w:sz w:val="24"/>
          <w:szCs w:val="24"/>
        </w:rPr>
        <w:t xml:space="preserve">. </w:t>
      </w:r>
      <w:r w:rsidR="004E487C">
        <w:rPr>
          <w:rFonts w:ascii="Times New Roman" w:hAnsi="Times New Roman" w:cs="Times New Roman"/>
          <w:sz w:val="24"/>
          <w:szCs w:val="24"/>
        </w:rPr>
        <w:t xml:space="preserve"> </w:t>
      </w:r>
      <w:r>
        <w:rPr>
          <w:rFonts w:ascii="Times New Roman" w:hAnsi="Times New Roman" w:cs="Times New Roman"/>
          <w:bCs/>
          <w:sz w:val="24"/>
          <w:szCs w:val="24"/>
        </w:rPr>
        <w:t xml:space="preserve">Act 11 provides that the ROE shall be the equity return rate approved in the utility’s most recent fully litigated rate case.  </w:t>
      </w:r>
      <w:r w:rsidR="00B43034">
        <w:rPr>
          <w:rFonts w:ascii="Times New Roman" w:hAnsi="Times New Roman" w:cs="Times New Roman"/>
          <w:bCs/>
          <w:sz w:val="24"/>
          <w:szCs w:val="24"/>
        </w:rPr>
        <w:t>66 Pa. C.S. § 1357(b</w:t>
      </w:r>
      <w:proofErr w:type="gramStart"/>
      <w:r w:rsidR="00B43034">
        <w:rPr>
          <w:rFonts w:ascii="Times New Roman" w:hAnsi="Times New Roman" w:cs="Times New Roman"/>
          <w:bCs/>
          <w:sz w:val="24"/>
          <w:szCs w:val="24"/>
        </w:rPr>
        <w:t>)(</w:t>
      </w:r>
      <w:proofErr w:type="gramEnd"/>
      <w:r w:rsidR="00B43034">
        <w:rPr>
          <w:rFonts w:ascii="Times New Roman" w:hAnsi="Times New Roman" w:cs="Times New Roman"/>
          <w:bCs/>
          <w:sz w:val="24"/>
          <w:szCs w:val="24"/>
        </w:rPr>
        <w:t xml:space="preserve">2).  </w:t>
      </w:r>
      <w:r>
        <w:rPr>
          <w:rFonts w:ascii="Times New Roman" w:hAnsi="Times New Roman" w:cs="Times New Roman"/>
          <w:bCs/>
          <w:sz w:val="24"/>
          <w:szCs w:val="24"/>
        </w:rPr>
        <w:t>However, f</w:t>
      </w:r>
      <w:r w:rsidR="00E02F6C" w:rsidRPr="00B87787">
        <w:rPr>
          <w:rFonts w:ascii="Times New Roman" w:hAnsi="Times New Roman" w:cs="Times New Roman"/>
          <w:sz w:val="24"/>
          <w:szCs w:val="24"/>
        </w:rPr>
        <w:t xml:space="preserve">or utilities that do not have </w:t>
      </w:r>
      <w:r w:rsidR="00662F39">
        <w:rPr>
          <w:rFonts w:ascii="Times New Roman" w:hAnsi="Times New Roman" w:cs="Times New Roman"/>
          <w:sz w:val="24"/>
          <w:szCs w:val="24"/>
        </w:rPr>
        <w:t xml:space="preserve">an </w:t>
      </w:r>
      <w:r w:rsidR="00E02F6C" w:rsidRPr="00B87787">
        <w:rPr>
          <w:rFonts w:ascii="Times New Roman" w:hAnsi="Times New Roman" w:cs="Times New Roman"/>
          <w:sz w:val="24"/>
          <w:szCs w:val="24"/>
        </w:rPr>
        <w:t xml:space="preserve">ROE from </w:t>
      </w:r>
      <w:r w:rsidR="00662F39">
        <w:rPr>
          <w:rFonts w:ascii="Times New Roman" w:hAnsi="Times New Roman" w:cs="Times New Roman"/>
          <w:sz w:val="24"/>
          <w:szCs w:val="24"/>
        </w:rPr>
        <w:t xml:space="preserve">a </w:t>
      </w:r>
      <w:r w:rsidR="00E02F6C" w:rsidRPr="00B87787">
        <w:rPr>
          <w:rFonts w:ascii="Times New Roman" w:hAnsi="Times New Roman" w:cs="Times New Roman"/>
          <w:sz w:val="24"/>
          <w:szCs w:val="24"/>
        </w:rPr>
        <w:t>recent rate case</w:t>
      </w:r>
      <w:r w:rsidR="00E02F6C">
        <w:rPr>
          <w:rFonts w:ascii="Times New Roman" w:hAnsi="Times New Roman" w:cs="Times New Roman"/>
          <w:sz w:val="24"/>
          <w:szCs w:val="24"/>
        </w:rPr>
        <w:t>,</w:t>
      </w:r>
      <w:r w:rsidR="00E02F6C">
        <w:rPr>
          <w:rFonts w:ascii="Times New Roman" w:hAnsi="Times New Roman" w:cs="Times New Roman"/>
          <w:bCs/>
          <w:sz w:val="24"/>
          <w:szCs w:val="24"/>
        </w:rPr>
        <w:t xml:space="preserve"> Act 11 provides that</w:t>
      </w:r>
      <w:r>
        <w:rPr>
          <w:rFonts w:ascii="Times New Roman" w:hAnsi="Times New Roman" w:cs="Times New Roman"/>
          <w:bCs/>
          <w:sz w:val="24"/>
          <w:szCs w:val="24"/>
        </w:rPr>
        <w:t xml:space="preserve"> the ROE shall be the equity return rate calculated by the Commission in the most recent</w:t>
      </w:r>
      <w:r w:rsidR="00E02F6C">
        <w:rPr>
          <w:rFonts w:ascii="Times New Roman" w:hAnsi="Times New Roman" w:cs="Times New Roman"/>
          <w:bCs/>
          <w:sz w:val="24"/>
          <w:szCs w:val="24"/>
        </w:rPr>
        <w:t xml:space="preserve"> </w:t>
      </w:r>
      <w:r w:rsidR="00E02F6C" w:rsidRPr="00B87787">
        <w:rPr>
          <w:rFonts w:ascii="Times New Roman" w:hAnsi="Times New Roman" w:cs="Times New Roman"/>
          <w:bCs/>
          <w:sz w:val="24"/>
          <w:szCs w:val="24"/>
        </w:rPr>
        <w:t>Quarterly Earnings Report (QER)</w:t>
      </w:r>
      <w:r>
        <w:rPr>
          <w:rFonts w:ascii="Times New Roman" w:hAnsi="Times New Roman" w:cs="Times New Roman"/>
          <w:bCs/>
          <w:sz w:val="24"/>
          <w:szCs w:val="24"/>
        </w:rPr>
        <w:t>.  66 Pa. C.S. § 1357(b</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3).  </w:t>
      </w:r>
    </w:p>
    <w:p w:rsidR="00D21D12" w:rsidRDefault="00D21D12" w:rsidP="00270023">
      <w:pPr>
        <w:ind w:firstLine="720"/>
        <w:rPr>
          <w:rFonts w:ascii="Times New Roman" w:hAnsi="Times New Roman" w:cs="Times New Roman"/>
          <w:sz w:val="24"/>
          <w:szCs w:val="24"/>
        </w:rPr>
      </w:pPr>
    </w:p>
    <w:p w:rsidR="0024007A" w:rsidRDefault="00E02F6C" w:rsidP="00270023">
      <w:pPr>
        <w:ind w:firstLine="720"/>
        <w:rPr>
          <w:rFonts w:ascii="Times New Roman" w:hAnsi="Times New Roman" w:cs="Times New Roman"/>
          <w:bCs/>
          <w:sz w:val="24"/>
          <w:szCs w:val="24"/>
        </w:rPr>
      </w:pPr>
      <w:r w:rsidRPr="00B87787">
        <w:rPr>
          <w:rFonts w:ascii="Times New Roman" w:hAnsi="Times New Roman" w:cs="Times New Roman"/>
          <w:bCs/>
          <w:sz w:val="24"/>
          <w:szCs w:val="24"/>
        </w:rPr>
        <w:t>To prepare for implementation of Act 11, the Commission convened a working group of stakeholders</w:t>
      </w:r>
      <w:r w:rsidR="00F160CD" w:rsidRPr="00574EC4">
        <w:rPr>
          <w:rStyle w:val="FootnoteReference"/>
        </w:rPr>
        <w:footnoteReference w:id="2"/>
      </w:r>
      <w:r w:rsidRPr="00B87787">
        <w:rPr>
          <w:rFonts w:ascii="Times New Roman" w:hAnsi="Times New Roman" w:cs="Times New Roman"/>
          <w:bCs/>
          <w:sz w:val="24"/>
          <w:szCs w:val="24"/>
        </w:rPr>
        <w:t xml:space="preserve"> to review the Commission’s QER process</w:t>
      </w:r>
      <w:r w:rsidR="00B43034">
        <w:rPr>
          <w:rFonts w:ascii="Times New Roman" w:hAnsi="Times New Roman" w:cs="Times New Roman"/>
          <w:bCs/>
          <w:sz w:val="24"/>
          <w:szCs w:val="24"/>
        </w:rPr>
        <w:t xml:space="preserve"> and, in particular, the parameters currently used to determine the market-based ROE for each of the major industry groups.</w:t>
      </w:r>
      <w:r w:rsidRPr="00B87787">
        <w:rPr>
          <w:rFonts w:ascii="Times New Roman" w:hAnsi="Times New Roman" w:cs="Times New Roman"/>
          <w:bCs/>
          <w:sz w:val="24"/>
          <w:szCs w:val="24"/>
        </w:rPr>
        <w:t xml:space="preserve"> </w:t>
      </w:r>
      <w:r w:rsidR="00B43034">
        <w:rPr>
          <w:rFonts w:ascii="Times New Roman" w:hAnsi="Times New Roman" w:cs="Times New Roman"/>
          <w:bCs/>
          <w:sz w:val="24"/>
          <w:szCs w:val="24"/>
        </w:rPr>
        <w:t xml:space="preserve"> The key issue areas were:  </w:t>
      </w:r>
      <w:r w:rsidR="00144E3A">
        <w:rPr>
          <w:rFonts w:ascii="Times New Roman" w:hAnsi="Times New Roman" w:cs="Times New Roman"/>
          <w:bCs/>
          <w:sz w:val="24"/>
          <w:szCs w:val="24"/>
        </w:rPr>
        <w:t>B</w:t>
      </w:r>
      <w:r w:rsidR="00B43034">
        <w:rPr>
          <w:rFonts w:ascii="Times New Roman" w:hAnsi="Times New Roman" w:cs="Times New Roman"/>
          <w:bCs/>
          <w:sz w:val="24"/>
          <w:szCs w:val="24"/>
        </w:rPr>
        <w:t xml:space="preserve">arometer </w:t>
      </w:r>
      <w:r w:rsidR="00144E3A">
        <w:rPr>
          <w:rFonts w:ascii="Times New Roman" w:hAnsi="Times New Roman" w:cs="Times New Roman"/>
          <w:bCs/>
          <w:sz w:val="24"/>
          <w:szCs w:val="24"/>
        </w:rPr>
        <w:t>G</w:t>
      </w:r>
      <w:r w:rsidR="00B43034">
        <w:rPr>
          <w:rFonts w:ascii="Times New Roman" w:hAnsi="Times New Roman" w:cs="Times New Roman"/>
          <w:bCs/>
          <w:sz w:val="24"/>
          <w:szCs w:val="24"/>
        </w:rPr>
        <w:t xml:space="preserve">roups, ROE </w:t>
      </w:r>
      <w:r w:rsidR="00144E3A">
        <w:rPr>
          <w:rFonts w:ascii="Times New Roman" w:hAnsi="Times New Roman" w:cs="Times New Roman"/>
          <w:bCs/>
          <w:sz w:val="24"/>
          <w:szCs w:val="24"/>
        </w:rPr>
        <w:t>M</w:t>
      </w:r>
      <w:r w:rsidR="00B43034">
        <w:rPr>
          <w:rFonts w:ascii="Times New Roman" w:hAnsi="Times New Roman" w:cs="Times New Roman"/>
          <w:bCs/>
          <w:sz w:val="24"/>
          <w:szCs w:val="24"/>
        </w:rPr>
        <w:t xml:space="preserve">odels and </w:t>
      </w:r>
      <w:r w:rsidR="00144E3A">
        <w:rPr>
          <w:rFonts w:ascii="Times New Roman" w:hAnsi="Times New Roman" w:cs="Times New Roman"/>
          <w:bCs/>
          <w:sz w:val="24"/>
          <w:szCs w:val="24"/>
        </w:rPr>
        <w:t>W</w:t>
      </w:r>
      <w:r w:rsidR="00B43034">
        <w:rPr>
          <w:rFonts w:ascii="Times New Roman" w:hAnsi="Times New Roman" w:cs="Times New Roman"/>
          <w:bCs/>
          <w:sz w:val="24"/>
          <w:szCs w:val="24"/>
        </w:rPr>
        <w:t xml:space="preserve">eighting, </w:t>
      </w:r>
      <w:r w:rsidR="00144E3A">
        <w:rPr>
          <w:rFonts w:ascii="Times New Roman" w:hAnsi="Times New Roman" w:cs="Times New Roman"/>
          <w:bCs/>
          <w:sz w:val="24"/>
          <w:szCs w:val="24"/>
        </w:rPr>
        <w:t>R</w:t>
      </w:r>
      <w:r w:rsidR="00B43034">
        <w:rPr>
          <w:rFonts w:ascii="Times New Roman" w:hAnsi="Times New Roman" w:cs="Times New Roman"/>
          <w:bCs/>
          <w:sz w:val="24"/>
          <w:szCs w:val="24"/>
        </w:rPr>
        <w:t xml:space="preserve">ange of </w:t>
      </w:r>
      <w:r w:rsidR="00144E3A">
        <w:rPr>
          <w:rFonts w:ascii="Times New Roman" w:hAnsi="Times New Roman" w:cs="Times New Roman"/>
          <w:bCs/>
          <w:sz w:val="24"/>
          <w:szCs w:val="24"/>
        </w:rPr>
        <w:t>R</w:t>
      </w:r>
      <w:r w:rsidR="00B43034">
        <w:rPr>
          <w:rFonts w:ascii="Times New Roman" w:hAnsi="Times New Roman" w:cs="Times New Roman"/>
          <w:bCs/>
          <w:sz w:val="24"/>
          <w:szCs w:val="24"/>
        </w:rPr>
        <w:t>easonableness</w:t>
      </w:r>
      <w:r w:rsidR="00144E3A">
        <w:rPr>
          <w:rFonts w:ascii="Times New Roman" w:hAnsi="Times New Roman" w:cs="Times New Roman"/>
          <w:bCs/>
          <w:sz w:val="24"/>
          <w:szCs w:val="24"/>
        </w:rPr>
        <w:t>,</w:t>
      </w:r>
      <w:r w:rsidR="00B43034">
        <w:rPr>
          <w:rFonts w:ascii="Times New Roman" w:hAnsi="Times New Roman" w:cs="Times New Roman"/>
          <w:bCs/>
          <w:sz w:val="24"/>
          <w:szCs w:val="24"/>
        </w:rPr>
        <w:t xml:space="preserve"> and </w:t>
      </w:r>
      <w:r w:rsidR="00144E3A">
        <w:rPr>
          <w:rFonts w:ascii="Times New Roman" w:hAnsi="Times New Roman" w:cs="Times New Roman"/>
          <w:bCs/>
          <w:sz w:val="24"/>
          <w:szCs w:val="24"/>
        </w:rPr>
        <w:t>O</w:t>
      </w:r>
      <w:r w:rsidR="00B43034">
        <w:rPr>
          <w:rFonts w:ascii="Times New Roman" w:hAnsi="Times New Roman" w:cs="Times New Roman"/>
          <w:bCs/>
          <w:sz w:val="24"/>
          <w:szCs w:val="24"/>
        </w:rPr>
        <w:t xml:space="preserve">ther </w:t>
      </w:r>
      <w:r w:rsidR="00144E3A">
        <w:rPr>
          <w:rFonts w:ascii="Times New Roman" w:hAnsi="Times New Roman" w:cs="Times New Roman"/>
          <w:bCs/>
          <w:sz w:val="24"/>
          <w:szCs w:val="24"/>
        </w:rPr>
        <w:t>F</w:t>
      </w:r>
      <w:r w:rsidR="00B43034">
        <w:rPr>
          <w:rFonts w:ascii="Times New Roman" w:hAnsi="Times New Roman" w:cs="Times New Roman"/>
          <w:bCs/>
          <w:sz w:val="24"/>
          <w:szCs w:val="24"/>
        </w:rPr>
        <w:t xml:space="preserve">actors.  </w:t>
      </w:r>
    </w:p>
    <w:p w:rsidR="0078373D" w:rsidRDefault="0078373D" w:rsidP="00270023">
      <w:pPr>
        <w:ind w:firstLine="720"/>
        <w:rPr>
          <w:rFonts w:ascii="Times New Roman" w:hAnsi="Times New Roman" w:cs="Times New Roman"/>
          <w:sz w:val="24"/>
          <w:szCs w:val="24"/>
        </w:rPr>
        <w:sectPr w:rsidR="0078373D" w:rsidSect="006557D4">
          <w:footerReference w:type="default" r:id="rId10"/>
          <w:footerReference w:type="first" r:id="rId11"/>
          <w:pgSz w:w="12240" w:h="15840"/>
          <w:pgMar w:top="504" w:right="1440" w:bottom="1440" w:left="1440" w:header="720" w:footer="720" w:gutter="0"/>
          <w:cols w:space="720"/>
          <w:titlePg/>
          <w:docGrid w:linePitch="360"/>
        </w:sectPr>
      </w:pPr>
    </w:p>
    <w:p w:rsidR="00814243" w:rsidRDefault="00CA6257" w:rsidP="0027002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Various </w:t>
      </w:r>
      <w:r w:rsidR="0024007A">
        <w:rPr>
          <w:rFonts w:ascii="Times New Roman" w:hAnsi="Times New Roman" w:cs="Times New Roman"/>
          <w:sz w:val="24"/>
          <w:szCs w:val="24"/>
        </w:rPr>
        <w:t>s</w:t>
      </w:r>
      <w:r w:rsidR="00E02F6C">
        <w:rPr>
          <w:rFonts w:ascii="Times New Roman" w:hAnsi="Times New Roman" w:cs="Times New Roman"/>
          <w:sz w:val="24"/>
          <w:szCs w:val="24"/>
        </w:rPr>
        <w:t>takeholders submitted position papers</w:t>
      </w:r>
      <w:r w:rsidR="00B43034">
        <w:rPr>
          <w:rFonts w:ascii="Times New Roman" w:hAnsi="Times New Roman" w:cs="Times New Roman"/>
          <w:sz w:val="24"/>
          <w:szCs w:val="24"/>
        </w:rPr>
        <w:t xml:space="preserve"> on these issue areas</w:t>
      </w:r>
      <w:r w:rsidR="00E02F6C">
        <w:rPr>
          <w:rFonts w:ascii="Times New Roman" w:hAnsi="Times New Roman" w:cs="Times New Roman"/>
          <w:sz w:val="24"/>
          <w:szCs w:val="24"/>
        </w:rPr>
        <w:t>,</w:t>
      </w:r>
      <w:r w:rsidR="00AA4D7F">
        <w:rPr>
          <w:rStyle w:val="FootnoteReference"/>
          <w:rFonts w:ascii="Times New Roman" w:hAnsi="Times New Roman" w:cs="Times New Roman"/>
          <w:sz w:val="24"/>
          <w:szCs w:val="24"/>
        </w:rPr>
        <w:footnoteReference w:id="3"/>
      </w:r>
      <w:r w:rsidR="00E02F6C">
        <w:rPr>
          <w:rFonts w:ascii="Times New Roman" w:hAnsi="Times New Roman" w:cs="Times New Roman"/>
          <w:sz w:val="24"/>
          <w:szCs w:val="24"/>
        </w:rPr>
        <w:t xml:space="preserve"> and staff provided </w:t>
      </w:r>
      <w:r w:rsidR="007A2F41">
        <w:rPr>
          <w:rFonts w:ascii="Times New Roman" w:hAnsi="Times New Roman" w:cs="Times New Roman"/>
          <w:sz w:val="24"/>
          <w:szCs w:val="24"/>
        </w:rPr>
        <w:t xml:space="preserve">its </w:t>
      </w:r>
      <w:r w:rsidR="00E02F6C">
        <w:rPr>
          <w:rFonts w:ascii="Times New Roman" w:hAnsi="Times New Roman" w:cs="Times New Roman"/>
          <w:sz w:val="24"/>
          <w:szCs w:val="24"/>
        </w:rPr>
        <w:t xml:space="preserve">recommendations.  </w:t>
      </w:r>
      <w:r w:rsidR="0024007A">
        <w:rPr>
          <w:rFonts w:ascii="Times New Roman" w:hAnsi="Times New Roman" w:cs="Times New Roman"/>
          <w:sz w:val="24"/>
          <w:szCs w:val="24"/>
        </w:rPr>
        <w:t>Th</w:t>
      </w:r>
      <w:r w:rsidR="004138FC">
        <w:rPr>
          <w:rFonts w:ascii="Times New Roman" w:hAnsi="Times New Roman" w:cs="Times New Roman"/>
          <w:sz w:val="24"/>
          <w:szCs w:val="24"/>
        </w:rPr>
        <w:t xml:space="preserve">is process </w:t>
      </w:r>
      <w:r w:rsidR="0024007A">
        <w:rPr>
          <w:rFonts w:ascii="Times New Roman" w:hAnsi="Times New Roman" w:cs="Times New Roman"/>
          <w:sz w:val="24"/>
          <w:szCs w:val="24"/>
        </w:rPr>
        <w:t>ha</w:t>
      </w:r>
      <w:r w:rsidR="004138FC">
        <w:rPr>
          <w:rFonts w:ascii="Times New Roman" w:hAnsi="Times New Roman" w:cs="Times New Roman"/>
          <w:sz w:val="24"/>
          <w:szCs w:val="24"/>
        </w:rPr>
        <w:t>s</w:t>
      </w:r>
      <w:r w:rsidR="0024007A">
        <w:rPr>
          <w:rFonts w:ascii="Times New Roman" w:hAnsi="Times New Roman" w:cs="Times New Roman"/>
          <w:sz w:val="24"/>
          <w:szCs w:val="24"/>
        </w:rPr>
        <w:t xml:space="preserve"> </w:t>
      </w:r>
      <w:r w:rsidR="009731FA">
        <w:rPr>
          <w:rFonts w:ascii="Times New Roman" w:hAnsi="Times New Roman" w:cs="Times New Roman"/>
          <w:sz w:val="24"/>
          <w:szCs w:val="24"/>
        </w:rPr>
        <w:t xml:space="preserve">afforded </w:t>
      </w:r>
      <w:r w:rsidR="0024007A">
        <w:rPr>
          <w:rFonts w:ascii="Times New Roman" w:hAnsi="Times New Roman" w:cs="Times New Roman"/>
          <w:sz w:val="24"/>
          <w:szCs w:val="24"/>
        </w:rPr>
        <w:t>the Commission with comprehensive analyses and recommendations for determining current market-based ROE</w:t>
      </w:r>
      <w:r>
        <w:rPr>
          <w:rFonts w:ascii="Times New Roman" w:hAnsi="Times New Roman" w:cs="Times New Roman"/>
          <w:sz w:val="24"/>
          <w:szCs w:val="24"/>
        </w:rPr>
        <w:t>s</w:t>
      </w:r>
      <w:r w:rsidR="0024007A">
        <w:rPr>
          <w:rFonts w:ascii="Times New Roman" w:hAnsi="Times New Roman" w:cs="Times New Roman"/>
          <w:sz w:val="24"/>
          <w:szCs w:val="24"/>
        </w:rPr>
        <w:t xml:space="preserve">.  The Commission </w:t>
      </w:r>
      <w:r w:rsidR="007A2F41">
        <w:rPr>
          <w:rFonts w:ascii="Times New Roman" w:hAnsi="Times New Roman" w:cs="Times New Roman"/>
          <w:sz w:val="24"/>
          <w:szCs w:val="24"/>
        </w:rPr>
        <w:t xml:space="preserve">appreciates the input and guidance provided and, upon consideration of that input, the Commission will make several changes to its current parameters for determining ROE to yield an improved market-based result.  </w:t>
      </w:r>
    </w:p>
    <w:p w:rsidR="00814243" w:rsidRDefault="00814243" w:rsidP="00270023">
      <w:pPr>
        <w:ind w:firstLine="720"/>
        <w:rPr>
          <w:rFonts w:ascii="Times New Roman" w:hAnsi="Times New Roman" w:cs="Times New Roman"/>
          <w:sz w:val="24"/>
          <w:szCs w:val="24"/>
        </w:rPr>
      </w:pPr>
    </w:p>
    <w:p w:rsidR="00D94552" w:rsidRDefault="007A2F41" w:rsidP="00270023">
      <w:pPr>
        <w:ind w:firstLine="720"/>
        <w:rPr>
          <w:rFonts w:ascii="Times New Roman" w:hAnsi="Times New Roman" w:cs="Times New Roman"/>
          <w:sz w:val="24"/>
          <w:szCs w:val="24"/>
        </w:rPr>
      </w:pPr>
      <w:r>
        <w:rPr>
          <w:rFonts w:ascii="Times New Roman" w:hAnsi="Times New Roman" w:cs="Times New Roman"/>
          <w:sz w:val="24"/>
          <w:szCs w:val="24"/>
        </w:rPr>
        <w:t xml:space="preserve">Accordingly, based on our consideration of the input provided by </w:t>
      </w:r>
      <w:r w:rsidR="00FB497E">
        <w:rPr>
          <w:rFonts w:ascii="Times New Roman" w:hAnsi="Times New Roman" w:cs="Times New Roman"/>
          <w:sz w:val="24"/>
          <w:szCs w:val="24"/>
        </w:rPr>
        <w:t xml:space="preserve">the </w:t>
      </w:r>
      <w:r>
        <w:rPr>
          <w:rFonts w:ascii="Times New Roman" w:hAnsi="Times New Roman" w:cs="Times New Roman"/>
          <w:sz w:val="24"/>
          <w:szCs w:val="24"/>
        </w:rPr>
        <w:t xml:space="preserve">stakeholders and our staff, we shall adopt </w:t>
      </w:r>
      <w:r w:rsidR="00E02F6C">
        <w:rPr>
          <w:rFonts w:ascii="Times New Roman" w:hAnsi="Times New Roman" w:cs="Times New Roman"/>
          <w:sz w:val="24"/>
          <w:szCs w:val="24"/>
        </w:rPr>
        <w:t>the following parameters for the QER process</w:t>
      </w:r>
      <w:r w:rsidR="004E487C">
        <w:rPr>
          <w:rFonts w:ascii="Times New Roman" w:hAnsi="Times New Roman" w:cs="Times New Roman"/>
          <w:sz w:val="24"/>
          <w:szCs w:val="24"/>
        </w:rPr>
        <w:t xml:space="preserve"> on a going-forward basis.</w:t>
      </w:r>
    </w:p>
    <w:p w:rsidR="00AA01A4" w:rsidRDefault="00AA01A4" w:rsidP="00270023">
      <w:pPr>
        <w:ind w:firstLine="720"/>
        <w:rPr>
          <w:rFonts w:ascii="Times New Roman" w:hAnsi="Times New Roman" w:cs="Times New Roman"/>
          <w:sz w:val="24"/>
          <w:szCs w:val="24"/>
        </w:rPr>
      </w:pPr>
    </w:p>
    <w:p w:rsidR="00AA01A4" w:rsidRDefault="00E3569B" w:rsidP="00AA01A4">
      <w:pPr>
        <w:keepNext/>
        <w:tabs>
          <w:tab w:val="left" w:pos="720"/>
        </w:tabs>
        <w:rPr>
          <w:rFonts w:ascii="Times New Roman" w:hAnsi="Times New Roman" w:cs="Times New Roman"/>
          <w:b/>
          <w:sz w:val="24"/>
          <w:szCs w:val="24"/>
        </w:rPr>
      </w:pPr>
      <w:r>
        <w:rPr>
          <w:rFonts w:ascii="Times New Roman" w:hAnsi="Times New Roman" w:cs="Times New Roman"/>
          <w:b/>
          <w:sz w:val="24"/>
          <w:szCs w:val="24"/>
        </w:rPr>
        <w:t>Barometer Group</w:t>
      </w:r>
      <w:r w:rsidR="004138FC">
        <w:rPr>
          <w:rFonts w:ascii="Times New Roman" w:hAnsi="Times New Roman" w:cs="Times New Roman"/>
          <w:b/>
          <w:sz w:val="24"/>
          <w:szCs w:val="24"/>
        </w:rPr>
        <w:t>s</w:t>
      </w:r>
    </w:p>
    <w:p w:rsidR="00E3569B" w:rsidRPr="00AA01A4" w:rsidRDefault="00E3569B" w:rsidP="00AA01A4">
      <w:pPr>
        <w:keepNext/>
        <w:tabs>
          <w:tab w:val="left" w:pos="720"/>
        </w:tabs>
        <w:rPr>
          <w:rFonts w:ascii="Times New Roman" w:hAnsi="Times New Roman" w:cs="Times New Roman"/>
          <w:b/>
          <w:sz w:val="24"/>
          <w:szCs w:val="24"/>
        </w:rPr>
      </w:pPr>
    </w:p>
    <w:p w:rsidR="00E3569B" w:rsidRPr="00385DE2" w:rsidRDefault="004138FC" w:rsidP="00385DE2">
      <w:pPr>
        <w:keepNext/>
        <w:ind w:firstLine="720"/>
        <w:rPr>
          <w:rFonts w:ascii="Times New Roman" w:hAnsi="Times New Roman" w:cs="Times New Roman"/>
          <w:sz w:val="24"/>
          <w:szCs w:val="24"/>
        </w:rPr>
      </w:pPr>
      <w:r>
        <w:rPr>
          <w:rFonts w:ascii="Times New Roman" w:hAnsi="Times New Roman" w:cs="Times New Roman"/>
          <w:sz w:val="24"/>
          <w:szCs w:val="24"/>
        </w:rPr>
        <w:t xml:space="preserve">The </w:t>
      </w:r>
      <w:r w:rsidR="00AA01A4" w:rsidRPr="00385DE2">
        <w:rPr>
          <w:rFonts w:ascii="Times New Roman" w:hAnsi="Times New Roman" w:cs="Times New Roman"/>
          <w:sz w:val="24"/>
          <w:szCs w:val="24"/>
        </w:rPr>
        <w:t xml:space="preserve">criteria for determining industry barometer groups </w:t>
      </w:r>
      <w:r w:rsidR="00FF41BD" w:rsidRPr="00385DE2">
        <w:rPr>
          <w:rFonts w:ascii="Times New Roman" w:hAnsi="Times New Roman" w:cs="Times New Roman"/>
          <w:sz w:val="24"/>
          <w:szCs w:val="24"/>
        </w:rPr>
        <w:t xml:space="preserve">for </w:t>
      </w:r>
      <w:r w:rsidR="00AA01A4" w:rsidRPr="00385DE2">
        <w:rPr>
          <w:rFonts w:ascii="Times New Roman" w:hAnsi="Times New Roman" w:cs="Times New Roman"/>
          <w:sz w:val="24"/>
          <w:szCs w:val="24"/>
        </w:rPr>
        <w:t>ROE</w:t>
      </w:r>
      <w:r w:rsidR="00FF41BD" w:rsidRPr="00385DE2">
        <w:rPr>
          <w:rFonts w:ascii="Times New Roman" w:hAnsi="Times New Roman" w:cs="Times New Roman"/>
          <w:sz w:val="24"/>
          <w:szCs w:val="24"/>
        </w:rPr>
        <w:t xml:space="preserve"> determinations</w:t>
      </w:r>
      <w:r>
        <w:rPr>
          <w:rFonts w:ascii="Times New Roman" w:hAnsi="Times New Roman" w:cs="Times New Roman"/>
          <w:sz w:val="24"/>
          <w:szCs w:val="24"/>
        </w:rPr>
        <w:t xml:space="preserve"> will be formalized</w:t>
      </w:r>
      <w:r w:rsidR="00E3569B" w:rsidRPr="00385DE2">
        <w:rPr>
          <w:rFonts w:ascii="Times New Roman" w:hAnsi="Times New Roman" w:cs="Times New Roman"/>
          <w:sz w:val="24"/>
          <w:szCs w:val="24"/>
        </w:rPr>
        <w:t xml:space="preserve"> as </w:t>
      </w:r>
      <w:r w:rsidR="00AB6EAD" w:rsidRPr="00385DE2">
        <w:rPr>
          <w:rFonts w:ascii="Times New Roman" w:hAnsi="Times New Roman" w:cs="Times New Roman"/>
          <w:sz w:val="24"/>
          <w:szCs w:val="24"/>
        </w:rPr>
        <w:t xml:space="preserve">follows:  </w:t>
      </w:r>
      <w:r w:rsidRPr="00385DE2">
        <w:rPr>
          <w:rFonts w:ascii="Times New Roman" w:hAnsi="Times New Roman" w:cs="Times New Roman"/>
          <w:sz w:val="24"/>
          <w:szCs w:val="24"/>
        </w:rPr>
        <w:br/>
      </w:r>
    </w:p>
    <w:p w:rsidR="00AB6EAD" w:rsidRDefault="00AB6EAD" w:rsidP="008142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Industry-specific barometer group companies will be reviewed by staff on a quarterly basis</w:t>
      </w:r>
      <w:r w:rsidR="004138FC">
        <w:rPr>
          <w:rFonts w:ascii="Times New Roman" w:hAnsi="Times New Roman" w:cs="Times New Roman"/>
          <w:sz w:val="24"/>
          <w:szCs w:val="24"/>
        </w:rPr>
        <w:t>;</w:t>
      </w:r>
      <w:r>
        <w:rPr>
          <w:rFonts w:ascii="Times New Roman" w:hAnsi="Times New Roman" w:cs="Times New Roman"/>
          <w:sz w:val="24"/>
          <w:szCs w:val="24"/>
        </w:rPr>
        <w:t xml:space="preserve">  </w:t>
      </w:r>
    </w:p>
    <w:p w:rsidR="00AB6EAD" w:rsidRDefault="00AB6EAD" w:rsidP="00AB6E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50% or more of the company’s assets must be related to the jurisdictional utility industry</w:t>
      </w:r>
      <w:r w:rsidR="004138FC">
        <w:rPr>
          <w:rFonts w:ascii="Times New Roman" w:hAnsi="Times New Roman" w:cs="Times New Roman"/>
          <w:sz w:val="24"/>
          <w:szCs w:val="24"/>
        </w:rPr>
        <w:t>;</w:t>
      </w:r>
    </w:p>
    <w:p w:rsidR="00AB6EAD" w:rsidRDefault="00AB6EAD" w:rsidP="00AB6E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Company stock must be publically traded</w:t>
      </w:r>
      <w:r w:rsidR="006A266E">
        <w:rPr>
          <w:rFonts w:ascii="Times New Roman" w:hAnsi="Times New Roman" w:cs="Times New Roman"/>
          <w:sz w:val="24"/>
          <w:szCs w:val="24"/>
        </w:rPr>
        <w:t xml:space="preserve"> and must have at least three years of earnings history;</w:t>
      </w:r>
    </w:p>
    <w:p w:rsidR="00AB6EAD" w:rsidRDefault="00AB6EAD" w:rsidP="00AB6E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Companies targeted by merger and acquisition (M&amp;A) activity will be excluded; companies involved in M&amp;A activity may be excluded</w:t>
      </w:r>
      <w:r w:rsidR="004138FC">
        <w:rPr>
          <w:rFonts w:ascii="Times New Roman" w:hAnsi="Times New Roman" w:cs="Times New Roman"/>
          <w:sz w:val="24"/>
          <w:szCs w:val="24"/>
        </w:rPr>
        <w:t>;</w:t>
      </w:r>
    </w:p>
    <w:p w:rsidR="00AB6EAD" w:rsidRDefault="00AB6EAD" w:rsidP="00AB6E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Investment information for company must be available to the Commission from more than one source, where more than one source exists, particularly earnings growth projections</w:t>
      </w:r>
      <w:r w:rsidR="004138FC">
        <w:rPr>
          <w:rFonts w:ascii="Times New Roman" w:hAnsi="Times New Roman" w:cs="Times New Roman"/>
          <w:sz w:val="24"/>
          <w:szCs w:val="24"/>
        </w:rPr>
        <w:t>;</w:t>
      </w:r>
      <w:r>
        <w:rPr>
          <w:rFonts w:ascii="Times New Roman" w:hAnsi="Times New Roman" w:cs="Times New Roman"/>
          <w:sz w:val="24"/>
          <w:szCs w:val="24"/>
        </w:rPr>
        <w:t xml:space="preserve"> </w:t>
      </w:r>
    </w:p>
    <w:p w:rsidR="00AB6EAD" w:rsidRDefault="00AB6EAD" w:rsidP="00AB6E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Company must have an investment grade credit rating (S&amp;P BBB- or better, </w:t>
      </w:r>
      <w:r w:rsidRPr="00596E1D">
        <w:rPr>
          <w:rFonts w:ascii="Times New Roman" w:hAnsi="Times New Roman" w:cs="Times New Roman"/>
          <w:sz w:val="24"/>
          <w:szCs w:val="24"/>
        </w:rPr>
        <w:t>Moody’s B</w:t>
      </w:r>
      <w:r>
        <w:rPr>
          <w:rFonts w:ascii="Times New Roman" w:hAnsi="Times New Roman" w:cs="Times New Roman"/>
          <w:sz w:val="24"/>
          <w:szCs w:val="24"/>
        </w:rPr>
        <w:t>aa3 or better; and</w:t>
      </w:r>
    </w:p>
    <w:p w:rsidR="00AB6EAD" w:rsidRDefault="004138FC" w:rsidP="00AB6E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Companies will be selected based on g</w:t>
      </w:r>
      <w:r w:rsidR="00AB6EAD">
        <w:rPr>
          <w:rFonts w:ascii="Times New Roman" w:hAnsi="Times New Roman" w:cs="Times New Roman"/>
          <w:sz w:val="24"/>
          <w:szCs w:val="24"/>
        </w:rPr>
        <w:t xml:space="preserve">eographic </w:t>
      </w:r>
      <w:r>
        <w:rPr>
          <w:rFonts w:ascii="Times New Roman" w:hAnsi="Times New Roman" w:cs="Times New Roman"/>
          <w:sz w:val="24"/>
          <w:szCs w:val="24"/>
        </w:rPr>
        <w:t>r</w:t>
      </w:r>
      <w:r w:rsidR="00AB6EAD">
        <w:rPr>
          <w:rFonts w:ascii="Times New Roman" w:hAnsi="Times New Roman" w:cs="Times New Roman"/>
          <w:sz w:val="24"/>
          <w:szCs w:val="24"/>
        </w:rPr>
        <w:t>egions:</w:t>
      </w:r>
    </w:p>
    <w:p w:rsidR="00AB6EAD" w:rsidRDefault="00AB6EAD" w:rsidP="00AB6EAD">
      <w:pPr>
        <w:ind w:left="2160" w:hanging="360"/>
        <w:rPr>
          <w:rFonts w:ascii="Times New Roman" w:hAnsi="Times New Roman" w:cs="Times New Roman"/>
          <w:sz w:val="24"/>
          <w:szCs w:val="24"/>
        </w:rPr>
      </w:pPr>
      <w:r>
        <w:rPr>
          <w:rFonts w:ascii="Times New Roman" w:hAnsi="Times New Roman" w:cs="Times New Roman"/>
          <w:sz w:val="24"/>
          <w:szCs w:val="24"/>
        </w:rPr>
        <w:t xml:space="preserve">EDCs:  </w:t>
      </w:r>
      <w:r w:rsidRPr="00596E1D">
        <w:rPr>
          <w:rFonts w:ascii="Times New Roman" w:hAnsi="Times New Roman" w:cs="Times New Roman"/>
          <w:i/>
          <w:sz w:val="24"/>
          <w:szCs w:val="24"/>
        </w:rPr>
        <w:t>Value Line</w:t>
      </w:r>
      <w:r>
        <w:rPr>
          <w:rFonts w:ascii="Times New Roman" w:hAnsi="Times New Roman" w:cs="Times New Roman"/>
          <w:sz w:val="24"/>
          <w:szCs w:val="24"/>
        </w:rPr>
        <w:t xml:space="preserve"> East Group Electric Utility companies;</w:t>
      </w:r>
    </w:p>
    <w:p w:rsidR="00AB6EAD" w:rsidRDefault="00AB6EAD" w:rsidP="00AB6EAD">
      <w:pPr>
        <w:ind w:left="2160" w:hanging="360"/>
        <w:rPr>
          <w:rFonts w:ascii="Times New Roman" w:hAnsi="Times New Roman" w:cs="Times New Roman"/>
          <w:sz w:val="24"/>
          <w:szCs w:val="24"/>
        </w:rPr>
      </w:pPr>
      <w:r>
        <w:rPr>
          <w:rFonts w:ascii="Times New Roman" w:hAnsi="Times New Roman" w:cs="Times New Roman"/>
          <w:sz w:val="24"/>
          <w:szCs w:val="24"/>
        </w:rPr>
        <w:t xml:space="preserve">NGDCs and CNGDO:  </w:t>
      </w:r>
      <w:r w:rsidRPr="00596E1D">
        <w:rPr>
          <w:rFonts w:ascii="Times New Roman" w:hAnsi="Times New Roman" w:cs="Times New Roman"/>
          <w:i/>
          <w:sz w:val="24"/>
          <w:szCs w:val="24"/>
        </w:rPr>
        <w:t>Value Line</w:t>
      </w:r>
      <w:r>
        <w:rPr>
          <w:rFonts w:ascii="Times New Roman" w:hAnsi="Times New Roman" w:cs="Times New Roman"/>
          <w:sz w:val="24"/>
          <w:szCs w:val="24"/>
        </w:rPr>
        <w:t xml:space="preserve"> Natural Gas Utility industry group companies;</w:t>
      </w:r>
      <w:r w:rsidR="004138FC">
        <w:rPr>
          <w:rFonts w:ascii="Times New Roman" w:hAnsi="Times New Roman" w:cs="Times New Roman"/>
          <w:sz w:val="24"/>
          <w:szCs w:val="24"/>
        </w:rPr>
        <w:t xml:space="preserve"> and </w:t>
      </w:r>
    </w:p>
    <w:p w:rsidR="00AB6EAD" w:rsidRDefault="00AB6EAD" w:rsidP="00AB6EAD">
      <w:pPr>
        <w:ind w:left="2160" w:hanging="360"/>
        <w:rPr>
          <w:rFonts w:ascii="Times New Roman" w:hAnsi="Times New Roman" w:cs="Times New Roman"/>
          <w:sz w:val="24"/>
          <w:szCs w:val="24"/>
        </w:rPr>
      </w:pPr>
      <w:r>
        <w:rPr>
          <w:rFonts w:ascii="Times New Roman" w:hAnsi="Times New Roman" w:cs="Times New Roman"/>
          <w:sz w:val="24"/>
          <w:szCs w:val="24"/>
        </w:rPr>
        <w:t xml:space="preserve">Water/Waste water:  </w:t>
      </w:r>
      <w:r w:rsidRPr="00596E1D">
        <w:rPr>
          <w:rFonts w:ascii="Times New Roman" w:hAnsi="Times New Roman" w:cs="Times New Roman"/>
          <w:i/>
          <w:sz w:val="24"/>
          <w:szCs w:val="24"/>
        </w:rPr>
        <w:t>Value Line</w:t>
      </w:r>
      <w:r>
        <w:rPr>
          <w:rFonts w:ascii="Times New Roman" w:hAnsi="Times New Roman" w:cs="Times New Roman"/>
          <w:sz w:val="24"/>
          <w:szCs w:val="24"/>
        </w:rPr>
        <w:t xml:space="preserve"> Water Utility industry group companies.</w:t>
      </w:r>
    </w:p>
    <w:p w:rsidR="00E3569B" w:rsidRDefault="00E3569B" w:rsidP="00814243">
      <w:pPr>
        <w:pStyle w:val="ListParagraph"/>
        <w:keepNext/>
        <w:rPr>
          <w:rFonts w:ascii="Times New Roman" w:hAnsi="Times New Roman" w:cs="Times New Roman"/>
          <w:sz w:val="24"/>
          <w:szCs w:val="24"/>
        </w:rPr>
      </w:pPr>
    </w:p>
    <w:p w:rsidR="00E3569B" w:rsidRDefault="00E3569B" w:rsidP="00814243">
      <w:pPr>
        <w:pStyle w:val="ListParagraph"/>
        <w:keepNext/>
        <w:ind w:left="0"/>
        <w:rPr>
          <w:rFonts w:ascii="Times New Roman" w:hAnsi="Times New Roman" w:cs="Times New Roman"/>
          <w:b/>
          <w:sz w:val="24"/>
          <w:szCs w:val="24"/>
        </w:rPr>
      </w:pPr>
      <w:r w:rsidRPr="00814243">
        <w:rPr>
          <w:rFonts w:ascii="Times New Roman" w:hAnsi="Times New Roman" w:cs="Times New Roman"/>
          <w:b/>
          <w:sz w:val="24"/>
          <w:szCs w:val="24"/>
        </w:rPr>
        <w:t>ROE Models and Weighting</w:t>
      </w:r>
    </w:p>
    <w:p w:rsidR="00E3569B" w:rsidRDefault="00E3569B" w:rsidP="00814243">
      <w:pPr>
        <w:pStyle w:val="ListParagraph"/>
        <w:keepNext/>
        <w:ind w:left="0"/>
        <w:rPr>
          <w:rFonts w:ascii="Times New Roman" w:hAnsi="Times New Roman" w:cs="Times New Roman"/>
          <w:b/>
          <w:sz w:val="24"/>
          <w:szCs w:val="24"/>
        </w:rPr>
      </w:pPr>
    </w:p>
    <w:p w:rsidR="00144E3A" w:rsidRDefault="00144E3A" w:rsidP="00814243">
      <w:pPr>
        <w:pStyle w:val="ListParagraph"/>
        <w:keepNext/>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process to calculate ROE will:  </w:t>
      </w:r>
    </w:p>
    <w:p w:rsidR="00144E3A" w:rsidRDefault="00144E3A" w:rsidP="00814243">
      <w:pPr>
        <w:pStyle w:val="ListParagraph"/>
        <w:keepNext/>
        <w:ind w:left="0"/>
        <w:rPr>
          <w:rFonts w:ascii="Times New Roman" w:hAnsi="Times New Roman" w:cs="Times New Roman"/>
          <w:b/>
          <w:sz w:val="24"/>
          <w:szCs w:val="24"/>
        </w:rPr>
      </w:pPr>
    </w:p>
    <w:p w:rsidR="00E3569B" w:rsidRDefault="00E3569B" w:rsidP="00E3569B">
      <w:pPr>
        <w:pStyle w:val="ListParagraph"/>
        <w:keepNext/>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Use the D</w:t>
      </w:r>
      <w:r w:rsidRPr="00AA01A4">
        <w:rPr>
          <w:rFonts w:ascii="Times New Roman" w:hAnsi="Times New Roman" w:cs="Times New Roman"/>
          <w:sz w:val="24"/>
          <w:szCs w:val="24"/>
        </w:rPr>
        <w:t xml:space="preserve">iscounted </w:t>
      </w:r>
      <w:r w:rsidR="0083527E">
        <w:rPr>
          <w:rFonts w:ascii="Times New Roman" w:hAnsi="Times New Roman" w:cs="Times New Roman"/>
          <w:sz w:val="24"/>
          <w:szCs w:val="24"/>
        </w:rPr>
        <w:t>C</w:t>
      </w:r>
      <w:r w:rsidRPr="00AA01A4">
        <w:rPr>
          <w:rFonts w:ascii="Times New Roman" w:hAnsi="Times New Roman" w:cs="Times New Roman"/>
          <w:sz w:val="24"/>
          <w:szCs w:val="24"/>
        </w:rPr>
        <w:t xml:space="preserve">ash </w:t>
      </w:r>
      <w:r w:rsidR="0083527E">
        <w:rPr>
          <w:rFonts w:ascii="Times New Roman" w:hAnsi="Times New Roman" w:cs="Times New Roman"/>
          <w:sz w:val="24"/>
          <w:szCs w:val="24"/>
        </w:rPr>
        <w:t>F</w:t>
      </w:r>
      <w:r w:rsidRPr="00AA01A4">
        <w:rPr>
          <w:rFonts w:ascii="Times New Roman" w:hAnsi="Times New Roman" w:cs="Times New Roman"/>
          <w:sz w:val="24"/>
          <w:szCs w:val="24"/>
        </w:rPr>
        <w:t xml:space="preserve">low (DCF) model </w:t>
      </w:r>
      <w:r w:rsidR="009731FA">
        <w:rPr>
          <w:rFonts w:ascii="Times New Roman" w:hAnsi="Times New Roman" w:cs="Times New Roman"/>
          <w:sz w:val="24"/>
          <w:szCs w:val="24"/>
        </w:rPr>
        <w:t xml:space="preserve">the basis for </w:t>
      </w:r>
      <w:r w:rsidRPr="00AA01A4">
        <w:rPr>
          <w:rFonts w:ascii="Times New Roman" w:hAnsi="Times New Roman" w:cs="Times New Roman"/>
          <w:sz w:val="24"/>
          <w:szCs w:val="24"/>
        </w:rPr>
        <w:t>calculat</w:t>
      </w:r>
      <w:r w:rsidR="009731FA">
        <w:rPr>
          <w:rFonts w:ascii="Times New Roman" w:hAnsi="Times New Roman" w:cs="Times New Roman"/>
          <w:sz w:val="24"/>
          <w:szCs w:val="24"/>
        </w:rPr>
        <w:t>ing</w:t>
      </w:r>
      <w:r w:rsidRPr="00AA01A4">
        <w:rPr>
          <w:rFonts w:ascii="Times New Roman" w:hAnsi="Times New Roman" w:cs="Times New Roman"/>
          <w:sz w:val="24"/>
          <w:szCs w:val="24"/>
        </w:rPr>
        <w:t xml:space="preserve"> ROE</w:t>
      </w:r>
      <w:r w:rsidR="00144E3A">
        <w:rPr>
          <w:rFonts w:ascii="Times New Roman" w:hAnsi="Times New Roman" w:cs="Times New Roman"/>
          <w:sz w:val="24"/>
          <w:szCs w:val="24"/>
        </w:rPr>
        <w:t>;</w:t>
      </w:r>
    </w:p>
    <w:p w:rsidR="005D3D4C" w:rsidRDefault="005D3D4C" w:rsidP="00E3569B">
      <w:pPr>
        <w:pStyle w:val="ListParagraph"/>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Use p</w:t>
      </w:r>
      <w:r w:rsidRPr="00AA01A4">
        <w:rPr>
          <w:rFonts w:ascii="Times New Roman" w:hAnsi="Times New Roman" w:cs="Times New Roman"/>
          <w:sz w:val="24"/>
          <w:szCs w:val="24"/>
        </w:rPr>
        <w:t xml:space="preserve">rojected </w:t>
      </w:r>
      <w:r w:rsidRPr="00AA01A4">
        <w:rPr>
          <w:rFonts w:ascii="Times New Roman" w:hAnsi="Times New Roman" w:cs="Times New Roman"/>
          <w:i/>
          <w:sz w:val="24"/>
          <w:szCs w:val="24"/>
        </w:rPr>
        <w:t>earnings per share</w:t>
      </w:r>
      <w:r w:rsidRPr="00AA01A4">
        <w:rPr>
          <w:rFonts w:ascii="Times New Roman" w:hAnsi="Times New Roman" w:cs="Times New Roman"/>
          <w:sz w:val="24"/>
          <w:szCs w:val="24"/>
        </w:rPr>
        <w:t xml:space="preserve"> growth</w:t>
      </w:r>
      <w:r>
        <w:rPr>
          <w:rFonts w:ascii="Times New Roman" w:hAnsi="Times New Roman" w:cs="Times New Roman"/>
          <w:sz w:val="24"/>
          <w:szCs w:val="24"/>
        </w:rPr>
        <w:t xml:space="preserve"> without </w:t>
      </w:r>
      <w:r w:rsidRPr="00AA01A4">
        <w:rPr>
          <w:rFonts w:ascii="Times New Roman" w:hAnsi="Times New Roman" w:cs="Times New Roman"/>
          <w:sz w:val="24"/>
          <w:szCs w:val="24"/>
        </w:rPr>
        <w:t>the projected dividend growth rate</w:t>
      </w:r>
      <w:r>
        <w:rPr>
          <w:rFonts w:ascii="Times New Roman" w:hAnsi="Times New Roman" w:cs="Times New Roman"/>
          <w:sz w:val="24"/>
          <w:szCs w:val="24"/>
        </w:rPr>
        <w:t>;</w:t>
      </w:r>
    </w:p>
    <w:p w:rsidR="00E3569B" w:rsidRPr="00AA01A4" w:rsidRDefault="00AB6EAD" w:rsidP="00E3569B">
      <w:pPr>
        <w:pStyle w:val="ListParagraph"/>
        <w:numPr>
          <w:ilvl w:val="0"/>
          <w:numId w:val="2"/>
        </w:numPr>
        <w:ind w:left="720" w:hanging="360"/>
        <w:rPr>
          <w:rFonts w:ascii="Times New Roman" w:hAnsi="Times New Roman" w:cs="Times New Roman"/>
          <w:sz w:val="24"/>
          <w:szCs w:val="24"/>
        </w:rPr>
      </w:pPr>
      <w:r w:rsidRPr="00814243">
        <w:rPr>
          <w:rFonts w:ascii="Times New Roman" w:hAnsi="Times New Roman" w:cs="Times New Roman"/>
          <w:sz w:val="24"/>
          <w:szCs w:val="24"/>
        </w:rPr>
        <w:t xml:space="preserve">Use </w:t>
      </w:r>
      <w:r>
        <w:rPr>
          <w:rFonts w:ascii="Times New Roman" w:hAnsi="Times New Roman" w:cs="Times New Roman"/>
          <w:i/>
          <w:sz w:val="24"/>
          <w:szCs w:val="24"/>
        </w:rPr>
        <w:t>e</w:t>
      </w:r>
      <w:r w:rsidR="00E3569B" w:rsidRPr="00AA01A4">
        <w:rPr>
          <w:rFonts w:ascii="Times New Roman" w:hAnsi="Times New Roman" w:cs="Times New Roman"/>
          <w:i/>
          <w:sz w:val="24"/>
          <w:szCs w:val="24"/>
        </w:rPr>
        <w:t>xpected</w:t>
      </w:r>
      <w:r w:rsidR="00E3569B" w:rsidRPr="00AA01A4">
        <w:rPr>
          <w:rFonts w:ascii="Times New Roman" w:hAnsi="Times New Roman" w:cs="Times New Roman"/>
          <w:sz w:val="24"/>
          <w:szCs w:val="24"/>
        </w:rPr>
        <w:t xml:space="preserve"> dividend yield produced by the </w:t>
      </w:r>
      <w:r w:rsidR="00066A04">
        <w:rPr>
          <w:rFonts w:ascii="Times New Roman" w:hAnsi="Times New Roman" w:cs="Times New Roman"/>
          <w:sz w:val="24"/>
          <w:szCs w:val="24"/>
        </w:rPr>
        <w:t xml:space="preserve">current stock price and the </w:t>
      </w:r>
      <w:r w:rsidR="00E3569B" w:rsidRPr="00AA01A4">
        <w:rPr>
          <w:rFonts w:ascii="Times New Roman" w:hAnsi="Times New Roman" w:cs="Times New Roman"/>
          <w:sz w:val="24"/>
          <w:szCs w:val="24"/>
        </w:rPr>
        <w:t>52-week high/low stock price</w:t>
      </w:r>
      <w:r w:rsidR="00144E3A">
        <w:rPr>
          <w:rFonts w:ascii="Times New Roman" w:hAnsi="Times New Roman" w:cs="Times New Roman"/>
          <w:sz w:val="24"/>
          <w:szCs w:val="24"/>
        </w:rPr>
        <w:t>;</w:t>
      </w:r>
      <w:r w:rsidR="00E3569B" w:rsidRPr="00AA01A4">
        <w:rPr>
          <w:rFonts w:ascii="Times New Roman" w:hAnsi="Times New Roman" w:cs="Times New Roman"/>
          <w:sz w:val="24"/>
          <w:szCs w:val="24"/>
        </w:rPr>
        <w:t xml:space="preserve">  </w:t>
      </w:r>
    </w:p>
    <w:p w:rsidR="00E3569B" w:rsidRPr="00F6461B" w:rsidRDefault="00AB6EAD" w:rsidP="00E3569B">
      <w:pPr>
        <w:pStyle w:val="ListParagraph"/>
        <w:numPr>
          <w:ilvl w:val="0"/>
          <w:numId w:val="2"/>
        </w:numPr>
        <w:ind w:left="720" w:hanging="360"/>
        <w:rPr>
          <w:rFonts w:ascii="Times New Roman" w:hAnsi="Times New Roman" w:cs="Times New Roman"/>
          <w:sz w:val="24"/>
          <w:szCs w:val="24"/>
        </w:rPr>
      </w:pPr>
      <w:r w:rsidRPr="009731FA">
        <w:rPr>
          <w:rFonts w:ascii="Times New Roman" w:hAnsi="Times New Roman" w:cs="Times New Roman"/>
          <w:sz w:val="24"/>
          <w:szCs w:val="24"/>
        </w:rPr>
        <w:lastRenderedPageBreak/>
        <w:t xml:space="preserve">Use </w:t>
      </w:r>
      <w:r w:rsidR="00A26DBA" w:rsidRPr="009731FA">
        <w:rPr>
          <w:rFonts w:ascii="Times New Roman" w:hAnsi="Times New Roman" w:cs="Times New Roman"/>
          <w:sz w:val="24"/>
          <w:szCs w:val="24"/>
        </w:rPr>
        <w:t>5-year projected annual dividend growth rate</w:t>
      </w:r>
      <w:r w:rsidR="00B915E5" w:rsidRPr="009731FA">
        <w:rPr>
          <w:rFonts w:ascii="Times New Roman" w:hAnsi="Times New Roman" w:cs="Times New Roman"/>
          <w:sz w:val="24"/>
          <w:szCs w:val="24"/>
        </w:rPr>
        <w:t xml:space="preserve"> </w:t>
      </w:r>
      <w:r w:rsidR="00E3569B" w:rsidRPr="009731FA">
        <w:rPr>
          <w:rFonts w:ascii="Times New Roman" w:hAnsi="Times New Roman" w:cs="Times New Roman"/>
          <w:sz w:val="24"/>
          <w:szCs w:val="24"/>
        </w:rPr>
        <w:t xml:space="preserve">from </w:t>
      </w:r>
      <w:r w:rsidR="00E3569B" w:rsidRPr="009731FA">
        <w:rPr>
          <w:rFonts w:ascii="Times New Roman" w:hAnsi="Times New Roman" w:cs="Times New Roman"/>
          <w:i/>
          <w:sz w:val="24"/>
          <w:szCs w:val="24"/>
        </w:rPr>
        <w:t>The Value Line Investment</w:t>
      </w:r>
      <w:r w:rsidR="00E3569B" w:rsidRPr="00F6461B">
        <w:rPr>
          <w:rFonts w:ascii="Times New Roman" w:hAnsi="Times New Roman" w:cs="Times New Roman"/>
          <w:i/>
          <w:sz w:val="24"/>
          <w:szCs w:val="24"/>
        </w:rPr>
        <w:t xml:space="preserve"> Survey</w:t>
      </w:r>
      <w:r w:rsidR="00E3569B" w:rsidRPr="00F6461B">
        <w:rPr>
          <w:rFonts w:ascii="Times New Roman" w:hAnsi="Times New Roman" w:cs="Times New Roman"/>
          <w:sz w:val="24"/>
          <w:szCs w:val="24"/>
        </w:rPr>
        <w:t xml:space="preserve"> (</w:t>
      </w:r>
      <w:r w:rsidR="00E3569B" w:rsidRPr="00F6461B">
        <w:rPr>
          <w:rFonts w:ascii="Times New Roman" w:hAnsi="Times New Roman" w:cs="Times New Roman"/>
          <w:i/>
          <w:sz w:val="24"/>
          <w:szCs w:val="24"/>
        </w:rPr>
        <w:t>Value Line</w:t>
      </w:r>
      <w:r w:rsidR="00E3569B" w:rsidRPr="00F6461B">
        <w:rPr>
          <w:rFonts w:ascii="Times New Roman" w:hAnsi="Times New Roman" w:cs="Times New Roman"/>
          <w:sz w:val="24"/>
          <w:szCs w:val="24"/>
        </w:rPr>
        <w:t xml:space="preserve">) to determine </w:t>
      </w:r>
      <w:r w:rsidR="009731FA">
        <w:rPr>
          <w:rFonts w:ascii="Times New Roman" w:hAnsi="Times New Roman" w:cs="Times New Roman"/>
          <w:sz w:val="24"/>
          <w:szCs w:val="24"/>
        </w:rPr>
        <w:t xml:space="preserve">the growth component of </w:t>
      </w:r>
      <w:r w:rsidR="00E3569B" w:rsidRPr="00F6461B">
        <w:rPr>
          <w:rFonts w:ascii="Times New Roman" w:hAnsi="Times New Roman" w:cs="Times New Roman"/>
          <w:sz w:val="24"/>
          <w:szCs w:val="24"/>
        </w:rPr>
        <w:t>the expected dividend yield</w:t>
      </w:r>
      <w:r w:rsidR="00B915E5" w:rsidRPr="00F6461B">
        <w:rPr>
          <w:rStyle w:val="FootnoteReference"/>
          <w:rFonts w:ascii="Times New Roman" w:hAnsi="Times New Roman" w:cs="Times New Roman"/>
          <w:sz w:val="24"/>
          <w:szCs w:val="24"/>
        </w:rPr>
        <w:footnoteReference w:id="4"/>
      </w:r>
      <w:r w:rsidR="00F6461B" w:rsidRPr="00F6461B">
        <w:rPr>
          <w:rFonts w:ascii="Times New Roman" w:hAnsi="Times New Roman" w:cs="Times New Roman"/>
          <w:sz w:val="24"/>
          <w:szCs w:val="24"/>
        </w:rPr>
        <w:t>;</w:t>
      </w:r>
      <w:r w:rsidR="00E3569B" w:rsidRPr="00F6461B">
        <w:rPr>
          <w:rFonts w:ascii="Times New Roman" w:hAnsi="Times New Roman" w:cs="Times New Roman"/>
          <w:sz w:val="24"/>
          <w:szCs w:val="24"/>
        </w:rPr>
        <w:t xml:space="preserve">  </w:t>
      </w:r>
    </w:p>
    <w:p w:rsidR="00E3569B" w:rsidRPr="00596E1D" w:rsidRDefault="00880862" w:rsidP="00E3569B">
      <w:pPr>
        <w:pStyle w:val="ListParagraph"/>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 xml:space="preserve">Use the </w:t>
      </w:r>
      <w:r w:rsidR="00E3569B" w:rsidRPr="00596E1D">
        <w:rPr>
          <w:rFonts w:ascii="Times New Roman" w:hAnsi="Times New Roman" w:cs="Times New Roman"/>
          <w:sz w:val="24"/>
          <w:szCs w:val="24"/>
        </w:rPr>
        <w:t>Capital Asset Pricing Method (CAPM) only as a check on the DCF results</w:t>
      </w:r>
      <w:r w:rsidR="00144E3A">
        <w:rPr>
          <w:rFonts w:ascii="Times New Roman" w:hAnsi="Times New Roman" w:cs="Times New Roman"/>
          <w:sz w:val="24"/>
          <w:szCs w:val="24"/>
        </w:rPr>
        <w:t>;</w:t>
      </w:r>
    </w:p>
    <w:p w:rsidR="00E3569B" w:rsidRPr="00596E1D" w:rsidRDefault="0083527E" w:rsidP="00E3569B">
      <w:pPr>
        <w:pStyle w:val="ListParagraph"/>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 xml:space="preserve">Use the </w:t>
      </w:r>
      <w:r w:rsidR="00E3569B" w:rsidRPr="00596E1D">
        <w:rPr>
          <w:rFonts w:ascii="Times New Roman" w:hAnsi="Times New Roman" w:cs="Times New Roman"/>
          <w:sz w:val="24"/>
          <w:szCs w:val="24"/>
        </w:rPr>
        <w:t>10-year U.S. Treasuries as the basis for the CAPM risk-free rate</w:t>
      </w:r>
      <w:r w:rsidR="00144E3A">
        <w:rPr>
          <w:rFonts w:ascii="Times New Roman" w:hAnsi="Times New Roman" w:cs="Times New Roman"/>
          <w:sz w:val="24"/>
          <w:szCs w:val="24"/>
        </w:rPr>
        <w:t>; and</w:t>
      </w:r>
    </w:p>
    <w:p w:rsidR="00E3569B" w:rsidRPr="00596E1D" w:rsidRDefault="00AB6EAD" w:rsidP="00E3569B">
      <w:pPr>
        <w:pStyle w:val="ListParagraph"/>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Make n</w:t>
      </w:r>
      <w:r w:rsidR="00E3569B" w:rsidRPr="00596E1D">
        <w:rPr>
          <w:rFonts w:ascii="Times New Roman" w:hAnsi="Times New Roman" w:cs="Times New Roman"/>
          <w:sz w:val="24"/>
          <w:szCs w:val="24"/>
        </w:rPr>
        <w:t xml:space="preserve">o leverage adjustment. </w:t>
      </w:r>
    </w:p>
    <w:p w:rsidR="00E3569B" w:rsidRPr="00CA6257" w:rsidRDefault="00E3569B" w:rsidP="00CA6257">
      <w:pPr>
        <w:pStyle w:val="ListParagraph"/>
        <w:keepNext/>
        <w:ind w:left="0"/>
        <w:rPr>
          <w:rFonts w:ascii="Times New Roman" w:hAnsi="Times New Roman" w:cs="Times New Roman"/>
          <w:b/>
          <w:sz w:val="24"/>
          <w:szCs w:val="24"/>
        </w:rPr>
      </w:pPr>
    </w:p>
    <w:p w:rsidR="00E3569B" w:rsidRDefault="00E3569B" w:rsidP="00CA6257">
      <w:pPr>
        <w:pStyle w:val="ListParagraph"/>
        <w:keepNext/>
        <w:ind w:left="0"/>
        <w:rPr>
          <w:rFonts w:ascii="Times New Roman" w:hAnsi="Times New Roman" w:cs="Times New Roman"/>
          <w:b/>
          <w:sz w:val="24"/>
          <w:szCs w:val="24"/>
        </w:rPr>
      </w:pPr>
      <w:r w:rsidRPr="00CA6257">
        <w:rPr>
          <w:rFonts w:ascii="Times New Roman" w:hAnsi="Times New Roman" w:cs="Times New Roman"/>
          <w:b/>
          <w:sz w:val="24"/>
          <w:szCs w:val="24"/>
        </w:rPr>
        <w:t>Range of Reasonableness</w:t>
      </w:r>
    </w:p>
    <w:p w:rsidR="00E3569B" w:rsidRDefault="00E3569B" w:rsidP="00CA6257">
      <w:pPr>
        <w:pStyle w:val="ListParagraph"/>
        <w:keepNext/>
        <w:ind w:left="0"/>
        <w:rPr>
          <w:rFonts w:ascii="Times New Roman" w:hAnsi="Times New Roman" w:cs="Times New Roman"/>
          <w:b/>
          <w:sz w:val="24"/>
          <w:szCs w:val="24"/>
        </w:rPr>
      </w:pPr>
    </w:p>
    <w:p w:rsidR="00E3569B" w:rsidRPr="00CA6257" w:rsidRDefault="00FB497E" w:rsidP="00CA6257">
      <w:pPr>
        <w:ind w:firstLine="720"/>
        <w:rPr>
          <w:rFonts w:ascii="Times New Roman" w:hAnsi="Times New Roman" w:cs="Times New Roman"/>
          <w:sz w:val="24"/>
          <w:szCs w:val="24"/>
        </w:rPr>
      </w:pPr>
      <w:r>
        <w:rPr>
          <w:rFonts w:ascii="Times New Roman" w:hAnsi="Times New Roman" w:cs="Times New Roman"/>
          <w:sz w:val="24"/>
          <w:szCs w:val="24"/>
        </w:rPr>
        <w:t xml:space="preserve">The process </w:t>
      </w:r>
      <w:r w:rsidR="004138FC" w:rsidRPr="00CA6257">
        <w:rPr>
          <w:rFonts w:ascii="Times New Roman" w:hAnsi="Times New Roman" w:cs="Times New Roman"/>
          <w:sz w:val="24"/>
          <w:szCs w:val="24"/>
        </w:rPr>
        <w:t xml:space="preserve">will use </w:t>
      </w:r>
      <w:r w:rsidR="00E3569B" w:rsidRPr="00CA6257">
        <w:rPr>
          <w:rFonts w:ascii="Times New Roman" w:hAnsi="Times New Roman" w:cs="Times New Roman"/>
          <w:sz w:val="24"/>
          <w:szCs w:val="24"/>
        </w:rPr>
        <w:t xml:space="preserve">one standard deviation </w:t>
      </w:r>
      <w:r w:rsidR="004138FC" w:rsidRPr="00CA6257">
        <w:rPr>
          <w:rFonts w:ascii="Times New Roman" w:hAnsi="Times New Roman" w:cs="Times New Roman"/>
          <w:sz w:val="24"/>
          <w:szCs w:val="24"/>
        </w:rPr>
        <w:t xml:space="preserve">as a </w:t>
      </w:r>
      <w:r w:rsidR="004138FC" w:rsidRPr="00CA6257">
        <w:rPr>
          <w:rFonts w:ascii="Times New Roman" w:hAnsi="Times New Roman" w:cs="Times New Roman"/>
          <w:i/>
          <w:sz w:val="24"/>
          <w:szCs w:val="24"/>
        </w:rPr>
        <w:t>range of reasonableness</w:t>
      </w:r>
      <w:r w:rsidR="004138FC" w:rsidRPr="00CA6257">
        <w:rPr>
          <w:rFonts w:ascii="Times New Roman" w:hAnsi="Times New Roman" w:cs="Times New Roman"/>
          <w:sz w:val="24"/>
          <w:szCs w:val="24"/>
        </w:rPr>
        <w:t xml:space="preserve"> for </w:t>
      </w:r>
      <w:r w:rsidR="00E3569B" w:rsidRPr="00CA6257">
        <w:rPr>
          <w:rFonts w:ascii="Times New Roman" w:hAnsi="Times New Roman" w:cs="Times New Roman"/>
          <w:sz w:val="24"/>
          <w:szCs w:val="24"/>
        </w:rPr>
        <w:t xml:space="preserve">the </w:t>
      </w:r>
      <w:r w:rsidR="004138FC" w:rsidRPr="00CA6257">
        <w:rPr>
          <w:rFonts w:ascii="Times New Roman" w:hAnsi="Times New Roman" w:cs="Times New Roman"/>
          <w:sz w:val="24"/>
          <w:szCs w:val="24"/>
        </w:rPr>
        <w:t xml:space="preserve">calculated </w:t>
      </w:r>
      <w:r w:rsidR="00E3569B" w:rsidRPr="00CA6257">
        <w:rPr>
          <w:rFonts w:ascii="Times New Roman" w:hAnsi="Times New Roman" w:cs="Times New Roman"/>
          <w:sz w:val="24"/>
          <w:szCs w:val="24"/>
        </w:rPr>
        <w:t>DCF results.</w:t>
      </w:r>
    </w:p>
    <w:p w:rsidR="00E3569B" w:rsidRPr="00144E3A" w:rsidRDefault="00E3569B" w:rsidP="00CA6257">
      <w:pPr>
        <w:pStyle w:val="ListParagraph"/>
        <w:keepNext/>
        <w:ind w:left="0"/>
        <w:rPr>
          <w:rFonts w:ascii="Times New Roman" w:hAnsi="Times New Roman" w:cs="Times New Roman"/>
          <w:sz w:val="24"/>
          <w:szCs w:val="24"/>
        </w:rPr>
      </w:pPr>
    </w:p>
    <w:p w:rsidR="00E3569B" w:rsidRDefault="00E3569B" w:rsidP="00CA6257">
      <w:pPr>
        <w:pStyle w:val="ListParagraph"/>
        <w:keepNext/>
        <w:ind w:left="0"/>
        <w:rPr>
          <w:rFonts w:ascii="Times New Roman" w:hAnsi="Times New Roman" w:cs="Times New Roman"/>
          <w:b/>
          <w:sz w:val="24"/>
          <w:szCs w:val="24"/>
        </w:rPr>
      </w:pPr>
      <w:r w:rsidRPr="00CA6257">
        <w:rPr>
          <w:rFonts w:ascii="Times New Roman" w:hAnsi="Times New Roman" w:cs="Times New Roman"/>
          <w:b/>
          <w:sz w:val="24"/>
          <w:szCs w:val="24"/>
        </w:rPr>
        <w:t>Other Factors</w:t>
      </w:r>
    </w:p>
    <w:p w:rsidR="0083527E" w:rsidRPr="00CA6257" w:rsidRDefault="0083527E" w:rsidP="00CA6257">
      <w:pPr>
        <w:pStyle w:val="ListParagraph"/>
        <w:keepNext/>
        <w:ind w:left="0"/>
        <w:rPr>
          <w:rFonts w:ascii="Times New Roman" w:hAnsi="Times New Roman" w:cs="Times New Roman"/>
          <w:sz w:val="24"/>
          <w:szCs w:val="24"/>
        </w:rPr>
      </w:pPr>
    </w:p>
    <w:p w:rsidR="00B2020F" w:rsidRPr="00CA6257" w:rsidRDefault="00B2020F" w:rsidP="00B2020F">
      <w:pPr>
        <w:keepNext/>
        <w:ind w:firstLine="720"/>
        <w:rPr>
          <w:rFonts w:ascii="Times New Roman" w:hAnsi="Times New Roman" w:cs="Times New Roman"/>
          <w:sz w:val="24"/>
          <w:szCs w:val="24"/>
        </w:rPr>
      </w:pPr>
      <w:r>
        <w:rPr>
          <w:rFonts w:ascii="Times New Roman" w:hAnsi="Times New Roman" w:cs="Times New Roman"/>
          <w:sz w:val="24"/>
          <w:szCs w:val="24"/>
        </w:rPr>
        <w:t xml:space="preserve">In addition, the process will </w:t>
      </w:r>
      <w:r w:rsidRPr="00CA6257">
        <w:rPr>
          <w:rFonts w:ascii="Times New Roman" w:hAnsi="Times New Roman" w:cs="Times New Roman"/>
          <w:sz w:val="24"/>
          <w:szCs w:val="24"/>
        </w:rPr>
        <w:t xml:space="preserve">give consideration to </w:t>
      </w:r>
      <w:r>
        <w:rPr>
          <w:rFonts w:ascii="Times New Roman" w:hAnsi="Times New Roman" w:cs="Times New Roman"/>
          <w:sz w:val="24"/>
          <w:szCs w:val="24"/>
        </w:rPr>
        <w:t xml:space="preserve">the </w:t>
      </w:r>
      <w:r w:rsidRPr="00CA6257">
        <w:rPr>
          <w:rFonts w:ascii="Times New Roman" w:hAnsi="Times New Roman" w:cs="Times New Roman"/>
          <w:sz w:val="24"/>
          <w:szCs w:val="24"/>
        </w:rPr>
        <w:t xml:space="preserve">ROEs </w:t>
      </w:r>
      <w:r>
        <w:rPr>
          <w:rFonts w:ascii="Times New Roman" w:hAnsi="Times New Roman" w:cs="Times New Roman"/>
          <w:sz w:val="24"/>
          <w:szCs w:val="24"/>
        </w:rPr>
        <w:t xml:space="preserve">recently </w:t>
      </w:r>
      <w:r w:rsidRPr="00CA6257">
        <w:rPr>
          <w:rFonts w:ascii="Times New Roman" w:hAnsi="Times New Roman" w:cs="Times New Roman"/>
          <w:sz w:val="24"/>
          <w:szCs w:val="24"/>
        </w:rPr>
        <w:t>adjudicated by the Commission in fully litigated rate cases in each industry</w:t>
      </w:r>
      <w:r>
        <w:rPr>
          <w:rFonts w:ascii="Times New Roman" w:hAnsi="Times New Roman" w:cs="Times New Roman"/>
          <w:sz w:val="24"/>
          <w:szCs w:val="24"/>
        </w:rPr>
        <w:t>, the need to attract, at reasonable rates, the capital needed to maintain and improve that industry’s infrastructure, and such other factors as the Commission deems appropriate and consistent with Act 11.</w:t>
      </w:r>
    </w:p>
    <w:p w:rsidR="00E3569B" w:rsidRDefault="00E3569B" w:rsidP="00CA6257">
      <w:pPr>
        <w:pStyle w:val="ListParagraph"/>
        <w:keepNext/>
        <w:ind w:left="0"/>
        <w:rPr>
          <w:rFonts w:ascii="Times New Roman" w:hAnsi="Times New Roman" w:cs="Times New Roman"/>
          <w:sz w:val="24"/>
          <w:szCs w:val="24"/>
        </w:rPr>
      </w:pPr>
    </w:p>
    <w:p w:rsidR="00144E3A" w:rsidRPr="00CA6257" w:rsidRDefault="00144E3A" w:rsidP="008E1CB4">
      <w:pPr>
        <w:rPr>
          <w:rFonts w:ascii="Times New Roman" w:hAnsi="Times New Roman" w:cs="Times New Roman"/>
          <w:b/>
          <w:sz w:val="24"/>
          <w:szCs w:val="24"/>
        </w:rPr>
      </w:pPr>
      <w:r w:rsidRPr="00CA6257">
        <w:rPr>
          <w:rFonts w:ascii="Times New Roman" w:hAnsi="Times New Roman" w:cs="Times New Roman"/>
          <w:b/>
          <w:sz w:val="24"/>
          <w:szCs w:val="24"/>
        </w:rPr>
        <w:t>Effective Date</w:t>
      </w:r>
    </w:p>
    <w:p w:rsidR="00E0565B" w:rsidRDefault="00E0565B" w:rsidP="008E1CB4">
      <w:pPr>
        <w:rPr>
          <w:rFonts w:ascii="Times New Roman" w:hAnsi="Times New Roman" w:cs="Times New Roman"/>
          <w:sz w:val="24"/>
          <w:szCs w:val="24"/>
        </w:rPr>
      </w:pPr>
    </w:p>
    <w:p w:rsidR="00FB0FB7" w:rsidRDefault="00FF41BD" w:rsidP="003832BD">
      <w:pPr>
        <w:ind w:firstLine="720"/>
        <w:rPr>
          <w:rFonts w:ascii="Times New Roman" w:hAnsi="Times New Roman" w:cs="Times New Roman"/>
          <w:sz w:val="24"/>
          <w:szCs w:val="24"/>
        </w:rPr>
      </w:pPr>
      <w:r>
        <w:rPr>
          <w:rFonts w:ascii="Times New Roman" w:hAnsi="Times New Roman" w:cs="Times New Roman"/>
          <w:sz w:val="24"/>
          <w:szCs w:val="24"/>
        </w:rPr>
        <w:t>Th</w:t>
      </w:r>
      <w:r w:rsidR="00880862">
        <w:rPr>
          <w:rFonts w:ascii="Times New Roman" w:hAnsi="Times New Roman" w:cs="Times New Roman"/>
          <w:sz w:val="24"/>
          <w:szCs w:val="24"/>
        </w:rPr>
        <w:t>ese updated ROE parameters will be used in</w:t>
      </w:r>
      <w:r w:rsidR="00FB0FB7">
        <w:rPr>
          <w:rFonts w:ascii="Times New Roman" w:hAnsi="Times New Roman" w:cs="Times New Roman"/>
          <w:sz w:val="24"/>
          <w:szCs w:val="24"/>
        </w:rPr>
        <w:t>,</w:t>
      </w:r>
      <w:r w:rsidR="00880862">
        <w:rPr>
          <w:rFonts w:ascii="Times New Roman" w:hAnsi="Times New Roman" w:cs="Times New Roman"/>
          <w:sz w:val="24"/>
          <w:szCs w:val="24"/>
        </w:rPr>
        <w:t xml:space="preserve"> and effective</w:t>
      </w:r>
      <w:r>
        <w:rPr>
          <w:rFonts w:ascii="Times New Roman" w:hAnsi="Times New Roman" w:cs="Times New Roman"/>
          <w:sz w:val="24"/>
          <w:szCs w:val="24"/>
        </w:rPr>
        <w:t xml:space="preserve"> with</w:t>
      </w:r>
      <w:r w:rsidR="00FB0FB7">
        <w:rPr>
          <w:rFonts w:ascii="Times New Roman" w:hAnsi="Times New Roman" w:cs="Times New Roman"/>
          <w:sz w:val="24"/>
          <w:szCs w:val="24"/>
        </w:rPr>
        <w:t>,</w:t>
      </w:r>
      <w:r>
        <w:rPr>
          <w:rFonts w:ascii="Times New Roman" w:hAnsi="Times New Roman" w:cs="Times New Roman"/>
          <w:sz w:val="24"/>
          <w:szCs w:val="24"/>
        </w:rPr>
        <w:t xml:space="preserve"> the next QER.</w:t>
      </w:r>
      <w:r w:rsidR="00880862">
        <w:rPr>
          <w:rFonts w:ascii="Times New Roman" w:hAnsi="Times New Roman" w:cs="Times New Roman"/>
          <w:sz w:val="24"/>
          <w:szCs w:val="24"/>
        </w:rPr>
        <w:t xml:space="preserve">  </w:t>
      </w:r>
      <w:r w:rsidR="00F6461B">
        <w:rPr>
          <w:rFonts w:ascii="Times New Roman" w:hAnsi="Times New Roman" w:cs="Times New Roman"/>
          <w:sz w:val="24"/>
          <w:szCs w:val="24"/>
        </w:rPr>
        <w:t xml:space="preserve">The QER will display barometer groups, dividend yields, growth rates, and calculations for DCF and CAPM.  </w:t>
      </w:r>
      <w:r w:rsidR="00880862">
        <w:rPr>
          <w:rFonts w:ascii="Times New Roman" w:hAnsi="Times New Roman" w:cs="Times New Roman"/>
          <w:sz w:val="24"/>
          <w:szCs w:val="24"/>
        </w:rPr>
        <w:t>The updated parameters will improve the process used to determine an equity cost rate for purposes on the DSIC mechanism</w:t>
      </w:r>
      <w:r w:rsidR="00FB0FB7">
        <w:rPr>
          <w:rFonts w:ascii="Times New Roman" w:hAnsi="Times New Roman" w:cs="Times New Roman"/>
          <w:sz w:val="24"/>
          <w:szCs w:val="24"/>
        </w:rPr>
        <w:t xml:space="preserve"> and </w:t>
      </w:r>
      <w:r w:rsidR="00067DE1">
        <w:rPr>
          <w:rFonts w:ascii="Times New Roman" w:hAnsi="Times New Roman" w:cs="Times New Roman"/>
          <w:sz w:val="24"/>
          <w:szCs w:val="24"/>
        </w:rPr>
        <w:t xml:space="preserve">will </w:t>
      </w:r>
      <w:r w:rsidR="00FB0FB7">
        <w:rPr>
          <w:rFonts w:ascii="Times New Roman" w:hAnsi="Times New Roman" w:cs="Times New Roman"/>
          <w:sz w:val="24"/>
          <w:szCs w:val="24"/>
        </w:rPr>
        <w:t xml:space="preserve">produce an </w:t>
      </w:r>
      <w:r w:rsidR="0083527E">
        <w:rPr>
          <w:rFonts w:ascii="Times New Roman" w:hAnsi="Times New Roman" w:cs="Times New Roman"/>
          <w:sz w:val="24"/>
          <w:szCs w:val="24"/>
        </w:rPr>
        <w:t>ROE that</w:t>
      </w:r>
      <w:r w:rsidR="00880862">
        <w:rPr>
          <w:rFonts w:ascii="Times New Roman" w:hAnsi="Times New Roman" w:cs="Times New Roman"/>
          <w:sz w:val="24"/>
          <w:szCs w:val="24"/>
        </w:rPr>
        <w:t xml:space="preserve"> will be reflective of current market conditions</w:t>
      </w:r>
      <w:r w:rsidR="00FB0FB7">
        <w:rPr>
          <w:rFonts w:ascii="Times New Roman" w:hAnsi="Times New Roman" w:cs="Times New Roman"/>
          <w:sz w:val="24"/>
          <w:szCs w:val="24"/>
        </w:rPr>
        <w:t xml:space="preserve"> and provide the return rates necessary to attract the capital needed to maintain and improve utility infrastructure in accordance with the underlying </w:t>
      </w:r>
      <w:r w:rsidR="0083527E">
        <w:rPr>
          <w:rFonts w:ascii="Times New Roman" w:hAnsi="Times New Roman" w:cs="Times New Roman"/>
          <w:sz w:val="24"/>
          <w:szCs w:val="24"/>
        </w:rPr>
        <w:t>purpose</w:t>
      </w:r>
      <w:r w:rsidR="00FB0FB7">
        <w:rPr>
          <w:rFonts w:ascii="Times New Roman" w:hAnsi="Times New Roman" w:cs="Times New Roman"/>
          <w:sz w:val="24"/>
          <w:szCs w:val="24"/>
        </w:rPr>
        <w:t xml:space="preserve"> of Act11.</w:t>
      </w:r>
      <w:r>
        <w:rPr>
          <w:rFonts w:ascii="Times New Roman" w:hAnsi="Times New Roman" w:cs="Times New Roman"/>
          <w:sz w:val="24"/>
          <w:szCs w:val="24"/>
        </w:rPr>
        <w:t xml:space="preserve"> </w:t>
      </w:r>
      <w:r w:rsidR="00FB0FB7">
        <w:rPr>
          <w:rFonts w:ascii="Times New Roman" w:hAnsi="Times New Roman" w:cs="Times New Roman"/>
          <w:sz w:val="24"/>
          <w:szCs w:val="24"/>
        </w:rPr>
        <w:t xml:space="preserve"> </w:t>
      </w:r>
    </w:p>
    <w:p w:rsidR="00FB0FB7" w:rsidRDefault="00FB0FB7" w:rsidP="003832BD">
      <w:pPr>
        <w:ind w:firstLine="720"/>
        <w:rPr>
          <w:rFonts w:ascii="Times New Roman" w:hAnsi="Times New Roman" w:cs="Times New Roman"/>
          <w:sz w:val="24"/>
          <w:szCs w:val="24"/>
        </w:rPr>
      </w:pPr>
    </w:p>
    <w:p w:rsidR="00FF41BD" w:rsidRDefault="00FF41BD" w:rsidP="003832BD">
      <w:pPr>
        <w:ind w:firstLine="720"/>
        <w:rPr>
          <w:rFonts w:ascii="Times New Roman" w:hAnsi="Times New Roman" w:cs="Times New Roman"/>
          <w:sz w:val="24"/>
          <w:szCs w:val="24"/>
        </w:rPr>
      </w:pPr>
      <w:r>
        <w:rPr>
          <w:rFonts w:ascii="Times New Roman" w:hAnsi="Times New Roman" w:cs="Times New Roman"/>
          <w:sz w:val="24"/>
          <w:szCs w:val="24"/>
        </w:rPr>
        <w:t xml:space="preserve">Questions may be directed to </w:t>
      </w:r>
      <w:r w:rsidR="00154A96">
        <w:rPr>
          <w:rFonts w:ascii="Times New Roman" w:hAnsi="Times New Roman" w:cs="Times New Roman"/>
          <w:sz w:val="24"/>
          <w:szCs w:val="24"/>
        </w:rPr>
        <w:t>Andrew Herster, Bureau of Technical Utility Services, 717</w:t>
      </w:r>
      <w:r w:rsidR="00AB6EAD">
        <w:rPr>
          <w:rFonts w:ascii="Times New Roman" w:hAnsi="Times New Roman" w:cs="Times New Roman"/>
          <w:sz w:val="24"/>
          <w:szCs w:val="24"/>
        </w:rPr>
        <w:noBreakHyphen/>
      </w:r>
      <w:r w:rsidR="00154A96">
        <w:rPr>
          <w:rFonts w:ascii="Times New Roman" w:hAnsi="Times New Roman" w:cs="Times New Roman"/>
          <w:sz w:val="24"/>
          <w:szCs w:val="24"/>
        </w:rPr>
        <w:t>783-5392 or aherster@pa.gov</w:t>
      </w:r>
      <w:r>
        <w:rPr>
          <w:rFonts w:ascii="Times New Roman" w:hAnsi="Times New Roman" w:cs="Times New Roman"/>
          <w:sz w:val="24"/>
          <w:szCs w:val="24"/>
        </w:rPr>
        <w:t>.</w:t>
      </w:r>
    </w:p>
    <w:p w:rsidR="00B05908" w:rsidRDefault="00682519" w:rsidP="008E1CB4">
      <w:pPr>
        <w:rPr>
          <w:rFonts w:ascii="Times New Roman" w:hAnsi="Times New Roman" w:cs="Times New Roman"/>
          <w:sz w:val="24"/>
          <w:szCs w:val="24"/>
        </w:rPr>
      </w:pPr>
      <w:bookmarkStart w:id="0" w:name="_GoBack"/>
      <w:r w:rsidRPr="00A14635">
        <w:rPr>
          <w:noProof/>
        </w:rPr>
        <w:drawing>
          <wp:anchor distT="0" distB="0" distL="114300" distR="114300" simplePos="0" relativeHeight="251659264" behindDoc="1" locked="0" layoutInCell="1" allowOverlap="1" wp14:anchorId="22EEF2AC" wp14:editId="43E088C0">
            <wp:simplePos x="0" y="0"/>
            <wp:positionH relativeFrom="column">
              <wp:posOffset>2594610</wp:posOffset>
            </wp:positionH>
            <wp:positionV relativeFrom="paragraph">
              <wp:posOffset>99695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r w:rsidR="008A0D5E">
        <w:rPr>
          <w:rFonts w:ascii="Times New Roman" w:hAnsi="Times New Roman" w:cs="Times New Roman"/>
          <w:sz w:val="24"/>
          <w:szCs w:val="24"/>
        </w:rPr>
        <w:t>,</w:t>
      </w:r>
    </w:p>
    <w:p w:rsidR="00FF41BD" w:rsidRDefault="00FF41BD" w:rsidP="008E1CB4">
      <w:pPr>
        <w:rPr>
          <w:rFonts w:ascii="Times New Roman" w:hAnsi="Times New Roman" w:cs="Times New Roman"/>
          <w:sz w:val="24"/>
          <w:szCs w:val="24"/>
        </w:rPr>
      </w:pPr>
    </w:p>
    <w:p w:rsidR="00B05908" w:rsidRDefault="00B05908" w:rsidP="008E1CB4">
      <w:pPr>
        <w:rPr>
          <w:rFonts w:ascii="Times New Roman" w:hAnsi="Times New Roman" w:cs="Times New Roman"/>
          <w:sz w:val="24"/>
          <w:szCs w:val="24"/>
        </w:rPr>
      </w:pPr>
    </w:p>
    <w:p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Rosemary Chiavetta</w:t>
      </w:r>
    </w:p>
    <w:p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83527E" w:rsidRDefault="0083527E" w:rsidP="008E1CB4">
      <w:pPr>
        <w:rPr>
          <w:rFonts w:ascii="Times New Roman" w:hAnsi="Times New Roman" w:cs="Times New Roman"/>
          <w:sz w:val="24"/>
          <w:szCs w:val="24"/>
        </w:rPr>
      </w:pPr>
    </w:p>
    <w:p w:rsidR="0083527E" w:rsidRDefault="0078373D" w:rsidP="008E1CB4">
      <w:pPr>
        <w:rPr>
          <w:rFonts w:ascii="Times New Roman" w:hAnsi="Times New Roman" w:cs="Times New Roman"/>
          <w:sz w:val="24"/>
          <w:szCs w:val="24"/>
        </w:rPr>
      </w:pPr>
      <w:r>
        <w:rPr>
          <w:rFonts w:ascii="Times New Roman" w:hAnsi="Times New Roman" w:cs="Times New Roman"/>
          <w:sz w:val="24"/>
          <w:szCs w:val="24"/>
        </w:rPr>
        <w:t>cc</w:t>
      </w:r>
      <w:r w:rsidR="0083527E">
        <w:rPr>
          <w:rFonts w:ascii="Times New Roman" w:hAnsi="Times New Roman" w:cs="Times New Roman"/>
          <w:sz w:val="24"/>
          <w:szCs w:val="24"/>
        </w:rPr>
        <w:t>:</w:t>
      </w:r>
      <w:r w:rsidR="0083527E">
        <w:rPr>
          <w:rFonts w:ascii="Times New Roman" w:hAnsi="Times New Roman" w:cs="Times New Roman"/>
          <w:sz w:val="24"/>
          <w:szCs w:val="24"/>
        </w:rPr>
        <w:tab/>
        <w:t>Paul Diskin, Director, TUS</w:t>
      </w:r>
    </w:p>
    <w:p w:rsidR="00603660" w:rsidRDefault="0083527E" w:rsidP="008E1CB4">
      <w:pPr>
        <w:rPr>
          <w:rFonts w:ascii="Times New Roman" w:hAnsi="Times New Roman" w:cs="Times New Roman"/>
          <w:sz w:val="24"/>
          <w:szCs w:val="24"/>
        </w:rPr>
      </w:pPr>
      <w:r>
        <w:rPr>
          <w:rFonts w:ascii="Times New Roman" w:hAnsi="Times New Roman" w:cs="Times New Roman"/>
          <w:sz w:val="24"/>
          <w:szCs w:val="24"/>
        </w:rPr>
        <w:tab/>
        <w:t>Bohdan R. Pankiw, Chief Counsel</w:t>
      </w:r>
      <w:r w:rsidR="00603660">
        <w:rPr>
          <w:rFonts w:ascii="Times New Roman" w:hAnsi="Times New Roman" w:cs="Times New Roman"/>
          <w:sz w:val="24"/>
          <w:szCs w:val="24"/>
        </w:rPr>
        <w:br/>
      </w:r>
      <w:r w:rsidR="00603660">
        <w:rPr>
          <w:rFonts w:ascii="Times New Roman" w:hAnsi="Times New Roman" w:cs="Times New Roman"/>
          <w:sz w:val="24"/>
          <w:szCs w:val="24"/>
        </w:rPr>
        <w:tab/>
        <w:t>Louise Fink Smith, Law Bureau</w:t>
      </w:r>
    </w:p>
    <w:p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Erin Laudenslager, TUS</w:t>
      </w:r>
    </w:p>
    <w:p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Andrew Herster, TUS</w:t>
      </w:r>
    </w:p>
    <w:p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David Huff, TUS</w:t>
      </w:r>
    </w:p>
    <w:p w:rsidR="0083527E" w:rsidRDefault="00603660" w:rsidP="00603660">
      <w:pPr>
        <w:ind w:firstLine="720"/>
        <w:rPr>
          <w:rFonts w:ascii="Times New Roman" w:hAnsi="Times New Roman" w:cs="Times New Roman"/>
          <w:sz w:val="24"/>
          <w:szCs w:val="24"/>
        </w:rPr>
      </w:pPr>
      <w:r>
        <w:rPr>
          <w:rFonts w:ascii="Times New Roman" w:hAnsi="Times New Roman" w:cs="Times New Roman"/>
          <w:sz w:val="24"/>
          <w:szCs w:val="24"/>
        </w:rPr>
        <w:t>Electronic List</w:t>
      </w:r>
    </w:p>
    <w:sectPr w:rsidR="0083527E" w:rsidSect="006557D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1A" w:rsidRDefault="00AB161A" w:rsidP="00214AAA">
      <w:r>
        <w:separator/>
      </w:r>
    </w:p>
  </w:endnote>
  <w:endnote w:type="continuationSeparator" w:id="0">
    <w:p w:rsidR="00AB161A" w:rsidRDefault="00AB161A" w:rsidP="0021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34080"/>
      <w:docPartObj>
        <w:docPartGallery w:val="Page Numbers (Bottom of Page)"/>
        <w:docPartUnique/>
      </w:docPartObj>
    </w:sdtPr>
    <w:sdtEndPr>
      <w:rPr>
        <w:rFonts w:ascii="Times New Roman" w:hAnsi="Times New Roman" w:cs="Times New Roman"/>
        <w:noProof/>
      </w:rPr>
    </w:sdtEndPr>
    <w:sdtContent>
      <w:p w:rsidR="0078373D" w:rsidRPr="006557D4" w:rsidRDefault="0078373D" w:rsidP="006557D4">
        <w:pPr>
          <w:pStyle w:val="Footer"/>
          <w:jc w:val="center"/>
          <w:rPr>
            <w:rFonts w:ascii="Times New Roman" w:hAnsi="Times New Roman" w:cs="Times New Roman"/>
          </w:rPr>
        </w:pPr>
        <w:r w:rsidRPr="006557D4">
          <w:rPr>
            <w:rFonts w:ascii="Times New Roman" w:hAnsi="Times New Roman" w:cs="Times New Roman"/>
          </w:rPr>
          <w:fldChar w:fldCharType="begin"/>
        </w:r>
        <w:r w:rsidRPr="006557D4">
          <w:rPr>
            <w:rFonts w:ascii="Times New Roman" w:hAnsi="Times New Roman" w:cs="Times New Roman"/>
          </w:rPr>
          <w:instrText xml:space="preserve"> PAGE   \* MERGEFORMAT </w:instrText>
        </w:r>
        <w:r w:rsidRPr="006557D4">
          <w:rPr>
            <w:rFonts w:ascii="Times New Roman" w:hAnsi="Times New Roman" w:cs="Times New Roman"/>
          </w:rPr>
          <w:fldChar w:fldCharType="separate"/>
        </w:r>
        <w:r w:rsidR="00682519">
          <w:rPr>
            <w:rFonts w:ascii="Times New Roman" w:hAnsi="Times New Roman" w:cs="Times New Roman"/>
            <w:noProof/>
          </w:rPr>
          <w:t>3</w:t>
        </w:r>
        <w:r w:rsidRPr="006557D4">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D4" w:rsidRDefault="006557D4">
    <w:pPr>
      <w:pStyle w:val="Footer"/>
      <w:jc w:val="center"/>
    </w:pPr>
  </w:p>
  <w:p w:rsidR="006557D4" w:rsidRDefault="00655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1A" w:rsidRDefault="00AB161A" w:rsidP="00214AAA">
      <w:r>
        <w:separator/>
      </w:r>
    </w:p>
  </w:footnote>
  <w:footnote w:type="continuationSeparator" w:id="0">
    <w:p w:rsidR="00AB161A" w:rsidRDefault="00AB161A" w:rsidP="00214AAA">
      <w:r>
        <w:continuationSeparator/>
      </w:r>
    </w:p>
  </w:footnote>
  <w:footnote w:id="1">
    <w:p w:rsidR="00401636" w:rsidRPr="00385DE2" w:rsidRDefault="00401636" w:rsidP="00401636">
      <w:pPr>
        <w:pStyle w:val="FootnoteText"/>
      </w:pPr>
      <w:r w:rsidRPr="00CA6257">
        <w:rPr>
          <w:rStyle w:val="FootnoteReference"/>
        </w:rPr>
        <w:footnoteRef/>
      </w:r>
      <w:r w:rsidRPr="00CA6257">
        <w:t xml:space="preserve"> </w:t>
      </w:r>
      <w:r w:rsidR="00385DE2">
        <w:t xml:space="preserve"> </w:t>
      </w:r>
      <w:hyperlink r:id="rId1" w:history="1">
        <w:r w:rsidRPr="00385DE2">
          <w:rPr>
            <w:rStyle w:val="Hyperlink"/>
          </w:rPr>
          <w:t>http://www.legis.state.pa.us/WU01/LI/LI/US/HTM/2012/0/0011..HTM</w:t>
        </w:r>
      </w:hyperlink>
      <w:r w:rsidRPr="00385DE2">
        <w:t>.</w:t>
      </w:r>
    </w:p>
  </w:footnote>
  <w:footnote w:id="2">
    <w:p w:rsidR="00F160CD" w:rsidRPr="00CA6257" w:rsidRDefault="00F160CD" w:rsidP="00F160CD">
      <w:pPr>
        <w:rPr>
          <w:rFonts w:ascii="Times New Roman" w:hAnsi="Times New Roman" w:cs="Times New Roman"/>
          <w:sz w:val="20"/>
          <w:szCs w:val="20"/>
        </w:rPr>
      </w:pPr>
      <w:r w:rsidRPr="00CA6257">
        <w:rPr>
          <w:rStyle w:val="FootnoteReference"/>
          <w:rFonts w:ascii="Times New Roman" w:hAnsi="Times New Roman" w:cs="Times New Roman"/>
          <w:sz w:val="20"/>
          <w:szCs w:val="20"/>
        </w:rPr>
        <w:footnoteRef/>
      </w:r>
      <w:r w:rsidRPr="00CA6257">
        <w:rPr>
          <w:rFonts w:ascii="Times New Roman" w:hAnsi="Times New Roman" w:cs="Times New Roman"/>
          <w:sz w:val="20"/>
          <w:szCs w:val="20"/>
        </w:rPr>
        <w:t xml:space="preserve">  </w:t>
      </w:r>
      <w:r w:rsidR="007B791D" w:rsidRPr="00CA6257">
        <w:rPr>
          <w:rFonts w:ascii="Times New Roman" w:hAnsi="Times New Roman" w:cs="Times New Roman"/>
          <w:sz w:val="20"/>
          <w:szCs w:val="20"/>
        </w:rPr>
        <w:t xml:space="preserve">The following entities participated in </w:t>
      </w:r>
      <w:r w:rsidRPr="00CA6257">
        <w:rPr>
          <w:rFonts w:ascii="Times New Roman" w:hAnsi="Times New Roman" w:cs="Times New Roman"/>
          <w:sz w:val="20"/>
          <w:szCs w:val="20"/>
        </w:rPr>
        <w:t xml:space="preserve">stakeholder </w:t>
      </w:r>
      <w:r w:rsidR="007B791D" w:rsidRPr="00CA6257">
        <w:rPr>
          <w:rFonts w:ascii="Times New Roman" w:hAnsi="Times New Roman" w:cs="Times New Roman"/>
          <w:sz w:val="20"/>
          <w:szCs w:val="20"/>
        </w:rPr>
        <w:t>discussions</w:t>
      </w:r>
      <w:r w:rsidRPr="00CA6257">
        <w:rPr>
          <w:rFonts w:ascii="Times New Roman" w:hAnsi="Times New Roman" w:cs="Times New Roman"/>
          <w:sz w:val="20"/>
          <w:szCs w:val="20"/>
        </w:rPr>
        <w:t xml:space="preserve">:  </w:t>
      </w:r>
      <w:r w:rsidRPr="00CA6257">
        <w:rPr>
          <w:rFonts w:ascii="Times New Roman" w:hAnsi="Times New Roman" w:cs="Times New Roman"/>
          <w:color w:val="000000"/>
          <w:sz w:val="20"/>
          <w:szCs w:val="20"/>
        </w:rPr>
        <w:t xml:space="preserve">Aqua Pennsylvania; Columbia Gas of PA; Duquesne Light; Energy Association of PA (EAP); Equitable Gas; FirstEnergy; various Industrial Customer Groups; National Fuel Gas; </w:t>
      </w:r>
      <w:r w:rsidR="007B791D" w:rsidRPr="00CA6257">
        <w:rPr>
          <w:rFonts w:ascii="Times New Roman" w:hAnsi="Times New Roman" w:cs="Times New Roman"/>
          <w:color w:val="000000"/>
          <w:sz w:val="20"/>
          <w:szCs w:val="20"/>
        </w:rPr>
        <w:t xml:space="preserve">Pennsylvania Chapter of the National Association of Water Companies (PNAWC); </w:t>
      </w:r>
      <w:r w:rsidRPr="00CA6257">
        <w:rPr>
          <w:rFonts w:ascii="Times New Roman" w:hAnsi="Times New Roman" w:cs="Times New Roman"/>
          <w:color w:val="000000"/>
          <w:sz w:val="20"/>
          <w:szCs w:val="20"/>
        </w:rPr>
        <w:t>PECO Energy Company; Peoples Natural Gas LLC; Pike County L&amp;P; PPL Electric Utilities; Superior Water; UGI; United Water; York Water Company</w:t>
      </w:r>
      <w:r w:rsidR="007B791D" w:rsidRPr="00CA6257">
        <w:rPr>
          <w:rFonts w:ascii="Times New Roman" w:hAnsi="Times New Roman" w:cs="Times New Roman"/>
          <w:color w:val="000000"/>
          <w:sz w:val="20"/>
          <w:szCs w:val="20"/>
        </w:rPr>
        <w:t>; the Office of Consumer Advocate (OCA); the Office of Small Business Advocate (OSBA); the Bureau of Investigation and Enforcement (BI&amp;E); and other Commission staff</w:t>
      </w:r>
      <w:r w:rsidRPr="00CA6257">
        <w:rPr>
          <w:rFonts w:ascii="Times New Roman" w:hAnsi="Times New Roman" w:cs="Times New Roman"/>
          <w:color w:val="000000"/>
          <w:sz w:val="20"/>
          <w:szCs w:val="20"/>
        </w:rPr>
        <w:t>.</w:t>
      </w:r>
      <w:r w:rsidRPr="00CA6257">
        <w:rPr>
          <w:rFonts w:ascii="Times New Roman" w:hAnsi="Times New Roman" w:cs="Times New Roman"/>
          <w:sz w:val="20"/>
          <w:szCs w:val="20"/>
        </w:rPr>
        <w:t xml:space="preserve">  EAP member utilities include:  Citizens’ Electric Company; Columbia Gas of PA; Duquesne Light Company; Equitable Gas Company; Metropolitan Edison Company; Pennsylvania Electric Company; Pennsylvania Power Company; Pike County Light &amp; Power Company; National Fuel Gas Distribution Corp.; PECO Energy Company; Peoples Natural Gas Company; Peoples TWP LLC; Philadelphia Gas Works; PPL Electric Utilities; UGI Central Penn Gas; UGI Penn Natural Gas; UGI Utilities, Inc.; Valley Energy; Wellsboro Electric Company; and West Penn Power Company.</w:t>
      </w:r>
      <w:r w:rsidR="007B791D" w:rsidRPr="00CA6257">
        <w:rPr>
          <w:rFonts w:ascii="Times New Roman" w:hAnsi="Times New Roman" w:cs="Times New Roman"/>
          <w:sz w:val="20"/>
          <w:szCs w:val="20"/>
        </w:rPr>
        <w:t xml:space="preserve">  PNAWC member utilities include:  P</w:t>
      </w:r>
      <w:r w:rsidR="00CA6257">
        <w:rPr>
          <w:rFonts w:ascii="Times New Roman" w:hAnsi="Times New Roman" w:cs="Times New Roman"/>
          <w:sz w:val="20"/>
          <w:szCs w:val="20"/>
        </w:rPr>
        <w:t xml:space="preserve">ennsylvania </w:t>
      </w:r>
      <w:r w:rsidR="007B791D" w:rsidRPr="00CA6257">
        <w:rPr>
          <w:rFonts w:ascii="Times New Roman" w:hAnsi="Times New Roman" w:cs="Times New Roman"/>
          <w:sz w:val="20"/>
          <w:szCs w:val="20"/>
        </w:rPr>
        <w:t>A</w:t>
      </w:r>
      <w:r w:rsidR="00CA6257">
        <w:rPr>
          <w:rFonts w:ascii="Times New Roman" w:hAnsi="Times New Roman" w:cs="Times New Roman"/>
          <w:sz w:val="20"/>
          <w:szCs w:val="20"/>
        </w:rPr>
        <w:t xml:space="preserve">merican </w:t>
      </w:r>
      <w:r w:rsidR="007B791D" w:rsidRPr="00CA6257">
        <w:rPr>
          <w:rFonts w:ascii="Times New Roman" w:hAnsi="Times New Roman" w:cs="Times New Roman"/>
          <w:sz w:val="20"/>
          <w:szCs w:val="20"/>
        </w:rPr>
        <w:t>W</w:t>
      </w:r>
      <w:r w:rsidR="00CA6257">
        <w:rPr>
          <w:rFonts w:ascii="Times New Roman" w:hAnsi="Times New Roman" w:cs="Times New Roman"/>
          <w:sz w:val="20"/>
          <w:szCs w:val="20"/>
        </w:rPr>
        <w:t xml:space="preserve">ater </w:t>
      </w:r>
      <w:r w:rsidR="007B791D" w:rsidRPr="00CA6257">
        <w:rPr>
          <w:rFonts w:ascii="Times New Roman" w:hAnsi="Times New Roman" w:cs="Times New Roman"/>
          <w:sz w:val="20"/>
          <w:szCs w:val="20"/>
        </w:rPr>
        <w:t>C</w:t>
      </w:r>
      <w:r w:rsidR="00CA6257">
        <w:rPr>
          <w:rFonts w:ascii="Times New Roman" w:hAnsi="Times New Roman" w:cs="Times New Roman"/>
          <w:sz w:val="20"/>
          <w:szCs w:val="20"/>
        </w:rPr>
        <w:t>ompany;</w:t>
      </w:r>
      <w:r w:rsidR="007B791D" w:rsidRPr="00CA6257">
        <w:rPr>
          <w:rFonts w:ascii="Times New Roman" w:hAnsi="Times New Roman" w:cs="Times New Roman"/>
          <w:sz w:val="20"/>
          <w:szCs w:val="20"/>
        </w:rPr>
        <w:t xml:space="preserve"> York Water Company, United Water Pennsylvania, Superior Water, and “other smaller water utilities.”</w:t>
      </w:r>
    </w:p>
  </w:footnote>
  <w:footnote w:id="3">
    <w:p w:rsidR="00AA4D7F" w:rsidRPr="00CA6257" w:rsidRDefault="00AA4D7F">
      <w:pPr>
        <w:pStyle w:val="FootnoteText"/>
      </w:pPr>
      <w:r w:rsidRPr="00CA6257">
        <w:rPr>
          <w:rStyle w:val="FootnoteReference"/>
        </w:rPr>
        <w:footnoteRef/>
      </w:r>
      <w:r w:rsidRPr="00CA6257">
        <w:t xml:space="preserve">  </w:t>
      </w:r>
      <w:r w:rsidR="00CA6257">
        <w:t xml:space="preserve">Position papers were received from OCA, BI&amp;E, and the “Sponsoring Utilities.”  The entities that self-identified as Sponsoring Utilities are the EAP and its member utilities, Aqua PA, and the PNAWC.  </w:t>
      </w:r>
    </w:p>
  </w:footnote>
  <w:footnote w:id="4">
    <w:p w:rsidR="00B915E5" w:rsidRDefault="00B915E5">
      <w:pPr>
        <w:pStyle w:val="FootnoteText"/>
      </w:pPr>
      <w:r>
        <w:rPr>
          <w:rStyle w:val="FootnoteReference"/>
        </w:rPr>
        <w:footnoteRef/>
      </w:r>
      <w:r>
        <w:t xml:space="preserve"> </w:t>
      </w:r>
      <w:r w:rsidR="006557D4">
        <w:t xml:space="preserve"> </w:t>
      </w:r>
      <w:r>
        <w:t xml:space="preserve">Expected dividend yield </w:t>
      </w:r>
      <w:r w:rsidR="00F6461B">
        <w:t xml:space="preserve">is </w:t>
      </w:r>
      <w:r>
        <w:t xml:space="preserve">calculated as latest indicated dividend plus one-half </w:t>
      </w:r>
      <w:r w:rsidRPr="00B915E5">
        <w:rPr>
          <w:i/>
        </w:rPr>
        <w:t>Value Line</w:t>
      </w:r>
      <w:r w:rsidRPr="00B915E5">
        <w:t xml:space="preserve"> 5-year projected annual dividend growth rate</w:t>
      </w:r>
      <w:r w:rsidR="009731F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4A6"/>
    <w:multiLevelType w:val="hybridMultilevel"/>
    <w:tmpl w:val="28FEE2F8"/>
    <w:lvl w:ilvl="0" w:tplc="D91ED02C">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573284"/>
    <w:multiLevelType w:val="hybridMultilevel"/>
    <w:tmpl w:val="575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4"/>
    <w:rsid w:val="00025843"/>
    <w:rsid w:val="00066A04"/>
    <w:rsid w:val="00067DE1"/>
    <w:rsid w:val="000731CD"/>
    <w:rsid w:val="000B5CE9"/>
    <w:rsid w:val="00144E3A"/>
    <w:rsid w:val="00154A96"/>
    <w:rsid w:val="00173D03"/>
    <w:rsid w:val="00193220"/>
    <w:rsid w:val="001A55B5"/>
    <w:rsid w:val="00202550"/>
    <w:rsid w:val="002072E1"/>
    <w:rsid w:val="00213091"/>
    <w:rsid w:val="00214AAA"/>
    <w:rsid w:val="00227E9F"/>
    <w:rsid w:val="0024007A"/>
    <w:rsid w:val="00270023"/>
    <w:rsid w:val="002B1948"/>
    <w:rsid w:val="00321D4E"/>
    <w:rsid w:val="00344609"/>
    <w:rsid w:val="003832BD"/>
    <w:rsid w:val="00385DE2"/>
    <w:rsid w:val="00401636"/>
    <w:rsid w:val="004138FC"/>
    <w:rsid w:val="00440C54"/>
    <w:rsid w:val="0048168C"/>
    <w:rsid w:val="00482FE4"/>
    <w:rsid w:val="004C5E6D"/>
    <w:rsid w:val="004D27E7"/>
    <w:rsid w:val="004E487C"/>
    <w:rsid w:val="004F439E"/>
    <w:rsid w:val="00596E1D"/>
    <w:rsid w:val="005B1D34"/>
    <w:rsid w:val="005C5D56"/>
    <w:rsid w:val="005D3D4C"/>
    <w:rsid w:val="005F1987"/>
    <w:rsid w:val="00603660"/>
    <w:rsid w:val="00607ECD"/>
    <w:rsid w:val="00626231"/>
    <w:rsid w:val="006557D4"/>
    <w:rsid w:val="00662F39"/>
    <w:rsid w:val="00682519"/>
    <w:rsid w:val="006A1979"/>
    <w:rsid w:val="006A266E"/>
    <w:rsid w:val="006C1B0E"/>
    <w:rsid w:val="006C22B4"/>
    <w:rsid w:val="0078373D"/>
    <w:rsid w:val="007A2F41"/>
    <w:rsid w:val="007B791D"/>
    <w:rsid w:val="00814243"/>
    <w:rsid w:val="0083527E"/>
    <w:rsid w:val="00880862"/>
    <w:rsid w:val="008A0D5E"/>
    <w:rsid w:val="008D2A8A"/>
    <w:rsid w:val="008E1CB4"/>
    <w:rsid w:val="008E42F9"/>
    <w:rsid w:val="00913EC5"/>
    <w:rsid w:val="009731FA"/>
    <w:rsid w:val="009B3DB8"/>
    <w:rsid w:val="009F3B4B"/>
    <w:rsid w:val="00A240C0"/>
    <w:rsid w:val="00A26DBA"/>
    <w:rsid w:val="00A271BC"/>
    <w:rsid w:val="00AA01A4"/>
    <w:rsid w:val="00AA4D7F"/>
    <w:rsid w:val="00AB161A"/>
    <w:rsid w:val="00AB6EAD"/>
    <w:rsid w:val="00AF4047"/>
    <w:rsid w:val="00B05908"/>
    <w:rsid w:val="00B17D37"/>
    <w:rsid w:val="00B2020F"/>
    <w:rsid w:val="00B43034"/>
    <w:rsid w:val="00B87787"/>
    <w:rsid w:val="00B915E5"/>
    <w:rsid w:val="00BD4357"/>
    <w:rsid w:val="00CA6257"/>
    <w:rsid w:val="00D21D12"/>
    <w:rsid w:val="00D30E39"/>
    <w:rsid w:val="00D94552"/>
    <w:rsid w:val="00E02F6C"/>
    <w:rsid w:val="00E0565B"/>
    <w:rsid w:val="00E074EA"/>
    <w:rsid w:val="00E17BA3"/>
    <w:rsid w:val="00E3569B"/>
    <w:rsid w:val="00E402A0"/>
    <w:rsid w:val="00E636FD"/>
    <w:rsid w:val="00E70300"/>
    <w:rsid w:val="00F160CD"/>
    <w:rsid w:val="00F6461B"/>
    <w:rsid w:val="00F73472"/>
    <w:rsid w:val="00FB0FB7"/>
    <w:rsid w:val="00FB497E"/>
    <w:rsid w:val="00FF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B4"/>
    <w:pPr>
      <w:ind w:left="720"/>
      <w:contextualSpacing/>
    </w:pPr>
  </w:style>
  <w:style w:type="paragraph" w:styleId="BalloonText">
    <w:name w:val="Balloon Text"/>
    <w:basedOn w:val="Normal"/>
    <w:link w:val="BalloonTextChar"/>
    <w:uiPriority w:val="99"/>
    <w:semiHidden/>
    <w:unhideWhenUsed/>
    <w:rsid w:val="005C5D56"/>
    <w:rPr>
      <w:rFonts w:ascii="Tahoma" w:hAnsi="Tahoma" w:cs="Tahoma"/>
      <w:sz w:val="16"/>
      <w:szCs w:val="16"/>
    </w:rPr>
  </w:style>
  <w:style w:type="character" w:customStyle="1" w:styleId="BalloonTextChar">
    <w:name w:val="Balloon Text Char"/>
    <w:basedOn w:val="DefaultParagraphFont"/>
    <w:link w:val="BalloonText"/>
    <w:uiPriority w:val="99"/>
    <w:semiHidden/>
    <w:rsid w:val="005C5D56"/>
    <w:rPr>
      <w:rFonts w:ascii="Tahoma" w:hAnsi="Tahoma" w:cs="Tahoma"/>
      <w:sz w:val="16"/>
      <w:szCs w:val="16"/>
    </w:rPr>
  </w:style>
  <w:style w:type="paragraph" w:styleId="FootnoteText">
    <w:name w:val="footnote text"/>
    <w:basedOn w:val="Normal"/>
    <w:link w:val="FootnoteTextChar"/>
    <w:uiPriority w:val="99"/>
    <w:semiHidden/>
    <w:unhideWhenUsed/>
    <w:rsid w:val="00214AAA"/>
    <w:pPr>
      <w:overflowPunct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14A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AAA"/>
    <w:rPr>
      <w:vertAlign w:val="superscript"/>
    </w:rPr>
  </w:style>
  <w:style w:type="character" w:styleId="Hyperlink">
    <w:name w:val="Hyperlink"/>
    <w:basedOn w:val="DefaultParagraphFont"/>
    <w:uiPriority w:val="99"/>
    <w:semiHidden/>
    <w:unhideWhenUsed/>
    <w:rsid w:val="00214AAA"/>
    <w:rPr>
      <w:color w:val="0000FF" w:themeColor="hyperlink"/>
      <w:u w:val="single"/>
    </w:rPr>
  </w:style>
  <w:style w:type="character" w:styleId="FollowedHyperlink">
    <w:name w:val="FollowedHyperlink"/>
    <w:basedOn w:val="DefaultParagraphFont"/>
    <w:uiPriority w:val="99"/>
    <w:semiHidden/>
    <w:unhideWhenUsed/>
    <w:rsid w:val="00401636"/>
    <w:rPr>
      <w:color w:val="800080" w:themeColor="followedHyperlink"/>
      <w:u w:val="single"/>
    </w:rPr>
  </w:style>
  <w:style w:type="paragraph" w:styleId="Header">
    <w:name w:val="header"/>
    <w:basedOn w:val="Normal"/>
    <w:link w:val="HeaderChar"/>
    <w:uiPriority w:val="99"/>
    <w:unhideWhenUsed/>
    <w:rsid w:val="00BD4357"/>
    <w:pPr>
      <w:tabs>
        <w:tab w:val="center" w:pos="4680"/>
        <w:tab w:val="right" w:pos="9360"/>
      </w:tabs>
    </w:pPr>
  </w:style>
  <w:style w:type="character" w:customStyle="1" w:styleId="HeaderChar">
    <w:name w:val="Header Char"/>
    <w:basedOn w:val="DefaultParagraphFont"/>
    <w:link w:val="Header"/>
    <w:uiPriority w:val="99"/>
    <w:rsid w:val="00BD4357"/>
  </w:style>
  <w:style w:type="paragraph" w:styleId="Footer">
    <w:name w:val="footer"/>
    <w:basedOn w:val="Normal"/>
    <w:link w:val="FooterChar"/>
    <w:uiPriority w:val="99"/>
    <w:unhideWhenUsed/>
    <w:rsid w:val="00BD4357"/>
    <w:pPr>
      <w:tabs>
        <w:tab w:val="center" w:pos="4680"/>
        <w:tab w:val="right" w:pos="9360"/>
      </w:tabs>
    </w:pPr>
  </w:style>
  <w:style w:type="character" w:customStyle="1" w:styleId="FooterChar">
    <w:name w:val="Footer Char"/>
    <w:basedOn w:val="DefaultParagraphFont"/>
    <w:link w:val="Footer"/>
    <w:uiPriority w:val="99"/>
    <w:rsid w:val="00BD4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B4"/>
    <w:pPr>
      <w:ind w:left="720"/>
      <w:contextualSpacing/>
    </w:pPr>
  </w:style>
  <w:style w:type="paragraph" w:styleId="BalloonText">
    <w:name w:val="Balloon Text"/>
    <w:basedOn w:val="Normal"/>
    <w:link w:val="BalloonTextChar"/>
    <w:uiPriority w:val="99"/>
    <w:semiHidden/>
    <w:unhideWhenUsed/>
    <w:rsid w:val="005C5D56"/>
    <w:rPr>
      <w:rFonts w:ascii="Tahoma" w:hAnsi="Tahoma" w:cs="Tahoma"/>
      <w:sz w:val="16"/>
      <w:szCs w:val="16"/>
    </w:rPr>
  </w:style>
  <w:style w:type="character" w:customStyle="1" w:styleId="BalloonTextChar">
    <w:name w:val="Balloon Text Char"/>
    <w:basedOn w:val="DefaultParagraphFont"/>
    <w:link w:val="BalloonText"/>
    <w:uiPriority w:val="99"/>
    <w:semiHidden/>
    <w:rsid w:val="005C5D56"/>
    <w:rPr>
      <w:rFonts w:ascii="Tahoma" w:hAnsi="Tahoma" w:cs="Tahoma"/>
      <w:sz w:val="16"/>
      <w:szCs w:val="16"/>
    </w:rPr>
  </w:style>
  <w:style w:type="paragraph" w:styleId="FootnoteText">
    <w:name w:val="footnote text"/>
    <w:basedOn w:val="Normal"/>
    <w:link w:val="FootnoteTextChar"/>
    <w:uiPriority w:val="99"/>
    <w:semiHidden/>
    <w:unhideWhenUsed/>
    <w:rsid w:val="00214AAA"/>
    <w:pPr>
      <w:overflowPunct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14A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AAA"/>
    <w:rPr>
      <w:vertAlign w:val="superscript"/>
    </w:rPr>
  </w:style>
  <w:style w:type="character" w:styleId="Hyperlink">
    <w:name w:val="Hyperlink"/>
    <w:basedOn w:val="DefaultParagraphFont"/>
    <w:uiPriority w:val="99"/>
    <w:semiHidden/>
    <w:unhideWhenUsed/>
    <w:rsid w:val="00214AAA"/>
    <w:rPr>
      <w:color w:val="0000FF" w:themeColor="hyperlink"/>
      <w:u w:val="single"/>
    </w:rPr>
  </w:style>
  <w:style w:type="character" w:styleId="FollowedHyperlink">
    <w:name w:val="FollowedHyperlink"/>
    <w:basedOn w:val="DefaultParagraphFont"/>
    <w:uiPriority w:val="99"/>
    <w:semiHidden/>
    <w:unhideWhenUsed/>
    <w:rsid w:val="00401636"/>
    <w:rPr>
      <w:color w:val="800080" w:themeColor="followedHyperlink"/>
      <w:u w:val="single"/>
    </w:rPr>
  </w:style>
  <w:style w:type="paragraph" w:styleId="Header">
    <w:name w:val="header"/>
    <w:basedOn w:val="Normal"/>
    <w:link w:val="HeaderChar"/>
    <w:uiPriority w:val="99"/>
    <w:unhideWhenUsed/>
    <w:rsid w:val="00BD4357"/>
    <w:pPr>
      <w:tabs>
        <w:tab w:val="center" w:pos="4680"/>
        <w:tab w:val="right" w:pos="9360"/>
      </w:tabs>
    </w:pPr>
  </w:style>
  <w:style w:type="character" w:customStyle="1" w:styleId="HeaderChar">
    <w:name w:val="Header Char"/>
    <w:basedOn w:val="DefaultParagraphFont"/>
    <w:link w:val="Header"/>
    <w:uiPriority w:val="99"/>
    <w:rsid w:val="00BD4357"/>
  </w:style>
  <w:style w:type="paragraph" w:styleId="Footer">
    <w:name w:val="footer"/>
    <w:basedOn w:val="Normal"/>
    <w:link w:val="FooterChar"/>
    <w:uiPriority w:val="99"/>
    <w:unhideWhenUsed/>
    <w:rsid w:val="00BD4357"/>
    <w:pPr>
      <w:tabs>
        <w:tab w:val="center" w:pos="4680"/>
        <w:tab w:val="right" w:pos="9360"/>
      </w:tabs>
    </w:pPr>
  </w:style>
  <w:style w:type="character" w:customStyle="1" w:styleId="FooterChar">
    <w:name w:val="Footer Char"/>
    <w:basedOn w:val="DefaultParagraphFont"/>
    <w:link w:val="Footer"/>
    <w:uiPriority w:val="99"/>
    <w:rsid w:val="00BD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0857-0C29-46F4-9035-9283D505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elaudensla</dc:creator>
  <cp:lastModifiedBy>Farner, Joyce</cp:lastModifiedBy>
  <cp:revision>6</cp:revision>
  <cp:lastPrinted>2013-04-17T12:02:00Z</cp:lastPrinted>
  <dcterms:created xsi:type="dcterms:W3CDTF">2013-04-01T19:57:00Z</dcterms:created>
  <dcterms:modified xsi:type="dcterms:W3CDTF">2013-04-17T12:02:00Z</dcterms:modified>
</cp:coreProperties>
</file>