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1303A1" w:rsidRDefault="00D91F34" w:rsidP="00773D87">
      <w:pPr>
        <w:pStyle w:val="c2"/>
        <w:widowControl/>
        <w:outlineLvl w:val="0"/>
        <w:rPr>
          <w:b/>
          <w:sz w:val="28"/>
          <w:szCs w:val="28"/>
        </w:rPr>
      </w:pPr>
      <w:r w:rsidRPr="001303A1">
        <w:rPr>
          <w:b/>
          <w:sz w:val="28"/>
          <w:szCs w:val="28"/>
        </w:rPr>
        <w:t>PENNSYLVANIA</w:t>
      </w:r>
    </w:p>
    <w:p w:rsidR="00D91F34" w:rsidRPr="001303A1" w:rsidRDefault="00D91F34" w:rsidP="00773D87">
      <w:pPr>
        <w:pStyle w:val="c2"/>
        <w:widowControl/>
        <w:outlineLvl w:val="0"/>
        <w:rPr>
          <w:b/>
          <w:sz w:val="28"/>
          <w:szCs w:val="28"/>
        </w:rPr>
      </w:pPr>
      <w:r w:rsidRPr="001303A1">
        <w:rPr>
          <w:b/>
          <w:sz w:val="28"/>
          <w:szCs w:val="28"/>
        </w:rPr>
        <w:t>PUBLIC UTILITY COMMISSION</w:t>
      </w:r>
    </w:p>
    <w:p w:rsidR="00D91F34" w:rsidRPr="001303A1" w:rsidRDefault="00D91F34" w:rsidP="00773D87">
      <w:pPr>
        <w:pStyle w:val="c2"/>
        <w:widowControl/>
        <w:outlineLvl w:val="0"/>
        <w:rPr>
          <w:b/>
          <w:sz w:val="28"/>
          <w:szCs w:val="28"/>
        </w:rPr>
      </w:pPr>
      <w:r w:rsidRPr="001303A1">
        <w:rPr>
          <w:b/>
          <w:sz w:val="28"/>
          <w:szCs w:val="28"/>
        </w:rPr>
        <w:t>Harrisburg, PA 17105-3265</w:t>
      </w:r>
    </w:p>
    <w:p w:rsidR="00A666BE" w:rsidRDefault="00A666BE" w:rsidP="00773D87">
      <w:pPr>
        <w:pStyle w:val="p3"/>
        <w:widowControl/>
        <w:tabs>
          <w:tab w:val="clear" w:pos="4960"/>
          <w:tab w:val="left" w:pos="4320"/>
        </w:tabs>
        <w:rPr>
          <w:sz w:val="28"/>
          <w:szCs w:val="28"/>
        </w:rPr>
      </w:pPr>
    </w:p>
    <w:p w:rsidR="006C560D" w:rsidRPr="00062E21" w:rsidRDefault="004A7E54" w:rsidP="00773D87">
      <w:pPr>
        <w:pStyle w:val="p3"/>
        <w:widowControl/>
        <w:tabs>
          <w:tab w:val="clear" w:pos="4960"/>
          <w:tab w:val="left" w:pos="4320"/>
        </w:tabs>
        <w:spacing w:line="360" w:lineRule="auto"/>
        <w:jc w:val="right"/>
        <w:outlineLvl w:val="0"/>
        <w:rPr>
          <w:sz w:val="26"/>
          <w:szCs w:val="26"/>
        </w:rPr>
      </w:pPr>
      <w:r>
        <w:rPr>
          <w:sz w:val="26"/>
          <w:szCs w:val="26"/>
        </w:rPr>
        <w:t>Public Meeting held May 9</w:t>
      </w:r>
      <w:r w:rsidR="006C560D" w:rsidRPr="00062E21">
        <w:rPr>
          <w:sz w:val="26"/>
          <w:szCs w:val="26"/>
        </w:rPr>
        <w:t>, 2013</w:t>
      </w:r>
    </w:p>
    <w:p w:rsidR="006C560D" w:rsidRPr="00062E21" w:rsidRDefault="006C560D" w:rsidP="00773D87">
      <w:pPr>
        <w:pStyle w:val="p4"/>
        <w:widowControl/>
        <w:spacing w:line="360" w:lineRule="auto"/>
        <w:rPr>
          <w:sz w:val="26"/>
          <w:szCs w:val="26"/>
        </w:rPr>
      </w:pPr>
    </w:p>
    <w:p w:rsidR="006C560D" w:rsidRPr="00062E21" w:rsidRDefault="006C560D" w:rsidP="00773D87">
      <w:pPr>
        <w:pStyle w:val="p4"/>
        <w:widowControl/>
        <w:rPr>
          <w:sz w:val="26"/>
          <w:szCs w:val="26"/>
        </w:rPr>
      </w:pPr>
      <w:r w:rsidRPr="00062E21">
        <w:rPr>
          <w:sz w:val="26"/>
          <w:szCs w:val="26"/>
        </w:rPr>
        <w:t>Commissioners Present:</w:t>
      </w:r>
    </w:p>
    <w:p w:rsidR="006C560D" w:rsidRPr="00062E21" w:rsidRDefault="006C560D" w:rsidP="00773D87">
      <w:pPr>
        <w:widowControl/>
        <w:tabs>
          <w:tab w:val="left" w:pos="204"/>
        </w:tabs>
        <w:rPr>
          <w:sz w:val="26"/>
          <w:szCs w:val="26"/>
        </w:rPr>
      </w:pPr>
    </w:p>
    <w:p w:rsidR="006C560D" w:rsidRPr="00062E21" w:rsidRDefault="006C560D" w:rsidP="00773D87">
      <w:pPr>
        <w:pStyle w:val="p5"/>
        <w:widowControl/>
        <w:tabs>
          <w:tab w:val="clear" w:pos="391"/>
        </w:tabs>
        <w:ind w:left="720"/>
        <w:rPr>
          <w:sz w:val="26"/>
          <w:szCs w:val="26"/>
        </w:rPr>
      </w:pPr>
      <w:r w:rsidRPr="00062E21">
        <w:rPr>
          <w:sz w:val="26"/>
          <w:szCs w:val="26"/>
        </w:rPr>
        <w:t>Robert F. Powelson, Chairman</w:t>
      </w:r>
    </w:p>
    <w:p w:rsidR="006C560D" w:rsidRPr="00062E21" w:rsidRDefault="006C560D" w:rsidP="00773D87">
      <w:pPr>
        <w:pStyle w:val="p5"/>
        <w:widowControl/>
        <w:tabs>
          <w:tab w:val="clear" w:pos="391"/>
        </w:tabs>
        <w:ind w:left="720"/>
        <w:rPr>
          <w:sz w:val="26"/>
          <w:szCs w:val="26"/>
        </w:rPr>
      </w:pPr>
      <w:r w:rsidRPr="00062E21">
        <w:rPr>
          <w:sz w:val="26"/>
          <w:szCs w:val="26"/>
        </w:rPr>
        <w:t>John F. Coleman, Jr., Vice Chairman</w:t>
      </w:r>
    </w:p>
    <w:p w:rsidR="006C560D" w:rsidRPr="00062E21" w:rsidRDefault="006C560D" w:rsidP="00773D87">
      <w:pPr>
        <w:pStyle w:val="p5"/>
        <w:widowControl/>
        <w:tabs>
          <w:tab w:val="clear" w:pos="391"/>
        </w:tabs>
        <w:ind w:left="720"/>
        <w:rPr>
          <w:sz w:val="26"/>
          <w:szCs w:val="26"/>
        </w:rPr>
      </w:pPr>
      <w:r w:rsidRPr="00062E21">
        <w:rPr>
          <w:sz w:val="26"/>
          <w:szCs w:val="26"/>
        </w:rPr>
        <w:t>Wayne E. Gardner</w:t>
      </w:r>
    </w:p>
    <w:p w:rsidR="006C560D" w:rsidRPr="00062E21" w:rsidRDefault="006C560D" w:rsidP="00773D87">
      <w:pPr>
        <w:pStyle w:val="p5"/>
        <w:widowControl/>
        <w:tabs>
          <w:tab w:val="clear" w:pos="391"/>
        </w:tabs>
        <w:ind w:left="720"/>
        <w:rPr>
          <w:sz w:val="26"/>
          <w:szCs w:val="26"/>
        </w:rPr>
      </w:pPr>
      <w:r w:rsidRPr="00062E21">
        <w:rPr>
          <w:sz w:val="26"/>
          <w:szCs w:val="26"/>
        </w:rPr>
        <w:t>James H. Cawley</w:t>
      </w:r>
    </w:p>
    <w:p w:rsidR="006C560D" w:rsidRPr="00062E21" w:rsidRDefault="006C560D" w:rsidP="00773D87">
      <w:pPr>
        <w:pStyle w:val="p5"/>
        <w:widowControl/>
        <w:tabs>
          <w:tab w:val="clear" w:pos="391"/>
        </w:tabs>
        <w:ind w:left="720"/>
        <w:rPr>
          <w:sz w:val="26"/>
          <w:szCs w:val="26"/>
        </w:rPr>
      </w:pPr>
      <w:r w:rsidRPr="00062E21">
        <w:rPr>
          <w:sz w:val="26"/>
          <w:szCs w:val="26"/>
        </w:rPr>
        <w:t>Pamela A. Witmer</w:t>
      </w:r>
    </w:p>
    <w:p w:rsidR="006C560D" w:rsidRPr="007C0BCF" w:rsidRDefault="006C560D" w:rsidP="00773D8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6C560D" w:rsidRPr="007C0BCF" w:rsidTr="006C560D">
        <w:trPr>
          <w:trHeight w:val="1053"/>
        </w:trPr>
        <w:tc>
          <w:tcPr>
            <w:tcW w:w="6030" w:type="dxa"/>
          </w:tcPr>
          <w:p w:rsidR="006C560D" w:rsidRPr="007C0BCF" w:rsidRDefault="00E02B28" w:rsidP="00773D87">
            <w:pPr>
              <w:widowControl/>
              <w:autoSpaceDE/>
              <w:autoSpaceDN/>
              <w:adjustRightInd/>
              <w:rPr>
                <w:color w:val="0D0D0D" w:themeColor="text1" w:themeTint="F2"/>
                <w:sz w:val="26"/>
                <w:szCs w:val="26"/>
              </w:rPr>
            </w:pPr>
            <w:r>
              <w:rPr>
                <w:color w:val="0D0D0D" w:themeColor="text1" w:themeTint="F2"/>
                <w:sz w:val="26"/>
                <w:szCs w:val="26"/>
              </w:rPr>
              <w:t xml:space="preserve">Petition of </w:t>
            </w:r>
            <w:r w:rsidR="00F505E6">
              <w:rPr>
                <w:color w:val="0D0D0D" w:themeColor="text1" w:themeTint="F2"/>
                <w:sz w:val="26"/>
                <w:szCs w:val="26"/>
              </w:rPr>
              <w:t>PECO Energy Company</w:t>
            </w:r>
            <w:r w:rsidR="006C560D" w:rsidRPr="007C0BCF">
              <w:rPr>
                <w:color w:val="0D0D0D" w:themeColor="text1" w:themeTint="F2"/>
                <w:sz w:val="26"/>
                <w:szCs w:val="26"/>
              </w:rPr>
              <w:t xml:space="preserve"> for</w:t>
            </w:r>
            <w:r>
              <w:rPr>
                <w:color w:val="0D0D0D" w:themeColor="text1" w:themeTint="F2"/>
                <w:sz w:val="26"/>
                <w:szCs w:val="26"/>
              </w:rPr>
              <w:t xml:space="preserve"> Approval</w:t>
            </w:r>
            <w:r w:rsidR="00086E71">
              <w:rPr>
                <w:color w:val="0D0D0D" w:themeColor="text1" w:themeTint="F2"/>
                <w:sz w:val="26"/>
                <w:szCs w:val="26"/>
              </w:rPr>
              <w:t xml:space="preserve"> </w:t>
            </w:r>
          </w:p>
          <w:p w:rsidR="006C560D" w:rsidRPr="007C0BCF" w:rsidRDefault="006C560D" w:rsidP="00773D8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 xml:space="preserve">of its Long-Term Infrastructure Improvement Plan </w:t>
            </w:r>
          </w:p>
          <w:p w:rsidR="006C560D" w:rsidRPr="007C0BCF" w:rsidRDefault="006C560D" w:rsidP="00773D87">
            <w:pPr>
              <w:pStyle w:val="p4"/>
              <w:widowControl/>
              <w:tabs>
                <w:tab w:val="clear" w:pos="204"/>
                <w:tab w:val="left" w:pos="0"/>
              </w:tabs>
              <w:outlineLvl w:val="0"/>
              <w:rPr>
                <w:color w:val="0D0D0D" w:themeColor="text1" w:themeTint="F2"/>
                <w:sz w:val="26"/>
                <w:szCs w:val="26"/>
              </w:rPr>
            </w:pPr>
          </w:p>
          <w:p w:rsidR="006C560D" w:rsidRPr="007C0BCF" w:rsidRDefault="006C560D" w:rsidP="00773D87">
            <w:pPr>
              <w:pStyle w:val="p4"/>
              <w:widowControl/>
              <w:tabs>
                <w:tab w:val="clear" w:pos="204"/>
                <w:tab w:val="left" w:pos="0"/>
              </w:tabs>
              <w:outlineLvl w:val="0"/>
              <w:rPr>
                <w:color w:val="0D0D0D" w:themeColor="text1" w:themeTint="F2"/>
                <w:sz w:val="26"/>
                <w:szCs w:val="26"/>
              </w:rPr>
            </w:pPr>
          </w:p>
        </w:tc>
        <w:tc>
          <w:tcPr>
            <w:tcW w:w="3897" w:type="dxa"/>
          </w:tcPr>
          <w:p w:rsidR="006C560D" w:rsidRPr="007C0BCF" w:rsidRDefault="006C560D" w:rsidP="00773D87">
            <w:pPr>
              <w:widowControl/>
              <w:autoSpaceDE/>
              <w:autoSpaceDN/>
              <w:adjustRightInd/>
              <w:spacing w:line="360" w:lineRule="auto"/>
              <w:rPr>
                <w:color w:val="0D0D0D" w:themeColor="text1" w:themeTint="F2"/>
                <w:kern w:val="1"/>
                <w:sz w:val="26"/>
                <w:szCs w:val="26"/>
              </w:rPr>
            </w:pPr>
            <w:r w:rsidRPr="007C0BCF">
              <w:rPr>
                <w:color w:val="0D0D0D" w:themeColor="text1" w:themeTint="F2"/>
                <w:sz w:val="26"/>
                <w:szCs w:val="20"/>
              </w:rPr>
              <w:t xml:space="preserve">        Docket Number</w:t>
            </w:r>
            <w:r w:rsidR="00086E71">
              <w:rPr>
                <w:color w:val="0D0D0D" w:themeColor="text1" w:themeTint="F2"/>
                <w:sz w:val="26"/>
                <w:szCs w:val="20"/>
              </w:rPr>
              <w:t>s</w:t>
            </w:r>
            <w:r w:rsidRPr="007C0BCF">
              <w:rPr>
                <w:color w:val="0D0D0D" w:themeColor="text1" w:themeTint="F2"/>
                <w:sz w:val="26"/>
                <w:szCs w:val="20"/>
              </w:rPr>
              <w:t>:</w:t>
            </w:r>
          </w:p>
          <w:p w:rsidR="006C560D" w:rsidRPr="007C0BCF" w:rsidRDefault="006C560D" w:rsidP="00773D87">
            <w:pPr>
              <w:widowControl/>
              <w:autoSpaceDE/>
              <w:autoSpaceDN/>
              <w:adjustRightInd/>
              <w:rPr>
                <w:color w:val="0D0D0D" w:themeColor="text1" w:themeTint="F2"/>
                <w:sz w:val="26"/>
                <w:szCs w:val="26"/>
              </w:rPr>
            </w:pPr>
            <w:r w:rsidRPr="007C0BCF">
              <w:rPr>
                <w:color w:val="0D0D0D" w:themeColor="text1" w:themeTint="F2"/>
                <w:kern w:val="1"/>
                <w:sz w:val="26"/>
                <w:szCs w:val="26"/>
              </w:rPr>
              <w:t xml:space="preserve">        </w:t>
            </w:r>
            <w:r w:rsidR="00F505E6">
              <w:rPr>
                <w:color w:val="0D0D0D" w:themeColor="text1" w:themeTint="F2"/>
                <w:sz w:val="26"/>
                <w:szCs w:val="26"/>
              </w:rPr>
              <w:t>P-2013-2347340</w:t>
            </w:r>
          </w:p>
          <w:p w:rsidR="006C560D" w:rsidRPr="007C0BCF" w:rsidRDefault="006C560D" w:rsidP="00FE7411">
            <w:pPr>
              <w:widowControl/>
              <w:autoSpaceDE/>
              <w:autoSpaceDN/>
              <w:adjustRightInd/>
              <w:rPr>
                <w:color w:val="0D0D0D" w:themeColor="text1" w:themeTint="F2"/>
                <w:kern w:val="1"/>
                <w:sz w:val="26"/>
                <w:szCs w:val="26"/>
              </w:rPr>
            </w:pPr>
          </w:p>
        </w:tc>
      </w:tr>
    </w:tbl>
    <w:p w:rsidR="007F07C7" w:rsidRDefault="007F07C7" w:rsidP="00773D87">
      <w:pPr>
        <w:pStyle w:val="c2"/>
        <w:widowControl/>
        <w:tabs>
          <w:tab w:val="left" w:pos="204"/>
        </w:tabs>
        <w:spacing w:line="360" w:lineRule="auto"/>
        <w:jc w:val="left"/>
        <w:outlineLvl w:val="0"/>
        <w:rPr>
          <w:b/>
          <w:sz w:val="26"/>
          <w:szCs w:val="26"/>
        </w:rPr>
      </w:pPr>
    </w:p>
    <w:p w:rsidR="00D91F34" w:rsidRDefault="00F25BC8" w:rsidP="00773D87">
      <w:pPr>
        <w:pStyle w:val="c2"/>
        <w:widowControl/>
        <w:tabs>
          <w:tab w:val="left" w:pos="204"/>
        </w:tabs>
        <w:spacing w:line="360" w:lineRule="auto"/>
        <w:outlineLvl w:val="0"/>
        <w:rPr>
          <w:b/>
          <w:sz w:val="26"/>
          <w:szCs w:val="26"/>
        </w:rPr>
      </w:pPr>
      <w:r>
        <w:rPr>
          <w:b/>
          <w:sz w:val="26"/>
          <w:szCs w:val="26"/>
        </w:rPr>
        <w:t xml:space="preserve">OPINION AND </w:t>
      </w:r>
      <w:r w:rsidR="00D91F34" w:rsidRPr="002B3E34">
        <w:rPr>
          <w:b/>
          <w:sz w:val="26"/>
          <w:szCs w:val="26"/>
        </w:rPr>
        <w:t>ORDER</w:t>
      </w:r>
    </w:p>
    <w:p w:rsidR="007F07C7" w:rsidRPr="002B3E34" w:rsidRDefault="007F07C7" w:rsidP="00773D87">
      <w:pPr>
        <w:pStyle w:val="c2"/>
        <w:widowControl/>
        <w:tabs>
          <w:tab w:val="left" w:pos="204"/>
        </w:tabs>
        <w:spacing w:line="360" w:lineRule="auto"/>
        <w:outlineLvl w:val="0"/>
        <w:rPr>
          <w:b/>
          <w:sz w:val="26"/>
          <w:szCs w:val="26"/>
        </w:rPr>
      </w:pPr>
    </w:p>
    <w:p w:rsidR="00D91F34" w:rsidRPr="002B3E34" w:rsidRDefault="001303A1" w:rsidP="00773D87">
      <w:pPr>
        <w:pStyle w:val="p4"/>
        <w:widowControl/>
        <w:spacing w:line="360" w:lineRule="auto"/>
        <w:rPr>
          <w:b/>
          <w:sz w:val="26"/>
          <w:szCs w:val="26"/>
        </w:rPr>
      </w:pPr>
      <w:r w:rsidRPr="002B3E34">
        <w:rPr>
          <w:b/>
          <w:sz w:val="26"/>
          <w:szCs w:val="26"/>
        </w:rPr>
        <w:t>BY THE COMMI</w:t>
      </w:r>
      <w:r w:rsidR="00D91F34" w:rsidRPr="002B3E34">
        <w:rPr>
          <w:b/>
          <w:sz w:val="26"/>
          <w:szCs w:val="26"/>
        </w:rPr>
        <w:t>SSION:</w:t>
      </w:r>
    </w:p>
    <w:p w:rsidR="00D91F34" w:rsidRPr="002B3E34" w:rsidRDefault="00D91F34" w:rsidP="00773D87">
      <w:pPr>
        <w:widowControl/>
        <w:tabs>
          <w:tab w:val="left" w:pos="204"/>
        </w:tabs>
        <w:spacing w:line="360" w:lineRule="auto"/>
        <w:rPr>
          <w:sz w:val="26"/>
          <w:szCs w:val="26"/>
        </w:rPr>
      </w:pPr>
    </w:p>
    <w:p w:rsidR="00A251DE" w:rsidRDefault="00A251DE" w:rsidP="00773D87">
      <w:pPr>
        <w:pStyle w:val="p2"/>
        <w:widowControl/>
        <w:spacing w:line="360" w:lineRule="auto"/>
        <w:ind w:firstLine="1440"/>
        <w:rPr>
          <w:sz w:val="26"/>
          <w:szCs w:val="26"/>
        </w:rPr>
      </w:pPr>
      <w:r w:rsidRPr="00062E21">
        <w:rPr>
          <w:sz w:val="26"/>
          <w:szCs w:val="26"/>
        </w:rPr>
        <w:t xml:space="preserve">Before the Commission for consideration </w:t>
      </w:r>
      <w:r w:rsidR="002A4CE9">
        <w:rPr>
          <w:sz w:val="26"/>
          <w:szCs w:val="26"/>
        </w:rPr>
        <w:t>is the Petition</w:t>
      </w:r>
      <w:r w:rsidRPr="00062E21">
        <w:rPr>
          <w:sz w:val="26"/>
          <w:szCs w:val="26"/>
        </w:rPr>
        <w:t xml:space="preserve"> for approval of the Long-Term Infrastructure Improvement Plan (LTIIP) </w:t>
      </w:r>
      <w:r w:rsidR="005A584D">
        <w:rPr>
          <w:sz w:val="26"/>
          <w:szCs w:val="26"/>
        </w:rPr>
        <w:t>of</w:t>
      </w:r>
      <w:r w:rsidR="005A584D" w:rsidRPr="005A584D">
        <w:rPr>
          <w:sz w:val="26"/>
          <w:szCs w:val="26"/>
        </w:rPr>
        <w:t xml:space="preserve"> </w:t>
      </w:r>
      <w:r w:rsidR="00F505E6">
        <w:rPr>
          <w:sz w:val="26"/>
          <w:szCs w:val="26"/>
        </w:rPr>
        <w:t>PECO Energy Company (PECO)</w:t>
      </w:r>
      <w:r w:rsidR="005A584D">
        <w:rPr>
          <w:sz w:val="26"/>
          <w:szCs w:val="26"/>
        </w:rPr>
        <w:t>.</w:t>
      </w:r>
      <w:r w:rsidRPr="00062E21">
        <w:rPr>
          <w:sz w:val="26"/>
          <w:szCs w:val="26"/>
        </w:rPr>
        <w:t xml:space="preserve">  </w:t>
      </w:r>
      <w:r w:rsidR="00C72A65">
        <w:rPr>
          <w:sz w:val="26"/>
          <w:szCs w:val="26"/>
        </w:rPr>
        <w:t>The Petition was filed on February 8, 2013.</w:t>
      </w:r>
    </w:p>
    <w:p w:rsidR="00A251DE" w:rsidRDefault="00A251DE" w:rsidP="00773D87">
      <w:pPr>
        <w:pStyle w:val="p2"/>
        <w:widowControl/>
        <w:spacing w:line="360" w:lineRule="auto"/>
        <w:ind w:firstLine="1440"/>
        <w:rPr>
          <w:sz w:val="26"/>
          <w:szCs w:val="26"/>
        </w:rPr>
      </w:pPr>
    </w:p>
    <w:p w:rsidR="00A251DE" w:rsidRPr="00C33314" w:rsidRDefault="00A251DE" w:rsidP="00773D87">
      <w:pPr>
        <w:pStyle w:val="p2"/>
        <w:widowControl/>
        <w:spacing w:line="360" w:lineRule="auto"/>
        <w:ind w:firstLine="0"/>
        <w:jc w:val="center"/>
        <w:rPr>
          <w:b/>
          <w:sz w:val="26"/>
          <w:szCs w:val="26"/>
        </w:rPr>
      </w:pPr>
      <w:r w:rsidRPr="00C33314">
        <w:rPr>
          <w:b/>
          <w:sz w:val="26"/>
          <w:szCs w:val="26"/>
        </w:rPr>
        <w:t>HISTORY</w:t>
      </w:r>
      <w:r>
        <w:rPr>
          <w:b/>
          <w:sz w:val="26"/>
          <w:szCs w:val="26"/>
        </w:rPr>
        <w:t xml:space="preserve"> OF THE PROCEEDING</w:t>
      </w:r>
    </w:p>
    <w:p w:rsidR="005A584D" w:rsidRDefault="005A584D" w:rsidP="00773D87">
      <w:pPr>
        <w:pStyle w:val="p2"/>
        <w:widowControl/>
        <w:spacing w:line="360" w:lineRule="auto"/>
        <w:ind w:firstLine="1440"/>
        <w:rPr>
          <w:sz w:val="26"/>
          <w:szCs w:val="26"/>
        </w:rPr>
      </w:pPr>
    </w:p>
    <w:p w:rsidR="00474D21" w:rsidRDefault="00474D21" w:rsidP="00773D87">
      <w:pPr>
        <w:pStyle w:val="p2"/>
        <w:widowControl/>
        <w:spacing w:line="360" w:lineRule="auto"/>
        <w:ind w:firstLine="1440"/>
        <w:rPr>
          <w:sz w:val="26"/>
          <w:szCs w:val="26"/>
        </w:rPr>
      </w:pPr>
      <w:r>
        <w:rPr>
          <w:sz w:val="26"/>
          <w:szCs w:val="26"/>
        </w:rPr>
        <w:t>P</w:t>
      </w:r>
      <w:r w:rsidR="00A0300B">
        <w:rPr>
          <w:sz w:val="26"/>
          <w:szCs w:val="26"/>
        </w:rPr>
        <w:t xml:space="preserve">ECO is a corporation organized and existing under the laws of the Commonwealth of Pennsylvania with its principal office in Philadelphia, Pennsylvania.  PECO provides electric delivery service to approximately 1.6 million customers and natural gas delivery service to approximately 495,000 customers in Pennsylvania.  PECO furnishes gas service within its authorized service territory in Bucks, Chester, Delaware, </w:t>
      </w:r>
      <w:r w:rsidR="00A0300B">
        <w:rPr>
          <w:sz w:val="26"/>
          <w:szCs w:val="26"/>
        </w:rPr>
        <w:lastRenderedPageBreak/>
        <w:t xml:space="preserve">Lancaster and Montgomery Counties.  PECO is </w:t>
      </w:r>
      <w:r>
        <w:rPr>
          <w:sz w:val="26"/>
          <w:szCs w:val="26"/>
        </w:rPr>
        <w:t xml:space="preserve">a “public utility” within the meaning of Section 102 of the Public Utility Code,  66 Pa. C.S. </w:t>
      </w:r>
      <w:r w:rsidRPr="002B3E34">
        <w:rPr>
          <w:iCs/>
          <w:sz w:val="26"/>
          <w:szCs w:val="26"/>
        </w:rPr>
        <w:t>§§</w:t>
      </w:r>
      <w:r>
        <w:rPr>
          <w:sz w:val="26"/>
          <w:szCs w:val="26"/>
        </w:rPr>
        <w:t xml:space="preserve"> 102, </w:t>
      </w:r>
      <w:r w:rsidR="00A0300B">
        <w:rPr>
          <w:sz w:val="26"/>
          <w:szCs w:val="26"/>
        </w:rPr>
        <w:t>and, with respect to its provision of gas service, a “natural gas distribution company,” as defined in 66 Pa. C.S.</w:t>
      </w:r>
      <w:r w:rsidR="00F47E7F">
        <w:rPr>
          <w:sz w:val="26"/>
          <w:szCs w:val="26"/>
        </w:rPr>
        <w:t> </w:t>
      </w:r>
      <w:r w:rsidR="00A0300B">
        <w:rPr>
          <w:sz w:val="26"/>
          <w:szCs w:val="26"/>
        </w:rPr>
        <w:t>§</w:t>
      </w:r>
      <w:r w:rsidR="00F47E7F">
        <w:rPr>
          <w:sz w:val="26"/>
          <w:szCs w:val="26"/>
        </w:rPr>
        <w:t> </w:t>
      </w:r>
      <w:r w:rsidR="00A0300B">
        <w:rPr>
          <w:sz w:val="26"/>
          <w:szCs w:val="26"/>
        </w:rPr>
        <w:t xml:space="preserve">2201 and is </w:t>
      </w:r>
      <w:r>
        <w:rPr>
          <w:sz w:val="26"/>
          <w:szCs w:val="26"/>
        </w:rPr>
        <w:t xml:space="preserve">subject to the regulatory jurisdiction of the Commission.  </w:t>
      </w:r>
    </w:p>
    <w:p w:rsidR="00A0300B" w:rsidRDefault="00A0300B" w:rsidP="00773D87">
      <w:pPr>
        <w:pStyle w:val="p2"/>
        <w:widowControl/>
        <w:spacing w:line="360" w:lineRule="auto"/>
        <w:ind w:firstLine="1440"/>
        <w:rPr>
          <w:sz w:val="26"/>
          <w:szCs w:val="26"/>
        </w:rPr>
      </w:pPr>
    </w:p>
    <w:p w:rsidR="005419E9" w:rsidRDefault="00E040F0" w:rsidP="00773D87">
      <w:pPr>
        <w:pStyle w:val="p2"/>
        <w:widowControl/>
        <w:spacing w:line="360" w:lineRule="auto"/>
        <w:ind w:firstLine="1440"/>
        <w:rPr>
          <w:sz w:val="26"/>
          <w:szCs w:val="26"/>
        </w:rPr>
      </w:pPr>
      <w:r>
        <w:rPr>
          <w:sz w:val="26"/>
          <w:szCs w:val="26"/>
        </w:rPr>
        <w:t xml:space="preserve">The LTIIP </w:t>
      </w:r>
      <w:r w:rsidR="008959A6">
        <w:rPr>
          <w:sz w:val="26"/>
          <w:szCs w:val="26"/>
        </w:rPr>
        <w:t xml:space="preserve">Petition </w:t>
      </w:r>
      <w:r>
        <w:rPr>
          <w:sz w:val="26"/>
          <w:szCs w:val="26"/>
        </w:rPr>
        <w:t xml:space="preserve">was filed on </w:t>
      </w:r>
      <w:r w:rsidR="00A0300B">
        <w:rPr>
          <w:sz w:val="26"/>
          <w:szCs w:val="26"/>
        </w:rPr>
        <w:t xml:space="preserve">February 8, 2013.  </w:t>
      </w:r>
      <w:r w:rsidR="005419E9" w:rsidRPr="00062E21">
        <w:rPr>
          <w:sz w:val="26"/>
          <w:szCs w:val="26"/>
        </w:rPr>
        <w:t>Copies of the LTIIP Petition were served on the statutory advocates as well as the active</w:t>
      </w:r>
      <w:r w:rsidR="005419E9">
        <w:rPr>
          <w:sz w:val="26"/>
          <w:szCs w:val="26"/>
        </w:rPr>
        <w:t xml:space="preserve"> parties in P</w:t>
      </w:r>
      <w:r w:rsidR="00A0300B">
        <w:rPr>
          <w:sz w:val="26"/>
          <w:szCs w:val="26"/>
        </w:rPr>
        <w:t>ECO</w:t>
      </w:r>
      <w:r w:rsidR="005419E9">
        <w:rPr>
          <w:sz w:val="26"/>
          <w:szCs w:val="26"/>
        </w:rPr>
        <w:t xml:space="preserve">’s </w:t>
      </w:r>
      <w:r w:rsidR="00A0300B">
        <w:rPr>
          <w:sz w:val="26"/>
          <w:szCs w:val="26"/>
        </w:rPr>
        <w:t xml:space="preserve">last gas </w:t>
      </w:r>
      <w:r w:rsidR="00DA7AA1">
        <w:rPr>
          <w:sz w:val="26"/>
          <w:szCs w:val="26"/>
        </w:rPr>
        <w:t>base rate case proceeding.</w:t>
      </w:r>
    </w:p>
    <w:p w:rsidR="00DA7AA1" w:rsidRDefault="00DA7AA1" w:rsidP="00773D87">
      <w:pPr>
        <w:pStyle w:val="p2"/>
        <w:widowControl/>
        <w:spacing w:line="360" w:lineRule="auto"/>
        <w:ind w:firstLine="1440"/>
        <w:rPr>
          <w:sz w:val="26"/>
          <w:szCs w:val="26"/>
        </w:rPr>
      </w:pPr>
    </w:p>
    <w:p w:rsidR="00DA7AA1" w:rsidRPr="00DA7AA1" w:rsidRDefault="00DA7AA1" w:rsidP="004A171A">
      <w:pPr>
        <w:pStyle w:val="p2"/>
        <w:widowControl/>
        <w:spacing w:line="360" w:lineRule="auto"/>
        <w:ind w:firstLine="1440"/>
        <w:jc w:val="both"/>
        <w:rPr>
          <w:b/>
          <w:sz w:val="26"/>
          <w:szCs w:val="26"/>
        </w:rPr>
      </w:pPr>
      <w:r w:rsidRPr="00DA7AA1">
        <w:rPr>
          <w:b/>
          <w:sz w:val="26"/>
          <w:szCs w:val="26"/>
        </w:rPr>
        <w:t>Comments</w:t>
      </w:r>
    </w:p>
    <w:p w:rsidR="00A0300B" w:rsidRDefault="00A0300B" w:rsidP="00773D87">
      <w:pPr>
        <w:pStyle w:val="p2"/>
        <w:widowControl/>
        <w:spacing w:line="360" w:lineRule="auto"/>
        <w:ind w:firstLine="1440"/>
        <w:rPr>
          <w:sz w:val="26"/>
          <w:szCs w:val="26"/>
        </w:rPr>
      </w:pPr>
    </w:p>
    <w:p w:rsidR="00993813" w:rsidRDefault="00A5589D"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r>
        <w:rPr>
          <w:sz w:val="26"/>
          <w:szCs w:val="26"/>
        </w:rPr>
        <w:t xml:space="preserve">Philadelphia </w:t>
      </w:r>
      <w:r w:rsidR="00A0300B">
        <w:rPr>
          <w:sz w:val="26"/>
          <w:szCs w:val="26"/>
        </w:rPr>
        <w:t xml:space="preserve">Area </w:t>
      </w:r>
      <w:r>
        <w:rPr>
          <w:sz w:val="26"/>
          <w:szCs w:val="26"/>
        </w:rPr>
        <w:t xml:space="preserve">Industrial </w:t>
      </w:r>
      <w:r w:rsidR="00A0300B">
        <w:rPr>
          <w:sz w:val="26"/>
          <w:szCs w:val="26"/>
        </w:rPr>
        <w:t xml:space="preserve">Energy </w:t>
      </w:r>
      <w:r w:rsidR="00E422C5">
        <w:rPr>
          <w:sz w:val="26"/>
          <w:szCs w:val="26"/>
        </w:rPr>
        <w:t>Users Group (P</w:t>
      </w:r>
      <w:r w:rsidR="00A0300B">
        <w:rPr>
          <w:sz w:val="26"/>
          <w:szCs w:val="26"/>
        </w:rPr>
        <w:t>A</w:t>
      </w:r>
      <w:r w:rsidR="00E422C5">
        <w:rPr>
          <w:sz w:val="26"/>
          <w:szCs w:val="26"/>
        </w:rPr>
        <w:t>I</w:t>
      </w:r>
      <w:r w:rsidR="00A0300B">
        <w:rPr>
          <w:sz w:val="26"/>
          <w:szCs w:val="26"/>
        </w:rPr>
        <w:t>E</w:t>
      </w:r>
      <w:r w:rsidR="00E422C5">
        <w:rPr>
          <w:sz w:val="26"/>
          <w:szCs w:val="26"/>
        </w:rPr>
        <w:t>UG</w:t>
      </w:r>
      <w:r>
        <w:rPr>
          <w:sz w:val="26"/>
          <w:szCs w:val="26"/>
        </w:rPr>
        <w:t xml:space="preserve">) </w:t>
      </w:r>
      <w:r>
        <w:rPr>
          <w:color w:val="0D0D0D" w:themeColor="text1" w:themeTint="F2"/>
          <w:sz w:val="26"/>
          <w:szCs w:val="26"/>
        </w:rPr>
        <w:t xml:space="preserve">filed comments on </w:t>
      </w:r>
      <w:r w:rsidR="00A0300B">
        <w:rPr>
          <w:color w:val="0D0D0D" w:themeColor="text1" w:themeTint="F2"/>
          <w:sz w:val="26"/>
          <w:szCs w:val="26"/>
        </w:rPr>
        <w:t>February 28</w:t>
      </w:r>
      <w:r>
        <w:rPr>
          <w:color w:val="0D0D0D" w:themeColor="text1" w:themeTint="F2"/>
          <w:sz w:val="26"/>
          <w:szCs w:val="26"/>
        </w:rPr>
        <w:t>, 201</w:t>
      </w:r>
      <w:r w:rsidR="00A0300B">
        <w:rPr>
          <w:color w:val="0D0D0D" w:themeColor="text1" w:themeTint="F2"/>
          <w:sz w:val="26"/>
          <w:szCs w:val="26"/>
        </w:rPr>
        <w:t>3</w:t>
      </w:r>
      <w:r>
        <w:rPr>
          <w:color w:val="0D0D0D" w:themeColor="text1" w:themeTint="F2"/>
          <w:sz w:val="26"/>
          <w:szCs w:val="26"/>
        </w:rPr>
        <w:t>.  P</w:t>
      </w:r>
      <w:r w:rsidR="00A0300B">
        <w:rPr>
          <w:color w:val="0D0D0D" w:themeColor="text1" w:themeTint="F2"/>
          <w:sz w:val="26"/>
          <w:szCs w:val="26"/>
        </w:rPr>
        <w:t>A</w:t>
      </w:r>
      <w:r>
        <w:rPr>
          <w:color w:val="0D0D0D" w:themeColor="text1" w:themeTint="F2"/>
          <w:sz w:val="26"/>
          <w:szCs w:val="26"/>
        </w:rPr>
        <w:t>I</w:t>
      </w:r>
      <w:r w:rsidR="00A0300B">
        <w:rPr>
          <w:color w:val="0D0D0D" w:themeColor="text1" w:themeTint="F2"/>
          <w:sz w:val="26"/>
          <w:szCs w:val="26"/>
        </w:rPr>
        <w:t>E</w:t>
      </w:r>
      <w:r>
        <w:rPr>
          <w:color w:val="0D0D0D" w:themeColor="text1" w:themeTint="F2"/>
          <w:sz w:val="26"/>
          <w:szCs w:val="26"/>
        </w:rPr>
        <w:t>UG</w:t>
      </w:r>
      <w:r w:rsidR="00E422C5">
        <w:rPr>
          <w:color w:val="0D0D0D" w:themeColor="text1" w:themeTint="F2"/>
          <w:sz w:val="26"/>
          <w:szCs w:val="26"/>
        </w:rPr>
        <w:t xml:space="preserve"> did not object to P</w:t>
      </w:r>
      <w:r w:rsidR="00A0300B">
        <w:rPr>
          <w:color w:val="0D0D0D" w:themeColor="text1" w:themeTint="F2"/>
          <w:sz w:val="26"/>
          <w:szCs w:val="26"/>
        </w:rPr>
        <w:t>ECO</w:t>
      </w:r>
      <w:r w:rsidRPr="00330D75">
        <w:rPr>
          <w:color w:val="0D0D0D" w:themeColor="text1" w:themeTint="F2"/>
          <w:sz w:val="26"/>
          <w:szCs w:val="26"/>
        </w:rPr>
        <w:t xml:space="preserve">’s proposed LTIIP at this time.  </w:t>
      </w:r>
      <w:r w:rsidR="00993813">
        <w:rPr>
          <w:color w:val="0D0D0D" w:themeColor="text1" w:themeTint="F2"/>
          <w:sz w:val="26"/>
          <w:szCs w:val="26"/>
        </w:rPr>
        <w:t xml:space="preserve">In its comments, </w:t>
      </w:r>
      <w:r>
        <w:rPr>
          <w:sz w:val="26"/>
          <w:szCs w:val="26"/>
        </w:rPr>
        <w:t>P</w:t>
      </w:r>
      <w:r w:rsidR="00993813">
        <w:rPr>
          <w:sz w:val="26"/>
          <w:szCs w:val="26"/>
        </w:rPr>
        <w:t>AIE</w:t>
      </w:r>
      <w:r w:rsidR="00E422C5">
        <w:rPr>
          <w:sz w:val="26"/>
          <w:szCs w:val="26"/>
        </w:rPr>
        <w:t>UG</w:t>
      </w:r>
      <w:r>
        <w:rPr>
          <w:sz w:val="26"/>
          <w:szCs w:val="26"/>
        </w:rPr>
        <w:t xml:space="preserve"> calls for a thorough review of the scope of investment for the LTIIP to ensure that the completed capital improvements remain reasonabl</w:t>
      </w:r>
      <w:r w:rsidR="00B43978">
        <w:rPr>
          <w:sz w:val="26"/>
          <w:szCs w:val="26"/>
        </w:rPr>
        <w:t>y</w:t>
      </w:r>
      <w:r>
        <w:rPr>
          <w:sz w:val="26"/>
          <w:szCs w:val="26"/>
        </w:rPr>
        <w:t xml:space="preserve"> consistent with projections outlined in the LTIIP and limited to DSIC-eligible assets. </w:t>
      </w:r>
      <w:r w:rsidR="00BB48F2">
        <w:rPr>
          <w:color w:val="0D0D0D" w:themeColor="text1" w:themeTint="F2"/>
          <w:sz w:val="26"/>
          <w:szCs w:val="26"/>
        </w:rPr>
        <w:t xml:space="preserve"> </w:t>
      </w:r>
    </w:p>
    <w:p w:rsidR="00163B60" w:rsidRDefault="00163B60" w:rsidP="00163B60">
      <w:pPr>
        <w:pStyle w:val="p2"/>
        <w:widowControl/>
        <w:spacing w:line="360" w:lineRule="auto"/>
        <w:ind w:firstLine="1440"/>
        <w:rPr>
          <w:color w:val="0D0D0D" w:themeColor="text1" w:themeTint="F2"/>
          <w:sz w:val="26"/>
          <w:szCs w:val="26"/>
        </w:rPr>
      </w:pPr>
      <w:r w:rsidRPr="00330D75">
        <w:rPr>
          <w:color w:val="0D0D0D" w:themeColor="text1" w:themeTint="F2"/>
          <w:sz w:val="26"/>
          <w:szCs w:val="26"/>
        </w:rPr>
        <w:t xml:space="preserve">The Office of Consumer Advocate (OCA) filed comments </w:t>
      </w:r>
      <w:r>
        <w:rPr>
          <w:color w:val="0D0D0D" w:themeColor="text1" w:themeTint="F2"/>
          <w:sz w:val="26"/>
          <w:szCs w:val="26"/>
        </w:rPr>
        <w:t xml:space="preserve">on February 28, 2013.  </w:t>
      </w:r>
    </w:p>
    <w:p w:rsidR="00163B60" w:rsidRDefault="00163B60"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p>
    <w:p w:rsidR="00163B60" w:rsidRDefault="00163B60" w:rsidP="00163B60">
      <w:pPr>
        <w:pStyle w:val="p7"/>
        <w:widowControl/>
        <w:tabs>
          <w:tab w:val="clear" w:pos="782"/>
          <w:tab w:val="clear" w:pos="1133"/>
          <w:tab w:val="left" w:pos="720"/>
          <w:tab w:val="left" w:pos="1440"/>
        </w:tabs>
        <w:spacing w:line="360" w:lineRule="auto"/>
        <w:ind w:left="0" w:firstLine="1440"/>
        <w:jc w:val="center"/>
        <w:rPr>
          <w:b/>
          <w:color w:val="0D0D0D" w:themeColor="text1" w:themeTint="F2"/>
          <w:sz w:val="26"/>
          <w:szCs w:val="26"/>
        </w:rPr>
      </w:pPr>
      <w:r w:rsidRPr="00163B60">
        <w:rPr>
          <w:b/>
          <w:color w:val="0D0D0D" w:themeColor="text1" w:themeTint="F2"/>
          <w:sz w:val="26"/>
          <w:szCs w:val="26"/>
        </w:rPr>
        <w:t>International Brotherhood of Electrical Workers Local 614 Petition to Intervene</w:t>
      </w:r>
    </w:p>
    <w:p w:rsidR="00163B60" w:rsidRPr="00163B60" w:rsidRDefault="00163B60" w:rsidP="00163B60">
      <w:pPr>
        <w:pStyle w:val="p7"/>
        <w:widowControl/>
        <w:tabs>
          <w:tab w:val="clear" w:pos="782"/>
          <w:tab w:val="clear" w:pos="1133"/>
          <w:tab w:val="left" w:pos="720"/>
          <w:tab w:val="left" w:pos="1440"/>
        </w:tabs>
        <w:spacing w:line="360" w:lineRule="auto"/>
        <w:ind w:left="0" w:firstLine="1440"/>
        <w:jc w:val="center"/>
        <w:rPr>
          <w:b/>
          <w:color w:val="0D0D0D" w:themeColor="text1" w:themeTint="F2"/>
          <w:sz w:val="26"/>
          <w:szCs w:val="26"/>
        </w:rPr>
      </w:pPr>
    </w:p>
    <w:p w:rsidR="00A5589D" w:rsidRDefault="00BB48F2"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r>
        <w:rPr>
          <w:color w:val="0D0D0D" w:themeColor="text1" w:themeTint="F2"/>
          <w:sz w:val="26"/>
          <w:szCs w:val="26"/>
        </w:rPr>
        <w:t xml:space="preserve">On February </w:t>
      </w:r>
      <w:r w:rsidR="00993813">
        <w:rPr>
          <w:color w:val="0D0D0D" w:themeColor="text1" w:themeTint="F2"/>
          <w:sz w:val="26"/>
          <w:szCs w:val="26"/>
        </w:rPr>
        <w:t>12</w:t>
      </w:r>
      <w:r>
        <w:rPr>
          <w:color w:val="0D0D0D" w:themeColor="text1" w:themeTint="F2"/>
          <w:sz w:val="26"/>
          <w:szCs w:val="26"/>
        </w:rPr>
        <w:t xml:space="preserve">, 2013, </w:t>
      </w:r>
      <w:r w:rsidR="00993813">
        <w:rPr>
          <w:color w:val="0D0D0D" w:themeColor="text1" w:themeTint="F2"/>
          <w:sz w:val="26"/>
          <w:szCs w:val="26"/>
        </w:rPr>
        <w:t xml:space="preserve">the International Brotherhood of Electrical Workers Local 614 </w:t>
      </w:r>
      <w:r w:rsidR="00B85DD8">
        <w:rPr>
          <w:color w:val="0D0D0D" w:themeColor="text1" w:themeTint="F2"/>
          <w:sz w:val="26"/>
          <w:szCs w:val="26"/>
        </w:rPr>
        <w:t xml:space="preserve">(Local 614) </w:t>
      </w:r>
      <w:r w:rsidR="00A5589D" w:rsidRPr="00330D75">
        <w:rPr>
          <w:color w:val="0D0D0D" w:themeColor="text1" w:themeTint="F2"/>
          <w:sz w:val="26"/>
          <w:szCs w:val="26"/>
        </w:rPr>
        <w:t xml:space="preserve">filed a </w:t>
      </w:r>
      <w:r w:rsidR="00993813">
        <w:rPr>
          <w:color w:val="0D0D0D" w:themeColor="text1" w:themeTint="F2"/>
          <w:sz w:val="26"/>
          <w:szCs w:val="26"/>
        </w:rPr>
        <w:t>Petition to Intervene</w:t>
      </w:r>
      <w:r w:rsidR="00B85DD8">
        <w:rPr>
          <w:color w:val="0D0D0D" w:themeColor="text1" w:themeTint="F2"/>
          <w:sz w:val="26"/>
          <w:szCs w:val="26"/>
        </w:rPr>
        <w:t xml:space="preserve"> pursuant to Section 5.72 of the Commission’s regulations.  Section 5.72 of the Commission’s regulations provide in pertinent part that a person is eligible to intervene if it meets one of the following criteria: (1) a right conferred by statute of the United States or of the Commonwealth; (2) an interest which may be directly affected and which is not adequately represented by </w:t>
      </w:r>
      <w:r w:rsidR="00B85DD8">
        <w:rPr>
          <w:color w:val="0D0D0D" w:themeColor="text1" w:themeTint="F2"/>
          <w:sz w:val="26"/>
          <w:szCs w:val="26"/>
        </w:rPr>
        <w:lastRenderedPageBreak/>
        <w:t>existing participants, and as to which the petitioner may be bound by the action of the Commission in the proceeding; and (3) another interest of such nature that participation of the petitioner may be in the public interest.</w:t>
      </w:r>
    </w:p>
    <w:p w:rsidR="00B85DD8" w:rsidRDefault="00B85DD8"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p>
    <w:p w:rsidR="00B85DD8" w:rsidRDefault="00B85DD8"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r>
        <w:rPr>
          <w:color w:val="0D0D0D" w:themeColor="text1" w:themeTint="F2"/>
          <w:sz w:val="26"/>
          <w:szCs w:val="26"/>
        </w:rPr>
        <w:t>Local 614 requests that the Commission grant its Petition to Intervene as it states that it has significant interest in the proceeding.  Local 614 is the bargaining unit representative for 1</w:t>
      </w:r>
      <w:r w:rsidR="00F47E7F">
        <w:rPr>
          <w:color w:val="0D0D0D" w:themeColor="text1" w:themeTint="F2"/>
          <w:sz w:val="26"/>
          <w:szCs w:val="26"/>
        </w:rPr>
        <w:t>,</w:t>
      </w:r>
      <w:r>
        <w:rPr>
          <w:color w:val="0D0D0D" w:themeColor="text1" w:themeTint="F2"/>
          <w:sz w:val="26"/>
          <w:szCs w:val="26"/>
        </w:rPr>
        <w:t xml:space="preserve">200 employees of PECO and is also a customer of PECO.  The majority of members of Local 614 are also customers of PECO.  Local 614 avers that numerous issues being raised in the proceeding will or may affect its </w:t>
      </w:r>
      <w:r w:rsidR="00163B60">
        <w:rPr>
          <w:color w:val="0D0D0D" w:themeColor="text1" w:themeTint="F2"/>
          <w:sz w:val="26"/>
          <w:szCs w:val="26"/>
        </w:rPr>
        <w:t>interest</w:t>
      </w:r>
      <w:r w:rsidR="00454E20">
        <w:rPr>
          <w:color w:val="0D0D0D" w:themeColor="text1" w:themeTint="F2"/>
          <w:sz w:val="26"/>
          <w:szCs w:val="26"/>
        </w:rPr>
        <w:t>s</w:t>
      </w:r>
      <w:r>
        <w:rPr>
          <w:color w:val="0D0D0D" w:themeColor="text1" w:themeTint="F2"/>
          <w:sz w:val="26"/>
          <w:szCs w:val="26"/>
        </w:rPr>
        <w:t xml:space="preserve"> as a representative of PECO’s employees and as a customer of PECO.  Local 614 contends that PECO’s proposed LTIIP includes mention of planned annual expenditures, workforce and contractor deployment, minimizing costs </w:t>
      </w:r>
      <w:r w:rsidR="00163B60">
        <w:rPr>
          <w:color w:val="0D0D0D" w:themeColor="text1" w:themeTint="F2"/>
          <w:sz w:val="26"/>
          <w:szCs w:val="26"/>
        </w:rPr>
        <w:t>through</w:t>
      </w:r>
      <w:r>
        <w:rPr>
          <w:color w:val="0D0D0D" w:themeColor="text1" w:themeTint="F2"/>
          <w:sz w:val="26"/>
          <w:szCs w:val="26"/>
        </w:rPr>
        <w:t xml:space="preserve"> the use of contractors, minimum standards of knowledge for current employees, and required training for current employees.  </w:t>
      </w:r>
      <w:r w:rsidR="00163B60">
        <w:rPr>
          <w:color w:val="0D0D0D" w:themeColor="text1" w:themeTint="F2"/>
          <w:sz w:val="26"/>
          <w:szCs w:val="26"/>
        </w:rPr>
        <w:t>Local 614 also claims that additional issues may be raised by various parties concerning the safety and reliability of PECO’s plan that will or may have a direct effect on Local 614 and its members.  Local 614 submits that no other party to the proceeding represents the interests of Local 614 and its memb</w:t>
      </w:r>
      <w:r w:rsidR="00423CA3">
        <w:rPr>
          <w:color w:val="0D0D0D" w:themeColor="text1" w:themeTint="F2"/>
          <w:sz w:val="26"/>
          <w:szCs w:val="26"/>
        </w:rPr>
        <w:t>ers.  Local 614 states that it</w:t>
      </w:r>
      <w:r w:rsidR="00163B60">
        <w:rPr>
          <w:color w:val="0D0D0D" w:themeColor="text1" w:themeTint="F2"/>
          <w:sz w:val="26"/>
          <w:szCs w:val="26"/>
        </w:rPr>
        <w:t xml:space="preserve"> intend</w:t>
      </w:r>
      <w:r w:rsidR="00423CA3">
        <w:rPr>
          <w:color w:val="0D0D0D" w:themeColor="text1" w:themeTint="F2"/>
          <w:sz w:val="26"/>
          <w:szCs w:val="26"/>
        </w:rPr>
        <w:t>s</w:t>
      </w:r>
      <w:r w:rsidR="00163B60">
        <w:rPr>
          <w:color w:val="0D0D0D" w:themeColor="text1" w:themeTint="F2"/>
          <w:sz w:val="26"/>
          <w:szCs w:val="26"/>
        </w:rPr>
        <w:t xml:space="preserve"> to actively participate in this proceeding on such matters that affect its interests as a customer of PECO and the interests of its members as employees of PECO.  Such participation may include the presentation of direct or rebuttal testimony and the cross-examination of witnesses presented by PECO and other parties to this proceeding. </w:t>
      </w:r>
    </w:p>
    <w:p w:rsidR="00163B60" w:rsidRDefault="00163B60"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p>
    <w:p w:rsidR="00163B60" w:rsidRPr="00163B60" w:rsidRDefault="00163B60" w:rsidP="00773D87">
      <w:pPr>
        <w:pStyle w:val="p7"/>
        <w:widowControl/>
        <w:tabs>
          <w:tab w:val="clear" w:pos="782"/>
          <w:tab w:val="clear" w:pos="1133"/>
          <w:tab w:val="left" w:pos="720"/>
          <w:tab w:val="left" w:pos="1440"/>
        </w:tabs>
        <w:spacing w:line="360" w:lineRule="auto"/>
        <w:ind w:left="0" w:firstLine="1440"/>
        <w:rPr>
          <w:b/>
          <w:color w:val="0D0D0D" w:themeColor="text1" w:themeTint="F2"/>
          <w:sz w:val="26"/>
          <w:szCs w:val="26"/>
        </w:rPr>
      </w:pPr>
      <w:r w:rsidRPr="00163B60">
        <w:rPr>
          <w:b/>
          <w:color w:val="0D0D0D" w:themeColor="text1" w:themeTint="F2"/>
          <w:sz w:val="26"/>
          <w:szCs w:val="26"/>
        </w:rPr>
        <w:t>Resolution</w:t>
      </w:r>
    </w:p>
    <w:p w:rsidR="00163B60" w:rsidRDefault="00163B60"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p>
    <w:p w:rsidR="00163B60" w:rsidRDefault="00163B60"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r>
        <w:rPr>
          <w:color w:val="0D0D0D" w:themeColor="text1" w:themeTint="F2"/>
          <w:sz w:val="26"/>
          <w:szCs w:val="26"/>
        </w:rPr>
        <w:t>This proceeding may impact PECO’s emp</w:t>
      </w:r>
      <w:r w:rsidR="006B25C0">
        <w:rPr>
          <w:color w:val="0D0D0D" w:themeColor="text1" w:themeTint="F2"/>
          <w:sz w:val="26"/>
          <w:szCs w:val="26"/>
        </w:rPr>
        <w:t>loyees who are members of Local </w:t>
      </w:r>
      <w:r>
        <w:rPr>
          <w:color w:val="0D0D0D" w:themeColor="text1" w:themeTint="F2"/>
          <w:sz w:val="26"/>
          <w:szCs w:val="26"/>
        </w:rPr>
        <w:t xml:space="preserve">614.  Local 614 intends to be an active participant in the proceeding.  No other party to the proceeding represents the interests of Local 614 and its members.  For these reasons, the Commission approves Local 614’s Petition to Intervene.  </w:t>
      </w:r>
    </w:p>
    <w:p w:rsidR="00B85DD8" w:rsidRPr="00330D75" w:rsidRDefault="00B85DD8"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p>
    <w:p w:rsidR="00E040F0" w:rsidRDefault="00FB317A" w:rsidP="00F73DF5">
      <w:pPr>
        <w:pStyle w:val="p2"/>
        <w:keepNext/>
        <w:widowControl/>
        <w:spacing w:line="360" w:lineRule="auto"/>
        <w:ind w:firstLine="0"/>
        <w:jc w:val="center"/>
        <w:rPr>
          <w:b/>
          <w:sz w:val="26"/>
          <w:szCs w:val="26"/>
        </w:rPr>
      </w:pPr>
      <w:r>
        <w:rPr>
          <w:b/>
          <w:sz w:val="26"/>
          <w:szCs w:val="26"/>
        </w:rPr>
        <w:lastRenderedPageBreak/>
        <w:t>BACKGROUND</w:t>
      </w:r>
    </w:p>
    <w:p w:rsidR="00E040F0" w:rsidRDefault="00E040F0" w:rsidP="00F73DF5">
      <w:pPr>
        <w:pStyle w:val="p2"/>
        <w:keepNext/>
        <w:widowControl/>
        <w:ind w:firstLine="0"/>
        <w:jc w:val="center"/>
        <w:rPr>
          <w:b/>
          <w:sz w:val="26"/>
          <w:szCs w:val="26"/>
        </w:rPr>
      </w:pPr>
    </w:p>
    <w:p w:rsidR="004A3F09" w:rsidRDefault="00583191" w:rsidP="00773D87">
      <w:pPr>
        <w:pStyle w:val="p2"/>
        <w:widowControl/>
        <w:spacing w:line="360" w:lineRule="auto"/>
        <w:ind w:firstLine="1440"/>
        <w:rPr>
          <w:sz w:val="26"/>
          <w:szCs w:val="26"/>
        </w:rPr>
      </w:pPr>
      <w:r w:rsidRPr="00883D7C">
        <w:rPr>
          <w:sz w:val="26"/>
          <w:szCs w:val="26"/>
        </w:rPr>
        <w:t>On February 14, 2012,</w:t>
      </w:r>
      <w:r>
        <w:rPr>
          <w:b/>
          <w:sz w:val="26"/>
          <w:szCs w:val="26"/>
        </w:rPr>
        <w:t xml:space="preserve"> </w:t>
      </w:r>
      <w:r w:rsidR="00883D7C" w:rsidRPr="00883D7C">
        <w:rPr>
          <w:sz w:val="26"/>
          <w:szCs w:val="26"/>
        </w:rPr>
        <w:t>Governor Corbet</w:t>
      </w:r>
      <w:r w:rsidR="00883D7C">
        <w:rPr>
          <w:sz w:val="26"/>
          <w:szCs w:val="26"/>
        </w:rPr>
        <w:t>t</w:t>
      </w:r>
      <w:r w:rsidR="00883D7C" w:rsidRPr="00883D7C">
        <w:rPr>
          <w:sz w:val="26"/>
          <w:szCs w:val="26"/>
        </w:rPr>
        <w:t xml:space="preserve"> signed into law</w:t>
      </w:r>
      <w:r w:rsidR="00883D7C">
        <w:rPr>
          <w:b/>
          <w:sz w:val="26"/>
          <w:szCs w:val="26"/>
        </w:rPr>
        <w:t xml:space="preserve"> </w:t>
      </w:r>
      <w:r w:rsidR="003608C2">
        <w:rPr>
          <w:sz w:val="26"/>
          <w:szCs w:val="26"/>
        </w:rPr>
        <w:t xml:space="preserve">Act 11 </w:t>
      </w:r>
      <w:r w:rsidR="00883D7C">
        <w:rPr>
          <w:sz w:val="26"/>
          <w:szCs w:val="26"/>
        </w:rPr>
        <w:t xml:space="preserve">of 2012, </w:t>
      </w:r>
      <w:r w:rsidR="00E00C08">
        <w:rPr>
          <w:sz w:val="26"/>
          <w:szCs w:val="26"/>
        </w:rPr>
        <w:t>(Act 11),</w:t>
      </w:r>
      <w:r w:rsidR="00E00C08" w:rsidRPr="00062E21">
        <w:rPr>
          <w:rStyle w:val="FootnoteReference"/>
          <w:sz w:val="26"/>
          <w:szCs w:val="26"/>
        </w:rPr>
        <w:footnoteReference w:id="1"/>
      </w:r>
      <w:r w:rsidR="00E00C08" w:rsidRPr="00062E21">
        <w:rPr>
          <w:sz w:val="26"/>
          <w:szCs w:val="26"/>
        </w:rPr>
        <w:t xml:space="preserve"> </w:t>
      </w:r>
      <w:r w:rsidR="00883D7C">
        <w:rPr>
          <w:sz w:val="26"/>
          <w:szCs w:val="26"/>
        </w:rPr>
        <w:t xml:space="preserve">which amends Chapters 3, 13 and 33 </w:t>
      </w:r>
      <w:r w:rsidR="00883D7C" w:rsidRPr="00562D21">
        <w:rPr>
          <w:sz w:val="26"/>
          <w:szCs w:val="26"/>
        </w:rPr>
        <w:t>of Title 66.</w:t>
      </w:r>
      <w:r w:rsidR="00883D7C">
        <w:rPr>
          <w:sz w:val="26"/>
          <w:szCs w:val="26"/>
        </w:rPr>
        <w:t xml:space="preserve">  Act 11</w:t>
      </w:r>
      <w:r w:rsidR="00E00C08">
        <w:rPr>
          <w:sz w:val="26"/>
          <w:szCs w:val="26"/>
        </w:rPr>
        <w:t xml:space="preserve">, </w:t>
      </w:r>
      <w:r w:rsidR="00E00C08" w:rsidRPr="00E00C08">
        <w:rPr>
          <w:i/>
          <w:sz w:val="26"/>
          <w:szCs w:val="26"/>
        </w:rPr>
        <w:t>inter alia</w:t>
      </w:r>
      <w:r w:rsidR="00E00C08">
        <w:rPr>
          <w:sz w:val="26"/>
          <w:szCs w:val="26"/>
        </w:rPr>
        <w:t>,</w:t>
      </w:r>
      <w:r w:rsidR="00883D7C">
        <w:rPr>
          <w:sz w:val="26"/>
          <w:szCs w:val="26"/>
        </w:rPr>
        <w:t xml:space="preserve"> provides </w:t>
      </w:r>
      <w:r w:rsidR="003608C2">
        <w:rPr>
          <w:sz w:val="26"/>
          <w:szCs w:val="26"/>
        </w:rPr>
        <w:t xml:space="preserve">utilities with the ability to implement a </w:t>
      </w:r>
      <w:r>
        <w:rPr>
          <w:sz w:val="26"/>
          <w:szCs w:val="26"/>
        </w:rPr>
        <w:t>Distribution System Improvement Charge</w:t>
      </w:r>
      <w:r w:rsidR="008226AA">
        <w:rPr>
          <w:sz w:val="26"/>
          <w:szCs w:val="26"/>
        </w:rPr>
        <w:t xml:space="preserve"> (</w:t>
      </w:r>
      <w:r w:rsidR="003608C2">
        <w:rPr>
          <w:sz w:val="26"/>
          <w:szCs w:val="26"/>
        </w:rPr>
        <w:t>DSIC</w:t>
      </w:r>
      <w:r>
        <w:rPr>
          <w:sz w:val="26"/>
          <w:szCs w:val="26"/>
        </w:rPr>
        <w:t>)</w:t>
      </w:r>
      <w:r w:rsidR="003608C2">
        <w:rPr>
          <w:sz w:val="26"/>
          <w:szCs w:val="26"/>
        </w:rPr>
        <w:t xml:space="preserve"> to recover reasonable and prudent costs incurred to repair, improve or replace certain eligible distribution property that is part of the utility’s distribution system.  The eligible property for the utilities is defined in 66 Pa. C.S. </w:t>
      </w:r>
      <w:r w:rsidR="003608C2" w:rsidRPr="002B3E34">
        <w:rPr>
          <w:iCs/>
          <w:sz w:val="26"/>
          <w:szCs w:val="26"/>
        </w:rPr>
        <w:t>§</w:t>
      </w:r>
      <w:r w:rsidR="003608C2">
        <w:rPr>
          <w:sz w:val="26"/>
          <w:szCs w:val="26"/>
        </w:rPr>
        <w:t xml:space="preserve">1351.  </w:t>
      </w:r>
      <w:r w:rsidR="00FA79D8">
        <w:rPr>
          <w:sz w:val="26"/>
          <w:szCs w:val="26"/>
        </w:rPr>
        <w:t>Act 11 states that</w:t>
      </w:r>
      <w:r w:rsidR="003608C2">
        <w:rPr>
          <w:sz w:val="26"/>
          <w:szCs w:val="26"/>
        </w:rPr>
        <w:t xml:space="preserve"> a</w:t>
      </w:r>
      <w:r w:rsidR="00FA79D8">
        <w:rPr>
          <w:sz w:val="26"/>
          <w:szCs w:val="26"/>
        </w:rPr>
        <w:t>s a</w:t>
      </w:r>
      <w:r w:rsidR="003608C2">
        <w:rPr>
          <w:sz w:val="26"/>
          <w:szCs w:val="26"/>
        </w:rPr>
        <w:t xml:space="preserve"> precondition to the implementation of a DSIC, a utility must file a LTIIP with the Commission that is consistent with 66 Pa. C.S. </w:t>
      </w:r>
      <w:r w:rsidR="003608C2" w:rsidRPr="002B3E34">
        <w:rPr>
          <w:iCs/>
          <w:sz w:val="26"/>
          <w:szCs w:val="26"/>
        </w:rPr>
        <w:t>§</w:t>
      </w:r>
      <w:r w:rsidR="003608C2">
        <w:rPr>
          <w:sz w:val="26"/>
          <w:szCs w:val="26"/>
        </w:rPr>
        <w:t xml:space="preserve">1352.  </w:t>
      </w:r>
    </w:p>
    <w:p w:rsidR="004A3F09" w:rsidRDefault="004A3F09" w:rsidP="00773D87">
      <w:pPr>
        <w:pStyle w:val="p2"/>
        <w:widowControl/>
        <w:spacing w:line="360" w:lineRule="auto"/>
        <w:ind w:firstLine="0"/>
        <w:rPr>
          <w:sz w:val="26"/>
          <w:szCs w:val="26"/>
        </w:rPr>
      </w:pPr>
    </w:p>
    <w:p w:rsidR="00F15FD8" w:rsidRDefault="004A3F09" w:rsidP="00773D87">
      <w:pPr>
        <w:pStyle w:val="p2"/>
        <w:widowControl/>
        <w:spacing w:line="360" w:lineRule="auto"/>
        <w:ind w:firstLine="1440"/>
        <w:rPr>
          <w:sz w:val="26"/>
          <w:szCs w:val="26"/>
        </w:rPr>
      </w:pPr>
      <w:r>
        <w:rPr>
          <w:sz w:val="26"/>
          <w:szCs w:val="26"/>
        </w:rPr>
        <w:tab/>
        <w:t>On April 5, 2012, the Commission held a working group meeting for discussion and feedback from stakeholders regarding its implementation of Act 11.  On May 10, 2</w:t>
      </w:r>
      <w:r w:rsidR="00367B6A">
        <w:rPr>
          <w:sz w:val="26"/>
          <w:szCs w:val="26"/>
        </w:rPr>
        <w:t>012, the Commission issued a T</w:t>
      </w:r>
      <w:r>
        <w:rPr>
          <w:sz w:val="26"/>
          <w:szCs w:val="26"/>
        </w:rPr>
        <w:t xml:space="preserve">entative Implementation Order addressing and incorporating input from the stakeholder meeting.  </w:t>
      </w:r>
      <w:r w:rsidR="003608C2">
        <w:rPr>
          <w:sz w:val="26"/>
          <w:szCs w:val="26"/>
        </w:rPr>
        <w:t xml:space="preserve">On August 2, 2012, the Commission issued the </w:t>
      </w:r>
      <w:r w:rsidR="008055CF">
        <w:rPr>
          <w:sz w:val="26"/>
          <w:szCs w:val="26"/>
        </w:rPr>
        <w:t xml:space="preserve">Final </w:t>
      </w:r>
      <w:r w:rsidR="003608C2">
        <w:rPr>
          <w:sz w:val="26"/>
          <w:szCs w:val="26"/>
        </w:rPr>
        <w:t>Implementation Order</w:t>
      </w:r>
      <w:r w:rsidR="00583191">
        <w:rPr>
          <w:sz w:val="26"/>
          <w:szCs w:val="26"/>
        </w:rPr>
        <w:t>, at Docket Number M-2012-2293611,</w:t>
      </w:r>
      <w:r w:rsidR="003608C2">
        <w:rPr>
          <w:sz w:val="26"/>
          <w:szCs w:val="26"/>
        </w:rPr>
        <w:t xml:space="preserve"> establishing procedures and guidelines necessary to implement Act 11.  </w:t>
      </w:r>
    </w:p>
    <w:p w:rsidR="00F15FD8" w:rsidRDefault="00F15FD8" w:rsidP="00773D87">
      <w:pPr>
        <w:pStyle w:val="p2"/>
        <w:widowControl/>
        <w:spacing w:line="360" w:lineRule="auto"/>
        <w:ind w:firstLine="1440"/>
        <w:rPr>
          <w:sz w:val="26"/>
          <w:szCs w:val="26"/>
        </w:rPr>
      </w:pPr>
    </w:p>
    <w:p w:rsidR="003608C2" w:rsidRDefault="003608C2" w:rsidP="00773D87">
      <w:pPr>
        <w:pStyle w:val="p2"/>
        <w:widowControl/>
        <w:spacing w:line="360" w:lineRule="auto"/>
        <w:ind w:firstLine="1440"/>
        <w:rPr>
          <w:sz w:val="26"/>
          <w:szCs w:val="26"/>
        </w:rPr>
      </w:pPr>
      <w:r>
        <w:rPr>
          <w:sz w:val="26"/>
          <w:szCs w:val="26"/>
        </w:rPr>
        <w:t xml:space="preserve">The </w:t>
      </w:r>
      <w:r w:rsidR="008055CF">
        <w:rPr>
          <w:sz w:val="26"/>
          <w:szCs w:val="26"/>
        </w:rPr>
        <w:t xml:space="preserve">Final </w:t>
      </w:r>
      <w:r>
        <w:rPr>
          <w:sz w:val="26"/>
          <w:szCs w:val="26"/>
        </w:rPr>
        <w:t xml:space="preserve">Implementation Order adopts the requirements established in </w:t>
      </w:r>
      <w:r w:rsidR="006B25C0">
        <w:rPr>
          <w:sz w:val="26"/>
          <w:szCs w:val="26"/>
        </w:rPr>
        <w:t>66 </w:t>
      </w:r>
      <w:r w:rsidR="004A3F09">
        <w:rPr>
          <w:sz w:val="26"/>
          <w:szCs w:val="26"/>
        </w:rPr>
        <w:t xml:space="preserve">Pa. C.S. </w:t>
      </w:r>
      <w:r w:rsidR="004A3F09" w:rsidRPr="002B3E34">
        <w:rPr>
          <w:iCs/>
          <w:sz w:val="26"/>
          <w:szCs w:val="26"/>
        </w:rPr>
        <w:t>§</w:t>
      </w:r>
      <w:r>
        <w:rPr>
          <w:sz w:val="26"/>
          <w:szCs w:val="26"/>
        </w:rPr>
        <w:t xml:space="preserve"> 1352, provides additional standards that each LTIIP must meet, and gives guidance to utilities for meeting the Commission’s standards.  The </w:t>
      </w:r>
      <w:r w:rsidR="005C64D9">
        <w:rPr>
          <w:sz w:val="26"/>
          <w:szCs w:val="26"/>
        </w:rPr>
        <w:t xml:space="preserve">Final </w:t>
      </w:r>
      <w:r>
        <w:rPr>
          <w:sz w:val="26"/>
          <w:szCs w:val="26"/>
        </w:rPr>
        <w:t>Implementation Order of Act 11 requi</w:t>
      </w:r>
      <w:r w:rsidR="008B62B2">
        <w:rPr>
          <w:sz w:val="26"/>
          <w:szCs w:val="26"/>
        </w:rPr>
        <w:t>res the inclusion of seven elements in the LTIIP.</w:t>
      </w:r>
      <w:r>
        <w:rPr>
          <w:sz w:val="26"/>
          <w:szCs w:val="26"/>
        </w:rPr>
        <w:t xml:space="preserve">   </w:t>
      </w:r>
    </w:p>
    <w:p w:rsidR="003608C2" w:rsidRDefault="003608C2" w:rsidP="00773D87">
      <w:pPr>
        <w:pStyle w:val="p2"/>
        <w:widowControl/>
        <w:spacing w:line="360" w:lineRule="auto"/>
        <w:ind w:firstLine="0"/>
        <w:rPr>
          <w:sz w:val="26"/>
          <w:szCs w:val="26"/>
        </w:rPr>
      </w:pPr>
    </w:p>
    <w:p w:rsidR="00C72A65" w:rsidRDefault="008B62B2" w:rsidP="008B62B2">
      <w:pPr>
        <w:pStyle w:val="p2"/>
        <w:tabs>
          <w:tab w:val="left" w:pos="720"/>
        </w:tabs>
        <w:spacing w:line="360" w:lineRule="auto"/>
        <w:ind w:firstLine="0"/>
        <w:rPr>
          <w:sz w:val="26"/>
          <w:szCs w:val="26"/>
        </w:rPr>
      </w:pPr>
      <w:r>
        <w:rPr>
          <w:sz w:val="26"/>
          <w:szCs w:val="26"/>
        </w:rPr>
        <w:tab/>
      </w:r>
      <w:r w:rsidRPr="00433795">
        <w:rPr>
          <w:sz w:val="26"/>
          <w:szCs w:val="26"/>
        </w:rPr>
        <w:t xml:space="preserve">On March 14, 2013, </w:t>
      </w:r>
      <w:r>
        <w:rPr>
          <w:sz w:val="26"/>
          <w:szCs w:val="26"/>
        </w:rPr>
        <w:t xml:space="preserve">the Commission issued a proposed rulemaking on LTIIP at </w:t>
      </w:r>
    </w:p>
    <w:p w:rsidR="008B62B2" w:rsidRDefault="008B62B2" w:rsidP="008B62B2">
      <w:pPr>
        <w:pStyle w:val="p2"/>
        <w:tabs>
          <w:tab w:val="left" w:pos="720"/>
        </w:tabs>
        <w:spacing w:line="360" w:lineRule="auto"/>
        <w:ind w:firstLine="0"/>
        <w:rPr>
          <w:sz w:val="26"/>
          <w:szCs w:val="26"/>
        </w:rPr>
      </w:pPr>
      <w:r>
        <w:rPr>
          <w:sz w:val="26"/>
          <w:szCs w:val="26"/>
        </w:rPr>
        <w:t xml:space="preserve">L-2012-2317274.  The proposed rulemaking acknowledged the Commission’s decision against establishing a separate Pipeline Replacement and Performance Plan filing process at Docket M-2011-2271982, because it would be duplicative of the Act 11 DSIC regulatory process, specifically, the filing of LTIIPs.  The Commission, nevertheless, </w:t>
      </w:r>
      <w:r>
        <w:rPr>
          <w:sz w:val="26"/>
          <w:szCs w:val="26"/>
        </w:rPr>
        <w:lastRenderedPageBreak/>
        <w:t xml:space="preserve">determined that it would rather order additional actions from NGDCs if necessary, in order to safeguard the public.  The Commission also acknowledged that the implementation of a DSIC mechanism may lead to numerous construction projects by the utilities.  The Commission is also aware that these construction projects could lead to significant disruptions as utilities perform work in the right of ways of the roadways and streets across the Commonwealth in order to repair or replace their infrastructure.  Therefore, the Commission has directed, by way of the proposed rulemaking,  that a utility, as part of its LTIIP, should provide a description of its outreach and coordination activities with other utilities, Pennsylvania Department of Transportation (PennDOT) and local governments regarding their planned maintenance/construction projects and roadways that may be impacted by the plan.  </w:t>
      </w:r>
    </w:p>
    <w:p w:rsidR="008B62B2" w:rsidRDefault="008B62B2" w:rsidP="008B62B2">
      <w:pPr>
        <w:pStyle w:val="p2"/>
        <w:spacing w:line="360" w:lineRule="auto"/>
        <w:ind w:firstLine="0"/>
        <w:rPr>
          <w:sz w:val="26"/>
          <w:szCs w:val="26"/>
        </w:rPr>
      </w:pPr>
    </w:p>
    <w:p w:rsidR="008B62B2" w:rsidRDefault="008B62B2" w:rsidP="008B62B2">
      <w:pPr>
        <w:pStyle w:val="p7"/>
        <w:tabs>
          <w:tab w:val="clear" w:pos="1133"/>
          <w:tab w:val="left" w:pos="720"/>
          <w:tab w:val="left" w:pos="1440"/>
        </w:tabs>
        <w:spacing w:line="360" w:lineRule="auto"/>
        <w:ind w:left="0" w:firstLine="0"/>
        <w:rPr>
          <w:sz w:val="26"/>
          <w:szCs w:val="26"/>
        </w:rPr>
      </w:pPr>
      <w:r>
        <w:rPr>
          <w:sz w:val="26"/>
          <w:szCs w:val="26"/>
        </w:rPr>
        <w:tab/>
        <w:t xml:space="preserve">Therefore, the proposed rulemaking added an additional element, thereby increasing the seven elements in the LTIIP to eight as shown below:  </w:t>
      </w:r>
    </w:p>
    <w:p w:rsidR="008B62B2" w:rsidRPr="002B3E34" w:rsidRDefault="008B62B2" w:rsidP="008B62B2">
      <w:pPr>
        <w:pStyle w:val="p7"/>
        <w:numPr>
          <w:ilvl w:val="0"/>
          <w:numId w:val="32"/>
        </w:numPr>
        <w:tabs>
          <w:tab w:val="clear" w:pos="1133"/>
          <w:tab w:val="left" w:pos="720"/>
          <w:tab w:val="left" w:pos="1440"/>
        </w:tabs>
        <w:spacing w:line="360" w:lineRule="auto"/>
        <w:jc w:val="both"/>
        <w:rPr>
          <w:sz w:val="26"/>
          <w:szCs w:val="26"/>
        </w:rPr>
      </w:pPr>
      <w:r>
        <w:rPr>
          <w:sz w:val="26"/>
          <w:szCs w:val="26"/>
        </w:rPr>
        <w:t xml:space="preserve"> Types and age of eligible property;</w:t>
      </w:r>
    </w:p>
    <w:p w:rsidR="008B62B2" w:rsidRDefault="008B62B2" w:rsidP="008B62B2">
      <w:pPr>
        <w:pStyle w:val="p7"/>
        <w:numPr>
          <w:ilvl w:val="0"/>
          <w:numId w:val="32"/>
        </w:numPr>
        <w:tabs>
          <w:tab w:val="clear" w:pos="1133"/>
          <w:tab w:val="left" w:pos="720"/>
          <w:tab w:val="left" w:pos="1350"/>
          <w:tab w:val="left" w:pos="1440"/>
        </w:tabs>
        <w:spacing w:line="360" w:lineRule="auto"/>
        <w:jc w:val="both"/>
        <w:rPr>
          <w:sz w:val="26"/>
          <w:szCs w:val="26"/>
        </w:rPr>
      </w:pPr>
      <w:r>
        <w:rPr>
          <w:sz w:val="26"/>
          <w:szCs w:val="26"/>
        </w:rPr>
        <w:t xml:space="preserve"> Schedule for its planned repair and replacement;</w:t>
      </w:r>
    </w:p>
    <w:p w:rsidR="008B62B2" w:rsidRDefault="008B62B2" w:rsidP="008B62B2">
      <w:pPr>
        <w:pStyle w:val="p7"/>
        <w:numPr>
          <w:ilvl w:val="0"/>
          <w:numId w:val="32"/>
        </w:numPr>
        <w:tabs>
          <w:tab w:val="clear" w:pos="1133"/>
          <w:tab w:val="left" w:pos="720"/>
          <w:tab w:val="left" w:pos="1350"/>
          <w:tab w:val="left" w:pos="1440"/>
          <w:tab w:val="left" w:pos="1530"/>
        </w:tabs>
        <w:spacing w:line="360" w:lineRule="auto"/>
        <w:jc w:val="both"/>
        <w:rPr>
          <w:sz w:val="26"/>
          <w:szCs w:val="26"/>
        </w:rPr>
      </w:pPr>
      <w:r w:rsidRPr="002B3E34">
        <w:rPr>
          <w:sz w:val="26"/>
          <w:szCs w:val="26"/>
        </w:rPr>
        <w:t xml:space="preserve"> </w:t>
      </w:r>
      <w:r>
        <w:rPr>
          <w:sz w:val="26"/>
          <w:szCs w:val="26"/>
        </w:rPr>
        <w:tab/>
        <w:t>Location of the eligible property;</w:t>
      </w:r>
    </w:p>
    <w:p w:rsidR="008B62B2" w:rsidRDefault="008B62B2" w:rsidP="008B62B2">
      <w:pPr>
        <w:pStyle w:val="p7"/>
        <w:numPr>
          <w:ilvl w:val="0"/>
          <w:numId w:val="32"/>
        </w:numPr>
        <w:tabs>
          <w:tab w:val="clear" w:pos="1133"/>
          <w:tab w:val="left" w:pos="720"/>
          <w:tab w:val="left" w:pos="1350"/>
          <w:tab w:val="left" w:pos="1440"/>
          <w:tab w:val="left" w:pos="1530"/>
        </w:tabs>
        <w:spacing w:line="360" w:lineRule="auto"/>
        <w:jc w:val="both"/>
        <w:rPr>
          <w:sz w:val="26"/>
          <w:szCs w:val="26"/>
        </w:rPr>
      </w:pPr>
      <w:r>
        <w:rPr>
          <w:sz w:val="26"/>
          <w:szCs w:val="26"/>
        </w:rPr>
        <w:t xml:space="preserve"> Reasonable estimates of the quantity of property to be improved;</w:t>
      </w:r>
    </w:p>
    <w:p w:rsidR="008B62B2" w:rsidRDefault="008B62B2" w:rsidP="008B62B2">
      <w:pPr>
        <w:pStyle w:val="p7"/>
        <w:numPr>
          <w:ilvl w:val="0"/>
          <w:numId w:val="32"/>
        </w:numPr>
        <w:tabs>
          <w:tab w:val="clear" w:pos="1133"/>
          <w:tab w:val="left" w:pos="720"/>
          <w:tab w:val="left" w:pos="1440"/>
          <w:tab w:val="left" w:pos="1530"/>
        </w:tabs>
        <w:spacing w:line="360" w:lineRule="auto"/>
        <w:rPr>
          <w:sz w:val="26"/>
          <w:szCs w:val="26"/>
        </w:rPr>
      </w:pPr>
      <w:r>
        <w:rPr>
          <w:sz w:val="26"/>
          <w:szCs w:val="26"/>
        </w:rPr>
        <w:t>Projected annual expenditures and measures to ensure that the plan is cost      effective;</w:t>
      </w:r>
    </w:p>
    <w:p w:rsidR="008B62B2" w:rsidRDefault="008B62B2" w:rsidP="008B62B2">
      <w:pPr>
        <w:pStyle w:val="p7"/>
        <w:numPr>
          <w:ilvl w:val="0"/>
          <w:numId w:val="32"/>
        </w:numPr>
        <w:tabs>
          <w:tab w:val="clear" w:pos="782"/>
          <w:tab w:val="clear" w:pos="1133"/>
          <w:tab w:val="left" w:pos="720"/>
          <w:tab w:val="left" w:pos="1440"/>
          <w:tab w:val="left" w:pos="1530"/>
        </w:tabs>
        <w:spacing w:line="360" w:lineRule="auto"/>
        <w:rPr>
          <w:sz w:val="26"/>
          <w:szCs w:val="26"/>
        </w:rPr>
      </w:pPr>
      <w:r>
        <w:rPr>
          <w:sz w:val="26"/>
          <w:szCs w:val="26"/>
        </w:rPr>
        <w:t>Manner in which replacement of aging infrastructure will be accelerated and how repair, improvement or replacement will maintain safe and reliable service; and</w:t>
      </w:r>
    </w:p>
    <w:p w:rsidR="008B62B2" w:rsidRDefault="008B62B2" w:rsidP="008B62B2">
      <w:pPr>
        <w:pStyle w:val="p7"/>
        <w:numPr>
          <w:ilvl w:val="0"/>
          <w:numId w:val="32"/>
        </w:numPr>
        <w:tabs>
          <w:tab w:val="clear" w:pos="782"/>
          <w:tab w:val="clear" w:pos="1133"/>
          <w:tab w:val="left" w:pos="720"/>
          <w:tab w:val="left" w:pos="1440"/>
          <w:tab w:val="left" w:pos="1530"/>
        </w:tabs>
        <w:spacing w:line="360" w:lineRule="auto"/>
        <w:rPr>
          <w:sz w:val="26"/>
          <w:szCs w:val="26"/>
        </w:rPr>
      </w:pPr>
      <w:r>
        <w:rPr>
          <w:sz w:val="26"/>
          <w:szCs w:val="26"/>
        </w:rPr>
        <w:t>A workforce management and training program.</w:t>
      </w:r>
    </w:p>
    <w:p w:rsidR="008B62B2" w:rsidRDefault="008B62B2" w:rsidP="008B62B2">
      <w:pPr>
        <w:pStyle w:val="p7"/>
        <w:numPr>
          <w:ilvl w:val="0"/>
          <w:numId w:val="32"/>
        </w:numPr>
        <w:tabs>
          <w:tab w:val="clear" w:pos="782"/>
          <w:tab w:val="clear" w:pos="1133"/>
          <w:tab w:val="left" w:pos="720"/>
          <w:tab w:val="left" w:pos="1440"/>
          <w:tab w:val="left" w:pos="1530"/>
        </w:tabs>
        <w:spacing w:line="360" w:lineRule="auto"/>
        <w:rPr>
          <w:sz w:val="26"/>
          <w:szCs w:val="26"/>
        </w:rPr>
      </w:pPr>
      <w:r>
        <w:rPr>
          <w:sz w:val="26"/>
          <w:szCs w:val="26"/>
        </w:rPr>
        <w:t>A description of a utility’s outreach and coordination activities with other utilities, PennDOT and local governments on planned maintenance/construction projects.</w:t>
      </w:r>
    </w:p>
    <w:p w:rsidR="008B62B2" w:rsidRDefault="008B62B2" w:rsidP="008B62B2">
      <w:pPr>
        <w:pStyle w:val="p2"/>
        <w:spacing w:line="360" w:lineRule="auto"/>
        <w:ind w:firstLine="0"/>
        <w:rPr>
          <w:sz w:val="26"/>
          <w:szCs w:val="26"/>
        </w:rPr>
      </w:pPr>
      <w:r>
        <w:rPr>
          <w:sz w:val="26"/>
          <w:szCs w:val="26"/>
        </w:rPr>
        <w:t xml:space="preserve"> </w:t>
      </w:r>
    </w:p>
    <w:p w:rsidR="008B62B2" w:rsidRPr="0077455C" w:rsidRDefault="008B62B2" w:rsidP="00773D87">
      <w:pPr>
        <w:pStyle w:val="p7"/>
        <w:widowControl/>
        <w:tabs>
          <w:tab w:val="clear" w:pos="782"/>
          <w:tab w:val="clear" w:pos="1133"/>
          <w:tab w:val="left" w:pos="720"/>
          <w:tab w:val="left" w:pos="1440"/>
          <w:tab w:val="left" w:pos="1530"/>
        </w:tabs>
        <w:spacing w:line="360" w:lineRule="auto"/>
        <w:ind w:left="1350" w:firstLine="0"/>
        <w:rPr>
          <w:sz w:val="26"/>
          <w:szCs w:val="26"/>
        </w:rPr>
      </w:pPr>
    </w:p>
    <w:p w:rsidR="00317589" w:rsidRPr="00317589" w:rsidRDefault="0077455C" w:rsidP="00773D87">
      <w:pPr>
        <w:pStyle w:val="p2"/>
        <w:widowControl/>
        <w:spacing w:line="360" w:lineRule="auto"/>
        <w:ind w:firstLine="0"/>
        <w:jc w:val="center"/>
        <w:rPr>
          <w:b/>
          <w:sz w:val="26"/>
          <w:szCs w:val="26"/>
        </w:rPr>
      </w:pPr>
      <w:r>
        <w:rPr>
          <w:b/>
          <w:sz w:val="26"/>
          <w:szCs w:val="26"/>
        </w:rPr>
        <w:lastRenderedPageBreak/>
        <w:t>P</w:t>
      </w:r>
      <w:r w:rsidR="00FE7411">
        <w:rPr>
          <w:b/>
          <w:sz w:val="26"/>
          <w:szCs w:val="26"/>
        </w:rPr>
        <w:t>ECO</w:t>
      </w:r>
      <w:r>
        <w:rPr>
          <w:b/>
          <w:sz w:val="26"/>
          <w:szCs w:val="26"/>
        </w:rPr>
        <w:t>’S LTIIP PETITION</w:t>
      </w:r>
    </w:p>
    <w:p w:rsidR="00317589" w:rsidRPr="00317589" w:rsidRDefault="00317589" w:rsidP="00773D87">
      <w:pPr>
        <w:pStyle w:val="p2"/>
        <w:widowControl/>
        <w:spacing w:line="360" w:lineRule="auto"/>
        <w:ind w:firstLine="0"/>
        <w:rPr>
          <w:b/>
          <w:sz w:val="26"/>
          <w:szCs w:val="26"/>
        </w:rPr>
      </w:pPr>
    </w:p>
    <w:p w:rsidR="00317589" w:rsidRPr="00317589" w:rsidRDefault="00FE7411" w:rsidP="00773D87">
      <w:pPr>
        <w:pStyle w:val="p2"/>
        <w:widowControl/>
        <w:spacing w:line="360" w:lineRule="auto"/>
        <w:ind w:firstLine="0"/>
        <w:rPr>
          <w:b/>
          <w:sz w:val="26"/>
          <w:szCs w:val="26"/>
        </w:rPr>
      </w:pPr>
      <w:r>
        <w:rPr>
          <w:b/>
          <w:sz w:val="26"/>
          <w:szCs w:val="26"/>
        </w:rPr>
        <w:t>PECO</w:t>
      </w:r>
      <w:r w:rsidR="0077455C">
        <w:rPr>
          <w:b/>
          <w:sz w:val="26"/>
          <w:szCs w:val="26"/>
        </w:rPr>
        <w:t>’s Petition</w:t>
      </w:r>
    </w:p>
    <w:p w:rsidR="00317589" w:rsidRDefault="00317589" w:rsidP="00773D87">
      <w:pPr>
        <w:pStyle w:val="p2"/>
        <w:widowControl/>
        <w:spacing w:line="360" w:lineRule="auto"/>
        <w:ind w:firstLine="0"/>
        <w:rPr>
          <w:sz w:val="26"/>
          <w:szCs w:val="26"/>
        </w:rPr>
      </w:pPr>
    </w:p>
    <w:p w:rsidR="0077455C" w:rsidRDefault="0077455C" w:rsidP="007710A6">
      <w:pPr>
        <w:pStyle w:val="p2"/>
        <w:widowControl/>
        <w:spacing w:line="360" w:lineRule="auto"/>
        <w:ind w:firstLine="1440"/>
        <w:rPr>
          <w:sz w:val="26"/>
          <w:szCs w:val="26"/>
        </w:rPr>
      </w:pPr>
      <w:r>
        <w:rPr>
          <w:sz w:val="26"/>
          <w:szCs w:val="26"/>
        </w:rPr>
        <w:tab/>
      </w:r>
      <w:r w:rsidR="007710A6">
        <w:rPr>
          <w:sz w:val="26"/>
          <w:szCs w:val="26"/>
        </w:rPr>
        <w:t>PECO’s LTIIP is a ten year plan designed to increase its projected capital investment for replacing cast iron, wrought iron, and ductile iron mains and bare steel mains and services by $20 million per year, from a</w:t>
      </w:r>
      <w:r w:rsidR="006B25C0">
        <w:rPr>
          <w:sz w:val="26"/>
          <w:szCs w:val="26"/>
        </w:rPr>
        <w:t>pproximately $14 million to $34 </w:t>
      </w:r>
      <w:r w:rsidR="007710A6">
        <w:rPr>
          <w:sz w:val="26"/>
          <w:szCs w:val="26"/>
        </w:rPr>
        <w:t xml:space="preserve">million per year.  PECO’s increased level of investment would enable it to replace all of its oldest, high-risk cast iron mains and all of its bare steel services in approximately 10 years and replace all of the cast iron and bare steel mains in its system in approximately 34 years. </w:t>
      </w:r>
      <w:r>
        <w:rPr>
          <w:sz w:val="26"/>
          <w:szCs w:val="26"/>
        </w:rPr>
        <w:t xml:space="preserve"> </w:t>
      </w:r>
    </w:p>
    <w:p w:rsidR="006B25C0" w:rsidRDefault="006B25C0" w:rsidP="007710A6">
      <w:pPr>
        <w:pStyle w:val="p2"/>
        <w:widowControl/>
        <w:spacing w:line="360" w:lineRule="auto"/>
        <w:ind w:firstLine="1440"/>
        <w:rPr>
          <w:sz w:val="26"/>
          <w:szCs w:val="26"/>
        </w:rPr>
      </w:pPr>
    </w:p>
    <w:p w:rsidR="007710A6" w:rsidRDefault="007710A6" w:rsidP="007710A6">
      <w:pPr>
        <w:pStyle w:val="p2"/>
        <w:widowControl/>
        <w:spacing w:line="360" w:lineRule="auto"/>
        <w:ind w:firstLine="1440"/>
        <w:rPr>
          <w:sz w:val="26"/>
          <w:szCs w:val="26"/>
        </w:rPr>
      </w:pPr>
      <w:r>
        <w:rPr>
          <w:sz w:val="26"/>
          <w:szCs w:val="26"/>
        </w:rPr>
        <w:t xml:space="preserve">As of December 31, 2011, there were approximately 1,731 miles of cast iron, wrought iron and ductile iron mains and bare steel mains and services in PECO’s gas distribution system.  These mains and services were installed between the late 1800s and the 1960s.  These mains and services comprise only about 14% (in length) of PECO’s </w:t>
      </w:r>
      <w:r w:rsidR="002827D1">
        <w:rPr>
          <w:sz w:val="26"/>
          <w:szCs w:val="26"/>
        </w:rPr>
        <w:t>system;</w:t>
      </w:r>
      <w:r>
        <w:rPr>
          <w:sz w:val="26"/>
          <w:szCs w:val="26"/>
        </w:rPr>
        <w:t xml:space="preserve"> </w:t>
      </w:r>
      <w:r w:rsidR="002A4CE9">
        <w:rPr>
          <w:sz w:val="26"/>
          <w:szCs w:val="26"/>
        </w:rPr>
        <w:t xml:space="preserve">yet </w:t>
      </w:r>
      <w:r>
        <w:rPr>
          <w:sz w:val="26"/>
          <w:szCs w:val="26"/>
        </w:rPr>
        <w:t xml:space="preserve">they are the source of approximately 86% of all the leaks on PECO’s system.  Prior to 2011, PECO had been replacing </w:t>
      </w:r>
      <w:r w:rsidR="00C70385">
        <w:rPr>
          <w:sz w:val="26"/>
          <w:szCs w:val="26"/>
        </w:rPr>
        <w:t xml:space="preserve">cast iron and bare steel </w:t>
      </w:r>
      <w:r>
        <w:rPr>
          <w:sz w:val="26"/>
          <w:szCs w:val="26"/>
        </w:rPr>
        <w:t>mains at a rate of approximately 13 to 14 miles pe</w:t>
      </w:r>
      <w:r w:rsidR="00C70385">
        <w:rPr>
          <w:sz w:val="26"/>
          <w:szCs w:val="26"/>
        </w:rPr>
        <w:t xml:space="preserve">r year and replacing bare steel services at a rate of 1,800 per year.  In 2011, PECO </w:t>
      </w:r>
      <w:r w:rsidR="002A4CE9">
        <w:rPr>
          <w:sz w:val="26"/>
          <w:szCs w:val="26"/>
        </w:rPr>
        <w:t xml:space="preserve">determined </w:t>
      </w:r>
      <w:r w:rsidR="00C70385">
        <w:rPr>
          <w:sz w:val="26"/>
          <w:szCs w:val="26"/>
        </w:rPr>
        <w:t>that it</w:t>
      </w:r>
      <w:r w:rsidR="002A4CE9">
        <w:rPr>
          <w:sz w:val="26"/>
          <w:szCs w:val="26"/>
        </w:rPr>
        <w:t>s</w:t>
      </w:r>
      <w:r w:rsidR="00C70385">
        <w:rPr>
          <w:sz w:val="26"/>
          <w:szCs w:val="26"/>
        </w:rPr>
        <w:t xml:space="preserve"> schedule for replacement of these mains and services should be accelerated.  </w:t>
      </w:r>
    </w:p>
    <w:p w:rsidR="00C70385" w:rsidRDefault="00C70385" w:rsidP="007710A6">
      <w:pPr>
        <w:pStyle w:val="p2"/>
        <w:widowControl/>
        <w:spacing w:line="360" w:lineRule="auto"/>
        <w:ind w:firstLine="1440"/>
        <w:rPr>
          <w:sz w:val="26"/>
          <w:szCs w:val="26"/>
        </w:rPr>
      </w:pPr>
    </w:p>
    <w:p w:rsidR="00C70385" w:rsidRDefault="00C70385" w:rsidP="007710A6">
      <w:pPr>
        <w:pStyle w:val="p2"/>
        <w:widowControl/>
        <w:spacing w:line="360" w:lineRule="auto"/>
        <w:ind w:firstLine="1440"/>
        <w:rPr>
          <w:sz w:val="26"/>
          <w:szCs w:val="26"/>
        </w:rPr>
      </w:pPr>
      <w:r>
        <w:rPr>
          <w:sz w:val="26"/>
          <w:szCs w:val="26"/>
        </w:rPr>
        <w:t xml:space="preserve">PECO’s Distribution Integrity </w:t>
      </w:r>
      <w:r w:rsidR="00A302CF">
        <w:rPr>
          <w:sz w:val="26"/>
          <w:szCs w:val="26"/>
        </w:rPr>
        <w:t>M</w:t>
      </w:r>
      <w:r>
        <w:rPr>
          <w:sz w:val="26"/>
          <w:szCs w:val="26"/>
        </w:rPr>
        <w:t xml:space="preserve">anagement Program Plan (DIMP Plan) </w:t>
      </w:r>
      <w:r w:rsidR="00A302CF">
        <w:rPr>
          <w:sz w:val="26"/>
          <w:szCs w:val="26"/>
        </w:rPr>
        <w:t xml:space="preserve">developed </w:t>
      </w:r>
      <w:r w:rsidR="00423CA3">
        <w:rPr>
          <w:sz w:val="26"/>
          <w:szCs w:val="26"/>
        </w:rPr>
        <w:t xml:space="preserve">as required by </w:t>
      </w:r>
      <w:r w:rsidR="00D670C3">
        <w:rPr>
          <w:sz w:val="26"/>
          <w:szCs w:val="26"/>
        </w:rPr>
        <w:t xml:space="preserve">the </w:t>
      </w:r>
      <w:r w:rsidR="00423CA3">
        <w:rPr>
          <w:sz w:val="26"/>
          <w:szCs w:val="26"/>
        </w:rPr>
        <w:t xml:space="preserve">US Department of Transportation Pipeline and Hazardous Materials Administration (PHMSA) regulations </w:t>
      </w:r>
      <w:r w:rsidR="00A302CF">
        <w:rPr>
          <w:sz w:val="26"/>
          <w:szCs w:val="26"/>
        </w:rPr>
        <w:t xml:space="preserve">per 49 CFR Subpart P, </w:t>
      </w:r>
      <w:r>
        <w:rPr>
          <w:sz w:val="26"/>
          <w:szCs w:val="26"/>
        </w:rPr>
        <w:t xml:space="preserve">requires PECO to analyze and mitigate risks and threats to PECO’s distribution system.  </w:t>
      </w:r>
      <w:r w:rsidR="000443AB">
        <w:rPr>
          <w:sz w:val="26"/>
          <w:szCs w:val="26"/>
        </w:rPr>
        <w:t>PECO’s DIMP was used in developing the LTIIP.  The DIMP’s risk reduction goal along with other planning measures was used to prioritize PECO’s infrastructure improvements.</w:t>
      </w:r>
      <w:r w:rsidR="002A4CE9">
        <w:rPr>
          <w:sz w:val="26"/>
          <w:szCs w:val="26"/>
        </w:rPr>
        <w:t xml:space="preserve">  PECO states that its DIMP plan and its LTIIP will be monitored, re-evaluated and updated </w:t>
      </w:r>
      <w:r w:rsidR="002A4CE9">
        <w:rPr>
          <w:sz w:val="26"/>
          <w:szCs w:val="26"/>
        </w:rPr>
        <w:lastRenderedPageBreak/>
        <w:t xml:space="preserve">annually.  To the extent an annual update </w:t>
      </w:r>
      <w:r w:rsidR="00FC0E7C">
        <w:rPr>
          <w:sz w:val="26"/>
          <w:szCs w:val="26"/>
        </w:rPr>
        <w:t>identifies</w:t>
      </w:r>
      <w:r w:rsidR="002A4CE9">
        <w:rPr>
          <w:sz w:val="26"/>
          <w:szCs w:val="26"/>
        </w:rPr>
        <w:t xml:space="preserve"> any required changes in PECO’s LTIIP, those changes </w:t>
      </w:r>
      <w:r w:rsidR="00FC0E7C">
        <w:rPr>
          <w:sz w:val="26"/>
          <w:szCs w:val="26"/>
        </w:rPr>
        <w:t>will</w:t>
      </w:r>
      <w:r w:rsidR="002A4CE9">
        <w:rPr>
          <w:sz w:val="26"/>
          <w:szCs w:val="26"/>
        </w:rPr>
        <w:t xml:space="preserve"> be specifically noted</w:t>
      </w:r>
      <w:r w:rsidR="00FC0E7C">
        <w:rPr>
          <w:sz w:val="26"/>
          <w:szCs w:val="26"/>
        </w:rPr>
        <w:t xml:space="preserve"> and explained in the Annual Ass</w:t>
      </w:r>
      <w:r w:rsidR="002A4CE9">
        <w:rPr>
          <w:sz w:val="26"/>
          <w:szCs w:val="26"/>
        </w:rPr>
        <w:t>et Optimiz</w:t>
      </w:r>
      <w:r w:rsidR="00FC0E7C">
        <w:rPr>
          <w:sz w:val="26"/>
          <w:szCs w:val="26"/>
        </w:rPr>
        <w:t>a</w:t>
      </w:r>
      <w:r w:rsidR="002A4CE9">
        <w:rPr>
          <w:sz w:val="26"/>
          <w:szCs w:val="26"/>
        </w:rPr>
        <w:t>tion Pl</w:t>
      </w:r>
      <w:r w:rsidR="00FC0E7C">
        <w:rPr>
          <w:sz w:val="26"/>
          <w:szCs w:val="26"/>
        </w:rPr>
        <w:t>a</w:t>
      </w:r>
      <w:r w:rsidR="002A4CE9">
        <w:rPr>
          <w:sz w:val="26"/>
          <w:szCs w:val="26"/>
        </w:rPr>
        <w:t xml:space="preserve">ns that PECO will file with the Commission after its LTIIP and DSIC are implemented.  (LTIIP </w:t>
      </w:r>
      <w:r w:rsidR="00FC0E7C">
        <w:rPr>
          <w:sz w:val="26"/>
          <w:szCs w:val="26"/>
        </w:rPr>
        <w:t>P</w:t>
      </w:r>
      <w:r w:rsidR="002A4CE9">
        <w:rPr>
          <w:sz w:val="26"/>
          <w:szCs w:val="26"/>
        </w:rPr>
        <w:t>etition at 1</w:t>
      </w:r>
      <w:r w:rsidR="00F316C5">
        <w:rPr>
          <w:sz w:val="26"/>
          <w:szCs w:val="26"/>
        </w:rPr>
        <w:t>0.)  The DIMP plan was reviewed by Commission staff herein only to determine if it is consistent with the LTIIP</w:t>
      </w:r>
      <w:r w:rsidR="00423CA3">
        <w:rPr>
          <w:sz w:val="26"/>
          <w:szCs w:val="26"/>
        </w:rPr>
        <w:t>; it was consistent</w:t>
      </w:r>
      <w:r w:rsidR="00F316C5">
        <w:rPr>
          <w:sz w:val="26"/>
          <w:szCs w:val="26"/>
        </w:rPr>
        <w:t xml:space="preserve">.  The DIMP </w:t>
      </w:r>
      <w:r w:rsidR="00423CA3">
        <w:rPr>
          <w:sz w:val="26"/>
          <w:szCs w:val="26"/>
        </w:rPr>
        <w:t>P</w:t>
      </w:r>
      <w:r w:rsidR="00F316C5">
        <w:rPr>
          <w:sz w:val="26"/>
          <w:szCs w:val="26"/>
        </w:rPr>
        <w:t xml:space="preserve">lan will undergo further Commission review by </w:t>
      </w:r>
      <w:r w:rsidR="00C72A65">
        <w:rPr>
          <w:sz w:val="26"/>
          <w:szCs w:val="26"/>
        </w:rPr>
        <w:t xml:space="preserve">the </w:t>
      </w:r>
      <w:r w:rsidR="00F316C5">
        <w:rPr>
          <w:sz w:val="26"/>
          <w:szCs w:val="26"/>
        </w:rPr>
        <w:t>Commission’s Gas Safety Division.</w:t>
      </w:r>
    </w:p>
    <w:p w:rsidR="007710A6" w:rsidRDefault="007710A6" w:rsidP="007710A6">
      <w:pPr>
        <w:pStyle w:val="p2"/>
        <w:widowControl/>
        <w:spacing w:line="360" w:lineRule="auto"/>
        <w:ind w:firstLine="1440"/>
        <w:rPr>
          <w:sz w:val="26"/>
          <w:szCs w:val="26"/>
        </w:rPr>
      </w:pPr>
    </w:p>
    <w:p w:rsidR="000443AB" w:rsidRDefault="007251CC" w:rsidP="00773D87">
      <w:pPr>
        <w:pStyle w:val="p2"/>
        <w:widowControl/>
        <w:spacing w:line="360" w:lineRule="auto"/>
        <w:rPr>
          <w:sz w:val="26"/>
          <w:szCs w:val="26"/>
        </w:rPr>
      </w:pPr>
      <w:r>
        <w:rPr>
          <w:sz w:val="26"/>
          <w:szCs w:val="26"/>
        </w:rPr>
        <w:t xml:space="preserve">PECO will prioritize replacement of wrought iron, ductile iron, cast iron and bare steel mains and bare steel services for which PECO’s risk modeling used as part of its DIMP Plan has determined to be high risk during this initial 10 year phase.  With respect to cast iron main replacement, </w:t>
      </w:r>
      <w:r w:rsidR="0077455C">
        <w:rPr>
          <w:sz w:val="26"/>
          <w:szCs w:val="26"/>
        </w:rPr>
        <w:t>P</w:t>
      </w:r>
      <w:r w:rsidR="00C70385">
        <w:rPr>
          <w:sz w:val="26"/>
          <w:szCs w:val="26"/>
        </w:rPr>
        <w:t>ECO</w:t>
      </w:r>
      <w:r w:rsidR="0077455C">
        <w:rPr>
          <w:sz w:val="26"/>
          <w:szCs w:val="26"/>
        </w:rPr>
        <w:t xml:space="preserve"> </w:t>
      </w:r>
      <w:r w:rsidR="000443AB">
        <w:rPr>
          <w:sz w:val="26"/>
          <w:szCs w:val="26"/>
        </w:rPr>
        <w:t xml:space="preserve">will focus on cast iron main that (1) is less than eight inches in diameter; (2) operates at elevated pressure; and (3) is located in areas with greater population density and under extensively paved surfaces, or (4) was installed prior to 1900.  All cast iron pipe with these characteristics will be replaced in ten years. </w:t>
      </w:r>
    </w:p>
    <w:p w:rsidR="000443AB" w:rsidRDefault="000443AB" w:rsidP="00773D87">
      <w:pPr>
        <w:pStyle w:val="p2"/>
        <w:widowControl/>
        <w:spacing w:line="360" w:lineRule="auto"/>
        <w:rPr>
          <w:sz w:val="26"/>
          <w:szCs w:val="26"/>
        </w:rPr>
      </w:pPr>
    </w:p>
    <w:p w:rsidR="0077455C" w:rsidRDefault="0077455C" w:rsidP="00773D87">
      <w:pPr>
        <w:pStyle w:val="p2"/>
        <w:widowControl/>
        <w:spacing w:line="360" w:lineRule="auto"/>
        <w:rPr>
          <w:sz w:val="26"/>
          <w:szCs w:val="26"/>
        </w:rPr>
      </w:pPr>
      <w:r>
        <w:rPr>
          <w:sz w:val="26"/>
          <w:szCs w:val="26"/>
        </w:rPr>
        <w:t>P</w:t>
      </w:r>
      <w:r w:rsidR="00C70385">
        <w:rPr>
          <w:sz w:val="26"/>
          <w:szCs w:val="26"/>
        </w:rPr>
        <w:t>ECO</w:t>
      </w:r>
      <w:r>
        <w:rPr>
          <w:sz w:val="26"/>
          <w:szCs w:val="26"/>
        </w:rPr>
        <w:t xml:space="preserve"> addressed the </w:t>
      </w:r>
      <w:r w:rsidR="00423CA3">
        <w:rPr>
          <w:sz w:val="26"/>
          <w:szCs w:val="26"/>
        </w:rPr>
        <w:t>eight</w:t>
      </w:r>
      <w:r>
        <w:rPr>
          <w:sz w:val="26"/>
          <w:szCs w:val="26"/>
        </w:rPr>
        <w:t xml:space="preserve"> elements (1) types and age of eligible property, (2) schedule for planned repair and replacement</w:t>
      </w:r>
      <w:r w:rsidR="00D670C3">
        <w:rPr>
          <w:sz w:val="26"/>
          <w:szCs w:val="26"/>
        </w:rPr>
        <w:t xml:space="preserve"> of eligible property</w:t>
      </w:r>
      <w:r>
        <w:rPr>
          <w:sz w:val="26"/>
          <w:szCs w:val="26"/>
        </w:rPr>
        <w:t xml:space="preserve">, (3) location of the eligible property, (4) reasonable estimates of the quantity </w:t>
      </w:r>
      <w:r w:rsidR="006B25C0">
        <w:rPr>
          <w:sz w:val="26"/>
          <w:szCs w:val="26"/>
        </w:rPr>
        <w:t>of property to be improved, (5) </w:t>
      </w:r>
      <w:r>
        <w:rPr>
          <w:sz w:val="26"/>
          <w:szCs w:val="26"/>
        </w:rPr>
        <w:t>projected annual expenditures and measures to ensure that the plan is cost effective, (6) manner i</w:t>
      </w:r>
      <w:r w:rsidR="00D670C3">
        <w:rPr>
          <w:sz w:val="26"/>
          <w:szCs w:val="26"/>
        </w:rPr>
        <w:t>n</w:t>
      </w:r>
      <w:r>
        <w:rPr>
          <w:sz w:val="26"/>
          <w:szCs w:val="26"/>
        </w:rPr>
        <w:t xml:space="preserve"> which replacement of aging infrastructure will be accelerated and how repair, improvement or replacement will maintai</w:t>
      </w:r>
      <w:r w:rsidR="008478AC">
        <w:rPr>
          <w:sz w:val="26"/>
          <w:szCs w:val="26"/>
        </w:rPr>
        <w:t xml:space="preserve">n safe and reliable service, </w:t>
      </w:r>
      <w:r>
        <w:rPr>
          <w:sz w:val="26"/>
          <w:szCs w:val="26"/>
        </w:rPr>
        <w:t xml:space="preserve"> (7) a workforce management and training program</w:t>
      </w:r>
      <w:r w:rsidR="008478AC">
        <w:rPr>
          <w:sz w:val="26"/>
          <w:szCs w:val="26"/>
        </w:rPr>
        <w:t>, and (8)</w:t>
      </w:r>
      <w:r>
        <w:rPr>
          <w:sz w:val="26"/>
          <w:szCs w:val="26"/>
        </w:rPr>
        <w:t xml:space="preserve"> </w:t>
      </w:r>
      <w:r w:rsidR="008478AC">
        <w:rPr>
          <w:sz w:val="26"/>
          <w:szCs w:val="26"/>
        </w:rPr>
        <w:t xml:space="preserve">a description of a utility’s outreach and coordination activities with other utilities </w:t>
      </w:r>
      <w:r>
        <w:rPr>
          <w:sz w:val="26"/>
          <w:szCs w:val="26"/>
        </w:rPr>
        <w:t>as required in the Final Implementation Order of Act 11 as discussed below.</w:t>
      </w:r>
    </w:p>
    <w:p w:rsidR="0077455C" w:rsidRDefault="0077455C" w:rsidP="00773D87">
      <w:pPr>
        <w:pStyle w:val="p2"/>
        <w:widowControl/>
        <w:spacing w:line="360" w:lineRule="auto"/>
        <w:ind w:firstLine="0"/>
        <w:jc w:val="center"/>
        <w:rPr>
          <w:b/>
          <w:sz w:val="26"/>
          <w:szCs w:val="26"/>
        </w:rPr>
      </w:pPr>
    </w:p>
    <w:p w:rsidR="0077455C" w:rsidRDefault="00135912" w:rsidP="00135912">
      <w:pPr>
        <w:pStyle w:val="p2"/>
        <w:widowControl/>
        <w:spacing w:line="360" w:lineRule="auto"/>
        <w:ind w:left="720" w:firstLine="0"/>
        <w:rPr>
          <w:b/>
          <w:sz w:val="26"/>
          <w:szCs w:val="26"/>
        </w:rPr>
      </w:pPr>
      <w:r>
        <w:rPr>
          <w:b/>
          <w:sz w:val="26"/>
          <w:szCs w:val="26"/>
        </w:rPr>
        <w:t xml:space="preserve">(1) </w:t>
      </w:r>
      <w:r w:rsidR="0077455C">
        <w:rPr>
          <w:b/>
          <w:sz w:val="26"/>
          <w:szCs w:val="26"/>
        </w:rPr>
        <w:t>TYPES AND AGE OF ELIGIBLE PROPERTY</w:t>
      </w:r>
    </w:p>
    <w:p w:rsidR="0077455C" w:rsidRDefault="0077455C" w:rsidP="00773D87">
      <w:pPr>
        <w:pStyle w:val="p2"/>
        <w:widowControl/>
        <w:tabs>
          <w:tab w:val="left" w:pos="720"/>
        </w:tabs>
        <w:spacing w:line="360" w:lineRule="auto"/>
        <w:ind w:firstLine="0"/>
        <w:rPr>
          <w:b/>
          <w:sz w:val="26"/>
          <w:szCs w:val="26"/>
        </w:rPr>
      </w:pPr>
    </w:p>
    <w:p w:rsidR="0077455C" w:rsidRDefault="00A302CF" w:rsidP="00773D87">
      <w:pPr>
        <w:pStyle w:val="p2"/>
        <w:widowControl/>
        <w:tabs>
          <w:tab w:val="left" w:pos="720"/>
        </w:tabs>
        <w:spacing w:line="360" w:lineRule="auto"/>
        <w:ind w:firstLine="0"/>
        <w:rPr>
          <w:b/>
          <w:sz w:val="26"/>
          <w:szCs w:val="26"/>
        </w:rPr>
      </w:pPr>
      <w:r>
        <w:rPr>
          <w:b/>
          <w:sz w:val="26"/>
          <w:szCs w:val="26"/>
        </w:rPr>
        <w:t>PECO</w:t>
      </w:r>
      <w:r w:rsidR="0077455C">
        <w:rPr>
          <w:b/>
          <w:sz w:val="26"/>
          <w:szCs w:val="26"/>
        </w:rPr>
        <w:t xml:space="preserve"> Position</w:t>
      </w:r>
    </w:p>
    <w:p w:rsidR="0077455C" w:rsidRDefault="0077455C" w:rsidP="00773D87">
      <w:pPr>
        <w:pStyle w:val="p2"/>
        <w:widowControl/>
        <w:tabs>
          <w:tab w:val="left" w:pos="720"/>
        </w:tabs>
        <w:spacing w:line="360" w:lineRule="auto"/>
        <w:ind w:firstLine="0"/>
        <w:rPr>
          <w:b/>
          <w:sz w:val="26"/>
          <w:szCs w:val="26"/>
        </w:rPr>
      </w:pPr>
    </w:p>
    <w:p w:rsidR="0077455C" w:rsidRDefault="0077455C" w:rsidP="00773D87">
      <w:pPr>
        <w:pStyle w:val="p2"/>
        <w:widowControl/>
        <w:spacing w:line="360" w:lineRule="auto"/>
        <w:ind w:firstLine="1440"/>
        <w:rPr>
          <w:sz w:val="26"/>
          <w:szCs w:val="26"/>
        </w:rPr>
      </w:pPr>
      <w:r>
        <w:rPr>
          <w:b/>
          <w:sz w:val="26"/>
          <w:szCs w:val="26"/>
        </w:rPr>
        <w:tab/>
      </w:r>
      <w:r w:rsidR="00A302CF" w:rsidRPr="00A302CF">
        <w:rPr>
          <w:sz w:val="26"/>
          <w:szCs w:val="26"/>
        </w:rPr>
        <w:t xml:space="preserve">As of December 31, 2011, there were approximately 1,731 miles of cast iron, wrought iron and ductile iron mains and bare steel mains and services in PECO’s gas distribution system.  </w:t>
      </w:r>
      <w:r w:rsidR="00523427">
        <w:rPr>
          <w:sz w:val="26"/>
          <w:szCs w:val="26"/>
        </w:rPr>
        <w:t xml:space="preserve">Table 1 details the age and type of PECO’s mains that will be replaced.  </w:t>
      </w:r>
    </w:p>
    <w:p w:rsidR="0077455C" w:rsidRDefault="0077455C" w:rsidP="00773D87">
      <w:pPr>
        <w:pStyle w:val="p2"/>
        <w:widowControl/>
        <w:spacing w:line="360" w:lineRule="auto"/>
        <w:ind w:firstLine="0"/>
        <w:rPr>
          <w:sz w:val="26"/>
          <w:szCs w:val="26"/>
        </w:rPr>
      </w:pPr>
    </w:p>
    <w:p w:rsidR="0077455C" w:rsidRPr="005070BD" w:rsidRDefault="0077455C" w:rsidP="00773D87">
      <w:pPr>
        <w:pStyle w:val="p2"/>
        <w:widowControl/>
        <w:spacing w:line="360" w:lineRule="auto"/>
        <w:ind w:firstLine="0"/>
        <w:jc w:val="center"/>
        <w:rPr>
          <w:b/>
          <w:sz w:val="26"/>
          <w:szCs w:val="26"/>
        </w:rPr>
      </w:pPr>
      <w:r w:rsidRPr="005070BD">
        <w:rPr>
          <w:b/>
          <w:sz w:val="26"/>
          <w:szCs w:val="26"/>
        </w:rPr>
        <w:t>Table 1 – Mileage by Age Range of Cast Iron</w:t>
      </w:r>
      <w:r w:rsidR="004D635C">
        <w:rPr>
          <w:b/>
          <w:sz w:val="26"/>
          <w:szCs w:val="26"/>
        </w:rPr>
        <w:t>, Wrought Iron, Ductile Iron and Bare Steel</w:t>
      </w:r>
      <w:r w:rsidRPr="005070BD">
        <w:rPr>
          <w:b/>
          <w:sz w:val="26"/>
          <w:szCs w:val="26"/>
        </w:rPr>
        <w:t xml:space="preserve"> Mains to Be Replaced</w:t>
      </w:r>
    </w:p>
    <w:p w:rsidR="0077455C" w:rsidRDefault="0077455C" w:rsidP="00773D87">
      <w:pPr>
        <w:pStyle w:val="p2"/>
        <w:widowControl/>
        <w:spacing w:line="360" w:lineRule="auto"/>
        <w:ind w:firstLine="0"/>
        <w:rPr>
          <w:sz w:val="26"/>
          <w:szCs w:val="26"/>
        </w:rPr>
      </w:pPr>
    </w:p>
    <w:tbl>
      <w:tblPr>
        <w:tblW w:w="9133" w:type="dxa"/>
        <w:jc w:val="center"/>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10"/>
        <w:gridCol w:w="1710"/>
        <w:gridCol w:w="2970"/>
        <w:gridCol w:w="1217"/>
      </w:tblGrid>
      <w:tr w:rsidR="004D635C" w:rsidRPr="0081396F" w:rsidTr="00624480">
        <w:trPr>
          <w:trHeight w:val="144"/>
          <w:jc w:val="center"/>
        </w:trPr>
        <w:tc>
          <w:tcPr>
            <w:tcW w:w="1526" w:type="dxa"/>
            <w:shd w:val="clear" w:color="auto" w:fill="auto"/>
          </w:tcPr>
          <w:p w:rsidR="004D635C" w:rsidRPr="0081396F" w:rsidRDefault="004D635C" w:rsidP="00773D87">
            <w:pPr>
              <w:pStyle w:val="p2"/>
              <w:widowControl/>
              <w:ind w:firstLine="0"/>
              <w:rPr>
                <w:rFonts w:ascii="Arial" w:hAnsi="Arial"/>
                <w:b/>
              </w:rPr>
            </w:pPr>
            <w:r w:rsidRPr="0081396F">
              <w:rPr>
                <w:rFonts w:ascii="Arial" w:hAnsi="Arial"/>
                <w:b/>
              </w:rPr>
              <w:t>Year Range</w:t>
            </w:r>
          </w:p>
        </w:tc>
        <w:tc>
          <w:tcPr>
            <w:tcW w:w="1710" w:type="dxa"/>
            <w:shd w:val="clear" w:color="auto" w:fill="auto"/>
          </w:tcPr>
          <w:p w:rsidR="004D635C" w:rsidRPr="0081396F" w:rsidRDefault="004D635C" w:rsidP="00FC0E7C">
            <w:pPr>
              <w:pStyle w:val="p2"/>
              <w:widowControl/>
              <w:ind w:firstLine="0"/>
              <w:rPr>
                <w:rFonts w:ascii="Arial" w:hAnsi="Arial"/>
                <w:b/>
              </w:rPr>
            </w:pPr>
            <w:r w:rsidRPr="0081396F">
              <w:rPr>
                <w:rFonts w:ascii="Arial" w:hAnsi="Arial"/>
                <w:b/>
              </w:rPr>
              <w:t>Cast Iron</w:t>
            </w:r>
          </w:p>
        </w:tc>
        <w:tc>
          <w:tcPr>
            <w:tcW w:w="1710" w:type="dxa"/>
            <w:shd w:val="clear" w:color="auto" w:fill="auto"/>
          </w:tcPr>
          <w:p w:rsidR="004D635C" w:rsidRPr="0081396F" w:rsidRDefault="004D635C" w:rsidP="00773D87">
            <w:pPr>
              <w:pStyle w:val="p2"/>
              <w:widowControl/>
              <w:ind w:firstLine="0"/>
              <w:rPr>
                <w:rFonts w:ascii="Arial" w:hAnsi="Arial"/>
                <w:b/>
              </w:rPr>
            </w:pPr>
            <w:r>
              <w:rPr>
                <w:rFonts w:ascii="Arial" w:hAnsi="Arial"/>
                <w:b/>
              </w:rPr>
              <w:t xml:space="preserve">Wrought Iron </w:t>
            </w:r>
          </w:p>
        </w:tc>
        <w:tc>
          <w:tcPr>
            <w:tcW w:w="2970" w:type="dxa"/>
            <w:shd w:val="clear" w:color="auto" w:fill="auto"/>
          </w:tcPr>
          <w:p w:rsidR="004D635C" w:rsidRPr="0081396F" w:rsidRDefault="004D635C" w:rsidP="004D635C">
            <w:pPr>
              <w:pStyle w:val="p2"/>
              <w:widowControl/>
              <w:ind w:firstLine="0"/>
              <w:rPr>
                <w:rFonts w:ascii="Arial" w:hAnsi="Arial"/>
                <w:b/>
              </w:rPr>
            </w:pPr>
            <w:r>
              <w:rPr>
                <w:rFonts w:ascii="Arial" w:hAnsi="Arial"/>
                <w:b/>
              </w:rPr>
              <w:t>Ductile Iron</w:t>
            </w:r>
          </w:p>
        </w:tc>
        <w:tc>
          <w:tcPr>
            <w:tcW w:w="1217" w:type="dxa"/>
          </w:tcPr>
          <w:p w:rsidR="004D635C" w:rsidRDefault="004D635C" w:rsidP="004D635C">
            <w:pPr>
              <w:pStyle w:val="p2"/>
              <w:widowControl/>
              <w:ind w:firstLine="0"/>
              <w:rPr>
                <w:rFonts w:ascii="Arial" w:hAnsi="Arial"/>
                <w:b/>
              </w:rPr>
            </w:pPr>
            <w:r>
              <w:rPr>
                <w:rFonts w:ascii="Arial" w:hAnsi="Arial"/>
                <w:b/>
              </w:rPr>
              <w:t>Bare Steel</w:t>
            </w:r>
          </w:p>
        </w:tc>
      </w:tr>
      <w:tr w:rsidR="004D635C" w:rsidRPr="0081396F" w:rsidTr="00624480">
        <w:trPr>
          <w:jc w:val="center"/>
        </w:trPr>
        <w:tc>
          <w:tcPr>
            <w:tcW w:w="1526" w:type="dxa"/>
            <w:shd w:val="clear" w:color="auto" w:fill="auto"/>
          </w:tcPr>
          <w:p w:rsidR="004D635C" w:rsidRPr="0081396F" w:rsidRDefault="004D635C" w:rsidP="00773D87">
            <w:pPr>
              <w:pStyle w:val="p2"/>
              <w:widowControl/>
              <w:ind w:firstLine="0"/>
              <w:rPr>
                <w:rFonts w:ascii="Arial" w:hAnsi="Arial"/>
              </w:rPr>
            </w:pPr>
            <w:r w:rsidRPr="0081396F">
              <w:rPr>
                <w:rFonts w:ascii="Arial" w:hAnsi="Arial"/>
              </w:rPr>
              <w:t>1971-2010</w:t>
            </w:r>
          </w:p>
        </w:tc>
        <w:tc>
          <w:tcPr>
            <w:tcW w:w="1710" w:type="dxa"/>
            <w:shd w:val="clear" w:color="auto" w:fill="auto"/>
          </w:tcPr>
          <w:p w:rsidR="004D635C" w:rsidRPr="0081396F" w:rsidRDefault="004D635C" w:rsidP="00773D87">
            <w:pPr>
              <w:pStyle w:val="p2"/>
              <w:widowControl/>
              <w:ind w:firstLine="0"/>
              <w:jc w:val="center"/>
              <w:rPr>
                <w:rFonts w:ascii="Arial" w:hAnsi="Arial"/>
              </w:rPr>
            </w:pPr>
          </w:p>
        </w:tc>
        <w:tc>
          <w:tcPr>
            <w:tcW w:w="1710" w:type="dxa"/>
            <w:shd w:val="clear" w:color="auto" w:fill="auto"/>
          </w:tcPr>
          <w:p w:rsidR="004D635C" w:rsidRPr="0081396F" w:rsidRDefault="004D635C" w:rsidP="00773D87">
            <w:pPr>
              <w:pStyle w:val="p2"/>
              <w:widowControl/>
              <w:ind w:firstLine="0"/>
              <w:jc w:val="center"/>
              <w:rPr>
                <w:rFonts w:ascii="Arial" w:hAnsi="Arial"/>
              </w:rPr>
            </w:pPr>
          </w:p>
        </w:tc>
        <w:tc>
          <w:tcPr>
            <w:tcW w:w="2970" w:type="dxa"/>
            <w:shd w:val="clear" w:color="auto" w:fill="auto"/>
          </w:tcPr>
          <w:p w:rsidR="004D635C" w:rsidRPr="0081396F" w:rsidRDefault="004D635C" w:rsidP="00773D87">
            <w:pPr>
              <w:pStyle w:val="p2"/>
              <w:widowControl/>
              <w:ind w:firstLine="0"/>
              <w:jc w:val="center"/>
              <w:rPr>
                <w:rFonts w:ascii="Arial" w:hAnsi="Arial"/>
              </w:rPr>
            </w:pPr>
          </w:p>
        </w:tc>
        <w:tc>
          <w:tcPr>
            <w:tcW w:w="1217" w:type="dxa"/>
          </w:tcPr>
          <w:p w:rsidR="004D635C" w:rsidRPr="0081396F" w:rsidRDefault="004D635C" w:rsidP="00773D87">
            <w:pPr>
              <w:pStyle w:val="p2"/>
              <w:widowControl/>
              <w:ind w:firstLine="0"/>
              <w:jc w:val="center"/>
              <w:rPr>
                <w:rFonts w:ascii="Arial" w:hAnsi="Arial"/>
              </w:rPr>
            </w:pPr>
          </w:p>
        </w:tc>
      </w:tr>
      <w:tr w:rsidR="004D635C" w:rsidRPr="0081396F" w:rsidTr="00624480">
        <w:trPr>
          <w:jc w:val="center"/>
        </w:trPr>
        <w:tc>
          <w:tcPr>
            <w:tcW w:w="1526" w:type="dxa"/>
            <w:shd w:val="clear" w:color="auto" w:fill="auto"/>
          </w:tcPr>
          <w:p w:rsidR="004D635C" w:rsidRPr="0081396F" w:rsidRDefault="004D635C" w:rsidP="00773D87">
            <w:pPr>
              <w:pStyle w:val="p2"/>
              <w:widowControl/>
              <w:ind w:firstLine="0"/>
              <w:rPr>
                <w:rFonts w:ascii="Arial" w:hAnsi="Arial"/>
              </w:rPr>
            </w:pPr>
            <w:r w:rsidRPr="0081396F">
              <w:rPr>
                <w:rFonts w:ascii="Arial" w:hAnsi="Arial"/>
              </w:rPr>
              <w:t>1961-1970</w:t>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37</w:t>
            </w:r>
          </w:p>
        </w:tc>
        <w:tc>
          <w:tcPr>
            <w:tcW w:w="1710" w:type="dxa"/>
            <w:shd w:val="clear" w:color="auto" w:fill="auto"/>
          </w:tcPr>
          <w:p w:rsidR="004D635C" w:rsidRPr="0081396F" w:rsidRDefault="004D635C" w:rsidP="00773D87">
            <w:pPr>
              <w:pStyle w:val="p2"/>
              <w:widowControl/>
              <w:ind w:firstLine="0"/>
              <w:jc w:val="center"/>
              <w:rPr>
                <w:rFonts w:ascii="Arial" w:hAnsi="Arial"/>
              </w:rPr>
            </w:pPr>
          </w:p>
        </w:tc>
        <w:tc>
          <w:tcPr>
            <w:tcW w:w="297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59</w:t>
            </w:r>
          </w:p>
        </w:tc>
        <w:tc>
          <w:tcPr>
            <w:tcW w:w="1217" w:type="dxa"/>
          </w:tcPr>
          <w:p w:rsidR="004D635C" w:rsidRPr="0081396F" w:rsidRDefault="00FC0E7C" w:rsidP="00773D87">
            <w:pPr>
              <w:pStyle w:val="p2"/>
              <w:widowControl/>
              <w:ind w:firstLine="0"/>
              <w:jc w:val="center"/>
              <w:rPr>
                <w:rFonts w:ascii="Arial" w:hAnsi="Arial"/>
              </w:rPr>
            </w:pPr>
            <w:r>
              <w:rPr>
                <w:rFonts w:ascii="Arial" w:hAnsi="Arial"/>
              </w:rPr>
              <w:t>10</w:t>
            </w:r>
          </w:p>
        </w:tc>
      </w:tr>
      <w:tr w:rsidR="004D635C" w:rsidRPr="0081396F" w:rsidTr="00624480">
        <w:trPr>
          <w:jc w:val="center"/>
        </w:trPr>
        <w:tc>
          <w:tcPr>
            <w:tcW w:w="1526" w:type="dxa"/>
            <w:shd w:val="clear" w:color="auto" w:fill="auto"/>
          </w:tcPr>
          <w:p w:rsidR="004D635C" w:rsidRPr="0081396F" w:rsidRDefault="004D635C" w:rsidP="00773D87">
            <w:pPr>
              <w:pStyle w:val="p2"/>
              <w:widowControl/>
              <w:ind w:firstLine="0"/>
              <w:rPr>
                <w:rFonts w:ascii="Arial" w:hAnsi="Arial"/>
              </w:rPr>
            </w:pPr>
            <w:r w:rsidRPr="0081396F">
              <w:rPr>
                <w:rFonts w:ascii="Arial" w:hAnsi="Arial"/>
              </w:rPr>
              <w:t>1951-1960</w:t>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186</w:t>
            </w:r>
          </w:p>
        </w:tc>
        <w:tc>
          <w:tcPr>
            <w:tcW w:w="1710" w:type="dxa"/>
            <w:shd w:val="clear" w:color="auto" w:fill="auto"/>
          </w:tcPr>
          <w:p w:rsidR="004D635C" w:rsidRPr="0081396F" w:rsidRDefault="004D635C" w:rsidP="00773D87">
            <w:pPr>
              <w:pStyle w:val="p2"/>
              <w:widowControl/>
              <w:ind w:firstLine="0"/>
              <w:jc w:val="center"/>
              <w:rPr>
                <w:rFonts w:ascii="Arial" w:hAnsi="Arial"/>
              </w:rPr>
            </w:pPr>
          </w:p>
        </w:tc>
        <w:tc>
          <w:tcPr>
            <w:tcW w:w="2970" w:type="dxa"/>
            <w:shd w:val="clear" w:color="auto" w:fill="auto"/>
          </w:tcPr>
          <w:p w:rsidR="004D635C" w:rsidRPr="0081396F" w:rsidRDefault="004D635C" w:rsidP="00773D87">
            <w:pPr>
              <w:pStyle w:val="p2"/>
              <w:widowControl/>
              <w:ind w:firstLine="0"/>
              <w:jc w:val="center"/>
              <w:rPr>
                <w:rFonts w:ascii="Arial" w:hAnsi="Arial"/>
              </w:rPr>
            </w:pPr>
          </w:p>
        </w:tc>
        <w:tc>
          <w:tcPr>
            <w:tcW w:w="1217" w:type="dxa"/>
          </w:tcPr>
          <w:p w:rsidR="004D635C" w:rsidRPr="0081396F" w:rsidRDefault="00FC0E7C" w:rsidP="00773D87">
            <w:pPr>
              <w:pStyle w:val="p2"/>
              <w:widowControl/>
              <w:ind w:firstLine="0"/>
              <w:jc w:val="center"/>
              <w:rPr>
                <w:rFonts w:ascii="Arial" w:hAnsi="Arial"/>
              </w:rPr>
            </w:pPr>
            <w:r>
              <w:rPr>
                <w:rFonts w:ascii="Arial" w:hAnsi="Arial"/>
              </w:rPr>
              <w:t>8</w:t>
            </w:r>
            <w:r w:rsidR="00912D64">
              <w:rPr>
                <w:rFonts w:ascii="Arial" w:hAnsi="Arial"/>
              </w:rPr>
              <w:t>5</w:t>
            </w:r>
          </w:p>
        </w:tc>
      </w:tr>
      <w:tr w:rsidR="004D635C" w:rsidRPr="0081396F" w:rsidTr="00624480">
        <w:trPr>
          <w:jc w:val="center"/>
        </w:trPr>
        <w:tc>
          <w:tcPr>
            <w:tcW w:w="1526" w:type="dxa"/>
            <w:shd w:val="clear" w:color="auto" w:fill="auto"/>
          </w:tcPr>
          <w:p w:rsidR="004D635C" w:rsidRPr="0081396F" w:rsidRDefault="004D635C" w:rsidP="00773D87">
            <w:pPr>
              <w:pStyle w:val="p2"/>
              <w:widowControl/>
              <w:ind w:firstLine="0"/>
              <w:rPr>
                <w:rFonts w:ascii="Arial" w:hAnsi="Arial"/>
              </w:rPr>
            </w:pPr>
            <w:r w:rsidRPr="0081396F">
              <w:rPr>
                <w:rFonts w:ascii="Arial" w:hAnsi="Arial"/>
              </w:rPr>
              <w:t>1941-1950</w:t>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100</w:t>
            </w:r>
          </w:p>
        </w:tc>
        <w:tc>
          <w:tcPr>
            <w:tcW w:w="1710" w:type="dxa"/>
            <w:shd w:val="clear" w:color="auto" w:fill="auto"/>
          </w:tcPr>
          <w:p w:rsidR="004D635C" w:rsidRPr="0081396F" w:rsidRDefault="004D635C" w:rsidP="00773D87">
            <w:pPr>
              <w:pStyle w:val="p2"/>
              <w:widowControl/>
              <w:ind w:firstLine="0"/>
              <w:jc w:val="center"/>
              <w:rPr>
                <w:rFonts w:ascii="Arial" w:hAnsi="Arial"/>
              </w:rPr>
            </w:pPr>
          </w:p>
        </w:tc>
        <w:tc>
          <w:tcPr>
            <w:tcW w:w="2970" w:type="dxa"/>
            <w:shd w:val="clear" w:color="auto" w:fill="auto"/>
          </w:tcPr>
          <w:p w:rsidR="004D635C" w:rsidRPr="0081396F" w:rsidRDefault="004D635C" w:rsidP="00773D87">
            <w:pPr>
              <w:pStyle w:val="p2"/>
              <w:widowControl/>
              <w:ind w:firstLine="0"/>
              <w:jc w:val="center"/>
              <w:rPr>
                <w:rFonts w:ascii="Arial" w:hAnsi="Arial"/>
              </w:rPr>
            </w:pPr>
          </w:p>
        </w:tc>
        <w:tc>
          <w:tcPr>
            <w:tcW w:w="1217" w:type="dxa"/>
          </w:tcPr>
          <w:p w:rsidR="004D635C" w:rsidRPr="0081396F" w:rsidRDefault="00FC0E7C" w:rsidP="00773D87">
            <w:pPr>
              <w:pStyle w:val="p2"/>
              <w:widowControl/>
              <w:ind w:firstLine="0"/>
              <w:jc w:val="center"/>
              <w:rPr>
                <w:rFonts w:ascii="Arial" w:hAnsi="Arial"/>
              </w:rPr>
            </w:pPr>
            <w:r>
              <w:rPr>
                <w:rFonts w:ascii="Arial" w:hAnsi="Arial"/>
              </w:rPr>
              <w:t>70</w:t>
            </w:r>
          </w:p>
        </w:tc>
      </w:tr>
      <w:tr w:rsidR="004D635C" w:rsidRPr="0081396F" w:rsidTr="00624480">
        <w:trPr>
          <w:jc w:val="center"/>
        </w:trPr>
        <w:tc>
          <w:tcPr>
            <w:tcW w:w="1526" w:type="dxa"/>
            <w:shd w:val="clear" w:color="auto" w:fill="auto"/>
          </w:tcPr>
          <w:p w:rsidR="004D635C" w:rsidRPr="0081396F" w:rsidRDefault="004D635C" w:rsidP="00773D87">
            <w:pPr>
              <w:pStyle w:val="p2"/>
              <w:widowControl/>
              <w:ind w:firstLine="0"/>
              <w:rPr>
                <w:rFonts w:ascii="Arial" w:hAnsi="Arial"/>
              </w:rPr>
            </w:pPr>
            <w:r w:rsidRPr="0081396F">
              <w:rPr>
                <w:rFonts w:ascii="Arial" w:hAnsi="Arial"/>
              </w:rPr>
              <w:t>1931-1940</w:t>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43</w:t>
            </w:r>
          </w:p>
        </w:tc>
        <w:tc>
          <w:tcPr>
            <w:tcW w:w="1710" w:type="dxa"/>
            <w:shd w:val="clear" w:color="auto" w:fill="auto"/>
          </w:tcPr>
          <w:p w:rsidR="004D635C" w:rsidRPr="0081396F" w:rsidRDefault="004D635C" w:rsidP="00773D87">
            <w:pPr>
              <w:pStyle w:val="p2"/>
              <w:widowControl/>
              <w:ind w:firstLine="0"/>
              <w:jc w:val="center"/>
              <w:rPr>
                <w:rFonts w:ascii="Arial" w:hAnsi="Arial"/>
              </w:rPr>
            </w:pPr>
          </w:p>
        </w:tc>
        <w:tc>
          <w:tcPr>
            <w:tcW w:w="2970" w:type="dxa"/>
            <w:shd w:val="clear" w:color="auto" w:fill="auto"/>
          </w:tcPr>
          <w:p w:rsidR="004D635C" w:rsidRPr="0081396F" w:rsidRDefault="004D635C" w:rsidP="00773D87">
            <w:pPr>
              <w:pStyle w:val="p2"/>
              <w:widowControl/>
              <w:ind w:firstLine="0"/>
              <w:jc w:val="center"/>
              <w:rPr>
                <w:rFonts w:ascii="Arial" w:hAnsi="Arial"/>
              </w:rPr>
            </w:pPr>
          </w:p>
        </w:tc>
        <w:tc>
          <w:tcPr>
            <w:tcW w:w="1217" w:type="dxa"/>
          </w:tcPr>
          <w:p w:rsidR="004D635C" w:rsidRPr="0081396F" w:rsidRDefault="00FC0E7C" w:rsidP="00773D87">
            <w:pPr>
              <w:pStyle w:val="p2"/>
              <w:widowControl/>
              <w:ind w:firstLine="0"/>
              <w:jc w:val="center"/>
              <w:rPr>
                <w:rFonts w:ascii="Arial" w:hAnsi="Arial"/>
              </w:rPr>
            </w:pPr>
            <w:r>
              <w:rPr>
                <w:rFonts w:ascii="Arial" w:hAnsi="Arial"/>
              </w:rPr>
              <w:t>25</w:t>
            </w:r>
          </w:p>
        </w:tc>
      </w:tr>
      <w:tr w:rsidR="004D635C" w:rsidRPr="0081396F" w:rsidTr="00624480">
        <w:trPr>
          <w:jc w:val="center"/>
        </w:trPr>
        <w:tc>
          <w:tcPr>
            <w:tcW w:w="1526" w:type="dxa"/>
            <w:shd w:val="clear" w:color="auto" w:fill="auto"/>
          </w:tcPr>
          <w:p w:rsidR="004D635C" w:rsidRPr="0081396F" w:rsidRDefault="004D635C" w:rsidP="00773D87">
            <w:pPr>
              <w:pStyle w:val="p2"/>
              <w:widowControl/>
              <w:ind w:firstLine="0"/>
              <w:rPr>
                <w:rFonts w:ascii="Arial" w:hAnsi="Arial"/>
              </w:rPr>
            </w:pPr>
            <w:r w:rsidRPr="0081396F">
              <w:rPr>
                <w:rFonts w:ascii="Arial" w:hAnsi="Arial"/>
              </w:rPr>
              <w:t>1921-1930</w:t>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20</w:t>
            </w:r>
            <w:r w:rsidR="00912D64">
              <w:rPr>
                <w:rFonts w:ascii="Arial" w:hAnsi="Arial"/>
              </w:rPr>
              <w:t>2</w:t>
            </w:r>
          </w:p>
        </w:tc>
        <w:tc>
          <w:tcPr>
            <w:tcW w:w="1710" w:type="dxa"/>
            <w:shd w:val="clear" w:color="auto" w:fill="auto"/>
          </w:tcPr>
          <w:p w:rsidR="004D635C" w:rsidRPr="0081396F" w:rsidRDefault="005E1047" w:rsidP="00773D87">
            <w:pPr>
              <w:pStyle w:val="p2"/>
              <w:widowControl/>
              <w:ind w:firstLine="0"/>
              <w:jc w:val="center"/>
              <w:rPr>
                <w:rFonts w:ascii="Arial" w:hAnsi="Arial"/>
              </w:rPr>
            </w:pPr>
            <w:r>
              <w:rPr>
                <w:rFonts w:ascii="Arial" w:hAnsi="Arial"/>
              </w:rPr>
              <w:t xml:space="preserve"> </w:t>
            </w:r>
            <w:r w:rsidR="00FC0E7C">
              <w:rPr>
                <w:rFonts w:ascii="Arial" w:hAnsi="Arial"/>
              </w:rPr>
              <w:t>9</w:t>
            </w:r>
          </w:p>
        </w:tc>
        <w:tc>
          <w:tcPr>
            <w:tcW w:w="2970" w:type="dxa"/>
            <w:shd w:val="clear" w:color="auto" w:fill="auto"/>
          </w:tcPr>
          <w:p w:rsidR="004D635C" w:rsidRPr="0081396F" w:rsidRDefault="004D635C" w:rsidP="00773D87">
            <w:pPr>
              <w:pStyle w:val="p2"/>
              <w:widowControl/>
              <w:ind w:firstLine="0"/>
              <w:jc w:val="center"/>
              <w:rPr>
                <w:rFonts w:ascii="Arial" w:hAnsi="Arial"/>
              </w:rPr>
            </w:pPr>
          </w:p>
        </w:tc>
        <w:tc>
          <w:tcPr>
            <w:tcW w:w="1217" w:type="dxa"/>
          </w:tcPr>
          <w:p w:rsidR="004D635C" w:rsidRPr="0081396F" w:rsidRDefault="00FC0E7C" w:rsidP="00773D87">
            <w:pPr>
              <w:pStyle w:val="p2"/>
              <w:widowControl/>
              <w:ind w:firstLine="0"/>
              <w:jc w:val="center"/>
              <w:rPr>
                <w:rFonts w:ascii="Arial" w:hAnsi="Arial"/>
              </w:rPr>
            </w:pPr>
            <w:r>
              <w:rPr>
                <w:rFonts w:ascii="Arial" w:hAnsi="Arial"/>
              </w:rPr>
              <w:t>1</w:t>
            </w:r>
            <w:r w:rsidR="00912D64">
              <w:rPr>
                <w:rFonts w:ascii="Arial" w:hAnsi="Arial"/>
              </w:rPr>
              <w:t>49</w:t>
            </w:r>
          </w:p>
        </w:tc>
      </w:tr>
      <w:tr w:rsidR="004D635C" w:rsidRPr="0081396F" w:rsidTr="00624480">
        <w:trPr>
          <w:jc w:val="center"/>
        </w:trPr>
        <w:tc>
          <w:tcPr>
            <w:tcW w:w="1526" w:type="dxa"/>
            <w:shd w:val="clear" w:color="auto" w:fill="auto"/>
          </w:tcPr>
          <w:p w:rsidR="004D635C" w:rsidRPr="0081396F" w:rsidRDefault="004D635C" w:rsidP="00773D87">
            <w:pPr>
              <w:pStyle w:val="p2"/>
              <w:widowControl/>
              <w:ind w:firstLine="0"/>
              <w:rPr>
                <w:rFonts w:ascii="Arial" w:hAnsi="Arial"/>
              </w:rPr>
            </w:pPr>
            <w:r w:rsidRPr="0081396F">
              <w:rPr>
                <w:rFonts w:ascii="Arial" w:hAnsi="Arial"/>
              </w:rPr>
              <w:t>1911-1920</w:t>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75</w:t>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21</w:t>
            </w:r>
          </w:p>
        </w:tc>
        <w:tc>
          <w:tcPr>
            <w:tcW w:w="2970" w:type="dxa"/>
            <w:shd w:val="clear" w:color="auto" w:fill="auto"/>
          </w:tcPr>
          <w:p w:rsidR="004D635C" w:rsidRPr="0081396F" w:rsidRDefault="004D635C" w:rsidP="00773D87">
            <w:pPr>
              <w:pStyle w:val="p2"/>
              <w:widowControl/>
              <w:ind w:firstLine="0"/>
              <w:jc w:val="center"/>
              <w:rPr>
                <w:rFonts w:ascii="Arial" w:hAnsi="Arial"/>
              </w:rPr>
            </w:pPr>
          </w:p>
        </w:tc>
        <w:tc>
          <w:tcPr>
            <w:tcW w:w="1217" w:type="dxa"/>
          </w:tcPr>
          <w:p w:rsidR="004D635C" w:rsidRPr="0081396F" w:rsidRDefault="00FC0E7C" w:rsidP="00773D87">
            <w:pPr>
              <w:pStyle w:val="p2"/>
              <w:widowControl/>
              <w:ind w:firstLine="0"/>
              <w:jc w:val="center"/>
              <w:rPr>
                <w:rFonts w:ascii="Arial" w:hAnsi="Arial"/>
              </w:rPr>
            </w:pPr>
            <w:r>
              <w:rPr>
                <w:rFonts w:ascii="Arial" w:hAnsi="Arial"/>
              </w:rPr>
              <w:t>10</w:t>
            </w:r>
          </w:p>
        </w:tc>
      </w:tr>
      <w:tr w:rsidR="004D635C" w:rsidRPr="0081396F" w:rsidTr="00624480">
        <w:trPr>
          <w:jc w:val="center"/>
        </w:trPr>
        <w:tc>
          <w:tcPr>
            <w:tcW w:w="1526" w:type="dxa"/>
            <w:shd w:val="clear" w:color="auto" w:fill="auto"/>
          </w:tcPr>
          <w:p w:rsidR="004D635C" w:rsidRPr="0081396F" w:rsidRDefault="004D635C" w:rsidP="00773D87">
            <w:pPr>
              <w:pStyle w:val="p2"/>
              <w:widowControl/>
              <w:ind w:firstLine="0"/>
              <w:rPr>
                <w:rFonts w:ascii="Arial" w:hAnsi="Arial"/>
              </w:rPr>
            </w:pPr>
            <w:r w:rsidRPr="0081396F">
              <w:rPr>
                <w:rFonts w:ascii="Arial" w:hAnsi="Arial"/>
              </w:rPr>
              <w:t>1900-1910</w:t>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55</w:t>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19</w:t>
            </w:r>
          </w:p>
        </w:tc>
        <w:tc>
          <w:tcPr>
            <w:tcW w:w="2970" w:type="dxa"/>
            <w:shd w:val="clear" w:color="auto" w:fill="auto"/>
          </w:tcPr>
          <w:p w:rsidR="004D635C" w:rsidRPr="0081396F" w:rsidRDefault="004D635C" w:rsidP="00773D87">
            <w:pPr>
              <w:pStyle w:val="p2"/>
              <w:widowControl/>
              <w:ind w:firstLine="0"/>
              <w:jc w:val="center"/>
              <w:rPr>
                <w:rFonts w:ascii="Arial" w:hAnsi="Arial"/>
              </w:rPr>
            </w:pPr>
          </w:p>
        </w:tc>
        <w:tc>
          <w:tcPr>
            <w:tcW w:w="1217" w:type="dxa"/>
          </w:tcPr>
          <w:p w:rsidR="004D635C" w:rsidRPr="0081396F" w:rsidRDefault="00FC0E7C" w:rsidP="00773D87">
            <w:pPr>
              <w:pStyle w:val="p2"/>
              <w:widowControl/>
              <w:ind w:firstLine="0"/>
              <w:jc w:val="center"/>
              <w:rPr>
                <w:rFonts w:ascii="Arial" w:hAnsi="Arial"/>
              </w:rPr>
            </w:pPr>
            <w:r>
              <w:rPr>
                <w:rFonts w:ascii="Arial" w:hAnsi="Arial"/>
              </w:rPr>
              <w:t>6</w:t>
            </w:r>
          </w:p>
        </w:tc>
      </w:tr>
      <w:tr w:rsidR="004D635C" w:rsidRPr="0081396F" w:rsidTr="00624480">
        <w:trPr>
          <w:jc w:val="center"/>
        </w:trPr>
        <w:tc>
          <w:tcPr>
            <w:tcW w:w="1526" w:type="dxa"/>
            <w:shd w:val="clear" w:color="auto" w:fill="auto"/>
          </w:tcPr>
          <w:p w:rsidR="004D635C" w:rsidRPr="0081396F" w:rsidRDefault="004D635C" w:rsidP="00773D87">
            <w:pPr>
              <w:pStyle w:val="p2"/>
              <w:widowControl/>
              <w:ind w:firstLine="0"/>
              <w:rPr>
                <w:rFonts w:ascii="Arial" w:hAnsi="Arial"/>
              </w:rPr>
            </w:pPr>
            <w:r w:rsidRPr="0081396F">
              <w:rPr>
                <w:rFonts w:ascii="Arial" w:hAnsi="Arial"/>
              </w:rPr>
              <w:t>Pre 1</w:t>
            </w:r>
            <w:r w:rsidR="00D566AE">
              <w:rPr>
                <w:rFonts w:ascii="Arial" w:hAnsi="Arial"/>
              </w:rPr>
              <w:t>900</w:t>
            </w:r>
          </w:p>
        </w:tc>
        <w:tc>
          <w:tcPr>
            <w:tcW w:w="1710" w:type="dxa"/>
            <w:shd w:val="clear" w:color="auto" w:fill="auto"/>
          </w:tcPr>
          <w:p w:rsidR="004D635C" w:rsidRPr="0081396F" w:rsidRDefault="006C7D86" w:rsidP="00773D87">
            <w:pPr>
              <w:pStyle w:val="p2"/>
              <w:widowControl/>
              <w:ind w:firstLine="0"/>
              <w:jc w:val="center"/>
              <w:rPr>
                <w:rFonts w:ascii="Arial" w:hAnsi="Arial"/>
              </w:rPr>
            </w:pPr>
            <w:r>
              <w:rPr>
                <w:rFonts w:ascii="Arial" w:hAnsi="Arial"/>
              </w:rPr>
              <w:t>30</w:t>
            </w:r>
          </w:p>
        </w:tc>
        <w:tc>
          <w:tcPr>
            <w:tcW w:w="1710" w:type="dxa"/>
            <w:shd w:val="clear" w:color="auto" w:fill="auto"/>
          </w:tcPr>
          <w:p w:rsidR="004D635C" w:rsidRPr="0081396F" w:rsidRDefault="005E1047" w:rsidP="00773D87">
            <w:pPr>
              <w:pStyle w:val="p2"/>
              <w:widowControl/>
              <w:ind w:firstLine="0"/>
              <w:jc w:val="center"/>
              <w:rPr>
                <w:rFonts w:ascii="Arial" w:hAnsi="Arial"/>
              </w:rPr>
            </w:pPr>
            <w:r>
              <w:rPr>
                <w:rFonts w:ascii="Arial" w:hAnsi="Arial"/>
              </w:rPr>
              <w:t xml:space="preserve">  </w:t>
            </w:r>
            <w:r w:rsidR="00FC0E7C">
              <w:rPr>
                <w:rFonts w:ascii="Arial" w:hAnsi="Arial"/>
              </w:rPr>
              <w:t>9</w:t>
            </w:r>
          </w:p>
        </w:tc>
        <w:tc>
          <w:tcPr>
            <w:tcW w:w="2970" w:type="dxa"/>
            <w:shd w:val="clear" w:color="auto" w:fill="auto"/>
          </w:tcPr>
          <w:p w:rsidR="004D635C" w:rsidRPr="0081396F" w:rsidRDefault="004D635C" w:rsidP="00773D87">
            <w:pPr>
              <w:pStyle w:val="p2"/>
              <w:widowControl/>
              <w:ind w:firstLine="0"/>
              <w:jc w:val="center"/>
              <w:rPr>
                <w:rFonts w:ascii="Arial" w:hAnsi="Arial"/>
              </w:rPr>
            </w:pPr>
          </w:p>
        </w:tc>
        <w:tc>
          <w:tcPr>
            <w:tcW w:w="1217" w:type="dxa"/>
          </w:tcPr>
          <w:p w:rsidR="004D635C" w:rsidRPr="0081396F" w:rsidRDefault="004D635C" w:rsidP="00773D87">
            <w:pPr>
              <w:pStyle w:val="p2"/>
              <w:widowControl/>
              <w:ind w:firstLine="0"/>
              <w:jc w:val="center"/>
              <w:rPr>
                <w:rFonts w:ascii="Arial" w:hAnsi="Arial"/>
              </w:rPr>
            </w:pPr>
          </w:p>
        </w:tc>
      </w:tr>
      <w:tr w:rsidR="004D635C" w:rsidRPr="0081396F" w:rsidTr="00624480">
        <w:trPr>
          <w:jc w:val="center"/>
        </w:trPr>
        <w:tc>
          <w:tcPr>
            <w:tcW w:w="1526" w:type="dxa"/>
            <w:shd w:val="clear" w:color="auto" w:fill="auto"/>
          </w:tcPr>
          <w:p w:rsidR="004D635C" w:rsidRPr="00773D87" w:rsidRDefault="004D635C" w:rsidP="00773D87">
            <w:pPr>
              <w:pStyle w:val="p2"/>
              <w:widowControl/>
              <w:ind w:firstLine="0"/>
              <w:rPr>
                <w:rFonts w:ascii="Arial" w:hAnsi="Arial"/>
                <w:b/>
              </w:rPr>
            </w:pPr>
            <w:r w:rsidRPr="00773D87">
              <w:rPr>
                <w:rFonts w:ascii="Arial" w:hAnsi="Arial"/>
                <w:b/>
              </w:rPr>
              <w:t>Total</w:t>
            </w:r>
            <w:r w:rsidR="00D566AE">
              <w:rPr>
                <w:rFonts w:ascii="Arial" w:hAnsi="Arial"/>
                <w:b/>
              </w:rPr>
              <w:t xml:space="preserve"> Miles</w:t>
            </w:r>
          </w:p>
        </w:tc>
        <w:tc>
          <w:tcPr>
            <w:tcW w:w="1710" w:type="dxa"/>
            <w:shd w:val="clear" w:color="auto" w:fill="auto"/>
          </w:tcPr>
          <w:p w:rsidR="004D635C" w:rsidRPr="0081396F" w:rsidRDefault="006C7D86" w:rsidP="00773D87">
            <w:pPr>
              <w:pStyle w:val="p2"/>
              <w:widowControl/>
              <w:ind w:firstLine="0"/>
              <w:jc w:val="center"/>
              <w:rPr>
                <w:rFonts w:ascii="Arial" w:hAnsi="Arial"/>
              </w:rPr>
            </w:pPr>
            <w:r>
              <w:rPr>
                <w:rFonts w:ascii="Arial" w:hAnsi="Arial"/>
              </w:rPr>
              <w:fldChar w:fldCharType="begin"/>
            </w:r>
            <w:r>
              <w:rPr>
                <w:rFonts w:ascii="Arial" w:hAnsi="Arial"/>
              </w:rPr>
              <w:instrText xml:space="preserve"> =SUM(ABOVE) </w:instrText>
            </w:r>
            <w:r>
              <w:rPr>
                <w:rFonts w:ascii="Arial" w:hAnsi="Arial"/>
              </w:rPr>
              <w:fldChar w:fldCharType="separate"/>
            </w:r>
            <w:r>
              <w:rPr>
                <w:rFonts w:ascii="Arial" w:hAnsi="Arial"/>
                <w:noProof/>
              </w:rPr>
              <w:t>728</w:t>
            </w:r>
            <w:r>
              <w:rPr>
                <w:rFonts w:ascii="Arial" w:hAnsi="Arial"/>
              </w:rPr>
              <w:fldChar w:fldCharType="end"/>
            </w:r>
          </w:p>
        </w:tc>
        <w:tc>
          <w:tcPr>
            <w:tcW w:w="171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fldChar w:fldCharType="begin"/>
            </w:r>
            <w:r>
              <w:rPr>
                <w:rFonts w:ascii="Arial" w:hAnsi="Arial"/>
              </w:rPr>
              <w:instrText xml:space="preserve"> =SUM(ABOVE) </w:instrText>
            </w:r>
            <w:r>
              <w:rPr>
                <w:rFonts w:ascii="Arial" w:hAnsi="Arial"/>
              </w:rPr>
              <w:fldChar w:fldCharType="separate"/>
            </w:r>
            <w:r>
              <w:rPr>
                <w:rFonts w:ascii="Arial" w:hAnsi="Arial"/>
                <w:noProof/>
              </w:rPr>
              <w:t>58</w:t>
            </w:r>
            <w:r>
              <w:rPr>
                <w:rFonts w:ascii="Arial" w:hAnsi="Arial"/>
              </w:rPr>
              <w:fldChar w:fldCharType="end"/>
            </w:r>
          </w:p>
        </w:tc>
        <w:tc>
          <w:tcPr>
            <w:tcW w:w="2970" w:type="dxa"/>
            <w:shd w:val="clear" w:color="auto" w:fill="auto"/>
          </w:tcPr>
          <w:p w:rsidR="004D635C" w:rsidRPr="0081396F" w:rsidRDefault="00FC0E7C" w:rsidP="00773D87">
            <w:pPr>
              <w:pStyle w:val="p2"/>
              <w:widowControl/>
              <w:ind w:firstLine="0"/>
              <w:jc w:val="center"/>
              <w:rPr>
                <w:rFonts w:ascii="Arial" w:hAnsi="Arial"/>
              </w:rPr>
            </w:pPr>
            <w:r>
              <w:rPr>
                <w:rFonts w:ascii="Arial" w:hAnsi="Arial"/>
              </w:rPr>
              <w:t>59</w:t>
            </w:r>
          </w:p>
        </w:tc>
        <w:tc>
          <w:tcPr>
            <w:tcW w:w="1217" w:type="dxa"/>
          </w:tcPr>
          <w:p w:rsidR="004D635C" w:rsidRPr="0081396F" w:rsidRDefault="00912D64" w:rsidP="00773D87">
            <w:pPr>
              <w:pStyle w:val="p2"/>
              <w:widowControl/>
              <w:ind w:firstLine="0"/>
              <w:jc w:val="center"/>
              <w:rPr>
                <w:rFonts w:ascii="Arial" w:hAnsi="Arial"/>
              </w:rPr>
            </w:pPr>
            <w:r>
              <w:rPr>
                <w:rFonts w:ascii="Arial" w:hAnsi="Arial"/>
              </w:rPr>
              <w:fldChar w:fldCharType="begin"/>
            </w:r>
            <w:r>
              <w:rPr>
                <w:rFonts w:ascii="Arial" w:hAnsi="Arial"/>
              </w:rPr>
              <w:instrText xml:space="preserve"> =SUM(above) </w:instrText>
            </w:r>
            <w:r>
              <w:rPr>
                <w:rFonts w:ascii="Arial" w:hAnsi="Arial"/>
              </w:rPr>
              <w:fldChar w:fldCharType="separate"/>
            </w:r>
            <w:r>
              <w:rPr>
                <w:rFonts w:ascii="Arial" w:hAnsi="Arial"/>
                <w:noProof/>
              </w:rPr>
              <w:t>355</w:t>
            </w:r>
            <w:r>
              <w:rPr>
                <w:rFonts w:ascii="Arial" w:hAnsi="Arial"/>
              </w:rPr>
              <w:fldChar w:fldCharType="end"/>
            </w:r>
          </w:p>
        </w:tc>
      </w:tr>
    </w:tbl>
    <w:p w:rsidR="0077455C" w:rsidRDefault="0077455C" w:rsidP="00773D87">
      <w:pPr>
        <w:pStyle w:val="p2"/>
        <w:widowControl/>
        <w:spacing w:line="360" w:lineRule="auto"/>
        <w:ind w:firstLine="0"/>
      </w:pPr>
    </w:p>
    <w:p w:rsidR="00EF378C" w:rsidRPr="0081396F" w:rsidRDefault="00EF378C" w:rsidP="00773D87">
      <w:pPr>
        <w:pStyle w:val="p2"/>
        <w:widowControl/>
        <w:spacing w:line="360" w:lineRule="auto"/>
        <w:ind w:firstLine="0"/>
      </w:pPr>
    </w:p>
    <w:p w:rsidR="0077455C" w:rsidRDefault="0077455C" w:rsidP="00773D87">
      <w:pPr>
        <w:pStyle w:val="p2"/>
        <w:widowControl/>
        <w:spacing w:line="360" w:lineRule="auto"/>
        <w:ind w:firstLine="0"/>
        <w:rPr>
          <w:b/>
          <w:sz w:val="26"/>
          <w:szCs w:val="26"/>
        </w:rPr>
      </w:pPr>
      <w:r w:rsidRPr="00576090">
        <w:rPr>
          <w:b/>
          <w:sz w:val="26"/>
          <w:szCs w:val="26"/>
        </w:rPr>
        <w:t>Comments</w:t>
      </w:r>
    </w:p>
    <w:p w:rsidR="0077455C" w:rsidRPr="00576090" w:rsidRDefault="0077455C" w:rsidP="00773D87">
      <w:pPr>
        <w:pStyle w:val="p2"/>
        <w:widowControl/>
        <w:spacing w:line="360" w:lineRule="auto"/>
        <w:ind w:firstLine="720"/>
        <w:rPr>
          <w:b/>
          <w:sz w:val="26"/>
          <w:szCs w:val="26"/>
        </w:rPr>
      </w:pPr>
    </w:p>
    <w:p w:rsidR="00ED233B" w:rsidRDefault="00ED233B" w:rsidP="00ED233B">
      <w:pPr>
        <w:pStyle w:val="p7"/>
        <w:widowControl/>
        <w:tabs>
          <w:tab w:val="clear" w:pos="1133"/>
          <w:tab w:val="left" w:pos="720"/>
          <w:tab w:val="left" w:pos="1350"/>
          <w:tab w:val="left" w:pos="1440"/>
        </w:tabs>
        <w:spacing w:line="360" w:lineRule="auto"/>
        <w:ind w:left="0" w:firstLine="1440"/>
        <w:rPr>
          <w:sz w:val="26"/>
          <w:szCs w:val="26"/>
        </w:rPr>
      </w:pPr>
      <w:r>
        <w:rPr>
          <w:sz w:val="26"/>
          <w:szCs w:val="26"/>
        </w:rPr>
        <w:t xml:space="preserve">No comments were received regarding the types and ages of eligible property.  </w:t>
      </w:r>
    </w:p>
    <w:p w:rsidR="00ED233B" w:rsidRDefault="00ED233B" w:rsidP="00ED233B">
      <w:pPr>
        <w:pStyle w:val="p7"/>
        <w:widowControl/>
        <w:tabs>
          <w:tab w:val="clear" w:pos="1133"/>
          <w:tab w:val="left" w:pos="720"/>
          <w:tab w:val="left" w:pos="1350"/>
          <w:tab w:val="left" w:pos="1440"/>
        </w:tabs>
        <w:spacing w:line="360" w:lineRule="auto"/>
        <w:ind w:left="0" w:firstLine="1440"/>
        <w:rPr>
          <w:sz w:val="26"/>
          <w:szCs w:val="26"/>
        </w:rPr>
      </w:pPr>
    </w:p>
    <w:p w:rsidR="0077455C"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C266ED">
        <w:rPr>
          <w:b/>
          <w:sz w:val="26"/>
          <w:szCs w:val="26"/>
        </w:rPr>
        <w:t>Resolution</w:t>
      </w:r>
    </w:p>
    <w:p w:rsidR="0077455C" w:rsidRDefault="0077455C" w:rsidP="00773D87">
      <w:pPr>
        <w:pStyle w:val="p2"/>
        <w:keepNext/>
        <w:widowControl/>
        <w:tabs>
          <w:tab w:val="left" w:pos="720"/>
        </w:tabs>
        <w:spacing w:line="360" w:lineRule="auto"/>
        <w:ind w:firstLine="720"/>
        <w:rPr>
          <w:b/>
          <w:sz w:val="26"/>
          <w:szCs w:val="26"/>
        </w:rPr>
      </w:pPr>
    </w:p>
    <w:p w:rsidR="0077455C" w:rsidRDefault="0077455C" w:rsidP="00773D87">
      <w:pPr>
        <w:pStyle w:val="p2"/>
        <w:widowControl/>
        <w:spacing w:line="360" w:lineRule="auto"/>
        <w:ind w:firstLine="1440"/>
        <w:rPr>
          <w:sz w:val="26"/>
          <w:szCs w:val="26"/>
        </w:rPr>
      </w:pPr>
      <w:r>
        <w:rPr>
          <w:sz w:val="26"/>
          <w:szCs w:val="26"/>
        </w:rPr>
        <w:tab/>
        <w:t>Upon review of P</w:t>
      </w:r>
      <w:r w:rsidR="00EF378C">
        <w:rPr>
          <w:sz w:val="26"/>
          <w:szCs w:val="26"/>
        </w:rPr>
        <w:t>ECO</w:t>
      </w:r>
      <w:r>
        <w:rPr>
          <w:sz w:val="26"/>
          <w:szCs w:val="26"/>
        </w:rPr>
        <w:t>’s LTIIP and all supplemental information filed, the Commission finds that the types and ages of eligible property requirements of element one of the Final Implementation Order ha</w:t>
      </w:r>
      <w:r w:rsidR="00C5058D">
        <w:rPr>
          <w:sz w:val="26"/>
          <w:szCs w:val="26"/>
        </w:rPr>
        <w:t>ve</w:t>
      </w:r>
      <w:r>
        <w:rPr>
          <w:sz w:val="26"/>
          <w:szCs w:val="26"/>
        </w:rPr>
        <w:t xml:space="preserve"> been fulfilled.  The Commission </w:t>
      </w:r>
      <w:r>
        <w:rPr>
          <w:sz w:val="26"/>
          <w:szCs w:val="26"/>
        </w:rPr>
        <w:lastRenderedPageBreak/>
        <w:t xml:space="preserve">acknowledges the level of detail contained within the LTIIP for item one conforms to Commission requirements and is presented in a manner that allows for complete and efficient review of, and reference to, these materials.   </w:t>
      </w:r>
    </w:p>
    <w:p w:rsidR="0077455C" w:rsidRPr="002372D6" w:rsidRDefault="00135912" w:rsidP="00135912">
      <w:pPr>
        <w:pStyle w:val="p7"/>
        <w:keepNext/>
        <w:widowControl/>
        <w:tabs>
          <w:tab w:val="clear" w:pos="1133"/>
          <w:tab w:val="left" w:pos="720"/>
          <w:tab w:val="left" w:pos="1350"/>
          <w:tab w:val="left" w:pos="1440"/>
        </w:tabs>
        <w:ind w:left="720" w:firstLine="0"/>
        <w:rPr>
          <w:b/>
          <w:sz w:val="26"/>
          <w:szCs w:val="26"/>
        </w:rPr>
      </w:pPr>
      <w:r>
        <w:rPr>
          <w:b/>
          <w:sz w:val="26"/>
          <w:szCs w:val="26"/>
        </w:rPr>
        <w:t xml:space="preserve">(2) </w:t>
      </w:r>
      <w:r w:rsidR="0077455C" w:rsidRPr="002372D6">
        <w:rPr>
          <w:b/>
          <w:sz w:val="26"/>
          <w:szCs w:val="26"/>
        </w:rPr>
        <w:t>SCHEDULE FOR PLANNED REPAIR AND REPLACEMENT OF ELIGIBLE PROPERTY</w:t>
      </w:r>
    </w:p>
    <w:p w:rsidR="0077455C"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77455C" w:rsidRPr="008A049C"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8A049C">
        <w:rPr>
          <w:b/>
          <w:sz w:val="26"/>
          <w:szCs w:val="26"/>
        </w:rPr>
        <w:t>P</w:t>
      </w:r>
      <w:r w:rsidR="004D635C">
        <w:rPr>
          <w:b/>
          <w:sz w:val="26"/>
          <w:szCs w:val="26"/>
        </w:rPr>
        <w:t>ECO</w:t>
      </w:r>
      <w:r w:rsidRPr="008A049C">
        <w:rPr>
          <w:b/>
          <w:sz w:val="26"/>
          <w:szCs w:val="26"/>
        </w:rPr>
        <w:t xml:space="preserve"> Position </w:t>
      </w:r>
    </w:p>
    <w:p w:rsidR="0077455C"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77455C" w:rsidRDefault="00E331BA" w:rsidP="0005141B">
      <w:pPr>
        <w:pStyle w:val="p7"/>
        <w:widowControl/>
        <w:tabs>
          <w:tab w:val="clear" w:pos="782"/>
          <w:tab w:val="clear" w:pos="1133"/>
        </w:tabs>
        <w:spacing w:line="360" w:lineRule="auto"/>
        <w:ind w:left="0" w:firstLine="1440"/>
        <w:rPr>
          <w:sz w:val="26"/>
          <w:szCs w:val="26"/>
        </w:rPr>
      </w:pPr>
      <w:r>
        <w:rPr>
          <w:sz w:val="26"/>
          <w:szCs w:val="26"/>
        </w:rPr>
        <w:t xml:space="preserve">The Schedule for Planned Replacements can be found in Table </w:t>
      </w:r>
      <w:r w:rsidR="009B34F7">
        <w:rPr>
          <w:sz w:val="26"/>
          <w:szCs w:val="26"/>
        </w:rPr>
        <w:t>4</w:t>
      </w:r>
      <w:r>
        <w:rPr>
          <w:sz w:val="26"/>
          <w:szCs w:val="26"/>
        </w:rPr>
        <w:t xml:space="preserve"> below.  PECO states that the miles of main and number of services replaced for a given level of investment may be different from the estimates in Table </w:t>
      </w:r>
      <w:r w:rsidR="009B34F7">
        <w:rPr>
          <w:sz w:val="26"/>
          <w:szCs w:val="26"/>
        </w:rPr>
        <w:t>4</w:t>
      </w:r>
      <w:r>
        <w:rPr>
          <w:sz w:val="26"/>
          <w:szCs w:val="26"/>
        </w:rPr>
        <w:t xml:space="preserve"> if actual work site conditions are more or less favorable than those assumed for purposes of PECO’s estimates.</w:t>
      </w:r>
    </w:p>
    <w:p w:rsidR="0077455C" w:rsidRDefault="0077455C" w:rsidP="00773D87">
      <w:pPr>
        <w:pStyle w:val="p7"/>
        <w:widowControl/>
        <w:tabs>
          <w:tab w:val="clear" w:pos="1133"/>
          <w:tab w:val="left" w:pos="720"/>
          <w:tab w:val="left" w:pos="1350"/>
          <w:tab w:val="left" w:pos="1440"/>
        </w:tabs>
        <w:spacing w:line="360" w:lineRule="auto"/>
        <w:ind w:left="346" w:hanging="346"/>
        <w:rPr>
          <w:sz w:val="26"/>
          <w:szCs w:val="26"/>
        </w:rPr>
      </w:pPr>
    </w:p>
    <w:p w:rsidR="0077455C" w:rsidRPr="00C80888"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C80888">
        <w:rPr>
          <w:b/>
          <w:sz w:val="26"/>
          <w:szCs w:val="26"/>
        </w:rPr>
        <w:t>Comments</w:t>
      </w:r>
    </w:p>
    <w:p w:rsidR="0077455C"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77455C" w:rsidRDefault="0077455C" w:rsidP="00773D87">
      <w:pPr>
        <w:pStyle w:val="p7"/>
        <w:widowControl/>
        <w:tabs>
          <w:tab w:val="clear" w:pos="1133"/>
          <w:tab w:val="left" w:pos="720"/>
          <w:tab w:val="left" w:pos="1350"/>
          <w:tab w:val="left" w:pos="1440"/>
        </w:tabs>
        <w:spacing w:line="360" w:lineRule="auto"/>
        <w:ind w:left="0" w:firstLine="1440"/>
        <w:rPr>
          <w:sz w:val="26"/>
          <w:szCs w:val="26"/>
        </w:rPr>
      </w:pPr>
      <w:r>
        <w:rPr>
          <w:sz w:val="26"/>
          <w:szCs w:val="26"/>
        </w:rPr>
        <w:t>No comments were received regarding the schedule for planned repair and replacement of eligible property.</w:t>
      </w:r>
    </w:p>
    <w:p w:rsidR="0077455C" w:rsidRDefault="0077455C" w:rsidP="00773D87">
      <w:pPr>
        <w:pStyle w:val="p7"/>
        <w:widowControl/>
        <w:tabs>
          <w:tab w:val="clear" w:pos="1133"/>
          <w:tab w:val="left" w:pos="720"/>
          <w:tab w:val="left" w:pos="1350"/>
          <w:tab w:val="left" w:pos="1440"/>
        </w:tabs>
        <w:spacing w:line="360" w:lineRule="auto"/>
        <w:jc w:val="both"/>
        <w:rPr>
          <w:sz w:val="26"/>
          <w:szCs w:val="26"/>
        </w:rPr>
      </w:pPr>
    </w:p>
    <w:p w:rsidR="0077455C" w:rsidRDefault="0077455C" w:rsidP="00773D87">
      <w:pPr>
        <w:pStyle w:val="p7"/>
        <w:widowControl/>
        <w:tabs>
          <w:tab w:val="clear" w:pos="1133"/>
          <w:tab w:val="left" w:pos="720"/>
          <w:tab w:val="left" w:pos="1350"/>
          <w:tab w:val="left" w:pos="1440"/>
        </w:tabs>
        <w:spacing w:line="360" w:lineRule="auto"/>
        <w:ind w:left="0" w:firstLine="0"/>
        <w:jc w:val="both"/>
        <w:rPr>
          <w:b/>
          <w:sz w:val="26"/>
          <w:szCs w:val="26"/>
        </w:rPr>
      </w:pPr>
      <w:r w:rsidRPr="002372D6">
        <w:rPr>
          <w:b/>
          <w:sz w:val="26"/>
          <w:szCs w:val="26"/>
        </w:rPr>
        <w:t>Resolution</w:t>
      </w:r>
    </w:p>
    <w:p w:rsidR="0077455C" w:rsidRPr="002372D6" w:rsidRDefault="0077455C" w:rsidP="00773D87">
      <w:pPr>
        <w:pStyle w:val="p7"/>
        <w:widowControl/>
        <w:tabs>
          <w:tab w:val="clear" w:pos="1133"/>
          <w:tab w:val="left" w:pos="720"/>
          <w:tab w:val="left" w:pos="1350"/>
          <w:tab w:val="left" w:pos="1440"/>
        </w:tabs>
        <w:spacing w:line="360" w:lineRule="auto"/>
        <w:jc w:val="both"/>
        <w:rPr>
          <w:b/>
          <w:sz w:val="26"/>
          <w:szCs w:val="26"/>
        </w:rPr>
      </w:pPr>
    </w:p>
    <w:p w:rsidR="0077455C" w:rsidRDefault="0077455C" w:rsidP="00773D87">
      <w:pPr>
        <w:pStyle w:val="p2"/>
        <w:widowControl/>
        <w:spacing w:line="360" w:lineRule="auto"/>
        <w:ind w:firstLine="1440"/>
        <w:rPr>
          <w:sz w:val="26"/>
          <w:szCs w:val="26"/>
        </w:rPr>
      </w:pPr>
      <w:r>
        <w:rPr>
          <w:sz w:val="26"/>
          <w:szCs w:val="26"/>
        </w:rPr>
        <w:tab/>
        <w:t>Upon review of P</w:t>
      </w:r>
      <w:r w:rsidR="00EF378C">
        <w:rPr>
          <w:sz w:val="26"/>
          <w:szCs w:val="26"/>
        </w:rPr>
        <w:t>ECO</w:t>
      </w:r>
      <w:r>
        <w:rPr>
          <w:sz w:val="26"/>
          <w:szCs w:val="26"/>
        </w:rPr>
        <w:t>’s LTIIP and all supplemental information filed, the Commission finds that the schedule for planned repair and replacement of eligible property requirements of element two of the Final Implementation Order</w:t>
      </w:r>
      <w:r w:rsidR="00773D87">
        <w:rPr>
          <w:sz w:val="26"/>
          <w:szCs w:val="26"/>
        </w:rPr>
        <w:t xml:space="preserve"> </w:t>
      </w:r>
      <w:r>
        <w:rPr>
          <w:sz w:val="26"/>
          <w:szCs w:val="26"/>
        </w:rPr>
        <w:t xml:space="preserve">has been fulfilled.  The Commission acknowledges the level of detail contained within the LTIIP for item two conforms to Commission requirements and is presented in a manner that allows for complete and efficient review of, and reference to, these materials.   </w:t>
      </w:r>
    </w:p>
    <w:p w:rsidR="006B25C0" w:rsidRDefault="006B25C0">
      <w:pPr>
        <w:widowControl/>
        <w:autoSpaceDE/>
        <w:autoSpaceDN/>
        <w:adjustRightInd/>
        <w:rPr>
          <w:sz w:val="26"/>
          <w:szCs w:val="26"/>
        </w:rPr>
      </w:pPr>
      <w:r>
        <w:rPr>
          <w:sz w:val="26"/>
          <w:szCs w:val="26"/>
        </w:rPr>
        <w:br w:type="page"/>
      </w:r>
    </w:p>
    <w:p w:rsidR="0077455C" w:rsidRPr="00B350F2" w:rsidRDefault="00135912" w:rsidP="00135912">
      <w:pPr>
        <w:pStyle w:val="p7"/>
        <w:widowControl/>
        <w:tabs>
          <w:tab w:val="clear" w:pos="1133"/>
          <w:tab w:val="left" w:pos="720"/>
          <w:tab w:val="left" w:pos="1350"/>
          <w:tab w:val="left" w:pos="1440"/>
          <w:tab w:val="left" w:pos="1530"/>
        </w:tabs>
        <w:spacing w:line="360" w:lineRule="auto"/>
        <w:ind w:left="720" w:firstLine="0"/>
        <w:rPr>
          <w:b/>
          <w:sz w:val="26"/>
          <w:szCs w:val="26"/>
        </w:rPr>
      </w:pPr>
      <w:r>
        <w:rPr>
          <w:b/>
          <w:sz w:val="26"/>
          <w:szCs w:val="26"/>
        </w:rPr>
        <w:lastRenderedPageBreak/>
        <w:t xml:space="preserve">(3) </w:t>
      </w:r>
      <w:r w:rsidR="0077455C" w:rsidRPr="00B350F2">
        <w:rPr>
          <w:b/>
          <w:sz w:val="26"/>
          <w:szCs w:val="26"/>
        </w:rPr>
        <w:t>LOCATION OF THE ELIGIBLE PROPERTY</w:t>
      </w:r>
    </w:p>
    <w:p w:rsidR="0077455C" w:rsidRDefault="0077455C" w:rsidP="00773D87">
      <w:pPr>
        <w:pStyle w:val="p7"/>
        <w:widowControl/>
        <w:tabs>
          <w:tab w:val="clear" w:pos="1133"/>
          <w:tab w:val="left" w:pos="720"/>
          <w:tab w:val="left" w:pos="1350"/>
          <w:tab w:val="left" w:pos="1440"/>
          <w:tab w:val="left" w:pos="1530"/>
        </w:tabs>
        <w:spacing w:line="360" w:lineRule="auto"/>
        <w:jc w:val="both"/>
        <w:rPr>
          <w:sz w:val="26"/>
          <w:szCs w:val="26"/>
        </w:rPr>
      </w:pPr>
    </w:p>
    <w:p w:rsidR="0077455C" w:rsidRPr="00B350F2" w:rsidRDefault="00083437"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Pr>
          <w:b/>
          <w:sz w:val="26"/>
          <w:szCs w:val="26"/>
        </w:rPr>
        <w:t>PECO</w:t>
      </w:r>
      <w:r w:rsidR="0077455C" w:rsidRPr="00B350F2">
        <w:rPr>
          <w:b/>
          <w:sz w:val="26"/>
          <w:szCs w:val="26"/>
        </w:rPr>
        <w:t xml:space="preserve"> Position </w:t>
      </w:r>
    </w:p>
    <w:p w:rsidR="0077455C" w:rsidRPr="00B350F2" w:rsidRDefault="0077455C" w:rsidP="00773D87">
      <w:pPr>
        <w:pStyle w:val="p7"/>
        <w:widowControl/>
        <w:tabs>
          <w:tab w:val="clear" w:pos="1133"/>
          <w:tab w:val="left" w:pos="720"/>
          <w:tab w:val="left" w:pos="1350"/>
          <w:tab w:val="left" w:pos="1440"/>
          <w:tab w:val="left" w:pos="1530"/>
        </w:tabs>
        <w:spacing w:line="360" w:lineRule="auto"/>
        <w:ind w:left="0" w:firstLine="0"/>
        <w:rPr>
          <w:b/>
          <w:sz w:val="26"/>
          <w:szCs w:val="26"/>
        </w:rPr>
      </w:pPr>
    </w:p>
    <w:p w:rsidR="0077455C" w:rsidRDefault="00D7225E"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Total e</w:t>
      </w:r>
      <w:r w:rsidR="0077455C">
        <w:rPr>
          <w:sz w:val="26"/>
          <w:szCs w:val="26"/>
        </w:rPr>
        <w:t xml:space="preserve">ligible property </w:t>
      </w:r>
      <w:r>
        <w:rPr>
          <w:sz w:val="26"/>
          <w:szCs w:val="26"/>
        </w:rPr>
        <w:t xml:space="preserve">(including property that is the focus of this LTIIP) </w:t>
      </w:r>
      <w:r w:rsidR="0077455C">
        <w:rPr>
          <w:sz w:val="26"/>
          <w:szCs w:val="26"/>
        </w:rPr>
        <w:t xml:space="preserve">is located throughout </w:t>
      </w:r>
      <w:r w:rsidR="00083437">
        <w:rPr>
          <w:sz w:val="26"/>
          <w:szCs w:val="26"/>
        </w:rPr>
        <w:t xml:space="preserve">PECO’s territory </w:t>
      </w:r>
      <w:r w:rsidR="0077455C">
        <w:rPr>
          <w:sz w:val="26"/>
          <w:szCs w:val="26"/>
        </w:rPr>
        <w:t>as follows:</w:t>
      </w:r>
    </w:p>
    <w:p w:rsidR="0077455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rsidR="0077455C" w:rsidRPr="005E1047" w:rsidRDefault="00CA2B23"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5E1047">
        <w:rPr>
          <w:b/>
          <w:sz w:val="26"/>
          <w:szCs w:val="26"/>
        </w:rPr>
        <w:t xml:space="preserve">Table 2 Location of </w:t>
      </w:r>
      <w:r w:rsidR="00083437" w:rsidRPr="005E1047">
        <w:rPr>
          <w:b/>
          <w:sz w:val="26"/>
          <w:szCs w:val="26"/>
        </w:rPr>
        <w:t>Mains</w:t>
      </w:r>
      <w:r w:rsidRPr="005E1047">
        <w:rPr>
          <w:b/>
          <w:sz w:val="26"/>
          <w:szCs w:val="26"/>
        </w:rPr>
        <w:t xml:space="preserve"> to be Replaced</w:t>
      </w:r>
    </w:p>
    <w:p w:rsidR="00083437" w:rsidRDefault="00083437" w:rsidP="00773D87">
      <w:pPr>
        <w:pStyle w:val="p7"/>
        <w:widowControl/>
        <w:tabs>
          <w:tab w:val="clear" w:pos="1133"/>
          <w:tab w:val="left" w:pos="720"/>
          <w:tab w:val="left" w:pos="1350"/>
          <w:tab w:val="left" w:pos="1440"/>
          <w:tab w:val="left" w:pos="1530"/>
        </w:tabs>
        <w:spacing w:line="360" w:lineRule="auto"/>
        <w:ind w:left="0" w:firstLine="0"/>
        <w:rPr>
          <w:sz w:val="26"/>
          <w:szCs w:val="26"/>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83437" w:rsidTr="00083437">
        <w:tc>
          <w:tcPr>
            <w:tcW w:w="1596"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083437" w:rsidRDefault="00083437"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County</w:t>
            </w:r>
          </w:p>
        </w:tc>
        <w:tc>
          <w:tcPr>
            <w:tcW w:w="1596" w:type="dxa"/>
          </w:tcPr>
          <w:p w:rsidR="00083437" w:rsidRDefault="00083437" w:rsidP="00EB6C7C">
            <w:pPr>
              <w:pStyle w:val="p7"/>
              <w:widowControl/>
              <w:tabs>
                <w:tab w:val="clear" w:pos="1133"/>
                <w:tab w:val="left" w:pos="720"/>
                <w:tab w:val="left" w:pos="1350"/>
                <w:tab w:val="left" w:pos="1440"/>
                <w:tab w:val="left" w:pos="1530"/>
              </w:tabs>
              <w:spacing w:line="360" w:lineRule="auto"/>
              <w:ind w:left="0" w:firstLine="0"/>
              <w:jc w:val="center"/>
              <w:rPr>
                <w:sz w:val="26"/>
                <w:szCs w:val="26"/>
              </w:rPr>
            </w:pPr>
            <w:r>
              <w:rPr>
                <w:sz w:val="26"/>
                <w:szCs w:val="26"/>
              </w:rPr>
              <w:t>Bare Steel (Miles)</w:t>
            </w:r>
          </w:p>
        </w:tc>
        <w:tc>
          <w:tcPr>
            <w:tcW w:w="1596" w:type="dxa"/>
          </w:tcPr>
          <w:p w:rsidR="00083437" w:rsidRDefault="00083437" w:rsidP="00EB6C7C">
            <w:pPr>
              <w:pStyle w:val="p7"/>
              <w:widowControl/>
              <w:tabs>
                <w:tab w:val="clear" w:pos="1133"/>
                <w:tab w:val="left" w:pos="720"/>
                <w:tab w:val="left" w:pos="1350"/>
                <w:tab w:val="left" w:pos="1440"/>
                <w:tab w:val="left" w:pos="1530"/>
              </w:tabs>
              <w:spacing w:line="360" w:lineRule="auto"/>
              <w:ind w:left="0" w:firstLine="0"/>
              <w:jc w:val="center"/>
              <w:rPr>
                <w:sz w:val="26"/>
                <w:szCs w:val="26"/>
              </w:rPr>
            </w:pPr>
            <w:r>
              <w:rPr>
                <w:sz w:val="26"/>
                <w:szCs w:val="26"/>
              </w:rPr>
              <w:t>Wrought Iron (Miles)</w:t>
            </w:r>
          </w:p>
        </w:tc>
        <w:tc>
          <w:tcPr>
            <w:tcW w:w="1596" w:type="dxa"/>
          </w:tcPr>
          <w:p w:rsidR="00083437" w:rsidRDefault="00083437" w:rsidP="00EB6C7C">
            <w:pPr>
              <w:pStyle w:val="p7"/>
              <w:widowControl/>
              <w:tabs>
                <w:tab w:val="clear" w:pos="1133"/>
                <w:tab w:val="left" w:pos="720"/>
                <w:tab w:val="left" w:pos="1350"/>
                <w:tab w:val="left" w:pos="1440"/>
                <w:tab w:val="left" w:pos="1530"/>
              </w:tabs>
              <w:spacing w:line="360" w:lineRule="auto"/>
              <w:ind w:left="0" w:firstLine="0"/>
              <w:jc w:val="center"/>
              <w:rPr>
                <w:sz w:val="26"/>
                <w:szCs w:val="26"/>
              </w:rPr>
            </w:pPr>
            <w:r>
              <w:rPr>
                <w:sz w:val="26"/>
                <w:szCs w:val="26"/>
              </w:rPr>
              <w:t>Cast Iron (Miles)</w:t>
            </w:r>
          </w:p>
        </w:tc>
        <w:tc>
          <w:tcPr>
            <w:tcW w:w="1596" w:type="dxa"/>
          </w:tcPr>
          <w:p w:rsidR="00083437" w:rsidRDefault="00083437" w:rsidP="00EB6C7C">
            <w:pPr>
              <w:pStyle w:val="p7"/>
              <w:widowControl/>
              <w:tabs>
                <w:tab w:val="clear" w:pos="1133"/>
                <w:tab w:val="left" w:pos="720"/>
                <w:tab w:val="left" w:pos="1350"/>
                <w:tab w:val="left" w:pos="1440"/>
                <w:tab w:val="left" w:pos="1530"/>
              </w:tabs>
              <w:spacing w:line="360" w:lineRule="auto"/>
              <w:ind w:left="0" w:firstLine="0"/>
              <w:jc w:val="center"/>
              <w:rPr>
                <w:sz w:val="26"/>
                <w:szCs w:val="26"/>
              </w:rPr>
            </w:pPr>
            <w:r>
              <w:rPr>
                <w:sz w:val="26"/>
                <w:szCs w:val="26"/>
              </w:rPr>
              <w:t>Ductile Iron (Miles)</w:t>
            </w:r>
          </w:p>
        </w:tc>
        <w:tc>
          <w:tcPr>
            <w:tcW w:w="1596" w:type="dxa"/>
          </w:tcPr>
          <w:p w:rsidR="00083437" w:rsidRDefault="00083437" w:rsidP="00EB6C7C">
            <w:pPr>
              <w:pStyle w:val="p7"/>
              <w:widowControl/>
              <w:tabs>
                <w:tab w:val="clear" w:pos="1133"/>
                <w:tab w:val="left" w:pos="720"/>
                <w:tab w:val="left" w:pos="1350"/>
                <w:tab w:val="left" w:pos="1440"/>
                <w:tab w:val="left" w:pos="1530"/>
              </w:tabs>
              <w:spacing w:line="360" w:lineRule="auto"/>
              <w:ind w:left="0" w:firstLine="0"/>
              <w:jc w:val="center"/>
              <w:rPr>
                <w:sz w:val="26"/>
                <w:szCs w:val="26"/>
              </w:rPr>
            </w:pPr>
            <w:r>
              <w:rPr>
                <w:sz w:val="26"/>
                <w:szCs w:val="26"/>
              </w:rPr>
              <w:t>Total Miles</w:t>
            </w:r>
          </w:p>
        </w:tc>
      </w:tr>
      <w:tr w:rsidR="00083437" w:rsidTr="00083437">
        <w:tc>
          <w:tcPr>
            <w:tcW w:w="1596" w:type="dxa"/>
          </w:tcPr>
          <w:p w:rsidR="00083437" w:rsidRDefault="00083437"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Bucks</w:t>
            </w:r>
          </w:p>
        </w:tc>
        <w:tc>
          <w:tcPr>
            <w:tcW w:w="1596" w:type="dxa"/>
          </w:tcPr>
          <w:p w:rsidR="00083437"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47.8</w:t>
            </w:r>
          </w:p>
        </w:tc>
        <w:tc>
          <w:tcPr>
            <w:tcW w:w="1596" w:type="dxa"/>
          </w:tcPr>
          <w:p w:rsidR="00083437"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1.7</w:t>
            </w:r>
          </w:p>
        </w:tc>
        <w:tc>
          <w:tcPr>
            <w:tcW w:w="1596" w:type="dxa"/>
          </w:tcPr>
          <w:p w:rsidR="00083437"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25.</w:t>
            </w:r>
            <w:r w:rsidR="00912D64">
              <w:rPr>
                <w:sz w:val="26"/>
                <w:szCs w:val="26"/>
              </w:rPr>
              <w:t>2</w:t>
            </w:r>
          </w:p>
        </w:tc>
        <w:tc>
          <w:tcPr>
            <w:tcW w:w="1596" w:type="dxa"/>
          </w:tcPr>
          <w:p w:rsidR="00083437"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2.8</w:t>
            </w:r>
          </w:p>
        </w:tc>
        <w:tc>
          <w:tcPr>
            <w:tcW w:w="1596" w:type="dxa"/>
          </w:tcPr>
          <w:p w:rsidR="00083437"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77.</w:t>
            </w:r>
            <w:r w:rsidR="00912D64">
              <w:rPr>
                <w:sz w:val="26"/>
                <w:szCs w:val="26"/>
              </w:rPr>
              <w:t>5</w:t>
            </w:r>
          </w:p>
        </w:tc>
      </w:tr>
      <w:tr w:rsidR="00EB6C7C" w:rsidTr="00083437">
        <w:tc>
          <w:tcPr>
            <w:tcW w:w="1596"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Chester</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46.3</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4.2</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55.4</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9.8</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115.7</w:t>
            </w:r>
          </w:p>
        </w:tc>
      </w:tr>
      <w:tr w:rsidR="00EB6C7C" w:rsidTr="00083437">
        <w:tc>
          <w:tcPr>
            <w:tcW w:w="1596"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Delaware</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82.2</w:t>
            </w:r>
          </w:p>
        </w:tc>
        <w:tc>
          <w:tcPr>
            <w:tcW w:w="1596" w:type="dxa"/>
          </w:tcPr>
          <w:p w:rsidR="00EB6C7C"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34.</w:t>
            </w:r>
            <w:r w:rsidR="00912D64">
              <w:rPr>
                <w:sz w:val="26"/>
                <w:szCs w:val="26"/>
              </w:rPr>
              <w:t>2</w:t>
            </w:r>
          </w:p>
        </w:tc>
        <w:tc>
          <w:tcPr>
            <w:tcW w:w="1596" w:type="dxa"/>
          </w:tcPr>
          <w:p w:rsidR="00EB6C7C"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3</w:t>
            </w:r>
            <w:r w:rsidR="00912D64">
              <w:rPr>
                <w:sz w:val="26"/>
                <w:szCs w:val="26"/>
              </w:rPr>
              <w:t>84.3</w:t>
            </w:r>
          </w:p>
        </w:tc>
        <w:tc>
          <w:tcPr>
            <w:tcW w:w="1596" w:type="dxa"/>
          </w:tcPr>
          <w:p w:rsidR="00EB6C7C"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1</w:t>
            </w:r>
            <w:r w:rsidR="00912D64">
              <w:rPr>
                <w:sz w:val="26"/>
                <w:szCs w:val="26"/>
              </w:rPr>
              <w:t>4.8</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5</w:t>
            </w:r>
            <w:r w:rsidR="00912D64">
              <w:rPr>
                <w:sz w:val="26"/>
                <w:szCs w:val="26"/>
              </w:rPr>
              <w:t>15.5</w:t>
            </w:r>
          </w:p>
        </w:tc>
      </w:tr>
      <w:tr w:rsidR="00EB6C7C" w:rsidTr="00083437">
        <w:tc>
          <w:tcPr>
            <w:tcW w:w="1596"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Lancaster</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0.4</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0.4</w:t>
            </w:r>
          </w:p>
        </w:tc>
      </w:tr>
      <w:tr w:rsidR="00EB6C7C" w:rsidTr="00083437">
        <w:tc>
          <w:tcPr>
            <w:tcW w:w="1596"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Montgomery</w:t>
            </w:r>
          </w:p>
        </w:tc>
        <w:tc>
          <w:tcPr>
            <w:tcW w:w="1596" w:type="dxa"/>
          </w:tcPr>
          <w:p w:rsidR="00EB6C7C"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17</w:t>
            </w:r>
            <w:r w:rsidR="00912D64">
              <w:rPr>
                <w:sz w:val="26"/>
                <w:szCs w:val="26"/>
              </w:rPr>
              <w:t>8</w:t>
            </w:r>
            <w:r>
              <w:rPr>
                <w:sz w:val="26"/>
                <w:szCs w:val="26"/>
              </w:rPr>
              <w:t>.8</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18.0</w:t>
            </w:r>
          </w:p>
        </w:tc>
        <w:tc>
          <w:tcPr>
            <w:tcW w:w="1596" w:type="dxa"/>
          </w:tcPr>
          <w:p w:rsidR="00EB6C7C"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26</w:t>
            </w:r>
            <w:r w:rsidR="00912D64">
              <w:rPr>
                <w:sz w:val="26"/>
                <w:szCs w:val="26"/>
              </w:rPr>
              <w:t>3.4</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31.1</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4</w:t>
            </w:r>
            <w:r w:rsidR="00912D64">
              <w:rPr>
                <w:sz w:val="26"/>
                <w:szCs w:val="26"/>
              </w:rPr>
              <w:t>90.7</w:t>
            </w:r>
          </w:p>
        </w:tc>
      </w:tr>
      <w:tr w:rsidR="00EB6C7C" w:rsidTr="00083437">
        <w:tc>
          <w:tcPr>
            <w:tcW w:w="1596"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Total Miles</w:t>
            </w:r>
          </w:p>
        </w:tc>
        <w:tc>
          <w:tcPr>
            <w:tcW w:w="1596" w:type="dxa"/>
          </w:tcPr>
          <w:p w:rsidR="00EB6C7C"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35</w:t>
            </w:r>
            <w:r w:rsidR="00912D64">
              <w:rPr>
                <w:sz w:val="26"/>
                <w:szCs w:val="26"/>
              </w:rPr>
              <w:t>4</w:t>
            </w:r>
            <w:r>
              <w:rPr>
                <w:sz w:val="26"/>
                <w:szCs w:val="26"/>
              </w:rPr>
              <w:t>.</w:t>
            </w:r>
            <w:r w:rsidR="00912D64">
              <w:rPr>
                <w:sz w:val="26"/>
                <w:szCs w:val="26"/>
              </w:rPr>
              <w:t>9</w:t>
            </w:r>
          </w:p>
        </w:tc>
        <w:tc>
          <w:tcPr>
            <w:tcW w:w="1596" w:type="dxa"/>
          </w:tcPr>
          <w:p w:rsidR="00EB6C7C"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5</w:t>
            </w:r>
            <w:r w:rsidR="00912D64">
              <w:rPr>
                <w:sz w:val="26"/>
                <w:szCs w:val="26"/>
              </w:rPr>
              <w:t>8.1</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7</w:t>
            </w:r>
            <w:r w:rsidR="00912D64">
              <w:rPr>
                <w:sz w:val="26"/>
                <w:szCs w:val="26"/>
              </w:rPr>
              <w:t>28.3</w:t>
            </w:r>
          </w:p>
        </w:tc>
        <w:tc>
          <w:tcPr>
            <w:tcW w:w="1596" w:type="dxa"/>
          </w:tcPr>
          <w:p w:rsidR="00EB6C7C" w:rsidRDefault="00EB6C7C" w:rsidP="00912D64">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5</w:t>
            </w:r>
            <w:r w:rsidR="00912D64">
              <w:rPr>
                <w:sz w:val="26"/>
                <w:szCs w:val="26"/>
              </w:rPr>
              <w:t>8.5</w:t>
            </w:r>
          </w:p>
        </w:tc>
        <w:tc>
          <w:tcPr>
            <w:tcW w:w="1596"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1,1</w:t>
            </w:r>
            <w:r w:rsidR="00912D64">
              <w:rPr>
                <w:sz w:val="26"/>
                <w:szCs w:val="26"/>
              </w:rPr>
              <w:t>99.8</w:t>
            </w:r>
          </w:p>
        </w:tc>
      </w:tr>
    </w:tbl>
    <w:p w:rsidR="00083437" w:rsidRDefault="00083437"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FF785D" w:rsidRPr="005E1047" w:rsidRDefault="00CA0D48"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5E1047">
        <w:rPr>
          <w:b/>
          <w:sz w:val="26"/>
          <w:szCs w:val="26"/>
        </w:rPr>
        <w:t>Bare Steel Services</w:t>
      </w:r>
    </w:p>
    <w:p w:rsidR="00CA0D48" w:rsidRDefault="00CA0D48"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FF785D" w:rsidRDefault="00FF785D"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 xml:space="preserve">PECO will modernize all of its bare steel </w:t>
      </w:r>
      <w:r w:rsidR="00CA0D48">
        <w:rPr>
          <w:sz w:val="26"/>
          <w:szCs w:val="26"/>
        </w:rPr>
        <w:t>customer</w:t>
      </w:r>
      <w:r>
        <w:rPr>
          <w:sz w:val="26"/>
          <w:szCs w:val="26"/>
        </w:rPr>
        <w:t xml:space="preserve"> service lines.  </w:t>
      </w:r>
      <w:r w:rsidR="00CA0D48">
        <w:rPr>
          <w:sz w:val="26"/>
          <w:szCs w:val="26"/>
        </w:rPr>
        <w:t>(PECO owns and maintains customer service lines from the main to the meter.)  Bare steel customer service lines are subject to corrosion like bare steel mains.  Some bare steel service lines will be modernized along with the mains – to which they are attached – that are being replaced under the LTIIP.  The remaining bare steel service lines will be prioritized to stay ahead of any repaving projects, areas prone to blockage, and area</w:t>
      </w:r>
      <w:r w:rsidR="005E1047">
        <w:rPr>
          <w:sz w:val="26"/>
          <w:szCs w:val="26"/>
        </w:rPr>
        <w:t>s</w:t>
      </w:r>
      <w:r w:rsidR="00CA0D48">
        <w:rPr>
          <w:sz w:val="26"/>
          <w:szCs w:val="26"/>
        </w:rPr>
        <w:t xml:space="preserve"> that have a previous leak history.  LTTIP at 22.</w:t>
      </w:r>
    </w:p>
    <w:p w:rsidR="00CA0D48" w:rsidRDefault="00CA0D48"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D566AE" w:rsidRDefault="00D566AE"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CA0D48" w:rsidRPr="005E1047" w:rsidRDefault="00CA0D48" w:rsidP="00CA0D48">
      <w:pPr>
        <w:pStyle w:val="p7"/>
        <w:widowControl/>
        <w:tabs>
          <w:tab w:val="clear" w:pos="1133"/>
          <w:tab w:val="left" w:pos="720"/>
          <w:tab w:val="left" w:pos="1350"/>
          <w:tab w:val="left" w:pos="1440"/>
          <w:tab w:val="left" w:pos="1530"/>
        </w:tabs>
        <w:spacing w:line="360" w:lineRule="auto"/>
        <w:ind w:left="0" w:firstLine="0"/>
        <w:rPr>
          <w:b/>
          <w:sz w:val="26"/>
          <w:szCs w:val="26"/>
        </w:rPr>
      </w:pPr>
      <w:r w:rsidRPr="005E1047">
        <w:rPr>
          <w:b/>
          <w:sz w:val="26"/>
          <w:szCs w:val="26"/>
        </w:rPr>
        <w:lastRenderedPageBreak/>
        <w:t>Table 3 Location of Bare Steel Services to be Replaced</w:t>
      </w:r>
    </w:p>
    <w:p w:rsidR="00CA0D48" w:rsidRDefault="00CA0D48"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p>
    <w:tbl>
      <w:tblPr>
        <w:tblStyle w:val="TableGrid"/>
        <w:tblW w:w="0" w:type="auto"/>
        <w:tblInd w:w="2898" w:type="dxa"/>
        <w:tblLook w:val="04A0" w:firstRow="1" w:lastRow="0" w:firstColumn="1" w:lastColumn="0" w:noHBand="0" w:noVBand="1"/>
      </w:tblPr>
      <w:tblGrid>
        <w:gridCol w:w="1890"/>
        <w:gridCol w:w="1620"/>
      </w:tblGrid>
      <w:tr w:rsidR="00EB6C7C" w:rsidTr="00EB6C7C">
        <w:tc>
          <w:tcPr>
            <w:tcW w:w="1890"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center"/>
              <w:rPr>
                <w:sz w:val="26"/>
                <w:szCs w:val="26"/>
              </w:rPr>
            </w:pPr>
          </w:p>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center"/>
              <w:rPr>
                <w:sz w:val="26"/>
                <w:szCs w:val="26"/>
              </w:rPr>
            </w:pPr>
          </w:p>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center"/>
              <w:rPr>
                <w:sz w:val="26"/>
                <w:szCs w:val="26"/>
              </w:rPr>
            </w:pPr>
            <w:r>
              <w:rPr>
                <w:sz w:val="26"/>
                <w:szCs w:val="26"/>
              </w:rPr>
              <w:t>County</w:t>
            </w:r>
          </w:p>
        </w:tc>
        <w:tc>
          <w:tcPr>
            <w:tcW w:w="1620"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center"/>
              <w:rPr>
                <w:sz w:val="26"/>
                <w:szCs w:val="26"/>
              </w:rPr>
            </w:pPr>
            <w:r>
              <w:rPr>
                <w:sz w:val="26"/>
                <w:szCs w:val="26"/>
              </w:rPr>
              <w:t>Number of Bare Steel Services</w:t>
            </w:r>
          </w:p>
        </w:tc>
      </w:tr>
      <w:tr w:rsidR="00EB6C7C" w:rsidTr="00EB6C7C">
        <w:tc>
          <w:tcPr>
            <w:tcW w:w="1890"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Bucks</w:t>
            </w:r>
          </w:p>
        </w:tc>
        <w:tc>
          <w:tcPr>
            <w:tcW w:w="1620"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4,019</w:t>
            </w:r>
          </w:p>
        </w:tc>
      </w:tr>
      <w:tr w:rsidR="00EB6C7C" w:rsidTr="00EB6C7C">
        <w:tc>
          <w:tcPr>
            <w:tcW w:w="1890"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Chester</w:t>
            </w:r>
          </w:p>
        </w:tc>
        <w:tc>
          <w:tcPr>
            <w:tcW w:w="1620"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3,311</w:t>
            </w:r>
          </w:p>
        </w:tc>
      </w:tr>
      <w:tr w:rsidR="00EB6C7C" w:rsidTr="00EB6C7C">
        <w:tc>
          <w:tcPr>
            <w:tcW w:w="1890"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Delaware</w:t>
            </w:r>
          </w:p>
        </w:tc>
        <w:tc>
          <w:tcPr>
            <w:tcW w:w="1620"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16,969</w:t>
            </w:r>
          </w:p>
        </w:tc>
      </w:tr>
      <w:tr w:rsidR="00EB6C7C" w:rsidTr="00EB6C7C">
        <w:tc>
          <w:tcPr>
            <w:tcW w:w="1890"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Lancaster</w:t>
            </w:r>
          </w:p>
        </w:tc>
        <w:tc>
          <w:tcPr>
            <w:tcW w:w="1620"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17</w:t>
            </w:r>
          </w:p>
        </w:tc>
      </w:tr>
      <w:tr w:rsidR="00EB6C7C" w:rsidTr="00EB6C7C">
        <w:tc>
          <w:tcPr>
            <w:tcW w:w="1890"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Montgomery</w:t>
            </w:r>
          </w:p>
        </w:tc>
        <w:tc>
          <w:tcPr>
            <w:tcW w:w="1620"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13,000</w:t>
            </w:r>
          </w:p>
        </w:tc>
      </w:tr>
      <w:tr w:rsidR="00EB6C7C" w:rsidTr="00EB6C7C">
        <w:tc>
          <w:tcPr>
            <w:tcW w:w="1890" w:type="dxa"/>
          </w:tcPr>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Total</w:t>
            </w:r>
          </w:p>
        </w:tc>
        <w:tc>
          <w:tcPr>
            <w:tcW w:w="1620" w:type="dxa"/>
          </w:tcPr>
          <w:p w:rsidR="00EB6C7C" w:rsidRDefault="00EB6C7C" w:rsidP="00EB6C7C">
            <w:pPr>
              <w:pStyle w:val="p7"/>
              <w:widowControl/>
              <w:tabs>
                <w:tab w:val="clear" w:pos="1133"/>
                <w:tab w:val="left" w:pos="720"/>
                <w:tab w:val="left" w:pos="1350"/>
                <w:tab w:val="left" w:pos="1440"/>
                <w:tab w:val="left" w:pos="1530"/>
              </w:tabs>
              <w:spacing w:line="360" w:lineRule="auto"/>
              <w:ind w:left="0" w:firstLine="0"/>
              <w:jc w:val="right"/>
              <w:rPr>
                <w:sz w:val="26"/>
                <w:szCs w:val="26"/>
              </w:rPr>
            </w:pPr>
            <w:r>
              <w:rPr>
                <w:sz w:val="26"/>
                <w:szCs w:val="26"/>
              </w:rPr>
              <w:t>37,316</w:t>
            </w:r>
          </w:p>
        </w:tc>
      </w:tr>
    </w:tbl>
    <w:p w:rsidR="00EB6C7C" w:rsidRDefault="00EB6C7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EF378C" w:rsidRPr="005E1047" w:rsidRDefault="00EF378C"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sidRPr="005E1047">
        <w:rPr>
          <w:b/>
          <w:sz w:val="26"/>
          <w:szCs w:val="26"/>
        </w:rPr>
        <w:t>Facility Relocation</w:t>
      </w:r>
    </w:p>
    <w:p w:rsidR="005E1047" w:rsidRDefault="005E1047"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EF378C" w:rsidRDefault="00EF378C" w:rsidP="00773D87">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 xml:space="preserve">PECO avers that when PECO moves facilities at the direction of state, municipality or other governmental entity to construct a new road or to perform other construction, costs arise that are eligible for recovery under section 1351 and 1353.  PECO will provide the estimated facility relocation cost for each year with PECO’s Annual Asset Optimization Plan.  The locations of facilities to be relocated will depend on the directives of the municipality or other entities.  </w:t>
      </w:r>
    </w:p>
    <w:p w:rsidR="00EF378C" w:rsidRDefault="00EF378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Pr="00C80888"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C80888">
        <w:rPr>
          <w:b/>
          <w:sz w:val="26"/>
          <w:szCs w:val="26"/>
        </w:rPr>
        <w:t>Comments</w:t>
      </w:r>
    </w:p>
    <w:p w:rsidR="0077455C" w:rsidRDefault="0077455C" w:rsidP="00773D87">
      <w:pPr>
        <w:pStyle w:val="p7"/>
        <w:widowControl/>
        <w:tabs>
          <w:tab w:val="clear" w:pos="1133"/>
          <w:tab w:val="left" w:pos="720"/>
          <w:tab w:val="left" w:pos="1350"/>
          <w:tab w:val="left" w:pos="1440"/>
          <w:tab w:val="left" w:pos="1530"/>
        </w:tabs>
        <w:spacing w:line="360" w:lineRule="auto"/>
        <w:ind w:left="346" w:hanging="346"/>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No comments were received regarding the location of eligible property.</w:t>
      </w:r>
    </w:p>
    <w:p w:rsidR="0077455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rsidR="00F155E7" w:rsidRDefault="00F155E7" w:rsidP="00773D87">
      <w:pPr>
        <w:pStyle w:val="p7"/>
        <w:widowControl/>
        <w:tabs>
          <w:tab w:val="clear" w:pos="1133"/>
          <w:tab w:val="left" w:pos="720"/>
          <w:tab w:val="left" w:pos="1350"/>
          <w:tab w:val="left" w:pos="1440"/>
          <w:tab w:val="left" w:pos="1530"/>
        </w:tabs>
        <w:spacing w:line="360" w:lineRule="auto"/>
        <w:ind w:left="0"/>
        <w:rPr>
          <w:sz w:val="26"/>
          <w:szCs w:val="26"/>
        </w:rPr>
      </w:pPr>
    </w:p>
    <w:p w:rsidR="00F155E7" w:rsidRDefault="00F155E7" w:rsidP="00773D87">
      <w:pPr>
        <w:pStyle w:val="p7"/>
        <w:widowControl/>
        <w:tabs>
          <w:tab w:val="clear" w:pos="1133"/>
          <w:tab w:val="left" w:pos="720"/>
          <w:tab w:val="left" w:pos="1350"/>
          <w:tab w:val="left" w:pos="1440"/>
          <w:tab w:val="left" w:pos="1530"/>
        </w:tabs>
        <w:spacing w:line="360" w:lineRule="auto"/>
        <w:ind w:left="0"/>
        <w:rPr>
          <w:sz w:val="26"/>
          <w:szCs w:val="26"/>
        </w:rPr>
      </w:pPr>
    </w:p>
    <w:p w:rsidR="00F155E7" w:rsidRPr="003D5935" w:rsidRDefault="00F155E7" w:rsidP="00773D87">
      <w:pPr>
        <w:pStyle w:val="p7"/>
        <w:widowControl/>
        <w:tabs>
          <w:tab w:val="clear" w:pos="1133"/>
          <w:tab w:val="left" w:pos="720"/>
          <w:tab w:val="left" w:pos="1350"/>
          <w:tab w:val="left" w:pos="1440"/>
          <w:tab w:val="left" w:pos="1530"/>
        </w:tabs>
        <w:spacing w:line="360" w:lineRule="auto"/>
        <w:ind w:left="0"/>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2372D6">
        <w:rPr>
          <w:b/>
          <w:sz w:val="26"/>
          <w:szCs w:val="26"/>
        </w:rPr>
        <w:lastRenderedPageBreak/>
        <w:t>Resolution</w:t>
      </w:r>
    </w:p>
    <w:p w:rsidR="0077455C" w:rsidRPr="002372D6" w:rsidRDefault="0077455C" w:rsidP="00773D87">
      <w:pPr>
        <w:pStyle w:val="p7"/>
        <w:widowControl/>
        <w:tabs>
          <w:tab w:val="clear" w:pos="1133"/>
          <w:tab w:val="left" w:pos="720"/>
          <w:tab w:val="left" w:pos="1350"/>
          <w:tab w:val="left" w:pos="1440"/>
          <w:tab w:val="left" w:pos="1530"/>
        </w:tabs>
        <w:spacing w:line="360" w:lineRule="auto"/>
        <w:ind w:left="0"/>
        <w:rPr>
          <w:b/>
          <w:sz w:val="26"/>
          <w:szCs w:val="26"/>
        </w:rPr>
      </w:pPr>
    </w:p>
    <w:p w:rsidR="0077455C" w:rsidRDefault="0077455C" w:rsidP="00773D87">
      <w:pPr>
        <w:pStyle w:val="p2"/>
        <w:widowControl/>
        <w:spacing w:line="360" w:lineRule="auto"/>
        <w:ind w:firstLine="1440"/>
        <w:rPr>
          <w:sz w:val="26"/>
          <w:szCs w:val="26"/>
        </w:rPr>
      </w:pPr>
      <w:r>
        <w:rPr>
          <w:sz w:val="26"/>
          <w:szCs w:val="26"/>
        </w:rPr>
        <w:tab/>
        <w:t>Upon review of P</w:t>
      </w:r>
      <w:r w:rsidR="00EF378C">
        <w:rPr>
          <w:sz w:val="26"/>
          <w:szCs w:val="26"/>
        </w:rPr>
        <w:t>ECO</w:t>
      </w:r>
      <w:r>
        <w:rPr>
          <w:sz w:val="26"/>
          <w:szCs w:val="26"/>
        </w:rPr>
        <w:t>’s LTIIP and all supplemental information filed, the Commission finds that the location of eligible property requirements of element three of the Final Implementation</w:t>
      </w:r>
      <w:r w:rsidR="00236F9D">
        <w:rPr>
          <w:sz w:val="26"/>
          <w:szCs w:val="26"/>
        </w:rPr>
        <w:t xml:space="preserve"> Order</w:t>
      </w:r>
      <w:r>
        <w:rPr>
          <w:sz w:val="26"/>
          <w:szCs w:val="26"/>
        </w:rPr>
        <w:t xml:space="preserve"> has been fulfilled.  The Commission acknowledges the level of detail contained within the LTIIP for item three conforms to Commission requirements and is presented in a manner that allows for complete and efficient review of, and reference to, these materials.   </w:t>
      </w:r>
    </w:p>
    <w:p w:rsidR="0077455C" w:rsidRDefault="0077455C" w:rsidP="00773D87">
      <w:pPr>
        <w:pStyle w:val="p7"/>
        <w:widowControl/>
        <w:tabs>
          <w:tab w:val="clear" w:pos="1133"/>
          <w:tab w:val="left" w:pos="720"/>
          <w:tab w:val="left" w:pos="1350"/>
          <w:tab w:val="left" w:pos="1440"/>
          <w:tab w:val="left" w:pos="1530"/>
        </w:tabs>
        <w:spacing w:line="360" w:lineRule="auto"/>
        <w:jc w:val="both"/>
        <w:rPr>
          <w:sz w:val="26"/>
          <w:szCs w:val="26"/>
        </w:rPr>
      </w:pPr>
    </w:p>
    <w:p w:rsidR="0077455C" w:rsidRPr="00C71C0F" w:rsidRDefault="00135912" w:rsidP="00135912">
      <w:pPr>
        <w:pStyle w:val="p2"/>
        <w:widowControl/>
        <w:ind w:left="720" w:firstLine="0"/>
        <w:rPr>
          <w:b/>
          <w:sz w:val="26"/>
          <w:szCs w:val="26"/>
        </w:rPr>
      </w:pPr>
      <w:r>
        <w:rPr>
          <w:b/>
          <w:sz w:val="26"/>
          <w:szCs w:val="26"/>
        </w:rPr>
        <w:t xml:space="preserve">(4) </w:t>
      </w:r>
      <w:r w:rsidR="0077455C" w:rsidRPr="00C71C0F">
        <w:rPr>
          <w:b/>
          <w:sz w:val="26"/>
          <w:szCs w:val="26"/>
        </w:rPr>
        <w:t xml:space="preserve">REASONABLE ESTIMATES OF THE QUANTITY OF PROPERTY TO BE IMPROVED </w:t>
      </w:r>
      <w:r w:rsidR="00773D87">
        <w:rPr>
          <w:b/>
          <w:sz w:val="26"/>
          <w:szCs w:val="26"/>
        </w:rPr>
        <w:t>and</w:t>
      </w:r>
    </w:p>
    <w:p w:rsidR="0077455C" w:rsidRPr="00C71C0F" w:rsidRDefault="00135912" w:rsidP="00135912">
      <w:pPr>
        <w:pStyle w:val="p2"/>
        <w:widowControl/>
        <w:ind w:left="720" w:firstLine="0"/>
        <w:rPr>
          <w:b/>
          <w:sz w:val="26"/>
          <w:szCs w:val="26"/>
        </w:rPr>
      </w:pPr>
      <w:r>
        <w:rPr>
          <w:b/>
          <w:sz w:val="26"/>
          <w:szCs w:val="26"/>
        </w:rPr>
        <w:t xml:space="preserve">(5) </w:t>
      </w:r>
      <w:r w:rsidR="0077455C" w:rsidRPr="00C71C0F">
        <w:rPr>
          <w:b/>
          <w:sz w:val="26"/>
          <w:szCs w:val="26"/>
        </w:rPr>
        <w:t>PROJECTED ANNUAL EXPENDITURES AND MEASURES TO ENSURE THAT THE PLAN IS COST EFFECTIVE</w:t>
      </w:r>
    </w:p>
    <w:p w:rsidR="00135912" w:rsidRDefault="00135912" w:rsidP="00773D87">
      <w:pPr>
        <w:pStyle w:val="p7"/>
        <w:widowControl/>
        <w:tabs>
          <w:tab w:val="clear" w:pos="1133"/>
          <w:tab w:val="left" w:pos="720"/>
          <w:tab w:val="left" w:pos="1350"/>
          <w:tab w:val="left" w:pos="1440"/>
          <w:tab w:val="left" w:pos="1530"/>
        </w:tabs>
        <w:spacing w:line="360" w:lineRule="auto"/>
        <w:ind w:left="0" w:firstLine="0"/>
        <w:rPr>
          <w:b/>
          <w:sz w:val="26"/>
          <w:szCs w:val="26"/>
        </w:rPr>
      </w:pPr>
    </w:p>
    <w:p w:rsidR="0077455C" w:rsidRPr="00C80888" w:rsidRDefault="00EB6C7C"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Pr>
          <w:b/>
          <w:sz w:val="26"/>
          <w:szCs w:val="26"/>
        </w:rPr>
        <w:t>PECO</w:t>
      </w:r>
      <w:r w:rsidR="0077455C" w:rsidRPr="00C80888">
        <w:rPr>
          <w:b/>
          <w:sz w:val="26"/>
          <w:szCs w:val="26"/>
        </w:rPr>
        <w:t xml:space="preserve"> Position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9B34F7"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In 2011, </w:t>
      </w:r>
      <w:r w:rsidR="0025452F">
        <w:rPr>
          <w:sz w:val="26"/>
          <w:szCs w:val="26"/>
        </w:rPr>
        <w:t>PECO initiated</w:t>
      </w:r>
      <w:r>
        <w:rPr>
          <w:sz w:val="26"/>
          <w:szCs w:val="26"/>
        </w:rPr>
        <w:t xml:space="preserve"> an accelerated gas infrastructure modernization program designed to </w:t>
      </w:r>
      <w:r w:rsidR="00646FA0">
        <w:rPr>
          <w:sz w:val="26"/>
          <w:szCs w:val="26"/>
        </w:rPr>
        <w:t xml:space="preserve">increase its projected capital </w:t>
      </w:r>
      <w:r>
        <w:rPr>
          <w:sz w:val="26"/>
          <w:szCs w:val="26"/>
        </w:rPr>
        <w:t>investmen</w:t>
      </w:r>
      <w:r w:rsidR="00646FA0">
        <w:rPr>
          <w:sz w:val="26"/>
          <w:szCs w:val="26"/>
        </w:rPr>
        <w:t xml:space="preserve">t </w:t>
      </w:r>
      <w:r>
        <w:rPr>
          <w:sz w:val="26"/>
          <w:szCs w:val="26"/>
        </w:rPr>
        <w:t>for rep</w:t>
      </w:r>
      <w:r w:rsidR="00646FA0">
        <w:rPr>
          <w:sz w:val="26"/>
          <w:szCs w:val="26"/>
        </w:rPr>
        <w:t>lacing cast, wrought, and ductil</w:t>
      </w:r>
      <w:r>
        <w:rPr>
          <w:sz w:val="26"/>
          <w:szCs w:val="26"/>
        </w:rPr>
        <w:t xml:space="preserve">e iron mains and bare steel mains and services by $20 million per year, from approximately $14 million to approximately </w:t>
      </w:r>
      <w:r w:rsidR="00646FA0">
        <w:rPr>
          <w:sz w:val="26"/>
          <w:szCs w:val="26"/>
        </w:rPr>
        <w:t>$34 mill</w:t>
      </w:r>
      <w:r>
        <w:rPr>
          <w:sz w:val="26"/>
          <w:szCs w:val="26"/>
        </w:rPr>
        <w:t>ion per year.</w:t>
      </w:r>
      <w:r w:rsidR="00646FA0">
        <w:rPr>
          <w:sz w:val="26"/>
          <w:szCs w:val="26"/>
        </w:rPr>
        <w:t xml:space="preserve">  PECO</w:t>
      </w:r>
      <w:r>
        <w:rPr>
          <w:sz w:val="26"/>
          <w:szCs w:val="26"/>
        </w:rPr>
        <w:t xml:space="preserve"> projected, based on reasonable estimates of unit costs, that an increa</w:t>
      </w:r>
      <w:r w:rsidR="00646FA0">
        <w:rPr>
          <w:sz w:val="26"/>
          <w:szCs w:val="26"/>
        </w:rPr>
        <w:t>se</w:t>
      </w:r>
      <w:r>
        <w:rPr>
          <w:sz w:val="26"/>
          <w:szCs w:val="26"/>
        </w:rPr>
        <w:t xml:space="preserve"> of this magnitude would enable it to replace all </w:t>
      </w:r>
      <w:r w:rsidR="00646FA0">
        <w:rPr>
          <w:sz w:val="26"/>
          <w:szCs w:val="26"/>
        </w:rPr>
        <w:t xml:space="preserve">of its oldest, high risk cast </w:t>
      </w:r>
      <w:r>
        <w:rPr>
          <w:sz w:val="26"/>
          <w:szCs w:val="26"/>
        </w:rPr>
        <w:t>i</w:t>
      </w:r>
      <w:r w:rsidR="00646FA0">
        <w:rPr>
          <w:sz w:val="26"/>
          <w:szCs w:val="26"/>
        </w:rPr>
        <w:t>r</w:t>
      </w:r>
      <w:r>
        <w:rPr>
          <w:sz w:val="26"/>
          <w:szCs w:val="26"/>
        </w:rPr>
        <w:t>on mains and a</w:t>
      </w:r>
      <w:r w:rsidR="00646FA0">
        <w:rPr>
          <w:sz w:val="26"/>
          <w:szCs w:val="26"/>
        </w:rPr>
        <w:t>ll</w:t>
      </w:r>
      <w:r>
        <w:rPr>
          <w:sz w:val="26"/>
          <w:szCs w:val="26"/>
        </w:rPr>
        <w:t xml:space="preserve"> of its bare steel services in approximately ten years and replace all of its cast iron and bare steel mains in </w:t>
      </w:r>
      <w:r w:rsidR="00646FA0">
        <w:rPr>
          <w:sz w:val="26"/>
          <w:szCs w:val="26"/>
        </w:rPr>
        <w:t xml:space="preserve">approximately 34 years.  </w:t>
      </w:r>
      <w:r>
        <w:rPr>
          <w:sz w:val="26"/>
          <w:szCs w:val="26"/>
        </w:rPr>
        <w:t xml:space="preserve">LTIIP at 14. </w:t>
      </w:r>
    </w:p>
    <w:p w:rsidR="00ED233B" w:rsidRDefault="00ED233B"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646FA0" w:rsidRDefault="00646FA0" w:rsidP="00646FA0">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Other factors PECO considered in establishing the $20 million increase were the ability to manage the significant increase in contractor forces required to handle the additional projects covered by PECO’s accelerated infrastructure </w:t>
      </w:r>
      <w:r w:rsidR="0025452F">
        <w:rPr>
          <w:sz w:val="26"/>
          <w:szCs w:val="26"/>
        </w:rPr>
        <w:t>replacement</w:t>
      </w:r>
      <w:r>
        <w:rPr>
          <w:sz w:val="26"/>
          <w:szCs w:val="26"/>
        </w:rPr>
        <w:t xml:space="preserve"> plan, the potential </w:t>
      </w:r>
      <w:r w:rsidR="0025452F">
        <w:rPr>
          <w:sz w:val="26"/>
          <w:szCs w:val="26"/>
        </w:rPr>
        <w:t>impact</w:t>
      </w:r>
      <w:r>
        <w:rPr>
          <w:sz w:val="26"/>
          <w:szCs w:val="26"/>
        </w:rPr>
        <w:t xml:space="preserve"> on customer rates of that acceleration, and the potential that DSIC-</w:t>
      </w:r>
      <w:r w:rsidR="0025452F">
        <w:rPr>
          <w:sz w:val="26"/>
          <w:szCs w:val="26"/>
        </w:rPr>
        <w:t>eligible</w:t>
      </w:r>
      <w:r>
        <w:rPr>
          <w:sz w:val="26"/>
          <w:szCs w:val="26"/>
        </w:rPr>
        <w:t xml:space="preserve"> projects in addition to those in the LTTIP could be undertaken.  The $20 million </w:t>
      </w:r>
      <w:r w:rsidR="0025452F">
        <w:rPr>
          <w:sz w:val="26"/>
          <w:szCs w:val="26"/>
        </w:rPr>
        <w:lastRenderedPageBreak/>
        <w:t>increase</w:t>
      </w:r>
      <w:r>
        <w:rPr>
          <w:sz w:val="26"/>
          <w:szCs w:val="26"/>
        </w:rPr>
        <w:t xml:space="preserve"> enables the Company to achieve its goal of replacing the riskiest and </w:t>
      </w:r>
      <w:r w:rsidR="0025452F">
        <w:rPr>
          <w:sz w:val="26"/>
          <w:szCs w:val="26"/>
        </w:rPr>
        <w:t>oldest</w:t>
      </w:r>
      <w:r>
        <w:rPr>
          <w:sz w:val="26"/>
          <w:szCs w:val="26"/>
        </w:rPr>
        <w:t xml:space="preserve"> pipe material while keeping the potential rate impact reasonable.  LTIIP at 15.</w:t>
      </w:r>
    </w:p>
    <w:p w:rsidR="00ED233B" w:rsidRDefault="00ED233B" w:rsidP="00646FA0">
      <w:pPr>
        <w:pStyle w:val="p7"/>
        <w:widowControl/>
        <w:tabs>
          <w:tab w:val="clear" w:pos="1133"/>
          <w:tab w:val="left" w:pos="720"/>
          <w:tab w:val="left" w:pos="1350"/>
          <w:tab w:val="left" w:pos="1440"/>
          <w:tab w:val="left" w:pos="1530"/>
        </w:tabs>
        <w:spacing w:line="360" w:lineRule="auto"/>
        <w:ind w:left="0" w:firstLine="1440"/>
        <w:rPr>
          <w:sz w:val="26"/>
          <w:szCs w:val="26"/>
        </w:rPr>
      </w:pPr>
    </w:p>
    <w:p w:rsidR="00FF785D" w:rsidRDefault="00FF785D" w:rsidP="00646FA0">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PECO prioritizes the replacement of specific mains within the bare steel category using the OptiMain software application, which analyzes leak history to determine how mains should be ranked for replacement.  Baseline expenditures for PECO’s cast iron replacement program are prioritized by taking into account a number of considerations such as the location, size and operating pressure.  LTIIP at 19.</w:t>
      </w:r>
    </w:p>
    <w:p w:rsidR="00FF785D" w:rsidRDefault="00FF785D" w:rsidP="00646FA0">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77455C" w:rsidP="00F73DF5">
      <w:pPr>
        <w:pStyle w:val="p7"/>
        <w:keepNext/>
        <w:widowControl/>
        <w:tabs>
          <w:tab w:val="clear" w:pos="1133"/>
          <w:tab w:val="left" w:pos="720"/>
          <w:tab w:val="left" w:pos="1350"/>
          <w:tab w:val="left" w:pos="1440"/>
          <w:tab w:val="left" w:pos="1530"/>
        </w:tabs>
        <w:spacing w:line="360" w:lineRule="auto"/>
        <w:ind w:left="720" w:firstLine="0"/>
        <w:jc w:val="center"/>
        <w:rPr>
          <w:b/>
          <w:sz w:val="26"/>
          <w:szCs w:val="26"/>
        </w:rPr>
      </w:pPr>
      <w:r w:rsidRPr="005070BD">
        <w:rPr>
          <w:b/>
          <w:sz w:val="26"/>
          <w:szCs w:val="26"/>
        </w:rPr>
        <w:lastRenderedPageBreak/>
        <w:t xml:space="preserve">Table </w:t>
      </w:r>
      <w:r w:rsidR="00D566AE">
        <w:rPr>
          <w:b/>
          <w:sz w:val="26"/>
          <w:szCs w:val="26"/>
        </w:rPr>
        <w:t>4</w:t>
      </w:r>
      <w:r w:rsidRPr="005070BD">
        <w:rPr>
          <w:b/>
          <w:sz w:val="26"/>
          <w:szCs w:val="26"/>
        </w:rPr>
        <w:t xml:space="preserve"> – </w:t>
      </w:r>
      <w:r w:rsidR="00E331BA">
        <w:rPr>
          <w:b/>
          <w:sz w:val="26"/>
          <w:szCs w:val="26"/>
        </w:rPr>
        <w:t xml:space="preserve">Annual Schedule, </w:t>
      </w:r>
      <w:r w:rsidRPr="005070BD">
        <w:rPr>
          <w:b/>
          <w:sz w:val="26"/>
          <w:szCs w:val="26"/>
        </w:rPr>
        <w:t>Quantity of Property to Be Removed and Annual Expenditures</w:t>
      </w:r>
    </w:p>
    <w:p w:rsidR="00E331BA" w:rsidRDefault="00E331BA" w:rsidP="00F73DF5">
      <w:pPr>
        <w:pStyle w:val="p7"/>
        <w:keepNext/>
        <w:widowControl/>
        <w:tabs>
          <w:tab w:val="clear" w:pos="1133"/>
          <w:tab w:val="left" w:pos="720"/>
          <w:tab w:val="left" w:pos="1350"/>
          <w:tab w:val="left" w:pos="1440"/>
          <w:tab w:val="left" w:pos="1530"/>
        </w:tabs>
        <w:spacing w:line="360" w:lineRule="auto"/>
        <w:ind w:left="720" w:firstLine="0"/>
        <w:jc w:val="center"/>
        <w:rPr>
          <w:b/>
          <w:sz w:val="26"/>
          <w:szCs w:val="26"/>
        </w:rPr>
      </w:pPr>
    </w:p>
    <w:p w:rsidR="0077455C" w:rsidRDefault="005E453D" w:rsidP="00F73DF5">
      <w:pPr>
        <w:pStyle w:val="p7"/>
        <w:keepNext/>
        <w:widowControl/>
        <w:tabs>
          <w:tab w:val="clear" w:pos="1133"/>
          <w:tab w:val="left" w:pos="720"/>
          <w:tab w:val="left" w:pos="1350"/>
          <w:tab w:val="left" w:pos="1440"/>
          <w:tab w:val="left" w:pos="1530"/>
        </w:tabs>
        <w:spacing w:line="360" w:lineRule="auto"/>
        <w:ind w:left="720" w:firstLine="0"/>
        <w:jc w:val="both"/>
        <w:rPr>
          <w:b/>
          <w:sz w:val="26"/>
          <w:szCs w:val="26"/>
        </w:rPr>
      </w:pPr>
      <w:r w:rsidRPr="005E453D">
        <w:rPr>
          <w:noProof/>
        </w:rPr>
        <w:drawing>
          <wp:inline distT="0" distB="0" distL="0" distR="0" wp14:anchorId="2BB43C18" wp14:editId="3C722E99">
            <wp:extent cx="5943600" cy="46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94945"/>
                    </a:xfrm>
                    <a:prstGeom prst="rect">
                      <a:avLst/>
                    </a:prstGeom>
                    <a:noFill/>
                    <a:ln>
                      <a:noFill/>
                    </a:ln>
                  </pic:spPr>
                </pic:pic>
              </a:graphicData>
            </a:graphic>
          </wp:inline>
        </w:drawing>
      </w:r>
    </w:p>
    <w:p w:rsidR="0077455C" w:rsidRDefault="0077455C" w:rsidP="00773D87">
      <w:pPr>
        <w:pStyle w:val="p7"/>
        <w:widowControl/>
        <w:tabs>
          <w:tab w:val="clear" w:pos="1133"/>
          <w:tab w:val="left" w:pos="720"/>
          <w:tab w:val="left" w:pos="1350"/>
          <w:tab w:val="left" w:pos="1440"/>
          <w:tab w:val="left" w:pos="1530"/>
        </w:tabs>
        <w:spacing w:line="360" w:lineRule="auto"/>
        <w:ind w:left="720" w:firstLine="0"/>
        <w:jc w:val="both"/>
        <w:rPr>
          <w:sz w:val="26"/>
          <w:szCs w:val="26"/>
        </w:rPr>
      </w:pPr>
    </w:p>
    <w:p w:rsidR="00CA0D48" w:rsidRDefault="005B53C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The m</w:t>
      </w:r>
      <w:r w:rsidR="00CA0D48">
        <w:rPr>
          <w:sz w:val="26"/>
          <w:szCs w:val="26"/>
        </w:rPr>
        <w:t xml:space="preserve">ains </w:t>
      </w:r>
      <w:r w:rsidR="00CC4162">
        <w:rPr>
          <w:sz w:val="26"/>
          <w:szCs w:val="26"/>
        </w:rPr>
        <w:t>a</w:t>
      </w:r>
      <w:r w:rsidR="00CA0D48">
        <w:rPr>
          <w:sz w:val="26"/>
          <w:szCs w:val="26"/>
        </w:rPr>
        <w:t xml:space="preserve">nd services comprising 14% of </w:t>
      </w:r>
      <w:r>
        <w:rPr>
          <w:sz w:val="26"/>
          <w:szCs w:val="26"/>
        </w:rPr>
        <w:t>system mains (in length) but account</w:t>
      </w:r>
      <w:r w:rsidR="00420E1D">
        <w:rPr>
          <w:sz w:val="26"/>
          <w:szCs w:val="26"/>
        </w:rPr>
        <w:t>ing</w:t>
      </w:r>
      <w:r>
        <w:rPr>
          <w:sz w:val="26"/>
          <w:szCs w:val="26"/>
        </w:rPr>
        <w:t xml:space="preserve"> for </w:t>
      </w:r>
      <w:r w:rsidR="00CA0D48">
        <w:rPr>
          <w:sz w:val="26"/>
          <w:szCs w:val="26"/>
        </w:rPr>
        <w:t xml:space="preserve">86% of all leaks in PECO’s system are the focus of PECO’s LTIIP.  The eligible property within each category of </w:t>
      </w:r>
      <w:r w:rsidR="00CC4162">
        <w:rPr>
          <w:sz w:val="26"/>
          <w:szCs w:val="26"/>
        </w:rPr>
        <w:t>vulnerable</w:t>
      </w:r>
      <w:r w:rsidR="00CA0D48">
        <w:rPr>
          <w:sz w:val="26"/>
          <w:szCs w:val="26"/>
        </w:rPr>
        <w:t xml:space="preserve"> material is being prioritized for replacement using </w:t>
      </w:r>
      <w:r w:rsidR="00CC4162">
        <w:rPr>
          <w:sz w:val="26"/>
          <w:szCs w:val="26"/>
        </w:rPr>
        <w:t>risk</w:t>
      </w:r>
      <w:r w:rsidR="00CA0D48">
        <w:rPr>
          <w:sz w:val="26"/>
          <w:szCs w:val="26"/>
        </w:rPr>
        <w:t xml:space="preserve"> assessment measures derived from PECO’s DIMP Plan, its cast iron main replacement protocols and the </w:t>
      </w:r>
      <w:r w:rsidR="00CC4162">
        <w:rPr>
          <w:sz w:val="26"/>
          <w:szCs w:val="26"/>
        </w:rPr>
        <w:t>OptiMain</w:t>
      </w:r>
      <w:r w:rsidR="00CA0D48">
        <w:rPr>
          <w:sz w:val="26"/>
          <w:szCs w:val="26"/>
        </w:rPr>
        <w:t xml:space="preserve"> program.  Mains </w:t>
      </w:r>
      <w:r w:rsidR="00CC4162">
        <w:rPr>
          <w:sz w:val="26"/>
          <w:szCs w:val="26"/>
        </w:rPr>
        <w:t>selected</w:t>
      </w:r>
      <w:r w:rsidR="00CA0D48">
        <w:rPr>
          <w:sz w:val="26"/>
          <w:szCs w:val="26"/>
        </w:rPr>
        <w:t xml:space="preserve"> for replacement are being grouped by reasonable geographic designations to improve the efficiency of workforce and contractor deployment through the following:</w:t>
      </w:r>
    </w:p>
    <w:p w:rsidR="0077455C" w:rsidRDefault="00614933" w:rsidP="00CC4162">
      <w:pPr>
        <w:pStyle w:val="p7"/>
        <w:widowControl/>
        <w:numPr>
          <w:ilvl w:val="0"/>
          <w:numId w:val="31"/>
        </w:numPr>
        <w:tabs>
          <w:tab w:val="clear" w:pos="782"/>
          <w:tab w:val="clear" w:pos="1133"/>
        </w:tabs>
        <w:spacing w:line="360" w:lineRule="auto"/>
        <w:rPr>
          <w:sz w:val="26"/>
          <w:szCs w:val="26"/>
        </w:rPr>
      </w:pPr>
      <w:r>
        <w:rPr>
          <w:sz w:val="26"/>
          <w:szCs w:val="26"/>
        </w:rPr>
        <w:lastRenderedPageBreak/>
        <w:t>Reduced work scoping, engineering and design by aggregating individual main and service replacement efforts into larger centralized projects</w:t>
      </w:r>
      <w:r w:rsidR="00FD46B1">
        <w:rPr>
          <w:sz w:val="26"/>
          <w:szCs w:val="26"/>
        </w:rPr>
        <w:t>;</w:t>
      </w:r>
    </w:p>
    <w:p w:rsidR="00614933" w:rsidRDefault="00614933" w:rsidP="00CC4162">
      <w:pPr>
        <w:pStyle w:val="p7"/>
        <w:widowControl/>
        <w:numPr>
          <w:ilvl w:val="0"/>
          <w:numId w:val="31"/>
        </w:numPr>
        <w:tabs>
          <w:tab w:val="clear" w:pos="782"/>
          <w:tab w:val="clear" w:pos="1133"/>
        </w:tabs>
        <w:spacing w:line="360" w:lineRule="auto"/>
        <w:rPr>
          <w:sz w:val="26"/>
          <w:szCs w:val="26"/>
        </w:rPr>
      </w:pPr>
      <w:r>
        <w:rPr>
          <w:sz w:val="26"/>
          <w:szCs w:val="26"/>
        </w:rPr>
        <w:t xml:space="preserve">Reduced mobilization and demobilization time </w:t>
      </w:r>
      <w:r w:rsidR="00CC4162">
        <w:rPr>
          <w:sz w:val="26"/>
          <w:szCs w:val="26"/>
        </w:rPr>
        <w:t>associated</w:t>
      </w:r>
      <w:r>
        <w:rPr>
          <w:sz w:val="26"/>
          <w:szCs w:val="26"/>
        </w:rPr>
        <w:t xml:space="preserve"> with moving construction crews to different are</w:t>
      </w:r>
      <w:r w:rsidR="00CC4162">
        <w:rPr>
          <w:sz w:val="26"/>
          <w:szCs w:val="26"/>
        </w:rPr>
        <w:t>a</w:t>
      </w:r>
      <w:r>
        <w:rPr>
          <w:sz w:val="26"/>
          <w:szCs w:val="26"/>
        </w:rPr>
        <w:t xml:space="preserve">s; and </w:t>
      </w:r>
    </w:p>
    <w:p w:rsidR="00614933" w:rsidRDefault="00614933" w:rsidP="00CC4162">
      <w:pPr>
        <w:pStyle w:val="p7"/>
        <w:widowControl/>
        <w:numPr>
          <w:ilvl w:val="0"/>
          <w:numId w:val="31"/>
        </w:numPr>
        <w:tabs>
          <w:tab w:val="clear" w:pos="782"/>
          <w:tab w:val="clear" w:pos="1133"/>
        </w:tabs>
        <w:spacing w:line="360" w:lineRule="auto"/>
        <w:rPr>
          <w:sz w:val="26"/>
          <w:szCs w:val="26"/>
        </w:rPr>
      </w:pPr>
      <w:r>
        <w:rPr>
          <w:sz w:val="26"/>
          <w:szCs w:val="26"/>
        </w:rPr>
        <w:t>Reduced tie-in work, b</w:t>
      </w:r>
      <w:r w:rsidR="001D17D8">
        <w:rPr>
          <w:sz w:val="26"/>
          <w:szCs w:val="26"/>
        </w:rPr>
        <w:t>y</w:t>
      </w:r>
      <w:r>
        <w:rPr>
          <w:sz w:val="26"/>
          <w:szCs w:val="26"/>
        </w:rPr>
        <w:t xml:space="preserve"> replacing facilities in area</w:t>
      </w:r>
      <w:r w:rsidR="00FD46B1">
        <w:rPr>
          <w:sz w:val="26"/>
          <w:szCs w:val="26"/>
        </w:rPr>
        <w:t>s</w:t>
      </w:r>
      <w:r>
        <w:rPr>
          <w:sz w:val="26"/>
          <w:szCs w:val="26"/>
        </w:rPr>
        <w:t xml:space="preserve"> larger than city blocks. </w:t>
      </w:r>
    </w:p>
    <w:p w:rsidR="00CC4162" w:rsidRDefault="00CC4162" w:rsidP="00CC4162">
      <w:pPr>
        <w:pStyle w:val="p7"/>
        <w:widowControl/>
        <w:tabs>
          <w:tab w:val="clear" w:pos="782"/>
          <w:tab w:val="clear" w:pos="1133"/>
        </w:tabs>
        <w:spacing w:line="360" w:lineRule="auto"/>
        <w:ind w:left="0" w:firstLine="0"/>
        <w:rPr>
          <w:sz w:val="26"/>
          <w:szCs w:val="26"/>
        </w:rPr>
      </w:pPr>
    </w:p>
    <w:p w:rsidR="00CC4162" w:rsidRDefault="00CC4162" w:rsidP="00ED233B">
      <w:pPr>
        <w:pStyle w:val="p7"/>
        <w:widowControl/>
        <w:tabs>
          <w:tab w:val="clear" w:pos="782"/>
          <w:tab w:val="clear" w:pos="1133"/>
        </w:tabs>
        <w:spacing w:line="360" w:lineRule="auto"/>
        <w:ind w:left="0" w:firstLine="720"/>
        <w:rPr>
          <w:sz w:val="26"/>
          <w:szCs w:val="26"/>
        </w:rPr>
      </w:pPr>
      <w:r>
        <w:rPr>
          <w:sz w:val="26"/>
          <w:szCs w:val="26"/>
        </w:rPr>
        <w:t>PECO also anticipates minimizing costs through the prudent use of contractors for construction.  PECO has made additional supervisors and foremen available to oversee contractors</w:t>
      </w:r>
      <w:r w:rsidR="001D17D8">
        <w:rPr>
          <w:sz w:val="26"/>
          <w:szCs w:val="26"/>
        </w:rPr>
        <w:t xml:space="preserve">. </w:t>
      </w:r>
      <w:r>
        <w:rPr>
          <w:sz w:val="26"/>
          <w:szCs w:val="26"/>
        </w:rPr>
        <w:t xml:space="preserve"> The expanded inspector force will be used to inspect the increased scope of work under the LTIIP to assure that all work is done properly and cost-effectively.  Audits of each project will be conducted through PECO’s Project Management and Finance groups or through monthly performance meetings to assure cost effectiveness, compliance with contract terms and high-quality work performance.</w:t>
      </w:r>
    </w:p>
    <w:p w:rsidR="00D566AE" w:rsidRDefault="00D566AE" w:rsidP="00ED233B">
      <w:pPr>
        <w:pStyle w:val="p7"/>
        <w:widowControl/>
        <w:tabs>
          <w:tab w:val="clear" w:pos="782"/>
          <w:tab w:val="clear" w:pos="1133"/>
        </w:tabs>
        <w:spacing w:line="360" w:lineRule="auto"/>
        <w:ind w:left="0" w:firstLine="720"/>
        <w:rPr>
          <w:sz w:val="26"/>
          <w:szCs w:val="26"/>
        </w:rPr>
      </w:pPr>
    </w:p>
    <w:p w:rsidR="00CC4162" w:rsidRDefault="00CC4162" w:rsidP="00CC4162">
      <w:pPr>
        <w:pStyle w:val="p7"/>
        <w:widowControl/>
        <w:tabs>
          <w:tab w:val="clear" w:pos="782"/>
          <w:tab w:val="clear" w:pos="1133"/>
        </w:tabs>
        <w:spacing w:line="360" w:lineRule="auto"/>
        <w:ind w:left="0" w:firstLine="0"/>
        <w:rPr>
          <w:sz w:val="26"/>
          <w:szCs w:val="26"/>
        </w:rPr>
      </w:pPr>
      <w:r>
        <w:rPr>
          <w:sz w:val="26"/>
          <w:szCs w:val="26"/>
        </w:rPr>
        <w:tab/>
        <w:t>To minimize street opening and closing costs, PECO will work closely with the Pennsylvania Department of Transportation, local municipalities, and local water and wastewater utilities to align its LTIIP work with construction that each of those entities is planning.  PECO will also coordinate its electric and gas work where possible.  LTIIP at 30.</w:t>
      </w:r>
    </w:p>
    <w:p w:rsidR="00B61CAD" w:rsidRDefault="00B61CAD" w:rsidP="00CC4162">
      <w:pPr>
        <w:pStyle w:val="p7"/>
        <w:widowControl/>
        <w:tabs>
          <w:tab w:val="clear" w:pos="782"/>
          <w:tab w:val="clear" w:pos="1133"/>
        </w:tabs>
        <w:spacing w:line="360" w:lineRule="auto"/>
        <w:ind w:left="0" w:firstLine="0"/>
        <w:rPr>
          <w:sz w:val="26"/>
          <w:szCs w:val="26"/>
        </w:rPr>
      </w:pPr>
    </w:p>
    <w:p w:rsidR="00B61CAD" w:rsidRDefault="00B61CAD" w:rsidP="00CC4162">
      <w:pPr>
        <w:pStyle w:val="p7"/>
        <w:widowControl/>
        <w:tabs>
          <w:tab w:val="clear" w:pos="782"/>
          <w:tab w:val="clear" w:pos="1133"/>
        </w:tabs>
        <w:spacing w:line="360" w:lineRule="auto"/>
        <w:ind w:left="0" w:firstLine="0"/>
        <w:rPr>
          <w:sz w:val="26"/>
          <w:szCs w:val="26"/>
        </w:rPr>
      </w:pPr>
      <w:r>
        <w:rPr>
          <w:sz w:val="26"/>
          <w:szCs w:val="26"/>
        </w:rPr>
        <w:tab/>
        <w:t>PECO provided a description of three potential LTIIP projects that may add additional annual expenditures.  These projects include</w:t>
      </w:r>
      <w:r w:rsidR="00B2113A">
        <w:rPr>
          <w:sz w:val="26"/>
          <w:szCs w:val="26"/>
        </w:rPr>
        <w:t xml:space="preserve"> (1) meter relocation</w:t>
      </w:r>
      <w:r w:rsidR="00D670C3">
        <w:rPr>
          <w:sz w:val="26"/>
          <w:szCs w:val="26"/>
        </w:rPr>
        <w:t xml:space="preserve"> as may be required by Docket No. L-2009-2107155</w:t>
      </w:r>
      <w:r w:rsidR="00B2113A">
        <w:rPr>
          <w:sz w:val="26"/>
          <w:szCs w:val="26"/>
        </w:rPr>
        <w:t xml:space="preserve">, (2) </w:t>
      </w:r>
      <w:r w:rsidR="00FD46B1">
        <w:rPr>
          <w:sz w:val="26"/>
          <w:szCs w:val="26"/>
        </w:rPr>
        <w:t>replacement of automated meter reading (AMR) modules with modules compatible with advanced metering infrastructure (</w:t>
      </w:r>
      <w:r w:rsidR="00B2113A">
        <w:rPr>
          <w:sz w:val="26"/>
          <w:szCs w:val="26"/>
        </w:rPr>
        <w:t>AMI</w:t>
      </w:r>
      <w:r w:rsidR="00FD46B1">
        <w:rPr>
          <w:sz w:val="26"/>
          <w:szCs w:val="26"/>
        </w:rPr>
        <w:t>)</w:t>
      </w:r>
      <w:r w:rsidR="00B2113A">
        <w:rPr>
          <w:sz w:val="26"/>
          <w:szCs w:val="26"/>
        </w:rPr>
        <w:t xml:space="preserve"> meters and (3) potential pipeline redesignation</w:t>
      </w:r>
      <w:r w:rsidR="00D15709">
        <w:rPr>
          <w:sz w:val="26"/>
          <w:szCs w:val="26"/>
        </w:rPr>
        <w:t xml:space="preserve">s </w:t>
      </w:r>
      <w:r w:rsidR="00B2113A">
        <w:rPr>
          <w:sz w:val="26"/>
          <w:szCs w:val="26"/>
        </w:rPr>
        <w:t xml:space="preserve"> by PHMSA</w:t>
      </w:r>
      <w:r w:rsidR="00D15709">
        <w:rPr>
          <w:sz w:val="26"/>
          <w:szCs w:val="26"/>
        </w:rPr>
        <w:t xml:space="preserve"> </w:t>
      </w:r>
      <w:r w:rsidR="005B53CC">
        <w:rPr>
          <w:sz w:val="26"/>
          <w:szCs w:val="26"/>
        </w:rPr>
        <w:t xml:space="preserve">that may result in </w:t>
      </w:r>
      <w:r w:rsidR="00D15709">
        <w:rPr>
          <w:sz w:val="26"/>
          <w:szCs w:val="26"/>
        </w:rPr>
        <w:t>enhanced inspection and documentation requirements and potential upgrades or replacements</w:t>
      </w:r>
      <w:r w:rsidR="00B2113A">
        <w:rPr>
          <w:sz w:val="26"/>
          <w:szCs w:val="26"/>
        </w:rPr>
        <w:t>.</w:t>
      </w:r>
    </w:p>
    <w:p w:rsidR="00CC4162" w:rsidRDefault="00CC4162" w:rsidP="00CC4162">
      <w:pPr>
        <w:pStyle w:val="p7"/>
        <w:widowControl/>
        <w:tabs>
          <w:tab w:val="clear" w:pos="782"/>
          <w:tab w:val="clear" w:pos="1133"/>
        </w:tabs>
        <w:spacing w:line="360" w:lineRule="auto"/>
        <w:ind w:left="0" w:firstLine="0"/>
        <w:rPr>
          <w:sz w:val="26"/>
          <w:szCs w:val="26"/>
        </w:rPr>
      </w:pPr>
    </w:p>
    <w:p w:rsidR="00614933" w:rsidRDefault="00614933" w:rsidP="00236F9D">
      <w:pPr>
        <w:pStyle w:val="p7"/>
        <w:widowControl/>
        <w:tabs>
          <w:tab w:val="clear" w:pos="782"/>
          <w:tab w:val="clear" w:pos="1133"/>
        </w:tabs>
        <w:spacing w:line="360" w:lineRule="auto"/>
        <w:ind w:left="0"/>
        <w:rPr>
          <w:sz w:val="26"/>
          <w:szCs w:val="26"/>
        </w:rPr>
      </w:pPr>
    </w:p>
    <w:p w:rsidR="0077455C" w:rsidRPr="00C80888" w:rsidRDefault="0077455C" w:rsidP="00773D87">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C80888">
        <w:rPr>
          <w:b/>
          <w:sz w:val="26"/>
          <w:szCs w:val="26"/>
        </w:rPr>
        <w:lastRenderedPageBreak/>
        <w:t>Comments</w:t>
      </w:r>
    </w:p>
    <w:p w:rsidR="0077455C" w:rsidRDefault="0077455C" w:rsidP="00773D87">
      <w:pPr>
        <w:pStyle w:val="p7"/>
        <w:keepNext/>
        <w:widowControl/>
        <w:tabs>
          <w:tab w:val="clear" w:pos="1133"/>
          <w:tab w:val="left" w:pos="720"/>
          <w:tab w:val="left" w:pos="1350"/>
          <w:tab w:val="left" w:pos="1440"/>
          <w:tab w:val="left" w:pos="1530"/>
        </w:tabs>
        <w:spacing w:line="360" w:lineRule="auto"/>
        <w:ind w:left="0"/>
        <w:rPr>
          <w:sz w:val="26"/>
          <w:szCs w:val="26"/>
        </w:rPr>
      </w:pPr>
    </w:p>
    <w:p w:rsidR="00ED233B" w:rsidRDefault="00ED233B" w:rsidP="00006037">
      <w:pPr>
        <w:pStyle w:val="p7"/>
        <w:widowControl/>
        <w:tabs>
          <w:tab w:val="clear" w:pos="782"/>
          <w:tab w:val="clear" w:pos="1133"/>
          <w:tab w:val="left" w:pos="720"/>
          <w:tab w:val="left" w:pos="1440"/>
        </w:tabs>
        <w:spacing w:line="360" w:lineRule="auto"/>
        <w:ind w:left="0" w:firstLine="1440"/>
        <w:rPr>
          <w:sz w:val="26"/>
          <w:szCs w:val="26"/>
        </w:rPr>
      </w:pPr>
      <w:r>
        <w:rPr>
          <w:sz w:val="26"/>
          <w:szCs w:val="26"/>
        </w:rPr>
        <w:t xml:space="preserve">OCA submits that PECO should not use a geographic replacement approach to expand LTIIP projects in a way that reduces the cost-effectiveness of its risk assessment and prioritization approach.  OCA comments at 9.  </w:t>
      </w:r>
    </w:p>
    <w:p w:rsidR="00D15709" w:rsidRDefault="00D15709" w:rsidP="00006037">
      <w:pPr>
        <w:pStyle w:val="p7"/>
        <w:widowControl/>
        <w:tabs>
          <w:tab w:val="clear" w:pos="782"/>
          <w:tab w:val="clear" w:pos="1133"/>
          <w:tab w:val="left" w:pos="720"/>
          <w:tab w:val="left" w:pos="1440"/>
        </w:tabs>
        <w:spacing w:line="360" w:lineRule="auto"/>
        <w:ind w:left="0" w:firstLine="1440"/>
        <w:rPr>
          <w:sz w:val="26"/>
          <w:szCs w:val="26"/>
        </w:rPr>
      </w:pPr>
    </w:p>
    <w:p w:rsidR="0077455C" w:rsidRDefault="0077455C" w:rsidP="00006037">
      <w:pPr>
        <w:pStyle w:val="p7"/>
        <w:widowControl/>
        <w:tabs>
          <w:tab w:val="clear" w:pos="782"/>
          <w:tab w:val="clear" w:pos="1133"/>
          <w:tab w:val="left" w:pos="720"/>
          <w:tab w:val="left" w:pos="1440"/>
        </w:tabs>
        <w:spacing w:line="360" w:lineRule="auto"/>
        <w:ind w:left="0" w:firstLine="1440"/>
        <w:rPr>
          <w:sz w:val="26"/>
          <w:szCs w:val="26"/>
        </w:rPr>
      </w:pPr>
      <w:r>
        <w:rPr>
          <w:sz w:val="26"/>
          <w:szCs w:val="26"/>
        </w:rPr>
        <w:t>OCA states that certain additional information may be needed to properly evaluate whether P</w:t>
      </w:r>
      <w:r w:rsidR="00ED233B">
        <w:rPr>
          <w:sz w:val="26"/>
          <w:szCs w:val="26"/>
        </w:rPr>
        <w:t>ECO</w:t>
      </w:r>
      <w:r>
        <w:rPr>
          <w:sz w:val="26"/>
          <w:szCs w:val="26"/>
        </w:rPr>
        <w:t>’s LTIIP meets all the requirements of Act 11 and the Final Implementation Order.  OCA submits that P</w:t>
      </w:r>
      <w:r w:rsidR="00ED233B">
        <w:rPr>
          <w:sz w:val="26"/>
          <w:szCs w:val="26"/>
        </w:rPr>
        <w:t>ECO</w:t>
      </w:r>
      <w:r>
        <w:rPr>
          <w:sz w:val="26"/>
          <w:szCs w:val="26"/>
        </w:rPr>
        <w:t xml:space="preserve"> should provide additional information</w:t>
      </w:r>
      <w:r w:rsidR="00881438">
        <w:rPr>
          <w:sz w:val="26"/>
          <w:szCs w:val="26"/>
        </w:rPr>
        <w:t xml:space="preserve"> on</w:t>
      </w:r>
      <w:r>
        <w:rPr>
          <w:sz w:val="26"/>
          <w:szCs w:val="26"/>
        </w:rPr>
        <w:t xml:space="preserve"> </w:t>
      </w:r>
      <w:r w:rsidR="005B53CC">
        <w:rPr>
          <w:sz w:val="26"/>
          <w:szCs w:val="26"/>
        </w:rPr>
        <w:t>the following</w:t>
      </w:r>
      <w:r>
        <w:rPr>
          <w:sz w:val="26"/>
          <w:szCs w:val="26"/>
        </w:rPr>
        <w:t xml:space="preserve"> issues</w:t>
      </w:r>
      <w:r w:rsidR="00ED233B">
        <w:rPr>
          <w:sz w:val="26"/>
          <w:szCs w:val="26"/>
        </w:rPr>
        <w:t xml:space="preserve">: </w:t>
      </w:r>
      <w:r w:rsidR="00015CE5">
        <w:rPr>
          <w:sz w:val="26"/>
          <w:szCs w:val="26"/>
        </w:rPr>
        <w:t xml:space="preserve">(1) results of risk assessments </w:t>
      </w:r>
      <w:r w:rsidR="005B53CC">
        <w:rPr>
          <w:sz w:val="26"/>
          <w:szCs w:val="26"/>
        </w:rPr>
        <w:t xml:space="preserve">used to identify at-risk piping </w:t>
      </w:r>
      <w:r w:rsidR="00015CE5">
        <w:rPr>
          <w:sz w:val="26"/>
          <w:szCs w:val="26"/>
        </w:rPr>
        <w:t>including PECO and external reports, (2) field performance data for cast iron mains and bare steel services, (3) clarification of leak data provided in Table 2 of PECO’s LTIIP, (4) for each year of the LTIIP, a breakdown of pipe replacement by size and type, (5) for each year of the LTIIP, leak histories of the projects identified for replacement, (6) leak rates per material type, (7) DOT 7100 report</w:t>
      </w:r>
      <w:r w:rsidR="00D15709">
        <w:rPr>
          <w:sz w:val="26"/>
          <w:szCs w:val="26"/>
        </w:rPr>
        <w:t>s</w:t>
      </w:r>
      <w:r w:rsidR="00015CE5">
        <w:rPr>
          <w:sz w:val="26"/>
          <w:szCs w:val="26"/>
        </w:rPr>
        <w:t xml:space="preserve"> for prior years, (8) risk analysis for the 10 year meter relocation project, and (9) additional information regarding the reclassification of mains as “transmission” facilities under PHMSA regulations. </w:t>
      </w:r>
      <w:r w:rsidR="00ED233B">
        <w:rPr>
          <w:sz w:val="26"/>
          <w:szCs w:val="26"/>
        </w:rPr>
        <w:t xml:space="preserve">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77455C" w:rsidP="0000603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In its comments, P</w:t>
      </w:r>
      <w:r w:rsidR="00015CE5">
        <w:rPr>
          <w:sz w:val="26"/>
          <w:szCs w:val="26"/>
        </w:rPr>
        <w:t>AIEU</w:t>
      </w:r>
      <w:r>
        <w:rPr>
          <w:sz w:val="26"/>
          <w:szCs w:val="26"/>
        </w:rPr>
        <w:t xml:space="preserve">G submits that the scope of investment projected for the LTIIP demands the highest degree of scrutiny by the </w:t>
      </w:r>
      <w:r w:rsidR="00881438">
        <w:rPr>
          <w:sz w:val="26"/>
          <w:szCs w:val="26"/>
        </w:rPr>
        <w:t xml:space="preserve">Commission </w:t>
      </w:r>
      <w:r>
        <w:rPr>
          <w:sz w:val="26"/>
          <w:szCs w:val="26"/>
        </w:rPr>
        <w:t xml:space="preserve">to ensure that the completed capital improvements remain reasonable </w:t>
      </w:r>
      <w:r w:rsidR="00D15709">
        <w:rPr>
          <w:sz w:val="26"/>
          <w:szCs w:val="26"/>
        </w:rPr>
        <w:t xml:space="preserve">and </w:t>
      </w:r>
      <w:r>
        <w:rPr>
          <w:sz w:val="26"/>
          <w:szCs w:val="26"/>
        </w:rPr>
        <w:t>consistent with projections outlined in the LTIIP and</w:t>
      </w:r>
      <w:r w:rsidR="00015CE5">
        <w:rPr>
          <w:sz w:val="26"/>
          <w:szCs w:val="26"/>
        </w:rPr>
        <w:t xml:space="preserve"> limited to eligible assets.  PAIE</w:t>
      </w:r>
      <w:r>
        <w:rPr>
          <w:sz w:val="26"/>
          <w:szCs w:val="26"/>
        </w:rPr>
        <w:t>UG states that the Commission should conduct ongoing reviews of any method applied by P</w:t>
      </w:r>
      <w:r w:rsidR="00015CE5">
        <w:rPr>
          <w:sz w:val="26"/>
          <w:szCs w:val="26"/>
        </w:rPr>
        <w:t>ECO</w:t>
      </w:r>
      <w:r>
        <w:rPr>
          <w:sz w:val="26"/>
          <w:szCs w:val="26"/>
        </w:rPr>
        <w:t xml:space="preserve"> to measure cost-effectiveness and should ensure that the proposed improvements will maintain safe, reliable, and reasonable service.  P</w:t>
      </w:r>
      <w:r w:rsidR="00015CE5">
        <w:rPr>
          <w:sz w:val="26"/>
          <w:szCs w:val="26"/>
        </w:rPr>
        <w:t>A</w:t>
      </w:r>
      <w:r>
        <w:rPr>
          <w:sz w:val="26"/>
          <w:szCs w:val="26"/>
        </w:rPr>
        <w:t>I</w:t>
      </w:r>
      <w:r w:rsidR="00015CE5">
        <w:rPr>
          <w:sz w:val="26"/>
          <w:szCs w:val="26"/>
        </w:rPr>
        <w:t>E</w:t>
      </w:r>
      <w:r>
        <w:rPr>
          <w:sz w:val="26"/>
          <w:szCs w:val="26"/>
        </w:rPr>
        <w:t xml:space="preserve">UG states that the Commission must ensure that only eligible equipment are included in the LTIIP and the DSIC.  </w:t>
      </w:r>
    </w:p>
    <w:p w:rsidR="00B2113A" w:rsidRDefault="00B2113A" w:rsidP="00006037">
      <w:pPr>
        <w:pStyle w:val="p7"/>
        <w:widowControl/>
        <w:tabs>
          <w:tab w:val="clear" w:pos="1133"/>
          <w:tab w:val="left" w:pos="720"/>
          <w:tab w:val="left" w:pos="1350"/>
          <w:tab w:val="left" w:pos="1440"/>
          <w:tab w:val="left" w:pos="1530"/>
        </w:tabs>
        <w:spacing w:line="360" w:lineRule="auto"/>
        <w:ind w:left="0" w:firstLine="1440"/>
        <w:rPr>
          <w:sz w:val="26"/>
          <w:szCs w:val="26"/>
        </w:rPr>
      </w:pPr>
    </w:p>
    <w:p w:rsidR="00B2113A" w:rsidRDefault="00B2113A" w:rsidP="0000603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Both OCA and PAIEUG commented on PECO’s potential LTIIP projects regarding meter relocation, </w:t>
      </w:r>
      <w:r w:rsidR="00C5276F">
        <w:rPr>
          <w:sz w:val="26"/>
          <w:szCs w:val="26"/>
        </w:rPr>
        <w:t xml:space="preserve">replacing PECO’s current gas automated meter reader system </w:t>
      </w:r>
      <w:r w:rsidR="00C5276F">
        <w:rPr>
          <w:sz w:val="26"/>
          <w:szCs w:val="26"/>
        </w:rPr>
        <w:lastRenderedPageBreak/>
        <w:t>with PECO owned modules compatible with advanced metering infrastructure a</w:t>
      </w:r>
      <w:r>
        <w:rPr>
          <w:sz w:val="26"/>
          <w:szCs w:val="26"/>
        </w:rPr>
        <w:t xml:space="preserve">nd the potential redesignation </w:t>
      </w:r>
      <w:r w:rsidR="00C5276F">
        <w:rPr>
          <w:sz w:val="26"/>
          <w:szCs w:val="26"/>
        </w:rPr>
        <w:t xml:space="preserve">and replacement of pipelines as required by </w:t>
      </w:r>
      <w:r>
        <w:rPr>
          <w:sz w:val="26"/>
          <w:szCs w:val="26"/>
        </w:rPr>
        <w:t xml:space="preserve">PHMSA </w:t>
      </w:r>
      <w:r w:rsidR="00C5276F">
        <w:rPr>
          <w:sz w:val="26"/>
          <w:szCs w:val="26"/>
        </w:rPr>
        <w:t>rules</w:t>
      </w:r>
      <w:r>
        <w:rPr>
          <w:sz w:val="26"/>
          <w:szCs w:val="26"/>
        </w:rPr>
        <w:t xml:space="preserve">.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77455C" w:rsidP="006C3310">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2372D6">
        <w:rPr>
          <w:b/>
          <w:sz w:val="26"/>
          <w:szCs w:val="26"/>
        </w:rPr>
        <w:t>Resolution</w:t>
      </w:r>
    </w:p>
    <w:p w:rsidR="0077455C" w:rsidRDefault="0077455C" w:rsidP="006C3310">
      <w:pPr>
        <w:pStyle w:val="p7"/>
        <w:keepNext/>
        <w:widowControl/>
        <w:tabs>
          <w:tab w:val="clear" w:pos="1133"/>
          <w:tab w:val="left" w:pos="720"/>
          <w:tab w:val="left" w:pos="1350"/>
          <w:tab w:val="left" w:pos="1440"/>
          <w:tab w:val="left" w:pos="1530"/>
        </w:tabs>
        <w:spacing w:line="360" w:lineRule="auto"/>
        <w:ind w:left="0"/>
        <w:rPr>
          <w:b/>
          <w:sz w:val="26"/>
          <w:szCs w:val="26"/>
        </w:rPr>
      </w:pPr>
    </w:p>
    <w:p w:rsidR="0077455C" w:rsidRPr="00F9086B"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F9086B">
        <w:rPr>
          <w:sz w:val="26"/>
          <w:szCs w:val="26"/>
        </w:rPr>
        <w:t xml:space="preserve">In response to Commission Staff data request </w:t>
      </w:r>
      <w:r w:rsidR="00457AFD">
        <w:rPr>
          <w:sz w:val="26"/>
          <w:szCs w:val="26"/>
        </w:rPr>
        <w:t>B</w:t>
      </w:r>
      <w:r w:rsidRPr="00F9086B">
        <w:rPr>
          <w:sz w:val="26"/>
          <w:szCs w:val="26"/>
        </w:rPr>
        <w:t>TUS-</w:t>
      </w:r>
      <w:r w:rsidR="00457AFD">
        <w:rPr>
          <w:sz w:val="26"/>
          <w:szCs w:val="26"/>
        </w:rPr>
        <w:t>1</w:t>
      </w:r>
      <w:r w:rsidRPr="00F9086B">
        <w:rPr>
          <w:sz w:val="26"/>
          <w:szCs w:val="26"/>
        </w:rPr>
        <w:t>-</w:t>
      </w:r>
      <w:r w:rsidR="00457AFD">
        <w:rPr>
          <w:sz w:val="26"/>
          <w:szCs w:val="26"/>
        </w:rPr>
        <w:t>5</w:t>
      </w:r>
      <w:r w:rsidRPr="00F9086B">
        <w:rPr>
          <w:sz w:val="26"/>
          <w:szCs w:val="26"/>
        </w:rPr>
        <w:t xml:space="preserve">, </w:t>
      </w:r>
      <w:r w:rsidR="00881438">
        <w:rPr>
          <w:sz w:val="26"/>
          <w:szCs w:val="26"/>
        </w:rPr>
        <w:t xml:space="preserve">requesting </w:t>
      </w:r>
      <w:r w:rsidR="00457AFD">
        <w:rPr>
          <w:sz w:val="26"/>
          <w:szCs w:val="26"/>
        </w:rPr>
        <w:t xml:space="preserve">results of risk assessments for mains and services, </w:t>
      </w:r>
      <w:r w:rsidRPr="00F9086B">
        <w:rPr>
          <w:sz w:val="26"/>
          <w:szCs w:val="26"/>
        </w:rPr>
        <w:t>P</w:t>
      </w:r>
      <w:r w:rsidR="00457AFD">
        <w:rPr>
          <w:sz w:val="26"/>
          <w:szCs w:val="26"/>
        </w:rPr>
        <w:t>ECO</w:t>
      </w:r>
      <w:r w:rsidRPr="00F9086B">
        <w:rPr>
          <w:sz w:val="26"/>
          <w:szCs w:val="26"/>
        </w:rPr>
        <w:t xml:space="preserve"> states that </w:t>
      </w:r>
      <w:r w:rsidR="00D15709">
        <w:rPr>
          <w:sz w:val="26"/>
          <w:szCs w:val="26"/>
        </w:rPr>
        <w:t>it</w:t>
      </w:r>
      <w:r w:rsidR="00457AFD">
        <w:rPr>
          <w:sz w:val="26"/>
          <w:szCs w:val="26"/>
        </w:rPr>
        <w:t xml:space="preserve"> created a risk model to meet the requirements of </w:t>
      </w:r>
      <w:r w:rsidR="00D15709">
        <w:rPr>
          <w:sz w:val="26"/>
          <w:szCs w:val="26"/>
        </w:rPr>
        <w:t xml:space="preserve">the </w:t>
      </w:r>
      <w:r w:rsidR="00457AFD">
        <w:rPr>
          <w:sz w:val="26"/>
          <w:szCs w:val="26"/>
        </w:rPr>
        <w:t xml:space="preserve">DIMP Plan, specifically 49 CFR 192 Subpart P.  </w:t>
      </w:r>
      <w:r w:rsidRPr="00F9086B">
        <w:rPr>
          <w:sz w:val="26"/>
          <w:szCs w:val="26"/>
        </w:rPr>
        <w:t xml:space="preserve">  </w:t>
      </w:r>
    </w:p>
    <w:p w:rsidR="0077455C" w:rsidRPr="00F9086B"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F9086B">
        <w:rPr>
          <w:sz w:val="26"/>
          <w:szCs w:val="26"/>
        </w:rPr>
        <w:t xml:space="preserve">In response to Commission Staff data request </w:t>
      </w:r>
      <w:r w:rsidR="00457AFD">
        <w:rPr>
          <w:sz w:val="26"/>
          <w:szCs w:val="26"/>
        </w:rPr>
        <w:t>B</w:t>
      </w:r>
      <w:r w:rsidRPr="00F9086B">
        <w:rPr>
          <w:sz w:val="26"/>
          <w:szCs w:val="26"/>
        </w:rPr>
        <w:t>TUS-</w:t>
      </w:r>
      <w:r w:rsidR="00457AFD">
        <w:rPr>
          <w:sz w:val="26"/>
          <w:szCs w:val="26"/>
        </w:rPr>
        <w:t>1</w:t>
      </w:r>
      <w:r w:rsidRPr="00F9086B">
        <w:rPr>
          <w:sz w:val="26"/>
          <w:szCs w:val="26"/>
        </w:rPr>
        <w:t>-</w:t>
      </w:r>
      <w:r w:rsidR="00457AFD">
        <w:rPr>
          <w:sz w:val="26"/>
          <w:szCs w:val="26"/>
        </w:rPr>
        <w:t>6</w:t>
      </w:r>
      <w:r w:rsidRPr="00F9086B">
        <w:rPr>
          <w:sz w:val="26"/>
          <w:szCs w:val="26"/>
        </w:rPr>
        <w:t>, request</w:t>
      </w:r>
      <w:r w:rsidR="00881438">
        <w:rPr>
          <w:sz w:val="26"/>
          <w:szCs w:val="26"/>
        </w:rPr>
        <w:t>ing</w:t>
      </w:r>
      <w:r w:rsidRPr="00F9086B">
        <w:rPr>
          <w:sz w:val="26"/>
          <w:szCs w:val="26"/>
        </w:rPr>
        <w:t xml:space="preserve"> </w:t>
      </w:r>
      <w:r w:rsidR="00457AFD">
        <w:rPr>
          <w:sz w:val="26"/>
          <w:szCs w:val="26"/>
        </w:rPr>
        <w:t xml:space="preserve">separate field performance for cast iron main as well as bare steel service, PECO clarifies that 86% of system leaks are leaks on bare steel mains, bare steel services, cast iron mains, wrought iron mains and ductile iron mains.  To further clarify, of those 86% of system leaks, 24% were on bare steel services and 16% were on cast iron mains.  </w:t>
      </w:r>
    </w:p>
    <w:p w:rsidR="00457AFD" w:rsidRPr="00F9086B" w:rsidRDefault="00457AFD"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F9086B">
        <w:rPr>
          <w:sz w:val="26"/>
          <w:szCs w:val="26"/>
        </w:rPr>
        <w:t xml:space="preserve">In response to Commission Staff data request </w:t>
      </w:r>
      <w:r w:rsidR="00457AFD">
        <w:rPr>
          <w:sz w:val="26"/>
          <w:szCs w:val="26"/>
        </w:rPr>
        <w:t>B</w:t>
      </w:r>
      <w:r w:rsidRPr="00F9086B">
        <w:rPr>
          <w:sz w:val="26"/>
          <w:szCs w:val="26"/>
        </w:rPr>
        <w:t>TUS-</w:t>
      </w:r>
      <w:r w:rsidR="00457AFD">
        <w:rPr>
          <w:sz w:val="26"/>
          <w:szCs w:val="26"/>
        </w:rPr>
        <w:t>1</w:t>
      </w:r>
      <w:r w:rsidRPr="00F9086B">
        <w:rPr>
          <w:sz w:val="26"/>
          <w:szCs w:val="26"/>
        </w:rPr>
        <w:t xml:space="preserve">-7, </w:t>
      </w:r>
      <w:r w:rsidR="00457AFD">
        <w:rPr>
          <w:sz w:val="26"/>
          <w:szCs w:val="26"/>
        </w:rPr>
        <w:t xml:space="preserve">regarding Table 2 of the LTTIP, PECO provides that these are leaks repaired in a given year (2011).  </w:t>
      </w:r>
    </w:p>
    <w:p w:rsidR="00457AFD" w:rsidRDefault="00457AFD"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5B53CC" w:rsidRDefault="00457AFD" w:rsidP="005B53CC">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In response to Commission Staff data request BTUS-1-8 and BTUS-1-9, requesting a breakdown of pipe replacement by year and diameter and leak histories of projects, PECO asserts </w:t>
      </w:r>
      <w:r w:rsidR="005B53CC">
        <w:rPr>
          <w:sz w:val="26"/>
          <w:szCs w:val="26"/>
        </w:rPr>
        <w:t>that main and service replacements are as detailed in Table 4 above.  Mains selected for replacement under the baseline program are based on failures in the materials.  Mains replaced under the baseline program have been predominantly bare steel and cast iron.  Mains targeted as part of the accelerated program will be bare steel, cast iron, wrought iron or ductile iron.  Projects may need to be scheduled to coordinate with PennDOT, local governments, SEPTA or other utilities.  There may also be variability in the mileage for both baseline and accelerated programs due to uncertainty in costs.  A more favorable cost may allow for more mileage or services replaced per program year.</w:t>
      </w:r>
    </w:p>
    <w:p w:rsidR="005D20FF" w:rsidRDefault="005D20FF"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lastRenderedPageBreak/>
        <w:t>In response to Commission Staff data request BTUS-1-10, regarding leak rates for mains and services, PECO provided the following info</w:t>
      </w:r>
      <w:r w:rsidR="00A051A3">
        <w:rPr>
          <w:sz w:val="26"/>
          <w:szCs w:val="26"/>
        </w:rPr>
        <w:t>rmation based on 2011 data</w:t>
      </w:r>
      <w:r>
        <w:rPr>
          <w:sz w:val="26"/>
          <w:szCs w:val="26"/>
        </w:rPr>
        <w:t>:</w:t>
      </w:r>
    </w:p>
    <w:p w:rsidR="006B25C0" w:rsidRDefault="006B25C0">
      <w:pPr>
        <w:widowControl/>
        <w:autoSpaceDE/>
        <w:autoSpaceDN/>
        <w:adjustRightInd/>
        <w:rPr>
          <w:sz w:val="26"/>
          <w:szCs w:val="26"/>
        </w:rPr>
      </w:pPr>
    </w:p>
    <w:p w:rsidR="005D20FF" w:rsidRPr="00A051A3" w:rsidRDefault="005D20FF" w:rsidP="00773D87">
      <w:pPr>
        <w:pStyle w:val="p7"/>
        <w:widowControl/>
        <w:tabs>
          <w:tab w:val="clear" w:pos="1133"/>
          <w:tab w:val="left" w:pos="720"/>
          <w:tab w:val="left" w:pos="1350"/>
          <w:tab w:val="left" w:pos="1440"/>
          <w:tab w:val="left" w:pos="1530"/>
        </w:tabs>
        <w:spacing w:line="360" w:lineRule="auto"/>
        <w:ind w:left="0" w:firstLine="1440"/>
        <w:rPr>
          <w:b/>
          <w:sz w:val="26"/>
          <w:szCs w:val="26"/>
          <w:u w:val="single"/>
        </w:rPr>
      </w:pPr>
      <w:r w:rsidRPr="00A051A3">
        <w:rPr>
          <w:b/>
          <w:sz w:val="26"/>
          <w:szCs w:val="26"/>
          <w:u w:val="single"/>
        </w:rPr>
        <w:t>Service leak rates per 1000 services</w:t>
      </w:r>
    </w:p>
    <w:p w:rsidR="005D20FF" w:rsidRDefault="005D20FF"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Bare steel – 28.33</w:t>
      </w:r>
    </w:p>
    <w:p w:rsidR="005D20FF" w:rsidRDefault="005D20FF"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Plastic services – 1.53</w:t>
      </w:r>
    </w:p>
    <w:p w:rsidR="00457AFD" w:rsidRDefault="00457AFD" w:rsidP="00773D87">
      <w:pPr>
        <w:pStyle w:val="p7"/>
        <w:widowControl/>
        <w:tabs>
          <w:tab w:val="clear" w:pos="1133"/>
          <w:tab w:val="left" w:pos="720"/>
          <w:tab w:val="left" w:pos="1350"/>
          <w:tab w:val="left" w:pos="1440"/>
          <w:tab w:val="left" w:pos="1530"/>
        </w:tabs>
        <w:spacing w:line="360" w:lineRule="auto"/>
        <w:ind w:left="0" w:firstLine="1440"/>
        <w:rPr>
          <w:b/>
          <w:sz w:val="26"/>
          <w:szCs w:val="26"/>
        </w:rPr>
      </w:pPr>
    </w:p>
    <w:p w:rsidR="005D20FF" w:rsidRPr="00A051A3" w:rsidRDefault="005D20FF" w:rsidP="00773D87">
      <w:pPr>
        <w:pStyle w:val="p7"/>
        <w:widowControl/>
        <w:tabs>
          <w:tab w:val="clear" w:pos="1133"/>
          <w:tab w:val="left" w:pos="720"/>
          <w:tab w:val="left" w:pos="1350"/>
          <w:tab w:val="left" w:pos="1440"/>
          <w:tab w:val="left" w:pos="1530"/>
        </w:tabs>
        <w:spacing w:line="360" w:lineRule="auto"/>
        <w:ind w:left="0" w:firstLine="1440"/>
        <w:rPr>
          <w:b/>
          <w:sz w:val="26"/>
          <w:szCs w:val="26"/>
          <w:u w:val="single"/>
        </w:rPr>
      </w:pPr>
      <w:r w:rsidRPr="00A051A3">
        <w:rPr>
          <w:b/>
          <w:sz w:val="26"/>
          <w:szCs w:val="26"/>
          <w:u w:val="single"/>
        </w:rPr>
        <w:t>Main leak rates (all diameters – per mile of main)</w:t>
      </w:r>
    </w:p>
    <w:p w:rsidR="005D20FF" w:rsidRDefault="005D20FF"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5D20FF">
        <w:rPr>
          <w:sz w:val="26"/>
          <w:szCs w:val="26"/>
        </w:rPr>
        <w:t>Bare steel – 7.04</w:t>
      </w:r>
    </w:p>
    <w:p w:rsidR="005D20FF" w:rsidRDefault="005D20FF"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Wrought iron – 3.19</w:t>
      </w:r>
    </w:p>
    <w:p w:rsidR="005D20FF" w:rsidRDefault="005D20FF"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Ductile iron </w:t>
      </w:r>
      <w:r w:rsidR="00A051A3">
        <w:rPr>
          <w:sz w:val="26"/>
          <w:szCs w:val="26"/>
        </w:rPr>
        <w:t>–</w:t>
      </w:r>
      <w:r>
        <w:rPr>
          <w:sz w:val="26"/>
          <w:szCs w:val="26"/>
        </w:rPr>
        <w:t xml:space="preserve"> </w:t>
      </w:r>
      <w:r w:rsidR="00A051A3">
        <w:rPr>
          <w:sz w:val="26"/>
          <w:szCs w:val="26"/>
        </w:rPr>
        <w:t>1.96</w:t>
      </w:r>
    </w:p>
    <w:p w:rsidR="00A051A3" w:rsidRDefault="00A051A3"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Cast iron – 1.03</w:t>
      </w:r>
    </w:p>
    <w:p w:rsidR="00A051A3" w:rsidRPr="005D20FF" w:rsidRDefault="00A051A3"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Plastic – 0.02</w:t>
      </w:r>
    </w:p>
    <w:p w:rsidR="005D20FF" w:rsidRPr="005D20FF" w:rsidRDefault="005D20FF"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354CD1"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607D1C">
        <w:rPr>
          <w:sz w:val="26"/>
          <w:szCs w:val="26"/>
        </w:rPr>
        <w:t>The Commission</w:t>
      </w:r>
      <w:r>
        <w:rPr>
          <w:sz w:val="26"/>
          <w:szCs w:val="26"/>
        </w:rPr>
        <w:t xml:space="preserve"> has reviewed P</w:t>
      </w:r>
      <w:r w:rsidR="00BC7269">
        <w:rPr>
          <w:sz w:val="26"/>
          <w:szCs w:val="26"/>
        </w:rPr>
        <w:t>A</w:t>
      </w:r>
      <w:r>
        <w:rPr>
          <w:sz w:val="26"/>
          <w:szCs w:val="26"/>
        </w:rPr>
        <w:t>I</w:t>
      </w:r>
      <w:r w:rsidR="00BC7269">
        <w:rPr>
          <w:sz w:val="26"/>
          <w:szCs w:val="26"/>
        </w:rPr>
        <w:t>EU</w:t>
      </w:r>
      <w:r>
        <w:rPr>
          <w:sz w:val="26"/>
          <w:szCs w:val="26"/>
        </w:rPr>
        <w:t>G’s comments and agrees</w:t>
      </w:r>
      <w:r w:rsidR="00597F51">
        <w:rPr>
          <w:sz w:val="26"/>
          <w:szCs w:val="26"/>
        </w:rPr>
        <w:t xml:space="preserve"> that</w:t>
      </w:r>
      <w:r>
        <w:rPr>
          <w:sz w:val="26"/>
          <w:szCs w:val="26"/>
        </w:rPr>
        <w:t xml:space="preserve"> it is necessary to continually measure cost-effectiveness of the LTIIP and </w:t>
      </w:r>
      <w:r w:rsidR="00B12897">
        <w:rPr>
          <w:sz w:val="26"/>
          <w:szCs w:val="26"/>
        </w:rPr>
        <w:t>to make sure that the property for which recovery is sought in the DSIC mechanism is consistent with the LTIIP</w:t>
      </w:r>
      <w:r w:rsidR="00354CD1">
        <w:rPr>
          <w:sz w:val="26"/>
          <w:szCs w:val="26"/>
        </w:rPr>
        <w:t xml:space="preserve"> and is DSIC</w:t>
      </w:r>
      <w:r w:rsidR="006C3310">
        <w:rPr>
          <w:sz w:val="26"/>
          <w:szCs w:val="26"/>
        </w:rPr>
        <w:t>-</w:t>
      </w:r>
      <w:r w:rsidR="00354CD1">
        <w:rPr>
          <w:sz w:val="26"/>
          <w:szCs w:val="26"/>
        </w:rPr>
        <w:t xml:space="preserve">eligible.  </w:t>
      </w:r>
    </w:p>
    <w:p w:rsidR="00632C81" w:rsidRDefault="00632C81"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632C81" w:rsidRDefault="00632C81" w:rsidP="00632C81">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In any event, as stated in the Final Implementation Order, a Commission approved LTIIP is subject to periodic review, and the Commission, and the process for the periodic review of approved LTIIPs is being addressed in a rulemaking at L-2012-2317274.  The Commission has issued that proposed rulemaking to provide a comprehensive process for the ongoing review of approved LTIIPs and to ensure that all utilities remain in compliance with their respective LTIIPs.  </w:t>
      </w:r>
    </w:p>
    <w:p w:rsidR="00B2113A" w:rsidRDefault="00B2113A"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B2113A" w:rsidRDefault="00B2113A"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In regards to the three potential LTIIP projects </w:t>
      </w:r>
      <w:r w:rsidR="00551F10">
        <w:rPr>
          <w:sz w:val="26"/>
          <w:szCs w:val="26"/>
        </w:rPr>
        <w:t xml:space="preserve">that PECO has described in the LTIIP </w:t>
      </w:r>
      <w:r w:rsidR="00D15709">
        <w:rPr>
          <w:sz w:val="26"/>
          <w:szCs w:val="26"/>
        </w:rPr>
        <w:t xml:space="preserve">– (1) meter relocation as </w:t>
      </w:r>
      <w:r w:rsidR="00D670C3">
        <w:rPr>
          <w:sz w:val="26"/>
          <w:szCs w:val="26"/>
        </w:rPr>
        <w:t xml:space="preserve">may be </w:t>
      </w:r>
      <w:r w:rsidR="00D15709">
        <w:rPr>
          <w:sz w:val="26"/>
          <w:szCs w:val="26"/>
        </w:rPr>
        <w:t>required by</w:t>
      </w:r>
      <w:r w:rsidR="006B25C0">
        <w:rPr>
          <w:sz w:val="26"/>
          <w:szCs w:val="26"/>
        </w:rPr>
        <w:t xml:space="preserve"> pending decision in Docket </w:t>
      </w:r>
      <w:r w:rsidR="006B25C0">
        <w:rPr>
          <w:sz w:val="26"/>
          <w:szCs w:val="26"/>
        </w:rPr>
        <w:lastRenderedPageBreak/>
        <w:t>No. </w:t>
      </w:r>
      <w:r w:rsidR="00D15709">
        <w:rPr>
          <w:sz w:val="26"/>
          <w:szCs w:val="26"/>
        </w:rPr>
        <w:t xml:space="preserve">L-2009-2107155, (2) </w:t>
      </w:r>
      <w:r w:rsidR="00551F10">
        <w:rPr>
          <w:sz w:val="26"/>
          <w:szCs w:val="26"/>
        </w:rPr>
        <w:t>replacement of PECO’s curren</w:t>
      </w:r>
      <w:r w:rsidR="00D15709">
        <w:rPr>
          <w:sz w:val="26"/>
          <w:szCs w:val="26"/>
        </w:rPr>
        <w:t>t AMR modules with</w:t>
      </w:r>
      <w:r w:rsidR="00551F10">
        <w:rPr>
          <w:sz w:val="26"/>
          <w:szCs w:val="26"/>
        </w:rPr>
        <w:t xml:space="preserve"> </w:t>
      </w:r>
      <w:r>
        <w:rPr>
          <w:sz w:val="26"/>
          <w:szCs w:val="26"/>
        </w:rPr>
        <w:t>AMI</w:t>
      </w:r>
      <w:r w:rsidR="00D15709">
        <w:rPr>
          <w:sz w:val="26"/>
          <w:szCs w:val="26"/>
        </w:rPr>
        <w:t xml:space="preserve"> compatible equipment</w:t>
      </w:r>
      <w:r>
        <w:rPr>
          <w:sz w:val="26"/>
          <w:szCs w:val="26"/>
        </w:rPr>
        <w:t xml:space="preserve">, and </w:t>
      </w:r>
      <w:r w:rsidR="00D15709">
        <w:rPr>
          <w:sz w:val="26"/>
          <w:szCs w:val="26"/>
        </w:rPr>
        <w:t xml:space="preserve">(3) </w:t>
      </w:r>
      <w:r>
        <w:rPr>
          <w:sz w:val="26"/>
          <w:szCs w:val="26"/>
        </w:rPr>
        <w:t>pipeline re</w:t>
      </w:r>
      <w:r w:rsidR="00551F10">
        <w:rPr>
          <w:sz w:val="26"/>
          <w:szCs w:val="26"/>
        </w:rPr>
        <w:t xml:space="preserve">placement as a result of </w:t>
      </w:r>
      <w:r w:rsidR="00D15709">
        <w:rPr>
          <w:sz w:val="26"/>
          <w:szCs w:val="26"/>
        </w:rPr>
        <w:t xml:space="preserve">pending </w:t>
      </w:r>
      <w:r w:rsidR="00551F10">
        <w:rPr>
          <w:sz w:val="26"/>
          <w:szCs w:val="26"/>
        </w:rPr>
        <w:t>PHMSA</w:t>
      </w:r>
      <w:r w:rsidR="00D15709">
        <w:rPr>
          <w:sz w:val="26"/>
          <w:szCs w:val="26"/>
        </w:rPr>
        <w:t xml:space="preserve"> </w:t>
      </w:r>
      <w:r w:rsidR="00551F10">
        <w:rPr>
          <w:sz w:val="26"/>
          <w:szCs w:val="26"/>
        </w:rPr>
        <w:t>rules</w:t>
      </w:r>
      <w:r>
        <w:rPr>
          <w:sz w:val="26"/>
          <w:szCs w:val="26"/>
        </w:rPr>
        <w:t xml:space="preserve">, the Commission does not have enough information to approve these potential projects.  As PECO did not provide any cost information on these projects, the Commission does not approve these projects as part of this LTIIP.  PECO must submit cost information and </w:t>
      </w:r>
      <w:r w:rsidR="00D15709">
        <w:rPr>
          <w:sz w:val="26"/>
          <w:szCs w:val="26"/>
        </w:rPr>
        <w:t xml:space="preserve">project details for </w:t>
      </w:r>
      <w:r>
        <w:rPr>
          <w:sz w:val="26"/>
          <w:szCs w:val="26"/>
        </w:rPr>
        <w:t xml:space="preserve">Commission </w:t>
      </w:r>
      <w:r w:rsidR="00D15709">
        <w:rPr>
          <w:sz w:val="26"/>
          <w:szCs w:val="26"/>
        </w:rPr>
        <w:t xml:space="preserve">approval </w:t>
      </w:r>
      <w:r>
        <w:rPr>
          <w:sz w:val="26"/>
          <w:szCs w:val="26"/>
        </w:rPr>
        <w:t xml:space="preserve">to modify the LTIIP in the future to include these projects.  </w:t>
      </w:r>
    </w:p>
    <w:p w:rsidR="0077455C" w:rsidRPr="00607D1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1D17D8" w:rsidP="00773D87">
      <w:pPr>
        <w:pStyle w:val="p2"/>
        <w:widowControl/>
        <w:spacing w:line="360" w:lineRule="auto"/>
        <w:ind w:firstLine="1440"/>
        <w:rPr>
          <w:sz w:val="26"/>
          <w:szCs w:val="26"/>
        </w:rPr>
      </w:pPr>
      <w:r>
        <w:rPr>
          <w:sz w:val="26"/>
          <w:szCs w:val="26"/>
        </w:rPr>
        <w:tab/>
        <w:t>Upon review of PECO</w:t>
      </w:r>
      <w:r w:rsidR="0077455C">
        <w:rPr>
          <w:sz w:val="26"/>
          <w:szCs w:val="26"/>
        </w:rPr>
        <w:t>’s LTIIP and all supplemental information filed, the Commission finds that the reasonable estimates of the quantity of property to be improved and the projected annual expenditures and measures to ensure that the plan is cost effective</w:t>
      </w:r>
      <w:r w:rsidR="00D15709">
        <w:rPr>
          <w:sz w:val="26"/>
          <w:szCs w:val="26"/>
        </w:rPr>
        <w:t xml:space="preserve">, </w:t>
      </w:r>
      <w:r w:rsidR="0077455C">
        <w:rPr>
          <w:sz w:val="26"/>
          <w:szCs w:val="26"/>
        </w:rPr>
        <w:t xml:space="preserve"> requirements of element</w:t>
      </w:r>
      <w:r w:rsidR="00D15709">
        <w:rPr>
          <w:sz w:val="26"/>
          <w:szCs w:val="26"/>
        </w:rPr>
        <w:t>s</w:t>
      </w:r>
      <w:r w:rsidR="0077455C">
        <w:rPr>
          <w:sz w:val="26"/>
          <w:szCs w:val="26"/>
        </w:rPr>
        <w:t xml:space="preserve"> four and five of the Final Implementation Order of Act 11 ha</w:t>
      </w:r>
      <w:r w:rsidR="00D15709">
        <w:rPr>
          <w:sz w:val="26"/>
          <w:szCs w:val="26"/>
        </w:rPr>
        <w:t>ve</w:t>
      </w:r>
      <w:r w:rsidR="0077455C">
        <w:rPr>
          <w:sz w:val="26"/>
          <w:szCs w:val="26"/>
        </w:rPr>
        <w:t xml:space="preserve"> been fulfilled</w:t>
      </w:r>
      <w:r w:rsidR="00D15709">
        <w:rPr>
          <w:sz w:val="26"/>
          <w:szCs w:val="26"/>
        </w:rPr>
        <w:t>, except for the three projects noted above</w:t>
      </w:r>
      <w:r w:rsidR="0077455C">
        <w:rPr>
          <w:sz w:val="26"/>
          <w:szCs w:val="26"/>
        </w:rPr>
        <w:t>.  The Commission acknowledges the level of detail contained within the LTIIP for item</w:t>
      </w:r>
      <w:r>
        <w:rPr>
          <w:sz w:val="26"/>
          <w:szCs w:val="26"/>
        </w:rPr>
        <w:t>s</w:t>
      </w:r>
      <w:r w:rsidR="0077455C">
        <w:rPr>
          <w:sz w:val="26"/>
          <w:szCs w:val="26"/>
        </w:rPr>
        <w:t xml:space="preserve"> four and five conforms to Commission requirements and is presented in a manner that allows for complete and efficient review of, and reference to, these materials</w:t>
      </w:r>
      <w:r w:rsidR="00D15709">
        <w:rPr>
          <w:sz w:val="26"/>
          <w:szCs w:val="26"/>
        </w:rPr>
        <w:t>, except for the three projects noted above</w:t>
      </w:r>
      <w:r w:rsidR="0077455C">
        <w:rPr>
          <w:sz w:val="26"/>
          <w:szCs w:val="26"/>
        </w:rPr>
        <w:t xml:space="preserve">.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135912" w:rsidP="00135912">
      <w:pPr>
        <w:pStyle w:val="p2"/>
        <w:widowControl/>
        <w:ind w:left="720" w:firstLine="0"/>
        <w:rPr>
          <w:b/>
          <w:sz w:val="26"/>
          <w:szCs w:val="26"/>
        </w:rPr>
      </w:pPr>
      <w:r>
        <w:rPr>
          <w:b/>
          <w:sz w:val="26"/>
          <w:szCs w:val="26"/>
        </w:rPr>
        <w:t xml:space="preserve">(6) </w:t>
      </w:r>
      <w:r w:rsidR="0077455C">
        <w:rPr>
          <w:b/>
          <w:sz w:val="26"/>
          <w:szCs w:val="26"/>
        </w:rPr>
        <w:t>ACCELERATED</w:t>
      </w:r>
      <w:r w:rsidR="00F37ED8">
        <w:rPr>
          <w:b/>
          <w:sz w:val="26"/>
          <w:szCs w:val="26"/>
        </w:rPr>
        <w:t xml:space="preserve"> </w:t>
      </w:r>
      <w:r w:rsidR="0077455C">
        <w:rPr>
          <w:b/>
          <w:sz w:val="26"/>
          <w:szCs w:val="26"/>
        </w:rPr>
        <w:t xml:space="preserve">REPLACEMENT </w:t>
      </w:r>
      <w:r w:rsidR="00F37ED8">
        <w:rPr>
          <w:b/>
          <w:sz w:val="26"/>
          <w:szCs w:val="26"/>
        </w:rPr>
        <w:t>AND</w:t>
      </w:r>
      <w:r w:rsidR="0077455C">
        <w:rPr>
          <w:b/>
          <w:sz w:val="26"/>
          <w:szCs w:val="26"/>
        </w:rPr>
        <w:t xml:space="preserve"> MAINTAIN</w:t>
      </w:r>
      <w:r w:rsidR="00F37ED8">
        <w:rPr>
          <w:b/>
          <w:sz w:val="26"/>
          <w:szCs w:val="26"/>
        </w:rPr>
        <w:t>ING</w:t>
      </w:r>
      <w:r w:rsidR="0077455C">
        <w:rPr>
          <w:b/>
          <w:sz w:val="26"/>
          <w:szCs w:val="26"/>
        </w:rPr>
        <w:t xml:space="preserve"> SAFE AND RELIABLE SERVICE</w:t>
      </w:r>
    </w:p>
    <w:p w:rsidR="0077455C" w:rsidRPr="000F5E3D" w:rsidRDefault="0077455C" w:rsidP="00773D87">
      <w:pPr>
        <w:pStyle w:val="p2"/>
        <w:widowControl/>
        <w:spacing w:line="360" w:lineRule="auto"/>
        <w:ind w:firstLine="0"/>
        <w:jc w:val="center"/>
        <w:rPr>
          <w:sz w:val="26"/>
          <w:szCs w:val="26"/>
        </w:rPr>
      </w:pPr>
    </w:p>
    <w:p w:rsidR="0077455C" w:rsidRPr="008A049C" w:rsidRDefault="009B34F7" w:rsidP="00773D87">
      <w:pPr>
        <w:pStyle w:val="p2"/>
        <w:widowControl/>
        <w:tabs>
          <w:tab w:val="left" w:pos="720"/>
          <w:tab w:val="left" w:pos="810"/>
        </w:tabs>
        <w:spacing w:line="360" w:lineRule="auto"/>
        <w:ind w:firstLine="0"/>
        <w:rPr>
          <w:b/>
          <w:sz w:val="26"/>
          <w:szCs w:val="26"/>
        </w:rPr>
      </w:pPr>
      <w:r>
        <w:rPr>
          <w:b/>
          <w:sz w:val="26"/>
          <w:szCs w:val="26"/>
        </w:rPr>
        <w:t>PECO</w:t>
      </w:r>
      <w:r w:rsidR="0077455C" w:rsidRPr="008A049C">
        <w:rPr>
          <w:b/>
          <w:sz w:val="26"/>
          <w:szCs w:val="26"/>
        </w:rPr>
        <w:t xml:space="preserve"> Position </w:t>
      </w:r>
    </w:p>
    <w:p w:rsidR="0077455C" w:rsidRDefault="0077455C" w:rsidP="00773D87">
      <w:pPr>
        <w:pStyle w:val="p2"/>
        <w:widowControl/>
        <w:tabs>
          <w:tab w:val="left" w:pos="720"/>
        </w:tabs>
        <w:spacing w:line="360" w:lineRule="auto"/>
        <w:ind w:firstLine="0"/>
        <w:rPr>
          <w:b/>
          <w:sz w:val="26"/>
          <w:szCs w:val="26"/>
        </w:rPr>
      </w:pPr>
    </w:p>
    <w:p w:rsidR="00FF785D" w:rsidRDefault="0077455C" w:rsidP="00773D87">
      <w:pPr>
        <w:pStyle w:val="p2"/>
        <w:widowControl/>
        <w:tabs>
          <w:tab w:val="left" w:pos="720"/>
        </w:tabs>
        <w:spacing w:line="360" w:lineRule="auto"/>
        <w:ind w:firstLine="1440"/>
        <w:rPr>
          <w:sz w:val="26"/>
          <w:szCs w:val="26"/>
        </w:rPr>
      </w:pPr>
      <w:r>
        <w:rPr>
          <w:b/>
          <w:sz w:val="26"/>
          <w:szCs w:val="26"/>
        </w:rPr>
        <w:tab/>
      </w:r>
      <w:r w:rsidR="00FF785D" w:rsidRPr="00FF785D">
        <w:rPr>
          <w:sz w:val="26"/>
          <w:szCs w:val="26"/>
        </w:rPr>
        <w:t>PECO will modernize all of the cast iron and bare steel mains in its gas system wi</w:t>
      </w:r>
      <w:r w:rsidR="00FF785D">
        <w:rPr>
          <w:sz w:val="26"/>
          <w:szCs w:val="26"/>
        </w:rPr>
        <w:t>t</w:t>
      </w:r>
      <w:r w:rsidR="00FF785D" w:rsidRPr="00FF785D">
        <w:rPr>
          <w:sz w:val="26"/>
          <w:szCs w:val="26"/>
        </w:rPr>
        <w:t>hin approximately 34 years.  This represents a significant acceleration over the 85-year replacement plan</w:t>
      </w:r>
      <w:r w:rsidR="00D15709">
        <w:rPr>
          <w:sz w:val="26"/>
          <w:szCs w:val="26"/>
        </w:rPr>
        <w:t xml:space="preserve"> that existed prior to acceleration</w:t>
      </w:r>
      <w:r w:rsidR="00FF785D" w:rsidRPr="00FF785D">
        <w:rPr>
          <w:sz w:val="26"/>
          <w:szCs w:val="26"/>
        </w:rPr>
        <w:t>.</w:t>
      </w:r>
      <w:r w:rsidR="00FF785D">
        <w:rPr>
          <w:b/>
          <w:sz w:val="26"/>
          <w:szCs w:val="26"/>
        </w:rPr>
        <w:t xml:space="preserve">  </w:t>
      </w:r>
      <w:r w:rsidR="00FF785D" w:rsidRPr="00FF785D">
        <w:rPr>
          <w:sz w:val="26"/>
          <w:szCs w:val="26"/>
        </w:rPr>
        <w:t xml:space="preserve">LTIIP at 20.  </w:t>
      </w:r>
    </w:p>
    <w:p w:rsidR="00632C81" w:rsidRDefault="00632C81" w:rsidP="00773D87">
      <w:pPr>
        <w:pStyle w:val="p2"/>
        <w:widowControl/>
        <w:tabs>
          <w:tab w:val="left" w:pos="720"/>
        </w:tabs>
        <w:spacing w:line="360" w:lineRule="auto"/>
        <w:ind w:firstLine="1440"/>
        <w:rPr>
          <w:sz w:val="26"/>
          <w:szCs w:val="26"/>
        </w:rPr>
      </w:pPr>
    </w:p>
    <w:p w:rsidR="00FF785D" w:rsidRPr="00FF785D" w:rsidRDefault="00FF785D" w:rsidP="00773D87">
      <w:pPr>
        <w:pStyle w:val="p2"/>
        <w:widowControl/>
        <w:tabs>
          <w:tab w:val="left" w:pos="720"/>
        </w:tabs>
        <w:spacing w:line="360" w:lineRule="auto"/>
        <w:ind w:firstLine="1440"/>
        <w:rPr>
          <w:sz w:val="26"/>
          <w:szCs w:val="26"/>
        </w:rPr>
      </w:pPr>
      <w:r>
        <w:rPr>
          <w:sz w:val="26"/>
          <w:szCs w:val="26"/>
        </w:rPr>
        <w:t xml:space="preserve">All bare steel services will be modernized within 10 </w:t>
      </w:r>
      <w:r w:rsidR="001D17D8">
        <w:rPr>
          <w:sz w:val="26"/>
          <w:szCs w:val="26"/>
        </w:rPr>
        <w:t>years</w:t>
      </w:r>
      <w:r w:rsidR="006B25C0">
        <w:rPr>
          <w:sz w:val="26"/>
          <w:szCs w:val="26"/>
        </w:rPr>
        <w:t xml:space="preserve"> versus the 22 </w:t>
      </w:r>
      <w:r>
        <w:rPr>
          <w:sz w:val="26"/>
          <w:szCs w:val="26"/>
        </w:rPr>
        <w:t xml:space="preserve">year replacement period that existed prior to acceleration.  </w:t>
      </w:r>
    </w:p>
    <w:p w:rsidR="0077455C" w:rsidRDefault="0077455C" w:rsidP="00773D87">
      <w:pPr>
        <w:pStyle w:val="p2"/>
        <w:widowControl/>
        <w:tabs>
          <w:tab w:val="left" w:pos="720"/>
        </w:tabs>
        <w:spacing w:line="360" w:lineRule="auto"/>
        <w:ind w:firstLine="1440"/>
        <w:rPr>
          <w:b/>
          <w:sz w:val="26"/>
          <w:szCs w:val="26"/>
        </w:rPr>
      </w:pPr>
    </w:p>
    <w:p w:rsidR="001D17D8" w:rsidRDefault="001D17D8" w:rsidP="00773D87">
      <w:pPr>
        <w:pStyle w:val="p2"/>
        <w:widowControl/>
        <w:tabs>
          <w:tab w:val="left" w:pos="720"/>
        </w:tabs>
        <w:spacing w:line="360" w:lineRule="auto"/>
        <w:ind w:firstLine="1440"/>
        <w:rPr>
          <w:b/>
          <w:sz w:val="26"/>
          <w:szCs w:val="26"/>
        </w:rPr>
      </w:pPr>
    </w:p>
    <w:p w:rsidR="0077455C" w:rsidRDefault="0077455C" w:rsidP="005D2166">
      <w:pPr>
        <w:pStyle w:val="p2"/>
        <w:widowControl/>
        <w:spacing w:line="360" w:lineRule="auto"/>
        <w:ind w:firstLine="1440"/>
        <w:rPr>
          <w:sz w:val="26"/>
          <w:szCs w:val="26"/>
        </w:rPr>
      </w:pPr>
      <w:r>
        <w:rPr>
          <w:sz w:val="26"/>
          <w:szCs w:val="26"/>
        </w:rPr>
        <w:tab/>
        <w:t>Regarding how the repairs, improvements or replacements detailed in the LTIIP will maintain safe and reliable service, P</w:t>
      </w:r>
      <w:r w:rsidR="00E11245">
        <w:rPr>
          <w:sz w:val="26"/>
          <w:szCs w:val="26"/>
        </w:rPr>
        <w:t xml:space="preserve">ECO </w:t>
      </w:r>
      <w:r w:rsidR="005D2166">
        <w:rPr>
          <w:sz w:val="26"/>
          <w:szCs w:val="26"/>
        </w:rPr>
        <w:t xml:space="preserve">asserts that its gas distribution system is safe and that its current monitoring, testing, operating, leak-response, odor-response and maintenance procedure ensure the safety of PECO’s gas customers and the public.  LTIIP at 31.  </w:t>
      </w:r>
    </w:p>
    <w:p w:rsidR="0077455C" w:rsidRDefault="0077455C" w:rsidP="00773D87">
      <w:pPr>
        <w:pStyle w:val="p2"/>
        <w:widowControl/>
        <w:spacing w:line="360" w:lineRule="auto"/>
        <w:ind w:firstLine="0"/>
        <w:rPr>
          <w:sz w:val="26"/>
          <w:szCs w:val="26"/>
        </w:rPr>
      </w:pPr>
    </w:p>
    <w:p w:rsidR="005D2166" w:rsidRDefault="0077455C" w:rsidP="00773D87">
      <w:pPr>
        <w:pStyle w:val="p2"/>
        <w:widowControl/>
        <w:spacing w:line="360" w:lineRule="auto"/>
        <w:ind w:firstLine="1440"/>
        <w:rPr>
          <w:sz w:val="26"/>
          <w:szCs w:val="26"/>
        </w:rPr>
      </w:pPr>
      <w:r>
        <w:rPr>
          <w:sz w:val="26"/>
          <w:szCs w:val="26"/>
        </w:rPr>
        <w:tab/>
        <w:t>P</w:t>
      </w:r>
      <w:r w:rsidR="00E11245">
        <w:rPr>
          <w:sz w:val="26"/>
          <w:szCs w:val="26"/>
        </w:rPr>
        <w:t>ECO</w:t>
      </w:r>
      <w:r>
        <w:rPr>
          <w:sz w:val="26"/>
          <w:szCs w:val="26"/>
        </w:rPr>
        <w:t xml:space="preserve"> relied on its current DIMP </w:t>
      </w:r>
      <w:r w:rsidR="00D15709">
        <w:rPr>
          <w:sz w:val="26"/>
          <w:szCs w:val="26"/>
        </w:rPr>
        <w:t>P</w:t>
      </w:r>
      <w:r>
        <w:rPr>
          <w:sz w:val="26"/>
          <w:szCs w:val="26"/>
        </w:rPr>
        <w:t>lan, prepared pursuant to 49 CFR §</w:t>
      </w:r>
      <w:r w:rsidR="006768E1">
        <w:rPr>
          <w:sz w:val="26"/>
          <w:szCs w:val="26"/>
        </w:rPr>
        <w:t> </w:t>
      </w:r>
      <w:r>
        <w:rPr>
          <w:sz w:val="26"/>
          <w:szCs w:val="26"/>
        </w:rPr>
        <w:t xml:space="preserve">192.1107 and last updated on </w:t>
      </w:r>
      <w:r w:rsidR="00E11245">
        <w:rPr>
          <w:sz w:val="26"/>
          <w:szCs w:val="26"/>
        </w:rPr>
        <w:t>August 31</w:t>
      </w:r>
      <w:r>
        <w:rPr>
          <w:sz w:val="26"/>
          <w:szCs w:val="26"/>
        </w:rPr>
        <w:t xml:space="preserve">, 2012, when it developed its main replacement program.  </w:t>
      </w:r>
      <w:r w:rsidR="005D2166">
        <w:rPr>
          <w:sz w:val="26"/>
          <w:szCs w:val="26"/>
        </w:rPr>
        <w:t xml:space="preserve">PECO has focused </w:t>
      </w:r>
      <w:r w:rsidR="00D15709">
        <w:rPr>
          <w:sz w:val="26"/>
          <w:szCs w:val="26"/>
        </w:rPr>
        <w:t>its</w:t>
      </w:r>
      <w:r w:rsidR="005D2166">
        <w:rPr>
          <w:sz w:val="26"/>
          <w:szCs w:val="26"/>
        </w:rPr>
        <w:t xml:space="preserve"> main and services replacement efforts on those material types that are responsible for 86% of system leaks.  Replacing these mains and services is expected to significantly reduce leaks and the expenses incurred to respond to and repair leaks.  LTIIP at 33. </w:t>
      </w:r>
    </w:p>
    <w:p w:rsidR="0077455C" w:rsidRDefault="0077455C" w:rsidP="00773D87">
      <w:pPr>
        <w:pStyle w:val="p2"/>
        <w:widowControl/>
        <w:spacing w:line="360" w:lineRule="auto"/>
        <w:ind w:firstLine="1440"/>
        <w:rPr>
          <w:sz w:val="26"/>
          <w:szCs w:val="26"/>
        </w:rPr>
      </w:pPr>
    </w:p>
    <w:p w:rsidR="0077455C" w:rsidRDefault="0077455C" w:rsidP="00E11245">
      <w:pPr>
        <w:pStyle w:val="p2"/>
        <w:widowControl/>
        <w:spacing w:line="360" w:lineRule="auto"/>
        <w:ind w:firstLine="1440"/>
        <w:rPr>
          <w:sz w:val="26"/>
          <w:szCs w:val="26"/>
        </w:rPr>
      </w:pPr>
      <w:r>
        <w:rPr>
          <w:sz w:val="26"/>
          <w:szCs w:val="26"/>
        </w:rPr>
        <w:tab/>
      </w:r>
    </w:p>
    <w:p w:rsidR="0077455C" w:rsidRDefault="0077455C" w:rsidP="00F254AA">
      <w:pPr>
        <w:pStyle w:val="p2"/>
        <w:keepNext/>
        <w:widowControl/>
        <w:tabs>
          <w:tab w:val="left" w:pos="720"/>
        </w:tabs>
        <w:spacing w:line="360" w:lineRule="auto"/>
        <w:ind w:firstLine="0"/>
        <w:rPr>
          <w:b/>
          <w:sz w:val="26"/>
          <w:szCs w:val="26"/>
        </w:rPr>
      </w:pPr>
      <w:r>
        <w:rPr>
          <w:sz w:val="26"/>
          <w:szCs w:val="26"/>
        </w:rPr>
        <w:tab/>
      </w:r>
      <w:r w:rsidRPr="009C5F76">
        <w:rPr>
          <w:b/>
          <w:sz w:val="26"/>
          <w:szCs w:val="26"/>
        </w:rPr>
        <w:t>Comments</w:t>
      </w:r>
      <w:r>
        <w:rPr>
          <w:b/>
          <w:sz w:val="26"/>
          <w:szCs w:val="26"/>
        </w:rPr>
        <w:t>:</w:t>
      </w:r>
    </w:p>
    <w:p w:rsidR="0077455C" w:rsidRPr="009C5F76" w:rsidRDefault="0077455C" w:rsidP="00F254AA">
      <w:pPr>
        <w:pStyle w:val="p2"/>
        <w:keepNext/>
        <w:widowControl/>
        <w:tabs>
          <w:tab w:val="left" w:pos="720"/>
        </w:tabs>
        <w:spacing w:line="360" w:lineRule="auto"/>
        <w:ind w:firstLine="0"/>
        <w:rPr>
          <w:b/>
          <w:sz w:val="26"/>
          <w:szCs w:val="26"/>
        </w:rPr>
      </w:pPr>
    </w:p>
    <w:p w:rsidR="003A4386" w:rsidRPr="003A4386" w:rsidRDefault="001F6097" w:rsidP="003A4386">
      <w:pPr>
        <w:pStyle w:val="p7"/>
        <w:widowControl/>
        <w:tabs>
          <w:tab w:val="clear" w:pos="1133"/>
          <w:tab w:val="left" w:pos="720"/>
          <w:tab w:val="left" w:pos="1350"/>
          <w:tab w:val="left" w:pos="1440"/>
        </w:tabs>
        <w:spacing w:line="360" w:lineRule="auto"/>
        <w:ind w:left="0" w:firstLine="1440"/>
        <w:rPr>
          <w:sz w:val="26"/>
          <w:szCs w:val="26"/>
        </w:rPr>
      </w:pPr>
      <w:r>
        <w:rPr>
          <w:sz w:val="26"/>
          <w:szCs w:val="26"/>
        </w:rPr>
        <w:tab/>
      </w:r>
      <w:r w:rsidR="003A4386">
        <w:rPr>
          <w:sz w:val="26"/>
          <w:szCs w:val="26"/>
        </w:rPr>
        <w:t>No comments were received regarding the</w:t>
      </w:r>
      <w:r w:rsidR="003A4386" w:rsidRPr="003A4386">
        <w:rPr>
          <w:b/>
          <w:sz w:val="26"/>
          <w:szCs w:val="26"/>
        </w:rPr>
        <w:t xml:space="preserve"> </w:t>
      </w:r>
      <w:r w:rsidR="003A4386" w:rsidRPr="003A4386">
        <w:rPr>
          <w:sz w:val="26"/>
          <w:szCs w:val="26"/>
        </w:rPr>
        <w:t xml:space="preserve">accelerated replacement and maintaining safe and reliable service. </w:t>
      </w:r>
    </w:p>
    <w:p w:rsidR="0077455C" w:rsidRDefault="0077455C" w:rsidP="003A4386">
      <w:pPr>
        <w:pStyle w:val="p2"/>
        <w:keepNext/>
        <w:widowControl/>
        <w:tabs>
          <w:tab w:val="left" w:pos="720"/>
        </w:tabs>
        <w:spacing w:line="360" w:lineRule="auto"/>
        <w:ind w:firstLine="1440"/>
        <w:rPr>
          <w:sz w:val="26"/>
          <w:szCs w:val="26"/>
        </w:rPr>
      </w:pPr>
    </w:p>
    <w:p w:rsidR="0077455C" w:rsidRDefault="0077455C" w:rsidP="00773D87">
      <w:pPr>
        <w:pStyle w:val="p2"/>
        <w:widowControl/>
        <w:tabs>
          <w:tab w:val="left" w:pos="720"/>
        </w:tabs>
        <w:spacing w:line="360" w:lineRule="auto"/>
        <w:ind w:firstLine="0"/>
        <w:rPr>
          <w:sz w:val="26"/>
          <w:szCs w:val="26"/>
        </w:rPr>
      </w:pPr>
    </w:p>
    <w:p w:rsidR="0077455C" w:rsidRDefault="0077455C" w:rsidP="00F254AA">
      <w:pPr>
        <w:pStyle w:val="p2"/>
        <w:keepNext/>
        <w:widowControl/>
        <w:tabs>
          <w:tab w:val="left" w:pos="720"/>
        </w:tabs>
        <w:spacing w:line="360" w:lineRule="auto"/>
        <w:ind w:firstLine="0"/>
        <w:rPr>
          <w:b/>
          <w:sz w:val="26"/>
          <w:szCs w:val="26"/>
        </w:rPr>
      </w:pPr>
      <w:r>
        <w:rPr>
          <w:sz w:val="26"/>
          <w:szCs w:val="26"/>
        </w:rPr>
        <w:tab/>
      </w:r>
      <w:r w:rsidRPr="000F5E3D">
        <w:rPr>
          <w:b/>
          <w:sz w:val="26"/>
          <w:szCs w:val="26"/>
        </w:rPr>
        <w:t>Resolution</w:t>
      </w:r>
    </w:p>
    <w:p w:rsidR="0077455C" w:rsidRDefault="0077455C" w:rsidP="00D15709">
      <w:pPr>
        <w:pStyle w:val="p2"/>
        <w:keepNext/>
        <w:widowControl/>
        <w:spacing w:line="360" w:lineRule="auto"/>
        <w:ind w:firstLine="0"/>
        <w:rPr>
          <w:sz w:val="26"/>
          <w:szCs w:val="26"/>
        </w:rPr>
      </w:pPr>
      <w:r>
        <w:rPr>
          <w:sz w:val="26"/>
          <w:szCs w:val="26"/>
        </w:rPr>
        <w:tab/>
      </w:r>
    </w:p>
    <w:p w:rsidR="0077455C" w:rsidRDefault="0077455C" w:rsidP="00773D87">
      <w:pPr>
        <w:pStyle w:val="p7"/>
        <w:widowControl/>
        <w:tabs>
          <w:tab w:val="clear" w:pos="782"/>
          <w:tab w:val="clear" w:pos="1133"/>
          <w:tab w:val="left" w:pos="720"/>
          <w:tab w:val="left" w:pos="1440"/>
        </w:tabs>
        <w:spacing w:line="360" w:lineRule="auto"/>
        <w:ind w:left="0" w:firstLine="1440"/>
        <w:rPr>
          <w:sz w:val="26"/>
          <w:szCs w:val="26"/>
        </w:rPr>
      </w:pPr>
      <w:r>
        <w:rPr>
          <w:sz w:val="26"/>
          <w:szCs w:val="26"/>
        </w:rPr>
        <w:t>Upon review of the LTIIP</w:t>
      </w:r>
      <w:r w:rsidR="00006A83">
        <w:rPr>
          <w:sz w:val="26"/>
          <w:szCs w:val="26"/>
        </w:rPr>
        <w:t xml:space="preserve"> and supplemental information</w:t>
      </w:r>
      <w:r>
        <w:rPr>
          <w:sz w:val="26"/>
          <w:szCs w:val="26"/>
        </w:rPr>
        <w:t>, the Commission finds that the manner in which replacement of aging infrastructure will be accelerated and how repair, improvement or replacement will maintain safe and reliable service requirements of the Final Implementation Order, for the manner in which replacement of aging infrastructure will be accelerated</w:t>
      </w:r>
      <w:r w:rsidRPr="00565F56">
        <w:rPr>
          <w:sz w:val="26"/>
          <w:szCs w:val="26"/>
        </w:rPr>
        <w:t xml:space="preserve"> </w:t>
      </w:r>
      <w:r>
        <w:rPr>
          <w:sz w:val="26"/>
          <w:szCs w:val="26"/>
        </w:rPr>
        <w:t xml:space="preserve">and how repair, improvement or replacement will </w:t>
      </w:r>
      <w:r>
        <w:rPr>
          <w:sz w:val="26"/>
          <w:szCs w:val="26"/>
        </w:rPr>
        <w:lastRenderedPageBreak/>
        <w:t>maintain safe and reliable se</w:t>
      </w:r>
      <w:r w:rsidR="001D17D8">
        <w:rPr>
          <w:sz w:val="26"/>
          <w:szCs w:val="26"/>
        </w:rPr>
        <w:t>rvice, have been fulfilled.  PECO</w:t>
      </w:r>
      <w:r>
        <w:rPr>
          <w:sz w:val="26"/>
          <w:szCs w:val="26"/>
        </w:rPr>
        <w:t xml:space="preserve"> is clearly planning to accelerate its infrastructure replacement over the timeframe of the LTIIP and has demonstrated that completion of the planned projects of the LTIIP will maintain safe and reliable service.  </w:t>
      </w:r>
    </w:p>
    <w:p w:rsidR="0077455C" w:rsidRDefault="00135912" w:rsidP="00597F51">
      <w:pPr>
        <w:pStyle w:val="p2"/>
        <w:keepNext/>
        <w:widowControl/>
        <w:spacing w:line="360" w:lineRule="auto"/>
        <w:ind w:left="720" w:firstLine="0"/>
        <w:rPr>
          <w:b/>
          <w:sz w:val="26"/>
          <w:szCs w:val="26"/>
        </w:rPr>
      </w:pPr>
      <w:r>
        <w:rPr>
          <w:b/>
          <w:sz w:val="26"/>
          <w:szCs w:val="26"/>
        </w:rPr>
        <w:t xml:space="preserve">(7) </w:t>
      </w:r>
      <w:r w:rsidR="0077455C" w:rsidRPr="00445EDA">
        <w:rPr>
          <w:b/>
          <w:sz w:val="26"/>
          <w:szCs w:val="26"/>
        </w:rPr>
        <w:t>WORKFORCE MANAGEMENT AND TRAINING PROGRAM</w:t>
      </w:r>
    </w:p>
    <w:p w:rsidR="008478AC" w:rsidRDefault="008478AC" w:rsidP="00597F51">
      <w:pPr>
        <w:pStyle w:val="p2"/>
        <w:keepNext/>
        <w:widowControl/>
        <w:spacing w:line="360" w:lineRule="auto"/>
        <w:ind w:left="720" w:firstLine="0"/>
        <w:rPr>
          <w:b/>
          <w:sz w:val="26"/>
          <w:szCs w:val="26"/>
        </w:rPr>
      </w:pPr>
    </w:p>
    <w:p w:rsidR="0077455C" w:rsidRPr="00445EDA" w:rsidRDefault="001D17D8" w:rsidP="00597F51">
      <w:pPr>
        <w:pStyle w:val="p2"/>
        <w:keepNext/>
        <w:widowControl/>
        <w:tabs>
          <w:tab w:val="left" w:pos="720"/>
          <w:tab w:val="left" w:pos="810"/>
        </w:tabs>
        <w:spacing w:line="360" w:lineRule="auto"/>
        <w:ind w:left="720" w:firstLine="0"/>
        <w:rPr>
          <w:b/>
          <w:sz w:val="26"/>
          <w:szCs w:val="26"/>
        </w:rPr>
      </w:pPr>
      <w:r>
        <w:rPr>
          <w:b/>
          <w:sz w:val="26"/>
          <w:szCs w:val="26"/>
        </w:rPr>
        <w:t>PECO</w:t>
      </w:r>
      <w:r w:rsidR="0077455C" w:rsidRPr="00445EDA">
        <w:rPr>
          <w:b/>
          <w:sz w:val="26"/>
          <w:szCs w:val="26"/>
        </w:rPr>
        <w:t xml:space="preserve"> Position </w:t>
      </w:r>
    </w:p>
    <w:p w:rsidR="0077455C" w:rsidRPr="00445EDA" w:rsidRDefault="0077455C" w:rsidP="00597F51">
      <w:pPr>
        <w:pStyle w:val="p2"/>
        <w:keepNext/>
        <w:widowControl/>
        <w:tabs>
          <w:tab w:val="left" w:pos="720"/>
        </w:tabs>
        <w:spacing w:line="360" w:lineRule="auto"/>
        <w:ind w:firstLine="0"/>
        <w:rPr>
          <w:b/>
          <w:sz w:val="26"/>
          <w:szCs w:val="26"/>
        </w:rPr>
      </w:pPr>
    </w:p>
    <w:p w:rsidR="0077455C" w:rsidRDefault="0077455C" w:rsidP="00773D87">
      <w:pPr>
        <w:pStyle w:val="p2"/>
        <w:widowControl/>
        <w:spacing w:line="360" w:lineRule="auto"/>
        <w:ind w:firstLine="1440"/>
        <w:rPr>
          <w:sz w:val="26"/>
          <w:szCs w:val="26"/>
        </w:rPr>
      </w:pPr>
      <w:r>
        <w:rPr>
          <w:b/>
          <w:sz w:val="26"/>
          <w:szCs w:val="26"/>
        </w:rPr>
        <w:tab/>
      </w:r>
      <w:r w:rsidRPr="00A06107">
        <w:rPr>
          <w:sz w:val="26"/>
          <w:szCs w:val="26"/>
        </w:rPr>
        <w:t>The Final Implementation Order</w:t>
      </w:r>
      <w:r>
        <w:rPr>
          <w:sz w:val="26"/>
          <w:szCs w:val="26"/>
        </w:rPr>
        <w:t xml:space="preserve"> requires utilities to include within its LTIIP a workforce management and training plan designed to ensure that the utility will have access to a qualified workforce to perform work in a cost-effective, safe and reliable manner.</w:t>
      </w:r>
    </w:p>
    <w:p w:rsidR="006B25C0" w:rsidRDefault="006B25C0" w:rsidP="00773D87">
      <w:pPr>
        <w:pStyle w:val="p2"/>
        <w:widowControl/>
        <w:spacing w:line="360" w:lineRule="auto"/>
        <w:ind w:firstLine="1440"/>
        <w:rPr>
          <w:sz w:val="26"/>
          <w:szCs w:val="26"/>
        </w:rPr>
      </w:pPr>
    </w:p>
    <w:p w:rsidR="0077455C" w:rsidRDefault="003A4386" w:rsidP="00773D87">
      <w:pPr>
        <w:pStyle w:val="p2"/>
        <w:widowControl/>
        <w:spacing w:line="360" w:lineRule="auto"/>
        <w:ind w:firstLine="1440"/>
        <w:rPr>
          <w:sz w:val="26"/>
          <w:szCs w:val="26"/>
        </w:rPr>
      </w:pPr>
      <w:r>
        <w:rPr>
          <w:sz w:val="26"/>
          <w:szCs w:val="26"/>
        </w:rPr>
        <w:t xml:space="preserve">PECO states that it will use outside contractors to perform much of the pipe and service-modernization work it is planning to undertake to implement its LTIIP.  </w:t>
      </w:r>
      <w:r w:rsidR="00D1569E">
        <w:rPr>
          <w:sz w:val="26"/>
          <w:szCs w:val="26"/>
        </w:rPr>
        <w:t xml:space="preserve">PECO requires anyone performing work on its gas distribution system to meet required standards and take all required training.  Contractors will go through the same rigorous training that PECO employees who work on mains and services are required to complete.  </w:t>
      </w:r>
    </w:p>
    <w:p w:rsidR="00D15709" w:rsidRDefault="00D15709" w:rsidP="00773D87">
      <w:pPr>
        <w:pStyle w:val="p2"/>
        <w:widowControl/>
        <w:spacing w:line="360" w:lineRule="auto"/>
        <w:ind w:firstLine="1440"/>
        <w:rPr>
          <w:sz w:val="26"/>
          <w:szCs w:val="26"/>
        </w:rPr>
      </w:pPr>
    </w:p>
    <w:p w:rsidR="00D1569E" w:rsidRDefault="00D1569E" w:rsidP="00773D87">
      <w:pPr>
        <w:pStyle w:val="p2"/>
        <w:widowControl/>
        <w:spacing w:line="360" w:lineRule="auto"/>
        <w:ind w:firstLine="1440"/>
        <w:rPr>
          <w:sz w:val="26"/>
          <w:szCs w:val="26"/>
        </w:rPr>
      </w:pPr>
      <w:r>
        <w:rPr>
          <w:sz w:val="26"/>
          <w:szCs w:val="26"/>
        </w:rPr>
        <w:t xml:space="preserve">PECO’s training program complies with the regulations for pipeline safety developed by PHMSA as set forth in 49 CFR Part 192 Subpart N, while also requiring additional training specific to PECO’s system. Contractor safety programs are reviewed by PECO’s Methods and Training Department to ensure they comply with PECO’s requirements and may call for further testing of contractors before they are eligible to work on PECO facilities.  PECO’s Methods and Training Department monitors industry developments for more efficient and effective procedures to assure the long-term effectiveness of PECO’s training program.  LTIIP at 35. </w:t>
      </w:r>
    </w:p>
    <w:p w:rsidR="0077455C" w:rsidRDefault="0077455C" w:rsidP="003A4386">
      <w:pPr>
        <w:pStyle w:val="p2"/>
        <w:widowControl/>
        <w:spacing w:line="360" w:lineRule="auto"/>
        <w:ind w:firstLine="1440"/>
        <w:rPr>
          <w:sz w:val="26"/>
          <w:szCs w:val="26"/>
        </w:rPr>
      </w:pPr>
      <w:r>
        <w:rPr>
          <w:sz w:val="26"/>
          <w:szCs w:val="26"/>
        </w:rPr>
        <w:tab/>
      </w:r>
    </w:p>
    <w:p w:rsidR="0077455C" w:rsidRDefault="0077455C" w:rsidP="00773D87">
      <w:pPr>
        <w:pStyle w:val="p2"/>
        <w:widowControl/>
        <w:spacing w:line="360" w:lineRule="auto"/>
        <w:ind w:firstLine="0"/>
        <w:rPr>
          <w:sz w:val="26"/>
          <w:szCs w:val="26"/>
        </w:rPr>
      </w:pPr>
    </w:p>
    <w:p w:rsidR="0077455C" w:rsidRPr="001414CA" w:rsidRDefault="0077455C" w:rsidP="00597F51">
      <w:pPr>
        <w:pStyle w:val="p2"/>
        <w:keepNext/>
        <w:widowControl/>
        <w:tabs>
          <w:tab w:val="left" w:pos="720"/>
        </w:tabs>
        <w:spacing w:line="360" w:lineRule="auto"/>
        <w:ind w:firstLine="0"/>
        <w:rPr>
          <w:b/>
          <w:sz w:val="26"/>
          <w:szCs w:val="26"/>
        </w:rPr>
      </w:pPr>
      <w:r>
        <w:rPr>
          <w:sz w:val="26"/>
          <w:szCs w:val="26"/>
        </w:rPr>
        <w:lastRenderedPageBreak/>
        <w:tab/>
      </w:r>
      <w:r w:rsidRPr="001414CA">
        <w:rPr>
          <w:b/>
          <w:sz w:val="26"/>
          <w:szCs w:val="26"/>
        </w:rPr>
        <w:t>Comments</w:t>
      </w:r>
    </w:p>
    <w:p w:rsidR="0077455C" w:rsidRDefault="0077455C" w:rsidP="00597F51">
      <w:pPr>
        <w:pStyle w:val="p2"/>
        <w:keepNext/>
        <w:widowControl/>
        <w:spacing w:line="360" w:lineRule="auto"/>
        <w:ind w:firstLine="0"/>
        <w:rPr>
          <w:sz w:val="26"/>
          <w:szCs w:val="26"/>
        </w:rPr>
      </w:pPr>
    </w:p>
    <w:p w:rsidR="0077455C" w:rsidRDefault="0077455C" w:rsidP="00006A83">
      <w:pPr>
        <w:pStyle w:val="p7"/>
        <w:widowControl/>
        <w:tabs>
          <w:tab w:val="clear" w:pos="782"/>
          <w:tab w:val="clear" w:pos="1133"/>
          <w:tab w:val="left" w:pos="0"/>
          <w:tab w:val="left" w:pos="720"/>
        </w:tabs>
        <w:spacing w:line="360" w:lineRule="auto"/>
        <w:ind w:left="0" w:firstLine="1440"/>
        <w:rPr>
          <w:sz w:val="26"/>
          <w:szCs w:val="26"/>
        </w:rPr>
      </w:pPr>
      <w:r>
        <w:rPr>
          <w:sz w:val="26"/>
          <w:szCs w:val="26"/>
        </w:rPr>
        <w:t>No comments were received regarding the workforce management and</w:t>
      </w:r>
      <w:r w:rsidR="00006A83">
        <w:rPr>
          <w:sz w:val="26"/>
          <w:szCs w:val="26"/>
        </w:rPr>
        <w:t xml:space="preserve"> </w:t>
      </w:r>
      <w:r>
        <w:rPr>
          <w:sz w:val="26"/>
          <w:szCs w:val="26"/>
        </w:rPr>
        <w:t>training program.</w:t>
      </w:r>
    </w:p>
    <w:p w:rsidR="0077455C" w:rsidRDefault="0077455C" w:rsidP="00773D87">
      <w:pPr>
        <w:pStyle w:val="p2"/>
        <w:widowControl/>
        <w:tabs>
          <w:tab w:val="left" w:pos="720"/>
        </w:tabs>
        <w:spacing w:line="360" w:lineRule="auto"/>
        <w:ind w:firstLine="0"/>
        <w:rPr>
          <w:b/>
          <w:sz w:val="26"/>
          <w:szCs w:val="26"/>
        </w:rPr>
      </w:pPr>
      <w:r>
        <w:rPr>
          <w:b/>
          <w:sz w:val="26"/>
          <w:szCs w:val="26"/>
        </w:rPr>
        <w:tab/>
      </w:r>
      <w:r w:rsidRPr="000F5E3D">
        <w:rPr>
          <w:b/>
          <w:sz w:val="26"/>
          <w:szCs w:val="26"/>
        </w:rPr>
        <w:t>Resolution</w:t>
      </w:r>
    </w:p>
    <w:p w:rsidR="0077455C" w:rsidRDefault="0077455C" w:rsidP="00773D87">
      <w:pPr>
        <w:pStyle w:val="p2"/>
        <w:widowControl/>
        <w:spacing w:line="360" w:lineRule="auto"/>
        <w:ind w:firstLine="0"/>
        <w:rPr>
          <w:sz w:val="26"/>
          <w:szCs w:val="26"/>
        </w:rPr>
      </w:pPr>
    </w:p>
    <w:p w:rsidR="0077455C" w:rsidRDefault="0077455C" w:rsidP="00773D87">
      <w:pPr>
        <w:pStyle w:val="p7"/>
        <w:widowControl/>
        <w:tabs>
          <w:tab w:val="clear" w:pos="782"/>
          <w:tab w:val="clear" w:pos="1133"/>
          <w:tab w:val="left" w:pos="0"/>
          <w:tab w:val="left" w:pos="720"/>
        </w:tabs>
        <w:spacing w:line="360" w:lineRule="auto"/>
        <w:ind w:left="0" w:firstLine="1440"/>
        <w:rPr>
          <w:sz w:val="26"/>
          <w:szCs w:val="26"/>
        </w:rPr>
      </w:pPr>
      <w:r>
        <w:rPr>
          <w:sz w:val="26"/>
          <w:szCs w:val="26"/>
        </w:rPr>
        <w:t>Upon review of the LTIIP, the Commission finds that the</w:t>
      </w:r>
      <w:r w:rsidRPr="009E6781">
        <w:rPr>
          <w:sz w:val="26"/>
          <w:szCs w:val="26"/>
        </w:rPr>
        <w:t xml:space="preserve"> </w:t>
      </w:r>
      <w:r>
        <w:rPr>
          <w:sz w:val="26"/>
          <w:szCs w:val="26"/>
        </w:rPr>
        <w:t xml:space="preserve">workforce management and training program requirements of the Final Implementation Order have been fulfilled.  </w:t>
      </w:r>
    </w:p>
    <w:p w:rsidR="008478AC" w:rsidRDefault="008478AC" w:rsidP="00773D87">
      <w:pPr>
        <w:pStyle w:val="p7"/>
        <w:widowControl/>
        <w:tabs>
          <w:tab w:val="clear" w:pos="782"/>
          <w:tab w:val="clear" w:pos="1133"/>
          <w:tab w:val="left" w:pos="0"/>
          <w:tab w:val="left" w:pos="720"/>
        </w:tabs>
        <w:spacing w:line="360" w:lineRule="auto"/>
        <w:ind w:left="0" w:firstLine="1440"/>
        <w:rPr>
          <w:sz w:val="26"/>
          <w:szCs w:val="26"/>
        </w:rPr>
      </w:pPr>
    </w:p>
    <w:p w:rsidR="008478AC" w:rsidRPr="008478AC" w:rsidRDefault="008478AC" w:rsidP="008478AC">
      <w:pPr>
        <w:pStyle w:val="p7"/>
        <w:numPr>
          <w:ilvl w:val="0"/>
          <w:numId w:val="33"/>
        </w:numPr>
        <w:tabs>
          <w:tab w:val="clear" w:pos="782"/>
          <w:tab w:val="clear" w:pos="1133"/>
          <w:tab w:val="left" w:pos="720"/>
          <w:tab w:val="left" w:pos="1440"/>
          <w:tab w:val="left" w:pos="1530"/>
        </w:tabs>
        <w:spacing w:line="360" w:lineRule="auto"/>
        <w:rPr>
          <w:rFonts w:ascii="Times New Roman Bold" w:hAnsi="Times New Roman Bold"/>
          <w:b/>
          <w:caps/>
          <w:sz w:val="26"/>
          <w:szCs w:val="26"/>
        </w:rPr>
      </w:pPr>
      <w:r>
        <w:rPr>
          <w:b/>
          <w:sz w:val="26"/>
          <w:szCs w:val="26"/>
        </w:rPr>
        <w:t xml:space="preserve"> </w:t>
      </w:r>
      <w:r w:rsidRPr="008478AC">
        <w:rPr>
          <w:rFonts w:ascii="Times New Roman Bold" w:hAnsi="Times New Roman Bold"/>
          <w:b/>
          <w:caps/>
          <w:sz w:val="26"/>
          <w:szCs w:val="26"/>
        </w:rPr>
        <w:t>A description of a utility’s outreach and coordination activities with other utilities, PennDOT and local governments on planned ma</w:t>
      </w:r>
      <w:r>
        <w:rPr>
          <w:rFonts w:ascii="Times New Roman Bold" w:hAnsi="Times New Roman Bold"/>
          <w:b/>
          <w:caps/>
          <w:sz w:val="26"/>
          <w:szCs w:val="26"/>
        </w:rPr>
        <w:t>intenance/construction projects</w:t>
      </w:r>
    </w:p>
    <w:p w:rsidR="008478AC" w:rsidRDefault="008478AC" w:rsidP="008478AC">
      <w:pPr>
        <w:pStyle w:val="p2"/>
        <w:keepNext/>
        <w:widowControl/>
        <w:spacing w:line="360" w:lineRule="auto"/>
        <w:ind w:left="720" w:firstLine="0"/>
        <w:rPr>
          <w:b/>
          <w:sz w:val="26"/>
          <w:szCs w:val="26"/>
        </w:rPr>
      </w:pPr>
    </w:p>
    <w:p w:rsidR="008478AC" w:rsidRPr="00445EDA" w:rsidRDefault="008478AC" w:rsidP="008478AC">
      <w:pPr>
        <w:pStyle w:val="p2"/>
        <w:keepNext/>
        <w:widowControl/>
        <w:tabs>
          <w:tab w:val="left" w:pos="720"/>
          <w:tab w:val="left" w:pos="810"/>
        </w:tabs>
        <w:spacing w:line="360" w:lineRule="auto"/>
        <w:ind w:left="720" w:firstLine="0"/>
        <w:rPr>
          <w:b/>
          <w:sz w:val="26"/>
          <w:szCs w:val="26"/>
        </w:rPr>
      </w:pPr>
      <w:r>
        <w:rPr>
          <w:b/>
          <w:sz w:val="26"/>
          <w:szCs w:val="26"/>
        </w:rPr>
        <w:t>PECO</w:t>
      </w:r>
      <w:r w:rsidRPr="00445EDA">
        <w:rPr>
          <w:b/>
          <w:sz w:val="26"/>
          <w:szCs w:val="26"/>
        </w:rPr>
        <w:t xml:space="preserve"> Position </w:t>
      </w:r>
    </w:p>
    <w:p w:rsidR="008478AC" w:rsidRPr="00445EDA" w:rsidRDefault="008478AC" w:rsidP="008478AC">
      <w:pPr>
        <w:pStyle w:val="p2"/>
        <w:keepNext/>
        <w:widowControl/>
        <w:tabs>
          <w:tab w:val="left" w:pos="720"/>
        </w:tabs>
        <w:spacing w:line="360" w:lineRule="auto"/>
        <w:ind w:firstLine="0"/>
        <w:rPr>
          <w:b/>
          <w:sz w:val="26"/>
          <w:szCs w:val="26"/>
        </w:rPr>
      </w:pPr>
    </w:p>
    <w:p w:rsidR="00D566AE" w:rsidRDefault="008478AC" w:rsidP="00D566AE">
      <w:pPr>
        <w:pStyle w:val="p7"/>
        <w:widowControl/>
        <w:tabs>
          <w:tab w:val="clear" w:pos="782"/>
          <w:tab w:val="clear" w:pos="1133"/>
        </w:tabs>
        <w:spacing w:line="360" w:lineRule="auto"/>
        <w:ind w:left="0" w:firstLine="0"/>
        <w:rPr>
          <w:sz w:val="26"/>
          <w:szCs w:val="26"/>
        </w:rPr>
      </w:pPr>
      <w:r>
        <w:rPr>
          <w:b/>
          <w:sz w:val="26"/>
          <w:szCs w:val="26"/>
        </w:rPr>
        <w:tab/>
      </w:r>
      <w:r>
        <w:rPr>
          <w:sz w:val="26"/>
          <w:szCs w:val="26"/>
        </w:rPr>
        <w:t xml:space="preserve"> </w:t>
      </w:r>
      <w:r w:rsidR="00D566AE">
        <w:rPr>
          <w:sz w:val="26"/>
          <w:szCs w:val="26"/>
        </w:rPr>
        <w:t>To minimize street opening and closing costs, PECO will work closely with the Pennsylvania Department of Transportation, local municipalities, and local water and wastewater utilities to align its LTIIP work with construction that each of those entities is planning.  PECO will also coordinate its electric and gas work where possible.  PECO’s new geographic information system (GIS) mapping will be used for the coordination efforts.  PECO may need to alter construction timeframes for LTIIP work to allow the coordination of street openings with governmental entities and other utilities. LTIIP at 30.</w:t>
      </w:r>
    </w:p>
    <w:p w:rsidR="008478AC" w:rsidRDefault="008478AC" w:rsidP="008478AC">
      <w:pPr>
        <w:pStyle w:val="p2"/>
        <w:widowControl/>
        <w:spacing w:line="360" w:lineRule="auto"/>
        <w:ind w:firstLine="1440"/>
        <w:rPr>
          <w:sz w:val="26"/>
          <w:szCs w:val="26"/>
        </w:rPr>
      </w:pPr>
    </w:p>
    <w:p w:rsidR="008478AC" w:rsidRPr="001414CA" w:rsidRDefault="00D566AE" w:rsidP="00D566AE">
      <w:pPr>
        <w:pStyle w:val="p2"/>
        <w:widowControl/>
        <w:spacing w:line="360" w:lineRule="auto"/>
        <w:ind w:firstLine="0"/>
        <w:rPr>
          <w:b/>
          <w:sz w:val="26"/>
          <w:szCs w:val="26"/>
        </w:rPr>
      </w:pPr>
      <w:r>
        <w:rPr>
          <w:sz w:val="26"/>
          <w:szCs w:val="26"/>
        </w:rPr>
        <w:tab/>
      </w:r>
      <w:r w:rsidR="008478AC" w:rsidRPr="001414CA">
        <w:rPr>
          <w:b/>
          <w:sz w:val="26"/>
          <w:szCs w:val="26"/>
        </w:rPr>
        <w:t>Comments</w:t>
      </w:r>
    </w:p>
    <w:p w:rsidR="008478AC" w:rsidRDefault="008478AC" w:rsidP="008478AC">
      <w:pPr>
        <w:pStyle w:val="p2"/>
        <w:keepNext/>
        <w:widowControl/>
        <w:spacing w:line="360" w:lineRule="auto"/>
        <w:ind w:firstLine="0"/>
        <w:rPr>
          <w:sz w:val="26"/>
          <w:szCs w:val="26"/>
        </w:rPr>
      </w:pPr>
    </w:p>
    <w:p w:rsidR="008478AC" w:rsidRDefault="008478AC" w:rsidP="008478AC">
      <w:pPr>
        <w:pStyle w:val="p7"/>
        <w:widowControl/>
        <w:tabs>
          <w:tab w:val="clear" w:pos="782"/>
          <w:tab w:val="clear" w:pos="1133"/>
          <w:tab w:val="left" w:pos="0"/>
          <w:tab w:val="left" w:pos="720"/>
        </w:tabs>
        <w:spacing w:line="360" w:lineRule="auto"/>
        <w:ind w:left="0" w:firstLine="1440"/>
        <w:rPr>
          <w:sz w:val="26"/>
          <w:szCs w:val="26"/>
        </w:rPr>
      </w:pPr>
      <w:r>
        <w:rPr>
          <w:sz w:val="26"/>
          <w:szCs w:val="26"/>
        </w:rPr>
        <w:t xml:space="preserve">No comments were received regarding the </w:t>
      </w:r>
      <w:r w:rsidR="00D566AE">
        <w:rPr>
          <w:sz w:val="26"/>
          <w:szCs w:val="26"/>
        </w:rPr>
        <w:t>coordination activities.</w:t>
      </w:r>
    </w:p>
    <w:p w:rsidR="008478AC" w:rsidRDefault="008478AC" w:rsidP="008478AC">
      <w:pPr>
        <w:pStyle w:val="p2"/>
        <w:widowControl/>
        <w:spacing w:line="360" w:lineRule="auto"/>
        <w:ind w:firstLine="0"/>
        <w:rPr>
          <w:sz w:val="26"/>
          <w:szCs w:val="26"/>
        </w:rPr>
      </w:pPr>
    </w:p>
    <w:p w:rsidR="008478AC" w:rsidRDefault="008478AC" w:rsidP="008478AC">
      <w:pPr>
        <w:pStyle w:val="p2"/>
        <w:widowControl/>
        <w:tabs>
          <w:tab w:val="left" w:pos="720"/>
        </w:tabs>
        <w:spacing w:line="360" w:lineRule="auto"/>
        <w:ind w:firstLine="0"/>
        <w:rPr>
          <w:b/>
          <w:sz w:val="26"/>
          <w:szCs w:val="26"/>
        </w:rPr>
      </w:pPr>
      <w:r>
        <w:rPr>
          <w:b/>
          <w:sz w:val="26"/>
          <w:szCs w:val="26"/>
        </w:rPr>
        <w:lastRenderedPageBreak/>
        <w:tab/>
      </w:r>
      <w:r w:rsidRPr="000F5E3D">
        <w:rPr>
          <w:b/>
          <w:sz w:val="26"/>
          <w:szCs w:val="26"/>
        </w:rPr>
        <w:t>Resolution</w:t>
      </w:r>
    </w:p>
    <w:p w:rsidR="008478AC" w:rsidRDefault="008478AC" w:rsidP="008478AC">
      <w:pPr>
        <w:pStyle w:val="p2"/>
        <w:widowControl/>
        <w:spacing w:line="360" w:lineRule="auto"/>
        <w:ind w:firstLine="0"/>
        <w:rPr>
          <w:sz w:val="26"/>
          <w:szCs w:val="26"/>
        </w:rPr>
      </w:pPr>
    </w:p>
    <w:p w:rsidR="008478AC" w:rsidRDefault="008478AC" w:rsidP="008478AC">
      <w:pPr>
        <w:pStyle w:val="p7"/>
        <w:widowControl/>
        <w:tabs>
          <w:tab w:val="clear" w:pos="782"/>
          <w:tab w:val="clear" w:pos="1133"/>
          <w:tab w:val="left" w:pos="0"/>
          <w:tab w:val="left" w:pos="720"/>
        </w:tabs>
        <w:spacing w:line="360" w:lineRule="auto"/>
        <w:ind w:left="0" w:firstLine="1440"/>
        <w:rPr>
          <w:sz w:val="26"/>
          <w:szCs w:val="26"/>
        </w:rPr>
      </w:pPr>
      <w:r>
        <w:rPr>
          <w:sz w:val="26"/>
          <w:szCs w:val="26"/>
        </w:rPr>
        <w:t>Upon review of the LTIIP, the Commission finds that the</w:t>
      </w:r>
      <w:r w:rsidRPr="009E6781">
        <w:rPr>
          <w:sz w:val="26"/>
          <w:szCs w:val="26"/>
        </w:rPr>
        <w:t xml:space="preserve"> </w:t>
      </w:r>
      <w:r w:rsidR="00D566AE">
        <w:rPr>
          <w:sz w:val="26"/>
          <w:szCs w:val="26"/>
        </w:rPr>
        <w:t xml:space="preserve">coordination activities </w:t>
      </w:r>
      <w:r>
        <w:rPr>
          <w:sz w:val="26"/>
          <w:szCs w:val="26"/>
        </w:rPr>
        <w:t xml:space="preserve">requirements of the Final Implementation Order have been fulfilled.  </w:t>
      </w:r>
    </w:p>
    <w:p w:rsidR="0077455C" w:rsidRPr="002678A1" w:rsidRDefault="00F37ED8" w:rsidP="00F254AA">
      <w:pPr>
        <w:pStyle w:val="p2"/>
        <w:keepNext/>
        <w:widowControl/>
        <w:spacing w:line="360" w:lineRule="auto"/>
        <w:ind w:firstLine="0"/>
        <w:jc w:val="center"/>
        <w:rPr>
          <w:b/>
          <w:sz w:val="26"/>
          <w:szCs w:val="26"/>
        </w:rPr>
      </w:pPr>
      <w:r>
        <w:rPr>
          <w:b/>
          <w:sz w:val="26"/>
          <w:szCs w:val="26"/>
        </w:rPr>
        <w:t>LTIIP SUMMARY</w:t>
      </w:r>
    </w:p>
    <w:p w:rsidR="0077455C" w:rsidRDefault="0077455C" w:rsidP="00F254AA">
      <w:pPr>
        <w:pStyle w:val="p2"/>
        <w:keepNext/>
        <w:widowControl/>
        <w:spacing w:line="360" w:lineRule="auto"/>
        <w:ind w:firstLine="1440"/>
        <w:rPr>
          <w:sz w:val="26"/>
          <w:szCs w:val="26"/>
        </w:rPr>
      </w:pPr>
      <w:r>
        <w:rPr>
          <w:sz w:val="26"/>
          <w:szCs w:val="26"/>
        </w:rPr>
        <w:tab/>
      </w:r>
    </w:p>
    <w:p w:rsidR="00F37ED8" w:rsidRDefault="0077455C" w:rsidP="00006A83">
      <w:pPr>
        <w:widowControl/>
        <w:spacing w:line="360" w:lineRule="auto"/>
        <w:ind w:firstLine="1440"/>
        <w:rPr>
          <w:sz w:val="26"/>
          <w:szCs w:val="26"/>
        </w:rPr>
      </w:pPr>
      <w:r>
        <w:rPr>
          <w:sz w:val="26"/>
          <w:szCs w:val="26"/>
        </w:rPr>
        <w:t>The Commission has reviewed each of th</w:t>
      </w:r>
      <w:r w:rsidR="001D17D8">
        <w:rPr>
          <w:sz w:val="26"/>
          <w:szCs w:val="26"/>
        </w:rPr>
        <w:t xml:space="preserve">e </w:t>
      </w:r>
      <w:r w:rsidR="00D15709">
        <w:rPr>
          <w:sz w:val="26"/>
          <w:szCs w:val="26"/>
        </w:rPr>
        <w:t xml:space="preserve">eight </w:t>
      </w:r>
      <w:r w:rsidR="001D17D8">
        <w:rPr>
          <w:sz w:val="26"/>
          <w:szCs w:val="26"/>
        </w:rPr>
        <w:t>required elements of PECO</w:t>
      </w:r>
      <w:r>
        <w:rPr>
          <w:sz w:val="26"/>
          <w:szCs w:val="26"/>
        </w:rPr>
        <w:t xml:space="preserve">’s Petition for Approval of its LTIIP individually and has taken into account the Comments received on this Petition.  </w:t>
      </w:r>
      <w:r w:rsidR="00006A83">
        <w:rPr>
          <w:sz w:val="26"/>
          <w:szCs w:val="26"/>
        </w:rPr>
        <w:t xml:space="preserve">Accordingly, </w:t>
      </w:r>
      <w:r w:rsidR="001D17D8">
        <w:rPr>
          <w:sz w:val="26"/>
          <w:szCs w:val="26"/>
        </w:rPr>
        <w:t>PECO</w:t>
      </w:r>
      <w:r w:rsidR="00006A83">
        <w:rPr>
          <w:sz w:val="26"/>
          <w:szCs w:val="26"/>
        </w:rPr>
        <w:t>’s LTIIP is approved.</w:t>
      </w:r>
    </w:p>
    <w:p w:rsidR="00013B7C" w:rsidRPr="009549C2" w:rsidRDefault="00013B7C" w:rsidP="00773D87">
      <w:pPr>
        <w:widowControl/>
        <w:spacing w:line="360" w:lineRule="auto"/>
        <w:ind w:firstLine="1440"/>
        <w:rPr>
          <w:sz w:val="26"/>
          <w:szCs w:val="26"/>
        </w:rPr>
      </w:pPr>
    </w:p>
    <w:p w:rsidR="00002AFC" w:rsidRPr="002678A1" w:rsidRDefault="002678A1" w:rsidP="00632033">
      <w:pPr>
        <w:pStyle w:val="p2"/>
        <w:keepNext/>
        <w:widowControl/>
        <w:spacing w:line="360" w:lineRule="auto"/>
        <w:ind w:firstLine="0"/>
        <w:jc w:val="center"/>
        <w:rPr>
          <w:b/>
          <w:sz w:val="26"/>
          <w:szCs w:val="26"/>
        </w:rPr>
      </w:pPr>
      <w:r w:rsidRPr="002678A1">
        <w:rPr>
          <w:b/>
          <w:sz w:val="26"/>
          <w:szCs w:val="26"/>
        </w:rPr>
        <w:t>C</w:t>
      </w:r>
      <w:r>
        <w:rPr>
          <w:b/>
          <w:sz w:val="26"/>
          <w:szCs w:val="26"/>
        </w:rPr>
        <w:t>ONCLUSION</w:t>
      </w:r>
    </w:p>
    <w:p w:rsidR="001871B6" w:rsidRDefault="001871B6" w:rsidP="00632033">
      <w:pPr>
        <w:pStyle w:val="p2"/>
        <w:keepNext/>
        <w:widowControl/>
        <w:spacing w:line="360" w:lineRule="auto"/>
        <w:ind w:firstLine="0"/>
        <w:rPr>
          <w:sz w:val="26"/>
          <w:szCs w:val="26"/>
        </w:rPr>
      </w:pPr>
      <w:r>
        <w:rPr>
          <w:sz w:val="26"/>
          <w:szCs w:val="26"/>
        </w:rPr>
        <w:tab/>
      </w:r>
    </w:p>
    <w:p w:rsidR="00CA053A" w:rsidRPr="00906A22" w:rsidRDefault="00CA053A" w:rsidP="00773D87">
      <w:pPr>
        <w:pStyle w:val="p2"/>
        <w:widowControl/>
        <w:spacing w:line="360" w:lineRule="auto"/>
        <w:rPr>
          <w:b/>
          <w:sz w:val="26"/>
          <w:szCs w:val="26"/>
        </w:rPr>
      </w:pPr>
      <w:r w:rsidRPr="00CA053A">
        <w:rPr>
          <w:sz w:val="26"/>
          <w:szCs w:val="26"/>
        </w:rPr>
        <w:t xml:space="preserve">Upon review, the Commission finds that </w:t>
      </w:r>
      <w:r w:rsidR="009C14FF">
        <w:rPr>
          <w:sz w:val="26"/>
          <w:szCs w:val="26"/>
        </w:rPr>
        <w:t>P</w:t>
      </w:r>
      <w:r w:rsidR="00FE7411">
        <w:rPr>
          <w:sz w:val="26"/>
          <w:szCs w:val="26"/>
        </w:rPr>
        <w:t>ECO</w:t>
      </w:r>
      <w:r w:rsidR="009C14FF">
        <w:rPr>
          <w:sz w:val="26"/>
          <w:szCs w:val="26"/>
        </w:rPr>
        <w:t xml:space="preserve">’s LTIIP </w:t>
      </w:r>
      <w:r w:rsidRPr="00CA053A">
        <w:rPr>
          <w:sz w:val="26"/>
          <w:szCs w:val="26"/>
        </w:rPr>
        <w:t>and manner in which it was filed conforms to the requirements of Act 11 and our Final Implementation Order</w:t>
      </w:r>
      <w:r w:rsidR="00FE7411">
        <w:rPr>
          <w:sz w:val="26"/>
          <w:szCs w:val="26"/>
        </w:rPr>
        <w:t>.  Moreover, the Commission has reviewed the filing and find</w:t>
      </w:r>
      <w:r w:rsidR="00D15709">
        <w:rPr>
          <w:sz w:val="26"/>
          <w:szCs w:val="26"/>
        </w:rPr>
        <w:t>s</w:t>
      </w:r>
      <w:r w:rsidR="00FE7411">
        <w:rPr>
          <w:sz w:val="26"/>
          <w:szCs w:val="26"/>
        </w:rPr>
        <w:t xml:space="preserve"> it to be consistent with the applicable law or Commission policy; </w:t>
      </w:r>
      <w:r w:rsidRPr="00906A22">
        <w:rPr>
          <w:b/>
          <w:sz w:val="26"/>
          <w:szCs w:val="26"/>
        </w:rPr>
        <w:t>THEREFORE,</w:t>
      </w:r>
    </w:p>
    <w:p w:rsidR="00CA053A" w:rsidRPr="00906A22" w:rsidRDefault="00CA053A" w:rsidP="00773D87">
      <w:pPr>
        <w:pStyle w:val="p2"/>
        <w:widowControl/>
        <w:spacing w:line="360" w:lineRule="auto"/>
        <w:rPr>
          <w:b/>
          <w:sz w:val="26"/>
          <w:szCs w:val="26"/>
        </w:rPr>
      </w:pPr>
    </w:p>
    <w:p w:rsidR="00CA053A" w:rsidRPr="00CA053A" w:rsidRDefault="00CA053A" w:rsidP="00BD1DB7">
      <w:pPr>
        <w:pStyle w:val="p2"/>
        <w:widowControl/>
        <w:spacing w:line="360" w:lineRule="auto"/>
        <w:ind w:firstLine="1440"/>
        <w:rPr>
          <w:sz w:val="26"/>
          <w:szCs w:val="26"/>
        </w:rPr>
      </w:pPr>
      <w:r w:rsidRPr="00906A22">
        <w:rPr>
          <w:b/>
          <w:sz w:val="26"/>
          <w:szCs w:val="26"/>
        </w:rPr>
        <w:t>IT IS ORDERED:</w:t>
      </w:r>
    </w:p>
    <w:p w:rsidR="00CA053A" w:rsidRPr="00CA053A" w:rsidRDefault="00CA053A" w:rsidP="00BD1DB7">
      <w:pPr>
        <w:pStyle w:val="p2"/>
        <w:widowControl/>
        <w:spacing w:line="360" w:lineRule="auto"/>
        <w:ind w:firstLine="1440"/>
        <w:rPr>
          <w:sz w:val="26"/>
          <w:szCs w:val="26"/>
        </w:rPr>
      </w:pPr>
    </w:p>
    <w:p w:rsidR="00CA053A" w:rsidRDefault="00CA053A" w:rsidP="00BD1DB7">
      <w:pPr>
        <w:pStyle w:val="p2"/>
        <w:widowControl/>
        <w:spacing w:line="360" w:lineRule="auto"/>
        <w:rPr>
          <w:sz w:val="26"/>
          <w:szCs w:val="26"/>
        </w:rPr>
      </w:pPr>
      <w:r w:rsidRPr="00CA053A">
        <w:rPr>
          <w:sz w:val="26"/>
          <w:szCs w:val="26"/>
        </w:rPr>
        <w:t>1.</w:t>
      </w:r>
      <w:r w:rsidRPr="00CA053A">
        <w:rPr>
          <w:sz w:val="26"/>
          <w:szCs w:val="26"/>
        </w:rPr>
        <w:tab/>
        <w:t xml:space="preserve">That the Petition for </w:t>
      </w:r>
      <w:r w:rsidR="00D13E0F">
        <w:rPr>
          <w:sz w:val="26"/>
          <w:szCs w:val="26"/>
        </w:rPr>
        <w:t>A</w:t>
      </w:r>
      <w:r w:rsidRPr="00CA053A">
        <w:rPr>
          <w:sz w:val="26"/>
          <w:szCs w:val="26"/>
        </w:rPr>
        <w:t>pproval of a Long-Term Infrastructure Improvement Plan (LTIIP) filed</w:t>
      </w:r>
      <w:r w:rsidR="00906A22">
        <w:rPr>
          <w:sz w:val="26"/>
          <w:szCs w:val="26"/>
        </w:rPr>
        <w:t xml:space="preserve"> by </w:t>
      </w:r>
      <w:r w:rsidR="00FE7411">
        <w:rPr>
          <w:color w:val="0D0D0D" w:themeColor="text1" w:themeTint="F2"/>
          <w:sz w:val="26"/>
          <w:szCs w:val="26"/>
        </w:rPr>
        <w:t>PECO Energy Company</w:t>
      </w:r>
      <w:r w:rsidR="00FE7411" w:rsidRPr="007C0BCF">
        <w:rPr>
          <w:color w:val="0D0D0D" w:themeColor="text1" w:themeTint="F2"/>
          <w:sz w:val="26"/>
          <w:szCs w:val="26"/>
        </w:rPr>
        <w:t xml:space="preserve"> </w:t>
      </w:r>
      <w:r w:rsidRPr="00CA053A">
        <w:rPr>
          <w:sz w:val="26"/>
          <w:szCs w:val="26"/>
        </w:rPr>
        <w:t>is approved, consistent with this Order.</w:t>
      </w:r>
    </w:p>
    <w:p w:rsidR="006B25C0" w:rsidRDefault="006B25C0">
      <w:pPr>
        <w:widowControl/>
        <w:autoSpaceDE/>
        <w:autoSpaceDN/>
        <w:adjustRightInd/>
        <w:rPr>
          <w:sz w:val="26"/>
          <w:szCs w:val="26"/>
        </w:rPr>
      </w:pPr>
      <w:r>
        <w:rPr>
          <w:sz w:val="26"/>
          <w:szCs w:val="26"/>
        </w:rPr>
        <w:br w:type="page"/>
      </w:r>
    </w:p>
    <w:p w:rsidR="00CA053A" w:rsidRPr="00CA053A" w:rsidRDefault="009E3FD3" w:rsidP="00BD1DB7">
      <w:pPr>
        <w:pStyle w:val="p2"/>
        <w:widowControl/>
        <w:spacing w:line="360" w:lineRule="auto"/>
        <w:rPr>
          <w:sz w:val="26"/>
          <w:szCs w:val="26"/>
        </w:rPr>
      </w:pPr>
      <w:r>
        <w:rPr>
          <w:sz w:val="26"/>
          <w:szCs w:val="26"/>
        </w:rPr>
        <w:lastRenderedPageBreak/>
        <w:t>2.  That the Petition to Intervene filed by the International Brotherhood of Elect</w:t>
      </w:r>
      <w:r w:rsidR="008E65AB">
        <w:rPr>
          <w:sz w:val="26"/>
          <w:szCs w:val="26"/>
        </w:rPr>
        <w:t>rical Workers Local 614 is</w:t>
      </w:r>
      <w:r>
        <w:rPr>
          <w:sz w:val="26"/>
          <w:szCs w:val="26"/>
        </w:rPr>
        <w:t xml:space="preserve"> </w:t>
      </w:r>
      <w:r w:rsidR="00F7471F">
        <w:rPr>
          <w:sz w:val="26"/>
          <w:szCs w:val="26"/>
        </w:rPr>
        <w:t>approved</w:t>
      </w:r>
      <w:r>
        <w:rPr>
          <w:sz w:val="26"/>
          <w:szCs w:val="26"/>
        </w:rPr>
        <w:t xml:space="preserve">. </w:t>
      </w:r>
    </w:p>
    <w:p w:rsidR="00906A22" w:rsidRDefault="00B64D4C" w:rsidP="00FE7411">
      <w:pPr>
        <w:pStyle w:val="p2"/>
        <w:widowControl/>
        <w:spacing w:line="360" w:lineRule="auto"/>
        <w:rPr>
          <w:sz w:val="26"/>
          <w:szCs w:val="26"/>
        </w:rPr>
      </w:pPr>
      <w:r>
        <w:rPr>
          <w:sz w:val="26"/>
          <w:szCs w:val="26"/>
        </w:rPr>
        <w:t xml:space="preserve"> </w:t>
      </w:r>
    </w:p>
    <w:p w:rsidR="00B64D4C" w:rsidRPr="00CA053A" w:rsidRDefault="00B64D4C" w:rsidP="00D73D61">
      <w:pPr>
        <w:pStyle w:val="p2"/>
        <w:widowControl/>
        <w:spacing w:line="360" w:lineRule="auto"/>
        <w:ind w:firstLine="1440"/>
        <w:rPr>
          <w:sz w:val="26"/>
          <w:szCs w:val="26"/>
        </w:rPr>
      </w:pPr>
    </w:p>
    <w:p w:rsidR="00906A22" w:rsidRPr="00062E21" w:rsidRDefault="00353293" w:rsidP="009C562F">
      <w:pPr>
        <w:pStyle w:val="p3"/>
        <w:keepNext/>
        <w:keepLines/>
        <w:widowControl/>
        <w:spacing w:line="360" w:lineRule="auto"/>
        <w:ind w:left="5119"/>
        <w:rPr>
          <w:b/>
          <w:bCs/>
          <w:sz w:val="26"/>
          <w:szCs w:val="26"/>
        </w:rPr>
      </w:pPr>
      <w:r>
        <w:rPr>
          <w:noProof/>
        </w:rPr>
        <w:drawing>
          <wp:anchor distT="0" distB="0" distL="114300" distR="114300" simplePos="0" relativeHeight="251658240" behindDoc="1" locked="0" layoutInCell="1" allowOverlap="1" wp14:anchorId="6A5FDFD1" wp14:editId="7B1A3B20">
            <wp:simplePos x="0" y="0"/>
            <wp:positionH relativeFrom="column">
              <wp:posOffset>3124200</wp:posOffset>
            </wp:positionH>
            <wp:positionV relativeFrom="paragraph">
              <wp:posOffset>105410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06A22" w:rsidRPr="00062E21">
        <w:rPr>
          <w:b/>
          <w:bCs/>
          <w:sz w:val="26"/>
          <w:szCs w:val="26"/>
        </w:rPr>
        <w:t>BY THE COMMISSION,</w:t>
      </w:r>
    </w:p>
    <w:p w:rsidR="00906A22" w:rsidRPr="00062E21" w:rsidRDefault="00906A22" w:rsidP="009C562F">
      <w:pPr>
        <w:keepNext/>
        <w:keepLines/>
        <w:widowControl/>
        <w:tabs>
          <w:tab w:val="left" w:pos="5119"/>
        </w:tabs>
        <w:spacing w:line="360" w:lineRule="auto"/>
        <w:rPr>
          <w:bCs/>
          <w:sz w:val="26"/>
          <w:szCs w:val="26"/>
        </w:rPr>
      </w:pPr>
    </w:p>
    <w:p w:rsidR="00906A22" w:rsidRPr="00062E21" w:rsidRDefault="00906A22" w:rsidP="009C562F">
      <w:pPr>
        <w:keepNext/>
        <w:keepLines/>
        <w:widowControl/>
        <w:tabs>
          <w:tab w:val="left" w:pos="5119"/>
        </w:tabs>
        <w:spacing w:line="360" w:lineRule="auto"/>
        <w:rPr>
          <w:bCs/>
          <w:sz w:val="26"/>
          <w:szCs w:val="26"/>
        </w:rPr>
      </w:pPr>
    </w:p>
    <w:p w:rsidR="00906A22" w:rsidRPr="00062E21" w:rsidRDefault="00906A22" w:rsidP="009C562F">
      <w:pPr>
        <w:pStyle w:val="p4"/>
        <w:keepNext/>
        <w:keepLines/>
        <w:widowControl/>
        <w:ind w:left="5130"/>
        <w:rPr>
          <w:sz w:val="26"/>
          <w:szCs w:val="26"/>
        </w:rPr>
      </w:pPr>
      <w:r w:rsidRPr="00062E21">
        <w:rPr>
          <w:sz w:val="26"/>
          <w:szCs w:val="26"/>
        </w:rPr>
        <w:tab/>
        <w:t>Rosemary Chiavetta</w:t>
      </w:r>
    </w:p>
    <w:p w:rsidR="00906A22" w:rsidRPr="00062E21" w:rsidRDefault="00906A22" w:rsidP="009C562F">
      <w:pPr>
        <w:pStyle w:val="p4"/>
        <w:keepNext/>
        <w:keepLines/>
        <w:widowControl/>
        <w:ind w:left="5130"/>
        <w:rPr>
          <w:sz w:val="26"/>
          <w:szCs w:val="26"/>
        </w:rPr>
      </w:pPr>
      <w:r w:rsidRPr="00062E21">
        <w:rPr>
          <w:sz w:val="26"/>
          <w:szCs w:val="26"/>
        </w:rPr>
        <w:tab/>
        <w:t>Secretary</w:t>
      </w:r>
    </w:p>
    <w:p w:rsidR="00906A22" w:rsidRPr="00062E21" w:rsidRDefault="00906A22" w:rsidP="009C562F">
      <w:pPr>
        <w:pStyle w:val="p4"/>
        <w:keepLines/>
        <w:widowControl/>
        <w:ind w:left="5126"/>
        <w:outlineLvl w:val="0"/>
        <w:rPr>
          <w:sz w:val="26"/>
          <w:szCs w:val="26"/>
        </w:rPr>
      </w:pPr>
    </w:p>
    <w:p w:rsidR="00906A22" w:rsidRDefault="00906A22" w:rsidP="009C562F">
      <w:pPr>
        <w:pStyle w:val="p1"/>
        <w:keepLines/>
        <w:widowControl/>
        <w:spacing w:line="360" w:lineRule="auto"/>
        <w:ind w:hanging="1054"/>
        <w:rPr>
          <w:sz w:val="26"/>
          <w:szCs w:val="26"/>
        </w:rPr>
      </w:pPr>
    </w:p>
    <w:p w:rsidR="00906A22" w:rsidRDefault="00906A22" w:rsidP="009C562F">
      <w:pPr>
        <w:pStyle w:val="p1"/>
        <w:keepLines/>
        <w:widowControl/>
        <w:spacing w:line="360" w:lineRule="auto"/>
        <w:ind w:hanging="1054"/>
        <w:rPr>
          <w:sz w:val="26"/>
          <w:szCs w:val="26"/>
        </w:rPr>
      </w:pPr>
      <w:r w:rsidRPr="00062E21">
        <w:rPr>
          <w:sz w:val="26"/>
          <w:szCs w:val="26"/>
        </w:rPr>
        <w:t>(SEAL)</w:t>
      </w:r>
    </w:p>
    <w:p w:rsidR="00906A22" w:rsidRPr="00062E21" w:rsidRDefault="004A7E54" w:rsidP="009C562F">
      <w:pPr>
        <w:pStyle w:val="p1"/>
        <w:keepLines/>
        <w:widowControl/>
        <w:spacing w:line="360" w:lineRule="auto"/>
        <w:ind w:hanging="1054"/>
        <w:outlineLvl w:val="0"/>
        <w:rPr>
          <w:sz w:val="26"/>
          <w:szCs w:val="26"/>
        </w:rPr>
      </w:pPr>
      <w:r>
        <w:rPr>
          <w:sz w:val="26"/>
          <w:szCs w:val="26"/>
        </w:rPr>
        <w:t>ORDER ADOPTED: May 9</w:t>
      </w:r>
      <w:r w:rsidR="00906A22" w:rsidRPr="00062E21">
        <w:rPr>
          <w:sz w:val="26"/>
          <w:szCs w:val="26"/>
        </w:rPr>
        <w:t>, 2013</w:t>
      </w:r>
    </w:p>
    <w:p w:rsidR="005E766A" w:rsidRPr="005E766A" w:rsidRDefault="00906A22" w:rsidP="00B64D4C">
      <w:pPr>
        <w:pStyle w:val="p1"/>
        <w:keepLines/>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Pr>
          <w:sz w:val="26"/>
          <w:szCs w:val="26"/>
        </w:rPr>
        <w:t xml:space="preserve">  </w:t>
      </w:r>
      <w:r w:rsidR="00353293">
        <w:rPr>
          <w:sz w:val="26"/>
          <w:szCs w:val="26"/>
        </w:rPr>
        <w:t>May 9, 2013</w:t>
      </w:r>
      <w:bookmarkStart w:id="0" w:name="_GoBack"/>
      <w:bookmarkEnd w:id="0"/>
    </w:p>
    <w:sectPr w:rsidR="005E766A" w:rsidRPr="005E766A" w:rsidSect="00C3609D">
      <w:footerReference w:type="even" r:id="rId11"/>
      <w:footerReference w:type="default" r:id="rId12"/>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10" w:rsidRDefault="00041E10">
      <w:r>
        <w:separator/>
      </w:r>
    </w:p>
  </w:endnote>
  <w:endnote w:type="continuationSeparator" w:id="0">
    <w:p w:rsidR="00041E10" w:rsidRDefault="0004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0B" w:rsidRDefault="00A0300B"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00B" w:rsidRDefault="00A03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0B" w:rsidRDefault="00A0300B"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293">
      <w:rPr>
        <w:rStyle w:val="PageNumber"/>
        <w:noProof/>
      </w:rPr>
      <w:t>24</w:t>
    </w:r>
    <w:r>
      <w:rPr>
        <w:rStyle w:val="PageNumber"/>
      </w:rPr>
      <w:fldChar w:fldCharType="end"/>
    </w:r>
  </w:p>
  <w:p w:rsidR="00A0300B" w:rsidRDefault="00A03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10" w:rsidRDefault="00041E10">
      <w:r>
        <w:separator/>
      </w:r>
    </w:p>
  </w:footnote>
  <w:footnote w:type="continuationSeparator" w:id="0">
    <w:p w:rsidR="00041E10" w:rsidRDefault="00041E10">
      <w:r>
        <w:continuationSeparator/>
      </w:r>
    </w:p>
  </w:footnote>
  <w:footnote w:id="1">
    <w:p w:rsidR="00A0300B" w:rsidRPr="00541752" w:rsidRDefault="00A0300B" w:rsidP="00E00C08">
      <w:pPr>
        <w:pStyle w:val="FootnoteText"/>
        <w:spacing w:after="120"/>
        <w:rPr>
          <w:sz w:val="22"/>
          <w:szCs w:val="22"/>
        </w:rPr>
      </w:pPr>
      <w:r w:rsidRPr="00541752">
        <w:rPr>
          <w:rStyle w:val="FootnoteReference"/>
          <w:sz w:val="22"/>
          <w:szCs w:val="22"/>
        </w:rPr>
        <w:footnoteRef/>
      </w:r>
      <w:r w:rsidRPr="00541752">
        <w:rPr>
          <w:sz w:val="22"/>
          <w:szCs w:val="22"/>
        </w:rPr>
        <w:t xml:space="preserve">  </w:t>
      </w:r>
      <w:hyperlink r:id="rId1" w:history="1">
        <w:r w:rsidRPr="00541752">
          <w:rPr>
            <w:rStyle w:val="Hyperlink"/>
            <w:sz w:val="22"/>
            <w:szCs w:val="22"/>
          </w:rPr>
          <w:t>http://www.legis.state.pa.us/WU01/LI/LI/US/HTM/2012/0/0011..HTM</w:t>
        </w:r>
      </w:hyperlink>
      <w:r w:rsidRPr="00541752">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2">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7">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8">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9">
    <w:nsid w:val="330D39E4"/>
    <w:multiLevelType w:val="hybridMultilevel"/>
    <w:tmpl w:val="2FAC4B3C"/>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0">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4">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0">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1">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4">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6">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0">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1">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30"/>
  </w:num>
  <w:num w:numId="3">
    <w:abstractNumId w:val="2"/>
  </w:num>
  <w:num w:numId="4">
    <w:abstractNumId w:val="10"/>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4"/>
  </w:num>
  <w:num w:numId="11">
    <w:abstractNumId w:val="25"/>
  </w:num>
  <w:num w:numId="12">
    <w:abstractNumId w:val="19"/>
  </w:num>
  <w:num w:numId="13">
    <w:abstractNumId w:val="8"/>
  </w:num>
  <w:num w:numId="14">
    <w:abstractNumId w:val="23"/>
  </w:num>
  <w:num w:numId="15">
    <w:abstractNumId w:val="22"/>
  </w:num>
  <w:num w:numId="16">
    <w:abstractNumId w:val="5"/>
  </w:num>
  <w:num w:numId="17">
    <w:abstractNumId w:val="12"/>
  </w:num>
  <w:num w:numId="18">
    <w:abstractNumId w:val="16"/>
  </w:num>
  <w:num w:numId="19">
    <w:abstractNumId w:val="29"/>
  </w:num>
  <w:num w:numId="20">
    <w:abstractNumId w:val="28"/>
  </w:num>
  <w:num w:numId="21">
    <w:abstractNumId w:val="27"/>
  </w:num>
  <w:num w:numId="22">
    <w:abstractNumId w:val="24"/>
  </w:num>
  <w:num w:numId="23">
    <w:abstractNumId w:val="11"/>
  </w:num>
  <w:num w:numId="24">
    <w:abstractNumId w:val="14"/>
  </w:num>
  <w:num w:numId="25">
    <w:abstractNumId w:val="3"/>
  </w:num>
  <w:num w:numId="26">
    <w:abstractNumId w:val="26"/>
  </w:num>
  <w:num w:numId="27">
    <w:abstractNumId w:val="18"/>
  </w:num>
  <w:num w:numId="28">
    <w:abstractNumId w:val="17"/>
  </w:num>
  <w:num w:numId="29">
    <w:abstractNumId w:val="21"/>
  </w:num>
  <w:num w:numId="30">
    <w:abstractNumId w:val="31"/>
  </w:num>
  <w:num w:numId="31">
    <w:abstractNumId w:val="9"/>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1E82"/>
    <w:rsid w:val="00002AFC"/>
    <w:rsid w:val="00003918"/>
    <w:rsid w:val="00006037"/>
    <w:rsid w:val="00006A83"/>
    <w:rsid w:val="00006C68"/>
    <w:rsid w:val="00007CE4"/>
    <w:rsid w:val="00007E6E"/>
    <w:rsid w:val="00010BA9"/>
    <w:rsid w:val="00011618"/>
    <w:rsid w:val="000126E6"/>
    <w:rsid w:val="000135A8"/>
    <w:rsid w:val="00013B7C"/>
    <w:rsid w:val="00014232"/>
    <w:rsid w:val="00014A54"/>
    <w:rsid w:val="00014BCA"/>
    <w:rsid w:val="00015C34"/>
    <w:rsid w:val="00015CE5"/>
    <w:rsid w:val="0001600A"/>
    <w:rsid w:val="000224A8"/>
    <w:rsid w:val="00022D58"/>
    <w:rsid w:val="00023786"/>
    <w:rsid w:val="0002577D"/>
    <w:rsid w:val="00025CE7"/>
    <w:rsid w:val="000300FC"/>
    <w:rsid w:val="000307F7"/>
    <w:rsid w:val="00030B5C"/>
    <w:rsid w:val="00031D59"/>
    <w:rsid w:val="0003286B"/>
    <w:rsid w:val="00034D98"/>
    <w:rsid w:val="000352F7"/>
    <w:rsid w:val="0003776F"/>
    <w:rsid w:val="00040238"/>
    <w:rsid w:val="00041E10"/>
    <w:rsid w:val="00042915"/>
    <w:rsid w:val="00042B3E"/>
    <w:rsid w:val="000433F6"/>
    <w:rsid w:val="00043710"/>
    <w:rsid w:val="000443AB"/>
    <w:rsid w:val="00045FA6"/>
    <w:rsid w:val="00047893"/>
    <w:rsid w:val="00047F44"/>
    <w:rsid w:val="0005014D"/>
    <w:rsid w:val="000506FF"/>
    <w:rsid w:val="000507D0"/>
    <w:rsid w:val="00050BB2"/>
    <w:rsid w:val="0005141B"/>
    <w:rsid w:val="00051D78"/>
    <w:rsid w:val="00051DC4"/>
    <w:rsid w:val="00051EF5"/>
    <w:rsid w:val="00052D94"/>
    <w:rsid w:val="000538E9"/>
    <w:rsid w:val="00056414"/>
    <w:rsid w:val="00056B84"/>
    <w:rsid w:val="00057656"/>
    <w:rsid w:val="00060580"/>
    <w:rsid w:val="000612D5"/>
    <w:rsid w:val="00061E14"/>
    <w:rsid w:val="0006307D"/>
    <w:rsid w:val="00063F64"/>
    <w:rsid w:val="00064B17"/>
    <w:rsid w:val="00064B8F"/>
    <w:rsid w:val="00064C8B"/>
    <w:rsid w:val="00064D01"/>
    <w:rsid w:val="00066B0C"/>
    <w:rsid w:val="000672F9"/>
    <w:rsid w:val="00067314"/>
    <w:rsid w:val="00067F30"/>
    <w:rsid w:val="000701DF"/>
    <w:rsid w:val="00071DD1"/>
    <w:rsid w:val="00074F36"/>
    <w:rsid w:val="000752AB"/>
    <w:rsid w:val="00077046"/>
    <w:rsid w:val="00077670"/>
    <w:rsid w:val="00081E5A"/>
    <w:rsid w:val="00083000"/>
    <w:rsid w:val="00083437"/>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1A09"/>
    <w:rsid w:val="000A2D1E"/>
    <w:rsid w:val="000A443C"/>
    <w:rsid w:val="000A4AF8"/>
    <w:rsid w:val="000A4F8F"/>
    <w:rsid w:val="000A59E5"/>
    <w:rsid w:val="000A7E13"/>
    <w:rsid w:val="000B1589"/>
    <w:rsid w:val="000B2021"/>
    <w:rsid w:val="000B275D"/>
    <w:rsid w:val="000B2AAE"/>
    <w:rsid w:val="000B2E85"/>
    <w:rsid w:val="000B32B3"/>
    <w:rsid w:val="000B3797"/>
    <w:rsid w:val="000B3C32"/>
    <w:rsid w:val="000B455E"/>
    <w:rsid w:val="000B6632"/>
    <w:rsid w:val="000B6731"/>
    <w:rsid w:val="000C02DF"/>
    <w:rsid w:val="000C0E4B"/>
    <w:rsid w:val="000C3415"/>
    <w:rsid w:val="000C37B5"/>
    <w:rsid w:val="000C4495"/>
    <w:rsid w:val="000C6069"/>
    <w:rsid w:val="000C63F8"/>
    <w:rsid w:val="000C78D7"/>
    <w:rsid w:val="000D09A1"/>
    <w:rsid w:val="000D3D30"/>
    <w:rsid w:val="000D5267"/>
    <w:rsid w:val="000D65CE"/>
    <w:rsid w:val="000E0D52"/>
    <w:rsid w:val="000E1005"/>
    <w:rsid w:val="000E2808"/>
    <w:rsid w:val="000E3639"/>
    <w:rsid w:val="000E4460"/>
    <w:rsid w:val="000E4D1B"/>
    <w:rsid w:val="000E569C"/>
    <w:rsid w:val="000E73A5"/>
    <w:rsid w:val="000E7515"/>
    <w:rsid w:val="000F0E18"/>
    <w:rsid w:val="000F2AE1"/>
    <w:rsid w:val="000F3BEC"/>
    <w:rsid w:val="000F5E3D"/>
    <w:rsid w:val="000F6B05"/>
    <w:rsid w:val="000F7A83"/>
    <w:rsid w:val="001013E1"/>
    <w:rsid w:val="00101493"/>
    <w:rsid w:val="001046E7"/>
    <w:rsid w:val="0010559E"/>
    <w:rsid w:val="00106645"/>
    <w:rsid w:val="0011066C"/>
    <w:rsid w:val="00110689"/>
    <w:rsid w:val="0011079C"/>
    <w:rsid w:val="0011159F"/>
    <w:rsid w:val="0011254C"/>
    <w:rsid w:val="00115A7D"/>
    <w:rsid w:val="00117195"/>
    <w:rsid w:val="001202B5"/>
    <w:rsid w:val="00121180"/>
    <w:rsid w:val="00121D63"/>
    <w:rsid w:val="00124317"/>
    <w:rsid w:val="0012516E"/>
    <w:rsid w:val="00125234"/>
    <w:rsid w:val="00126ABE"/>
    <w:rsid w:val="00126D2A"/>
    <w:rsid w:val="00127A27"/>
    <w:rsid w:val="001303A1"/>
    <w:rsid w:val="0013395B"/>
    <w:rsid w:val="00135912"/>
    <w:rsid w:val="001365B6"/>
    <w:rsid w:val="00140A11"/>
    <w:rsid w:val="001414CA"/>
    <w:rsid w:val="00143E69"/>
    <w:rsid w:val="00144489"/>
    <w:rsid w:val="00146BB7"/>
    <w:rsid w:val="00147BB9"/>
    <w:rsid w:val="00152A7D"/>
    <w:rsid w:val="00153ADE"/>
    <w:rsid w:val="001541F1"/>
    <w:rsid w:val="001552C3"/>
    <w:rsid w:val="00156F52"/>
    <w:rsid w:val="00163B04"/>
    <w:rsid w:val="00163B60"/>
    <w:rsid w:val="00164352"/>
    <w:rsid w:val="00164BAB"/>
    <w:rsid w:val="00165F87"/>
    <w:rsid w:val="001669B4"/>
    <w:rsid w:val="00173542"/>
    <w:rsid w:val="001736D6"/>
    <w:rsid w:val="00173AA7"/>
    <w:rsid w:val="00174523"/>
    <w:rsid w:val="00174685"/>
    <w:rsid w:val="00174796"/>
    <w:rsid w:val="00174DC7"/>
    <w:rsid w:val="0017598B"/>
    <w:rsid w:val="00175B38"/>
    <w:rsid w:val="0017755B"/>
    <w:rsid w:val="00177F0F"/>
    <w:rsid w:val="0018150D"/>
    <w:rsid w:val="0018179E"/>
    <w:rsid w:val="00184DDB"/>
    <w:rsid w:val="00186077"/>
    <w:rsid w:val="001871B6"/>
    <w:rsid w:val="0018726F"/>
    <w:rsid w:val="00187BEB"/>
    <w:rsid w:val="00191719"/>
    <w:rsid w:val="00191CBC"/>
    <w:rsid w:val="001921A8"/>
    <w:rsid w:val="00193B12"/>
    <w:rsid w:val="0019427D"/>
    <w:rsid w:val="001942AD"/>
    <w:rsid w:val="001946B8"/>
    <w:rsid w:val="00194B44"/>
    <w:rsid w:val="00194B7D"/>
    <w:rsid w:val="00195D7E"/>
    <w:rsid w:val="00196D7E"/>
    <w:rsid w:val="0019791C"/>
    <w:rsid w:val="001A0061"/>
    <w:rsid w:val="001A1123"/>
    <w:rsid w:val="001A1CA6"/>
    <w:rsid w:val="001A2D51"/>
    <w:rsid w:val="001A32DA"/>
    <w:rsid w:val="001A45BB"/>
    <w:rsid w:val="001A685D"/>
    <w:rsid w:val="001A72D1"/>
    <w:rsid w:val="001A7544"/>
    <w:rsid w:val="001B09AA"/>
    <w:rsid w:val="001B0CBA"/>
    <w:rsid w:val="001B3FF8"/>
    <w:rsid w:val="001B4406"/>
    <w:rsid w:val="001B4F2B"/>
    <w:rsid w:val="001B507B"/>
    <w:rsid w:val="001B5220"/>
    <w:rsid w:val="001B62FD"/>
    <w:rsid w:val="001B6508"/>
    <w:rsid w:val="001B66E9"/>
    <w:rsid w:val="001B7A8D"/>
    <w:rsid w:val="001C0AE6"/>
    <w:rsid w:val="001C51F0"/>
    <w:rsid w:val="001C5794"/>
    <w:rsid w:val="001D1754"/>
    <w:rsid w:val="001D17D8"/>
    <w:rsid w:val="001D2604"/>
    <w:rsid w:val="001D3BA8"/>
    <w:rsid w:val="001D4686"/>
    <w:rsid w:val="001D7605"/>
    <w:rsid w:val="001D78AF"/>
    <w:rsid w:val="001E240F"/>
    <w:rsid w:val="001E2859"/>
    <w:rsid w:val="001E4732"/>
    <w:rsid w:val="001E4B2C"/>
    <w:rsid w:val="001E5010"/>
    <w:rsid w:val="001E631F"/>
    <w:rsid w:val="001E682A"/>
    <w:rsid w:val="001F2409"/>
    <w:rsid w:val="001F2D8B"/>
    <w:rsid w:val="001F3106"/>
    <w:rsid w:val="001F37FA"/>
    <w:rsid w:val="001F3C46"/>
    <w:rsid w:val="001F5D75"/>
    <w:rsid w:val="001F6097"/>
    <w:rsid w:val="00200B10"/>
    <w:rsid w:val="002030D4"/>
    <w:rsid w:val="00204EAE"/>
    <w:rsid w:val="00204EDA"/>
    <w:rsid w:val="00206C03"/>
    <w:rsid w:val="0021082B"/>
    <w:rsid w:val="00210BF3"/>
    <w:rsid w:val="00211560"/>
    <w:rsid w:val="00211FAC"/>
    <w:rsid w:val="00212883"/>
    <w:rsid w:val="00213925"/>
    <w:rsid w:val="00214184"/>
    <w:rsid w:val="002145E1"/>
    <w:rsid w:val="002151F5"/>
    <w:rsid w:val="0021537D"/>
    <w:rsid w:val="002156B6"/>
    <w:rsid w:val="00216D05"/>
    <w:rsid w:val="00217F3F"/>
    <w:rsid w:val="0022007A"/>
    <w:rsid w:val="002216DA"/>
    <w:rsid w:val="00221B8F"/>
    <w:rsid w:val="00222153"/>
    <w:rsid w:val="002239A4"/>
    <w:rsid w:val="00224ADE"/>
    <w:rsid w:val="00224AF9"/>
    <w:rsid w:val="00225AD3"/>
    <w:rsid w:val="00225E55"/>
    <w:rsid w:val="0022633E"/>
    <w:rsid w:val="0022673D"/>
    <w:rsid w:val="002267E9"/>
    <w:rsid w:val="00233DC2"/>
    <w:rsid w:val="00234942"/>
    <w:rsid w:val="00234AA2"/>
    <w:rsid w:val="002352F0"/>
    <w:rsid w:val="00236F9D"/>
    <w:rsid w:val="00237164"/>
    <w:rsid w:val="002372D6"/>
    <w:rsid w:val="002374A2"/>
    <w:rsid w:val="00237FF1"/>
    <w:rsid w:val="002438FE"/>
    <w:rsid w:val="002442F2"/>
    <w:rsid w:val="00244F9D"/>
    <w:rsid w:val="00246583"/>
    <w:rsid w:val="00247361"/>
    <w:rsid w:val="0025022C"/>
    <w:rsid w:val="00251027"/>
    <w:rsid w:val="00251BA0"/>
    <w:rsid w:val="00251FC4"/>
    <w:rsid w:val="00253311"/>
    <w:rsid w:val="0025452F"/>
    <w:rsid w:val="00260327"/>
    <w:rsid w:val="002625D8"/>
    <w:rsid w:val="00262BA1"/>
    <w:rsid w:val="00262F96"/>
    <w:rsid w:val="0026388B"/>
    <w:rsid w:val="00265BD2"/>
    <w:rsid w:val="00266FD4"/>
    <w:rsid w:val="002672F8"/>
    <w:rsid w:val="0026742F"/>
    <w:rsid w:val="002678A1"/>
    <w:rsid w:val="002700F5"/>
    <w:rsid w:val="0027265B"/>
    <w:rsid w:val="00273A7F"/>
    <w:rsid w:val="00280E89"/>
    <w:rsid w:val="0028150B"/>
    <w:rsid w:val="002827D1"/>
    <w:rsid w:val="0028332B"/>
    <w:rsid w:val="002837ED"/>
    <w:rsid w:val="002877BA"/>
    <w:rsid w:val="00287854"/>
    <w:rsid w:val="002912EF"/>
    <w:rsid w:val="002918DD"/>
    <w:rsid w:val="00291AC6"/>
    <w:rsid w:val="00292C43"/>
    <w:rsid w:val="00292DE0"/>
    <w:rsid w:val="00293009"/>
    <w:rsid w:val="00293EB9"/>
    <w:rsid w:val="00296196"/>
    <w:rsid w:val="002A0D0B"/>
    <w:rsid w:val="002A1280"/>
    <w:rsid w:val="002A1A2E"/>
    <w:rsid w:val="002A2997"/>
    <w:rsid w:val="002A2AEC"/>
    <w:rsid w:val="002A3C76"/>
    <w:rsid w:val="002A48E0"/>
    <w:rsid w:val="002A498A"/>
    <w:rsid w:val="002A4CE9"/>
    <w:rsid w:val="002A5630"/>
    <w:rsid w:val="002A60F1"/>
    <w:rsid w:val="002A666D"/>
    <w:rsid w:val="002B03C9"/>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6550"/>
    <w:rsid w:val="002C6643"/>
    <w:rsid w:val="002C6A97"/>
    <w:rsid w:val="002D0497"/>
    <w:rsid w:val="002D09FD"/>
    <w:rsid w:val="002D2ACB"/>
    <w:rsid w:val="002D58DD"/>
    <w:rsid w:val="002D6AEB"/>
    <w:rsid w:val="002D6E61"/>
    <w:rsid w:val="002D7169"/>
    <w:rsid w:val="002D79F5"/>
    <w:rsid w:val="002E1BD5"/>
    <w:rsid w:val="002E21EA"/>
    <w:rsid w:val="002E23D6"/>
    <w:rsid w:val="002E24F7"/>
    <w:rsid w:val="002E2683"/>
    <w:rsid w:val="002E27E2"/>
    <w:rsid w:val="002E2B8F"/>
    <w:rsid w:val="002E2DF0"/>
    <w:rsid w:val="002E33D2"/>
    <w:rsid w:val="002E7742"/>
    <w:rsid w:val="002F1815"/>
    <w:rsid w:val="002F26CE"/>
    <w:rsid w:val="002F2EA4"/>
    <w:rsid w:val="002F3B7D"/>
    <w:rsid w:val="002F405B"/>
    <w:rsid w:val="002F5108"/>
    <w:rsid w:val="002F53AA"/>
    <w:rsid w:val="002F7274"/>
    <w:rsid w:val="002F7854"/>
    <w:rsid w:val="0030031B"/>
    <w:rsid w:val="003013B0"/>
    <w:rsid w:val="0030248B"/>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58F6"/>
    <w:rsid w:val="003271AA"/>
    <w:rsid w:val="003272A6"/>
    <w:rsid w:val="00330D0E"/>
    <w:rsid w:val="00330D19"/>
    <w:rsid w:val="00330F60"/>
    <w:rsid w:val="00332177"/>
    <w:rsid w:val="00332470"/>
    <w:rsid w:val="00334CF9"/>
    <w:rsid w:val="003361F4"/>
    <w:rsid w:val="00337E47"/>
    <w:rsid w:val="00340845"/>
    <w:rsid w:val="00341BAF"/>
    <w:rsid w:val="0034366D"/>
    <w:rsid w:val="00343BDF"/>
    <w:rsid w:val="00345E4C"/>
    <w:rsid w:val="003505F8"/>
    <w:rsid w:val="00351902"/>
    <w:rsid w:val="003522D6"/>
    <w:rsid w:val="00353293"/>
    <w:rsid w:val="00353FFE"/>
    <w:rsid w:val="003546E3"/>
    <w:rsid w:val="00354CD1"/>
    <w:rsid w:val="00356DC3"/>
    <w:rsid w:val="00360408"/>
    <w:rsid w:val="003608C2"/>
    <w:rsid w:val="00361E1D"/>
    <w:rsid w:val="00361F9D"/>
    <w:rsid w:val="00363235"/>
    <w:rsid w:val="00363719"/>
    <w:rsid w:val="0036458B"/>
    <w:rsid w:val="00365781"/>
    <w:rsid w:val="00365FDB"/>
    <w:rsid w:val="003665BD"/>
    <w:rsid w:val="003674BD"/>
    <w:rsid w:val="00367B6A"/>
    <w:rsid w:val="00370A9B"/>
    <w:rsid w:val="00372147"/>
    <w:rsid w:val="0037463F"/>
    <w:rsid w:val="00374721"/>
    <w:rsid w:val="0037679C"/>
    <w:rsid w:val="00376BDE"/>
    <w:rsid w:val="00376E72"/>
    <w:rsid w:val="00377BE8"/>
    <w:rsid w:val="003801CF"/>
    <w:rsid w:val="00380D26"/>
    <w:rsid w:val="00382045"/>
    <w:rsid w:val="003820B7"/>
    <w:rsid w:val="00382499"/>
    <w:rsid w:val="00382AB5"/>
    <w:rsid w:val="00383C22"/>
    <w:rsid w:val="00383E80"/>
    <w:rsid w:val="00383EFA"/>
    <w:rsid w:val="003846EB"/>
    <w:rsid w:val="00384E55"/>
    <w:rsid w:val="003875A3"/>
    <w:rsid w:val="00387894"/>
    <w:rsid w:val="00391502"/>
    <w:rsid w:val="0039178B"/>
    <w:rsid w:val="0039193D"/>
    <w:rsid w:val="00392664"/>
    <w:rsid w:val="003937B3"/>
    <w:rsid w:val="00393DA3"/>
    <w:rsid w:val="00395081"/>
    <w:rsid w:val="003960BB"/>
    <w:rsid w:val="003960D4"/>
    <w:rsid w:val="0039749A"/>
    <w:rsid w:val="0039795F"/>
    <w:rsid w:val="00397D81"/>
    <w:rsid w:val="003A00B5"/>
    <w:rsid w:val="003A0129"/>
    <w:rsid w:val="003A16E1"/>
    <w:rsid w:val="003A2C8F"/>
    <w:rsid w:val="003A3745"/>
    <w:rsid w:val="003A4386"/>
    <w:rsid w:val="003A4C3D"/>
    <w:rsid w:val="003A5521"/>
    <w:rsid w:val="003A5FA3"/>
    <w:rsid w:val="003A637C"/>
    <w:rsid w:val="003A685C"/>
    <w:rsid w:val="003A74B5"/>
    <w:rsid w:val="003A76D3"/>
    <w:rsid w:val="003B00C0"/>
    <w:rsid w:val="003B0A1F"/>
    <w:rsid w:val="003B0ED9"/>
    <w:rsid w:val="003B1773"/>
    <w:rsid w:val="003B1F02"/>
    <w:rsid w:val="003B304C"/>
    <w:rsid w:val="003B443C"/>
    <w:rsid w:val="003B6354"/>
    <w:rsid w:val="003C290E"/>
    <w:rsid w:val="003C4521"/>
    <w:rsid w:val="003C4EA5"/>
    <w:rsid w:val="003C623E"/>
    <w:rsid w:val="003C63A1"/>
    <w:rsid w:val="003C7B76"/>
    <w:rsid w:val="003D2E7E"/>
    <w:rsid w:val="003D3C6F"/>
    <w:rsid w:val="003D55F5"/>
    <w:rsid w:val="003D613B"/>
    <w:rsid w:val="003D666E"/>
    <w:rsid w:val="003D7C02"/>
    <w:rsid w:val="003E0579"/>
    <w:rsid w:val="003E2848"/>
    <w:rsid w:val="003E5244"/>
    <w:rsid w:val="003E6F5D"/>
    <w:rsid w:val="003F01C3"/>
    <w:rsid w:val="003F21E6"/>
    <w:rsid w:val="003F2E82"/>
    <w:rsid w:val="003F3AC3"/>
    <w:rsid w:val="003F49A9"/>
    <w:rsid w:val="003F4D49"/>
    <w:rsid w:val="003F4D69"/>
    <w:rsid w:val="003F5248"/>
    <w:rsid w:val="003F537B"/>
    <w:rsid w:val="003F5419"/>
    <w:rsid w:val="003F7184"/>
    <w:rsid w:val="003F76D1"/>
    <w:rsid w:val="003F7BAD"/>
    <w:rsid w:val="004002FC"/>
    <w:rsid w:val="00400AF3"/>
    <w:rsid w:val="00402939"/>
    <w:rsid w:val="00404E1F"/>
    <w:rsid w:val="0040690C"/>
    <w:rsid w:val="004100B8"/>
    <w:rsid w:val="00410EA4"/>
    <w:rsid w:val="004116CA"/>
    <w:rsid w:val="004127E3"/>
    <w:rsid w:val="00413D73"/>
    <w:rsid w:val="00414248"/>
    <w:rsid w:val="00414881"/>
    <w:rsid w:val="004159CC"/>
    <w:rsid w:val="0041670B"/>
    <w:rsid w:val="0042070C"/>
    <w:rsid w:val="00420E1D"/>
    <w:rsid w:val="004224CC"/>
    <w:rsid w:val="00423CA3"/>
    <w:rsid w:val="00423EA7"/>
    <w:rsid w:val="00426798"/>
    <w:rsid w:val="00427530"/>
    <w:rsid w:val="00430166"/>
    <w:rsid w:val="00430386"/>
    <w:rsid w:val="00433B07"/>
    <w:rsid w:val="00433D4B"/>
    <w:rsid w:val="00435210"/>
    <w:rsid w:val="00435218"/>
    <w:rsid w:val="00435A4E"/>
    <w:rsid w:val="00436358"/>
    <w:rsid w:val="0044050E"/>
    <w:rsid w:val="0044120F"/>
    <w:rsid w:val="0044214C"/>
    <w:rsid w:val="00444BFB"/>
    <w:rsid w:val="00445700"/>
    <w:rsid w:val="004467B4"/>
    <w:rsid w:val="00447CB7"/>
    <w:rsid w:val="0045001E"/>
    <w:rsid w:val="004507A8"/>
    <w:rsid w:val="00452221"/>
    <w:rsid w:val="00453ACC"/>
    <w:rsid w:val="00454E20"/>
    <w:rsid w:val="0045504C"/>
    <w:rsid w:val="0045592E"/>
    <w:rsid w:val="00455F55"/>
    <w:rsid w:val="00456003"/>
    <w:rsid w:val="0045656E"/>
    <w:rsid w:val="00457AFD"/>
    <w:rsid w:val="0046057E"/>
    <w:rsid w:val="00460653"/>
    <w:rsid w:val="00460BEF"/>
    <w:rsid w:val="004621BD"/>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535"/>
    <w:rsid w:val="00477F3E"/>
    <w:rsid w:val="0048104D"/>
    <w:rsid w:val="004812A3"/>
    <w:rsid w:val="00481D22"/>
    <w:rsid w:val="00481ED1"/>
    <w:rsid w:val="004828FC"/>
    <w:rsid w:val="0048332F"/>
    <w:rsid w:val="004855F0"/>
    <w:rsid w:val="0048659B"/>
    <w:rsid w:val="004900D8"/>
    <w:rsid w:val="00490C99"/>
    <w:rsid w:val="00492151"/>
    <w:rsid w:val="004A171A"/>
    <w:rsid w:val="004A2455"/>
    <w:rsid w:val="004A3F09"/>
    <w:rsid w:val="004A443A"/>
    <w:rsid w:val="004A7E54"/>
    <w:rsid w:val="004A7E7F"/>
    <w:rsid w:val="004B09AB"/>
    <w:rsid w:val="004B2405"/>
    <w:rsid w:val="004B289D"/>
    <w:rsid w:val="004B2BAB"/>
    <w:rsid w:val="004B3073"/>
    <w:rsid w:val="004B313C"/>
    <w:rsid w:val="004B398D"/>
    <w:rsid w:val="004B49C3"/>
    <w:rsid w:val="004B5A16"/>
    <w:rsid w:val="004C054C"/>
    <w:rsid w:val="004C0C95"/>
    <w:rsid w:val="004C13B6"/>
    <w:rsid w:val="004C18B7"/>
    <w:rsid w:val="004C2474"/>
    <w:rsid w:val="004C328D"/>
    <w:rsid w:val="004C5A9A"/>
    <w:rsid w:val="004D0399"/>
    <w:rsid w:val="004D116A"/>
    <w:rsid w:val="004D2598"/>
    <w:rsid w:val="004D3379"/>
    <w:rsid w:val="004D635C"/>
    <w:rsid w:val="004D63C6"/>
    <w:rsid w:val="004D6C11"/>
    <w:rsid w:val="004D6FA0"/>
    <w:rsid w:val="004E4BD6"/>
    <w:rsid w:val="004E703A"/>
    <w:rsid w:val="004E7476"/>
    <w:rsid w:val="004E7C4F"/>
    <w:rsid w:val="004F31F2"/>
    <w:rsid w:val="004F4AE2"/>
    <w:rsid w:val="004F5FAD"/>
    <w:rsid w:val="004F682E"/>
    <w:rsid w:val="004F7EDD"/>
    <w:rsid w:val="005004FE"/>
    <w:rsid w:val="005007DF"/>
    <w:rsid w:val="00500920"/>
    <w:rsid w:val="00502A16"/>
    <w:rsid w:val="00502E0D"/>
    <w:rsid w:val="005030A8"/>
    <w:rsid w:val="00503113"/>
    <w:rsid w:val="00503AAA"/>
    <w:rsid w:val="005048C7"/>
    <w:rsid w:val="0051089E"/>
    <w:rsid w:val="00511449"/>
    <w:rsid w:val="00514D6C"/>
    <w:rsid w:val="005152EF"/>
    <w:rsid w:val="00516390"/>
    <w:rsid w:val="00516709"/>
    <w:rsid w:val="00517304"/>
    <w:rsid w:val="00517518"/>
    <w:rsid w:val="00521309"/>
    <w:rsid w:val="00523427"/>
    <w:rsid w:val="005236E0"/>
    <w:rsid w:val="0052664E"/>
    <w:rsid w:val="00527F5A"/>
    <w:rsid w:val="00530279"/>
    <w:rsid w:val="0053130E"/>
    <w:rsid w:val="0053246E"/>
    <w:rsid w:val="00532515"/>
    <w:rsid w:val="00532EEF"/>
    <w:rsid w:val="005333A5"/>
    <w:rsid w:val="005334DD"/>
    <w:rsid w:val="005359CB"/>
    <w:rsid w:val="005366F5"/>
    <w:rsid w:val="00536ED0"/>
    <w:rsid w:val="00537123"/>
    <w:rsid w:val="0053778E"/>
    <w:rsid w:val="00537A25"/>
    <w:rsid w:val="00537D4B"/>
    <w:rsid w:val="0054035A"/>
    <w:rsid w:val="00540D81"/>
    <w:rsid w:val="00541752"/>
    <w:rsid w:val="005419E9"/>
    <w:rsid w:val="0054293C"/>
    <w:rsid w:val="00543830"/>
    <w:rsid w:val="00543D07"/>
    <w:rsid w:val="0054435F"/>
    <w:rsid w:val="00545B82"/>
    <w:rsid w:val="00551169"/>
    <w:rsid w:val="00551F10"/>
    <w:rsid w:val="00552081"/>
    <w:rsid w:val="00552283"/>
    <w:rsid w:val="00552B18"/>
    <w:rsid w:val="00552E5E"/>
    <w:rsid w:val="0056082B"/>
    <w:rsid w:val="00561910"/>
    <w:rsid w:val="00561F59"/>
    <w:rsid w:val="00562D21"/>
    <w:rsid w:val="005630E7"/>
    <w:rsid w:val="00563924"/>
    <w:rsid w:val="00563FF8"/>
    <w:rsid w:val="00564010"/>
    <w:rsid w:val="0056562F"/>
    <w:rsid w:val="0056567F"/>
    <w:rsid w:val="0056589A"/>
    <w:rsid w:val="00565F56"/>
    <w:rsid w:val="005703BE"/>
    <w:rsid w:val="00570556"/>
    <w:rsid w:val="005710FB"/>
    <w:rsid w:val="005719FD"/>
    <w:rsid w:val="0057217A"/>
    <w:rsid w:val="00574BE1"/>
    <w:rsid w:val="00574DE8"/>
    <w:rsid w:val="0057542E"/>
    <w:rsid w:val="00576090"/>
    <w:rsid w:val="00583191"/>
    <w:rsid w:val="00584403"/>
    <w:rsid w:val="00585E84"/>
    <w:rsid w:val="00585F8E"/>
    <w:rsid w:val="00586031"/>
    <w:rsid w:val="0058730E"/>
    <w:rsid w:val="005878E1"/>
    <w:rsid w:val="00587A9C"/>
    <w:rsid w:val="00587ADC"/>
    <w:rsid w:val="00587C7D"/>
    <w:rsid w:val="00590013"/>
    <w:rsid w:val="005917FD"/>
    <w:rsid w:val="005921EE"/>
    <w:rsid w:val="00595415"/>
    <w:rsid w:val="00595D1C"/>
    <w:rsid w:val="00596F29"/>
    <w:rsid w:val="00597F51"/>
    <w:rsid w:val="005A11C7"/>
    <w:rsid w:val="005A2071"/>
    <w:rsid w:val="005A2A34"/>
    <w:rsid w:val="005A3559"/>
    <w:rsid w:val="005A412E"/>
    <w:rsid w:val="005A4886"/>
    <w:rsid w:val="005A4D78"/>
    <w:rsid w:val="005A584D"/>
    <w:rsid w:val="005A6D02"/>
    <w:rsid w:val="005A6E44"/>
    <w:rsid w:val="005B185E"/>
    <w:rsid w:val="005B1B4F"/>
    <w:rsid w:val="005B370D"/>
    <w:rsid w:val="005B4F12"/>
    <w:rsid w:val="005B53CC"/>
    <w:rsid w:val="005B572F"/>
    <w:rsid w:val="005B7FE0"/>
    <w:rsid w:val="005C0905"/>
    <w:rsid w:val="005C15A0"/>
    <w:rsid w:val="005C15E8"/>
    <w:rsid w:val="005C2845"/>
    <w:rsid w:val="005C2F50"/>
    <w:rsid w:val="005C38B1"/>
    <w:rsid w:val="005C39FD"/>
    <w:rsid w:val="005C4FE9"/>
    <w:rsid w:val="005C64D9"/>
    <w:rsid w:val="005C70CD"/>
    <w:rsid w:val="005C7327"/>
    <w:rsid w:val="005D14BA"/>
    <w:rsid w:val="005D1A56"/>
    <w:rsid w:val="005D20FF"/>
    <w:rsid w:val="005D2166"/>
    <w:rsid w:val="005D2312"/>
    <w:rsid w:val="005D2A9E"/>
    <w:rsid w:val="005D6542"/>
    <w:rsid w:val="005D6B3E"/>
    <w:rsid w:val="005D7CE6"/>
    <w:rsid w:val="005E1047"/>
    <w:rsid w:val="005E1797"/>
    <w:rsid w:val="005E38AD"/>
    <w:rsid w:val="005E453D"/>
    <w:rsid w:val="005E48A1"/>
    <w:rsid w:val="005E4BDA"/>
    <w:rsid w:val="005E5BE8"/>
    <w:rsid w:val="005E5DBE"/>
    <w:rsid w:val="005E62F6"/>
    <w:rsid w:val="005E766A"/>
    <w:rsid w:val="005E7B1F"/>
    <w:rsid w:val="005E7D37"/>
    <w:rsid w:val="005F09BD"/>
    <w:rsid w:val="005F1058"/>
    <w:rsid w:val="005F153C"/>
    <w:rsid w:val="005F4962"/>
    <w:rsid w:val="005F57A3"/>
    <w:rsid w:val="005F5EB7"/>
    <w:rsid w:val="005F5F57"/>
    <w:rsid w:val="005F636E"/>
    <w:rsid w:val="005F77C2"/>
    <w:rsid w:val="006003F1"/>
    <w:rsid w:val="00601142"/>
    <w:rsid w:val="00601411"/>
    <w:rsid w:val="00602415"/>
    <w:rsid w:val="00602768"/>
    <w:rsid w:val="00603D7A"/>
    <w:rsid w:val="00604635"/>
    <w:rsid w:val="00604781"/>
    <w:rsid w:val="00605278"/>
    <w:rsid w:val="00605FE1"/>
    <w:rsid w:val="00606F24"/>
    <w:rsid w:val="006104DD"/>
    <w:rsid w:val="00612694"/>
    <w:rsid w:val="00613F51"/>
    <w:rsid w:val="006144CE"/>
    <w:rsid w:val="00614933"/>
    <w:rsid w:val="00615F79"/>
    <w:rsid w:val="0062040D"/>
    <w:rsid w:val="006212E1"/>
    <w:rsid w:val="006217C1"/>
    <w:rsid w:val="0062392C"/>
    <w:rsid w:val="00623F50"/>
    <w:rsid w:val="00624480"/>
    <w:rsid w:val="00625951"/>
    <w:rsid w:val="006259A4"/>
    <w:rsid w:val="00627017"/>
    <w:rsid w:val="00632033"/>
    <w:rsid w:val="00632397"/>
    <w:rsid w:val="00632C81"/>
    <w:rsid w:val="00633108"/>
    <w:rsid w:val="00634DC4"/>
    <w:rsid w:val="0063564C"/>
    <w:rsid w:val="00637635"/>
    <w:rsid w:val="00640EE8"/>
    <w:rsid w:val="006414EA"/>
    <w:rsid w:val="00644256"/>
    <w:rsid w:val="00645FC2"/>
    <w:rsid w:val="00646FA0"/>
    <w:rsid w:val="006475E0"/>
    <w:rsid w:val="00650184"/>
    <w:rsid w:val="00652362"/>
    <w:rsid w:val="006535AD"/>
    <w:rsid w:val="006537BA"/>
    <w:rsid w:val="0065448C"/>
    <w:rsid w:val="006557FC"/>
    <w:rsid w:val="0065580E"/>
    <w:rsid w:val="0066120D"/>
    <w:rsid w:val="00661EBC"/>
    <w:rsid w:val="00662B85"/>
    <w:rsid w:val="00663C7F"/>
    <w:rsid w:val="00664174"/>
    <w:rsid w:val="0066452E"/>
    <w:rsid w:val="006659BE"/>
    <w:rsid w:val="006664D3"/>
    <w:rsid w:val="006665A5"/>
    <w:rsid w:val="00666CFD"/>
    <w:rsid w:val="00670330"/>
    <w:rsid w:val="006705CA"/>
    <w:rsid w:val="006708C1"/>
    <w:rsid w:val="00672443"/>
    <w:rsid w:val="006730ED"/>
    <w:rsid w:val="00673764"/>
    <w:rsid w:val="0067420B"/>
    <w:rsid w:val="006744A4"/>
    <w:rsid w:val="006755CE"/>
    <w:rsid w:val="006768E1"/>
    <w:rsid w:val="0067771D"/>
    <w:rsid w:val="00681DE4"/>
    <w:rsid w:val="00682D90"/>
    <w:rsid w:val="00683CB2"/>
    <w:rsid w:val="00687768"/>
    <w:rsid w:val="0069151C"/>
    <w:rsid w:val="00691551"/>
    <w:rsid w:val="006920D5"/>
    <w:rsid w:val="006924B6"/>
    <w:rsid w:val="006936C1"/>
    <w:rsid w:val="00695715"/>
    <w:rsid w:val="00696520"/>
    <w:rsid w:val="0069668C"/>
    <w:rsid w:val="006A1BFF"/>
    <w:rsid w:val="006A1F53"/>
    <w:rsid w:val="006A1FB1"/>
    <w:rsid w:val="006A2064"/>
    <w:rsid w:val="006A2683"/>
    <w:rsid w:val="006A2C30"/>
    <w:rsid w:val="006A3DC2"/>
    <w:rsid w:val="006A5BD5"/>
    <w:rsid w:val="006A5F2A"/>
    <w:rsid w:val="006A64A9"/>
    <w:rsid w:val="006A72DE"/>
    <w:rsid w:val="006A7DC9"/>
    <w:rsid w:val="006B0185"/>
    <w:rsid w:val="006B04C2"/>
    <w:rsid w:val="006B25C0"/>
    <w:rsid w:val="006B31C5"/>
    <w:rsid w:val="006B3475"/>
    <w:rsid w:val="006B3976"/>
    <w:rsid w:val="006B44A5"/>
    <w:rsid w:val="006B5B19"/>
    <w:rsid w:val="006B6152"/>
    <w:rsid w:val="006B7782"/>
    <w:rsid w:val="006C0CB3"/>
    <w:rsid w:val="006C1A6B"/>
    <w:rsid w:val="006C3310"/>
    <w:rsid w:val="006C5124"/>
    <w:rsid w:val="006C560D"/>
    <w:rsid w:val="006C5E5E"/>
    <w:rsid w:val="006C6391"/>
    <w:rsid w:val="006C7491"/>
    <w:rsid w:val="006C7D86"/>
    <w:rsid w:val="006D087C"/>
    <w:rsid w:val="006D2CE4"/>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6B48"/>
    <w:rsid w:val="00711F4D"/>
    <w:rsid w:val="0071268F"/>
    <w:rsid w:val="00713877"/>
    <w:rsid w:val="00717301"/>
    <w:rsid w:val="00721179"/>
    <w:rsid w:val="007212A4"/>
    <w:rsid w:val="00724CF9"/>
    <w:rsid w:val="00724D9A"/>
    <w:rsid w:val="007251CC"/>
    <w:rsid w:val="0072592A"/>
    <w:rsid w:val="00725AD1"/>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48C"/>
    <w:rsid w:val="0075181C"/>
    <w:rsid w:val="0075185C"/>
    <w:rsid w:val="00751BC8"/>
    <w:rsid w:val="0075367A"/>
    <w:rsid w:val="00753821"/>
    <w:rsid w:val="007540C5"/>
    <w:rsid w:val="0075572C"/>
    <w:rsid w:val="007569ED"/>
    <w:rsid w:val="00757034"/>
    <w:rsid w:val="00760AA2"/>
    <w:rsid w:val="00760E0A"/>
    <w:rsid w:val="00761B8B"/>
    <w:rsid w:val="007633AE"/>
    <w:rsid w:val="007638D1"/>
    <w:rsid w:val="0076446F"/>
    <w:rsid w:val="0076554F"/>
    <w:rsid w:val="007657D2"/>
    <w:rsid w:val="007658FE"/>
    <w:rsid w:val="00765982"/>
    <w:rsid w:val="00765C0F"/>
    <w:rsid w:val="00766B68"/>
    <w:rsid w:val="0077022C"/>
    <w:rsid w:val="007710A6"/>
    <w:rsid w:val="00772110"/>
    <w:rsid w:val="007722DB"/>
    <w:rsid w:val="0077243E"/>
    <w:rsid w:val="00773D87"/>
    <w:rsid w:val="007742B8"/>
    <w:rsid w:val="0077455C"/>
    <w:rsid w:val="007748ED"/>
    <w:rsid w:val="00775DD7"/>
    <w:rsid w:val="00781885"/>
    <w:rsid w:val="00782F51"/>
    <w:rsid w:val="00783537"/>
    <w:rsid w:val="007844D1"/>
    <w:rsid w:val="00784A79"/>
    <w:rsid w:val="00786256"/>
    <w:rsid w:val="00786E4A"/>
    <w:rsid w:val="007912A0"/>
    <w:rsid w:val="00792C49"/>
    <w:rsid w:val="007935CE"/>
    <w:rsid w:val="00793BC5"/>
    <w:rsid w:val="00793DBC"/>
    <w:rsid w:val="007944FC"/>
    <w:rsid w:val="00795C62"/>
    <w:rsid w:val="0079689F"/>
    <w:rsid w:val="00796D9F"/>
    <w:rsid w:val="0079711E"/>
    <w:rsid w:val="007A0307"/>
    <w:rsid w:val="007A0551"/>
    <w:rsid w:val="007A0F05"/>
    <w:rsid w:val="007A106D"/>
    <w:rsid w:val="007A175F"/>
    <w:rsid w:val="007A1E73"/>
    <w:rsid w:val="007A261F"/>
    <w:rsid w:val="007A5D3E"/>
    <w:rsid w:val="007A6D59"/>
    <w:rsid w:val="007A76F5"/>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DE4"/>
    <w:rsid w:val="007C31A4"/>
    <w:rsid w:val="007C5993"/>
    <w:rsid w:val="007C65DF"/>
    <w:rsid w:val="007C766F"/>
    <w:rsid w:val="007D0B6D"/>
    <w:rsid w:val="007D0F7F"/>
    <w:rsid w:val="007D1CF9"/>
    <w:rsid w:val="007D1E0D"/>
    <w:rsid w:val="007D23A6"/>
    <w:rsid w:val="007D25BF"/>
    <w:rsid w:val="007D3E6F"/>
    <w:rsid w:val="007D425E"/>
    <w:rsid w:val="007D60D1"/>
    <w:rsid w:val="007D6D35"/>
    <w:rsid w:val="007D7368"/>
    <w:rsid w:val="007E3017"/>
    <w:rsid w:val="007E3039"/>
    <w:rsid w:val="007E3AF2"/>
    <w:rsid w:val="007E46C5"/>
    <w:rsid w:val="007E4858"/>
    <w:rsid w:val="007E5FE2"/>
    <w:rsid w:val="007E685A"/>
    <w:rsid w:val="007E6A06"/>
    <w:rsid w:val="007F07C7"/>
    <w:rsid w:val="007F32FF"/>
    <w:rsid w:val="007F3A69"/>
    <w:rsid w:val="007F52A3"/>
    <w:rsid w:val="007F5A7B"/>
    <w:rsid w:val="007F7183"/>
    <w:rsid w:val="007F72BA"/>
    <w:rsid w:val="00803A5F"/>
    <w:rsid w:val="0080411B"/>
    <w:rsid w:val="00804F5F"/>
    <w:rsid w:val="008055CF"/>
    <w:rsid w:val="00807F67"/>
    <w:rsid w:val="00810AE1"/>
    <w:rsid w:val="00811798"/>
    <w:rsid w:val="008119AA"/>
    <w:rsid w:val="00812B87"/>
    <w:rsid w:val="0081396F"/>
    <w:rsid w:val="008147F8"/>
    <w:rsid w:val="00814B6D"/>
    <w:rsid w:val="0081551A"/>
    <w:rsid w:val="008177BA"/>
    <w:rsid w:val="00817A38"/>
    <w:rsid w:val="0082122C"/>
    <w:rsid w:val="00821A34"/>
    <w:rsid w:val="008226AA"/>
    <w:rsid w:val="0082347C"/>
    <w:rsid w:val="00823774"/>
    <w:rsid w:val="0082455F"/>
    <w:rsid w:val="00824663"/>
    <w:rsid w:val="008251E7"/>
    <w:rsid w:val="0083095C"/>
    <w:rsid w:val="00830BCE"/>
    <w:rsid w:val="00831D51"/>
    <w:rsid w:val="008324BE"/>
    <w:rsid w:val="008337EE"/>
    <w:rsid w:val="0083630E"/>
    <w:rsid w:val="008363A5"/>
    <w:rsid w:val="00837585"/>
    <w:rsid w:val="00837837"/>
    <w:rsid w:val="0084169A"/>
    <w:rsid w:val="00843930"/>
    <w:rsid w:val="00843DD1"/>
    <w:rsid w:val="00844640"/>
    <w:rsid w:val="00844793"/>
    <w:rsid w:val="008478AC"/>
    <w:rsid w:val="00847B88"/>
    <w:rsid w:val="00847E62"/>
    <w:rsid w:val="00851091"/>
    <w:rsid w:val="008513D1"/>
    <w:rsid w:val="008519E4"/>
    <w:rsid w:val="00853A9D"/>
    <w:rsid w:val="00854B82"/>
    <w:rsid w:val="00854D56"/>
    <w:rsid w:val="00855D61"/>
    <w:rsid w:val="008612CD"/>
    <w:rsid w:val="008622FC"/>
    <w:rsid w:val="00862C74"/>
    <w:rsid w:val="00862ED7"/>
    <w:rsid w:val="008631E5"/>
    <w:rsid w:val="00864007"/>
    <w:rsid w:val="00865859"/>
    <w:rsid w:val="00866678"/>
    <w:rsid w:val="00867C67"/>
    <w:rsid w:val="00867D4E"/>
    <w:rsid w:val="008708DA"/>
    <w:rsid w:val="0087223F"/>
    <w:rsid w:val="00872B42"/>
    <w:rsid w:val="00873177"/>
    <w:rsid w:val="00873680"/>
    <w:rsid w:val="0087489F"/>
    <w:rsid w:val="00875505"/>
    <w:rsid w:val="00876263"/>
    <w:rsid w:val="0087763C"/>
    <w:rsid w:val="00877FAE"/>
    <w:rsid w:val="00880825"/>
    <w:rsid w:val="0088138A"/>
    <w:rsid w:val="00881438"/>
    <w:rsid w:val="00881AFA"/>
    <w:rsid w:val="00883D7C"/>
    <w:rsid w:val="00885167"/>
    <w:rsid w:val="008852EB"/>
    <w:rsid w:val="00885CF2"/>
    <w:rsid w:val="008869E0"/>
    <w:rsid w:val="00886BCC"/>
    <w:rsid w:val="00886FA8"/>
    <w:rsid w:val="008902F4"/>
    <w:rsid w:val="00892226"/>
    <w:rsid w:val="00892959"/>
    <w:rsid w:val="00893F41"/>
    <w:rsid w:val="008959A6"/>
    <w:rsid w:val="0089620D"/>
    <w:rsid w:val="008963C3"/>
    <w:rsid w:val="00897505"/>
    <w:rsid w:val="008A081B"/>
    <w:rsid w:val="008A100C"/>
    <w:rsid w:val="008A1742"/>
    <w:rsid w:val="008A320B"/>
    <w:rsid w:val="008A3A96"/>
    <w:rsid w:val="008A5BF4"/>
    <w:rsid w:val="008A7843"/>
    <w:rsid w:val="008B0158"/>
    <w:rsid w:val="008B16C8"/>
    <w:rsid w:val="008B271E"/>
    <w:rsid w:val="008B2D49"/>
    <w:rsid w:val="008B62B2"/>
    <w:rsid w:val="008B6314"/>
    <w:rsid w:val="008B6B2F"/>
    <w:rsid w:val="008C0012"/>
    <w:rsid w:val="008C0CEE"/>
    <w:rsid w:val="008C1075"/>
    <w:rsid w:val="008C6863"/>
    <w:rsid w:val="008D0511"/>
    <w:rsid w:val="008D1F31"/>
    <w:rsid w:val="008D32DC"/>
    <w:rsid w:val="008D377E"/>
    <w:rsid w:val="008D3AB2"/>
    <w:rsid w:val="008D52A6"/>
    <w:rsid w:val="008D540B"/>
    <w:rsid w:val="008D599C"/>
    <w:rsid w:val="008D61F6"/>
    <w:rsid w:val="008D64B9"/>
    <w:rsid w:val="008D6FED"/>
    <w:rsid w:val="008E022C"/>
    <w:rsid w:val="008E2785"/>
    <w:rsid w:val="008E300D"/>
    <w:rsid w:val="008E3887"/>
    <w:rsid w:val="008E4247"/>
    <w:rsid w:val="008E61BE"/>
    <w:rsid w:val="008E64E4"/>
    <w:rsid w:val="008E65AB"/>
    <w:rsid w:val="008E6D55"/>
    <w:rsid w:val="008F0A1E"/>
    <w:rsid w:val="008F0C3B"/>
    <w:rsid w:val="008F1C57"/>
    <w:rsid w:val="008F21C9"/>
    <w:rsid w:val="008F28A6"/>
    <w:rsid w:val="008F50BF"/>
    <w:rsid w:val="008F5264"/>
    <w:rsid w:val="008F53A5"/>
    <w:rsid w:val="008F5CC3"/>
    <w:rsid w:val="008F6D56"/>
    <w:rsid w:val="0090017F"/>
    <w:rsid w:val="00906324"/>
    <w:rsid w:val="00906A22"/>
    <w:rsid w:val="009106F7"/>
    <w:rsid w:val="0091082E"/>
    <w:rsid w:val="00910E97"/>
    <w:rsid w:val="00911697"/>
    <w:rsid w:val="00911D85"/>
    <w:rsid w:val="00912B23"/>
    <w:rsid w:val="00912D64"/>
    <w:rsid w:val="0091357E"/>
    <w:rsid w:val="0091444E"/>
    <w:rsid w:val="00914451"/>
    <w:rsid w:val="009159BB"/>
    <w:rsid w:val="00917679"/>
    <w:rsid w:val="00921303"/>
    <w:rsid w:val="009221AC"/>
    <w:rsid w:val="0092225D"/>
    <w:rsid w:val="00922F7F"/>
    <w:rsid w:val="00925773"/>
    <w:rsid w:val="00927109"/>
    <w:rsid w:val="00927554"/>
    <w:rsid w:val="009278BB"/>
    <w:rsid w:val="009279D7"/>
    <w:rsid w:val="00930B17"/>
    <w:rsid w:val="00931FFA"/>
    <w:rsid w:val="00932C1D"/>
    <w:rsid w:val="00932F45"/>
    <w:rsid w:val="009361AF"/>
    <w:rsid w:val="0093661C"/>
    <w:rsid w:val="00936C43"/>
    <w:rsid w:val="00941594"/>
    <w:rsid w:val="00941D93"/>
    <w:rsid w:val="00941EDA"/>
    <w:rsid w:val="00941FB9"/>
    <w:rsid w:val="00942ECA"/>
    <w:rsid w:val="0094395A"/>
    <w:rsid w:val="009452B5"/>
    <w:rsid w:val="0094549B"/>
    <w:rsid w:val="009459C8"/>
    <w:rsid w:val="00947651"/>
    <w:rsid w:val="009503F5"/>
    <w:rsid w:val="00951C85"/>
    <w:rsid w:val="009527F7"/>
    <w:rsid w:val="00953DD9"/>
    <w:rsid w:val="00954862"/>
    <w:rsid w:val="009549C2"/>
    <w:rsid w:val="00954A3C"/>
    <w:rsid w:val="009607E6"/>
    <w:rsid w:val="00961484"/>
    <w:rsid w:val="009625EB"/>
    <w:rsid w:val="009647E3"/>
    <w:rsid w:val="009648A0"/>
    <w:rsid w:val="00965628"/>
    <w:rsid w:val="00965767"/>
    <w:rsid w:val="00971B4C"/>
    <w:rsid w:val="00972B4E"/>
    <w:rsid w:val="00973682"/>
    <w:rsid w:val="009744CE"/>
    <w:rsid w:val="009746C6"/>
    <w:rsid w:val="00974CE9"/>
    <w:rsid w:val="009752DF"/>
    <w:rsid w:val="00975F75"/>
    <w:rsid w:val="0097644B"/>
    <w:rsid w:val="00976B06"/>
    <w:rsid w:val="00980C10"/>
    <w:rsid w:val="0098149C"/>
    <w:rsid w:val="009815A5"/>
    <w:rsid w:val="00983D63"/>
    <w:rsid w:val="00984878"/>
    <w:rsid w:val="009852B6"/>
    <w:rsid w:val="009874B8"/>
    <w:rsid w:val="009874BB"/>
    <w:rsid w:val="0099049A"/>
    <w:rsid w:val="0099081A"/>
    <w:rsid w:val="00990CC3"/>
    <w:rsid w:val="00991B7E"/>
    <w:rsid w:val="00991D2F"/>
    <w:rsid w:val="00993813"/>
    <w:rsid w:val="00993BC4"/>
    <w:rsid w:val="0099487F"/>
    <w:rsid w:val="00994C8A"/>
    <w:rsid w:val="009957A4"/>
    <w:rsid w:val="00995C82"/>
    <w:rsid w:val="00996E95"/>
    <w:rsid w:val="0099744E"/>
    <w:rsid w:val="00997FDF"/>
    <w:rsid w:val="009A1354"/>
    <w:rsid w:val="009A349A"/>
    <w:rsid w:val="009A3E4F"/>
    <w:rsid w:val="009A4C9C"/>
    <w:rsid w:val="009A53DD"/>
    <w:rsid w:val="009A6A74"/>
    <w:rsid w:val="009B0379"/>
    <w:rsid w:val="009B0C73"/>
    <w:rsid w:val="009B1E94"/>
    <w:rsid w:val="009B34F7"/>
    <w:rsid w:val="009B5672"/>
    <w:rsid w:val="009B746F"/>
    <w:rsid w:val="009C103D"/>
    <w:rsid w:val="009C14FF"/>
    <w:rsid w:val="009C1BA3"/>
    <w:rsid w:val="009C2537"/>
    <w:rsid w:val="009C3442"/>
    <w:rsid w:val="009C4DFB"/>
    <w:rsid w:val="009C562F"/>
    <w:rsid w:val="009C5F76"/>
    <w:rsid w:val="009C748B"/>
    <w:rsid w:val="009C7CBB"/>
    <w:rsid w:val="009D259C"/>
    <w:rsid w:val="009D2689"/>
    <w:rsid w:val="009D2F2D"/>
    <w:rsid w:val="009D3AF4"/>
    <w:rsid w:val="009D4179"/>
    <w:rsid w:val="009D5195"/>
    <w:rsid w:val="009D579D"/>
    <w:rsid w:val="009D6533"/>
    <w:rsid w:val="009E0125"/>
    <w:rsid w:val="009E0FEB"/>
    <w:rsid w:val="009E3014"/>
    <w:rsid w:val="009E3FD3"/>
    <w:rsid w:val="009E6781"/>
    <w:rsid w:val="009F0C7E"/>
    <w:rsid w:val="009F0F4B"/>
    <w:rsid w:val="009F2A3B"/>
    <w:rsid w:val="009F2B33"/>
    <w:rsid w:val="009F57C5"/>
    <w:rsid w:val="009F68DE"/>
    <w:rsid w:val="00A007FA"/>
    <w:rsid w:val="00A0300B"/>
    <w:rsid w:val="00A03346"/>
    <w:rsid w:val="00A038A1"/>
    <w:rsid w:val="00A041AA"/>
    <w:rsid w:val="00A047E5"/>
    <w:rsid w:val="00A051A3"/>
    <w:rsid w:val="00A0570C"/>
    <w:rsid w:val="00A059AE"/>
    <w:rsid w:val="00A06107"/>
    <w:rsid w:val="00A07276"/>
    <w:rsid w:val="00A102D9"/>
    <w:rsid w:val="00A107CC"/>
    <w:rsid w:val="00A12EED"/>
    <w:rsid w:val="00A13B0F"/>
    <w:rsid w:val="00A14A9A"/>
    <w:rsid w:val="00A14E1D"/>
    <w:rsid w:val="00A15F27"/>
    <w:rsid w:val="00A1631B"/>
    <w:rsid w:val="00A165A3"/>
    <w:rsid w:val="00A174B5"/>
    <w:rsid w:val="00A20952"/>
    <w:rsid w:val="00A21617"/>
    <w:rsid w:val="00A22B8B"/>
    <w:rsid w:val="00A251B7"/>
    <w:rsid w:val="00A251DE"/>
    <w:rsid w:val="00A25484"/>
    <w:rsid w:val="00A25E3C"/>
    <w:rsid w:val="00A271BD"/>
    <w:rsid w:val="00A27E9B"/>
    <w:rsid w:val="00A302CF"/>
    <w:rsid w:val="00A3131C"/>
    <w:rsid w:val="00A33495"/>
    <w:rsid w:val="00A36A7A"/>
    <w:rsid w:val="00A37C35"/>
    <w:rsid w:val="00A37E4D"/>
    <w:rsid w:val="00A41275"/>
    <w:rsid w:val="00A41C60"/>
    <w:rsid w:val="00A43182"/>
    <w:rsid w:val="00A43298"/>
    <w:rsid w:val="00A46F84"/>
    <w:rsid w:val="00A470DB"/>
    <w:rsid w:val="00A47B44"/>
    <w:rsid w:val="00A53C8D"/>
    <w:rsid w:val="00A54A5E"/>
    <w:rsid w:val="00A54D42"/>
    <w:rsid w:val="00A5515A"/>
    <w:rsid w:val="00A5589D"/>
    <w:rsid w:val="00A55B34"/>
    <w:rsid w:val="00A57446"/>
    <w:rsid w:val="00A5746B"/>
    <w:rsid w:val="00A6173F"/>
    <w:rsid w:val="00A61C54"/>
    <w:rsid w:val="00A61D64"/>
    <w:rsid w:val="00A62F0C"/>
    <w:rsid w:val="00A632DB"/>
    <w:rsid w:val="00A64077"/>
    <w:rsid w:val="00A662B5"/>
    <w:rsid w:val="00A666BE"/>
    <w:rsid w:val="00A7105A"/>
    <w:rsid w:val="00A71230"/>
    <w:rsid w:val="00A71A0E"/>
    <w:rsid w:val="00A729A4"/>
    <w:rsid w:val="00A73C46"/>
    <w:rsid w:val="00A73E71"/>
    <w:rsid w:val="00A764E3"/>
    <w:rsid w:val="00A76E40"/>
    <w:rsid w:val="00A8070F"/>
    <w:rsid w:val="00A80953"/>
    <w:rsid w:val="00A811D4"/>
    <w:rsid w:val="00A8343F"/>
    <w:rsid w:val="00A8376F"/>
    <w:rsid w:val="00A845D3"/>
    <w:rsid w:val="00A86315"/>
    <w:rsid w:val="00A8756F"/>
    <w:rsid w:val="00A91ACF"/>
    <w:rsid w:val="00A92B01"/>
    <w:rsid w:val="00A9433C"/>
    <w:rsid w:val="00A958A4"/>
    <w:rsid w:val="00A96009"/>
    <w:rsid w:val="00A9606A"/>
    <w:rsid w:val="00A97911"/>
    <w:rsid w:val="00AA097A"/>
    <w:rsid w:val="00AA12AC"/>
    <w:rsid w:val="00AA15BC"/>
    <w:rsid w:val="00AA188C"/>
    <w:rsid w:val="00AA18BA"/>
    <w:rsid w:val="00AA3B28"/>
    <w:rsid w:val="00AA4660"/>
    <w:rsid w:val="00AA480B"/>
    <w:rsid w:val="00AA4D21"/>
    <w:rsid w:val="00AA4DEB"/>
    <w:rsid w:val="00AA69EA"/>
    <w:rsid w:val="00AA6E45"/>
    <w:rsid w:val="00AB056C"/>
    <w:rsid w:val="00AB0E0D"/>
    <w:rsid w:val="00AB198A"/>
    <w:rsid w:val="00AB46E4"/>
    <w:rsid w:val="00AB66B6"/>
    <w:rsid w:val="00AC04BE"/>
    <w:rsid w:val="00AC1040"/>
    <w:rsid w:val="00AC2669"/>
    <w:rsid w:val="00AC2AC0"/>
    <w:rsid w:val="00AC2CD0"/>
    <w:rsid w:val="00AC3A9B"/>
    <w:rsid w:val="00AC4CFE"/>
    <w:rsid w:val="00AC4E06"/>
    <w:rsid w:val="00AC5228"/>
    <w:rsid w:val="00AC5439"/>
    <w:rsid w:val="00AC5997"/>
    <w:rsid w:val="00AC7CE6"/>
    <w:rsid w:val="00AD130C"/>
    <w:rsid w:val="00AD22E2"/>
    <w:rsid w:val="00AD2485"/>
    <w:rsid w:val="00AD34BA"/>
    <w:rsid w:val="00AD5027"/>
    <w:rsid w:val="00AD713D"/>
    <w:rsid w:val="00AE0ECE"/>
    <w:rsid w:val="00AE1F68"/>
    <w:rsid w:val="00AE6090"/>
    <w:rsid w:val="00AE7375"/>
    <w:rsid w:val="00AF220A"/>
    <w:rsid w:val="00AF3990"/>
    <w:rsid w:val="00AF404B"/>
    <w:rsid w:val="00B0013A"/>
    <w:rsid w:val="00B0133D"/>
    <w:rsid w:val="00B01B3D"/>
    <w:rsid w:val="00B03746"/>
    <w:rsid w:val="00B04946"/>
    <w:rsid w:val="00B052F8"/>
    <w:rsid w:val="00B05D0F"/>
    <w:rsid w:val="00B0615C"/>
    <w:rsid w:val="00B070A5"/>
    <w:rsid w:val="00B1071D"/>
    <w:rsid w:val="00B10E6E"/>
    <w:rsid w:val="00B11599"/>
    <w:rsid w:val="00B12897"/>
    <w:rsid w:val="00B1469A"/>
    <w:rsid w:val="00B14EEE"/>
    <w:rsid w:val="00B166CD"/>
    <w:rsid w:val="00B16A6C"/>
    <w:rsid w:val="00B20310"/>
    <w:rsid w:val="00B204F6"/>
    <w:rsid w:val="00B20E2D"/>
    <w:rsid w:val="00B20EB4"/>
    <w:rsid w:val="00B20FB5"/>
    <w:rsid w:val="00B2113A"/>
    <w:rsid w:val="00B23054"/>
    <w:rsid w:val="00B24911"/>
    <w:rsid w:val="00B25310"/>
    <w:rsid w:val="00B26994"/>
    <w:rsid w:val="00B315F6"/>
    <w:rsid w:val="00B31E84"/>
    <w:rsid w:val="00B32C77"/>
    <w:rsid w:val="00B3360E"/>
    <w:rsid w:val="00B350FE"/>
    <w:rsid w:val="00B35BC5"/>
    <w:rsid w:val="00B36828"/>
    <w:rsid w:val="00B401A9"/>
    <w:rsid w:val="00B4065E"/>
    <w:rsid w:val="00B41702"/>
    <w:rsid w:val="00B41DEA"/>
    <w:rsid w:val="00B42418"/>
    <w:rsid w:val="00B427C9"/>
    <w:rsid w:val="00B43978"/>
    <w:rsid w:val="00B43F10"/>
    <w:rsid w:val="00B46BD3"/>
    <w:rsid w:val="00B47710"/>
    <w:rsid w:val="00B479DE"/>
    <w:rsid w:val="00B52789"/>
    <w:rsid w:val="00B52B8B"/>
    <w:rsid w:val="00B52FDE"/>
    <w:rsid w:val="00B53543"/>
    <w:rsid w:val="00B548EA"/>
    <w:rsid w:val="00B55F3C"/>
    <w:rsid w:val="00B573FD"/>
    <w:rsid w:val="00B574CE"/>
    <w:rsid w:val="00B575D9"/>
    <w:rsid w:val="00B607A9"/>
    <w:rsid w:val="00B608BA"/>
    <w:rsid w:val="00B61C6B"/>
    <w:rsid w:val="00B61CAD"/>
    <w:rsid w:val="00B6215A"/>
    <w:rsid w:val="00B64D4C"/>
    <w:rsid w:val="00B65C05"/>
    <w:rsid w:val="00B66655"/>
    <w:rsid w:val="00B70CB8"/>
    <w:rsid w:val="00B723E9"/>
    <w:rsid w:val="00B7267A"/>
    <w:rsid w:val="00B727A0"/>
    <w:rsid w:val="00B739FE"/>
    <w:rsid w:val="00B74936"/>
    <w:rsid w:val="00B75AE4"/>
    <w:rsid w:val="00B7721F"/>
    <w:rsid w:val="00B80D9B"/>
    <w:rsid w:val="00B81381"/>
    <w:rsid w:val="00B81C77"/>
    <w:rsid w:val="00B826C1"/>
    <w:rsid w:val="00B82957"/>
    <w:rsid w:val="00B82F3E"/>
    <w:rsid w:val="00B835C9"/>
    <w:rsid w:val="00B84735"/>
    <w:rsid w:val="00B85336"/>
    <w:rsid w:val="00B85DD8"/>
    <w:rsid w:val="00B85E25"/>
    <w:rsid w:val="00B8620E"/>
    <w:rsid w:val="00B8642E"/>
    <w:rsid w:val="00B864EC"/>
    <w:rsid w:val="00B869C9"/>
    <w:rsid w:val="00B87979"/>
    <w:rsid w:val="00B87C4C"/>
    <w:rsid w:val="00B90D45"/>
    <w:rsid w:val="00B90D59"/>
    <w:rsid w:val="00B9216A"/>
    <w:rsid w:val="00B93E90"/>
    <w:rsid w:val="00B94146"/>
    <w:rsid w:val="00B97068"/>
    <w:rsid w:val="00B971C5"/>
    <w:rsid w:val="00B97A0A"/>
    <w:rsid w:val="00BA02BB"/>
    <w:rsid w:val="00BA05EA"/>
    <w:rsid w:val="00BA5FA6"/>
    <w:rsid w:val="00BA7716"/>
    <w:rsid w:val="00BA7D60"/>
    <w:rsid w:val="00BA7E3E"/>
    <w:rsid w:val="00BB062E"/>
    <w:rsid w:val="00BB2E5B"/>
    <w:rsid w:val="00BB322C"/>
    <w:rsid w:val="00BB3B12"/>
    <w:rsid w:val="00BB48F2"/>
    <w:rsid w:val="00BB4F5E"/>
    <w:rsid w:val="00BB533A"/>
    <w:rsid w:val="00BB562E"/>
    <w:rsid w:val="00BB6328"/>
    <w:rsid w:val="00BB64A0"/>
    <w:rsid w:val="00BB6728"/>
    <w:rsid w:val="00BC0213"/>
    <w:rsid w:val="00BC0283"/>
    <w:rsid w:val="00BC0BC7"/>
    <w:rsid w:val="00BC17F5"/>
    <w:rsid w:val="00BC1C9D"/>
    <w:rsid w:val="00BC36C6"/>
    <w:rsid w:val="00BC5590"/>
    <w:rsid w:val="00BC675C"/>
    <w:rsid w:val="00BC7269"/>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C88"/>
    <w:rsid w:val="00BF2677"/>
    <w:rsid w:val="00BF3ABC"/>
    <w:rsid w:val="00BF471B"/>
    <w:rsid w:val="00BF58A4"/>
    <w:rsid w:val="00BF5EC9"/>
    <w:rsid w:val="00BF60E5"/>
    <w:rsid w:val="00C00109"/>
    <w:rsid w:val="00C01115"/>
    <w:rsid w:val="00C0180C"/>
    <w:rsid w:val="00C034AE"/>
    <w:rsid w:val="00C03966"/>
    <w:rsid w:val="00C04C57"/>
    <w:rsid w:val="00C06088"/>
    <w:rsid w:val="00C062AD"/>
    <w:rsid w:val="00C102F8"/>
    <w:rsid w:val="00C13C08"/>
    <w:rsid w:val="00C13FA9"/>
    <w:rsid w:val="00C1522F"/>
    <w:rsid w:val="00C15BE6"/>
    <w:rsid w:val="00C1721F"/>
    <w:rsid w:val="00C17816"/>
    <w:rsid w:val="00C17EEC"/>
    <w:rsid w:val="00C20626"/>
    <w:rsid w:val="00C20C7A"/>
    <w:rsid w:val="00C23ECE"/>
    <w:rsid w:val="00C266ED"/>
    <w:rsid w:val="00C26CF1"/>
    <w:rsid w:val="00C26D76"/>
    <w:rsid w:val="00C2761D"/>
    <w:rsid w:val="00C276B6"/>
    <w:rsid w:val="00C27B32"/>
    <w:rsid w:val="00C27CB3"/>
    <w:rsid w:val="00C32049"/>
    <w:rsid w:val="00C322B7"/>
    <w:rsid w:val="00C34D64"/>
    <w:rsid w:val="00C3609D"/>
    <w:rsid w:val="00C373F2"/>
    <w:rsid w:val="00C42E98"/>
    <w:rsid w:val="00C47109"/>
    <w:rsid w:val="00C473A7"/>
    <w:rsid w:val="00C5023E"/>
    <w:rsid w:val="00C5058D"/>
    <w:rsid w:val="00C50E0E"/>
    <w:rsid w:val="00C5276F"/>
    <w:rsid w:val="00C52A8C"/>
    <w:rsid w:val="00C52E3B"/>
    <w:rsid w:val="00C53D7E"/>
    <w:rsid w:val="00C54A05"/>
    <w:rsid w:val="00C607A6"/>
    <w:rsid w:val="00C62940"/>
    <w:rsid w:val="00C6351F"/>
    <w:rsid w:val="00C67A40"/>
    <w:rsid w:val="00C700B4"/>
    <w:rsid w:val="00C70385"/>
    <w:rsid w:val="00C728B1"/>
    <w:rsid w:val="00C72A65"/>
    <w:rsid w:val="00C73973"/>
    <w:rsid w:val="00C73C9B"/>
    <w:rsid w:val="00C745DA"/>
    <w:rsid w:val="00C751F2"/>
    <w:rsid w:val="00C75552"/>
    <w:rsid w:val="00C775DE"/>
    <w:rsid w:val="00C81286"/>
    <w:rsid w:val="00C8512F"/>
    <w:rsid w:val="00C929FF"/>
    <w:rsid w:val="00C92F55"/>
    <w:rsid w:val="00C97026"/>
    <w:rsid w:val="00C97FC7"/>
    <w:rsid w:val="00CA053A"/>
    <w:rsid w:val="00CA073D"/>
    <w:rsid w:val="00CA09B1"/>
    <w:rsid w:val="00CA0D48"/>
    <w:rsid w:val="00CA1F2A"/>
    <w:rsid w:val="00CA2531"/>
    <w:rsid w:val="00CA2AA6"/>
    <w:rsid w:val="00CA2B23"/>
    <w:rsid w:val="00CA2CF7"/>
    <w:rsid w:val="00CA391D"/>
    <w:rsid w:val="00CA4686"/>
    <w:rsid w:val="00CA4EAE"/>
    <w:rsid w:val="00CB010A"/>
    <w:rsid w:val="00CB0243"/>
    <w:rsid w:val="00CB125B"/>
    <w:rsid w:val="00CB2E60"/>
    <w:rsid w:val="00CB45C7"/>
    <w:rsid w:val="00CB56D8"/>
    <w:rsid w:val="00CB5DDD"/>
    <w:rsid w:val="00CB6A5F"/>
    <w:rsid w:val="00CB7923"/>
    <w:rsid w:val="00CC0239"/>
    <w:rsid w:val="00CC1632"/>
    <w:rsid w:val="00CC18F4"/>
    <w:rsid w:val="00CC192B"/>
    <w:rsid w:val="00CC392D"/>
    <w:rsid w:val="00CC3DFF"/>
    <w:rsid w:val="00CC4162"/>
    <w:rsid w:val="00CC45D7"/>
    <w:rsid w:val="00CC476D"/>
    <w:rsid w:val="00CC4BDE"/>
    <w:rsid w:val="00CC594F"/>
    <w:rsid w:val="00CC59DA"/>
    <w:rsid w:val="00CC654C"/>
    <w:rsid w:val="00CC68F5"/>
    <w:rsid w:val="00CC6B2F"/>
    <w:rsid w:val="00CD03AF"/>
    <w:rsid w:val="00CD0AE2"/>
    <w:rsid w:val="00CD180E"/>
    <w:rsid w:val="00CD2678"/>
    <w:rsid w:val="00CD2B8A"/>
    <w:rsid w:val="00CD3342"/>
    <w:rsid w:val="00CD7D26"/>
    <w:rsid w:val="00CE205D"/>
    <w:rsid w:val="00CE2793"/>
    <w:rsid w:val="00CE3553"/>
    <w:rsid w:val="00CE4330"/>
    <w:rsid w:val="00CE6362"/>
    <w:rsid w:val="00CE640E"/>
    <w:rsid w:val="00CE6523"/>
    <w:rsid w:val="00CE6EE3"/>
    <w:rsid w:val="00CE7836"/>
    <w:rsid w:val="00CF086F"/>
    <w:rsid w:val="00CF19AD"/>
    <w:rsid w:val="00CF24F1"/>
    <w:rsid w:val="00CF2F8F"/>
    <w:rsid w:val="00CF301E"/>
    <w:rsid w:val="00CF36E3"/>
    <w:rsid w:val="00CF5E7B"/>
    <w:rsid w:val="00CF6C55"/>
    <w:rsid w:val="00D0230B"/>
    <w:rsid w:val="00D027B2"/>
    <w:rsid w:val="00D03D65"/>
    <w:rsid w:val="00D05043"/>
    <w:rsid w:val="00D050C0"/>
    <w:rsid w:val="00D05274"/>
    <w:rsid w:val="00D05CEE"/>
    <w:rsid w:val="00D06C5E"/>
    <w:rsid w:val="00D06CBC"/>
    <w:rsid w:val="00D079CB"/>
    <w:rsid w:val="00D108F2"/>
    <w:rsid w:val="00D110B2"/>
    <w:rsid w:val="00D1167B"/>
    <w:rsid w:val="00D126A3"/>
    <w:rsid w:val="00D1283B"/>
    <w:rsid w:val="00D12F62"/>
    <w:rsid w:val="00D13E0F"/>
    <w:rsid w:val="00D14101"/>
    <w:rsid w:val="00D1427B"/>
    <w:rsid w:val="00D1569E"/>
    <w:rsid w:val="00D15709"/>
    <w:rsid w:val="00D172B7"/>
    <w:rsid w:val="00D17AFA"/>
    <w:rsid w:val="00D20270"/>
    <w:rsid w:val="00D2084F"/>
    <w:rsid w:val="00D22793"/>
    <w:rsid w:val="00D22B21"/>
    <w:rsid w:val="00D22D32"/>
    <w:rsid w:val="00D2331A"/>
    <w:rsid w:val="00D23933"/>
    <w:rsid w:val="00D25050"/>
    <w:rsid w:val="00D2551B"/>
    <w:rsid w:val="00D25DE5"/>
    <w:rsid w:val="00D2682D"/>
    <w:rsid w:val="00D26D1C"/>
    <w:rsid w:val="00D3001C"/>
    <w:rsid w:val="00D310C9"/>
    <w:rsid w:val="00D328E2"/>
    <w:rsid w:val="00D33AF6"/>
    <w:rsid w:val="00D33BC7"/>
    <w:rsid w:val="00D33D6B"/>
    <w:rsid w:val="00D36671"/>
    <w:rsid w:val="00D36B4F"/>
    <w:rsid w:val="00D3788E"/>
    <w:rsid w:val="00D415AE"/>
    <w:rsid w:val="00D426C6"/>
    <w:rsid w:val="00D4326F"/>
    <w:rsid w:val="00D472A6"/>
    <w:rsid w:val="00D50BE0"/>
    <w:rsid w:val="00D50FC3"/>
    <w:rsid w:val="00D5236C"/>
    <w:rsid w:val="00D53937"/>
    <w:rsid w:val="00D53CEA"/>
    <w:rsid w:val="00D54D22"/>
    <w:rsid w:val="00D566AE"/>
    <w:rsid w:val="00D567F0"/>
    <w:rsid w:val="00D56844"/>
    <w:rsid w:val="00D56CF6"/>
    <w:rsid w:val="00D570FD"/>
    <w:rsid w:val="00D577D1"/>
    <w:rsid w:val="00D57F9B"/>
    <w:rsid w:val="00D6047F"/>
    <w:rsid w:val="00D612F2"/>
    <w:rsid w:val="00D63173"/>
    <w:rsid w:val="00D64608"/>
    <w:rsid w:val="00D64C12"/>
    <w:rsid w:val="00D670C3"/>
    <w:rsid w:val="00D67133"/>
    <w:rsid w:val="00D70103"/>
    <w:rsid w:val="00D704D0"/>
    <w:rsid w:val="00D71D7B"/>
    <w:rsid w:val="00D7225E"/>
    <w:rsid w:val="00D72888"/>
    <w:rsid w:val="00D72D38"/>
    <w:rsid w:val="00D739E2"/>
    <w:rsid w:val="00D73D61"/>
    <w:rsid w:val="00D7472A"/>
    <w:rsid w:val="00D75147"/>
    <w:rsid w:val="00D75FCA"/>
    <w:rsid w:val="00D77BBF"/>
    <w:rsid w:val="00D8042B"/>
    <w:rsid w:val="00D80D59"/>
    <w:rsid w:val="00D81055"/>
    <w:rsid w:val="00D81460"/>
    <w:rsid w:val="00D840DC"/>
    <w:rsid w:val="00D8539B"/>
    <w:rsid w:val="00D85941"/>
    <w:rsid w:val="00D87D11"/>
    <w:rsid w:val="00D90121"/>
    <w:rsid w:val="00D91F34"/>
    <w:rsid w:val="00D9257C"/>
    <w:rsid w:val="00D9291B"/>
    <w:rsid w:val="00D93433"/>
    <w:rsid w:val="00D96A7F"/>
    <w:rsid w:val="00DA02FA"/>
    <w:rsid w:val="00DA089B"/>
    <w:rsid w:val="00DA0FE8"/>
    <w:rsid w:val="00DA1E44"/>
    <w:rsid w:val="00DA1FC0"/>
    <w:rsid w:val="00DA20C1"/>
    <w:rsid w:val="00DA21D0"/>
    <w:rsid w:val="00DA2B8B"/>
    <w:rsid w:val="00DA4F95"/>
    <w:rsid w:val="00DA7AA1"/>
    <w:rsid w:val="00DA7D92"/>
    <w:rsid w:val="00DB0160"/>
    <w:rsid w:val="00DB0519"/>
    <w:rsid w:val="00DB229B"/>
    <w:rsid w:val="00DB344E"/>
    <w:rsid w:val="00DB3495"/>
    <w:rsid w:val="00DB3B07"/>
    <w:rsid w:val="00DB3EFD"/>
    <w:rsid w:val="00DB4207"/>
    <w:rsid w:val="00DB6220"/>
    <w:rsid w:val="00DB76D2"/>
    <w:rsid w:val="00DB7916"/>
    <w:rsid w:val="00DC11E3"/>
    <w:rsid w:val="00DC3156"/>
    <w:rsid w:val="00DC3EE4"/>
    <w:rsid w:val="00DC7CE8"/>
    <w:rsid w:val="00DC7CEE"/>
    <w:rsid w:val="00DD1837"/>
    <w:rsid w:val="00DD3B9F"/>
    <w:rsid w:val="00DD477A"/>
    <w:rsid w:val="00DD51E3"/>
    <w:rsid w:val="00DD79B5"/>
    <w:rsid w:val="00DE4B48"/>
    <w:rsid w:val="00DE4DBE"/>
    <w:rsid w:val="00DE4E3B"/>
    <w:rsid w:val="00DE4F41"/>
    <w:rsid w:val="00DE51B1"/>
    <w:rsid w:val="00DE5BAB"/>
    <w:rsid w:val="00DE6954"/>
    <w:rsid w:val="00DE79D5"/>
    <w:rsid w:val="00DF1BC2"/>
    <w:rsid w:val="00DF2B90"/>
    <w:rsid w:val="00DF3677"/>
    <w:rsid w:val="00DF4201"/>
    <w:rsid w:val="00DF55C7"/>
    <w:rsid w:val="00DF66D3"/>
    <w:rsid w:val="00DF72C6"/>
    <w:rsid w:val="00E00294"/>
    <w:rsid w:val="00E00C08"/>
    <w:rsid w:val="00E02045"/>
    <w:rsid w:val="00E02B28"/>
    <w:rsid w:val="00E040F0"/>
    <w:rsid w:val="00E064E1"/>
    <w:rsid w:val="00E079F9"/>
    <w:rsid w:val="00E10685"/>
    <w:rsid w:val="00E11245"/>
    <w:rsid w:val="00E11A27"/>
    <w:rsid w:val="00E12B1E"/>
    <w:rsid w:val="00E134A3"/>
    <w:rsid w:val="00E14090"/>
    <w:rsid w:val="00E15831"/>
    <w:rsid w:val="00E16E26"/>
    <w:rsid w:val="00E1794E"/>
    <w:rsid w:val="00E20802"/>
    <w:rsid w:val="00E224C0"/>
    <w:rsid w:val="00E22696"/>
    <w:rsid w:val="00E233B0"/>
    <w:rsid w:val="00E23C39"/>
    <w:rsid w:val="00E24746"/>
    <w:rsid w:val="00E26CA1"/>
    <w:rsid w:val="00E27536"/>
    <w:rsid w:val="00E32C25"/>
    <w:rsid w:val="00E331BA"/>
    <w:rsid w:val="00E34AD5"/>
    <w:rsid w:val="00E36007"/>
    <w:rsid w:val="00E3776C"/>
    <w:rsid w:val="00E401A7"/>
    <w:rsid w:val="00E422C5"/>
    <w:rsid w:val="00E43365"/>
    <w:rsid w:val="00E4392B"/>
    <w:rsid w:val="00E43BBC"/>
    <w:rsid w:val="00E45462"/>
    <w:rsid w:val="00E45545"/>
    <w:rsid w:val="00E4784B"/>
    <w:rsid w:val="00E51146"/>
    <w:rsid w:val="00E51ECC"/>
    <w:rsid w:val="00E52717"/>
    <w:rsid w:val="00E52872"/>
    <w:rsid w:val="00E5667E"/>
    <w:rsid w:val="00E56B59"/>
    <w:rsid w:val="00E578A0"/>
    <w:rsid w:val="00E6194F"/>
    <w:rsid w:val="00E65062"/>
    <w:rsid w:val="00E654E4"/>
    <w:rsid w:val="00E6632E"/>
    <w:rsid w:val="00E66EB5"/>
    <w:rsid w:val="00E67C8E"/>
    <w:rsid w:val="00E7241C"/>
    <w:rsid w:val="00E7276D"/>
    <w:rsid w:val="00E72A43"/>
    <w:rsid w:val="00E7365D"/>
    <w:rsid w:val="00E76D45"/>
    <w:rsid w:val="00E8046A"/>
    <w:rsid w:val="00E806B6"/>
    <w:rsid w:val="00E80742"/>
    <w:rsid w:val="00E81214"/>
    <w:rsid w:val="00E82CBF"/>
    <w:rsid w:val="00E841A0"/>
    <w:rsid w:val="00E85623"/>
    <w:rsid w:val="00E878E9"/>
    <w:rsid w:val="00E9051E"/>
    <w:rsid w:val="00E90DB3"/>
    <w:rsid w:val="00E92C5F"/>
    <w:rsid w:val="00E94337"/>
    <w:rsid w:val="00E9585B"/>
    <w:rsid w:val="00E971A0"/>
    <w:rsid w:val="00E9745C"/>
    <w:rsid w:val="00E97D23"/>
    <w:rsid w:val="00EA192D"/>
    <w:rsid w:val="00EA2E19"/>
    <w:rsid w:val="00EA345D"/>
    <w:rsid w:val="00EA44CC"/>
    <w:rsid w:val="00EA5421"/>
    <w:rsid w:val="00EA5CE8"/>
    <w:rsid w:val="00EA5D91"/>
    <w:rsid w:val="00EA772B"/>
    <w:rsid w:val="00EB2387"/>
    <w:rsid w:val="00EB37FE"/>
    <w:rsid w:val="00EB385D"/>
    <w:rsid w:val="00EB4539"/>
    <w:rsid w:val="00EB5100"/>
    <w:rsid w:val="00EB6513"/>
    <w:rsid w:val="00EB6C7C"/>
    <w:rsid w:val="00EB6DC7"/>
    <w:rsid w:val="00EB7112"/>
    <w:rsid w:val="00EB7D93"/>
    <w:rsid w:val="00EC01C4"/>
    <w:rsid w:val="00EC060A"/>
    <w:rsid w:val="00EC32E6"/>
    <w:rsid w:val="00EC3333"/>
    <w:rsid w:val="00EC500B"/>
    <w:rsid w:val="00ED233B"/>
    <w:rsid w:val="00ED3861"/>
    <w:rsid w:val="00ED4010"/>
    <w:rsid w:val="00ED54FE"/>
    <w:rsid w:val="00ED566C"/>
    <w:rsid w:val="00ED7054"/>
    <w:rsid w:val="00EE06F8"/>
    <w:rsid w:val="00EE3E8E"/>
    <w:rsid w:val="00EE48EE"/>
    <w:rsid w:val="00EE4BB8"/>
    <w:rsid w:val="00EE51C7"/>
    <w:rsid w:val="00EE576B"/>
    <w:rsid w:val="00EE7451"/>
    <w:rsid w:val="00EE7BD5"/>
    <w:rsid w:val="00EE7E5D"/>
    <w:rsid w:val="00EE7F86"/>
    <w:rsid w:val="00EF0760"/>
    <w:rsid w:val="00EF1415"/>
    <w:rsid w:val="00EF1775"/>
    <w:rsid w:val="00EF1B73"/>
    <w:rsid w:val="00EF378C"/>
    <w:rsid w:val="00EF5727"/>
    <w:rsid w:val="00EF5D2D"/>
    <w:rsid w:val="00EF60DF"/>
    <w:rsid w:val="00EF65DB"/>
    <w:rsid w:val="00EF6F88"/>
    <w:rsid w:val="00EF71CA"/>
    <w:rsid w:val="00EF75ED"/>
    <w:rsid w:val="00F007AA"/>
    <w:rsid w:val="00F0283C"/>
    <w:rsid w:val="00F0544A"/>
    <w:rsid w:val="00F05770"/>
    <w:rsid w:val="00F05B10"/>
    <w:rsid w:val="00F05F9A"/>
    <w:rsid w:val="00F07898"/>
    <w:rsid w:val="00F10315"/>
    <w:rsid w:val="00F1104F"/>
    <w:rsid w:val="00F12E73"/>
    <w:rsid w:val="00F152B6"/>
    <w:rsid w:val="00F1530C"/>
    <w:rsid w:val="00F155E7"/>
    <w:rsid w:val="00F15FD8"/>
    <w:rsid w:val="00F16A9C"/>
    <w:rsid w:val="00F177CD"/>
    <w:rsid w:val="00F2017B"/>
    <w:rsid w:val="00F202DE"/>
    <w:rsid w:val="00F207BE"/>
    <w:rsid w:val="00F22C91"/>
    <w:rsid w:val="00F254AA"/>
    <w:rsid w:val="00F25BC8"/>
    <w:rsid w:val="00F25D8C"/>
    <w:rsid w:val="00F270E9"/>
    <w:rsid w:val="00F30D2A"/>
    <w:rsid w:val="00F30F8F"/>
    <w:rsid w:val="00F312DC"/>
    <w:rsid w:val="00F316C5"/>
    <w:rsid w:val="00F32B26"/>
    <w:rsid w:val="00F334C5"/>
    <w:rsid w:val="00F33EF7"/>
    <w:rsid w:val="00F34744"/>
    <w:rsid w:val="00F35535"/>
    <w:rsid w:val="00F3586B"/>
    <w:rsid w:val="00F368E1"/>
    <w:rsid w:val="00F379E7"/>
    <w:rsid w:val="00F37BA5"/>
    <w:rsid w:val="00F37ED8"/>
    <w:rsid w:val="00F4013D"/>
    <w:rsid w:val="00F40317"/>
    <w:rsid w:val="00F40F2C"/>
    <w:rsid w:val="00F41A3E"/>
    <w:rsid w:val="00F41D0C"/>
    <w:rsid w:val="00F41FF7"/>
    <w:rsid w:val="00F42AE2"/>
    <w:rsid w:val="00F43B67"/>
    <w:rsid w:val="00F44353"/>
    <w:rsid w:val="00F47667"/>
    <w:rsid w:val="00F47E24"/>
    <w:rsid w:val="00F47E7F"/>
    <w:rsid w:val="00F5052A"/>
    <w:rsid w:val="00F505E6"/>
    <w:rsid w:val="00F50B84"/>
    <w:rsid w:val="00F5180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1FE1"/>
    <w:rsid w:val="00F73DF5"/>
    <w:rsid w:val="00F742E1"/>
    <w:rsid w:val="00F7471F"/>
    <w:rsid w:val="00F74BD2"/>
    <w:rsid w:val="00F74CC1"/>
    <w:rsid w:val="00F74E12"/>
    <w:rsid w:val="00F76080"/>
    <w:rsid w:val="00F80671"/>
    <w:rsid w:val="00F8092C"/>
    <w:rsid w:val="00F81211"/>
    <w:rsid w:val="00F81DA1"/>
    <w:rsid w:val="00F8245F"/>
    <w:rsid w:val="00F8291D"/>
    <w:rsid w:val="00F839B8"/>
    <w:rsid w:val="00F84A9F"/>
    <w:rsid w:val="00F87EE2"/>
    <w:rsid w:val="00F9102E"/>
    <w:rsid w:val="00F9149E"/>
    <w:rsid w:val="00F915C9"/>
    <w:rsid w:val="00F919D7"/>
    <w:rsid w:val="00F92AC8"/>
    <w:rsid w:val="00F92D48"/>
    <w:rsid w:val="00F92E2A"/>
    <w:rsid w:val="00F93095"/>
    <w:rsid w:val="00F931ED"/>
    <w:rsid w:val="00F94228"/>
    <w:rsid w:val="00F9635B"/>
    <w:rsid w:val="00F966CC"/>
    <w:rsid w:val="00F96E5E"/>
    <w:rsid w:val="00F97574"/>
    <w:rsid w:val="00F975FE"/>
    <w:rsid w:val="00FA02F8"/>
    <w:rsid w:val="00FA3471"/>
    <w:rsid w:val="00FA697D"/>
    <w:rsid w:val="00FA77F3"/>
    <w:rsid w:val="00FA79D8"/>
    <w:rsid w:val="00FB0E60"/>
    <w:rsid w:val="00FB22D0"/>
    <w:rsid w:val="00FB317A"/>
    <w:rsid w:val="00FB4266"/>
    <w:rsid w:val="00FB4282"/>
    <w:rsid w:val="00FB643B"/>
    <w:rsid w:val="00FB6731"/>
    <w:rsid w:val="00FB6D09"/>
    <w:rsid w:val="00FC0E7C"/>
    <w:rsid w:val="00FC1413"/>
    <w:rsid w:val="00FC192D"/>
    <w:rsid w:val="00FC4645"/>
    <w:rsid w:val="00FC57A8"/>
    <w:rsid w:val="00FC5ED9"/>
    <w:rsid w:val="00FC6765"/>
    <w:rsid w:val="00FC723A"/>
    <w:rsid w:val="00FD0204"/>
    <w:rsid w:val="00FD0840"/>
    <w:rsid w:val="00FD46B1"/>
    <w:rsid w:val="00FD48B6"/>
    <w:rsid w:val="00FD4A49"/>
    <w:rsid w:val="00FD6384"/>
    <w:rsid w:val="00FD71CF"/>
    <w:rsid w:val="00FE09F2"/>
    <w:rsid w:val="00FE0B94"/>
    <w:rsid w:val="00FE0DFF"/>
    <w:rsid w:val="00FE13AD"/>
    <w:rsid w:val="00FE1FA6"/>
    <w:rsid w:val="00FE1FB9"/>
    <w:rsid w:val="00FE2C3F"/>
    <w:rsid w:val="00FE4560"/>
    <w:rsid w:val="00FE5038"/>
    <w:rsid w:val="00FE7411"/>
    <w:rsid w:val="00FE77EB"/>
    <w:rsid w:val="00FE7FAB"/>
    <w:rsid w:val="00FF038E"/>
    <w:rsid w:val="00FF1A74"/>
    <w:rsid w:val="00FF2C26"/>
    <w:rsid w:val="00FF2EDD"/>
    <w:rsid w:val="00FF31F8"/>
    <w:rsid w:val="00FF3BE8"/>
    <w:rsid w:val="00FF5822"/>
    <w:rsid w:val="00FF5889"/>
    <w:rsid w:val="00FF785D"/>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04E4-7BFA-40F3-AFD4-4EA217E4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24</Pages>
  <Words>4919</Words>
  <Characters>28042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32896</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Hinds, Margaret</cp:lastModifiedBy>
  <cp:revision>54</cp:revision>
  <cp:lastPrinted>2013-05-09T11:51:00Z</cp:lastPrinted>
  <dcterms:created xsi:type="dcterms:W3CDTF">2013-03-22T14:01:00Z</dcterms:created>
  <dcterms:modified xsi:type="dcterms:W3CDTF">2013-05-09T11:51:00Z</dcterms:modified>
</cp:coreProperties>
</file>