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992D66" w:rsidRDefault="00F514FB" w:rsidP="00F514FB">
      <w:pPr>
        <w:tabs>
          <w:tab w:val="center" w:pos="4680"/>
        </w:tabs>
        <w:suppressAutoHyphens/>
        <w:jc w:val="center"/>
        <w:rPr>
          <w:b/>
          <w:sz w:val="26"/>
          <w:szCs w:val="26"/>
        </w:rPr>
      </w:pPr>
      <w:r w:rsidRPr="00992D66">
        <w:rPr>
          <w:b/>
          <w:sz w:val="26"/>
          <w:szCs w:val="26"/>
        </w:rPr>
        <w:t>PENNSYLVANIA</w:t>
      </w:r>
    </w:p>
    <w:p w:rsidR="00F514FB" w:rsidRPr="00992D66" w:rsidRDefault="00F514FB" w:rsidP="00F514FB">
      <w:pPr>
        <w:tabs>
          <w:tab w:val="center" w:pos="4680"/>
        </w:tabs>
        <w:suppressAutoHyphens/>
        <w:jc w:val="center"/>
        <w:rPr>
          <w:sz w:val="26"/>
          <w:szCs w:val="26"/>
        </w:rPr>
      </w:pPr>
      <w:r w:rsidRPr="00992D66">
        <w:rPr>
          <w:b/>
          <w:sz w:val="26"/>
          <w:szCs w:val="26"/>
        </w:rPr>
        <w:t>PUBLIC UTILITY COMMISSION</w:t>
      </w:r>
    </w:p>
    <w:p w:rsidR="00F514FB" w:rsidRPr="00992D66" w:rsidRDefault="00F514FB" w:rsidP="00F514FB">
      <w:pPr>
        <w:tabs>
          <w:tab w:val="center" w:pos="4680"/>
        </w:tabs>
        <w:suppressAutoHyphens/>
        <w:jc w:val="center"/>
        <w:rPr>
          <w:sz w:val="26"/>
          <w:szCs w:val="26"/>
        </w:rPr>
      </w:pPr>
      <w:r w:rsidRPr="00992D66">
        <w:rPr>
          <w:b/>
          <w:sz w:val="26"/>
          <w:szCs w:val="26"/>
        </w:rPr>
        <w:t>Harrisburg, PA 17105-3265</w:t>
      </w:r>
    </w:p>
    <w:p w:rsidR="00F514FB" w:rsidRPr="00992D66" w:rsidRDefault="00F514FB" w:rsidP="00F514FB">
      <w:pPr>
        <w:tabs>
          <w:tab w:val="left" w:pos="-720"/>
        </w:tabs>
        <w:suppressAutoHyphens/>
        <w:rPr>
          <w:sz w:val="26"/>
          <w:szCs w:val="26"/>
        </w:rPr>
      </w:pPr>
    </w:p>
    <w:p w:rsidR="00F514FB" w:rsidRPr="00992D66" w:rsidRDefault="00F514FB" w:rsidP="00F514F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F514FB" w:rsidRPr="00992D66" w:rsidTr="00DE25AC">
        <w:tc>
          <w:tcPr>
            <w:tcW w:w="5058" w:type="dxa"/>
          </w:tcPr>
          <w:p w:rsidR="00F514FB" w:rsidRPr="00992D66" w:rsidRDefault="00F514FB" w:rsidP="00DC1448">
            <w:pPr>
              <w:rPr>
                <w:sz w:val="26"/>
                <w:szCs w:val="26"/>
              </w:rPr>
            </w:pPr>
          </w:p>
        </w:tc>
        <w:tc>
          <w:tcPr>
            <w:tcW w:w="4428" w:type="dxa"/>
          </w:tcPr>
          <w:p w:rsidR="00F514FB" w:rsidRPr="00992D66" w:rsidRDefault="00DD5D3F" w:rsidP="00DC1448">
            <w:pPr>
              <w:jc w:val="right"/>
              <w:rPr>
                <w:sz w:val="26"/>
                <w:szCs w:val="26"/>
              </w:rPr>
            </w:pPr>
            <w:r w:rsidRPr="00992D66">
              <w:rPr>
                <w:sz w:val="26"/>
                <w:szCs w:val="26"/>
              </w:rPr>
              <w:t xml:space="preserve">Public Meeting held </w:t>
            </w:r>
            <w:r w:rsidR="00A53A5D">
              <w:rPr>
                <w:sz w:val="26"/>
                <w:szCs w:val="26"/>
              </w:rPr>
              <w:t>August 15</w:t>
            </w:r>
            <w:r w:rsidR="00374099" w:rsidRPr="00992D66">
              <w:rPr>
                <w:sz w:val="26"/>
                <w:szCs w:val="26"/>
              </w:rPr>
              <w:t>, 2013</w:t>
            </w:r>
          </w:p>
          <w:p w:rsidR="00F514FB" w:rsidRPr="00992D66" w:rsidRDefault="00F514FB" w:rsidP="00DC1448">
            <w:pPr>
              <w:jc w:val="right"/>
              <w:rPr>
                <w:sz w:val="26"/>
                <w:szCs w:val="26"/>
              </w:rPr>
            </w:pPr>
          </w:p>
          <w:p w:rsidR="00F514FB" w:rsidRPr="00992D66" w:rsidRDefault="00F514FB" w:rsidP="00DC1448">
            <w:pPr>
              <w:jc w:val="right"/>
              <w:rPr>
                <w:sz w:val="26"/>
                <w:szCs w:val="26"/>
              </w:rPr>
            </w:pPr>
          </w:p>
        </w:tc>
      </w:tr>
      <w:tr w:rsidR="00F514FB" w:rsidRPr="00992D66" w:rsidTr="00DC1448">
        <w:tc>
          <w:tcPr>
            <w:tcW w:w="5058" w:type="dxa"/>
          </w:tcPr>
          <w:p w:rsidR="00F514FB" w:rsidRPr="00992D66" w:rsidRDefault="00F514FB" w:rsidP="00DC1448">
            <w:pPr>
              <w:rPr>
                <w:sz w:val="26"/>
                <w:szCs w:val="26"/>
              </w:rPr>
            </w:pPr>
            <w:r w:rsidRPr="00992D66">
              <w:rPr>
                <w:sz w:val="26"/>
                <w:szCs w:val="26"/>
              </w:rPr>
              <w:t>Commissioners Present:</w:t>
            </w:r>
          </w:p>
          <w:p w:rsidR="00F514FB" w:rsidRPr="00992D66" w:rsidRDefault="00F514FB" w:rsidP="00DC1448">
            <w:pPr>
              <w:rPr>
                <w:sz w:val="26"/>
                <w:szCs w:val="26"/>
              </w:rPr>
            </w:pPr>
          </w:p>
          <w:p w:rsidR="00F514FB" w:rsidRPr="00992D66" w:rsidRDefault="00F514FB" w:rsidP="00DC1448">
            <w:pPr>
              <w:tabs>
                <w:tab w:val="left" w:pos="705"/>
              </w:tabs>
              <w:ind w:firstLine="720"/>
              <w:rPr>
                <w:sz w:val="26"/>
                <w:szCs w:val="26"/>
              </w:rPr>
            </w:pPr>
            <w:r w:rsidRPr="00992D66">
              <w:rPr>
                <w:sz w:val="26"/>
                <w:szCs w:val="26"/>
              </w:rPr>
              <w:t>Robert F. Powelson, Chairman</w:t>
            </w:r>
          </w:p>
          <w:p w:rsidR="00F514FB" w:rsidRPr="00992D66" w:rsidRDefault="00F514FB" w:rsidP="00DC1448">
            <w:pPr>
              <w:tabs>
                <w:tab w:val="left" w:pos="705"/>
              </w:tabs>
              <w:ind w:firstLine="720"/>
              <w:rPr>
                <w:sz w:val="26"/>
                <w:szCs w:val="26"/>
              </w:rPr>
            </w:pPr>
            <w:r w:rsidRPr="00992D66">
              <w:rPr>
                <w:sz w:val="26"/>
                <w:szCs w:val="26"/>
              </w:rPr>
              <w:t>John F. Coleman, Jr., Vice Chairman</w:t>
            </w:r>
          </w:p>
          <w:p w:rsidR="00F514FB" w:rsidRPr="00992D66" w:rsidRDefault="00F514FB" w:rsidP="00DC1448">
            <w:pPr>
              <w:tabs>
                <w:tab w:val="left" w:pos="705"/>
              </w:tabs>
              <w:ind w:firstLine="720"/>
              <w:rPr>
                <w:sz w:val="26"/>
                <w:szCs w:val="26"/>
              </w:rPr>
            </w:pPr>
            <w:r w:rsidRPr="00992D66">
              <w:rPr>
                <w:sz w:val="26"/>
                <w:szCs w:val="26"/>
              </w:rPr>
              <w:t>Wayne E. Gardner</w:t>
            </w:r>
          </w:p>
          <w:p w:rsidR="00F514FB" w:rsidRPr="00992D66" w:rsidRDefault="00F514FB" w:rsidP="00DC1448">
            <w:pPr>
              <w:tabs>
                <w:tab w:val="left" w:pos="705"/>
              </w:tabs>
              <w:ind w:firstLine="720"/>
              <w:rPr>
                <w:sz w:val="26"/>
                <w:szCs w:val="26"/>
              </w:rPr>
            </w:pPr>
            <w:r w:rsidRPr="00992D66">
              <w:rPr>
                <w:sz w:val="26"/>
                <w:szCs w:val="26"/>
              </w:rPr>
              <w:t>James H. Cawley</w:t>
            </w:r>
          </w:p>
          <w:p w:rsidR="00F514FB" w:rsidRPr="00992D66" w:rsidRDefault="00F514FB" w:rsidP="00DC1448">
            <w:pPr>
              <w:tabs>
                <w:tab w:val="left" w:pos="705"/>
              </w:tabs>
              <w:ind w:firstLine="720"/>
              <w:rPr>
                <w:sz w:val="26"/>
                <w:szCs w:val="26"/>
              </w:rPr>
            </w:pPr>
            <w:r w:rsidRPr="00992D66">
              <w:rPr>
                <w:sz w:val="26"/>
                <w:szCs w:val="26"/>
              </w:rPr>
              <w:t>Pamela A. Witmer</w:t>
            </w:r>
          </w:p>
          <w:p w:rsidR="00F514FB" w:rsidRPr="00992D66" w:rsidRDefault="00F514FB" w:rsidP="00DC1448">
            <w:pPr>
              <w:rPr>
                <w:sz w:val="26"/>
                <w:szCs w:val="26"/>
              </w:rPr>
            </w:pPr>
          </w:p>
          <w:p w:rsidR="00F514FB" w:rsidRPr="00992D66" w:rsidRDefault="00F514FB" w:rsidP="00DC1448">
            <w:pPr>
              <w:rPr>
                <w:sz w:val="26"/>
                <w:szCs w:val="26"/>
              </w:rPr>
            </w:pPr>
          </w:p>
        </w:tc>
        <w:tc>
          <w:tcPr>
            <w:tcW w:w="4428" w:type="dxa"/>
          </w:tcPr>
          <w:p w:rsidR="00F514FB" w:rsidRPr="00992D66" w:rsidRDefault="00F514FB" w:rsidP="00DC1448">
            <w:pPr>
              <w:jc w:val="right"/>
              <w:rPr>
                <w:sz w:val="26"/>
                <w:szCs w:val="26"/>
              </w:rPr>
            </w:pPr>
          </w:p>
          <w:p w:rsidR="00F514FB" w:rsidRPr="00992D66" w:rsidRDefault="00F514FB" w:rsidP="00DC1448">
            <w:pPr>
              <w:jc w:val="right"/>
              <w:rPr>
                <w:sz w:val="26"/>
                <w:szCs w:val="26"/>
              </w:rPr>
            </w:pPr>
          </w:p>
        </w:tc>
      </w:tr>
      <w:tr w:rsidR="00F514FB" w:rsidRPr="009903D4" w:rsidTr="00DE25AC">
        <w:tc>
          <w:tcPr>
            <w:tcW w:w="5058" w:type="dxa"/>
          </w:tcPr>
          <w:p w:rsidR="00F514FB" w:rsidRPr="009903D4" w:rsidRDefault="00A53A5D" w:rsidP="00DC1448">
            <w:pPr>
              <w:rPr>
                <w:sz w:val="26"/>
                <w:szCs w:val="26"/>
              </w:rPr>
            </w:pPr>
            <w:r>
              <w:rPr>
                <w:sz w:val="26"/>
                <w:szCs w:val="26"/>
              </w:rPr>
              <w:t>Donald Rinald</w:t>
            </w:r>
          </w:p>
          <w:p w:rsidR="00F514FB" w:rsidRPr="009903D4" w:rsidRDefault="00F514FB" w:rsidP="00DC1448">
            <w:pPr>
              <w:rPr>
                <w:sz w:val="26"/>
                <w:szCs w:val="26"/>
              </w:rPr>
            </w:pPr>
          </w:p>
        </w:tc>
        <w:tc>
          <w:tcPr>
            <w:tcW w:w="4428" w:type="dxa"/>
          </w:tcPr>
          <w:p w:rsidR="00F514FB" w:rsidRPr="009903D4" w:rsidRDefault="00A53A5D" w:rsidP="00DC1448">
            <w:pPr>
              <w:jc w:val="right"/>
              <w:rPr>
                <w:sz w:val="26"/>
                <w:szCs w:val="26"/>
              </w:rPr>
            </w:pPr>
            <w:r>
              <w:rPr>
                <w:sz w:val="26"/>
                <w:szCs w:val="26"/>
              </w:rPr>
              <w:t>C-2012-2292780</w:t>
            </w:r>
          </w:p>
        </w:tc>
      </w:tr>
      <w:tr w:rsidR="00F514FB" w:rsidRPr="009903D4" w:rsidTr="00DE25AC">
        <w:tc>
          <w:tcPr>
            <w:tcW w:w="5058" w:type="dxa"/>
          </w:tcPr>
          <w:p w:rsidR="00F514FB" w:rsidRPr="009903D4" w:rsidRDefault="00F514FB" w:rsidP="00374099">
            <w:pPr>
              <w:ind w:firstLine="900"/>
              <w:rPr>
                <w:sz w:val="26"/>
                <w:szCs w:val="26"/>
              </w:rPr>
            </w:pPr>
            <w:r w:rsidRPr="009903D4">
              <w:rPr>
                <w:sz w:val="26"/>
                <w:szCs w:val="26"/>
              </w:rPr>
              <w:t>v.</w:t>
            </w:r>
          </w:p>
          <w:p w:rsidR="00F514FB" w:rsidRPr="009903D4" w:rsidRDefault="00F514FB" w:rsidP="00DC1448">
            <w:pPr>
              <w:ind w:firstLine="1440"/>
              <w:rPr>
                <w:sz w:val="26"/>
                <w:szCs w:val="26"/>
              </w:rPr>
            </w:pPr>
          </w:p>
        </w:tc>
        <w:tc>
          <w:tcPr>
            <w:tcW w:w="4428" w:type="dxa"/>
          </w:tcPr>
          <w:p w:rsidR="00F514FB" w:rsidRPr="009903D4" w:rsidRDefault="00F514FB" w:rsidP="00DC1448">
            <w:pPr>
              <w:rPr>
                <w:sz w:val="26"/>
                <w:szCs w:val="26"/>
              </w:rPr>
            </w:pPr>
          </w:p>
        </w:tc>
      </w:tr>
      <w:tr w:rsidR="00F514FB" w:rsidRPr="009903D4" w:rsidTr="00DC1448">
        <w:tc>
          <w:tcPr>
            <w:tcW w:w="5058" w:type="dxa"/>
          </w:tcPr>
          <w:p w:rsidR="00F514FB" w:rsidRPr="009903D4" w:rsidRDefault="00A53A5D" w:rsidP="00DC1448">
            <w:pPr>
              <w:rPr>
                <w:sz w:val="26"/>
                <w:szCs w:val="26"/>
              </w:rPr>
            </w:pPr>
            <w:r>
              <w:rPr>
                <w:sz w:val="26"/>
                <w:szCs w:val="26"/>
              </w:rPr>
              <w:t>Columbia Gas of Pennsylvania, Inc., and Direct Energy Services, LLC</w:t>
            </w:r>
          </w:p>
        </w:tc>
        <w:tc>
          <w:tcPr>
            <w:tcW w:w="4428" w:type="dxa"/>
          </w:tcPr>
          <w:p w:rsidR="00F514FB" w:rsidRPr="009903D4" w:rsidRDefault="00F514FB" w:rsidP="00DC1448">
            <w:pPr>
              <w:rPr>
                <w:sz w:val="26"/>
                <w:szCs w:val="26"/>
              </w:rPr>
            </w:pPr>
          </w:p>
        </w:tc>
      </w:tr>
    </w:tbl>
    <w:p w:rsidR="00F514FB" w:rsidRPr="009903D4" w:rsidRDefault="00F514FB" w:rsidP="00F514FB">
      <w:pPr>
        <w:rPr>
          <w:sz w:val="26"/>
          <w:szCs w:val="26"/>
        </w:rPr>
      </w:pPr>
    </w:p>
    <w:p w:rsidR="00F514FB" w:rsidRPr="009903D4" w:rsidRDefault="00F514FB" w:rsidP="00F514FB">
      <w:pPr>
        <w:rPr>
          <w:sz w:val="26"/>
          <w:szCs w:val="26"/>
        </w:rPr>
      </w:pPr>
    </w:p>
    <w:p w:rsidR="00F514FB" w:rsidRPr="009903D4" w:rsidRDefault="00F514FB" w:rsidP="00F514FB">
      <w:pPr>
        <w:jc w:val="center"/>
        <w:rPr>
          <w:b/>
          <w:sz w:val="26"/>
          <w:szCs w:val="26"/>
        </w:rPr>
      </w:pPr>
      <w:r w:rsidRPr="009903D4">
        <w:rPr>
          <w:b/>
          <w:sz w:val="26"/>
          <w:szCs w:val="26"/>
        </w:rPr>
        <w:t xml:space="preserve">OPINION </w:t>
      </w:r>
      <w:smartTag w:uri="urn:schemas-microsoft-com:office:smarttags" w:element="stockticker">
        <w:r w:rsidRPr="009903D4">
          <w:rPr>
            <w:b/>
            <w:sz w:val="26"/>
            <w:szCs w:val="26"/>
          </w:rPr>
          <w:t>AND</w:t>
        </w:r>
      </w:smartTag>
      <w:r w:rsidRPr="009903D4">
        <w:rPr>
          <w:b/>
          <w:sz w:val="26"/>
          <w:szCs w:val="26"/>
        </w:rPr>
        <w:t xml:space="preserve"> ORDER</w:t>
      </w:r>
    </w:p>
    <w:p w:rsidR="00F514FB" w:rsidRPr="009903D4" w:rsidRDefault="00F514FB" w:rsidP="00F514FB">
      <w:pPr>
        <w:jc w:val="center"/>
        <w:rPr>
          <w:b/>
          <w:sz w:val="26"/>
          <w:szCs w:val="26"/>
        </w:rPr>
      </w:pPr>
    </w:p>
    <w:p w:rsidR="00F514FB" w:rsidRPr="009903D4" w:rsidRDefault="00F514FB" w:rsidP="00F514FB">
      <w:pPr>
        <w:jc w:val="center"/>
        <w:rPr>
          <w:b/>
          <w:sz w:val="26"/>
          <w:szCs w:val="26"/>
        </w:rPr>
      </w:pPr>
    </w:p>
    <w:p w:rsidR="00F514FB" w:rsidRPr="009903D4" w:rsidRDefault="00F514FB" w:rsidP="00F514FB">
      <w:pPr>
        <w:rPr>
          <w:b/>
          <w:sz w:val="26"/>
          <w:szCs w:val="26"/>
        </w:rPr>
      </w:pPr>
      <w:r w:rsidRPr="009903D4">
        <w:rPr>
          <w:b/>
          <w:sz w:val="26"/>
          <w:szCs w:val="26"/>
        </w:rPr>
        <w:t>BY THE COMMISSION:</w:t>
      </w:r>
    </w:p>
    <w:p w:rsidR="00F514FB" w:rsidRPr="009903D4" w:rsidRDefault="00F514FB" w:rsidP="00F514FB">
      <w:pPr>
        <w:rPr>
          <w:sz w:val="26"/>
          <w:szCs w:val="26"/>
        </w:rPr>
      </w:pPr>
    </w:p>
    <w:p w:rsidR="00F514FB" w:rsidRPr="009903D4" w:rsidRDefault="00F514FB" w:rsidP="00F514FB">
      <w:pPr>
        <w:rPr>
          <w:sz w:val="26"/>
          <w:szCs w:val="26"/>
        </w:rPr>
      </w:pPr>
    </w:p>
    <w:p w:rsidR="00CA43A5" w:rsidRPr="009832B9" w:rsidRDefault="00CA43A5" w:rsidP="00D013CF">
      <w:pPr>
        <w:widowControl/>
        <w:spacing w:line="360" w:lineRule="auto"/>
        <w:ind w:firstLine="1440"/>
        <w:rPr>
          <w:sz w:val="26"/>
          <w:szCs w:val="26"/>
        </w:rPr>
      </w:pPr>
      <w:r w:rsidRPr="009832B9">
        <w:rPr>
          <w:sz w:val="26"/>
          <w:szCs w:val="26"/>
        </w:rPr>
        <w:t xml:space="preserve">Before the Pennsylvania Public Utility Commission (Commission) for consideration and disposition </w:t>
      </w:r>
      <w:r w:rsidR="00671E4C" w:rsidRPr="009832B9">
        <w:rPr>
          <w:color w:val="000000"/>
          <w:sz w:val="26"/>
        </w:rPr>
        <w:t xml:space="preserve">are the Exceptions </w:t>
      </w:r>
      <w:r w:rsidR="00A16587" w:rsidRPr="009832B9">
        <w:rPr>
          <w:color w:val="000000"/>
          <w:sz w:val="26"/>
        </w:rPr>
        <w:t xml:space="preserve">of </w:t>
      </w:r>
      <w:r w:rsidR="009832B9" w:rsidRPr="009832B9">
        <w:rPr>
          <w:color w:val="000000"/>
          <w:sz w:val="26"/>
        </w:rPr>
        <w:t>Donald Rinald</w:t>
      </w:r>
      <w:r w:rsidR="00A16587" w:rsidRPr="009832B9">
        <w:rPr>
          <w:color w:val="000000"/>
          <w:sz w:val="26"/>
        </w:rPr>
        <w:t xml:space="preserve"> </w:t>
      </w:r>
      <w:r w:rsidR="00671E4C" w:rsidRPr="009832B9">
        <w:rPr>
          <w:color w:val="000000"/>
          <w:sz w:val="26"/>
        </w:rPr>
        <w:t>(</w:t>
      </w:r>
      <w:r w:rsidR="00EF4058" w:rsidRPr="009832B9">
        <w:rPr>
          <w:color w:val="000000"/>
          <w:sz w:val="26"/>
        </w:rPr>
        <w:t>C</w:t>
      </w:r>
      <w:r w:rsidR="009832B9" w:rsidRPr="009832B9">
        <w:rPr>
          <w:color w:val="000000"/>
          <w:sz w:val="26"/>
        </w:rPr>
        <w:t>omplainant) filed on February</w:t>
      </w:r>
      <w:r w:rsidR="00BD7025" w:rsidRPr="009832B9">
        <w:rPr>
          <w:color w:val="000000"/>
          <w:sz w:val="26"/>
        </w:rPr>
        <w:t xml:space="preserve"> 12, 2013</w:t>
      </w:r>
      <w:r w:rsidR="00671E4C" w:rsidRPr="009832B9">
        <w:rPr>
          <w:color w:val="000000"/>
          <w:sz w:val="26"/>
        </w:rPr>
        <w:t>,</w:t>
      </w:r>
      <w:r w:rsidR="007526AB">
        <w:rPr>
          <w:color w:val="000000"/>
          <w:sz w:val="26"/>
        </w:rPr>
        <w:t xml:space="preserve"> to the Initial Decision </w:t>
      </w:r>
      <w:r w:rsidR="00671E4C" w:rsidRPr="009832B9">
        <w:rPr>
          <w:color w:val="000000"/>
          <w:sz w:val="26"/>
        </w:rPr>
        <w:t xml:space="preserve">of Administrative </w:t>
      </w:r>
      <w:r w:rsidR="00346C47" w:rsidRPr="009832B9">
        <w:rPr>
          <w:color w:val="000000"/>
          <w:sz w:val="26"/>
        </w:rPr>
        <w:t xml:space="preserve">Law Judge (ALJ) </w:t>
      </w:r>
      <w:r w:rsidR="009832B9" w:rsidRPr="009832B9">
        <w:rPr>
          <w:color w:val="000000"/>
          <w:sz w:val="26"/>
        </w:rPr>
        <w:t>Susan</w:t>
      </w:r>
      <w:r w:rsidR="00B1229F">
        <w:rPr>
          <w:color w:val="000000"/>
          <w:sz w:val="26"/>
        </w:rPr>
        <w:t> </w:t>
      </w:r>
      <w:r w:rsidR="009832B9" w:rsidRPr="009832B9">
        <w:rPr>
          <w:color w:val="000000"/>
          <w:sz w:val="26"/>
        </w:rPr>
        <w:t>D.</w:t>
      </w:r>
      <w:r w:rsidR="00B1229F">
        <w:rPr>
          <w:color w:val="000000"/>
          <w:sz w:val="26"/>
        </w:rPr>
        <w:t> </w:t>
      </w:r>
      <w:r w:rsidR="009832B9" w:rsidRPr="009832B9">
        <w:rPr>
          <w:color w:val="000000"/>
          <w:sz w:val="26"/>
        </w:rPr>
        <w:t>Colwell</w:t>
      </w:r>
      <w:r w:rsidR="00671E4C" w:rsidRPr="009832B9">
        <w:rPr>
          <w:color w:val="000000"/>
          <w:sz w:val="26"/>
        </w:rPr>
        <w:t>, w</w:t>
      </w:r>
      <w:r w:rsidR="00346C47" w:rsidRPr="009832B9">
        <w:rPr>
          <w:color w:val="000000"/>
          <w:sz w:val="26"/>
        </w:rPr>
        <w:t xml:space="preserve">hich was issued on </w:t>
      </w:r>
      <w:r w:rsidR="009832B9" w:rsidRPr="009832B9">
        <w:rPr>
          <w:color w:val="000000"/>
          <w:sz w:val="26"/>
        </w:rPr>
        <w:t>February 1</w:t>
      </w:r>
      <w:r w:rsidR="00BD7025" w:rsidRPr="009832B9">
        <w:rPr>
          <w:color w:val="000000"/>
          <w:sz w:val="26"/>
        </w:rPr>
        <w:t>, 2013</w:t>
      </w:r>
      <w:r w:rsidR="00671E4C" w:rsidRPr="009832B9">
        <w:rPr>
          <w:color w:val="000000"/>
          <w:sz w:val="26"/>
        </w:rPr>
        <w:t>, in</w:t>
      </w:r>
      <w:r w:rsidR="0035728C" w:rsidRPr="009832B9">
        <w:rPr>
          <w:color w:val="000000"/>
          <w:sz w:val="26"/>
        </w:rPr>
        <w:t xml:space="preserve"> the above-captioned proceeding</w:t>
      </w:r>
      <w:r w:rsidR="00671E4C" w:rsidRPr="009832B9">
        <w:rPr>
          <w:color w:val="000000"/>
          <w:sz w:val="26"/>
        </w:rPr>
        <w:t xml:space="preserve">.  </w:t>
      </w:r>
      <w:r w:rsidR="00671E4C" w:rsidRPr="00FC6C0F">
        <w:rPr>
          <w:color w:val="000000"/>
          <w:sz w:val="26"/>
        </w:rPr>
        <w:t xml:space="preserve">Replies to Exceptions </w:t>
      </w:r>
      <w:r w:rsidR="00A61C8F" w:rsidRPr="00FC6C0F">
        <w:rPr>
          <w:color w:val="000000"/>
          <w:sz w:val="26"/>
        </w:rPr>
        <w:t>w</w:t>
      </w:r>
      <w:r w:rsidR="00D43DC1" w:rsidRPr="00FC6C0F">
        <w:rPr>
          <w:color w:val="000000"/>
          <w:sz w:val="26"/>
        </w:rPr>
        <w:t xml:space="preserve">ere filed by </w:t>
      </w:r>
      <w:r w:rsidR="009832B9" w:rsidRPr="00FC6C0F">
        <w:rPr>
          <w:color w:val="000000"/>
          <w:sz w:val="26"/>
        </w:rPr>
        <w:t>Columbia Gas of Pennsylvania, Inc. (Columbia)</w:t>
      </w:r>
      <w:r w:rsidR="001A0B18">
        <w:rPr>
          <w:color w:val="000000"/>
          <w:sz w:val="26"/>
        </w:rPr>
        <w:t xml:space="preserve"> and Direct Energy Services, LLC (Direct Energy) (collectively, Respondents)</w:t>
      </w:r>
      <w:r w:rsidR="009832B9" w:rsidRPr="00FC6C0F">
        <w:rPr>
          <w:color w:val="000000"/>
          <w:sz w:val="26"/>
        </w:rPr>
        <w:t xml:space="preserve"> on February 28</w:t>
      </w:r>
      <w:r w:rsidR="00BD7025" w:rsidRPr="00FC6C0F">
        <w:rPr>
          <w:color w:val="000000"/>
          <w:sz w:val="26"/>
        </w:rPr>
        <w:t>, 2013</w:t>
      </w:r>
      <w:r w:rsidR="009832B9" w:rsidRPr="00FC6C0F">
        <w:rPr>
          <w:color w:val="000000"/>
          <w:sz w:val="26"/>
        </w:rPr>
        <w:t>,</w:t>
      </w:r>
      <w:r w:rsidR="001A0B18">
        <w:rPr>
          <w:color w:val="000000"/>
          <w:sz w:val="26"/>
        </w:rPr>
        <w:t xml:space="preserve"> and March 4, 2013, respectively.  </w:t>
      </w:r>
      <w:r w:rsidRPr="00FC6C0F">
        <w:rPr>
          <w:sz w:val="26"/>
          <w:szCs w:val="26"/>
        </w:rPr>
        <w:t>For the reason</w:t>
      </w:r>
      <w:r w:rsidR="0006356A" w:rsidRPr="00FC6C0F">
        <w:rPr>
          <w:sz w:val="26"/>
          <w:szCs w:val="26"/>
        </w:rPr>
        <w:t xml:space="preserve">s stated below, we </w:t>
      </w:r>
      <w:r w:rsidR="0006356A" w:rsidRPr="00FC6C0F">
        <w:rPr>
          <w:sz w:val="26"/>
          <w:szCs w:val="26"/>
        </w:rPr>
        <w:lastRenderedPageBreak/>
        <w:t>will deny t</w:t>
      </w:r>
      <w:r w:rsidR="00DA6C17" w:rsidRPr="00FC6C0F">
        <w:rPr>
          <w:sz w:val="26"/>
          <w:szCs w:val="26"/>
        </w:rPr>
        <w:t xml:space="preserve">he Complainant’s Exceptions and </w:t>
      </w:r>
      <w:r w:rsidR="0006356A" w:rsidRPr="00FC6C0F">
        <w:rPr>
          <w:sz w:val="26"/>
          <w:szCs w:val="26"/>
        </w:rPr>
        <w:t>adopt</w:t>
      </w:r>
      <w:r w:rsidR="009832B9" w:rsidRPr="00FC6C0F">
        <w:rPr>
          <w:sz w:val="26"/>
          <w:szCs w:val="26"/>
        </w:rPr>
        <w:t xml:space="preserve"> </w:t>
      </w:r>
      <w:r w:rsidR="0006356A" w:rsidRPr="00FC6C0F">
        <w:rPr>
          <w:sz w:val="26"/>
          <w:szCs w:val="26"/>
        </w:rPr>
        <w:t>the ALJ’s Initial Decision</w:t>
      </w:r>
      <w:r w:rsidR="00FC6C0F" w:rsidRPr="00FC6C0F">
        <w:rPr>
          <w:sz w:val="26"/>
          <w:szCs w:val="26"/>
        </w:rPr>
        <w:t>, as modified herein</w:t>
      </w:r>
      <w:r w:rsidRPr="00FC6C0F">
        <w:rPr>
          <w:sz w:val="26"/>
          <w:szCs w:val="26"/>
        </w:rPr>
        <w:t>.</w:t>
      </w:r>
    </w:p>
    <w:p w:rsidR="00CA43A5" w:rsidRPr="009832B9" w:rsidRDefault="00CA43A5" w:rsidP="00CA43A5">
      <w:pPr>
        <w:spacing w:line="360" w:lineRule="auto"/>
        <w:rPr>
          <w:sz w:val="26"/>
          <w:szCs w:val="26"/>
        </w:rPr>
      </w:pPr>
    </w:p>
    <w:p w:rsidR="000A0142" w:rsidRPr="009832B9" w:rsidRDefault="000A0142" w:rsidP="000A0142">
      <w:pPr>
        <w:keepNext/>
        <w:spacing w:line="360" w:lineRule="auto"/>
        <w:jc w:val="center"/>
        <w:rPr>
          <w:b/>
          <w:sz w:val="26"/>
          <w:szCs w:val="26"/>
        </w:rPr>
      </w:pPr>
      <w:bookmarkStart w:id="0" w:name="OLE_LINK1"/>
      <w:bookmarkStart w:id="1" w:name="OLE_LINK2"/>
      <w:r w:rsidRPr="009832B9">
        <w:rPr>
          <w:b/>
          <w:sz w:val="26"/>
          <w:szCs w:val="26"/>
        </w:rPr>
        <w:t>History of the Proceeding</w:t>
      </w:r>
    </w:p>
    <w:p w:rsidR="000A0142" w:rsidRPr="009832B9" w:rsidRDefault="000A0142" w:rsidP="000A0142">
      <w:pPr>
        <w:keepNext/>
        <w:rPr>
          <w:b/>
          <w:sz w:val="26"/>
          <w:szCs w:val="26"/>
          <w:u w:val="single"/>
        </w:rPr>
      </w:pPr>
    </w:p>
    <w:p w:rsidR="009A054C" w:rsidRPr="009A054C" w:rsidRDefault="000A0142" w:rsidP="000A0142">
      <w:pPr>
        <w:keepNext/>
        <w:widowControl/>
        <w:spacing w:line="360" w:lineRule="auto"/>
        <w:rPr>
          <w:sz w:val="26"/>
          <w:szCs w:val="26"/>
        </w:rPr>
      </w:pPr>
      <w:r w:rsidRPr="00E36B2E">
        <w:rPr>
          <w:sz w:val="26"/>
          <w:szCs w:val="26"/>
        </w:rPr>
        <w:tab/>
      </w:r>
      <w:r w:rsidRPr="00E36B2E">
        <w:rPr>
          <w:sz w:val="26"/>
          <w:szCs w:val="26"/>
        </w:rPr>
        <w:tab/>
      </w:r>
      <w:r w:rsidR="00E36B2E" w:rsidRPr="00E36B2E">
        <w:rPr>
          <w:sz w:val="26"/>
          <w:szCs w:val="26"/>
        </w:rPr>
        <w:t xml:space="preserve">On </w:t>
      </w:r>
      <w:r w:rsidR="00E36B2E" w:rsidRPr="009A054C">
        <w:rPr>
          <w:sz w:val="26"/>
          <w:szCs w:val="26"/>
        </w:rPr>
        <w:t>March 5</w:t>
      </w:r>
      <w:r w:rsidRPr="009A054C">
        <w:rPr>
          <w:sz w:val="26"/>
          <w:szCs w:val="26"/>
        </w:rPr>
        <w:t>, 2012, the Complainant filed a Formal Complaint (Complaint)</w:t>
      </w:r>
      <w:r w:rsidR="00E36B2E" w:rsidRPr="009A054C">
        <w:rPr>
          <w:sz w:val="26"/>
          <w:szCs w:val="26"/>
        </w:rPr>
        <w:t xml:space="preserve"> against Columbia</w:t>
      </w:r>
      <w:r w:rsidRPr="009A054C">
        <w:rPr>
          <w:sz w:val="26"/>
          <w:szCs w:val="26"/>
        </w:rPr>
        <w:t>,</w:t>
      </w:r>
      <w:r w:rsidR="00A96A31">
        <w:rPr>
          <w:sz w:val="26"/>
          <w:szCs w:val="26"/>
        </w:rPr>
        <w:t xml:space="preserve"> raising</w:t>
      </w:r>
      <w:r w:rsidR="009A054C">
        <w:rPr>
          <w:sz w:val="26"/>
          <w:szCs w:val="26"/>
        </w:rPr>
        <w:t xml:space="preserve"> a number of issues with regard to his February 14, 2012 gas bill, which reflected a change from volumetric pricing to therm pricing.  Specifically, </w:t>
      </w:r>
      <w:r w:rsidR="00526381">
        <w:rPr>
          <w:sz w:val="26"/>
          <w:szCs w:val="26"/>
        </w:rPr>
        <w:t>the Complainant asserted that “the structure of this bill mathematically and legally does not match the advertising.”  The Complainant further expressed his belief that</w:t>
      </w:r>
      <w:r w:rsidR="005556EC">
        <w:rPr>
          <w:sz w:val="26"/>
          <w:szCs w:val="26"/>
        </w:rPr>
        <w:t>, by using therm pricing,</w:t>
      </w:r>
      <w:r w:rsidR="00526381">
        <w:rPr>
          <w:sz w:val="26"/>
          <w:szCs w:val="26"/>
        </w:rPr>
        <w:t xml:space="preserve"> Colu</w:t>
      </w:r>
      <w:r w:rsidR="00704310">
        <w:rPr>
          <w:sz w:val="26"/>
          <w:szCs w:val="26"/>
        </w:rPr>
        <w:t xml:space="preserve">mbia violated the contract </w:t>
      </w:r>
      <w:r w:rsidR="00526381">
        <w:rPr>
          <w:sz w:val="26"/>
          <w:szCs w:val="26"/>
        </w:rPr>
        <w:t>he had with</w:t>
      </w:r>
      <w:r w:rsidR="003F068A">
        <w:rPr>
          <w:sz w:val="26"/>
          <w:szCs w:val="26"/>
        </w:rPr>
        <w:t xml:space="preserve"> Direct Energy, his natural gas supplier (NGS)</w:t>
      </w:r>
      <w:r w:rsidR="005556EC">
        <w:rPr>
          <w:sz w:val="26"/>
          <w:szCs w:val="26"/>
        </w:rPr>
        <w:t>.  According to the Complainant, the use of therm pricing resulted</w:t>
      </w:r>
      <w:r w:rsidR="00612D6B">
        <w:rPr>
          <w:sz w:val="26"/>
          <w:szCs w:val="26"/>
        </w:rPr>
        <w:t xml:space="preserve"> in Columbia retaining eleven percent of funds that were</w:t>
      </w:r>
      <w:r w:rsidR="005556EC">
        <w:rPr>
          <w:sz w:val="26"/>
          <w:szCs w:val="26"/>
        </w:rPr>
        <w:t xml:space="preserve"> meant to be provided to Direct Energy, and also resulted in an eleven percent increase in the price of gas he received from Direct Energy</w:t>
      </w:r>
      <w:r w:rsidR="00612D6B">
        <w:rPr>
          <w:sz w:val="26"/>
          <w:szCs w:val="26"/>
        </w:rPr>
        <w:t>.</w:t>
      </w:r>
      <w:r w:rsidR="005556EC">
        <w:rPr>
          <w:sz w:val="26"/>
          <w:szCs w:val="26"/>
        </w:rPr>
        <w:t xml:space="preserve">  Complaint at 7-8.</w:t>
      </w:r>
      <w:r w:rsidR="00612D6B">
        <w:rPr>
          <w:sz w:val="26"/>
          <w:szCs w:val="26"/>
        </w:rPr>
        <w:t xml:space="preserve">  The Complaint a</w:t>
      </w:r>
      <w:r w:rsidR="00704310">
        <w:rPr>
          <w:sz w:val="26"/>
          <w:szCs w:val="26"/>
        </w:rPr>
        <w:t>lso alleged</w:t>
      </w:r>
      <w:r w:rsidR="00612D6B">
        <w:rPr>
          <w:sz w:val="26"/>
          <w:szCs w:val="26"/>
        </w:rPr>
        <w:t xml:space="preserve"> that “this fact puts to question other charges listed as ‘pass throughs’ for d</w:t>
      </w:r>
      <w:r w:rsidR="005556EC">
        <w:rPr>
          <w:sz w:val="26"/>
          <w:szCs w:val="26"/>
        </w:rPr>
        <w:t xml:space="preserve">istribution service.”  </w:t>
      </w:r>
      <w:r w:rsidR="005556EC" w:rsidRPr="005556EC">
        <w:rPr>
          <w:i/>
          <w:sz w:val="26"/>
          <w:szCs w:val="26"/>
        </w:rPr>
        <w:t>Id</w:t>
      </w:r>
      <w:r w:rsidR="005556EC">
        <w:rPr>
          <w:sz w:val="26"/>
          <w:szCs w:val="26"/>
        </w:rPr>
        <w:t>.</w:t>
      </w:r>
      <w:r w:rsidR="00612D6B">
        <w:rPr>
          <w:sz w:val="26"/>
          <w:szCs w:val="26"/>
        </w:rPr>
        <w:t xml:space="preserve"> at 7.</w:t>
      </w:r>
      <w:r w:rsidR="00704310">
        <w:rPr>
          <w:sz w:val="26"/>
          <w:szCs w:val="26"/>
        </w:rPr>
        <w:t xml:space="preserve">  </w:t>
      </w:r>
      <w:r w:rsidR="00A057FA">
        <w:rPr>
          <w:sz w:val="26"/>
          <w:szCs w:val="26"/>
        </w:rPr>
        <w:t>T</w:t>
      </w:r>
      <w:r w:rsidR="00704310">
        <w:rPr>
          <w:sz w:val="26"/>
          <w:szCs w:val="26"/>
        </w:rPr>
        <w:t>he Complainant requested</w:t>
      </w:r>
      <w:r w:rsidR="00A057FA">
        <w:rPr>
          <w:sz w:val="26"/>
          <w:szCs w:val="26"/>
        </w:rPr>
        <w:t xml:space="preserve"> a compl</w:t>
      </w:r>
      <w:r w:rsidR="006C4FEE">
        <w:rPr>
          <w:sz w:val="26"/>
          <w:szCs w:val="26"/>
        </w:rPr>
        <w:t>ete detailing of the sources of</w:t>
      </w:r>
      <w:r w:rsidR="00A057FA">
        <w:rPr>
          <w:sz w:val="26"/>
          <w:szCs w:val="26"/>
        </w:rPr>
        <w:t xml:space="preserve"> all charges itemized on the bill, and also requested </w:t>
      </w:r>
      <w:r w:rsidR="00704310">
        <w:rPr>
          <w:sz w:val="26"/>
          <w:szCs w:val="26"/>
        </w:rPr>
        <w:t xml:space="preserve">to see the Commission’s documents that form the basis for Columbia’s therm billing calculation.  </w:t>
      </w:r>
      <w:r w:rsidR="00704310" w:rsidRPr="00704310">
        <w:rPr>
          <w:i/>
          <w:sz w:val="26"/>
          <w:szCs w:val="26"/>
        </w:rPr>
        <w:t>Id</w:t>
      </w:r>
      <w:r w:rsidR="00704310">
        <w:rPr>
          <w:sz w:val="26"/>
          <w:szCs w:val="26"/>
        </w:rPr>
        <w:t xml:space="preserve">. at </w:t>
      </w:r>
      <w:r w:rsidR="00A057FA">
        <w:rPr>
          <w:sz w:val="26"/>
          <w:szCs w:val="26"/>
        </w:rPr>
        <w:t>7-</w:t>
      </w:r>
      <w:r w:rsidR="00704310">
        <w:rPr>
          <w:sz w:val="26"/>
          <w:szCs w:val="26"/>
        </w:rPr>
        <w:t>8.</w:t>
      </w:r>
    </w:p>
    <w:p w:rsidR="00394A04" w:rsidRPr="00AE2212" w:rsidRDefault="00394A04" w:rsidP="00A77AC1">
      <w:pPr>
        <w:widowControl/>
        <w:spacing w:line="360" w:lineRule="auto"/>
        <w:rPr>
          <w:sz w:val="26"/>
          <w:szCs w:val="26"/>
        </w:rPr>
      </w:pPr>
    </w:p>
    <w:p w:rsidR="000C00E1" w:rsidRDefault="00704310" w:rsidP="00A77AC1">
      <w:pPr>
        <w:widowControl/>
        <w:spacing w:line="360" w:lineRule="auto"/>
        <w:rPr>
          <w:sz w:val="26"/>
          <w:szCs w:val="26"/>
        </w:rPr>
      </w:pPr>
      <w:r w:rsidRPr="00AE2212">
        <w:rPr>
          <w:sz w:val="26"/>
          <w:szCs w:val="26"/>
        </w:rPr>
        <w:tab/>
      </w:r>
      <w:r w:rsidRPr="00AE2212">
        <w:rPr>
          <w:sz w:val="26"/>
          <w:szCs w:val="26"/>
        </w:rPr>
        <w:tab/>
        <w:t>On March 30, 2012, Columbia</w:t>
      </w:r>
      <w:r w:rsidR="000C00E1" w:rsidRPr="00AE2212">
        <w:rPr>
          <w:sz w:val="26"/>
          <w:szCs w:val="26"/>
        </w:rPr>
        <w:t xml:space="preserve"> filed an</w:t>
      </w:r>
      <w:r w:rsidR="009D6DA4" w:rsidRPr="00AE2212">
        <w:rPr>
          <w:sz w:val="26"/>
          <w:szCs w:val="26"/>
        </w:rPr>
        <w:t xml:space="preserve"> Answer to Formal</w:t>
      </w:r>
      <w:r w:rsidR="00F063E9" w:rsidRPr="00AE2212">
        <w:rPr>
          <w:sz w:val="26"/>
          <w:szCs w:val="26"/>
        </w:rPr>
        <w:t xml:space="preserve"> Complaint</w:t>
      </w:r>
      <w:r w:rsidR="009D6DA4" w:rsidRPr="00AE2212">
        <w:rPr>
          <w:sz w:val="26"/>
          <w:szCs w:val="26"/>
        </w:rPr>
        <w:t xml:space="preserve"> (Columbia Answer), in which it denied that</w:t>
      </w:r>
      <w:r w:rsidR="000C00E1" w:rsidRPr="00AE2212">
        <w:rPr>
          <w:sz w:val="26"/>
          <w:szCs w:val="26"/>
        </w:rPr>
        <w:t xml:space="preserve"> there were incorrect charges on the Complainant’s bill, and</w:t>
      </w:r>
      <w:r w:rsidR="000C00E1">
        <w:rPr>
          <w:sz w:val="26"/>
          <w:szCs w:val="26"/>
        </w:rPr>
        <w:t xml:space="preserve"> </w:t>
      </w:r>
      <w:r w:rsidR="009D6DA4">
        <w:rPr>
          <w:sz w:val="26"/>
          <w:szCs w:val="26"/>
        </w:rPr>
        <w:t>asserted</w:t>
      </w:r>
      <w:r w:rsidR="00674BB7">
        <w:rPr>
          <w:sz w:val="26"/>
          <w:szCs w:val="26"/>
        </w:rPr>
        <w:t xml:space="preserve"> that the Complainant misinterp</w:t>
      </w:r>
      <w:r w:rsidR="00270683">
        <w:rPr>
          <w:sz w:val="26"/>
          <w:szCs w:val="26"/>
        </w:rPr>
        <w:t>reted the calculations re</w:t>
      </w:r>
      <w:r w:rsidR="00AE2212">
        <w:rPr>
          <w:sz w:val="26"/>
          <w:szCs w:val="26"/>
        </w:rPr>
        <w:t>lating to</w:t>
      </w:r>
      <w:r w:rsidR="00D7040F">
        <w:rPr>
          <w:sz w:val="26"/>
          <w:szCs w:val="26"/>
        </w:rPr>
        <w:t xml:space="preserve"> </w:t>
      </w:r>
      <w:r w:rsidR="00674BB7">
        <w:rPr>
          <w:sz w:val="26"/>
          <w:szCs w:val="26"/>
        </w:rPr>
        <w:t xml:space="preserve">its therm pricing.  Columbia </w:t>
      </w:r>
      <w:r w:rsidR="00097922">
        <w:rPr>
          <w:sz w:val="26"/>
          <w:szCs w:val="26"/>
        </w:rPr>
        <w:t>averred that the Complainant had</w:t>
      </w:r>
      <w:r w:rsidR="00674BB7">
        <w:rPr>
          <w:sz w:val="26"/>
          <w:szCs w:val="26"/>
        </w:rPr>
        <w:t xml:space="preserve"> been provided </w:t>
      </w:r>
      <w:r w:rsidR="00097922">
        <w:rPr>
          <w:sz w:val="26"/>
          <w:szCs w:val="26"/>
        </w:rPr>
        <w:t>with explanatory material regarding therm billing, that copies of the applicable tariffs are available on Columbia’s and the Commission’s websites, and that copie</w:t>
      </w:r>
      <w:r w:rsidR="00AE2212">
        <w:rPr>
          <w:sz w:val="26"/>
          <w:szCs w:val="26"/>
        </w:rPr>
        <w:t>s of all applicable Commission O</w:t>
      </w:r>
      <w:r w:rsidR="00097922">
        <w:rPr>
          <w:sz w:val="26"/>
          <w:szCs w:val="26"/>
        </w:rPr>
        <w:t>rders are available on the Commission’s website.</w:t>
      </w:r>
      <w:r w:rsidR="00F306D5">
        <w:rPr>
          <w:sz w:val="26"/>
          <w:szCs w:val="26"/>
        </w:rPr>
        <w:t xml:space="preserve">  </w:t>
      </w:r>
      <w:r w:rsidR="00D7040F">
        <w:rPr>
          <w:sz w:val="26"/>
          <w:szCs w:val="26"/>
        </w:rPr>
        <w:t xml:space="preserve">Columbia Answer at 1.  </w:t>
      </w:r>
      <w:r w:rsidR="00F306D5">
        <w:rPr>
          <w:sz w:val="26"/>
          <w:szCs w:val="26"/>
        </w:rPr>
        <w:t>Columbia also denied that it had planned to retain eleven percent of funds that were</w:t>
      </w:r>
      <w:r w:rsidR="00535C84">
        <w:rPr>
          <w:sz w:val="26"/>
          <w:szCs w:val="26"/>
        </w:rPr>
        <w:t xml:space="preserve"> meant for </w:t>
      </w:r>
      <w:r w:rsidR="004D35BD">
        <w:rPr>
          <w:sz w:val="26"/>
          <w:szCs w:val="26"/>
        </w:rPr>
        <w:t xml:space="preserve">Direct Energy.  </w:t>
      </w:r>
      <w:r w:rsidR="004D35BD" w:rsidRPr="004D35BD">
        <w:rPr>
          <w:i/>
          <w:sz w:val="26"/>
          <w:szCs w:val="26"/>
        </w:rPr>
        <w:t>Id</w:t>
      </w:r>
      <w:r w:rsidR="004D35BD">
        <w:rPr>
          <w:sz w:val="26"/>
          <w:szCs w:val="26"/>
        </w:rPr>
        <w:t>.</w:t>
      </w:r>
      <w:r w:rsidR="00F306D5">
        <w:rPr>
          <w:sz w:val="26"/>
          <w:szCs w:val="26"/>
        </w:rPr>
        <w:t xml:space="preserve">  </w:t>
      </w:r>
    </w:p>
    <w:p w:rsidR="004D35BD" w:rsidRDefault="004D35BD" w:rsidP="007C4DB0">
      <w:pPr>
        <w:widowControl/>
        <w:spacing w:line="360" w:lineRule="auto"/>
        <w:rPr>
          <w:sz w:val="26"/>
          <w:szCs w:val="26"/>
        </w:rPr>
      </w:pPr>
      <w:r w:rsidRPr="004D35BD">
        <w:rPr>
          <w:sz w:val="26"/>
          <w:szCs w:val="26"/>
        </w:rPr>
        <w:lastRenderedPageBreak/>
        <w:tab/>
      </w:r>
      <w:r>
        <w:rPr>
          <w:sz w:val="26"/>
          <w:szCs w:val="26"/>
        </w:rPr>
        <w:tab/>
      </w:r>
      <w:r w:rsidR="009D7861">
        <w:rPr>
          <w:sz w:val="26"/>
          <w:szCs w:val="26"/>
        </w:rPr>
        <w:t xml:space="preserve">On July 12, 2012, </w:t>
      </w:r>
      <w:r w:rsidR="002F2D99">
        <w:rPr>
          <w:sz w:val="26"/>
          <w:szCs w:val="26"/>
        </w:rPr>
        <w:t>Columbia</w:t>
      </w:r>
      <w:r w:rsidR="009D7861">
        <w:rPr>
          <w:sz w:val="26"/>
          <w:szCs w:val="26"/>
        </w:rPr>
        <w:t xml:space="preserve"> filed a Motion to </w:t>
      </w:r>
      <w:r w:rsidR="007F699F">
        <w:rPr>
          <w:sz w:val="26"/>
          <w:szCs w:val="26"/>
        </w:rPr>
        <w:t xml:space="preserve">join Direct Energy </w:t>
      </w:r>
      <w:r w:rsidR="007C4DB0">
        <w:rPr>
          <w:sz w:val="26"/>
          <w:szCs w:val="26"/>
        </w:rPr>
        <w:t>as an indispensable party to the Complaint</w:t>
      </w:r>
      <w:r w:rsidR="007F699F">
        <w:rPr>
          <w:sz w:val="26"/>
          <w:szCs w:val="26"/>
        </w:rPr>
        <w:t xml:space="preserve">, asserting, </w:t>
      </w:r>
      <w:r w:rsidR="007F699F" w:rsidRPr="007F699F">
        <w:rPr>
          <w:i/>
          <w:sz w:val="26"/>
          <w:szCs w:val="26"/>
        </w:rPr>
        <w:t>inter alia</w:t>
      </w:r>
      <w:r w:rsidR="007F699F">
        <w:rPr>
          <w:sz w:val="26"/>
          <w:szCs w:val="26"/>
        </w:rPr>
        <w:t xml:space="preserve">, that </w:t>
      </w:r>
      <w:r w:rsidR="00D8617A">
        <w:rPr>
          <w:sz w:val="26"/>
          <w:szCs w:val="26"/>
        </w:rPr>
        <w:t>the Complainant’s allegations of improper charges relate to Direct Energy charges, and that Direct Energy apparently had not adjusted its rates to reflect the new therm billing methodology.  By Order dated July 27, 2012, ALJ Colwell granted Columbia’</w:t>
      </w:r>
      <w:r w:rsidR="00C10A80">
        <w:rPr>
          <w:sz w:val="26"/>
          <w:szCs w:val="26"/>
        </w:rPr>
        <w:t>s Motion.</w:t>
      </w:r>
    </w:p>
    <w:p w:rsidR="00C10A80" w:rsidRDefault="00C10A80" w:rsidP="007C4DB0">
      <w:pPr>
        <w:widowControl/>
        <w:spacing w:line="360" w:lineRule="auto"/>
        <w:rPr>
          <w:sz w:val="26"/>
          <w:szCs w:val="26"/>
        </w:rPr>
      </w:pPr>
    </w:p>
    <w:p w:rsidR="009A79BB" w:rsidRDefault="00C10A80" w:rsidP="009A79BB">
      <w:pPr>
        <w:widowControl/>
        <w:spacing w:line="360" w:lineRule="auto"/>
        <w:rPr>
          <w:sz w:val="26"/>
          <w:szCs w:val="26"/>
        </w:rPr>
      </w:pPr>
      <w:r>
        <w:rPr>
          <w:sz w:val="26"/>
          <w:szCs w:val="26"/>
        </w:rPr>
        <w:tab/>
      </w:r>
      <w:r>
        <w:rPr>
          <w:sz w:val="26"/>
          <w:szCs w:val="26"/>
        </w:rPr>
        <w:tab/>
        <w:t xml:space="preserve">On August 7 2012, Direct Energy filed a </w:t>
      </w:r>
      <w:r w:rsidR="009A79BB" w:rsidRPr="009A79BB">
        <w:rPr>
          <w:sz w:val="26"/>
          <w:szCs w:val="26"/>
        </w:rPr>
        <w:t>Motion for Extension of Time to File Responsive Documents t</w:t>
      </w:r>
      <w:r w:rsidR="00107EE2">
        <w:rPr>
          <w:sz w:val="26"/>
          <w:szCs w:val="26"/>
        </w:rPr>
        <w:t>o the F</w:t>
      </w:r>
      <w:r w:rsidR="009A79BB" w:rsidRPr="009A79BB">
        <w:rPr>
          <w:sz w:val="26"/>
          <w:szCs w:val="26"/>
        </w:rPr>
        <w:t>ormal Complaint and for Continuance of Scheduled Prehearing Confer</w:t>
      </w:r>
      <w:r w:rsidR="009A79BB">
        <w:rPr>
          <w:sz w:val="26"/>
          <w:szCs w:val="26"/>
        </w:rPr>
        <w:t>ence.  By Order dated August 9, 2012, the ALJ granted Direct Energy’s Motion.</w:t>
      </w:r>
    </w:p>
    <w:p w:rsidR="00C82414" w:rsidRDefault="00C82414" w:rsidP="009A79BB">
      <w:pPr>
        <w:widowControl/>
        <w:spacing w:line="360" w:lineRule="auto"/>
        <w:rPr>
          <w:sz w:val="26"/>
          <w:szCs w:val="26"/>
        </w:rPr>
      </w:pPr>
    </w:p>
    <w:p w:rsidR="00C82414" w:rsidRPr="00FC487E" w:rsidRDefault="00C82414" w:rsidP="009A79BB">
      <w:pPr>
        <w:widowControl/>
        <w:spacing w:line="360" w:lineRule="auto"/>
        <w:rPr>
          <w:sz w:val="26"/>
          <w:szCs w:val="26"/>
        </w:rPr>
      </w:pPr>
      <w:r>
        <w:rPr>
          <w:sz w:val="26"/>
          <w:szCs w:val="26"/>
        </w:rPr>
        <w:tab/>
      </w:r>
      <w:r>
        <w:rPr>
          <w:sz w:val="26"/>
          <w:szCs w:val="26"/>
        </w:rPr>
        <w:tab/>
        <w:t>On September 17, 2012, Direct Energy filed an Answer</w:t>
      </w:r>
      <w:r w:rsidR="001D1715">
        <w:rPr>
          <w:sz w:val="26"/>
          <w:szCs w:val="26"/>
        </w:rPr>
        <w:t xml:space="preserve"> and New Matter</w:t>
      </w:r>
      <w:r w:rsidR="00721A20">
        <w:rPr>
          <w:sz w:val="26"/>
          <w:szCs w:val="26"/>
        </w:rPr>
        <w:t xml:space="preserve"> of Direct Energy Services, LLC to the Formal Complaint (Direct </w:t>
      </w:r>
      <w:r w:rsidR="0003325E">
        <w:rPr>
          <w:sz w:val="26"/>
          <w:szCs w:val="26"/>
        </w:rPr>
        <w:t xml:space="preserve">Energy Answer), in which </w:t>
      </w:r>
      <w:r w:rsidR="00AC5F91">
        <w:rPr>
          <w:sz w:val="26"/>
          <w:szCs w:val="26"/>
        </w:rPr>
        <w:t xml:space="preserve">it, </w:t>
      </w:r>
      <w:r w:rsidR="00AC5F91" w:rsidRPr="001169AE">
        <w:rPr>
          <w:i/>
          <w:sz w:val="26"/>
          <w:szCs w:val="26"/>
        </w:rPr>
        <w:t>inter alia</w:t>
      </w:r>
      <w:r w:rsidR="00AC5F91">
        <w:rPr>
          <w:sz w:val="26"/>
          <w:szCs w:val="26"/>
        </w:rPr>
        <w:t>, admitted that a billing error had</w:t>
      </w:r>
      <w:r w:rsidR="00951563">
        <w:rPr>
          <w:sz w:val="26"/>
          <w:szCs w:val="26"/>
        </w:rPr>
        <w:t xml:space="preserve"> occurred in February and March</w:t>
      </w:r>
      <w:r w:rsidR="00AC5F91">
        <w:rPr>
          <w:sz w:val="26"/>
          <w:szCs w:val="26"/>
        </w:rPr>
        <w:t xml:space="preserve"> 2012</w:t>
      </w:r>
      <w:r w:rsidR="00AD523F">
        <w:rPr>
          <w:sz w:val="26"/>
          <w:szCs w:val="26"/>
        </w:rPr>
        <w:t>,</w:t>
      </w:r>
      <w:r w:rsidR="00AC5F91">
        <w:rPr>
          <w:sz w:val="26"/>
          <w:szCs w:val="26"/>
        </w:rPr>
        <w:t xml:space="preserve"> relating to commodity charges to the Complainant, and stated that Direct Energy was in the process of issuing a reimbursement check to the Complainant.  Direct Energy Answer at</w:t>
      </w:r>
      <w:r w:rsidR="00B1229F">
        <w:rPr>
          <w:sz w:val="26"/>
          <w:szCs w:val="26"/>
        </w:rPr>
        <w:t> </w:t>
      </w:r>
      <w:r w:rsidR="00AC5F91">
        <w:rPr>
          <w:sz w:val="26"/>
          <w:szCs w:val="26"/>
        </w:rPr>
        <w:t>2.</w:t>
      </w:r>
      <w:r w:rsidR="00951563">
        <w:rPr>
          <w:sz w:val="26"/>
          <w:szCs w:val="26"/>
        </w:rPr>
        <w:t xml:space="preserve">  Direct Energy also averred that the Complainant was receiving service from Direct Energy under a renewal contract that began in May 2012, </w:t>
      </w:r>
      <w:r w:rsidR="001169AE">
        <w:rPr>
          <w:sz w:val="26"/>
          <w:szCs w:val="26"/>
        </w:rPr>
        <w:t xml:space="preserve">and that, to the best of Direct </w:t>
      </w:r>
      <w:r w:rsidR="001169AE" w:rsidRPr="00FC487E">
        <w:rPr>
          <w:sz w:val="26"/>
          <w:szCs w:val="26"/>
        </w:rPr>
        <w:t xml:space="preserve">Energy’s knowledge, no billing errors related to the commodity provided to the Complainant occurred in May 2012, or since May 2012.  </w:t>
      </w:r>
      <w:r w:rsidR="001169AE" w:rsidRPr="00FC487E">
        <w:rPr>
          <w:i/>
          <w:sz w:val="26"/>
          <w:szCs w:val="26"/>
        </w:rPr>
        <w:t>Id</w:t>
      </w:r>
      <w:r w:rsidR="001169AE" w:rsidRPr="00FC487E">
        <w:rPr>
          <w:sz w:val="26"/>
          <w:szCs w:val="26"/>
        </w:rPr>
        <w:t>. at 3.</w:t>
      </w:r>
    </w:p>
    <w:p w:rsidR="00A74751" w:rsidRPr="00FC487E" w:rsidRDefault="00A74751" w:rsidP="000A0142">
      <w:pPr>
        <w:spacing w:line="360" w:lineRule="auto"/>
        <w:rPr>
          <w:sz w:val="26"/>
          <w:szCs w:val="26"/>
        </w:rPr>
      </w:pPr>
    </w:p>
    <w:p w:rsidR="000A0142" w:rsidRPr="006A3AE6" w:rsidRDefault="000A0142" w:rsidP="000A0142">
      <w:pPr>
        <w:widowControl/>
        <w:spacing w:line="360" w:lineRule="auto"/>
        <w:rPr>
          <w:sz w:val="26"/>
          <w:szCs w:val="26"/>
        </w:rPr>
      </w:pPr>
      <w:r w:rsidRPr="00FC487E">
        <w:rPr>
          <w:sz w:val="26"/>
          <w:szCs w:val="26"/>
        </w:rPr>
        <w:tab/>
      </w:r>
      <w:r w:rsidRPr="00FC487E">
        <w:rPr>
          <w:sz w:val="26"/>
          <w:szCs w:val="26"/>
        </w:rPr>
        <w:tab/>
      </w:r>
      <w:r w:rsidR="00FC487E" w:rsidRPr="00FC487E">
        <w:rPr>
          <w:sz w:val="26"/>
          <w:szCs w:val="26"/>
        </w:rPr>
        <w:t>On December 13</w:t>
      </w:r>
      <w:r w:rsidRPr="00FC487E">
        <w:rPr>
          <w:sz w:val="26"/>
          <w:szCs w:val="26"/>
        </w:rPr>
        <w:t>, 2012, a telephonic hearing was convened on thi</w:t>
      </w:r>
      <w:r w:rsidR="00FC487E" w:rsidRPr="00FC487E">
        <w:rPr>
          <w:sz w:val="26"/>
          <w:szCs w:val="26"/>
        </w:rPr>
        <w:t xml:space="preserve">s matter before ALJ </w:t>
      </w:r>
      <w:r w:rsidR="00FC487E" w:rsidRPr="00844BD4">
        <w:rPr>
          <w:sz w:val="26"/>
          <w:szCs w:val="26"/>
        </w:rPr>
        <w:t>Colwell</w:t>
      </w:r>
      <w:r w:rsidRPr="00844BD4">
        <w:rPr>
          <w:sz w:val="26"/>
          <w:szCs w:val="26"/>
        </w:rPr>
        <w:t xml:space="preserve">.  The Complainant appeared </w:t>
      </w:r>
      <w:r w:rsidRPr="00844BD4">
        <w:rPr>
          <w:i/>
          <w:sz w:val="26"/>
          <w:szCs w:val="26"/>
        </w:rPr>
        <w:t>pro se</w:t>
      </w:r>
      <w:r w:rsidR="00242C42" w:rsidRPr="00844BD4">
        <w:rPr>
          <w:i/>
          <w:sz w:val="26"/>
          <w:szCs w:val="26"/>
        </w:rPr>
        <w:t>,</w:t>
      </w:r>
      <w:r w:rsidR="00242C42" w:rsidRPr="00844BD4">
        <w:rPr>
          <w:sz w:val="26"/>
          <w:szCs w:val="26"/>
        </w:rPr>
        <w:t xml:space="preserve"> </w:t>
      </w:r>
      <w:r w:rsidR="00FC487E" w:rsidRPr="00844BD4">
        <w:rPr>
          <w:sz w:val="26"/>
          <w:szCs w:val="26"/>
        </w:rPr>
        <w:t>and testified on his</w:t>
      </w:r>
      <w:r w:rsidR="00242C42" w:rsidRPr="00844BD4">
        <w:rPr>
          <w:sz w:val="26"/>
          <w:szCs w:val="26"/>
        </w:rPr>
        <w:t xml:space="preserve"> own behalf</w:t>
      </w:r>
      <w:r w:rsidR="00FC487E" w:rsidRPr="00844BD4">
        <w:rPr>
          <w:sz w:val="26"/>
          <w:szCs w:val="26"/>
        </w:rPr>
        <w:t>.  Columbia</w:t>
      </w:r>
      <w:r w:rsidRPr="00844BD4">
        <w:rPr>
          <w:sz w:val="26"/>
          <w:szCs w:val="26"/>
        </w:rPr>
        <w:t xml:space="preserve"> was represented by counsel, presente</w:t>
      </w:r>
      <w:r w:rsidR="00242C42" w:rsidRPr="00844BD4">
        <w:rPr>
          <w:sz w:val="26"/>
          <w:szCs w:val="26"/>
        </w:rPr>
        <w:t>d the testimony of two</w:t>
      </w:r>
      <w:r w:rsidRPr="00844BD4">
        <w:rPr>
          <w:sz w:val="26"/>
          <w:szCs w:val="26"/>
        </w:rPr>
        <w:t xml:space="preserve"> witness</w:t>
      </w:r>
      <w:r w:rsidR="00242C42" w:rsidRPr="00844BD4">
        <w:rPr>
          <w:sz w:val="26"/>
          <w:szCs w:val="26"/>
        </w:rPr>
        <w:t>es</w:t>
      </w:r>
      <w:r w:rsidRPr="00844BD4">
        <w:rPr>
          <w:sz w:val="26"/>
          <w:szCs w:val="26"/>
        </w:rPr>
        <w:t xml:space="preserve">, </w:t>
      </w:r>
      <w:r w:rsidR="00242C42" w:rsidRPr="00844BD4">
        <w:rPr>
          <w:sz w:val="26"/>
          <w:szCs w:val="26"/>
        </w:rPr>
        <w:t xml:space="preserve">and introduced </w:t>
      </w:r>
      <w:r w:rsidR="00844BD4" w:rsidRPr="00844BD4">
        <w:rPr>
          <w:sz w:val="26"/>
          <w:szCs w:val="26"/>
        </w:rPr>
        <w:t>six</w:t>
      </w:r>
      <w:r w:rsidRPr="00844BD4">
        <w:rPr>
          <w:sz w:val="26"/>
          <w:szCs w:val="26"/>
        </w:rPr>
        <w:t xml:space="preserve"> exhibit</w:t>
      </w:r>
      <w:r w:rsidR="00242C42" w:rsidRPr="00844BD4">
        <w:rPr>
          <w:sz w:val="26"/>
          <w:szCs w:val="26"/>
        </w:rPr>
        <w:t>s, all</w:t>
      </w:r>
      <w:r w:rsidRPr="00844BD4">
        <w:rPr>
          <w:sz w:val="26"/>
          <w:szCs w:val="26"/>
        </w:rPr>
        <w:t xml:space="preserve"> of which were admitted into the record.  </w:t>
      </w:r>
      <w:r w:rsidR="00844BD4">
        <w:rPr>
          <w:sz w:val="26"/>
          <w:szCs w:val="26"/>
        </w:rPr>
        <w:t xml:space="preserve">Direct Energy was represented by counsel, presented the testimony of </w:t>
      </w:r>
      <w:r w:rsidR="00844BD4" w:rsidRPr="005346A9">
        <w:rPr>
          <w:sz w:val="26"/>
          <w:szCs w:val="26"/>
        </w:rPr>
        <w:t xml:space="preserve">one witness, and introduced two exhibits, both of which were admitted into the record.  </w:t>
      </w:r>
      <w:r w:rsidRPr="005346A9">
        <w:rPr>
          <w:sz w:val="26"/>
          <w:szCs w:val="26"/>
        </w:rPr>
        <w:t xml:space="preserve">The hearing generated a transcript of </w:t>
      </w:r>
      <w:r w:rsidR="005346A9" w:rsidRPr="006A3AE6">
        <w:rPr>
          <w:sz w:val="26"/>
          <w:szCs w:val="26"/>
        </w:rPr>
        <w:t>eighty-five</w:t>
      </w:r>
      <w:r w:rsidRPr="006A3AE6">
        <w:rPr>
          <w:sz w:val="26"/>
          <w:szCs w:val="26"/>
        </w:rPr>
        <w:t xml:space="preserve"> p</w:t>
      </w:r>
      <w:r w:rsidR="00F85141" w:rsidRPr="006A3AE6">
        <w:rPr>
          <w:sz w:val="26"/>
          <w:szCs w:val="26"/>
        </w:rPr>
        <w:t>ages.  The</w:t>
      </w:r>
      <w:r w:rsidR="005346A9" w:rsidRPr="006A3AE6">
        <w:rPr>
          <w:sz w:val="26"/>
          <w:szCs w:val="26"/>
        </w:rPr>
        <w:t xml:space="preserve"> record was closed on January 16, 2013</w:t>
      </w:r>
      <w:r w:rsidRPr="006A3AE6">
        <w:rPr>
          <w:sz w:val="26"/>
          <w:szCs w:val="26"/>
        </w:rPr>
        <w:t>.</w:t>
      </w:r>
    </w:p>
    <w:p w:rsidR="000A0142" w:rsidRPr="006A3AE6" w:rsidRDefault="000A0142" w:rsidP="000A0142">
      <w:pPr>
        <w:widowControl/>
        <w:spacing w:line="360" w:lineRule="auto"/>
        <w:rPr>
          <w:sz w:val="26"/>
          <w:szCs w:val="26"/>
        </w:rPr>
      </w:pPr>
    </w:p>
    <w:p w:rsidR="006A3AE6" w:rsidRPr="00110F2F" w:rsidRDefault="000A0142" w:rsidP="006C07A9">
      <w:pPr>
        <w:keepNext/>
        <w:widowControl/>
        <w:spacing w:line="360" w:lineRule="auto"/>
        <w:rPr>
          <w:color w:val="000000"/>
          <w:sz w:val="26"/>
        </w:rPr>
      </w:pPr>
      <w:r w:rsidRPr="006A3AE6">
        <w:rPr>
          <w:sz w:val="26"/>
          <w:szCs w:val="26"/>
        </w:rPr>
        <w:lastRenderedPageBreak/>
        <w:tab/>
      </w:r>
      <w:r w:rsidRPr="006A3AE6">
        <w:rPr>
          <w:sz w:val="26"/>
          <w:szCs w:val="26"/>
        </w:rPr>
        <w:tab/>
        <w:t xml:space="preserve">On </w:t>
      </w:r>
      <w:r w:rsidR="006A3AE6" w:rsidRPr="006A3AE6">
        <w:rPr>
          <w:color w:val="000000"/>
          <w:sz w:val="26"/>
        </w:rPr>
        <w:t>February 1</w:t>
      </w:r>
      <w:r w:rsidR="00BA6505" w:rsidRPr="006A3AE6">
        <w:rPr>
          <w:color w:val="000000"/>
          <w:sz w:val="26"/>
        </w:rPr>
        <w:t>, 2013</w:t>
      </w:r>
      <w:r w:rsidRPr="006A3AE6">
        <w:rPr>
          <w:color w:val="000000"/>
          <w:sz w:val="26"/>
        </w:rPr>
        <w:t>, the Commission issued the Initial Decision</w:t>
      </w:r>
      <w:r w:rsidR="006A3AE6" w:rsidRPr="006A3AE6">
        <w:rPr>
          <w:color w:val="000000"/>
          <w:sz w:val="26"/>
        </w:rPr>
        <w:t xml:space="preserve"> of ALJ Colwell, which dismissed</w:t>
      </w:r>
      <w:r w:rsidR="00C85651" w:rsidRPr="006A3AE6">
        <w:rPr>
          <w:color w:val="000000"/>
          <w:sz w:val="26"/>
        </w:rPr>
        <w:t xml:space="preserve"> the Complaint</w:t>
      </w:r>
      <w:r w:rsidRPr="006A3AE6">
        <w:rPr>
          <w:color w:val="000000"/>
          <w:sz w:val="26"/>
        </w:rPr>
        <w:t xml:space="preserve">.  </w:t>
      </w:r>
      <w:r w:rsidR="006A3AE6" w:rsidRPr="006A3AE6">
        <w:rPr>
          <w:color w:val="000000"/>
          <w:sz w:val="26"/>
        </w:rPr>
        <w:t>I.D. at 14, 17</w:t>
      </w:r>
      <w:r w:rsidRPr="006A3AE6">
        <w:rPr>
          <w:color w:val="000000"/>
          <w:sz w:val="26"/>
        </w:rPr>
        <w:t xml:space="preserve">.  </w:t>
      </w:r>
      <w:r w:rsidR="006A3AE6">
        <w:rPr>
          <w:color w:val="000000"/>
          <w:sz w:val="26"/>
        </w:rPr>
        <w:t xml:space="preserve">As noted, </w:t>
      </w:r>
      <w:r w:rsidR="006A3AE6" w:rsidRPr="004B17B5">
        <w:rPr>
          <w:i/>
          <w:color w:val="000000"/>
          <w:sz w:val="26"/>
        </w:rPr>
        <w:t>supra</w:t>
      </w:r>
      <w:r w:rsidR="006A3AE6">
        <w:rPr>
          <w:color w:val="000000"/>
          <w:sz w:val="26"/>
        </w:rPr>
        <w:t>, the Complainant filed</w:t>
      </w:r>
      <w:r w:rsidR="006C07A9">
        <w:rPr>
          <w:color w:val="000000"/>
          <w:sz w:val="26"/>
        </w:rPr>
        <w:t xml:space="preserve"> Exceptions to the Initial Decision on February 12, 2013.  Replies to the </w:t>
      </w:r>
      <w:r w:rsidR="006C07A9" w:rsidRPr="00110F2F">
        <w:rPr>
          <w:color w:val="000000"/>
          <w:sz w:val="26"/>
        </w:rPr>
        <w:t xml:space="preserve">Complainant’s Exceptions were filed by Columbia </w:t>
      </w:r>
      <w:bookmarkEnd w:id="0"/>
      <w:bookmarkEnd w:id="1"/>
      <w:r w:rsidR="006A3AE6" w:rsidRPr="00110F2F">
        <w:rPr>
          <w:color w:val="000000"/>
          <w:sz w:val="26"/>
        </w:rPr>
        <w:t>on February 28, 2013, and by Direct Ener</w:t>
      </w:r>
      <w:r w:rsidR="006C07A9" w:rsidRPr="00110F2F">
        <w:rPr>
          <w:color w:val="000000"/>
          <w:sz w:val="26"/>
        </w:rPr>
        <w:t>gy</w:t>
      </w:r>
      <w:r w:rsidR="006A3AE6" w:rsidRPr="00110F2F">
        <w:rPr>
          <w:color w:val="000000"/>
          <w:sz w:val="26"/>
        </w:rPr>
        <w:t xml:space="preserve"> on March 4</w:t>
      </w:r>
      <w:r w:rsidR="00964013" w:rsidRPr="00110F2F">
        <w:rPr>
          <w:color w:val="000000"/>
          <w:sz w:val="26"/>
        </w:rPr>
        <w:t>, 201</w:t>
      </w:r>
      <w:r w:rsidR="006A3AE6" w:rsidRPr="00110F2F">
        <w:rPr>
          <w:color w:val="000000"/>
          <w:sz w:val="26"/>
        </w:rPr>
        <w:t>3.</w:t>
      </w:r>
    </w:p>
    <w:p w:rsidR="006A3AE6" w:rsidRPr="00110F2F" w:rsidRDefault="006A3AE6" w:rsidP="00A77AC1">
      <w:pPr>
        <w:widowControl/>
        <w:spacing w:line="360" w:lineRule="auto"/>
        <w:rPr>
          <w:color w:val="000000"/>
          <w:sz w:val="26"/>
        </w:rPr>
      </w:pPr>
    </w:p>
    <w:p w:rsidR="00CA43A5" w:rsidRPr="007E3A75" w:rsidRDefault="00CA43A5" w:rsidP="006F4E35">
      <w:pPr>
        <w:keepNext/>
        <w:widowControl/>
        <w:spacing w:line="360" w:lineRule="auto"/>
        <w:jc w:val="center"/>
        <w:rPr>
          <w:sz w:val="26"/>
          <w:szCs w:val="26"/>
        </w:rPr>
      </w:pPr>
      <w:r w:rsidRPr="007E3A75">
        <w:rPr>
          <w:b/>
          <w:sz w:val="26"/>
          <w:szCs w:val="26"/>
        </w:rPr>
        <w:t>Discussion</w:t>
      </w:r>
    </w:p>
    <w:p w:rsidR="00154CB6" w:rsidRPr="007E3A75" w:rsidRDefault="00154CB6" w:rsidP="006F4E35">
      <w:pPr>
        <w:keepNext/>
        <w:widowControl/>
        <w:rPr>
          <w:sz w:val="26"/>
          <w:szCs w:val="26"/>
        </w:rPr>
      </w:pPr>
    </w:p>
    <w:p w:rsidR="00CB244C" w:rsidRPr="007E3A75" w:rsidRDefault="00CB244C" w:rsidP="006F4E35">
      <w:pPr>
        <w:keepNext/>
        <w:widowControl/>
        <w:rPr>
          <w:b/>
          <w:sz w:val="26"/>
          <w:szCs w:val="26"/>
        </w:rPr>
      </w:pPr>
      <w:r w:rsidRPr="007E3A75">
        <w:rPr>
          <w:b/>
          <w:sz w:val="26"/>
          <w:szCs w:val="26"/>
        </w:rPr>
        <w:t>Legal Standards</w:t>
      </w:r>
    </w:p>
    <w:p w:rsidR="00CB244C" w:rsidRPr="007E3A75" w:rsidRDefault="00CB244C" w:rsidP="006F4E35">
      <w:pPr>
        <w:keepNext/>
        <w:widowControl/>
        <w:spacing w:line="360" w:lineRule="auto"/>
        <w:rPr>
          <w:sz w:val="26"/>
          <w:szCs w:val="26"/>
        </w:rPr>
      </w:pPr>
    </w:p>
    <w:p w:rsidR="00CB244C" w:rsidRPr="007E3A75" w:rsidRDefault="00CB244C" w:rsidP="00B67D62">
      <w:pPr>
        <w:keepNext/>
        <w:widowControl/>
        <w:spacing w:line="360" w:lineRule="auto"/>
        <w:ind w:firstLine="1440"/>
        <w:rPr>
          <w:sz w:val="26"/>
          <w:szCs w:val="26"/>
        </w:rPr>
      </w:pPr>
      <w:r w:rsidRPr="007E3A75">
        <w:rPr>
          <w:sz w:val="26"/>
          <w:szCs w:val="26"/>
        </w:rPr>
        <w:t xml:space="preserve">As the proponent of a rule or order, the Complainant in this proceeding bears the burden of proof pursuant to Section 332(a) of the </w:t>
      </w:r>
      <w:r w:rsidR="00984A55" w:rsidRPr="007E3A75">
        <w:rPr>
          <w:sz w:val="26"/>
          <w:szCs w:val="26"/>
        </w:rPr>
        <w:t xml:space="preserve">Public Utility </w:t>
      </w:r>
      <w:r w:rsidRPr="007E3A75">
        <w:rPr>
          <w:sz w:val="26"/>
          <w:szCs w:val="26"/>
        </w:rPr>
        <w:t>Code</w:t>
      </w:r>
      <w:r w:rsidR="00984A55" w:rsidRPr="007E3A75">
        <w:rPr>
          <w:sz w:val="26"/>
          <w:szCs w:val="26"/>
        </w:rPr>
        <w:t xml:space="preserve"> (Code)</w:t>
      </w:r>
      <w:r w:rsidR="00C76AF3" w:rsidRPr="007E3A75">
        <w:rPr>
          <w:sz w:val="26"/>
          <w:szCs w:val="26"/>
        </w:rPr>
        <w:t xml:space="preserve">, </w:t>
      </w:r>
      <w:r w:rsidRPr="007E3A75">
        <w:rPr>
          <w:sz w:val="26"/>
          <w:szCs w:val="26"/>
        </w:rPr>
        <w:t>66 Pa. C.S. § 332(a).  To establish a sufficient case and satisfy the burden of proof, the Complaina</w:t>
      </w:r>
      <w:r w:rsidR="00A02D14" w:rsidRPr="007E3A75">
        <w:rPr>
          <w:sz w:val="26"/>
          <w:szCs w:val="26"/>
        </w:rPr>
        <w:t>nt must show that</w:t>
      </w:r>
      <w:r w:rsidR="006A1AFD">
        <w:rPr>
          <w:sz w:val="26"/>
          <w:szCs w:val="26"/>
        </w:rPr>
        <w:t xml:space="preserve"> the Respondents are</w:t>
      </w:r>
      <w:r w:rsidRPr="007E3A75">
        <w:rPr>
          <w:sz w:val="26"/>
          <w:szCs w:val="26"/>
        </w:rPr>
        <w:t xml:space="preserve"> responsible or accountable for the problem described in the Complaint.  </w:t>
      </w:r>
      <w:r w:rsidRPr="007E3A75">
        <w:rPr>
          <w:i/>
          <w:sz w:val="26"/>
          <w:szCs w:val="26"/>
        </w:rPr>
        <w:t>Patterson v. The Bell Telephone Company of Pennsylvania</w:t>
      </w:r>
      <w:r w:rsidRPr="007E3A75">
        <w:rPr>
          <w:sz w:val="26"/>
          <w:szCs w:val="26"/>
        </w:rPr>
        <w:t xml:space="preserve">, 72 Pa. P.U.C. 196 (1990).  Such a showing must be by a preponderance of the evidence.  </w:t>
      </w:r>
      <w:r w:rsidRPr="007E3A75">
        <w:rPr>
          <w:i/>
          <w:iCs/>
          <w:sz w:val="26"/>
          <w:szCs w:val="26"/>
        </w:rPr>
        <w:t>Samuel J. Lansberry, Inc. v. Pa. PUC</w:t>
      </w:r>
      <w:r w:rsidRPr="007E3A75">
        <w:rPr>
          <w:sz w:val="26"/>
          <w:szCs w:val="26"/>
        </w:rPr>
        <w:t xml:space="preserve">, 578 A.2d 600 (Pa. Cmwlth. 1990), </w:t>
      </w:r>
      <w:r w:rsidRPr="007E3A75">
        <w:rPr>
          <w:i/>
          <w:sz w:val="26"/>
          <w:szCs w:val="26"/>
        </w:rPr>
        <w:t>alloc. denied,</w:t>
      </w:r>
      <w:r w:rsidRPr="007E3A75">
        <w:rPr>
          <w:sz w:val="26"/>
          <w:szCs w:val="26"/>
        </w:rPr>
        <w:t xml:space="preserve"> 529 Pa. 654, 602 A.2d 863 (1992).  That is, the Complainant’s evidence must be more convincing, by even the smallest amount, than </w:t>
      </w:r>
      <w:r w:rsidR="00C76AF3" w:rsidRPr="007E3A75">
        <w:rPr>
          <w:sz w:val="26"/>
          <w:szCs w:val="26"/>
        </w:rPr>
        <w:t>that presented by</w:t>
      </w:r>
      <w:r w:rsidR="006A1AFD">
        <w:rPr>
          <w:sz w:val="26"/>
          <w:szCs w:val="26"/>
        </w:rPr>
        <w:t xml:space="preserve"> the Respondents</w:t>
      </w:r>
      <w:r w:rsidRPr="007E3A75">
        <w:rPr>
          <w:sz w:val="26"/>
          <w:szCs w:val="26"/>
        </w:rPr>
        <w:t xml:space="preserve">.  </w:t>
      </w:r>
      <w:r w:rsidRPr="007E3A75">
        <w:rPr>
          <w:i/>
          <w:sz w:val="26"/>
          <w:szCs w:val="26"/>
        </w:rPr>
        <w:t>Se-Ling Hosiery, Inc. v. Margulies</w:t>
      </w:r>
      <w:r w:rsidRPr="007E3A75">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7E3A75">
        <w:rPr>
          <w:i/>
          <w:sz w:val="26"/>
          <w:szCs w:val="26"/>
        </w:rPr>
        <w:t xml:space="preserve">Norfolk &amp; Western Ry. Co. v. Pa. PUC, </w:t>
      </w:r>
      <w:r w:rsidRPr="007E3A75">
        <w:rPr>
          <w:sz w:val="26"/>
          <w:szCs w:val="26"/>
        </w:rPr>
        <w:t>489 Pa. 109, 413 A.2d 1037 (1980).</w:t>
      </w:r>
    </w:p>
    <w:p w:rsidR="00CB244C" w:rsidRPr="007E3A75" w:rsidRDefault="00CB244C" w:rsidP="00CB244C">
      <w:pPr>
        <w:spacing w:line="360" w:lineRule="auto"/>
        <w:rPr>
          <w:sz w:val="26"/>
          <w:szCs w:val="26"/>
        </w:rPr>
      </w:pPr>
    </w:p>
    <w:p w:rsidR="00CB244C" w:rsidRPr="007E3A75" w:rsidRDefault="00A02D14" w:rsidP="003B016A">
      <w:pPr>
        <w:widowControl/>
        <w:spacing w:line="360" w:lineRule="auto"/>
        <w:ind w:firstLine="1440"/>
        <w:rPr>
          <w:rFonts w:ascii="Times New (W1)" w:hAnsi="Times New (W1)"/>
          <w:i/>
          <w:sz w:val="26"/>
        </w:rPr>
      </w:pPr>
      <w:r w:rsidRPr="007E3A75">
        <w:rPr>
          <w:sz w:val="26"/>
        </w:rPr>
        <w:t>Upon the presentation by the C</w:t>
      </w:r>
      <w:r w:rsidR="00CB244C" w:rsidRPr="007E3A75">
        <w:rPr>
          <w:sz w:val="26"/>
        </w:rPr>
        <w:t xml:space="preserve">omplainant of evidence sufficient to initially satisfy the burden of proof, the burden of going forward with the evidence to rebut the evidence of the </w:t>
      </w:r>
      <w:r w:rsidR="002A5EB0" w:rsidRPr="007E3A75">
        <w:rPr>
          <w:sz w:val="26"/>
        </w:rPr>
        <w:t>Complainant</w:t>
      </w:r>
      <w:r w:rsidR="006A1AFD">
        <w:rPr>
          <w:sz w:val="26"/>
        </w:rPr>
        <w:t xml:space="preserve"> shifts to the Respondents</w:t>
      </w:r>
      <w:r w:rsidR="00CB244C" w:rsidRPr="007E3A75">
        <w:rPr>
          <w:sz w:val="26"/>
        </w:rPr>
        <w:t xml:space="preserve">. </w:t>
      </w:r>
      <w:r w:rsidR="001D3751" w:rsidRPr="007E3A75">
        <w:rPr>
          <w:sz w:val="26"/>
        </w:rPr>
        <w:t xml:space="preserve"> </w:t>
      </w:r>
      <w:r w:rsidR="00CB244C" w:rsidRPr="007E3A75">
        <w:rPr>
          <w:sz w:val="26"/>
        </w:rPr>
        <w:t xml:space="preserve">If the evidence presented by </w:t>
      </w:r>
      <w:r w:rsidR="006A1AFD">
        <w:rPr>
          <w:sz w:val="26"/>
        </w:rPr>
        <w:t>the Respondents</w:t>
      </w:r>
      <w:r w:rsidR="00CB244C" w:rsidRPr="007E3A75">
        <w:rPr>
          <w:sz w:val="26"/>
        </w:rPr>
        <w:t xml:space="preserve"> is of co-equal value or “weight,” the burden of pro</w:t>
      </w:r>
      <w:r w:rsidRPr="007E3A75">
        <w:rPr>
          <w:sz w:val="26"/>
        </w:rPr>
        <w:t xml:space="preserve">of has not been satisfied. </w:t>
      </w:r>
      <w:r w:rsidR="00A77AC1" w:rsidRPr="007E3A75">
        <w:rPr>
          <w:sz w:val="26"/>
        </w:rPr>
        <w:t xml:space="preserve"> </w:t>
      </w:r>
      <w:r w:rsidRPr="007E3A75">
        <w:rPr>
          <w:sz w:val="26"/>
        </w:rPr>
        <w:lastRenderedPageBreak/>
        <w:t>The C</w:t>
      </w:r>
      <w:r w:rsidR="00CB244C" w:rsidRPr="007E3A75">
        <w:rPr>
          <w:sz w:val="26"/>
        </w:rPr>
        <w:t>omplainant now has to provide some additional evidence</w:t>
      </w:r>
      <w:r w:rsidR="006A1AFD">
        <w:rPr>
          <w:sz w:val="26"/>
        </w:rPr>
        <w:t xml:space="preserve"> to rebut that of the Respondents</w:t>
      </w:r>
      <w:r w:rsidR="00CB244C" w:rsidRPr="007E3A75">
        <w:rPr>
          <w:sz w:val="26"/>
        </w:rPr>
        <w:t xml:space="preserve">. </w:t>
      </w:r>
      <w:r w:rsidR="00CB244C" w:rsidRPr="007E3A75">
        <w:rPr>
          <w:iCs/>
          <w:sz w:val="26"/>
        </w:rPr>
        <w:t xml:space="preserve"> </w:t>
      </w:r>
      <w:hyperlink r:id="rId9" w:history="1">
        <w:r w:rsidR="00CB244C" w:rsidRPr="007E3A75">
          <w:rPr>
            <w:rStyle w:val="Hyperlink"/>
            <w:rFonts w:ascii="Times New (W1)" w:hAnsi="Times New (W1)"/>
            <w:i/>
            <w:iCs/>
            <w:color w:val="auto"/>
            <w:sz w:val="26"/>
            <w:u w:val="none"/>
          </w:rPr>
          <w:t>Burleson v. Pa. PUC,</w:t>
        </w:r>
        <w:r w:rsidR="00CB244C" w:rsidRPr="007E3A75">
          <w:rPr>
            <w:rStyle w:val="Hyperlink"/>
            <w:rFonts w:ascii="Times New (W1)" w:hAnsi="Times New (W1)"/>
            <w:iCs/>
            <w:color w:val="auto"/>
            <w:sz w:val="26"/>
            <w:u w:val="none"/>
          </w:rPr>
          <w:t xml:space="preserve"> 443 A.2d 1373 (Pa. Cmwlth. 1982), </w:t>
        </w:r>
        <w:r w:rsidR="00CB244C" w:rsidRPr="007E3A75">
          <w:rPr>
            <w:rStyle w:val="Hyperlink"/>
            <w:rFonts w:ascii="Times New (W1)" w:hAnsi="Times New (W1)"/>
            <w:i/>
            <w:iCs/>
            <w:color w:val="auto"/>
            <w:sz w:val="26"/>
            <w:u w:val="none"/>
          </w:rPr>
          <w:t>aff’d,</w:t>
        </w:r>
        <w:r w:rsidR="00CB244C" w:rsidRPr="007E3A75">
          <w:rPr>
            <w:rStyle w:val="Hyperlink"/>
            <w:rFonts w:ascii="Times New (W1)" w:hAnsi="Times New (W1)"/>
            <w:iCs/>
            <w:color w:val="auto"/>
            <w:sz w:val="26"/>
            <w:u w:val="none"/>
          </w:rPr>
          <w:t xml:space="preserve"> 501 Pa. 433, 461 A.2d 1234 (1983).</w:t>
        </w:r>
      </w:hyperlink>
    </w:p>
    <w:p w:rsidR="00CB244C" w:rsidRPr="007E3A75" w:rsidRDefault="00CB244C" w:rsidP="00CB244C">
      <w:pPr>
        <w:spacing w:line="360" w:lineRule="auto"/>
        <w:ind w:firstLine="1440"/>
        <w:rPr>
          <w:sz w:val="26"/>
        </w:rPr>
      </w:pPr>
    </w:p>
    <w:p w:rsidR="00CB244C" w:rsidRPr="008916FE" w:rsidRDefault="00CB244C" w:rsidP="00607011">
      <w:pPr>
        <w:widowControl/>
        <w:spacing w:line="360" w:lineRule="auto"/>
        <w:ind w:firstLine="1440"/>
        <w:rPr>
          <w:sz w:val="26"/>
        </w:rPr>
      </w:pPr>
      <w:r w:rsidRPr="007E3A75">
        <w:rPr>
          <w:sz w:val="26"/>
        </w:rPr>
        <w:t xml:space="preserve">While the burden of going forward with the evidence may </w:t>
      </w:r>
      <w:r w:rsidRPr="007E3A75">
        <w:rPr>
          <w:rStyle w:val="term1"/>
          <w:b w:val="0"/>
          <w:bCs w:val="0"/>
          <w:sz w:val="26"/>
        </w:rPr>
        <w:t>shift</w:t>
      </w:r>
      <w:r w:rsidRPr="007E3A75">
        <w:rPr>
          <w:sz w:val="26"/>
        </w:rPr>
        <w:t xml:space="preserve"> back and forth during a proceeding, the </w:t>
      </w:r>
      <w:r w:rsidRPr="007E3A75">
        <w:rPr>
          <w:rStyle w:val="term1"/>
          <w:b w:val="0"/>
          <w:bCs w:val="0"/>
          <w:sz w:val="26"/>
        </w:rPr>
        <w:t>burden of proof</w:t>
      </w:r>
      <w:r w:rsidRPr="007E3A75">
        <w:rPr>
          <w:sz w:val="26"/>
        </w:rPr>
        <w:t xml:space="preserve"> never </w:t>
      </w:r>
      <w:r w:rsidRPr="007E3A75">
        <w:rPr>
          <w:rStyle w:val="term1"/>
          <w:b w:val="0"/>
          <w:bCs w:val="0"/>
          <w:sz w:val="26"/>
        </w:rPr>
        <w:t xml:space="preserve">shifts. </w:t>
      </w:r>
      <w:r w:rsidR="00466446">
        <w:rPr>
          <w:rStyle w:val="term1"/>
          <w:b w:val="0"/>
          <w:bCs w:val="0"/>
          <w:sz w:val="26"/>
        </w:rPr>
        <w:t xml:space="preserve"> </w:t>
      </w:r>
      <w:r w:rsidRPr="007E3A75">
        <w:rPr>
          <w:rStyle w:val="term1"/>
          <w:b w:val="0"/>
          <w:bCs w:val="0"/>
          <w:sz w:val="26"/>
        </w:rPr>
        <w:t>The burden of proof</w:t>
      </w:r>
      <w:r w:rsidRPr="007E3A75">
        <w:rPr>
          <w:sz w:val="26"/>
        </w:rPr>
        <w:t xml:space="preserve"> always remains on the party seeking affirmative relief from the Commission.  </w:t>
      </w:r>
      <w:r w:rsidRPr="007E3A75">
        <w:rPr>
          <w:i/>
          <w:sz w:val="26"/>
        </w:rPr>
        <w:t xml:space="preserve">Milkie v. Pa. PUC, </w:t>
      </w:r>
      <w:r w:rsidRPr="007E3A75">
        <w:rPr>
          <w:sz w:val="26"/>
        </w:rPr>
        <w:t>768 A.2d 1217 (</w:t>
      </w:r>
      <w:r w:rsidRPr="008916FE">
        <w:rPr>
          <w:sz w:val="26"/>
        </w:rPr>
        <w:t>Pa. Cmwlth. 2001).</w:t>
      </w:r>
    </w:p>
    <w:p w:rsidR="00CB244C" w:rsidRPr="008916FE" w:rsidRDefault="00CB244C" w:rsidP="00961671">
      <w:pPr>
        <w:widowControl/>
        <w:spacing w:line="360" w:lineRule="auto"/>
        <w:rPr>
          <w:sz w:val="26"/>
          <w:szCs w:val="26"/>
        </w:rPr>
      </w:pPr>
    </w:p>
    <w:p w:rsidR="00CA43A5" w:rsidRPr="008916FE" w:rsidRDefault="008916FE" w:rsidP="005F184F">
      <w:pPr>
        <w:widowControl/>
        <w:spacing w:line="360" w:lineRule="auto"/>
        <w:ind w:firstLine="1440"/>
        <w:rPr>
          <w:sz w:val="26"/>
          <w:szCs w:val="26"/>
        </w:rPr>
      </w:pPr>
      <w:r w:rsidRPr="008916FE">
        <w:rPr>
          <w:sz w:val="26"/>
          <w:szCs w:val="26"/>
        </w:rPr>
        <w:t>ALJ Colwell made twenty-nine</w:t>
      </w:r>
      <w:r w:rsidR="00CA43A5" w:rsidRPr="008916FE">
        <w:rPr>
          <w:sz w:val="26"/>
          <w:szCs w:val="26"/>
        </w:rPr>
        <w:t xml:space="preserve"> Find</w:t>
      </w:r>
      <w:r w:rsidR="00961671" w:rsidRPr="008916FE">
        <w:rPr>
          <w:sz w:val="26"/>
          <w:szCs w:val="26"/>
        </w:rPr>
        <w:t>ings of Fact and</w:t>
      </w:r>
      <w:r w:rsidRPr="008916FE">
        <w:rPr>
          <w:sz w:val="26"/>
          <w:szCs w:val="26"/>
        </w:rPr>
        <w:t xml:space="preserve"> reached eleven</w:t>
      </w:r>
      <w:r w:rsidR="00CA43A5" w:rsidRPr="008916FE">
        <w:rPr>
          <w:sz w:val="26"/>
          <w:szCs w:val="26"/>
        </w:rPr>
        <w:t xml:space="preserve"> Conclusions of Law.  </w:t>
      </w:r>
      <w:r w:rsidRPr="008916FE">
        <w:rPr>
          <w:sz w:val="26"/>
          <w:szCs w:val="26"/>
        </w:rPr>
        <w:t>I.D. at 3</w:t>
      </w:r>
      <w:r w:rsidR="00BD271D" w:rsidRPr="008916FE">
        <w:rPr>
          <w:sz w:val="26"/>
          <w:szCs w:val="26"/>
        </w:rPr>
        <w:t>-</w:t>
      </w:r>
      <w:r w:rsidRPr="008916FE">
        <w:rPr>
          <w:sz w:val="26"/>
          <w:szCs w:val="26"/>
        </w:rPr>
        <w:t>6, 14-17</w:t>
      </w:r>
      <w:r w:rsidR="00961671" w:rsidRPr="008916FE">
        <w:rPr>
          <w:sz w:val="26"/>
          <w:szCs w:val="26"/>
        </w:rPr>
        <w:t xml:space="preserve">.  </w:t>
      </w:r>
      <w:r w:rsidR="00CA43A5" w:rsidRPr="008916FE">
        <w:rPr>
          <w:sz w:val="26"/>
          <w:szCs w:val="26"/>
        </w:rPr>
        <w:t>The Findings of Fact and Conclusions of Law are incorporated herein by reference and are adopted without comment unless they are either expressly or by necessary implication rejected or modified by this Opinion and Order.</w:t>
      </w:r>
    </w:p>
    <w:p w:rsidR="00CA43A5" w:rsidRPr="008916FE" w:rsidRDefault="00CA43A5" w:rsidP="005F184F">
      <w:pPr>
        <w:widowControl/>
        <w:spacing w:line="360" w:lineRule="auto"/>
        <w:rPr>
          <w:sz w:val="26"/>
          <w:szCs w:val="26"/>
        </w:rPr>
      </w:pPr>
    </w:p>
    <w:p w:rsidR="00214B3E" w:rsidRPr="00E50274" w:rsidRDefault="00006F35" w:rsidP="005F184F">
      <w:pPr>
        <w:widowControl/>
        <w:spacing w:line="360" w:lineRule="auto"/>
        <w:ind w:firstLine="1440"/>
        <w:rPr>
          <w:sz w:val="26"/>
          <w:szCs w:val="26"/>
        </w:rPr>
      </w:pPr>
      <w:r w:rsidRPr="00E50274">
        <w:rPr>
          <w:sz w:val="26"/>
          <w:szCs w:val="26"/>
        </w:rPr>
        <w:t>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w:t>
      </w:r>
      <w:r w:rsidR="002A6750" w:rsidRPr="00E50274">
        <w:rPr>
          <w:sz w:val="26"/>
          <w:szCs w:val="26"/>
        </w:rPr>
        <w:t xml:space="preserve">.  </w:t>
      </w:r>
      <w:hyperlink r:id="rId10" w:history="1">
        <w:r w:rsidR="009F1A08" w:rsidRPr="00E50274">
          <w:rPr>
            <w:rStyle w:val="Emphasis"/>
            <w:color w:val="000000"/>
            <w:sz w:val="26"/>
            <w:szCs w:val="26"/>
          </w:rPr>
          <w:t>Consolidated Rail Corp. v. Pa. </w:t>
        </w:r>
        <w:r w:rsidR="002A6750" w:rsidRPr="00E50274">
          <w:rPr>
            <w:rStyle w:val="Emphasis"/>
            <w:color w:val="000000"/>
            <w:sz w:val="26"/>
            <w:szCs w:val="26"/>
          </w:rPr>
          <w:t xml:space="preserve">PUC, </w:t>
        </w:r>
        <w:r w:rsidR="002A6750" w:rsidRPr="00E50274">
          <w:rPr>
            <w:rStyle w:val="Hyperlink"/>
            <w:color w:val="000000"/>
            <w:sz w:val="26"/>
            <w:szCs w:val="26"/>
            <w:u w:val="none"/>
          </w:rPr>
          <w:t>625 A.2d 741 (Pa. Cmwlth. 1993);</w:t>
        </w:r>
      </w:hyperlink>
      <w:r w:rsidR="002A6750" w:rsidRPr="00E50274">
        <w:rPr>
          <w:color w:val="000000"/>
          <w:sz w:val="26"/>
          <w:szCs w:val="26"/>
        </w:rPr>
        <w:t xml:space="preserve"> </w:t>
      </w:r>
      <w:r w:rsidR="002A6750" w:rsidRPr="00E50274">
        <w:rPr>
          <w:i/>
          <w:color w:val="000000"/>
          <w:sz w:val="26"/>
          <w:szCs w:val="26"/>
        </w:rPr>
        <w:t xml:space="preserve">also </w:t>
      </w:r>
      <w:r w:rsidR="002A6750" w:rsidRPr="00E50274">
        <w:rPr>
          <w:rStyle w:val="Emphasis"/>
          <w:color w:val="000000"/>
          <w:sz w:val="26"/>
          <w:szCs w:val="26"/>
        </w:rPr>
        <w:t xml:space="preserve">see, generally, </w:t>
      </w:r>
      <w:hyperlink r:id="rId11" w:history="1">
        <w:r w:rsidR="002A6750" w:rsidRPr="00E50274">
          <w:rPr>
            <w:rStyle w:val="Emphasis"/>
            <w:color w:val="000000"/>
            <w:sz w:val="26"/>
            <w:szCs w:val="26"/>
          </w:rPr>
          <w:t>University of Pennsylvania v. Pa. PUC</w:t>
        </w:r>
        <w:r w:rsidR="002A6750" w:rsidRPr="00E50274">
          <w:rPr>
            <w:rStyle w:val="Hyperlink"/>
            <w:color w:val="000000"/>
            <w:sz w:val="26"/>
            <w:szCs w:val="26"/>
            <w:u w:val="none"/>
          </w:rPr>
          <w:t>, 485 A.2d 1217 (Pa. Cmwlth. 1984).</w:t>
        </w:r>
      </w:hyperlink>
      <w:r w:rsidR="00214B3E" w:rsidRPr="00E50274">
        <w:rPr>
          <w:sz w:val="26"/>
          <w:szCs w:val="26"/>
        </w:rPr>
        <w:t xml:space="preserve"> </w:t>
      </w:r>
    </w:p>
    <w:p w:rsidR="00006F35" w:rsidRPr="00E50274" w:rsidRDefault="00006F35" w:rsidP="00602064">
      <w:pPr>
        <w:widowControl/>
        <w:spacing w:line="360" w:lineRule="auto"/>
        <w:ind w:firstLine="1440"/>
        <w:rPr>
          <w:sz w:val="26"/>
          <w:szCs w:val="26"/>
        </w:rPr>
      </w:pPr>
    </w:p>
    <w:p w:rsidR="00285073" w:rsidRPr="00E50274" w:rsidRDefault="00285073" w:rsidP="005964E0">
      <w:pPr>
        <w:keepNext/>
        <w:widowControl/>
        <w:spacing w:line="360" w:lineRule="auto"/>
        <w:rPr>
          <w:b/>
          <w:sz w:val="26"/>
          <w:szCs w:val="26"/>
        </w:rPr>
      </w:pPr>
      <w:r w:rsidRPr="00E50274">
        <w:rPr>
          <w:b/>
          <w:sz w:val="26"/>
          <w:szCs w:val="26"/>
        </w:rPr>
        <w:t>Positions of the Parties</w:t>
      </w:r>
    </w:p>
    <w:p w:rsidR="00285073" w:rsidRPr="00E50274" w:rsidRDefault="00285073" w:rsidP="005964E0">
      <w:pPr>
        <w:keepNext/>
        <w:widowControl/>
        <w:spacing w:line="360" w:lineRule="auto"/>
        <w:rPr>
          <w:sz w:val="26"/>
          <w:szCs w:val="26"/>
        </w:rPr>
      </w:pPr>
    </w:p>
    <w:p w:rsidR="00466446" w:rsidRDefault="00285073" w:rsidP="005964E0">
      <w:pPr>
        <w:keepNext/>
        <w:widowControl/>
        <w:spacing w:line="360" w:lineRule="auto"/>
        <w:rPr>
          <w:sz w:val="26"/>
          <w:szCs w:val="26"/>
        </w:rPr>
      </w:pPr>
      <w:r w:rsidRPr="00CE10F2">
        <w:rPr>
          <w:sz w:val="26"/>
          <w:szCs w:val="26"/>
        </w:rPr>
        <w:tab/>
      </w:r>
      <w:r w:rsidRPr="00CE10F2">
        <w:rPr>
          <w:sz w:val="26"/>
          <w:szCs w:val="26"/>
        </w:rPr>
        <w:tab/>
      </w:r>
      <w:r w:rsidR="00F823C6" w:rsidRPr="00CE10F2">
        <w:rPr>
          <w:sz w:val="26"/>
          <w:szCs w:val="26"/>
        </w:rPr>
        <w:t>T</w:t>
      </w:r>
      <w:r w:rsidR="00294BD5" w:rsidRPr="00CE10F2">
        <w:rPr>
          <w:sz w:val="26"/>
          <w:szCs w:val="26"/>
        </w:rPr>
        <w:t xml:space="preserve">he </w:t>
      </w:r>
      <w:r w:rsidR="00CE10F2" w:rsidRPr="00CE10F2">
        <w:rPr>
          <w:sz w:val="26"/>
          <w:szCs w:val="26"/>
        </w:rPr>
        <w:t xml:space="preserve">issue raised by the </w:t>
      </w:r>
      <w:r w:rsidRPr="00CE10F2">
        <w:rPr>
          <w:sz w:val="26"/>
          <w:szCs w:val="26"/>
        </w:rPr>
        <w:t>Complainant</w:t>
      </w:r>
      <w:r w:rsidR="00CE10F2" w:rsidRPr="00CE10F2">
        <w:rPr>
          <w:sz w:val="26"/>
          <w:szCs w:val="26"/>
        </w:rPr>
        <w:t xml:space="preserve"> in this proceeding</w:t>
      </w:r>
      <w:r w:rsidR="0068582B">
        <w:rPr>
          <w:sz w:val="26"/>
          <w:szCs w:val="26"/>
        </w:rPr>
        <w:t xml:space="preserve"> relates to Columbia’s recent change in the manner in which it bills </w:t>
      </w:r>
      <w:r w:rsidR="00F96919">
        <w:rPr>
          <w:sz w:val="26"/>
          <w:szCs w:val="26"/>
        </w:rPr>
        <w:t>its customers for natural gas</w:t>
      </w:r>
    </w:p>
    <w:p w:rsidR="00466446" w:rsidRDefault="00F96919" w:rsidP="00466446">
      <w:pPr>
        <w:widowControl/>
        <w:spacing w:line="360" w:lineRule="auto"/>
        <w:rPr>
          <w:sz w:val="26"/>
          <w:szCs w:val="26"/>
        </w:rPr>
      </w:pPr>
      <w:r>
        <w:rPr>
          <w:sz w:val="26"/>
          <w:szCs w:val="26"/>
        </w:rPr>
        <w:t xml:space="preserve"> </w:t>
      </w:r>
      <w:r w:rsidR="00466446">
        <w:rPr>
          <w:sz w:val="26"/>
          <w:szCs w:val="26"/>
        </w:rPr>
        <w:br w:type="page"/>
      </w:r>
    </w:p>
    <w:p w:rsidR="00FD42A0" w:rsidRDefault="00F96919" w:rsidP="00466446">
      <w:pPr>
        <w:widowControl/>
        <w:spacing w:line="360" w:lineRule="auto"/>
        <w:rPr>
          <w:sz w:val="26"/>
          <w:szCs w:val="26"/>
        </w:rPr>
      </w:pPr>
      <w:r>
        <w:rPr>
          <w:sz w:val="26"/>
          <w:szCs w:val="26"/>
        </w:rPr>
        <w:lastRenderedPageBreak/>
        <w:t>consumption</w:t>
      </w:r>
      <w:r w:rsidR="00C71954">
        <w:rPr>
          <w:sz w:val="26"/>
          <w:szCs w:val="26"/>
        </w:rPr>
        <w:t>.</w:t>
      </w:r>
      <w:r w:rsidR="0073435D">
        <w:rPr>
          <w:rStyle w:val="FootnoteReference"/>
          <w:sz w:val="26"/>
          <w:szCs w:val="26"/>
        </w:rPr>
        <w:footnoteReference w:id="1"/>
      </w:r>
      <w:r w:rsidR="00C71954">
        <w:rPr>
          <w:sz w:val="26"/>
          <w:szCs w:val="26"/>
        </w:rPr>
        <w:t xml:space="preserve">  </w:t>
      </w:r>
      <w:r w:rsidR="00545802">
        <w:rPr>
          <w:sz w:val="26"/>
          <w:szCs w:val="26"/>
        </w:rPr>
        <w:t>Specifically, beginning</w:t>
      </w:r>
      <w:r w:rsidR="00443F03">
        <w:rPr>
          <w:sz w:val="26"/>
          <w:szCs w:val="26"/>
        </w:rPr>
        <w:t xml:space="preserve"> with bills issued after </w:t>
      </w:r>
      <w:r w:rsidR="00545802" w:rsidRPr="00443F03">
        <w:rPr>
          <w:sz w:val="26"/>
          <w:szCs w:val="26"/>
        </w:rPr>
        <w:t>January</w:t>
      </w:r>
      <w:r w:rsidR="00443F03" w:rsidRPr="00443F03">
        <w:rPr>
          <w:sz w:val="26"/>
          <w:szCs w:val="26"/>
        </w:rPr>
        <w:t xml:space="preserve"> 31,</w:t>
      </w:r>
      <w:r w:rsidR="00545802" w:rsidRPr="00443F03">
        <w:rPr>
          <w:sz w:val="26"/>
          <w:szCs w:val="26"/>
        </w:rPr>
        <w:t xml:space="preserve"> 2012, </w:t>
      </w:r>
      <w:r w:rsidR="001C73CD" w:rsidRPr="00443F03">
        <w:rPr>
          <w:sz w:val="26"/>
          <w:szCs w:val="26"/>
        </w:rPr>
        <w:t>Columbia switched</w:t>
      </w:r>
      <w:r w:rsidR="000A6356" w:rsidRPr="00443F03">
        <w:rPr>
          <w:sz w:val="26"/>
          <w:szCs w:val="26"/>
        </w:rPr>
        <w:t xml:space="preserve"> from billing </w:t>
      </w:r>
      <w:r w:rsidR="00545802" w:rsidRPr="00443F03">
        <w:rPr>
          <w:sz w:val="26"/>
          <w:szCs w:val="26"/>
        </w:rPr>
        <w:t>g</w:t>
      </w:r>
      <w:r w:rsidRPr="00443F03">
        <w:rPr>
          <w:sz w:val="26"/>
          <w:szCs w:val="26"/>
        </w:rPr>
        <w:t>as usage on a volumetric basis, measured in Ccf,</w:t>
      </w:r>
      <w:r w:rsidR="00155FCB" w:rsidRPr="00443F03">
        <w:rPr>
          <w:rStyle w:val="FootnoteReference"/>
          <w:sz w:val="26"/>
          <w:szCs w:val="26"/>
        </w:rPr>
        <w:footnoteReference w:id="2"/>
      </w:r>
      <w:r w:rsidR="00545802" w:rsidRPr="00443F03">
        <w:rPr>
          <w:sz w:val="26"/>
          <w:szCs w:val="26"/>
        </w:rPr>
        <w:t xml:space="preserve"> to billing</w:t>
      </w:r>
      <w:r w:rsidRPr="00443F03">
        <w:rPr>
          <w:sz w:val="26"/>
          <w:szCs w:val="26"/>
        </w:rPr>
        <w:t xml:space="preserve"> gas usage</w:t>
      </w:r>
      <w:r w:rsidR="00545802" w:rsidRPr="00443F03">
        <w:rPr>
          <w:sz w:val="26"/>
          <w:szCs w:val="26"/>
        </w:rPr>
        <w:t xml:space="preserve"> on a heating value basis</w:t>
      </w:r>
      <w:r w:rsidRPr="00443F03">
        <w:rPr>
          <w:sz w:val="26"/>
          <w:szCs w:val="26"/>
        </w:rPr>
        <w:t>, measured in therms</w:t>
      </w:r>
      <w:r w:rsidR="00545802" w:rsidRPr="00443F03">
        <w:rPr>
          <w:sz w:val="26"/>
          <w:szCs w:val="26"/>
        </w:rPr>
        <w:t>.</w:t>
      </w:r>
      <w:r w:rsidR="00155FCB" w:rsidRPr="00443F03">
        <w:rPr>
          <w:rStyle w:val="FootnoteReference"/>
          <w:sz w:val="26"/>
          <w:szCs w:val="26"/>
        </w:rPr>
        <w:footnoteReference w:id="3"/>
      </w:r>
      <w:r w:rsidR="00545802" w:rsidRPr="00443F03">
        <w:rPr>
          <w:sz w:val="26"/>
          <w:szCs w:val="26"/>
        </w:rPr>
        <w:t xml:space="preserve">  </w:t>
      </w:r>
      <w:r w:rsidR="00DB2E03" w:rsidRPr="00443F03">
        <w:rPr>
          <w:sz w:val="26"/>
          <w:szCs w:val="26"/>
        </w:rPr>
        <w:t>Under this method of billing, the volume of gas consumed by a customer</w:t>
      </w:r>
      <w:r w:rsidR="00185AFF" w:rsidRPr="00443F03">
        <w:rPr>
          <w:sz w:val="26"/>
          <w:szCs w:val="26"/>
        </w:rPr>
        <w:t>, as measured by the customer’s</w:t>
      </w:r>
      <w:r w:rsidR="00185AFF">
        <w:rPr>
          <w:sz w:val="26"/>
          <w:szCs w:val="26"/>
        </w:rPr>
        <w:t xml:space="preserve"> meter</w:t>
      </w:r>
      <w:r w:rsidR="00100639">
        <w:rPr>
          <w:sz w:val="26"/>
          <w:szCs w:val="26"/>
        </w:rPr>
        <w:t xml:space="preserve"> and expressed in Ccf</w:t>
      </w:r>
      <w:r w:rsidR="00185AFF">
        <w:rPr>
          <w:sz w:val="26"/>
          <w:szCs w:val="26"/>
        </w:rPr>
        <w:t>,</w:t>
      </w:r>
      <w:r w:rsidR="00DB2E03">
        <w:rPr>
          <w:sz w:val="26"/>
          <w:szCs w:val="26"/>
        </w:rPr>
        <w:t xml:space="preserve"> is multiplied by</w:t>
      </w:r>
      <w:r w:rsidR="00185AFF">
        <w:rPr>
          <w:sz w:val="26"/>
          <w:szCs w:val="26"/>
        </w:rPr>
        <w:t xml:space="preserve"> a factor representing </w:t>
      </w:r>
      <w:r w:rsidR="0051664D">
        <w:rPr>
          <w:sz w:val="26"/>
          <w:szCs w:val="26"/>
        </w:rPr>
        <w:t>the heating value of the gas, expressed in therms per Ccf.  This calculation results in the total number of therms consumed for the billing month</w:t>
      </w:r>
      <w:r w:rsidR="00951CD9">
        <w:rPr>
          <w:sz w:val="26"/>
          <w:szCs w:val="26"/>
        </w:rPr>
        <w:t>.  This number is then multiplied by C</w:t>
      </w:r>
      <w:r w:rsidR="00CE2078">
        <w:rPr>
          <w:sz w:val="26"/>
          <w:szCs w:val="26"/>
        </w:rPr>
        <w:t>olumbia’s distribution usage</w:t>
      </w:r>
      <w:r w:rsidR="00951CD9">
        <w:rPr>
          <w:sz w:val="26"/>
          <w:szCs w:val="26"/>
        </w:rPr>
        <w:t xml:space="preserve"> rate, expressed in dollars per therm, to arrive a</w:t>
      </w:r>
      <w:r w:rsidR="00CE2078">
        <w:rPr>
          <w:sz w:val="26"/>
          <w:szCs w:val="26"/>
        </w:rPr>
        <w:t>t the customer’s total usage charge for gas consumed</w:t>
      </w:r>
      <w:r w:rsidR="00951CD9">
        <w:rPr>
          <w:sz w:val="26"/>
          <w:szCs w:val="26"/>
        </w:rPr>
        <w:t>.  Columbia Exh. Nos. CG-4 and CG-6.</w:t>
      </w:r>
    </w:p>
    <w:p w:rsidR="00FD42A0" w:rsidRDefault="00FD42A0" w:rsidP="00863D2A">
      <w:pPr>
        <w:widowControl/>
        <w:spacing w:line="360" w:lineRule="auto"/>
        <w:rPr>
          <w:sz w:val="26"/>
          <w:szCs w:val="26"/>
        </w:rPr>
      </w:pPr>
    </w:p>
    <w:p w:rsidR="007A64E0" w:rsidRPr="00CE10F2" w:rsidRDefault="00FD42A0" w:rsidP="00863D2A">
      <w:pPr>
        <w:widowControl/>
        <w:spacing w:line="360" w:lineRule="auto"/>
        <w:rPr>
          <w:sz w:val="26"/>
          <w:szCs w:val="26"/>
        </w:rPr>
      </w:pPr>
      <w:r>
        <w:rPr>
          <w:sz w:val="26"/>
          <w:szCs w:val="26"/>
        </w:rPr>
        <w:tab/>
      </w:r>
      <w:r>
        <w:rPr>
          <w:sz w:val="26"/>
          <w:szCs w:val="26"/>
        </w:rPr>
        <w:tab/>
      </w:r>
      <w:r w:rsidR="002260F4">
        <w:rPr>
          <w:sz w:val="26"/>
          <w:szCs w:val="26"/>
        </w:rPr>
        <w:t>Columbia explained that t</w:t>
      </w:r>
      <w:r w:rsidR="006D4CD6">
        <w:rPr>
          <w:sz w:val="26"/>
          <w:szCs w:val="26"/>
        </w:rPr>
        <w:t xml:space="preserve">he heating value of </w:t>
      </w:r>
      <w:r w:rsidR="00F4262C">
        <w:rPr>
          <w:sz w:val="26"/>
          <w:szCs w:val="26"/>
        </w:rPr>
        <w:t>the gas</w:t>
      </w:r>
      <w:r w:rsidR="000C4058">
        <w:rPr>
          <w:sz w:val="26"/>
          <w:szCs w:val="26"/>
        </w:rPr>
        <w:t xml:space="preserve"> used to determine the therm multiplier for each monthly bill is measured</w:t>
      </w:r>
      <w:r w:rsidR="009F1CB5">
        <w:rPr>
          <w:sz w:val="26"/>
          <w:szCs w:val="26"/>
        </w:rPr>
        <w:t xml:space="preserve"> by a third party</w:t>
      </w:r>
      <w:r w:rsidR="000C4058">
        <w:rPr>
          <w:sz w:val="26"/>
          <w:szCs w:val="26"/>
        </w:rPr>
        <w:t xml:space="preserve"> in fifteen-minute intervals</w:t>
      </w:r>
      <w:r w:rsidR="00F4262C">
        <w:rPr>
          <w:sz w:val="26"/>
          <w:szCs w:val="26"/>
        </w:rPr>
        <w:t xml:space="preserve"> at the receipt point</w:t>
      </w:r>
      <w:r w:rsidR="00B63EB9">
        <w:rPr>
          <w:sz w:val="26"/>
          <w:szCs w:val="26"/>
        </w:rPr>
        <w:t xml:space="preserve">s </w:t>
      </w:r>
      <w:r w:rsidR="000C4058">
        <w:rPr>
          <w:sz w:val="26"/>
          <w:szCs w:val="26"/>
        </w:rPr>
        <w:t>for</w:t>
      </w:r>
      <w:r w:rsidR="00B63EB9">
        <w:rPr>
          <w:sz w:val="26"/>
          <w:szCs w:val="26"/>
        </w:rPr>
        <w:t xml:space="preserve"> each of its eight separate, non-interconnected market areas.  Columbia</w:t>
      </w:r>
      <w:r w:rsidR="000C4058">
        <w:rPr>
          <w:sz w:val="26"/>
          <w:szCs w:val="26"/>
        </w:rPr>
        <w:t xml:space="preserve"> then</w:t>
      </w:r>
      <w:r w:rsidR="00B63EB9">
        <w:rPr>
          <w:sz w:val="26"/>
          <w:szCs w:val="26"/>
        </w:rPr>
        <w:t xml:space="preserve"> uses a</w:t>
      </w:r>
      <w:r w:rsidR="000C4058">
        <w:rPr>
          <w:sz w:val="26"/>
          <w:szCs w:val="26"/>
        </w:rPr>
        <w:t xml:space="preserve"> monthly</w:t>
      </w:r>
      <w:r w:rsidR="00B63EB9">
        <w:rPr>
          <w:sz w:val="26"/>
          <w:szCs w:val="26"/>
        </w:rPr>
        <w:t xml:space="preserve"> weighted average of these measurements</w:t>
      </w:r>
      <w:r w:rsidR="000C4058">
        <w:rPr>
          <w:sz w:val="26"/>
          <w:szCs w:val="26"/>
        </w:rPr>
        <w:t xml:space="preserve"> </w:t>
      </w:r>
      <w:r w:rsidR="00B63EB9">
        <w:rPr>
          <w:sz w:val="26"/>
          <w:szCs w:val="26"/>
        </w:rPr>
        <w:t>to devel</w:t>
      </w:r>
      <w:r w:rsidR="000C4058">
        <w:rPr>
          <w:sz w:val="26"/>
          <w:szCs w:val="26"/>
        </w:rPr>
        <w:t>op the</w:t>
      </w:r>
      <w:r w:rsidR="00B63EB9">
        <w:rPr>
          <w:sz w:val="26"/>
          <w:szCs w:val="26"/>
        </w:rPr>
        <w:t xml:space="preserve"> therm multiplier used to calculate customers’ bills</w:t>
      </w:r>
      <w:r w:rsidR="000C4058">
        <w:rPr>
          <w:sz w:val="26"/>
          <w:szCs w:val="26"/>
        </w:rPr>
        <w:t xml:space="preserve"> for each market area</w:t>
      </w:r>
      <w:r w:rsidR="00B63EB9">
        <w:rPr>
          <w:sz w:val="26"/>
          <w:szCs w:val="26"/>
        </w:rPr>
        <w:t>.</w:t>
      </w:r>
      <w:r w:rsidR="00412BDA">
        <w:rPr>
          <w:sz w:val="26"/>
          <w:szCs w:val="26"/>
        </w:rPr>
        <w:t xml:space="preserve">  Tr.</w:t>
      </w:r>
      <w:r w:rsidR="00863D2A">
        <w:rPr>
          <w:sz w:val="26"/>
          <w:szCs w:val="26"/>
        </w:rPr>
        <w:t> </w:t>
      </w:r>
      <w:r w:rsidR="00412BDA">
        <w:rPr>
          <w:sz w:val="26"/>
          <w:szCs w:val="26"/>
        </w:rPr>
        <w:t>at 47-50.</w:t>
      </w:r>
    </w:p>
    <w:p w:rsidR="00602064" w:rsidRPr="00CE10F2" w:rsidRDefault="00602064" w:rsidP="005964E0">
      <w:pPr>
        <w:widowControl/>
        <w:spacing w:line="360" w:lineRule="auto"/>
        <w:rPr>
          <w:sz w:val="26"/>
          <w:szCs w:val="26"/>
        </w:rPr>
      </w:pPr>
    </w:p>
    <w:p w:rsidR="00F62FCB" w:rsidRDefault="003A071C" w:rsidP="00DD332A">
      <w:pPr>
        <w:widowControl/>
        <w:spacing w:line="360" w:lineRule="auto"/>
        <w:rPr>
          <w:sz w:val="26"/>
          <w:szCs w:val="26"/>
        </w:rPr>
      </w:pPr>
      <w:r>
        <w:rPr>
          <w:sz w:val="26"/>
          <w:szCs w:val="26"/>
        </w:rPr>
        <w:tab/>
      </w:r>
      <w:r>
        <w:rPr>
          <w:sz w:val="26"/>
          <w:szCs w:val="26"/>
        </w:rPr>
        <w:tab/>
        <w:t>The Complainant objected to Columbia’s use of therm billing, asserting that the derivation of the therm multiplier</w:t>
      </w:r>
      <w:r w:rsidR="00F451CA">
        <w:rPr>
          <w:sz w:val="26"/>
          <w:szCs w:val="26"/>
        </w:rPr>
        <w:t xml:space="preserve"> used in his bills</w:t>
      </w:r>
      <w:r>
        <w:rPr>
          <w:sz w:val="26"/>
          <w:szCs w:val="26"/>
        </w:rPr>
        <w:t xml:space="preserve"> has not been sufficiently explaine</w:t>
      </w:r>
      <w:r w:rsidR="00F451CA">
        <w:rPr>
          <w:sz w:val="26"/>
          <w:szCs w:val="26"/>
        </w:rPr>
        <w:t>d</w:t>
      </w:r>
      <w:r>
        <w:rPr>
          <w:sz w:val="26"/>
          <w:szCs w:val="26"/>
        </w:rPr>
        <w:t xml:space="preserve"> or properly documented.</w:t>
      </w:r>
      <w:r w:rsidR="003F068A">
        <w:rPr>
          <w:sz w:val="26"/>
          <w:szCs w:val="26"/>
        </w:rPr>
        <w:t xml:space="preserve">  </w:t>
      </w:r>
      <w:r w:rsidR="001E662B">
        <w:rPr>
          <w:sz w:val="26"/>
          <w:szCs w:val="26"/>
        </w:rPr>
        <w:t>The C</w:t>
      </w:r>
      <w:r w:rsidR="004A7373">
        <w:rPr>
          <w:sz w:val="26"/>
          <w:szCs w:val="26"/>
        </w:rPr>
        <w:t xml:space="preserve">omplainant apparently </w:t>
      </w:r>
      <w:r w:rsidR="001E662B">
        <w:rPr>
          <w:sz w:val="26"/>
          <w:szCs w:val="26"/>
        </w:rPr>
        <w:t>believe</w:t>
      </w:r>
      <w:r w:rsidR="004A7373">
        <w:rPr>
          <w:sz w:val="26"/>
          <w:szCs w:val="26"/>
        </w:rPr>
        <w:t>d</w:t>
      </w:r>
      <w:r w:rsidR="001E662B">
        <w:rPr>
          <w:sz w:val="26"/>
          <w:szCs w:val="26"/>
        </w:rPr>
        <w:t xml:space="preserve"> that the use of therm billing resulted in unexplained increases to his bills. </w:t>
      </w:r>
      <w:r w:rsidR="00510F93">
        <w:rPr>
          <w:sz w:val="26"/>
          <w:szCs w:val="26"/>
        </w:rPr>
        <w:t xml:space="preserve"> </w:t>
      </w:r>
      <w:r w:rsidR="003F068A" w:rsidRPr="003F068A">
        <w:rPr>
          <w:i/>
          <w:sz w:val="26"/>
          <w:szCs w:val="26"/>
        </w:rPr>
        <w:t>Id</w:t>
      </w:r>
      <w:r w:rsidR="003F068A">
        <w:rPr>
          <w:sz w:val="26"/>
          <w:szCs w:val="26"/>
        </w:rPr>
        <w:t xml:space="preserve">. at 7-10.  </w:t>
      </w:r>
      <w:r w:rsidR="0068355B">
        <w:rPr>
          <w:sz w:val="26"/>
          <w:szCs w:val="26"/>
        </w:rPr>
        <w:t>T</w:t>
      </w:r>
      <w:r w:rsidR="004A6C0A">
        <w:rPr>
          <w:sz w:val="26"/>
          <w:szCs w:val="26"/>
        </w:rPr>
        <w:t>he</w:t>
      </w:r>
      <w:r w:rsidR="001E662B">
        <w:rPr>
          <w:sz w:val="26"/>
          <w:szCs w:val="26"/>
        </w:rPr>
        <w:t xml:space="preserve"> Complainant also</w:t>
      </w:r>
      <w:r w:rsidR="004A6C0A">
        <w:rPr>
          <w:sz w:val="26"/>
          <w:szCs w:val="26"/>
        </w:rPr>
        <w:t xml:space="preserve"> question</w:t>
      </w:r>
      <w:r w:rsidR="001E662B">
        <w:rPr>
          <w:sz w:val="26"/>
          <w:szCs w:val="26"/>
        </w:rPr>
        <w:t>ed</w:t>
      </w:r>
      <w:r w:rsidR="004A6C0A">
        <w:rPr>
          <w:sz w:val="26"/>
          <w:szCs w:val="26"/>
        </w:rPr>
        <w:t xml:space="preserve"> the accuracy of the ther</w:t>
      </w:r>
      <w:r w:rsidR="002D743D">
        <w:rPr>
          <w:sz w:val="26"/>
          <w:szCs w:val="26"/>
        </w:rPr>
        <w:t>m multiplier</w:t>
      </w:r>
      <w:r w:rsidR="0068355B">
        <w:rPr>
          <w:sz w:val="26"/>
          <w:szCs w:val="26"/>
        </w:rPr>
        <w:t xml:space="preserve">, suggesting that the heating value of the gas entering his </w:t>
      </w:r>
      <w:r w:rsidR="002D743D">
        <w:rPr>
          <w:sz w:val="26"/>
          <w:szCs w:val="26"/>
        </w:rPr>
        <w:t>home may be different from the</w:t>
      </w:r>
      <w:r w:rsidR="0068355B">
        <w:rPr>
          <w:sz w:val="26"/>
          <w:szCs w:val="26"/>
        </w:rPr>
        <w:t xml:space="preserve"> value measured at the receipt points </w:t>
      </w:r>
      <w:r w:rsidR="0068355B">
        <w:rPr>
          <w:sz w:val="26"/>
          <w:szCs w:val="26"/>
        </w:rPr>
        <w:lastRenderedPageBreak/>
        <w:t>of Columbia’s distribution system.</w:t>
      </w:r>
      <w:r w:rsidR="000E3310">
        <w:rPr>
          <w:sz w:val="26"/>
          <w:szCs w:val="26"/>
        </w:rPr>
        <w:t xml:space="preserve">  The Complainant expressed</w:t>
      </w:r>
      <w:r w:rsidR="0057127D">
        <w:rPr>
          <w:sz w:val="26"/>
          <w:szCs w:val="26"/>
        </w:rPr>
        <w:t xml:space="preserve"> concern that Columbia did not account</w:t>
      </w:r>
      <w:r w:rsidR="000E3310">
        <w:rPr>
          <w:sz w:val="26"/>
          <w:szCs w:val="26"/>
        </w:rPr>
        <w:t xml:space="preserve"> for this difference</w:t>
      </w:r>
      <w:r w:rsidR="00895396">
        <w:rPr>
          <w:sz w:val="26"/>
          <w:szCs w:val="26"/>
        </w:rPr>
        <w:t xml:space="preserve"> in developing the therm multiplier used in his bills</w:t>
      </w:r>
      <w:r w:rsidR="000E3310">
        <w:rPr>
          <w:sz w:val="26"/>
          <w:szCs w:val="26"/>
        </w:rPr>
        <w:t>.</w:t>
      </w:r>
      <w:r w:rsidR="00C9368B">
        <w:rPr>
          <w:sz w:val="26"/>
          <w:szCs w:val="26"/>
        </w:rPr>
        <w:t xml:space="preserve">  </w:t>
      </w:r>
      <w:r w:rsidR="00C9368B" w:rsidRPr="00C9368B">
        <w:rPr>
          <w:i/>
          <w:sz w:val="26"/>
          <w:szCs w:val="26"/>
        </w:rPr>
        <w:t>Id</w:t>
      </w:r>
      <w:r w:rsidR="00C9368B">
        <w:rPr>
          <w:sz w:val="26"/>
          <w:szCs w:val="26"/>
        </w:rPr>
        <w:t>.</w:t>
      </w:r>
      <w:r w:rsidR="00863D2A">
        <w:rPr>
          <w:sz w:val="26"/>
          <w:szCs w:val="26"/>
        </w:rPr>
        <w:t> </w:t>
      </w:r>
      <w:r w:rsidR="00C9368B">
        <w:rPr>
          <w:sz w:val="26"/>
          <w:szCs w:val="26"/>
        </w:rPr>
        <w:t>at 14, 22</w:t>
      </w:r>
      <w:r w:rsidR="006E71DC">
        <w:rPr>
          <w:sz w:val="26"/>
          <w:szCs w:val="26"/>
        </w:rPr>
        <w:t>-23</w:t>
      </w:r>
      <w:r w:rsidR="0057127D">
        <w:rPr>
          <w:sz w:val="26"/>
          <w:szCs w:val="26"/>
        </w:rPr>
        <w:t>, 25-27</w:t>
      </w:r>
      <w:r w:rsidR="006E71DC">
        <w:rPr>
          <w:sz w:val="26"/>
          <w:szCs w:val="26"/>
        </w:rPr>
        <w:t>.</w:t>
      </w:r>
    </w:p>
    <w:p w:rsidR="00F62FCB" w:rsidRDefault="00F62FCB" w:rsidP="00DD332A">
      <w:pPr>
        <w:widowControl/>
        <w:spacing w:line="360" w:lineRule="auto"/>
        <w:rPr>
          <w:sz w:val="26"/>
          <w:szCs w:val="26"/>
        </w:rPr>
      </w:pPr>
    </w:p>
    <w:p w:rsidR="007E3A75" w:rsidRDefault="00DA0AA0" w:rsidP="00DD332A">
      <w:pPr>
        <w:widowControl/>
        <w:spacing w:line="360" w:lineRule="auto"/>
        <w:rPr>
          <w:sz w:val="26"/>
          <w:szCs w:val="26"/>
        </w:rPr>
      </w:pPr>
      <w:r>
        <w:rPr>
          <w:sz w:val="26"/>
          <w:szCs w:val="26"/>
        </w:rPr>
        <w:tab/>
      </w:r>
      <w:r>
        <w:rPr>
          <w:sz w:val="26"/>
          <w:szCs w:val="26"/>
        </w:rPr>
        <w:tab/>
      </w:r>
      <w:r w:rsidR="003F068A">
        <w:rPr>
          <w:sz w:val="26"/>
          <w:szCs w:val="26"/>
        </w:rPr>
        <w:t>The Complainant also averred that</w:t>
      </w:r>
      <w:r>
        <w:rPr>
          <w:sz w:val="26"/>
          <w:szCs w:val="26"/>
        </w:rPr>
        <w:t>, by switching from volumetric billing to therm billing,</w:t>
      </w:r>
      <w:r w:rsidR="003F068A">
        <w:rPr>
          <w:sz w:val="26"/>
          <w:szCs w:val="26"/>
        </w:rPr>
        <w:t xml:space="preserve"> Columbia</w:t>
      </w:r>
      <w:r>
        <w:rPr>
          <w:sz w:val="26"/>
          <w:szCs w:val="26"/>
        </w:rPr>
        <w:t xml:space="preserve"> </w:t>
      </w:r>
      <w:r w:rsidR="003F068A">
        <w:rPr>
          <w:sz w:val="26"/>
          <w:szCs w:val="26"/>
        </w:rPr>
        <w:t>violat</w:t>
      </w:r>
      <w:r w:rsidR="00DF5355">
        <w:rPr>
          <w:sz w:val="26"/>
          <w:szCs w:val="26"/>
        </w:rPr>
        <w:t>ed the contract he had with</w:t>
      </w:r>
      <w:r w:rsidR="003D447C">
        <w:rPr>
          <w:sz w:val="26"/>
          <w:szCs w:val="26"/>
        </w:rPr>
        <w:t xml:space="preserve"> his NGS,</w:t>
      </w:r>
      <w:r w:rsidR="00DF5355">
        <w:rPr>
          <w:sz w:val="26"/>
          <w:szCs w:val="26"/>
        </w:rPr>
        <w:t xml:space="preserve"> </w:t>
      </w:r>
      <w:r w:rsidR="003D447C">
        <w:rPr>
          <w:sz w:val="26"/>
          <w:szCs w:val="26"/>
        </w:rPr>
        <w:t>Direct Energy</w:t>
      </w:r>
      <w:r w:rsidR="00DF5355">
        <w:rPr>
          <w:sz w:val="26"/>
          <w:szCs w:val="26"/>
        </w:rPr>
        <w:t xml:space="preserve">, during the last two months of that contract.  </w:t>
      </w:r>
      <w:r w:rsidR="00DF5355" w:rsidRPr="00DF5355">
        <w:rPr>
          <w:i/>
          <w:sz w:val="26"/>
          <w:szCs w:val="26"/>
        </w:rPr>
        <w:t>Id</w:t>
      </w:r>
      <w:r w:rsidR="00DF5355">
        <w:rPr>
          <w:sz w:val="26"/>
          <w:szCs w:val="26"/>
        </w:rPr>
        <w:t>. at 10-11.</w:t>
      </w:r>
      <w:r w:rsidR="008F2F6F">
        <w:rPr>
          <w:sz w:val="26"/>
          <w:szCs w:val="26"/>
        </w:rPr>
        <w:t xml:space="preserve">  The Complainant </w:t>
      </w:r>
      <w:r w:rsidR="0053247C">
        <w:rPr>
          <w:sz w:val="26"/>
          <w:szCs w:val="26"/>
        </w:rPr>
        <w:t>expressed concern</w:t>
      </w:r>
      <w:r w:rsidR="008F2F6F">
        <w:rPr>
          <w:sz w:val="26"/>
          <w:szCs w:val="26"/>
        </w:rPr>
        <w:t xml:space="preserve"> that, because Columbia changed the basis for the calculation of his gas bills, he could no longer understand the contract he had with Direct Energy.  </w:t>
      </w:r>
      <w:r w:rsidR="008F2F6F" w:rsidRPr="008F2F6F">
        <w:rPr>
          <w:i/>
          <w:sz w:val="26"/>
          <w:szCs w:val="26"/>
        </w:rPr>
        <w:t>Id</w:t>
      </w:r>
      <w:r w:rsidR="008F2F6F">
        <w:rPr>
          <w:sz w:val="26"/>
          <w:szCs w:val="26"/>
        </w:rPr>
        <w:t>. at 17-18.</w:t>
      </w:r>
      <w:r w:rsidR="007548E3">
        <w:rPr>
          <w:sz w:val="26"/>
          <w:szCs w:val="26"/>
        </w:rPr>
        <w:t xml:space="preserve">  Moreover,</w:t>
      </w:r>
      <w:r w:rsidR="00946F1E">
        <w:rPr>
          <w:sz w:val="26"/>
          <w:szCs w:val="26"/>
        </w:rPr>
        <w:t xml:space="preserve"> the Complainant argued</w:t>
      </w:r>
      <w:r w:rsidR="000D267E">
        <w:rPr>
          <w:sz w:val="26"/>
          <w:szCs w:val="26"/>
        </w:rPr>
        <w:t xml:space="preserve"> that the use of the therm multiplier in his ga</w:t>
      </w:r>
      <w:r w:rsidR="00484D63">
        <w:rPr>
          <w:sz w:val="26"/>
          <w:szCs w:val="26"/>
        </w:rPr>
        <w:t xml:space="preserve">s bills </w:t>
      </w:r>
      <w:r w:rsidR="000D267E">
        <w:rPr>
          <w:sz w:val="26"/>
          <w:szCs w:val="26"/>
        </w:rPr>
        <w:t>diminishes his ability to accurately compare rates from different suppliers</w:t>
      </w:r>
      <w:r w:rsidR="00484D63">
        <w:rPr>
          <w:sz w:val="26"/>
          <w:szCs w:val="26"/>
        </w:rPr>
        <w:t>, because it leads to results that the Complainant believes have not been properly explained</w:t>
      </w:r>
      <w:r w:rsidR="0012026F">
        <w:rPr>
          <w:sz w:val="26"/>
          <w:szCs w:val="26"/>
        </w:rPr>
        <w:t>.</w:t>
      </w:r>
      <w:r w:rsidR="000D267E">
        <w:rPr>
          <w:sz w:val="26"/>
          <w:szCs w:val="26"/>
        </w:rPr>
        <w:t xml:space="preserve">  </w:t>
      </w:r>
      <w:r w:rsidR="00946F1E">
        <w:rPr>
          <w:sz w:val="26"/>
          <w:szCs w:val="26"/>
        </w:rPr>
        <w:t>The Complainant appeared</w:t>
      </w:r>
      <w:r w:rsidR="0012026F">
        <w:rPr>
          <w:sz w:val="26"/>
          <w:szCs w:val="26"/>
        </w:rPr>
        <w:t xml:space="preserve"> to question whether the therm multiplier us</w:t>
      </w:r>
      <w:r w:rsidR="00641DB9">
        <w:rPr>
          <w:sz w:val="26"/>
          <w:szCs w:val="26"/>
        </w:rPr>
        <w:t>ed by Columbia</w:t>
      </w:r>
      <w:r w:rsidR="00C41124">
        <w:rPr>
          <w:sz w:val="26"/>
          <w:szCs w:val="26"/>
        </w:rPr>
        <w:t xml:space="preserve"> can </w:t>
      </w:r>
      <w:r w:rsidR="00641DB9">
        <w:rPr>
          <w:sz w:val="26"/>
          <w:szCs w:val="26"/>
        </w:rPr>
        <w:t>properly</w:t>
      </w:r>
      <w:r w:rsidR="0012026F">
        <w:rPr>
          <w:sz w:val="26"/>
          <w:szCs w:val="26"/>
        </w:rPr>
        <w:t xml:space="preserve"> </w:t>
      </w:r>
      <w:r w:rsidR="00C41124">
        <w:rPr>
          <w:sz w:val="26"/>
          <w:szCs w:val="26"/>
        </w:rPr>
        <w:t xml:space="preserve">be </w:t>
      </w:r>
      <w:r w:rsidR="0012026F">
        <w:rPr>
          <w:sz w:val="26"/>
          <w:szCs w:val="26"/>
        </w:rPr>
        <w:t>applied to gas he might receive from other suppliers</w:t>
      </w:r>
      <w:r w:rsidR="00B710D8">
        <w:rPr>
          <w:sz w:val="26"/>
          <w:szCs w:val="26"/>
        </w:rPr>
        <w:t>, and whether that allows for a meaningful comparison among different suppliers</w:t>
      </w:r>
      <w:r w:rsidR="0012026F">
        <w:rPr>
          <w:sz w:val="26"/>
          <w:szCs w:val="26"/>
        </w:rPr>
        <w:t xml:space="preserve">.  </w:t>
      </w:r>
      <w:r w:rsidR="000D267E" w:rsidRPr="000D267E">
        <w:rPr>
          <w:i/>
          <w:sz w:val="26"/>
          <w:szCs w:val="26"/>
        </w:rPr>
        <w:t>Id</w:t>
      </w:r>
      <w:r w:rsidR="001E662B">
        <w:rPr>
          <w:sz w:val="26"/>
          <w:szCs w:val="26"/>
        </w:rPr>
        <w:t>. at 58</w:t>
      </w:r>
      <w:r w:rsidR="000D267E">
        <w:rPr>
          <w:sz w:val="26"/>
          <w:szCs w:val="26"/>
        </w:rPr>
        <w:t>-</w:t>
      </w:r>
      <w:r w:rsidR="00B710D8">
        <w:rPr>
          <w:sz w:val="26"/>
          <w:szCs w:val="26"/>
        </w:rPr>
        <w:t>63.</w:t>
      </w:r>
    </w:p>
    <w:p w:rsidR="004D7316" w:rsidRDefault="004D7316" w:rsidP="00DD332A">
      <w:pPr>
        <w:widowControl/>
        <w:spacing w:line="360" w:lineRule="auto"/>
        <w:rPr>
          <w:sz w:val="26"/>
          <w:szCs w:val="26"/>
        </w:rPr>
      </w:pPr>
    </w:p>
    <w:p w:rsidR="004D7316" w:rsidRDefault="004D7316" w:rsidP="00DD332A">
      <w:pPr>
        <w:widowControl/>
        <w:spacing w:line="360" w:lineRule="auto"/>
        <w:rPr>
          <w:sz w:val="26"/>
          <w:szCs w:val="26"/>
        </w:rPr>
      </w:pPr>
      <w:r>
        <w:rPr>
          <w:sz w:val="26"/>
          <w:szCs w:val="26"/>
        </w:rPr>
        <w:tab/>
      </w:r>
      <w:r>
        <w:rPr>
          <w:sz w:val="26"/>
          <w:szCs w:val="26"/>
        </w:rPr>
        <w:tab/>
        <w:t>In response to the Complainant’</w:t>
      </w:r>
      <w:r w:rsidR="0084660B">
        <w:rPr>
          <w:sz w:val="26"/>
          <w:szCs w:val="26"/>
        </w:rPr>
        <w:t>s assertions,</w:t>
      </w:r>
      <w:r w:rsidR="0034395C">
        <w:rPr>
          <w:sz w:val="26"/>
          <w:szCs w:val="26"/>
        </w:rPr>
        <w:t xml:space="preserve"> </w:t>
      </w:r>
      <w:r>
        <w:rPr>
          <w:sz w:val="26"/>
          <w:szCs w:val="26"/>
        </w:rPr>
        <w:t>Columbia</w:t>
      </w:r>
      <w:r w:rsidR="00BE5158">
        <w:rPr>
          <w:sz w:val="26"/>
          <w:szCs w:val="26"/>
        </w:rPr>
        <w:t>’s</w:t>
      </w:r>
      <w:r w:rsidR="0034395C">
        <w:rPr>
          <w:sz w:val="26"/>
          <w:szCs w:val="26"/>
        </w:rPr>
        <w:t xml:space="preserve"> witness stated</w:t>
      </w:r>
      <w:r>
        <w:rPr>
          <w:sz w:val="26"/>
          <w:szCs w:val="26"/>
        </w:rPr>
        <w:t xml:space="preserve"> that</w:t>
      </w:r>
      <w:r w:rsidR="0034395C">
        <w:rPr>
          <w:sz w:val="26"/>
          <w:szCs w:val="26"/>
        </w:rPr>
        <w:t xml:space="preserve"> he had previously met with the Complainant and explained to him how the heating value of the gas was determined, and how the therm multiplier was derived.  The witness also explained that, while the therm multiplier appears to </w:t>
      </w:r>
      <w:r w:rsidR="00C43536">
        <w:rPr>
          <w:sz w:val="26"/>
          <w:szCs w:val="26"/>
        </w:rPr>
        <w:t>increase the volume of gas to which Columbia’s rates are applied, the rates themselves were decreased in Columbia’s 2010 rate case, so</w:t>
      </w:r>
      <w:r w:rsidR="00172F06">
        <w:rPr>
          <w:sz w:val="26"/>
          <w:szCs w:val="26"/>
        </w:rPr>
        <w:t xml:space="preserve"> that the net effect was a four-</w:t>
      </w:r>
      <w:r w:rsidR="00C43536">
        <w:rPr>
          <w:sz w:val="26"/>
          <w:szCs w:val="26"/>
        </w:rPr>
        <w:t>percent increase to the Complainant.</w:t>
      </w:r>
      <w:r w:rsidR="00BE5158">
        <w:rPr>
          <w:rStyle w:val="FootnoteReference"/>
          <w:sz w:val="26"/>
          <w:szCs w:val="26"/>
        </w:rPr>
        <w:footnoteReference w:id="4"/>
      </w:r>
      <w:r w:rsidR="00C43536">
        <w:rPr>
          <w:sz w:val="26"/>
          <w:szCs w:val="26"/>
        </w:rPr>
        <w:t xml:space="preserve">  </w:t>
      </w:r>
      <w:r w:rsidR="00C43536" w:rsidRPr="00590FF6">
        <w:rPr>
          <w:i/>
          <w:sz w:val="26"/>
          <w:szCs w:val="26"/>
        </w:rPr>
        <w:t>Id</w:t>
      </w:r>
      <w:r w:rsidR="00C43536">
        <w:rPr>
          <w:sz w:val="26"/>
          <w:szCs w:val="26"/>
        </w:rPr>
        <w:t>.</w:t>
      </w:r>
      <w:r w:rsidR="00863D2A">
        <w:rPr>
          <w:sz w:val="26"/>
          <w:szCs w:val="26"/>
        </w:rPr>
        <w:t> </w:t>
      </w:r>
      <w:r w:rsidR="00C43536">
        <w:rPr>
          <w:sz w:val="26"/>
          <w:szCs w:val="26"/>
        </w:rPr>
        <w:t>at</w:t>
      </w:r>
      <w:r w:rsidR="00863D2A">
        <w:rPr>
          <w:sz w:val="26"/>
          <w:szCs w:val="26"/>
        </w:rPr>
        <w:t> </w:t>
      </w:r>
      <w:r w:rsidR="00C43536">
        <w:rPr>
          <w:sz w:val="26"/>
          <w:szCs w:val="26"/>
        </w:rPr>
        <w:t>46</w:t>
      </w:r>
      <w:r w:rsidR="00863D2A">
        <w:rPr>
          <w:sz w:val="26"/>
          <w:szCs w:val="26"/>
        </w:rPr>
        <w:noBreakHyphen/>
      </w:r>
      <w:r w:rsidR="00C43536">
        <w:rPr>
          <w:sz w:val="26"/>
          <w:szCs w:val="26"/>
        </w:rPr>
        <w:t>48.</w:t>
      </w:r>
      <w:r w:rsidR="009C1E96">
        <w:rPr>
          <w:sz w:val="26"/>
          <w:szCs w:val="26"/>
        </w:rPr>
        <w:t xml:space="preserve">  Columbia averred that the Complainant had been given ample explanation of its therm billing methodology</w:t>
      </w:r>
      <w:r w:rsidR="00CB7B64">
        <w:rPr>
          <w:sz w:val="26"/>
          <w:szCs w:val="26"/>
        </w:rPr>
        <w:t>,</w:t>
      </w:r>
      <w:r w:rsidR="009C1E96">
        <w:rPr>
          <w:sz w:val="26"/>
          <w:szCs w:val="26"/>
        </w:rPr>
        <w:t xml:space="preserve"> both before and during the hearing, and that nothing else could be </w:t>
      </w:r>
      <w:r w:rsidR="009F1CB5">
        <w:rPr>
          <w:sz w:val="26"/>
          <w:szCs w:val="26"/>
        </w:rPr>
        <w:t>provided, short of furnishing</w:t>
      </w:r>
      <w:r w:rsidR="009C1E96">
        <w:rPr>
          <w:sz w:val="26"/>
          <w:szCs w:val="26"/>
        </w:rPr>
        <w:t xml:space="preserve"> the Complainant with</w:t>
      </w:r>
      <w:r w:rsidR="009F1CB5">
        <w:rPr>
          <w:sz w:val="26"/>
          <w:szCs w:val="26"/>
        </w:rPr>
        <w:t xml:space="preserve"> a voluminous amount of </w:t>
      </w:r>
      <w:r w:rsidR="009F1CB5">
        <w:rPr>
          <w:sz w:val="26"/>
          <w:szCs w:val="26"/>
        </w:rPr>
        <w:lastRenderedPageBreak/>
        <w:t xml:space="preserve">material containing the actual calculation of the weighted average heating value for the gas supplied to his market area.  </w:t>
      </w:r>
      <w:r w:rsidR="009F1CB5" w:rsidRPr="009F1CB5">
        <w:rPr>
          <w:i/>
          <w:sz w:val="26"/>
          <w:szCs w:val="26"/>
        </w:rPr>
        <w:t>Id</w:t>
      </w:r>
      <w:r w:rsidR="009F1CB5">
        <w:rPr>
          <w:sz w:val="26"/>
          <w:szCs w:val="26"/>
        </w:rPr>
        <w:t>. at 78-82.</w:t>
      </w:r>
    </w:p>
    <w:p w:rsidR="002D402C" w:rsidRDefault="002D402C" w:rsidP="00DD332A">
      <w:pPr>
        <w:widowControl/>
        <w:spacing w:line="360" w:lineRule="auto"/>
        <w:rPr>
          <w:sz w:val="26"/>
          <w:szCs w:val="26"/>
        </w:rPr>
      </w:pPr>
    </w:p>
    <w:p w:rsidR="008F2F6F" w:rsidRDefault="00441FEE" w:rsidP="00DD332A">
      <w:pPr>
        <w:widowControl/>
        <w:spacing w:line="360" w:lineRule="auto"/>
        <w:rPr>
          <w:sz w:val="26"/>
          <w:szCs w:val="26"/>
        </w:rPr>
      </w:pPr>
      <w:r>
        <w:rPr>
          <w:sz w:val="26"/>
          <w:szCs w:val="26"/>
        </w:rPr>
        <w:tab/>
      </w:r>
      <w:r>
        <w:rPr>
          <w:sz w:val="26"/>
          <w:szCs w:val="26"/>
        </w:rPr>
        <w:tab/>
        <w:t>In response</w:t>
      </w:r>
      <w:r w:rsidR="002D402C">
        <w:rPr>
          <w:sz w:val="26"/>
          <w:szCs w:val="26"/>
        </w:rPr>
        <w:t xml:space="preserve"> to the Complainant’s concern regarding the effect of therm billing on his ability to accurately compare prices among different gas suppliers, </w:t>
      </w:r>
      <w:r w:rsidR="0084660B">
        <w:rPr>
          <w:sz w:val="26"/>
          <w:szCs w:val="26"/>
        </w:rPr>
        <w:t xml:space="preserve">the </w:t>
      </w:r>
      <w:r w:rsidR="002D402C">
        <w:rPr>
          <w:sz w:val="26"/>
          <w:szCs w:val="26"/>
        </w:rPr>
        <w:t>Columbia</w:t>
      </w:r>
      <w:r w:rsidR="0084660B">
        <w:rPr>
          <w:sz w:val="26"/>
          <w:szCs w:val="26"/>
        </w:rPr>
        <w:t xml:space="preserve"> witness stated his understanding that a supplier is required to quote prices in whatever unit of measure the utility uses for billing.  Thus, if Columbia bills for gas usage in therms, the suppliers in Columbia’s service area must quote prices in therms, according to the witness.  </w:t>
      </w:r>
      <w:r w:rsidR="0084660B" w:rsidRPr="0084660B">
        <w:rPr>
          <w:i/>
          <w:sz w:val="26"/>
          <w:szCs w:val="26"/>
        </w:rPr>
        <w:t>Id</w:t>
      </w:r>
      <w:r w:rsidR="0084660B">
        <w:rPr>
          <w:sz w:val="26"/>
          <w:szCs w:val="26"/>
        </w:rPr>
        <w:t>. at 56.  The witness also expressed his belief that the Consumer Advocate’</w:t>
      </w:r>
      <w:r>
        <w:rPr>
          <w:sz w:val="26"/>
          <w:szCs w:val="26"/>
        </w:rPr>
        <w:t>s website should list the price-to-</w:t>
      </w:r>
      <w:r w:rsidR="0084660B">
        <w:rPr>
          <w:sz w:val="26"/>
          <w:szCs w:val="26"/>
        </w:rPr>
        <w:t>compare for Columbia and all other suppliers in the sa</w:t>
      </w:r>
      <w:r w:rsidR="00BD1DF0">
        <w:rPr>
          <w:sz w:val="26"/>
          <w:szCs w:val="26"/>
        </w:rPr>
        <w:t>me unit of measurement</w:t>
      </w:r>
      <w:r w:rsidR="0084660B">
        <w:rPr>
          <w:sz w:val="26"/>
          <w:szCs w:val="26"/>
        </w:rPr>
        <w:t xml:space="preserve">.  </w:t>
      </w:r>
      <w:r w:rsidR="0084660B" w:rsidRPr="0084660B">
        <w:rPr>
          <w:i/>
          <w:sz w:val="26"/>
          <w:szCs w:val="26"/>
        </w:rPr>
        <w:t>Id</w:t>
      </w:r>
      <w:r w:rsidR="0084660B">
        <w:rPr>
          <w:sz w:val="26"/>
          <w:szCs w:val="26"/>
        </w:rPr>
        <w:t>. at 59-60.</w:t>
      </w:r>
      <w:r w:rsidR="00641DB9">
        <w:rPr>
          <w:sz w:val="26"/>
          <w:szCs w:val="26"/>
        </w:rPr>
        <w:t xml:space="preserve">  </w:t>
      </w:r>
    </w:p>
    <w:p w:rsidR="008F2F6F" w:rsidRDefault="008F2F6F" w:rsidP="00DD332A">
      <w:pPr>
        <w:widowControl/>
        <w:spacing w:line="360" w:lineRule="auto"/>
        <w:rPr>
          <w:sz w:val="26"/>
          <w:szCs w:val="26"/>
        </w:rPr>
      </w:pPr>
    </w:p>
    <w:p w:rsidR="004077D8" w:rsidRDefault="00A92908" w:rsidP="00DD332A">
      <w:pPr>
        <w:widowControl/>
        <w:spacing w:line="360" w:lineRule="auto"/>
        <w:rPr>
          <w:sz w:val="26"/>
          <w:szCs w:val="26"/>
        </w:rPr>
      </w:pPr>
      <w:r>
        <w:rPr>
          <w:sz w:val="26"/>
          <w:szCs w:val="26"/>
        </w:rPr>
        <w:tab/>
      </w:r>
      <w:r>
        <w:rPr>
          <w:sz w:val="26"/>
          <w:szCs w:val="26"/>
        </w:rPr>
        <w:tab/>
        <w:t xml:space="preserve">For its part, Direct Energy </w:t>
      </w:r>
      <w:r w:rsidR="00294181">
        <w:rPr>
          <w:sz w:val="26"/>
          <w:szCs w:val="26"/>
        </w:rPr>
        <w:t xml:space="preserve">explained that </w:t>
      </w:r>
      <w:r w:rsidR="00396EC9">
        <w:rPr>
          <w:sz w:val="26"/>
          <w:szCs w:val="26"/>
        </w:rPr>
        <w:t xml:space="preserve">it had supplied natural gas to the Complainant pursuant to a twelve-month, fixed-price contract </w:t>
      </w:r>
      <w:r w:rsidR="006367B8">
        <w:rPr>
          <w:sz w:val="26"/>
          <w:szCs w:val="26"/>
        </w:rPr>
        <w:t xml:space="preserve">that ended in March 2012.  After the contract ended, the Complainant </w:t>
      </w:r>
      <w:r w:rsidR="00396EC9">
        <w:rPr>
          <w:sz w:val="26"/>
          <w:szCs w:val="26"/>
        </w:rPr>
        <w:t>cont</w:t>
      </w:r>
      <w:r w:rsidR="001A2BE9">
        <w:rPr>
          <w:sz w:val="26"/>
          <w:szCs w:val="26"/>
        </w:rPr>
        <w:t>inued to receive</w:t>
      </w:r>
      <w:r w:rsidR="006367B8">
        <w:rPr>
          <w:sz w:val="26"/>
          <w:szCs w:val="26"/>
        </w:rPr>
        <w:t xml:space="preserve"> gas from Direct Energy on a month-to-month basis,</w:t>
      </w:r>
      <w:r w:rsidR="001A2BE9">
        <w:rPr>
          <w:rStyle w:val="FootnoteReference"/>
          <w:sz w:val="26"/>
          <w:szCs w:val="26"/>
        </w:rPr>
        <w:footnoteReference w:id="5"/>
      </w:r>
      <w:r w:rsidR="006367B8">
        <w:rPr>
          <w:sz w:val="26"/>
          <w:szCs w:val="26"/>
        </w:rPr>
        <w:t xml:space="preserve"> and paid Direct Energy’s then-current direct-market rate in </w:t>
      </w:r>
      <w:r w:rsidR="004A0BB1">
        <w:rPr>
          <w:sz w:val="26"/>
          <w:szCs w:val="26"/>
        </w:rPr>
        <w:t>April</w:t>
      </w:r>
      <w:r w:rsidR="006367B8">
        <w:rPr>
          <w:sz w:val="26"/>
          <w:szCs w:val="26"/>
        </w:rPr>
        <w:t xml:space="preserve"> 2012.</w:t>
      </w:r>
      <w:r w:rsidR="009410B7">
        <w:rPr>
          <w:rStyle w:val="FootnoteReference"/>
          <w:sz w:val="26"/>
          <w:szCs w:val="26"/>
        </w:rPr>
        <w:footnoteReference w:id="6"/>
      </w:r>
      <w:r w:rsidR="004077D8">
        <w:rPr>
          <w:sz w:val="26"/>
          <w:szCs w:val="26"/>
        </w:rPr>
        <w:t xml:space="preserve">  The Complainant then</w:t>
      </w:r>
      <w:r w:rsidR="008E6286">
        <w:rPr>
          <w:sz w:val="26"/>
          <w:szCs w:val="26"/>
        </w:rPr>
        <w:t xml:space="preserve"> entered into a new, twelve-month, fixed-price contract with Direct Energy in May 2012</w:t>
      </w:r>
      <w:r w:rsidR="001E7091">
        <w:rPr>
          <w:sz w:val="26"/>
          <w:szCs w:val="26"/>
        </w:rPr>
        <w:t>, which the Complainant subsequently canceled without penalty, effective November</w:t>
      </w:r>
      <w:r w:rsidR="003E25AA">
        <w:rPr>
          <w:sz w:val="26"/>
          <w:szCs w:val="26"/>
        </w:rPr>
        <w:t xml:space="preserve"> 1</w:t>
      </w:r>
      <w:r w:rsidR="001E7091">
        <w:rPr>
          <w:sz w:val="26"/>
          <w:szCs w:val="26"/>
        </w:rPr>
        <w:t xml:space="preserve">, 2012.  </w:t>
      </w:r>
      <w:r w:rsidR="001E7091" w:rsidRPr="001E7091">
        <w:rPr>
          <w:i/>
          <w:sz w:val="26"/>
          <w:szCs w:val="26"/>
        </w:rPr>
        <w:t>Id</w:t>
      </w:r>
      <w:r w:rsidR="001E7091">
        <w:rPr>
          <w:sz w:val="26"/>
          <w:szCs w:val="26"/>
        </w:rPr>
        <w:t>. at 70.</w:t>
      </w:r>
    </w:p>
    <w:p w:rsidR="004077D8" w:rsidRDefault="004077D8" w:rsidP="00DD332A">
      <w:pPr>
        <w:widowControl/>
        <w:spacing w:line="360" w:lineRule="auto"/>
        <w:rPr>
          <w:sz w:val="26"/>
          <w:szCs w:val="26"/>
        </w:rPr>
      </w:pPr>
    </w:p>
    <w:p w:rsidR="00A92908" w:rsidRDefault="004077D8" w:rsidP="00DD332A">
      <w:pPr>
        <w:widowControl/>
        <w:spacing w:line="360" w:lineRule="auto"/>
        <w:rPr>
          <w:sz w:val="26"/>
          <w:szCs w:val="26"/>
        </w:rPr>
      </w:pPr>
      <w:r>
        <w:rPr>
          <w:sz w:val="26"/>
          <w:szCs w:val="26"/>
        </w:rPr>
        <w:lastRenderedPageBreak/>
        <w:tab/>
      </w:r>
      <w:r>
        <w:rPr>
          <w:sz w:val="26"/>
          <w:szCs w:val="26"/>
        </w:rPr>
        <w:tab/>
      </w:r>
      <w:r w:rsidR="00266444">
        <w:rPr>
          <w:sz w:val="26"/>
          <w:szCs w:val="26"/>
        </w:rPr>
        <w:t>Columbia billed</w:t>
      </w:r>
      <w:r w:rsidR="00294181">
        <w:rPr>
          <w:sz w:val="26"/>
          <w:szCs w:val="26"/>
        </w:rPr>
        <w:t xml:space="preserve"> the Complainant for the gas supplied by Direct Energy</w:t>
      </w:r>
      <w:r w:rsidR="00646EF4">
        <w:rPr>
          <w:sz w:val="26"/>
          <w:szCs w:val="26"/>
        </w:rPr>
        <w:t>,</w:t>
      </w:r>
      <w:r w:rsidR="00294181">
        <w:rPr>
          <w:sz w:val="26"/>
          <w:szCs w:val="26"/>
        </w:rPr>
        <w:t xml:space="preserve"> in accordance with Columbia’s consolidated billing option.  </w:t>
      </w:r>
      <w:r w:rsidR="00294181" w:rsidRPr="00294181">
        <w:rPr>
          <w:i/>
          <w:sz w:val="26"/>
          <w:szCs w:val="26"/>
        </w:rPr>
        <w:t>Id</w:t>
      </w:r>
      <w:r w:rsidR="00294181">
        <w:rPr>
          <w:sz w:val="26"/>
          <w:szCs w:val="26"/>
        </w:rPr>
        <w:t>. at 68-69.</w:t>
      </w:r>
      <w:r w:rsidR="00266444">
        <w:rPr>
          <w:sz w:val="26"/>
          <w:szCs w:val="26"/>
        </w:rPr>
        <w:t xml:space="preserve">  However, when Columbia converted from volumetric billing to therm billing, Direct Energy </w:t>
      </w:r>
      <w:r w:rsidR="003E25AA">
        <w:rPr>
          <w:sz w:val="26"/>
          <w:szCs w:val="26"/>
        </w:rPr>
        <w:t xml:space="preserve">did not immediately adjust its rates to </w:t>
      </w:r>
      <w:r w:rsidR="003D51DE">
        <w:rPr>
          <w:sz w:val="26"/>
          <w:szCs w:val="26"/>
        </w:rPr>
        <w:t xml:space="preserve">reflect the new therm billing methodology.  Direct Energy’s failure to make this adjustment resulted in overcharges to fifty-two residential customers in Columbia’s service area, including the Complainant.  </w:t>
      </w:r>
      <w:r w:rsidR="003D51DE" w:rsidRPr="003D51DE">
        <w:rPr>
          <w:i/>
          <w:sz w:val="26"/>
          <w:szCs w:val="26"/>
        </w:rPr>
        <w:t>Id</w:t>
      </w:r>
      <w:r w:rsidR="003D51DE">
        <w:rPr>
          <w:sz w:val="26"/>
          <w:szCs w:val="26"/>
        </w:rPr>
        <w:t>. at 72.</w:t>
      </w:r>
      <w:r w:rsidR="001525E2">
        <w:rPr>
          <w:sz w:val="26"/>
          <w:szCs w:val="26"/>
        </w:rPr>
        <w:t xml:space="preserve">  However, Direct Energy subsequently corrected the problem, and issued refund checks to the affected customers.  The amount of the refund received by the Complainant was $29.54.  </w:t>
      </w:r>
      <w:r w:rsidR="001525E2" w:rsidRPr="001525E2">
        <w:rPr>
          <w:i/>
          <w:sz w:val="26"/>
          <w:szCs w:val="26"/>
        </w:rPr>
        <w:t>Id</w:t>
      </w:r>
      <w:r w:rsidR="001525E2">
        <w:rPr>
          <w:sz w:val="26"/>
          <w:szCs w:val="26"/>
        </w:rPr>
        <w:t>. at 72-73; Direct Energy Exh. No. 2.</w:t>
      </w:r>
    </w:p>
    <w:p w:rsidR="007F02B9" w:rsidRDefault="007F02B9" w:rsidP="00DD332A">
      <w:pPr>
        <w:widowControl/>
        <w:spacing w:line="360" w:lineRule="auto"/>
        <w:rPr>
          <w:sz w:val="26"/>
          <w:szCs w:val="26"/>
        </w:rPr>
      </w:pPr>
    </w:p>
    <w:p w:rsidR="007F02B9" w:rsidRPr="00CE10F2" w:rsidRDefault="007F02B9" w:rsidP="00DD332A">
      <w:pPr>
        <w:widowControl/>
        <w:spacing w:line="360" w:lineRule="auto"/>
        <w:rPr>
          <w:sz w:val="26"/>
          <w:szCs w:val="26"/>
        </w:rPr>
      </w:pPr>
      <w:r>
        <w:rPr>
          <w:sz w:val="26"/>
          <w:szCs w:val="26"/>
        </w:rPr>
        <w:tab/>
      </w:r>
      <w:r>
        <w:rPr>
          <w:sz w:val="26"/>
          <w:szCs w:val="26"/>
        </w:rPr>
        <w:tab/>
        <w:t>Direct Energy’s witness asserted that, with the correction of Direct Energy’s billing format to match that of Columbia, and with the issuing of the refund check to the Complainant, the Complaint against Direct Energy had been satisfied.</w:t>
      </w:r>
      <w:r w:rsidR="00440626">
        <w:rPr>
          <w:sz w:val="26"/>
          <w:szCs w:val="26"/>
        </w:rPr>
        <w:t xml:space="preserve">  The witness further opined that the Complainant’s other allegations do not show a</w:t>
      </w:r>
      <w:r w:rsidR="00646EF4">
        <w:rPr>
          <w:sz w:val="26"/>
          <w:szCs w:val="26"/>
        </w:rPr>
        <w:t xml:space="preserve"> violation of the Commission’s Rules, Regulations or O</w:t>
      </w:r>
      <w:r w:rsidR="00440626">
        <w:rPr>
          <w:sz w:val="26"/>
          <w:szCs w:val="26"/>
        </w:rPr>
        <w:t>rders.  Therefore, the witness stated that the Complaint against Direct Energy should be dismissed.</w:t>
      </w:r>
      <w:r w:rsidR="0037608C">
        <w:rPr>
          <w:sz w:val="26"/>
          <w:szCs w:val="26"/>
        </w:rPr>
        <w:t xml:space="preserve">  </w:t>
      </w:r>
      <w:r w:rsidR="0037608C" w:rsidRPr="0037608C">
        <w:rPr>
          <w:i/>
          <w:sz w:val="26"/>
          <w:szCs w:val="26"/>
        </w:rPr>
        <w:t>Id</w:t>
      </w:r>
      <w:r w:rsidR="0037608C">
        <w:rPr>
          <w:sz w:val="26"/>
          <w:szCs w:val="26"/>
        </w:rPr>
        <w:t xml:space="preserve">. at 73.  The Complainant </w:t>
      </w:r>
      <w:r w:rsidR="00BB0840">
        <w:rPr>
          <w:sz w:val="26"/>
          <w:szCs w:val="26"/>
        </w:rPr>
        <w:t xml:space="preserve">subsequently </w:t>
      </w:r>
      <w:r w:rsidR="0037608C">
        <w:rPr>
          <w:sz w:val="26"/>
          <w:szCs w:val="26"/>
        </w:rPr>
        <w:t xml:space="preserve">agreed that Direct Energy corrected the error, and concluded that he had no further issue with regard to Direct Energy.  </w:t>
      </w:r>
      <w:r w:rsidR="0037608C" w:rsidRPr="0037608C">
        <w:rPr>
          <w:i/>
          <w:sz w:val="26"/>
          <w:szCs w:val="26"/>
        </w:rPr>
        <w:t>Id</w:t>
      </w:r>
      <w:r w:rsidR="0037608C">
        <w:rPr>
          <w:sz w:val="26"/>
          <w:szCs w:val="26"/>
        </w:rPr>
        <w:t>. at 82-83.</w:t>
      </w:r>
    </w:p>
    <w:p w:rsidR="00115DA8" w:rsidRPr="00CE10F2" w:rsidRDefault="00115DA8" w:rsidP="00DD332A">
      <w:pPr>
        <w:widowControl/>
        <w:spacing w:line="360" w:lineRule="auto"/>
        <w:rPr>
          <w:sz w:val="26"/>
          <w:szCs w:val="26"/>
        </w:rPr>
      </w:pPr>
    </w:p>
    <w:p w:rsidR="00006F35" w:rsidRPr="005D161F" w:rsidRDefault="00006F35" w:rsidP="00DD332A">
      <w:pPr>
        <w:keepNext/>
        <w:widowControl/>
        <w:spacing w:line="360" w:lineRule="auto"/>
        <w:rPr>
          <w:b/>
          <w:sz w:val="26"/>
          <w:szCs w:val="26"/>
        </w:rPr>
      </w:pPr>
      <w:r w:rsidRPr="005D161F">
        <w:rPr>
          <w:b/>
          <w:sz w:val="26"/>
          <w:szCs w:val="26"/>
        </w:rPr>
        <w:t xml:space="preserve">ALJ’s </w:t>
      </w:r>
      <w:r w:rsidR="00800499" w:rsidRPr="005D161F">
        <w:rPr>
          <w:b/>
          <w:sz w:val="26"/>
          <w:szCs w:val="26"/>
        </w:rPr>
        <w:t>Initial Decision</w:t>
      </w:r>
    </w:p>
    <w:p w:rsidR="00006F35" w:rsidRPr="005D161F" w:rsidRDefault="00006F35" w:rsidP="00DD332A">
      <w:pPr>
        <w:keepNext/>
        <w:widowControl/>
        <w:ind w:firstLine="1440"/>
        <w:rPr>
          <w:sz w:val="26"/>
          <w:szCs w:val="26"/>
        </w:rPr>
      </w:pPr>
    </w:p>
    <w:p w:rsidR="00B9144F" w:rsidRDefault="005D161F" w:rsidP="007E3A75">
      <w:pPr>
        <w:keepNext/>
        <w:widowControl/>
        <w:spacing w:line="360" w:lineRule="auto"/>
        <w:ind w:firstLine="1440"/>
        <w:rPr>
          <w:sz w:val="26"/>
          <w:szCs w:val="26"/>
        </w:rPr>
      </w:pPr>
      <w:r w:rsidRPr="005D161F">
        <w:rPr>
          <w:sz w:val="26"/>
          <w:szCs w:val="26"/>
        </w:rPr>
        <w:t>In her</w:t>
      </w:r>
      <w:r>
        <w:rPr>
          <w:sz w:val="26"/>
          <w:szCs w:val="26"/>
        </w:rPr>
        <w:t xml:space="preserve"> Initial Decision, ALJ Colwell found that Columbia adequately explained</w:t>
      </w:r>
      <w:r w:rsidR="00000651">
        <w:rPr>
          <w:sz w:val="26"/>
          <w:szCs w:val="26"/>
        </w:rPr>
        <w:t xml:space="preserve"> the operation of, and rationale for</w:t>
      </w:r>
      <w:r w:rsidR="005C64D0">
        <w:rPr>
          <w:sz w:val="26"/>
          <w:szCs w:val="26"/>
        </w:rPr>
        <w:t>,</w:t>
      </w:r>
      <w:r>
        <w:rPr>
          <w:sz w:val="26"/>
          <w:szCs w:val="26"/>
        </w:rPr>
        <w:t xml:space="preserve"> its therm billing</w:t>
      </w:r>
      <w:r w:rsidR="005C64D0">
        <w:rPr>
          <w:sz w:val="26"/>
          <w:szCs w:val="26"/>
        </w:rPr>
        <w:t xml:space="preserve"> methodology to the Complainant</w:t>
      </w:r>
      <w:r w:rsidR="00252D75">
        <w:rPr>
          <w:sz w:val="26"/>
          <w:szCs w:val="26"/>
        </w:rPr>
        <w:t>, both during</w:t>
      </w:r>
      <w:r w:rsidR="00742445">
        <w:rPr>
          <w:sz w:val="26"/>
          <w:szCs w:val="26"/>
        </w:rPr>
        <w:t xml:space="preserve"> and prior to the hearing</w:t>
      </w:r>
      <w:r w:rsidR="005C64D0">
        <w:rPr>
          <w:sz w:val="26"/>
          <w:szCs w:val="26"/>
        </w:rPr>
        <w:t>.  I.D. at 10-11, 13.  The ALJ further found that Columbia</w:t>
      </w:r>
      <w:r>
        <w:rPr>
          <w:sz w:val="26"/>
          <w:szCs w:val="26"/>
        </w:rPr>
        <w:t xml:space="preserve"> </w:t>
      </w:r>
      <w:r w:rsidR="00F04911">
        <w:rPr>
          <w:sz w:val="26"/>
          <w:szCs w:val="26"/>
        </w:rPr>
        <w:t xml:space="preserve">clearly explained the authority by which it adopted such a methodology by citing the Commission’s October 14, 2011 Opinion and Order </w:t>
      </w:r>
      <w:r w:rsidR="00252D75">
        <w:rPr>
          <w:sz w:val="26"/>
          <w:szCs w:val="26"/>
        </w:rPr>
        <w:t>approving Columbia’s conversion</w:t>
      </w:r>
      <w:r w:rsidR="005C64D0">
        <w:rPr>
          <w:sz w:val="26"/>
          <w:szCs w:val="26"/>
        </w:rPr>
        <w:t xml:space="preserve"> to therm billing in its 2010 base </w:t>
      </w:r>
      <w:r w:rsidR="00B55C9A">
        <w:rPr>
          <w:sz w:val="26"/>
          <w:szCs w:val="26"/>
        </w:rPr>
        <w:t>rate proceeding at Docket No. R</w:t>
      </w:r>
      <w:r w:rsidR="00B55C9A">
        <w:rPr>
          <w:sz w:val="26"/>
          <w:szCs w:val="26"/>
        </w:rPr>
        <w:noBreakHyphen/>
      </w:r>
      <w:r w:rsidR="005C64D0">
        <w:rPr>
          <w:sz w:val="26"/>
          <w:szCs w:val="26"/>
        </w:rPr>
        <w:t xml:space="preserve">2010-2215623.  </w:t>
      </w:r>
      <w:r w:rsidR="005C64D0" w:rsidRPr="005C64D0">
        <w:rPr>
          <w:i/>
          <w:sz w:val="26"/>
          <w:szCs w:val="26"/>
        </w:rPr>
        <w:t>Id</w:t>
      </w:r>
      <w:r w:rsidR="00B9144F">
        <w:rPr>
          <w:sz w:val="26"/>
          <w:szCs w:val="26"/>
        </w:rPr>
        <w:t>. at 12-13.</w:t>
      </w:r>
    </w:p>
    <w:p w:rsidR="00B9144F" w:rsidRDefault="00B9144F" w:rsidP="004A0BB1">
      <w:pPr>
        <w:widowControl/>
        <w:spacing w:line="360" w:lineRule="auto"/>
        <w:ind w:firstLine="1440"/>
        <w:rPr>
          <w:sz w:val="26"/>
          <w:szCs w:val="26"/>
        </w:rPr>
      </w:pPr>
    </w:p>
    <w:p w:rsidR="009155DC" w:rsidRDefault="008C1492" w:rsidP="004A0BB1">
      <w:pPr>
        <w:widowControl/>
        <w:spacing w:line="360" w:lineRule="auto"/>
        <w:ind w:firstLine="1440"/>
        <w:rPr>
          <w:sz w:val="26"/>
          <w:szCs w:val="26"/>
        </w:rPr>
      </w:pPr>
      <w:r>
        <w:rPr>
          <w:sz w:val="26"/>
          <w:szCs w:val="26"/>
        </w:rPr>
        <w:lastRenderedPageBreak/>
        <w:t>With regard to the Complainant’s concern that Columbia’s change to ther</w:t>
      </w:r>
      <w:r w:rsidR="0064558B">
        <w:rPr>
          <w:sz w:val="26"/>
          <w:szCs w:val="26"/>
        </w:rPr>
        <w:t>m billing will hinder his ability to accurately compare Columbia’s price for natural gas with that of compe</w:t>
      </w:r>
      <w:r w:rsidR="00742445">
        <w:rPr>
          <w:sz w:val="26"/>
          <w:szCs w:val="26"/>
        </w:rPr>
        <w:t xml:space="preserve">titive suppliers, the ALJ </w:t>
      </w:r>
      <w:r w:rsidR="0001221F">
        <w:rPr>
          <w:sz w:val="26"/>
          <w:szCs w:val="26"/>
        </w:rPr>
        <w:t>cited the following Commission Regulation:</w:t>
      </w:r>
    </w:p>
    <w:p w:rsidR="0001221F" w:rsidRPr="00DC15C1" w:rsidRDefault="0001221F" w:rsidP="004A0BB1">
      <w:pPr>
        <w:widowControl/>
        <w:spacing w:line="360" w:lineRule="auto"/>
        <w:ind w:firstLine="1440"/>
        <w:rPr>
          <w:sz w:val="26"/>
          <w:szCs w:val="26"/>
        </w:rPr>
      </w:pPr>
    </w:p>
    <w:p w:rsidR="00DC15C1" w:rsidRDefault="00DC15C1" w:rsidP="004A0BB1">
      <w:pPr>
        <w:widowControl/>
        <w:ind w:left="1440" w:right="1440"/>
        <w:rPr>
          <w:rFonts w:eastAsiaTheme="minorHAnsi"/>
          <w:b/>
          <w:sz w:val="26"/>
          <w:szCs w:val="26"/>
        </w:rPr>
      </w:pPr>
      <w:r w:rsidRPr="00DC15C1">
        <w:rPr>
          <w:rFonts w:eastAsiaTheme="minorHAnsi"/>
          <w:b/>
          <w:sz w:val="26"/>
          <w:szCs w:val="26"/>
        </w:rPr>
        <w:t>§ 62.77.  Marketing/sales activities.</w:t>
      </w:r>
    </w:p>
    <w:p w:rsidR="004A0BB1" w:rsidRPr="00DC15C1" w:rsidRDefault="004A0BB1" w:rsidP="004A0BB1">
      <w:pPr>
        <w:widowControl/>
        <w:ind w:left="1440" w:right="1440"/>
        <w:rPr>
          <w:rFonts w:eastAsiaTheme="minorHAnsi"/>
          <w:b/>
          <w:sz w:val="26"/>
          <w:szCs w:val="26"/>
        </w:rPr>
      </w:pPr>
    </w:p>
    <w:p w:rsidR="00DC15C1" w:rsidRPr="00DC15C1" w:rsidRDefault="00DC15C1" w:rsidP="004A0BB1">
      <w:pPr>
        <w:widowControl/>
        <w:ind w:left="1440" w:right="1440"/>
        <w:rPr>
          <w:rFonts w:eastAsiaTheme="minorHAnsi"/>
          <w:sz w:val="26"/>
          <w:szCs w:val="26"/>
        </w:rPr>
      </w:pPr>
      <w:r w:rsidRPr="00DC15C1">
        <w:rPr>
          <w:rFonts w:eastAsiaTheme="minorHAnsi"/>
          <w:sz w:val="26"/>
          <w:szCs w:val="26"/>
        </w:rPr>
        <w:t>(a) An NGS's marketed prices shall reflect disclosure statement prices and billed prices and shall be presented in the standard pricing unit of the [Natural Gas Distribution Company].</w:t>
      </w:r>
    </w:p>
    <w:p w:rsidR="00DC15C1" w:rsidRPr="00DC15C1" w:rsidRDefault="00DC15C1" w:rsidP="002B6679">
      <w:pPr>
        <w:widowControl/>
        <w:spacing w:line="360" w:lineRule="auto"/>
        <w:ind w:left="1440" w:right="1440"/>
        <w:rPr>
          <w:rFonts w:eastAsiaTheme="minorHAnsi"/>
          <w:sz w:val="26"/>
          <w:szCs w:val="26"/>
        </w:rPr>
      </w:pPr>
    </w:p>
    <w:p w:rsidR="0001221F" w:rsidRDefault="00DC15C1" w:rsidP="00DC15C1">
      <w:pPr>
        <w:widowControl/>
        <w:spacing w:line="360" w:lineRule="auto"/>
        <w:rPr>
          <w:rFonts w:eastAsiaTheme="minorHAnsi"/>
          <w:sz w:val="26"/>
          <w:szCs w:val="26"/>
        </w:rPr>
      </w:pPr>
      <w:r w:rsidRPr="00DC15C1">
        <w:rPr>
          <w:rFonts w:eastAsiaTheme="minorHAnsi"/>
          <w:sz w:val="26"/>
          <w:szCs w:val="26"/>
        </w:rPr>
        <w:t>52 Pa. Code § 62.77(a).</w:t>
      </w:r>
      <w:r>
        <w:rPr>
          <w:rFonts w:eastAsiaTheme="minorHAnsi"/>
          <w:sz w:val="26"/>
          <w:szCs w:val="26"/>
        </w:rPr>
        <w:t xml:space="preserve">  Thus, the ALJ concluded that </w:t>
      </w:r>
      <w:r w:rsidRPr="00DC15C1">
        <w:rPr>
          <w:rFonts w:eastAsiaTheme="minorHAnsi"/>
          <w:sz w:val="26"/>
          <w:szCs w:val="26"/>
        </w:rPr>
        <w:t>the NGS</w:t>
      </w:r>
      <w:r>
        <w:rPr>
          <w:rFonts w:eastAsiaTheme="minorHAnsi"/>
          <w:sz w:val="26"/>
          <w:szCs w:val="26"/>
        </w:rPr>
        <w:t>’s</w:t>
      </w:r>
      <w:r w:rsidRPr="00DC15C1">
        <w:rPr>
          <w:rFonts w:eastAsiaTheme="minorHAnsi"/>
          <w:sz w:val="26"/>
          <w:szCs w:val="26"/>
        </w:rPr>
        <w:t xml:space="preserve"> price should be</w:t>
      </w:r>
      <w:r>
        <w:rPr>
          <w:rFonts w:eastAsiaTheme="minorHAnsi"/>
          <w:sz w:val="26"/>
          <w:szCs w:val="26"/>
        </w:rPr>
        <w:t xml:space="preserve"> stated in the same pricing unit as Columbia’s</w:t>
      </w:r>
      <w:r w:rsidRPr="00DC15C1">
        <w:rPr>
          <w:rFonts w:eastAsiaTheme="minorHAnsi"/>
          <w:sz w:val="26"/>
          <w:szCs w:val="26"/>
        </w:rPr>
        <w:t xml:space="preserve"> Price to Compare</w:t>
      </w:r>
      <w:r>
        <w:rPr>
          <w:rFonts w:eastAsiaTheme="minorHAnsi"/>
          <w:sz w:val="26"/>
          <w:szCs w:val="26"/>
        </w:rPr>
        <w:t xml:space="preserve">, </w:t>
      </w:r>
      <w:r w:rsidRPr="00DC15C1">
        <w:rPr>
          <w:rFonts w:eastAsiaTheme="minorHAnsi"/>
          <w:sz w:val="26"/>
          <w:szCs w:val="26"/>
        </w:rPr>
        <w:t>providing</w:t>
      </w:r>
      <w:r>
        <w:rPr>
          <w:rFonts w:eastAsiaTheme="minorHAnsi"/>
          <w:sz w:val="26"/>
          <w:szCs w:val="26"/>
        </w:rPr>
        <w:t xml:space="preserve"> the Complainant with</w:t>
      </w:r>
      <w:r w:rsidRPr="00DC15C1">
        <w:rPr>
          <w:rFonts w:eastAsiaTheme="minorHAnsi"/>
          <w:sz w:val="26"/>
          <w:szCs w:val="26"/>
        </w:rPr>
        <w:t xml:space="preserve"> opti</w:t>
      </w:r>
      <w:r>
        <w:rPr>
          <w:rFonts w:eastAsiaTheme="minorHAnsi"/>
          <w:sz w:val="26"/>
          <w:szCs w:val="26"/>
        </w:rPr>
        <w:t xml:space="preserve">mal opportunity </w:t>
      </w:r>
      <w:r w:rsidRPr="00DC15C1">
        <w:rPr>
          <w:rFonts w:eastAsiaTheme="minorHAnsi"/>
          <w:sz w:val="26"/>
          <w:szCs w:val="26"/>
        </w:rPr>
        <w:t>to compare the pricing</w:t>
      </w:r>
      <w:r w:rsidR="00DB4F28">
        <w:rPr>
          <w:rFonts w:eastAsiaTheme="minorHAnsi"/>
          <w:sz w:val="26"/>
          <w:szCs w:val="26"/>
        </w:rPr>
        <w:t xml:space="preserve"> of</w:t>
      </w:r>
      <w:r>
        <w:rPr>
          <w:rFonts w:eastAsiaTheme="minorHAnsi"/>
          <w:sz w:val="26"/>
          <w:szCs w:val="26"/>
        </w:rPr>
        <w:t xml:space="preserve"> NGSs</w:t>
      </w:r>
      <w:r w:rsidR="00DB4F28">
        <w:rPr>
          <w:rFonts w:eastAsiaTheme="minorHAnsi"/>
          <w:sz w:val="26"/>
          <w:szCs w:val="26"/>
        </w:rPr>
        <w:t xml:space="preserve"> operating</w:t>
      </w:r>
      <w:r>
        <w:rPr>
          <w:rFonts w:eastAsiaTheme="minorHAnsi"/>
          <w:sz w:val="26"/>
          <w:szCs w:val="26"/>
        </w:rPr>
        <w:t xml:space="preserve"> in Columbia’s</w:t>
      </w:r>
      <w:r w:rsidRPr="00DC15C1">
        <w:rPr>
          <w:rFonts w:eastAsiaTheme="minorHAnsi"/>
          <w:sz w:val="26"/>
          <w:szCs w:val="26"/>
        </w:rPr>
        <w:t xml:space="preserve"> </w:t>
      </w:r>
      <w:r w:rsidR="00563649">
        <w:rPr>
          <w:rFonts w:eastAsiaTheme="minorHAnsi"/>
          <w:sz w:val="26"/>
          <w:szCs w:val="26"/>
        </w:rPr>
        <w:t xml:space="preserve">service </w:t>
      </w:r>
      <w:r w:rsidRPr="00DC15C1">
        <w:rPr>
          <w:rFonts w:eastAsiaTheme="minorHAnsi"/>
          <w:sz w:val="26"/>
          <w:szCs w:val="26"/>
        </w:rPr>
        <w:t xml:space="preserve">territory.  </w:t>
      </w:r>
      <w:r>
        <w:rPr>
          <w:rFonts w:eastAsiaTheme="minorHAnsi"/>
          <w:sz w:val="26"/>
          <w:szCs w:val="26"/>
        </w:rPr>
        <w:t>I.D. at 12-13.</w:t>
      </w:r>
      <w:r w:rsidR="00CB5C5E">
        <w:rPr>
          <w:rFonts w:eastAsiaTheme="minorHAnsi"/>
          <w:sz w:val="26"/>
          <w:szCs w:val="26"/>
        </w:rPr>
        <w:t xml:space="preserve">  In addition, the ALJ</w:t>
      </w:r>
      <w:r w:rsidR="00563649">
        <w:rPr>
          <w:rFonts w:eastAsiaTheme="minorHAnsi"/>
          <w:sz w:val="26"/>
          <w:szCs w:val="26"/>
        </w:rPr>
        <w:t xml:space="preserve"> noted that, on January 17, 2013, the website operated by the Office of Consumer Advocate and used for comparing the prices of NGSs in Columbia’s </w:t>
      </w:r>
      <w:r w:rsidR="00D01FBC">
        <w:rPr>
          <w:rFonts w:eastAsiaTheme="minorHAnsi"/>
          <w:sz w:val="26"/>
          <w:szCs w:val="26"/>
        </w:rPr>
        <w:t xml:space="preserve">service </w:t>
      </w:r>
      <w:r w:rsidR="00563649">
        <w:rPr>
          <w:rFonts w:eastAsiaTheme="minorHAnsi"/>
          <w:sz w:val="26"/>
          <w:szCs w:val="26"/>
        </w:rPr>
        <w:t xml:space="preserve">territory showed each NGS’s price in therms for that territory.  </w:t>
      </w:r>
      <w:r w:rsidR="00563649" w:rsidRPr="00563649">
        <w:rPr>
          <w:rFonts w:eastAsiaTheme="minorHAnsi"/>
          <w:i/>
          <w:sz w:val="26"/>
          <w:szCs w:val="26"/>
        </w:rPr>
        <w:t>Id</w:t>
      </w:r>
      <w:r w:rsidR="00563649">
        <w:rPr>
          <w:rFonts w:eastAsiaTheme="minorHAnsi"/>
          <w:sz w:val="26"/>
          <w:szCs w:val="26"/>
        </w:rPr>
        <w:t>. at 13</w:t>
      </w:r>
      <w:r w:rsidR="001A76C4">
        <w:rPr>
          <w:rFonts w:eastAsiaTheme="minorHAnsi"/>
          <w:sz w:val="26"/>
          <w:szCs w:val="26"/>
        </w:rPr>
        <w:t>, 14</w:t>
      </w:r>
      <w:r w:rsidR="00563649">
        <w:rPr>
          <w:rFonts w:eastAsiaTheme="minorHAnsi"/>
          <w:sz w:val="26"/>
          <w:szCs w:val="26"/>
        </w:rPr>
        <w:t>.</w:t>
      </w:r>
    </w:p>
    <w:p w:rsidR="00DA2E7B" w:rsidRDefault="00DA2E7B" w:rsidP="00DC15C1">
      <w:pPr>
        <w:widowControl/>
        <w:spacing w:line="360" w:lineRule="auto"/>
        <w:rPr>
          <w:rFonts w:eastAsiaTheme="minorHAnsi"/>
          <w:sz w:val="26"/>
          <w:szCs w:val="26"/>
        </w:rPr>
      </w:pPr>
    </w:p>
    <w:p w:rsidR="00DA2E7B" w:rsidRPr="00DC15C1" w:rsidRDefault="00DA2E7B" w:rsidP="00DC15C1">
      <w:pPr>
        <w:widowControl/>
        <w:spacing w:line="360" w:lineRule="auto"/>
        <w:rPr>
          <w:sz w:val="26"/>
          <w:szCs w:val="26"/>
        </w:rPr>
      </w:pPr>
      <w:r>
        <w:rPr>
          <w:rFonts w:eastAsiaTheme="minorHAnsi"/>
          <w:sz w:val="26"/>
          <w:szCs w:val="26"/>
        </w:rPr>
        <w:tab/>
      </w:r>
      <w:r>
        <w:rPr>
          <w:rFonts w:eastAsiaTheme="minorHAnsi"/>
          <w:sz w:val="26"/>
          <w:szCs w:val="26"/>
        </w:rPr>
        <w:tab/>
      </w:r>
      <w:r w:rsidR="003A15FF">
        <w:rPr>
          <w:rFonts w:eastAsiaTheme="minorHAnsi"/>
          <w:sz w:val="26"/>
          <w:szCs w:val="26"/>
        </w:rPr>
        <w:t xml:space="preserve">As for Direct Energy’s </w:t>
      </w:r>
      <w:r w:rsidR="001A76C4">
        <w:rPr>
          <w:rFonts w:eastAsiaTheme="minorHAnsi"/>
          <w:sz w:val="26"/>
          <w:szCs w:val="26"/>
        </w:rPr>
        <w:t xml:space="preserve">billing error, the ALJ noted that Direct Energy expressed its regrets for any inconvenience caused by the error, and that it reimbursed the Complainant for the overcharge resulting from the error.  The ALJ stated that, “[a]s Direct Energy has admitted and corrected its error, there is no evidence to support a finding of any misconduct against it.”  </w:t>
      </w:r>
      <w:r w:rsidR="001A76C4" w:rsidRPr="001A76C4">
        <w:rPr>
          <w:rFonts w:eastAsiaTheme="minorHAnsi"/>
          <w:i/>
          <w:sz w:val="26"/>
          <w:szCs w:val="26"/>
        </w:rPr>
        <w:t>Id</w:t>
      </w:r>
      <w:r w:rsidR="001A76C4">
        <w:rPr>
          <w:rFonts w:eastAsiaTheme="minorHAnsi"/>
          <w:sz w:val="26"/>
          <w:szCs w:val="26"/>
        </w:rPr>
        <w:t>.</w:t>
      </w:r>
    </w:p>
    <w:p w:rsidR="009F55FF" w:rsidRPr="00DC15C1" w:rsidRDefault="009F55FF" w:rsidP="005F184F">
      <w:pPr>
        <w:widowControl/>
        <w:spacing w:line="360" w:lineRule="auto"/>
        <w:ind w:firstLine="1440"/>
        <w:rPr>
          <w:sz w:val="26"/>
          <w:szCs w:val="26"/>
        </w:rPr>
      </w:pPr>
    </w:p>
    <w:p w:rsidR="004C516F" w:rsidRPr="00DC15C1" w:rsidRDefault="008F58B6" w:rsidP="005F184F">
      <w:pPr>
        <w:widowControl/>
        <w:spacing w:line="360" w:lineRule="auto"/>
        <w:ind w:firstLine="1440"/>
        <w:rPr>
          <w:sz w:val="26"/>
          <w:szCs w:val="26"/>
        </w:rPr>
      </w:pPr>
      <w:r>
        <w:rPr>
          <w:sz w:val="26"/>
          <w:szCs w:val="26"/>
        </w:rPr>
        <w:t xml:space="preserve">The ALJ concluded that there is no evidence in this case to support a finding that either Columbia or Direct Energy violated a Statute, Regulation, or Order of the Commission.  Rather, the ALJ stated that the evidence shows that both Columbia and Direct Energy expended considerable effort to address the Complainant’s confusion with regard to Columbia’s conversion to therm billing, both prior to and during the hearing, </w:t>
      </w:r>
      <w:r>
        <w:rPr>
          <w:sz w:val="26"/>
          <w:szCs w:val="26"/>
        </w:rPr>
        <w:lastRenderedPageBreak/>
        <w:t xml:space="preserve">and that their efforts were commendable.  </w:t>
      </w:r>
      <w:r w:rsidRPr="008F58B6">
        <w:rPr>
          <w:i/>
          <w:sz w:val="26"/>
          <w:szCs w:val="26"/>
        </w:rPr>
        <w:t>Id</w:t>
      </w:r>
      <w:r>
        <w:rPr>
          <w:sz w:val="26"/>
          <w:szCs w:val="26"/>
        </w:rPr>
        <w:t xml:space="preserve">. at 14.  Accordingly, the ALJ dismissed the Complaint.  </w:t>
      </w:r>
      <w:r w:rsidRPr="008F58B6">
        <w:rPr>
          <w:i/>
          <w:sz w:val="26"/>
          <w:szCs w:val="26"/>
        </w:rPr>
        <w:t>Id</w:t>
      </w:r>
      <w:r>
        <w:rPr>
          <w:sz w:val="26"/>
          <w:szCs w:val="26"/>
        </w:rPr>
        <w:t>. at 14, 17.</w:t>
      </w:r>
    </w:p>
    <w:p w:rsidR="004C516F" w:rsidRPr="00DC15C1" w:rsidRDefault="004C516F" w:rsidP="003E3988">
      <w:pPr>
        <w:widowControl/>
        <w:spacing w:line="360" w:lineRule="auto"/>
        <w:rPr>
          <w:sz w:val="26"/>
          <w:szCs w:val="26"/>
        </w:rPr>
      </w:pPr>
    </w:p>
    <w:p w:rsidR="00006F35" w:rsidRPr="00124683" w:rsidRDefault="00555F40" w:rsidP="00CE0483">
      <w:pPr>
        <w:keepNext/>
        <w:widowControl/>
        <w:spacing w:line="360" w:lineRule="auto"/>
        <w:rPr>
          <w:b/>
          <w:sz w:val="26"/>
          <w:szCs w:val="26"/>
        </w:rPr>
      </w:pPr>
      <w:r>
        <w:rPr>
          <w:b/>
          <w:sz w:val="26"/>
          <w:szCs w:val="26"/>
        </w:rPr>
        <w:t>Complainant’s Exceptions</w:t>
      </w:r>
    </w:p>
    <w:p w:rsidR="00B9551C" w:rsidRPr="00124683" w:rsidRDefault="00B9551C" w:rsidP="00CE0483">
      <w:pPr>
        <w:keepNext/>
        <w:widowControl/>
        <w:spacing w:line="360" w:lineRule="auto"/>
        <w:rPr>
          <w:sz w:val="26"/>
          <w:szCs w:val="26"/>
        </w:rPr>
      </w:pPr>
    </w:p>
    <w:p w:rsidR="00972963" w:rsidRDefault="00BC55A3" w:rsidP="007E3A75">
      <w:pPr>
        <w:widowControl/>
        <w:spacing w:line="360" w:lineRule="auto"/>
        <w:rPr>
          <w:sz w:val="26"/>
          <w:szCs w:val="26"/>
        </w:rPr>
      </w:pPr>
      <w:r w:rsidRPr="00124683">
        <w:rPr>
          <w:sz w:val="26"/>
          <w:szCs w:val="26"/>
        </w:rPr>
        <w:tab/>
      </w:r>
      <w:r w:rsidRPr="00124683">
        <w:rPr>
          <w:sz w:val="26"/>
          <w:szCs w:val="26"/>
        </w:rPr>
        <w:tab/>
      </w:r>
      <w:r w:rsidR="007E3A75" w:rsidRPr="00124683">
        <w:rPr>
          <w:sz w:val="26"/>
          <w:szCs w:val="26"/>
        </w:rPr>
        <w:t>In his</w:t>
      </w:r>
      <w:r w:rsidR="00513441" w:rsidRPr="00124683">
        <w:rPr>
          <w:sz w:val="26"/>
          <w:szCs w:val="26"/>
        </w:rPr>
        <w:t xml:space="preserve"> Exceptions, the Complainant </w:t>
      </w:r>
      <w:r w:rsidR="002911F0">
        <w:rPr>
          <w:sz w:val="26"/>
          <w:szCs w:val="26"/>
        </w:rPr>
        <w:t>continues to argue</w:t>
      </w:r>
      <w:r w:rsidR="00124683">
        <w:rPr>
          <w:sz w:val="26"/>
          <w:szCs w:val="26"/>
        </w:rPr>
        <w:t xml:space="preserve"> that Columbia’s therm billing methodology is unfair and inaccurate, and that this methodology must be corrected, or Columbia must return to usin</w:t>
      </w:r>
      <w:r w:rsidR="00B466DA">
        <w:rPr>
          <w:sz w:val="26"/>
          <w:szCs w:val="26"/>
        </w:rPr>
        <w:t>g its former billing system</w:t>
      </w:r>
      <w:r w:rsidR="00124683">
        <w:rPr>
          <w:sz w:val="26"/>
          <w:szCs w:val="26"/>
        </w:rPr>
        <w:t>.  Exc. at 1.</w:t>
      </w:r>
      <w:r w:rsidR="00B466DA">
        <w:rPr>
          <w:sz w:val="26"/>
          <w:szCs w:val="26"/>
        </w:rPr>
        <w:t xml:space="preserve">  Specifically, the Complainant identifies three “significant flaws” contained in the therm billing methodology, summarized as follows:</w:t>
      </w:r>
    </w:p>
    <w:p w:rsidR="00B466DA" w:rsidRDefault="00B466DA" w:rsidP="007E3A75">
      <w:pPr>
        <w:widowControl/>
        <w:spacing w:line="360" w:lineRule="auto"/>
        <w:rPr>
          <w:sz w:val="26"/>
          <w:szCs w:val="26"/>
        </w:rPr>
      </w:pPr>
    </w:p>
    <w:p w:rsidR="00B466DA" w:rsidRPr="00A97082" w:rsidRDefault="001A2355" w:rsidP="00A97082">
      <w:pPr>
        <w:pStyle w:val="ListParagraph"/>
        <w:widowControl/>
        <w:numPr>
          <w:ilvl w:val="0"/>
          <w:numId w:val="5"/>
        </w:numPr>
        <w:ind w:right="1440"/>
        <w:rPr>
          <w:sz w:val="26"/>
          <w:szCs w:val="26"/>
        </w:rPr>
      </w:pPr>
      <w:r w:rsidRPr="00A97082">
        <w:rPr>
          <w:sz w:val="26"/>
          <w:szCs w:val="26"/>
        </w:rPr>
        <w:t>Under therm billing, all customers are erroneously charged for all of the gas that enters Columbia’s distribution system, “as though it were delivered to their house for use.”</w:t>
      </w:r>
    </w:p>
    <w:p w:rsidR="001A2355" w:rsidRDefault="001A2355" w:rsidP="001A2355">
      <w:pPr>
        <w:widowControl/>
        <w:ind w:left="1440" w:right="1440"/>
        <w:rPr>
          <w:sz w:val="26"/>
          <w:szCs w:val="26"/>
        </w:rPr>
      </w:pPr>
    </w:p>
    <w:p w:rsidR="001A2355" w:rsidRPr="00261A85" w:rsidRDefault="004B04B7" w:rsidP="0008298A">
      <w:pPr>
        <w:pStyle w:val="ListParagraph"/>
        <w:widowControl/>
        <w:numPr>
          <w:ilvl w:val="0"/>
          <w:numId w:val="5"/>
        </w:numPr>
        <w:spacing w:after="200" w:line="276" w:lineRule="auto"/>
        <w:ind w:right="1440"/>
        <w:rPr>
          <w:sz w:val="26"/>
          <w:szCs w:val="26"/>
        </w:rPr>
      </w:pPr>
      <w:r w:rsidRPr="00261A85">
        <w:rPr>
          <w:sz w:val="26"/>
          <w:szCs w:val="26"/>
        </w:rPr>
        <w:t xml:space="preserve">Columbia conducts its calculations to determine the therm multiplier for each market area “in secret,” and </w:t>
      </w:r>
      <w:r w:rsidR="00BE061D" w:rsidRPr="00261A85">
        <w:rPr>
          <w:sz w:val="26"/>
          <w:szCs w:val="26"/>
        </w:rPr>
        <w:t xml:space="preserve">does not take into account </w:t>
      </w:r>
      <w:r w:rsidR="0009261B" w:rsidRPr="00261A85">
        <w:rPr>
          <w:sz w:val="26"/>
          <w:szCs w:val="26"/>
        </w:rPr>
        <w:t xml:space="preserve">the </w:t>
      </w:r>
      <w:r w:rsidR="00D966F5" w:rsidRPr="00261A85">
        <w:rPr>
          <w:sz w:val="26"/>
          <w:szCs w:val="26"/>
        </w:rPr>
        <w:t xml:space="preserve">physical condition of the distribution system in the </w:t>
      </w:r>
      <w:r w:rsidR="0009261B" w:rsidRPr="00261A85">
        <w:rPr>
          <w:sz w:val="26"/>
          <w:szCs w:val="26"/>
        </w:rPr>
        <w:t>individual area</w:t>
      </w:r>
      <w:r w:rsidR="00D966F5" w:rsidRPr="00261A85">
        <w:rPr>
          <w:sz w:val="26"/>
          <w:szCs w:val="26"/>
        </w:rPr>
        <w:t>s</w:t>
      </w:r>
      <w:r w:rsidR="0009261B" w:rsidRPr="00261A85">
        <w:rPr>
          <w:sz w:val="26"/>
          <w:szCs w:val="26"/>
        </w:rPr>
        <w:t xml:space="preserve"> in its calculations.  Thus, the accuracy of the calculations is suspect.</w:t>
      </w:r>
      <w:r w:rsidR="0046686A" w:rsidRPr="00261A85">
        <w:rPr>
          <w:sz w:val="26"/>
          <w:szCs w:val="26"/>
        </w:rPr>
        <w:t xml:space="preserve">  Also, Columbia’s requested rate </w:t>
      </w:r>
      <w:r w:rsidR="00A12565" w:rsidRPr="00261A85">
        <w:rPr>
          <w:sz w:val="26"/>
          <w:szCs w:val="26"/>
        </w:rPr>
        <w:t>increase</w:t>
      </w:r>
      <w:r w:rsidR="0048493F">
        <w:rPr>
          <w:rStyle w:val="FootnoteReference"/>
          <w:sz w:val="26"/>
          <w:szCs w:val="26"/>
        </w:rPr>
        <w:footnoteReference w:id="7"/>
      </w:r>
      <w:r w:rsidR="00A12565" w:rsidRPr="00261A85">
        <w:rPr>
          <w:sz w:val="26"/>
          <w:szCs w:val="26"/>
        </w:rPr>
        <w:t xml:space="preserve"> to replace defective piping</w:t>
      </w:r>
      <w:r w:rsidR="0046686A" w:rsidRPr="00261A85">
        <w:rPr>
          <w:sz w:val="26"/>
          <w:szCs w:val="26"/>
        </w:rPr>
        <w:t xml:space="preserve"> “has been partly prepaid by the way the new ‘Therm’ billing is calculated.”</w:t>
      </w:r>
    </w:p>
    <w:p w:rsidR="00A93307" w:rsidRDefault="00A93307" w:rsidP="001A2355">
      <w:pPr>
        <w:widowControl/>
        <w:ind w:left="1440" w:right="1440"/>
        <w:rPr>
          <w:sz w:val="26"/>
          <w:szCs w:val="26"/>
        </w:rPr>
      </w:pPr>
    </w:p>
    <w:p w:rsidR="00261A85" w:rsidRDefault="00A93307" w:rsidP="00A97082">
      <w:pPr>
        <w:pStyle w:val="ListParagraph"/>
        <w:widowControl/>
        <w:numPr>
          <w:ilvl w:val="0"/>
          <w:numId w:val="5"/>
        </w:numPr>
        <w:ind w:right="1440"/>
        <w:rPr>
          <w:sz w:val="26"/>
          <w:szCs w:val="26"/>
        </w:rPr>
      </w:pPr>
      <w:r w:rsidRPr="00A97082">
        <w:rPr>
          <w:sz w:val="26"/>
          <w:szCs w:val="26"/>
        </w:rPr>
        <w:t xml:space="preserve">Periodic checks of the gas in Columbia’s distribution system must be conducted at points other than those now used to measure the heating value of the gas, in order to determine whether the therm multiplier used in billing is accurate.  The PUC should witness or conduct these tests in order to protect consumers from </w:t>
      </w:r>
      <w:r w:rsidR="00261A85">
        <w:rPr>
          <w:sz w:val="26"/>
          <w:szCs w:val="26"/>
        </w:rPr>
        <w:br w:type="page"/>
      </w:r>
    </w:p>
    <w:p w:rsidR="00A93307" w:rsidRPr="00A97082" w:rsidRDefault="00A93307" w:rsidP="00261A85">
      <w:pPr>
        <w:pStyle w:val="ListParagraph"/>
        <w:widowControl/>
        <w:ind w:left="2160" w:right="1440"/>
        <w:rPr>
          <w:sz w:val="26"/>
          <w:szCs w:val="26"/>
        </w:rPr>
      </w:pPr>
      <w:r w:rsidRPr="00A97082">
        <w:rPr>
          <w:sz w:val="26"/>
          <w:szCs w:val="26"/>
        </w:rPr>
        <w:lastRenderedPageBreak/>
        <w:t>the economic consequences of a billing syst</w:t>
      </w:r>
      <w:r w:rsidR="002872B6">
        <w:rPr>
          <w:sz w:val="26"/>
          <w:szCs w:val="26"/>
        </w:rPr>
        <w:t xml:space="preserve">em that has not been </w:t>
      </w:r>
      <w:r w:rsidRPr="00A97082">
        <w:rPr>
          <w:sz w:val="26"/>
          <w:szCs w:val="26"/>
        </w:rPr>
        <w:t>proven to be accurate.</w:t>
      </w:r>
    </w:p>
    <w:p w:rsidR="00261A85" w:rsidRDefault="00261A85" w:rsidP="00261A85">
      <w:pPr>
        <w:widowControl/>
        <w:rPr>
          <w:i/>
          <w:sz w:val="26"/>
          <w:szCs w:val="26"/>
        </w:rPr>
      </w:pPr>
    </w:p>
    <w:p w:rsidR="00A97082" w:rsidRDefault="00A97082" w:rsidP="00A97082">
      <w:pPr>
        <w:widowControl/>
        <w:spacing w:line="360" w:lineRule="auto"/>
        <w:rPr>
          <w:sz w:val="26"/>
          <w:szCs w:val="26"/>
        </w:rPr>
      </w:pPr>
      <w:r w:rsidRPr="00A97082">
        <w:rPr>
          <w:i/>
          <w:sz w:val="26"/>
          <w:szCs w:val="26"/>
        </w:rPr>
        <w:t>Id</w:t>
      </w:r>
      <w:r>
        <w:rPr>
          <w:sz w:val="26"/>
          <w:szCs w:val="26"/>
        </w:rPr>
        <w:t>. at 2.</w:t>
      </w:r>
    </w:p>
    <w:p w:rsidR="009D38C0" w:rsidRDefault="009D38C0" w:rsidP="00A97082">
      <w:pPr>
        <w:widowControl/>
        <w:spacing w:line="360" w:lineRule="auto"/>
        <w:rPr>
          <w:sz w:val="26"/>
          <w:szCs w:val="26"/>
        </w:rPr>
      </w:pPr>
    </w:p>
    <w:p w:rsidR="009D38C0" w:rsidRDefault="009D38C0" w:rsidP="00A97082">
      <w:pPr>
        <w:widowControl/>
        <w:spacing w:line="360" w:lineRule="auto"/>
        <w:rPr>
          <w:sz w:val="26"/>
          <w:szCs w:val="26"/>
        </w:rPr>
      </w:pPr>
      <w:r>
        <w:rPr>
          <w:sz w:val="26"/>
          <w:szCs w:val="26"/>
        </w:rPr>
        <w:tab/>
      </w:r>
      <w:r>
        <w:rPr>
          <w:sz w:val="26"/>
          <w:szCs w:val="26"/>
        </w:rPr>
        <w:tab/>
        <w:t>In addition, the Complainant</w:t>
      </w:r>
      <w:r w:rsidR="00A475C5">
        <w:rPr>
          <w:sz w:val="26"/>
          <w:szCs w:val="26"/>
        </w:rPr>
        <w:t xml:space="preserve"> challenges or</w:t>
      </w:r>
      <w:r w:rsidR="005C1FB0">
        <w:rPr>
          <w:sz w:val="26"/>
          <w:szCs w:val="26"/>
        </w:rPr>
        <w:t xml:space="preserve"> </w:t>
      </w:r>
      <w:r w:rsidR="00EA4A6F">
        <w:rPr>
          <w:sz w:val="26"/>
          <w:szCs w:val="26"/>
        </w:rPr>
        <w:t>comments</w:t>
      </w:r>
      <w:r w:rsidR="00A475C5">
        <w:rPr>
          <w:sz w:val="26"/>
          <w:szCs w:val="26"/>
        </w:rPr>
        <w:t xml:space="preserve"> on </w:t>
      </w:r>
      <w:r w:rsidR="00B549FB">
        <w:rPr>
          <w:sz w:val="26"/>
          <w:szCs w:val="26"/>
        </w:rPr>
        <w:t>four</w:t>
      </w:r>
      <w:r w:rsidR="00EA4A6F">
        <w:rPr>
          <w:sz w:val="26"/>
          <w:szCs w:val="26"/>
        </w:rPr>
        <w:t xml:space="preserve"> of the ALJ’s </w:t>
      </w:r>
      <w:r w:rsidR="00BF60E7">
        <w:rPr>
          <w:sz w:val="26"/>
          <w:szCs w:val="26"/>
        </w:rPr>
        <w:t>Findings of Fact</w:t>
      </w:r>
      <w:r w:rsidR="00A475C5">
        <w:rPr>
          <w:sz w:val="26"/>
          <w:szCs w:val="26"/>
        </w:rPr>
        <w:t>.  Specifically, in Finding of Fact No. 12, the ALJ found:</w:t>
      </w:r>
    </w:p>
    <w:p w:rsidR="00EA4A6F" w:rsidRDefault="00EA4A6F" w:rsidP="00A97082">
      <w:pPr>
        <w:widowControl/>
        <w:spacing w:line="360" w:lineRule="auto"/>
        <w:rPr>
          <w:sz w:val="26"/>
          <w:szCs w:val="26"/>
        </w:rPr>
      </w:pPr>
    </w:p>
    <w:p w:rsidR="005C1FB0" w:rsidRDefault="005C1FB0" w:rsidP="005C1FB0">
      <w:pPr>
        <w:widowControl/>
        <w:ind w:left="1440" w:right="1440"/>
        <w:rPr>
          <w:sz w:val="26"/>
          <w:szCs w:val="26"/>
        </w:rPr>
      </w:pPr>
      <w:r w:rsidRPr="005C1FB0">
        <w:rPr>
          <w:sz w:val="26"/>
          <w:szCs w:val="26"/>
        </w:rPr>
        <w:t>12.</w:t>
      </w:r>
      <w:r w:rsidRPr="005C1FB0">
        <w:rPr>
          <w:sz w:val="26"/>
          <w:szCs w:val="26"/>
        </w:rPr>
        <w:tab/>
        <w:t>The conversion to therm billing is a billing conversion process, not a rate increase.  Prior to January 31, 2012, customers were billed based on the volume of gas consumed per month, and after January 31, 2012, customers would be billed based on the energy consumed per month, or therms (Thm).  Columbia Ex. 6.</w:t>
      </w:r>
    </w:p>
    <w:p w:rsidR="005C1FB0" w:rsidRDefault="005C1FB0" w:rsidP="005C1FB0">
      <w:pPr>
        <w:widowControl/>
        <w:ind w:left="1440" w:right="1440"/>
        <w:rPr>
          <w:sz w:val="26"/>
          <w:szCs w:val="26"/>
        </w:rPr>
      </w:pPr>
    </w:p>
    <w:p w:rsidR="005C1FB0" w:rsidRDefault="005C1FB0" w:rsidP="00E80176">
      <w:pPr>
        <w:widowControl/>
        <w:spacing w:line="360" w:lineRule="auto"/>
        <w:rPr>
          <w:sz w:val="26"/>
          <w:szCs w:val="26"/>
        </w:rPr>
      </w:pPr>
      <w:r>
        <w:rPr>
          <w:sz w:val="26"/>
          <w:szCs w:val="26"/>
        </w:rPr>
        <w:t>I.D. at 4.</w:t>
      </w:r>
      <w:r w:rsidR="00E80176">
        <w:rPr>
          <w:sz w:val="26"/>
          <w:szCs w:val="26"/>
        </w:rPr>
        <w:t xml:space="preserve">  </w:t>
      </w:r>
      <w:r w:rsidR="00A475C5">
        <w:rPr>
          <w:sz w:val="26"/>
          <w:szCs w:val="26"/>
        </w:rPr>
        <w:t>The Complainant contends that this finding represents an assertion by Columbia for which no evidence was presented.  The Complainant states that “[i]n fact, every Therm multiplier appearing in every bill has been greater than 1.0 and has claimed significant figures unsupported by the accuracy of the measuring procedures.”  Exc. at 1.</w:t>
      </w:r>
    </w:p>
    <w:p w:rsidR="00A475C5" w:rsidRDefault="00A475C5" w:rsidP="00A475C5">
      <w:pPr>
        <w:widowControl/>
        <w:spacing w:line="360" w:lineRule="auto"/>
        <w:rPr>
          <w:sz w:val="26"/>
          <w:szCs w:val="26"/>
        </w:rPr>
      </w:pPr>
    </w:p>
    <w:p w:rsidR="00A475C5" w:rsidRDefault="002D6AB7" w:rsidP="00A475C5">
      <w:pPr>
        <w:widowControl/>
        <w:spacing w:line="360" w:lineRule="auto"/>
        <w:rPr>
          <w:sz w:val="26"/>
          <w:szCs w:val="26"/>
        </w:rPr>
      </w:pPr>
      <w:r>
        <w:rPr>
          <w:sz w:val="26"/>
          <w:szCs w:val="26"/>
        </w:rPr>
        <w:tab/>
      </w:r>
      <w:r>
        <w:rPr>
          <w:sz w:val="26"/>
          <w:szCs w:val="26"/>
        </w:rPr>
        <w:tab/>
        <w:t>In Finding of Fact No. 14, the ALJ found:</w:t>
      </w:r>
    </w:p>
    <w:p w:rsidR="002D6AB7" w:rsidRDefault="002D6AB7" w:rsidP="00A475C5">
      <w:pPr>
        <w:widowControl/>
        <w:spacing w:line="360" w:lineRule="auto"/>
        <w:rPr>
          <w:sz w:val="26"/>
          <w:szCs w:val="26"/>
        </w:rPr>
      </w:pPr>
    </w:p>
    <w:p w:rsidR="00E80176" w:rsidRPr="00E80176" w:rsidRDefault="00E80176" w:rsidP="00E80176">
      <w:pPr>
        <w:widowControl/>
        <w:ind w:left="1440" w:right="1440"/>
        <w:rPr>
          <w:sz w:val="26"/>
          <w:szCs w:val="26"/>
        </w:rPr>
      </w:pPr>
      <w:r w:rsidRPr="00E80176">
        <w:rPr>
          <w:sz w:val="26"/>
          <w:szCs w:val="26"/>
        </w:rPr>
        <w:t>14.</w:t>
      </w:r>
      <w:r w:rsidRPr="00E80176">
        <w:rPr>
          <w:sz w:val="26"/>
          <w:szCs w:val="26"/>
        </w:rPr>
        <w:tab/>
        <w:t>Columbia's service territory is divided into eight separate market areas which do not interconnect.  Tr. 48.</w:t>
      </w:r>
    </w:p>
    <w:p w:rsidR="002D6AB7" w:rsidRPr="005C1FB0" w:rsidRDefault="002D6AB7" w:rsidP="00A475C5">
      <w:pPr>
        <w:widowControl/>
        <w:spacing w:line="360" w:lineRule="auto"/>
        <w:rPr>
          <w:sz w:val="26"/>
          <w:szCs w:val="26"/>
        </w:rPr>
      </w:pPr>
    </w:p>
    <w:p w:rsidR="00EA4A6F" w:rsidRDefault="00E80176" w:rsidP="001B0145">
      <w:pPr>
        <w:widowControl/>
        <w:spacing w:line="360" w:lineRule="auto"/>
        <w:rPr>
          <w:sz w:val="26"/>
          <w:szCs w:val="26"/>
        </w:rPr>
      </w:pPr>
      <w:r>
        <w:rPr>
          <w:sz w:val="26"/>
          <w:szCs w:val="26"/>
        </w:rPr>
        <w:t>I.D. at 4.</w:t>
      </w:r>
      <w:r w:rsidR="001B0145">
        <w:rPr>
          <w:sz w:val="26"/>
          <w:szCs w:val="26"/>
        </w:rPr>
        <w:t xml:space="preserve">  The Complainant opines that this finding “is interesting,” but asserts that none of the bills issued by Columbia indicated in which service areas the consumers were located, nor did they indicate any relationship between the therm multiplier and the service area.</w:t>
      </w:r>
      <w:r w:rsidR="00FD4F74">
        <w:rPr>
          <w:sz w:val="26"/>
          <w:szCs w:val="26"/>
        </w:rPr>
        <w:t xml:space="preserve">  Exc. at 1.</w:t>
      </w:r>
    </w:p>
    <w:p w:rsidR="00F63063" w:rsidRDefault="00F63063" w:rsidP="001B0145">
      <w:pPr>
        <w:widowControl/>
        <w:spacing w:line="360" w:lineRule="auto"/>
        <w:rPr>
          <w:sz w:val="26"/>
          <w:szCs w:val="26"/>
        </w:rPr>
      </w:pPr>
      <w:r>
        <w:rPr>
          <w:sz w:val="26"/>
          <w:szCs w:val="26"/>
        </w:rPr>
        <w:br w:type="page"/>
      </w:r>
    </w:p>
    <w:p w:rsidR="00AC14BD" w:rsidRDefault="00AC14BD" w:rsidP="001B0145">
      <w:pPr>
        <w:widowControl/>
        <w:spacing w:line="360" w:lineRule="auto"/>
        <w:rPr>
          <w:sz w:val="26"/>
          <w:szCs w:val="26"/>
        </w:rPr>
      </w:pPr>
      <w:r>
        <w:rPr>
          <w:sz w:val="26"/>
          <w:szCs w:val="26"/>
        </w:rPr>
        <w:lastRenderedPageBreak/>
        <w:tab/>
      </w:r>
      <w:r>
        <w:rPr>
          <w:sz w:val="26"/>
          <w:szCs w:val="26"/>
        </w:rPr>
        <w:tab/>
        <w:t>In Finding of Fact No</w:t>
      </w:r>
      <w:r w:rsidR="00B549FB">
        <w:rPr>
          <w:sz w:val="26"/>
          <w:szCs w:val="26"/>
        </w:rPr>
        <w:t>s</w:t>
      </w:r>
      <w:r>
        <w:rPr>
          <w:sz w:val="26"/>
          <w:szCs w:val="26"/>
        </w:rPr>
        <w:t>. 27</w:t>
      </w:r>
      <w:r w:rsidR="00B549FB">
        <w:rPr>
          <w:sz w:val="26"/>
          <w:szCs w:val="26"/>
        </w:rPr>
        <w:t xml:space="preserve"> and 28</w:t>
      </w:r>
      <w:r>
        <w:rPr>
          <w:sz w:val="26"/>
          <w:szCs w:val="26"/>
        </w:rPr>
        <w:t>, the ALJ found:</w:t>
      </w:r>
    </w:p>
    <w:p w:rsidR="00AC14BD" w:rsidRDefault="00AC14BD" w:rsidP="001B0145">
      <w:pPr>
        <w:widowControl/>
        <w:spacing w:line="360" w:lineRule="auto"/>
        <w:rPr>
          <w:sz w:val="26"/>
          <w:szCs w:val="26"/>
        </w:rPr>
      </w:pPr>
    </w:p>
    <w:p w:rsidR="00C6247C" w:rsidRPr="00C6247C" w:rsidRDefault="00C6247C" w:rsidP="00C6247C">
      <w:pPr>
        <w:widowControl/>
        <w:ind w:left="1440" w:right="1440"/>
        <w:rPr>
          <w:sz w:val="26"/>
          <w:szCs w:val="26"/>
        </w:rPr>
      </w:pPr>
      <w:r w:rsidRPr="00C6247C">
        <w:rPr>
          <w:sz w:val="26"/>
          <w:szCs w:val="26"/>
        </w:rPr>
        <w:t>27.</w:t>
      </w:r>
      <w:r w:rsidRPr="00C6247C">
        <w:rPr>
          <w:sz w:val="26"/>
          <w:szCs w:val="26"/>
        </w:rPr>
        <w:tab/>
        <w:t>Direct Energy admits that it was at fault for a billing error that occurred for 52 customers when Columbia switched to therm billing.  Tr. 72.</w:t>
      </w:r>
    </w:p>
    <w:p w:rsidR="00C6247C" w:rsidRPr="00C6247C" w:rsidRDefault="00C6247C" w:rsidP="00C6247C">
      <w:pPr>
        <w:widowControl/>
        <w:ind w:left="1440" w:right="1440"/>
        <w:rPr>
          <w:sz w:val="26"/>
          <w:szCs w:val="26"/>
        </w:rPr>
      </w:pPr>
      <w:r w:rsidRPr="00C6247C">
        <w:rPr>
          <w:sz w:val="26"/>
          <w:szCs w:val="26"/>
        </w:rPr>
        <w:t xml:space="preserve"> </w:t>
      </w:r>
    </w:p>
    <w:p w:rsidR="00E80176" w:rsidRDefault="00C6247C" w:rsidP="00C6247C">
      <w:pPr>
        <w:widowControl/>
        <w:ind w:left="1440" w:right="1440"/>
        <w:rPr>
          <w:sz w:val="26"/>
          <w:szCs w:val="26"/>
        </w:rPr>
      </w:pPr>
      <w:r w:rsidRPr="00C6247C">
        <w:rPr>
          <w:sz w:val="26"/>
          <w:szCs w:val="26"/>
        </w:rPr>
        <w:t>28.</w:t>
      </w:r>
      <w:r w:rsidRPr="00C6247C">
        <w:rPr>
          <w:sz w:val="26"/>
          <w:szCs w:val="26"/>
        </w:rPr>
        <w:tab/>
        <w:t>The amount of the error to Complainant's bill was $29.56, which was refunded to Complainant.  Tr. 72-73.</w:t>
      </w:r>
    </w:p>
    <w:p w:rsidR="00E80176" w:rsidRDefault="00E80176" w:rsidP="00EA4A6F">
      <w:pPr>
        <w:widowControl/>
        <w:spacing w:line="360" w:lineRule="auto"/>
        <w:ind w:left="1440" w:right="1440"/>
        <w:rPr>
          <w:sz w:val="26"/>
          <w:szCs w:val="26"/>
        </w:rPr>
      </w:pPr>
    </w:p>
    <w:p w:rsidR="00C6247C" w:rsidRDefault="00C6247C" w:rsidP="00C6247C">
      <w:pPr>
        <w:widowControl/>
        <w:spacing w:line="360" w:lineRule="auto"/>
        <w:rPr>
          <w:sz w:val="26"/>
          <w:szCs w:val="26"/>
        </w:rPr>
      </w:pPr>
      <w:r>
        <w:rPr>
          <w:sz w:val="26"/>
          <w:szCs w:val="26"/>
        </w:rPr>
        <w:t xml:space="preserve">I.D. at 5-6.  </w:t>
      </w:r>
      <w:r w:rsidR="00CB217B">
        <w:rPr>
          <w:sz w:val="26"/>
          <w:szCs w:val="26"/>
        </w:rPr>
        <w:t>The Complainant asserts that these findings “are consistent with all other pricing by Direct Energy and Columbia in that the nature of the error and the calculations to correct are not divulged.”  Exc. at 1.</w:t>
      </w:r>
    </w:p>
    <w:p w:rsidR="00D25B17" w:rsidRDefault="00D25B17" w:rsidP="00C6247C">
      <w:pPr>
        <w:widowControl/>
        <w:spacing w:line="360" w:lineRule="auto"/>
        <w:rPr>
          <w:sz w:val="26"/>
          <w:szCs w:val="26"/>
        </w:rPr>
      </w:pPr>
    </w:p>
    <w:p w:rsidR="00D25B17" w:rsidRPr="00124683" w:rsidRDefault="00D25B17" w:rsidP="00C6247C">
      <w:pPr>
        <w:widowControl/>
        <w:spacing w:line="360" w:lineRule="auto"/>
        <w:rPr>
          <w:sz w:val="26"/>
          <w:szCs w:val="26"/>
        </w:rPr>
      </w:pPr>
      <w:r>
        <w:rPr>
          <w:sz w:val="26"/>
          <w:szCs w:val="26"/>
        </w:rPr>
        <w:tab/>
      </w:r>
      <w:r>
        <w:rPr>
          <w:sz w:val="26"/>
          <w:szCs w:val="26"/>
        </w:rPr>
        <w:tab/>
        <w:t xml:space="preserve">Finally, </w:t>
      </w:r>
      <w:r w:rsidR="008F3AB7">
        <w:rPr>
          <w:sz w:val="26"/>
          <w:szCs w:val="26"/>
        </w:rPr>
        <w:t>the Complainant submits</w:t>
      </w:r>
      <w:r>
        <w:rPr>
          <w:sz w:val="26"/>
          <w:szCs w:val="26"/>
        </w:rPr>
        <w:t xml:space="preserve"> that the ALJ’s Conclusions of Law should be revised to state that it is within the authority of the PUC to declare that Columbia’s heating value measurements do not improve the accuracy of its therm billing system, and that its bills do not provide sufficient information </w:t>
      </w:r>
      <w:r w:rsidR="004A38A4">
        <w:rPr>
          <w:sz w:val="26"/>
          <w:szCs w:val="26"/>
        </w:rPr>
        <w:t xml:space="preserve">to identify the area assigned to each customer, or the data used to determine the therm multiplier.  </w:t>
      </w:r>
      <w:r w:rsidR="004A38A4" w:rsidRPr="004A38A4">
        <w:rPr>
          <w:i/>
          <w:sz w:val="26"/>
          <w:szCs w:val="26"/>
        </w:rPr>
        <w:t>Id</w:t>
      </w:r>
      <w:r w:rsidR="004A38A4">
        <w:rPr>
          <w:sz w:val="26"/>
          <w:szCs w:val="26"/>
        </w:rPr>
        <w:t>. at 2.</w:t>
      </w:r>
      <w:r w:rsidR="008F3AB7">
        <w:rPr>
          <w:sz w:val="26"/>
          <w:szCs w:val="26"/>
        </w:rPr>
        <w:t xml:space="preserve">  T</w:t>
      </w:r>
      <w:r w:rsidR="004A38A4">
        <w:rPr>
          <w:sz w:val="26"/>
          <w:szCs w:val="26"/>
        </w:rPr>
        <w:t xml:space="preserve">he Complainant </w:t>
      </w:r>
      <w:r w:rsidR="008F3AB7">
        <w:rPr>
          <w:sz w:val="26"/>
          <w:szCs w:val="26"/>
        </w:rPr>
        <w:t>also requests</w:t>
      </w:r>
      <w:r w:rsidR="004A38A4">
        <w:rPr>
          <w:sz w:val="26"/>
          <w:szCs w:val="26"/>
        </w:rPr>
        <w:t xml:space="preserve"> that the ALJ’s Ordering Paragraphs</w:t>
      </w:r>
      <w:r w:rsidR="008F3AB7">
        <w:rPr>
          <w:sz w:val="26"/>
          <w:szCs w:val="26"/>
        </w:rPr>
        <w:t xml:space="preserve"> </w:t>
      </w:r>
      <w:r w:rsidR="004A38A4">
        <w:rPr>
          <w:sz w:val="26"/>
          <w:szCs w:val="26"/>
        </w:rPr>
        <w:t>be revised to include a requirement that “designated technically qualified members of the PUC” be assigned to evaluate</w:t>
      </w:r>
      <w:r w:rsidR="00316699">
        <w:rPr>
          <w:sz w:val="26"/>
          <w:szCs w:val="26"/>
        </w:rPr>
        <w:t xml:space="preserve"> the accuracy of therm billing, the need for additional sampling of the gas in each customer area, and “whether the maintenance related costs have been redistributed correctly by the new monthly billing system.”  </w:t>
      </w:r>
      <w:r w:rsidR="00316699" w:rsidRPr="004F29CB">
        <w:rPr>
          <w:i/>
          <w:sz w:val="26"/>
          <w:szCs w:val="26"/>
        </w:rPr>
        <w:t>Id</w:t>
      </w:r>
      <w:r w:rsidR="00316699">
        <w:rPr>
          <w:sz w:val="26"/>
          <w:szCs w:val="26"/>
        </w:rPr>
        <w:t>. at 3.</w:t>
      </w:r>
      <w:r w:rsidR="008F3AB7">
        <w:rPr>
          <w:sz w:val="26"/>
          <w:szCs w:val="26"/>
        </w:rPr>
        <w:t xml:space="preserve">  In addition, the Complainant requests</w:t>
      </w:r>
      <w:r w:rsidR="004F29CB">
        <w:rPr>
          <w:sz w:val="26"/>
          <w:szCs w:val="26"/>
        </w:rPr>
        <w:t xml:space="preserve"> that the information provided on Columbia’s bills be reviewed to ensure that it is correct and “consistent with an informed purchase decision f</w:t>
      </w:r>
      <w:r w:rsidR="002D2C16">
        <w:rPr>
          <w:sz w:val="26"/>
          <w:szCs w:val="26"/>
        </w:rPr>
        <w:t>rom the available gas suppliers.</w:t>
      </w:r>
      <w:r w:rsidR="004F29CB">
        <w:rPr>
          <w:sz w:val="26"/>
          <w:szCs w:val="26"/>
        </w:rPr>
        <w:t>”</w:t>
      </w:r>
      <w:r w:rsidR="00A9546A">
        <w:rPr>
          <w:sz w:val="26"/>
          <w:szCs w:val="26"/>
        </w:rPr>
        <w:t xml:space="preserve">  </w:t>
      </w:r>
      <w:r w:rsidR="00A9546A" w:rsidRPr="00A9546A">
        <w:rPr>
          <w:i/>
          <w:sz w:val="26"/>
          <w:szCs w:val="26"/>
        </w:rPr>
        <w:t>Id</w:t>
      </w:r>
      <w:r w:rsidR="00A9546A">
        <w:rPr>
          <w:sz w:val="26"/>
          <w:szCs w:val="26"/>
        </w:rPr>
        <w:t>.</w:t>
      </w:r>
    </w:p>
    <w:p w:rsidR="00972963" w:rsidRDefault="00972963" w:rsidP="006A22B6">
      <w:pPr>
        <w:widowControl/>
        <w:spacing w:line="360" w:lineRule="auto"/>
        <w:rPr>
          <w:sz w:val="26"/>
          <w:szCs w:val="26"/>
        </w:rPr>
      </w:pPr>
    </w:p>
    <w:p w:rsidR="00555F40" w:rsidRPr="00555F40" w:rsidRDefault="00555F40" w:rsidP="005964E0">
      <w:pPr>
        <w:keepNext/>
        <w:widowControl/>
        <w:spacing w:line="360" w:lineRule="auto"/>
        <w:rPr>
          <w:b/>
          <w:sz w:val="26"/>
          <w:szCs w:val="26"/>
        </w:rPr>
      </w:pPr>
      <w:r w:rsidRPr="00555F40">
        <w:rPr>
          <w:b/>
          <w:sz w:val="26"/>
          <w:szCs w:val="26"/>
        </w:rPr>
        <w:t>Columbia’s Replies to Complainant’s Exceptions</w:t>
      </w:r>
    </w:p>
    <w:p w:rsidR="00555F40" w:rsidRPr="00124683" w:rsidRDefault="00555F40" w:rsidP="005964E0">
      <w:pPr>
        <w:keepNext/>
        <w:widowControl/>
        <w:spacing w:line="360" w:lineRule="auto"/>
        <w:rPr>
          <w:sz w:val="26"/>
          <w:szCs w:val="26"/>
        </w:rPr>
      </w:pPr>
    </w:p>
    <w:p w:rsidR="007E3A75" w:rsidRDefault="004875D5" w:rsidP="005964E0">
      <w:pPr>
        <w:keepNext/>
        <w:widowControl/>
        <w:spacing w:line="360" w:lineRule="auto"/>
        <w:rPr>
          <w:sz w:val="26"/>
          <w:szCs w:val="26"/>
        </w:rPr>
      </w:pPr>
      <w:r>
        <w:rPr>
          <w:sz w:val="26"/>
          <w:szCs w:val="26"/>
        </w:rPr>
        <w:tab/>
      </w:r>
      <w:r>
        <w:rPr>
          <w:sz w:val="26"/>
          <w:szCs w:val="26"/>
        </w:rPr>
        <w:tab/>
        <w:t xml:space="preserve">In its Replies to the Complainant’s Exceptions, Columbia asserts that the Complainant raises no new issues, but simply continues to argue that Columbia’s therm </w:t>
      </w:r>
      <w:r>
        <w:rPr>
          <w:sz w:val="26"/>
          <w:szCs w:val="26"/>
        </w:rPr>
        <w:lastRenderedPageBreak/>
        <w:t>billing procedure “does not meet Complainant’s amorphous and subjective requirements for billing customers.”  Columbia R. Exc. at 1.</w:t>
      </w:r>
      <w:r w:rsidR="00A63379">
        <w:rPr>
          <w:sz w:val="26"/>
          <w:szCs w:val="26"/>
        </w:rPr>
        <w:t xml:space="preserve">  Columbia contends that the Complainant continues to ignore the extensive record evidence regarding the operation of the therm billing process, and the extensive explanatory material provided to the Complainant.  </w:t>
      </w:r>
      <w:r w:rsidR="00A63379" w:rsidRPr="00A63379">
        <w:rPr>
          <w:i/>
          <w:sz w:val="26"/>
          <w:szCs w:val="26"/>
        </w:rPr>
        <w:t>Id</w:t>
      </w:r>
      <w:r w:rsidR="00D966F5">
        <w:rPr>
          <w:sz w:val="26"/>
          <w:szCs w:val="26"/>
        </w:rPr>
        <w:t>.</w:t>
      </w:r>
      <w:r w:rsidR="003A0D28">
        <w:rPr>
          <w:sz w:val="26"/>
          <w:szCs w:val="26"/>
        </w:rPr>
        <w:t xml:space="preserve">  Columbia further argues that the Complainant “does not understand, or is unwilling to accept, the need for and the fairness of a reasonable basis of billing based on measured consumption and thermal value and is arguing for a wholly unrealistic, prohibitively expensive and unnecessary billing system for which he and other customers surely would not be willing to pay.”  </w:t>
      </w:r>
      <w:r w:rsidR="003A0D28" w:rsidRPr="003A0D28">
        <w:rPr>
          <w:i/>
          <w:sz w:val="26"/>
          <w:szCs w:val="26"/>
        </w:rPr>
        <w:t>Id</w:t>
      </w:r>
      <w:r w:rsidR="003A0D28">
        <w:rPr>
          <w:sz w:val="26"/>
          <w:szCs w:val="26"/>
        </w:rPr>
        <w:t>. at 2.</w:t>
      </w:r>
    </w:p>
    <w:p w:rsidR="00227FAB" w:rsidRDefault="00227FAB" w:rsidP="006A22B6">
      <w:pPr>
        <w:widowControl/>
        <w:spacing w:line="360" w:lineRule="auto"/>
        <w:rPr>
          <w:sz w:val="26"/>
          <w:szCs w:val="26"/>
        </w:rPr>
      </w:pPr>
    </w:p>
    <w:p w:rsidR="00227FAB" w:rsidRDefault="00227FAB" w:rsidP="006A22B6">
      <w:pPr>
        <w:widowControl/>
        <w:spacing w:line="360" w:lineRule="auto"/>
        <w:rPr>
          <w:sz w:val="26"/>
          <w:szCs w:val="26"/>
        </w:rPr>
      </w:pPr>
      <w:r>
        <w:rPr>
          <w:sz w:val="26"/>
          <w:szCs w:val="26"/>
        </w:rPr>
        <w:tab/>
      </w:r>
      <w:r>
        <w:rPr>
          <w:sz w:val="26"/>
          <w:szCs w:val="26"/>
        </w:rPr>
        <w:tab/>
      </w:r>
      <w:r w:rsidR="003A6FF0">
        <w:rPr>
          <w:sz w:val="26"/>
          <w:szCs w:val="26"/>
        </w:rPr>
        <w:t>Columbia</w:t>
      </w:r>
      <w:r w:rsidR="008B63EC">
        <w:rPr>
          <w:sz w:val="26"/>
          <w:szCs w:val="26"/>
        </w:rPr>
        <w:t xml:space="preserve"> also</w:t>
      </w:r>
      <w:r w:rsidR="003A6FF0">
        <w:rPr>
          <w:sz w:val="26"/>
          <w:szCs w:val="26"/>
        </w:rPr>
        <w:t xml:space="preserve"> disputes the assertions made by the Complainant with regard to the ALJ’s Findings of Fact.  Specifically, with respect to Finding of Fact No. 12, Columbia contends that</w:t>
      </w:r>
      <w:r w:rsidR="00AA0965">
        <w:rPr>
          <w:sz w:val="26"/>
          <w:szCs w:val="26"/>
        </w:rPr>
        <w:t xml:space="preserve"> this is a factual statement by the ALJ that was supported and explained in its Exhibit No. 6, as well as by its witness in this proceeding.</w:t>
      </w:r>
      <w:r w:rsidR="00D67F40">
        <w:rPr>
          <w:sz w:val="26"/>
          <w:szCs w:val="26"/>
        </w:rPr>
        <w:t xml:space="preserve">  </w:t>
      </w:r>
      <w:r w:rsidR="00E06BB6" w:rsidRPr="00E06BB6">
        <w:rPr>
          <w:i/>
          <w:sz w:val="26"/>
          <w:szCs w:val="26"/>
        </w:rPr>
        <w:t>Id</w:t>
      </w:r>
      <w:r w:rsidR="00E06BB6">
        <w:rPr>
          <w:sz w:val="26"/>
          <w:szCs w:val="26"/>
        </w:rPr>
        <w:t xml:space="preserve">. at 1-2.  </w:t>
      </w:r>
      <w:r w:rsidR="00D67F40">
        <w:rPr>
          <w:sz w:val="26"/>
          <w:szCs w:val="26"/>
        </w:rPr>
        <w:t>With respect</w:t>
      </w:r>
      <w:r w:rsidR="00AA0965">
        <w:rPr>
          <w:sz w:val="26"/>
          <w:szCs w:val="26"/>
        </w:rPr>
        <w:t xml:space="preserve"> to Finding of Fact No. 14, Columbia argues that the Complainant’s concern regarding the lack of certain information </w:t>
      </w:r>
      <w:r w:rsidR="00546F58">
        <w:rPr>
          <w:sz w:val="26"/>
          <w:szCs w:val="26"/>
        </w:rPr>
        <w:t>on its bills was “extensively discussed”</w:t>
      </w:r>
      <w:r w:rsidR="00D67F40">
        <w:rPr>
          <w:sz w:val="26"/>
          <w:szCs w:val="26"/>
        </w:rPr>
        <w:t xml:space="preserve"> by its witness, and that the Complainant’s assertion in this regard is incorrect.</w:t>
      </w:r>
      <w:r w:rsidR="00E06BB6">
        <w:rPr>
          <w:sz w:val="26"/>
          <w:szCs w:val="26"/>
        </w:rPr>
        <w:t xml:space="preserve">  </w:t>
      </w:r>
      <w:r w:rsidR="00E06BB6" w:rsidRPr="00E06BB6">
        <w:rPr>
          <w:i/>
          <w:sz w:val="26"/>
          <w:szCs w:val="26"/>
        </w:rPr>
        <w:t>Id</w:t>
      </w:r>
      <w:r w:rsidR="00E06BB6">
        <w:rPr>
          <w:sz w:val="26"/>
          <w:szCs w:val="26"/>
        </w:rPr>
        <w:t>. at 2.</w:t>
      </w:r>
    </w:p>
    <w:p w:rsidR="00D966F5" w:rsidRDefault="00D966F5" w:rsidP="006A22B6">
      <w:pPr>
        <w:widowControl/>
        <w:spacing w:line="360" w:lineRule="auto"/>
        <w:rPr>
          <w:sz w:val="26"/>
          <w:szCs w:val="26"/>
        </w:rPr>
      </w:pPr>
    </w:p>
    <w:p w:rsidR="00D966F5" w:rsidRDefault="00D966F5" w:rsidP="006A22B6">
      <w:pPr>
        <w:widowControl/>
        <w:spacing w:line="360" w:lineRule="auto"/>
        <w:rPr>
          <w:sz w:val="26"/>
          <w:szCs w:val="26"/>
        </w:rPr>
      </w:pPr>
      <w:r>
        <w:rPr>
          <w:sz w:val="26"/>
          <w:szCs w:val="26"/>
        </w:rPr>
        <w:tab/>
      </w:r>
      <w:r>
        <w:rPr>
          <w:sz w:val="26"/>
          <w:szCs w:val="26"/>
        </w:rPr>
        <w:tab/>
      </w:r>
      <w:r w:rsidR="00E57676">
        <w:rPr>
          <w:sz w:val="26"/>
          <w:szCs w:val="26"/>
        </w:rPr>
        <w:t xml:space="preserve">Columbia also addresses each of the alleged “significant flaws” of its therm billing methodology enumerated by the Complainant in his Exceptions.  </w:t>
      </w:r>
      <w:r w:rsidR="002434EB">
        <w:rPr>
          <w:sz w:val="26"/>
          <w:szCs w:val="26"/>
        </w:rPr>
        <w:t>In summary</w:t>
      </w:r>
      <w:r w:rsidR="00E57676">
        <w:rPr>
          <w:sz w:val="26"/>
          <w:szCs w:val="26"/>
        </w:rPr>
        <w:t xml:space="preserve">, Columbia contends that the Complainant </w:t>
      </w:r>
      <w:r w:rsidR="00FF0CD1">
        <w:rPr>
          <w:sz w:val="26"/>
          <w:szCs w:val="26"/>
        </w:rPr>
        <w:t>provides no re</w:t>
      </w:r>
      <w:r w:rsidR="002434EB">
        <w:rPr>
          <w:sz w:val="26"/>
          <w:szCs w:val="26"/>
        </w:rPr>
        <w:t>cord support for his assertions</w:t>
      </w:r>
      <w:r w:rsidR="00FF0CD1">
        <w:rPr>
          <w:sz w:val="26"/>
          <w:szCs w:val="26"/>
        </w:rPr>
        <w:t xml:space="preserve">, </w:t>
      </w:r>
      <w:r w:rsidR="002434EB">
        <w:rPr>
          <w:sz w:val="26"/>
          <w:szCs w:val="26"/>
        </w:rPr>
        <w:t xml:space="preserve">does not understand principles of gas distribution system operations or ratemaking, and ignores the explanations provided by Columbia’s witness with respect to the rationale behind its therm billing methodology.  </w:t>
      </w:r>
      <w:r w:rsidR="002434EB" w:rsidRPr="001A1946">
        <w:rPr>
          <w:i/>
          <w:sz w:val="26"/>
          <w:szCs w:val="26"/>
        </w:rPr>
        <w:t>Id</w:t>
      </w:r>
      <w:r w:rsidR="002434EB">
        <w:rPr>
          <w:sz w:val="26"/>
          <w:szCs w:val="26"/>
        </w:rPr>
        <w:t>. at 2-3.</w:t>
      </w:r>
    </w:p>
    <w:p w:rsidR="00AE499D" w:rsidRDefault="00AE499D" w:rsidP="006A22B6">
      <w:pPr>
        <w:widowControl/>
        <w:spacing w:line="360" w:lineRule="auto"/>
        <w:rPr>
          <w:sz w:val="26"/>
          <w:szCs w:val="26"/>
        </w:rPr>
      </w:pPr>
    </w:p>
    <w:p w:rsidR="00AE499D" w:rsidRDefault="00AE499D" w:rsidP="006A22B6">
      <w:pPr>
        <w:widowControl/>
        <w:spacing w:line="360" w:lineRule="auto"/>
        <w:rPr>
          <w:sz w:val="26"/>
          <w:szCs w:val="26"/>
        </w:rPr>
      </w:pPr>
      <w:r>
        <w:rPr>
          <w:sz w:val="26"/>
          <w:szCs w:val="26"/>
        </w:rPr>
        <w:tab/>
      </w:r>
      <w:r>
        <w:rPr>
          <w:sz w:val="26"/>
          <w:szCs w:val="26"/>
        </w:rPr>
        <w:tab/>
        <w:t xml:space="preserve">With regard to the Complainant’s </w:t>
      </w:r>
      <w:r w:rsidR="000411B5">
        <w:rPr>
          <w:sz w:val="26"/>
          <w:szCs w:val="26"/>
        </w:rPr>
        <w:t>request that the ALJ’s Conclusions of Law and Ordering Paragraph’s be revised</w:t>
      </w:r>
      <w:r w:rsidR="00D935BB">
        <w:rPr>
          <w:sz w:val="26"/>
          <w:szCs w:val="26"/>
        </w:rPr>
        <w:t xml:space="preserve"> to refl</w:t>
      </w:r>
      <w:r w:rsidR="00F16434">
        <w:rPr>
          <w:sz w:val="26"/>
          <w:szCs w:val="26"/>
        </w:rPr>
        <w:t>ect his concerns, Columbia respond</w:t>
      </w:r>
      <w:r w:rsidR="00D935BB">
        <w:rPr>
          <w:sz w:val="26"/>
          <w:szCs w:val="26"/>
        </w:rPr>
        <w:t>s a</w:t>
      </w:r>
      <w:r w:rsidR="00FD1ABB">
        <w:rPr>
          <w:sz w:val="26"/>
          <w:szCs w:val="26"/>
        </w:rPr>
        <w:t>s</w:t>
      </w:r>
      <w:r w:rsidR="00D935BB">
        <w:rPr>
          <w:sz w:val="26"/>
          <w:szCs w:val="26"/>
        </w:rPr>
        <w:t xml:space="preserve"> follows:</w:t>
      </w:r>
    </w:p>
    <w:p w:rsidR="00D935BB" w:rsidRDefault="00D935BB" w:rsidP="006A22B6">
      <w:pPr>
        <w:widowControl/>
        <w:spacing w:line="360" w:lineRule="auto"/>
        <w:rPr>
          <w:sz w:val="26"/>
          <w:szCs w:val="26"/>
        </w:rPr>
      </w:pPr>
    </w:p>
    <w:p w:rsidR="00E719CE" w:rsidRDefault="00E719CE" w:rsidP="00E719CE">
      <w:pPr>
        <w:widowControl/>
        <w:ind w:left="1440" w:right="1440"/>
        <w:rPr>
          <w:sz w:val="26"/>
          <w:szCs w:val="26"/>
        </w:rPr>
      </w:pPr>
      <w:r>
        <w:rPr>
          <w:sz w:val="26"/>
          <w:szCs w:val="26"/>
        </w:rPr>
        <w:lastRenderedPageBreak/>
        <w:t xml:space="preserve">. . . Columbia Gas again reiterates that the methodology for thermal billing about which Complainant is concerned was considered by the Commission in a fully litigated rate case proceeding at Docket No. R-2010-2215623, </w:t>
      </w:r>
      <w:r w:rsidRPr="00E719CE">
        <w:rPr>
          <w:i/>
          <w:sz w:val="26"/>
          <w:szCs w:val="26"/>
        </w:rPr>
        <w:t>et al</w:t>
      </w:r>
      <w:r>
        <w:rPr>
          <w:sz w:val="26"/>
          <w:szCs w:val="26"/>
        </w:rPr>
        <w:t>, that Complainant was provided with notice of the proceeding and that Complainant, having voluntarily failed to participate in the proceeding, should not be heard to complain regarding the thermal billing methodology.  Therefore, Complainant’s concerns have been fully addressed, both in the 2010 rate case proceeding and in this proceeding, and provisions are in place to ensure that Complainant is correctly billed for accurately measured consumption in accordance with duly filed and approved tariff rates.</w:t>
      </w:r>
    </w:p>
    <w:p w:rsidR="00814F25" w:rsidRDefault="00814F25" w:rsidP="00E719CE">
      <w:pPr>
        <w:widowControl/>
        <w:ind w:left="1440" w:right="1440"/>
        <w:rPr>
          <w:sz w:val="26"/>
          <w:szCs w:val="26"/>
        </w:rPr>
      </w:pPr>
    </w:p>
    <w:p w:rsidR="00814F25" w:rsidRDefault="00814F25" w:rsidP="00814F25">
      <w:pPr>
        <w:widowControl/>
        <w:spacing w:line="360" w:lineRule="auto"/>
        <w:rPr>
          <w:sz w:val="26"/>
          <w:szCs w:val="26"/>
        </w:rPr>
      </w:pPr>
      <w:r w:rsidRPr="00814F25">
        <w:rPr>
          <w:i/>
          <w:sz w:val="26"/>
          <w:szCs w:val="26"/>
        </w:rPr>
        <w:t>Id</w:t>
      </w:r>
      <w:r>
        <w:rPr>
          <w:sz w:val="26"/>
          <w:szCs w:val="26"/>
        </w:rPr>
        <w:t>. at 3.</w:t>
      </w:r>
    </w:p>
    <w:p w:rsidR="00D935BB" w:rsidRDefault="00D935BB" w:rsidP="006A22B6">
      <w:pPr>
        <w:widowControl/>
        <w:spacing w:line="360" w:lineRule="auto"/>
        <w:rPr>
          <w:sz w:val="26"/>
          <w:szCs w:val="26"/>
        </w:rPr>
      </w:pPr>
    </w:p>
    <w:p w:rsidR="00D64417" w:rsidRPr="00124683" w:rsidRDefault="00D64417" w:rsidP="006A22B6">
      <w:pPr>
        <w:widowControl/>
        <w:spacing w:line="360" w:lineRule="auto"/>
        <w:rPr>
          <w:sz w:val="26"/>
          <w:szCs w:val="26"/>
        </w:rPr>
      </w:pPr>
      <w:r>
        <w:rPr>
          <w:sz w:val="26"/>
          <w:szCs w:val="26"/>
        </w:rPr>
        <w:tab/>
      </w:r>
      <w:r>
        <w:rPr>
          <w:sz w:val="26"/>
          <w:szCs w:val="26"/>
        </w:rPr>
        <w:tab/>
        <w:t xml:space="preserve">Columbia concludes that the Complainant’s Exceptions do not provide a basis for modifying the ALJ’s Initial Decision.  Columbia avers that the Complainant “refuses to accept the objective evidence that thermal billing is a reasonable and fair standard for billing customers,” and that he provided no objective evidence to the contrary. </w:t>
      </w:r>
      <w:r w:rsidR="0008298A">
        <w:rPr>
          <w:sz w:val="26"/>
          <w:szCs w:val="26"/>
        </w:rPr>
        <w:t xml:space="preserve"> </w:t>
      </w:r>
      <w:r>
        <w:rPr>
          <w:sz w:val="26"/>
          <w:szCs w:val="26"/>
        </w:rPr>
        <w:t xml:space="preserve">Therefore, Columbia requests that the Complainant’s Exceptions be denied, and that the Commission affirm the Initial Decision dismissing the Complaint.  </w:t>
      </w:r>
      <w:r w:rsidRPr="00D64417">
        <w:rPr>
          <w:i/>
          <w:sz w:val="26"/>
          <w:szCs w:val="26"/>
        </w:rPr>
        <w:t>Id</w:t>
      </w:r>
      <w:r>
        <w:rPr>
          <w:sz w:val="26"/>
          <w:szCs w:val="26"/>
        </w:rPr>
        <w:t>.</w:t>
      </w:r>
    </w:p>
    <w:p w:rsidR="007E3A75" w:rsidRDefault="007E3A75" w:rsidP="006A22B6">
      <w:pPr>
        <w:widowControl/>
        <w:spacing w:line="360" w:lineRule="auto"/>
        <w:rPr>
          <w:sz w:val="26"/>
          <w:szCs w:val="26"/>
        </w:rPr>
      </w:pPr>
    </w:p>
    <w:p w:rsidR="006F0665" w:rsidRPr="00555F40" w:rsidRDefault="006F0665" w:rsidP="0008298A">
      <w:pPr>
        <w:keepNext/>
        <w:widowControl/>
        <w:spacing w:line="360" w:lineRule="auto"/>
        <w:rPr>
          <w:b/>
          <w:sz w:val="26"/>
          <w:szCs w:val="26"/>
        </w:rPr>
      </w:pPr>
      <w:r>
        <w:rPr>
          <w:b/>
          <w:sz w:val="26"/>
          <w:szCs w:val="26"/>
        </w:rPr>
        <w:t>Direct Energy</w:t>
      </w:r>
      <w:r w:rsidRPr="00555F40">
        <w:rPr>
          <w:b/>
          <w:sz w:val="26"/>
          <w:szCs w:val="26"/>
        </w:rPr>
        <w:t>’s Replies to Complainant’s Exceptions</w:t>
      </w:r>
    </w:p>
    <w:p w:rsidR="006F0665" w:rsidRDefault="006F0665" w:rsidP="0008298A">
      <w:pPr>
        <w:keepNext/>
        <w:widowControl/>
        <w:spacing w:line="360" w:lineRule="auto"/>
        <w:rPr>
          <w:sz w:val="26"/>
          <w:szCs w:val="26"/>
        </w:rPr>
      </w:pPr>
    </w:p>
    <w:p w:rsidR="00934AA9" w:rsidRPr="00124683" w:rsidRDefault="00934AA9" w:rsidP="006A22B6">
      <w:pPr>
        <w:widowControl/>
        <w:spacing w:line="360" w:lineRule="auto"/>
        <w:rPr>
          <w:sz w:val="26"/>
          <w:szCs w:val="26"/>
        </w:rPr>
      </w:pPr>
      <w:r>
        <w:rPr>
          <w:sz w:val="26"/>
          <w:szCs w:val="26"/>
        </w:rPr>
        <w:tab/>
      </w:r>
      <w:r>
        <w:rPr>
          <w:sz w:val="26"/>
          <w:szCs w:val="26"/>
        </w:rPr>
        <w:tab/>
        <w:t>In its Replies to the Complainant’s Exceptions, Direct Energy</w:t>
      </w:r>
      <w:r w:rsidR="008C4392">
        <w:rPr>
          <w:sz w:val="26"/>
          <w:szCs w:val="26"/>
        </w:rPr>
        <w:t xml:space="preserve"> takes issue with</w:t>
      </w:r>
      <w:r w:rsidR="005E28DB">
        <w:rPr>
          <w:sz w:val="26"/>
          <w:szCs w:val="26"/>
        </w:rPr>
        <w:t xml:space="preserve"> </w:t>
      </w:r>
      <w:r w:rsidR="008C4392">
        <w:rPr>
          <w:sz w:val="26"/>
          <w:szCs w:val="26"/>
        </w:rPr>
        <w:t>the Complainant’s comments regarding</w:t>
      </w:r>
      <w:r w:rsidR="005E28DB" w:rsidRPr="005E28DB">
        <w:rPr>
          <w:sz w:val="26"/>
          <w:szCs w:val="26"/>
        </w:rPr>
        <w:t xml:space="preserve"> the ALJ’s Findings of Fact Nos. 27 and 28,</w:t>
      </w:r>
      <w:r w:rsidR="006F1754">
        <w:rPr>
          <w:sz w:val="26"/>
          <w:szCs w:val="26"/>
        </w:rPr>
        <w:t xml:space="preserve"> which relate to Direct Energy’s admission of a billing error, and its subsequent refund to the C</w:t>
      </w:r>
      <w:r w:rsidR="007F5371">
        <w:rPr>
          <w:sz w:val="26"/>
          <w:szCs w:val="26"/>
        </w:rPr>
        <w:t>omplain</w:t>
      </w:r>
      <w:r w:rsidR="007D543F">
        <w:rPr>
          <w:sz w:val="26"/>
          <w:szCs w:val="26"/>
        </w:rPr>
        <w:t>an</w:t>
      </w:r>
      <w:r w:rsidR="007F5371">
        <w:rPr>
          <w:sz w:val="26"/>
          <w:szCs w:val="26"/>
        </w:rPr>
        <w:t>t</w:t>
      </w:r>
      <w:r w:rsidR="006F1754">
        <w:rPr>
          <w:sz w:val="26"/>
          <w:szCs w:val="26"/>
        </w:rPr>
        <w:t xml:space="preserve">.  As noted, </w:t>
      </w:r>
      <w:r w:rsidR="006F1754" w:rsidRPr="006F1754">
        <w:rPr>
          <w:i/>
          <w:sz w:val="26"/>
          <w:szCs w:val="26"/>
        </w:rPr>
        <w:t>supra</w:t>
      </w:r>
      <w:r w:rsidR="006F1754">
        <w:rPr>
          <w:sz w:val="26"/>
          <w:szCs w:val="26"/>
        </w:rPr>
        <w:t xml:space="preserve">, </w:t>
      </w:r>
      <w:r w:rsidR="005E28DB" w:rsidRPr="005E28DB">
        <w:rPr>
          <w:sz w:val="26"/>
          <w:szCs w:val="26"/>
        </w:rPr>
        <w:t>the Complainant asserted that the ALJ’s findings</w:t>
      </w:r>
      <w:r w:rsidR="006F1754">
        <w:rPr>
          <w:sz w:val="26"/>
          <w:szCs w:val="26"/>
        </w:rPr>
        <w:t xml:space="preserve"> in this regard</w:t>
      </w:r>
      <w:r w:rsidR="005E28DB" w:rsidRPr="005E28DB">
        <w:rPr>
          <w:sz w:val="26"/>
          <w:szCs w:val="26"/>
        </w:rPr>
        <w:t xml:space="preserve"> “are consistent with all other pricing by Direct Energy and Columbia in that the nature of the error and the calculations to correct are not divulged.”  Exc. at 1.</w:t>
      </w:r>
      <w:r w:rsidR="00993E88">
        <w:rPr>
          <w:sz w:val="26"/>
          <w:szCs w:val="26"/>
        </w:rPr>
        <w:t xml:space="preserve">  </w:t>
      </w:r>
      <w:r w:rsidR="006F1754">
        <w:rPr>
          <w:sz w:val="26"/>
          <w:szCs w:val="26"/>
        </w:rPr>
        <w:t xml:space="preserve">Direct Energy </w:t>
      </w:r>
      <w:r w:rsidR="008C4392">
        <w:rPr>
          <w:sz w:val="26"/>
          <w:szCs w:val="26"/>
        </w:rPr>
        <w:t xml:space="preserve">states that it assumes the Complainant mentioned these two Findings of Fact because the prices charged by Direct Energy were expressed in therms, and the </w:t>
      </w:r>
      <w:r w:rsidR="008C4392">
        <w:rPr>
          <w:sz w:val="26"/>
          <w:szCs w:val="26"/>
        </w:rPr>
        <w:lastRenderedPageBreak/>
        <w:t>Complainant is opposed to therm billing.  However, Direct Energy contends that the Complainant’s opposition to therm billing does not negate the fact that Direct Energy corrected its billing error and provided a refund to the Complainant, that the Complainant did not challenge the correction or the refund at the hearing, and that the Complainant has not shown that he is entitled to any additional billing adjustments from Direct Energy.  Direct Energy R. Exc. at 4.</w:t>
      </w:r>
      <w:r w:rsidR="00B1527F">
        <w:rPr>
          <w:sz w:val="26"/>
          <w:szCs w:val="26"/>
        </w:rPr>
        <w:t xml:space="preserve">  Direct Energy asserts that it is not unreasonable for an NGS to correct a billing error, and that it has not otherwise violated the Public Utility Code, or any Commission Regulation or Order.  </w:t>
      </w:r>
      <w:r w:rsidR="00B1527F" w:rsidRPr="00B1527F">
        <w:rPr>
          <w:i/>
          <w:sz w:val="26"/>
          <w:szCs w:val="26"/>
        </w:rPr>
        <w:t>Id</w:t>
      </w:r>
      <w:r w:rsidR="00B1527F">
        <w:rPr>
          <w:sz w:val="26"/>
          <w:szCs w:val="26"/>
        </w:rPr>
        <w:t>. at 5.  Therefore, Direct Energy requests that the Com</w:t>
      </w:r>
      <w:r w:rsidR="007565BF">
        <w:rPr>
          <w:sz w:val="26"/>
          <w:szCs w:val="26"/>
        </w:rPr>
        <w:t>mission deny the Complainant’s E</w:t>
      </w:r>
      <w:r w:rsidR="00B1527F">
        <w:rPr>
          <w:sz w:val="26"/>
          <w:szCs w:val="26"/>
        </w:rPr>
        <w:t xml:space="preserve">xceptions, and that it issue a decision consistent with the ALJ’s Initial Decision.  </w:t>
      </w:r>
      <w:r w:rsidR="00B1527F" w:rsidRPr="00B1527F">
        <w:rPr>
          <w:i/>
          <w:sz w:val="26"/>
          <w:szCs w:val="26"/>
        </w:rPr>
        <w:t>Id</w:t>
      </w:r>
      <w:r w:rsidR="00B1527F">
        <w:rPr>
          <w:sz w:val="26"/>
          <w:szCs w:val="26"/>
        </w:rPr>
        <w:t>.</w:t>
      </w:r>
    </w:p>
    <w:p w:rsidR="001F7250" w:rsidRPr="00124683" w:rsidRDefault="001F7250" w:rsidP="006A22B6">
      <w:pPr>
        <w:widowControl/>
        <w:spacing w:line="360" w:lineRule="auto"/>
        <w:rPr>
          <w:sz w:val="26"/>
          <w:szCs w:val="26"/>
        </w:rPr>
      </w:pPr>
    </w:p>
    <w:p w:rsidR="00B9551C" w:rsidRPr="008700CE" w:rsidRDefault="00B9551C" w:rsidP="005B6F4F">
      <w:pPr>
        <w:widowControl/>
        <w:spacing w:line="360" w:lineRule="auto"/>
        <w:rPr>
          <w:b/>
          <w:sz w:val="26"/>
          <w:szCs w:val="26"/>
        </w:rPr>
      </w:pPr>
      <w:r w:rsidRPr="008700CE">
        <w:rPr>
          <w:b/>
          <w:sz w:val="26"/>
          <w:szCs w:val="26"/>
        </w:rPr>
        <w:t>Disposition</w:t>
      </w:r>
    </w:p>
    <w:p w:rsidR="00C2205A" w:rsidRPr="00C54D1E" w:rsidRDefault="00C2205A" w:rsidP="005B6F4F">
      <w:pPr>
        <w:widowControl/>
        <w:spacing w:line="360" w:lineRule="auto"/>
        <w:rPr>
          <w:sz w:val="26"/>
          <w:szCs w:val="26"/>
        </w:rPr>
      </w:pPr>
    </w:p>
    <w:p w:rsidR="00561AE8" w:rsidRDefault="00C2205A" w:rsidP="005B6F4F">
      <w:pPr>
        <w:widowControl/>
        <w:spacing w:line="360" w:lineRule="auto"/>
        <w:rPr>
          <w:sz w:val="26"/>
          <w:szCs w:val="26"/>
        </w:rPr>
      </w:pPr>
      <w:r w:rsidRPr="00C54D1E">
        <w:rPr>
          <w:sz w:val="26"/>
          <w:szCs w:val="26"/>
        </w:rPr>
        <w:tab/>
      </w:r>
      <w:r w:rsidRPr="00C54D1E">
        <w:rPr>
          <w:sz w:val="26"/>
          <w:szCs w:val="26"/>
        </w:rPr>
        <w:tab/>
        <w:t xml:space="preserve">Upon consideration of the record evidence in this proceeding, we </w:t>
      </w:r>
      <w:r w:rsidR="00C54D1E" w:rsidRPr="00C54D1E">
        <w:rPr>
          <w:sz w:val="26"/>
          <w:szCs w:val="26"/>
        </w:rPr>
        <w:t>will dismiss the Complaint.</w:t>
      </w:r>
      <w:r w:rsidR="004E7038">
        <w:rPr>
          <w:sz w:val="26"/>
          <w:szCs w:val="26"/>
        </w:rPr>
        <w:t xml:space="preserve">  As Columbia points out, its therm billing methodology was approved by this Commission in Columbia’s base rate </w:t>
      </w:r>
      <w:r w:rsidR="00E92854">
        <w:rPr>
          <w:sz w:val="26"/>
          <w:szCs w:val="26"/>
        </w:rPr>
        <w:t>proceeding at Docket No. R</w:t>
      </w:r>
      <w:r w:rsidR="00E92854">
        <w:rPr>
          <w:sz w:val="26"/>
          <w:szCs w:val="26"/>
        </w:rPr>
        <w:noBreakHyphen/>
        <w:t>2010</w:t>
      </w:r>
      <w:r w:rsidR="00E92854">
        <w:rPr>
          <w:sz w:val="26"/>
          <w:szCs w:val="26"/>
        </w:rPr>
        <w:noBreakHyphen/>
      </w:r>
      <w:r w:rsidR="004E7038">
        <w:rPr>
          <w:sz w:val="26"/>
          <w:szCs w:val="26"/>
        </w:rPr>
        <w:t xml:space="preserve">2215623, </w:t>
      </w:r>
      <w:r w:rsidR="004E7038" w:rsidRPr="00E719CE">
        <w:rPr>
          <w:i/>
          <w:sz w:val="26"/>
          <w:szCs w:val="26"/>
        </w:rPr>
        <w:t>et al</w:t>
      </w:r>
      <w:r w:rsidR="00C04138">
        <w:rPr>
          <w:i/>
          <w:sz w:val="26"/>
          <w:szCs w:val="26"/>
        </w:rPr>
        <w:t>.</w:t>
      </w:r>
      <w:r w:rsidR="00C04138">
        <w:rPr>
          <w:sz w:val="26"/>
          <w:szCs w:val="26"/>
        </w:rPr>
        <w:t xml:space="preserve">  Moreover, </w:t>
      </w:r>
      <w:r w:rsidR="00142219">
        <w:rPr>
          <w:sz w:val="26"/>
          <w:szCs w:val="26"/>
        </w:rPr>
        <w:t xml:space="preserve">the evidence in this proceeding </w:t>
      </w:r>
      <w:r w:rsidR="00590184">
        <w:rPr>
          <w:sz w:val="26"/>
          <w:szCs w:val="26"/>
        </w:rPr>
        <w:t xml:space="preserve">clearly </w:t>
      </w:r>
      <w:r w:rsidR="00142219">
        <w:rPr>
          <w:sz w:val="26"/>
          <w:szCs w:val="26"/>
        </w:rPr>
        <w:t xml:space="preserve">shows that Columbia made several attempts to </w:t>
      </w:r>
      <w:r w:rsidR="00590184">
        <w:rPr>
          <w:sz w:val="26"/>
          <w:szCs w:val="26"/>
        </w:rPr>
        <w:t>thoroughly</w:t>
      </w:r>
      <w:r w:rsidR="00142219">
        <w:rPr>
          <w:sz w:val="26"/>
          <w:szCs w:val="26"/>
        </w:rPr>
        <w:t xml:space="preserve"> explain to the Complainant how this methodology works, </w:t>
      </w:r>
      <w:r w:rsidR="00E92854">
        <w:rPr>
          <w:sz w:val="26"/>
          <w:szCs w:val="26"/>
        </w:rPr>
        <w:t>both prior to</w:t>
      </w:r>
      <w:r w:rsidR="005F7E1A">
        <w:rPr>
          <w:sz w:val="26"/>
          <w:szCs w:val="26"/>
        </w:rPr>
        <w:t xml:space="preserve"> and during the hearing.</w:t>
      </w:r>
    </w:p>
    <w:p w:rsidR="00561AE8" w:rsidRDefault="00561AE8" w:rsidP="005B6F4F">
      <w:pPr>
        <w:widowControl/>
        <w:spacing w:line="360" w:lineRule="auto"/>
        <w:rPr>
          <w:sz w:val="26"/>
          <w:szCs w:val="26"/>
        </w:rPr>
      </w:pPr>
    </w:p>
    <w:p w:rsidR="00C54D1E" w:rsidRDefault="00561AE8" w:rsidP="00B67059">
      <w:pPr>
        <w:widowControl/>
        <w:spacing w:line="360" w:lineRule="auto"/>
        <w:rPr>
          <w:sz w:val="26"/>
          <w:szCs w:val="26"/>
        </w:rPr>
      </w:pPr>
      <w:r>
        <w:rPr>
          <w:sz w:val="26"/>
          <w:szCs w:val="26"/>
        </w:rPr>
        <w:tab/>
      </w:r>
      <w:r>
        <w:rPr>
          <w:sz w:val="26"/>
          <w:szCs w:val="26"/>
        </w:rPr>
        <w:tab/>
      </w:r>
      <w:r w:rsidR="00DC1448">
        <w:rPr>
          <w:sz w:val="26"/>
          <w:szCs w:val="26"/>
        </w:rPr>
        <w:t>The Com</w:t>
      </w:r>
      <w:r w:rsidR="005F7E1A">
        <w:rPr>
          <w:sz w:val="26"/>
          <w:szCs w:val="26"/>
        </w:rPr>
        <w:t xml:space="preserve">plainant appears to be confused primarily with regard to the nature of the therm multiplier, and </w:t>
      </w:r>
      <w:r w:rsidR="004A4C41">
        <w:rPr>
          <w:sz w:val="26"/>
          <w:szCs w:val="26"/>
        </w:rPr>
        <w:t>objects to the fact that he does not have access to the precise calculations used to develop this number.  However, as Columbia explained, the therm multiplier</w:t>
      </w:r>
      <w:r w:rsidR="00AE38D4">
        <w:rPr>
          <w:sz w:val="26"/>
          <w:szCs w:val="26"/>
        </w:rPr>
        <w:t xml:space="preserve"> is simply a factor used to convert customers’ usage </w:t>
      </w:r>
      <w:r w:rsidR="002C3C03">
        <w:rPr>
          <w:sz w:val="26"/>
          <w:szCs w:val="26"/>
        </w:rPr>
        <w:t xml:space="preserve">as measured in Ccf, to usage </w:t>
      </w:r>
      <w:r w:rsidR="00AE38D4">
        <w:rPr>
          <w:sz w:val="26"/>
          <w:szCs w:val="26"/>
        </w:rPr>
        <w:t>expressed in therms.  The therm multiplier</w:t>
      </w:r>
      <w:r w:rsidR="004A4C41">
        <w:rPr>
          <w:sz w:val="26"/>
          <w:szCs w:val="26"/>
        </w:rPr>
        <w:t xml:space="preserve"> </w:t>
      </w:r>
      <w:r w:rsidR="00395B3E">
        <w:rPr>
          <w:sz w:val="26"/>
          <w:szCs w:val="26"/>
        </w:rPr>
        <w:t>represents the weighted average of the periodic measurements of the heating value of the gas that enters Columbia’s</w:t>
      </w:r>
      <w:r w:rsidR="00425B5A">
        <w:rPr>
          <w:sz w:val="26"/>
          <w:szCs w:val="26"/>
        </w:rPr>
        <w:t xml:space="preserve"> distribution system in each of its</w:t>
      </w:r>
      <w:r w:rsidR="00395B3E">
        <w:rPr>
          <w:sz w:val="26"/>
          <w:szCs w:val="26"/>
        </w:rPr>
        <w:t xml:space="preserve"> separate, non-interconnected market areas.</w:t>
      </w:r>
      <w:r w:rsidR="00775FA9">
        <w:rPr>
          <w:sz w:val="26"/>
          <w:szCs w:val="26"/>
        </w:rPr>
        <w:t xml:space="preserve">  Since these </w:t>
      </w:r>
      <w:r>
        <w:rPr>
          <w:sz w:val="26"/>
          <w:szCs w:val="26"/>
        </w:rPr>
        <w:t xml:space="preserve">measurements are conducted </w:t>
      </w:r>
      <w:r w:rsidR="00775FA9">
        <w:rPr>
          <w:sz w:val="26"/>
          <w:szCs w:val="26"/>
        </w:rPr>
        <w:t xml:space="preserve">every fifteen minutes, the amount of data gathered for each billing month would be extensive, and </w:t>
      </w:r>
      <w:r w:rsidR="00522CFD">
        <w:rPr>
          <w:sz w:val="26"/>
          <w:szCs w:val="26"/>
        </w:rPr>
        <w:t xml:space="preserve">it would not be feasible to </w:t>
      </w:r>
      <w:r w:rsidR="00F71D1A">
        <w:rPr>
          <w:sz w:val="26"/>
          <w:szCs w:val="26"/>
        </w:rPr>
        <w:t xml:space="preserve">display the calculations </w:t>
      </w:r>
      <w:r w:rsidR="00F71D1A">
        <w:rPr>
          <w:sz w:val="26"/>
          <w:szCs w:val="26"/>
        </w:rPr>
        <w:lastRenderedPageBreak/>
        <w:t>used to de</w:t>
      </w:r>
      <w:r w:rsidR="00526E71">
        <w:rPr>
          <w:sz w:val="26"/>
          <w:szCs w:val="26"/>
        </w:rPr>
        <w:t>termine</w:t>
      </w:r>
      <w:r w:rsidR="00F71D1A">
        <w:rPr>
          <w:sz w:val="26"/>
          <w:szCs w:val="26"/>
        </w:rPr>
        <w:t xml:space="preserve"> the weighted average heating value on each customer’s bill.</w:t>
      </w:r>
      <w:r w:rsidR="003B5F4E">
        <w:rPr>
          <w:sz w:val="26"/>
          <w:szCs w:val="26"/>
        </w:rPr>
        <w:t xml:space="preserve">  Therefore, these</w:t>
      </w:r>
      <w:r w:rsidR="00393123">
        <w:rPr>
          <w:sz w:val="26"/>
          <w:szCs w:val="26"/>
        </w:rPr>
        <w:t xml:space="preserve"> individual</w:t>
      </w:r>
      <w:r w:rsidR="003B5F4E">
        <w:rPr>
          <w:sz w:val="26"/>
          <w:szCs w:val="26"/>
        </w:rPr>
        <w:t xml:space="preserve"> calculations must necessarily be “hidden”</w:t>
      </w:r>
      <w:r w:rsidR="00FA7188">
        <w:rPr>
          <w:sz w:val="26"/>
          <w:szCs w:val="26"/>
        </w:rPr>
        <w:t xml:space="preserve"> from customers</w:t>
      </w:r>
      <w:r w:rsidR="003B5F4E">
        <w:rPr>
          <w:sz w:val="26"/>
          <w:szCs w:val="26"/>
        </w:rPr>
        <w:t xml:space="preserve">.  However, </w:t>
      </w:r>
      <w:r w:rsidR="00BD0C97">
        <w:rPr>
          <w:sz w:val="26"/>
          <w:szCs w:val="26"/>
        </w:rPr>
        <w:t>no evidence has been introduced in this proceeding to suggest that the calculations used to develop the therm</w:t>
      </w:r>
      <w:r>
        <w:rPr>
          <w:sz w:val="26"/>
          <w:szCs w:val="26"/>
        </w:rPr>
        <w:t xml:space="preserve"> multiplier </w:t>
      </w:r>
      <w:r w:rsidR="00BD0C97">
        <w:rPr>
          <w:sz w:val="26"/>
          <w:szCs w:val="26"/>
        </w:rPr>
        <w:t>have been made in error, or that Columbia has</w:t>
      </w:r>
      <w:r w:rsidR="00FA7188">
        <w:rPr>
          <w:sz w:val="26"/>
          <w:szCs w:val="26"/>
        </w:rPr>
        <w:t xml:space="preserve"> deliberately attempted to deceive the Complainant in any way</w:t>
      </w:r>
      <w:r>
        <w:rPr>
          <w:sz w:val="26"/>
          <w:szCs w:val="26"/>
        </w:rPr>
        <w:t xml:space="preserve"> with regard to how the therm multiplier is determined</w:t>
      </w:r>
      <w:r w:rsidR="00FA7188">
        <w:rPr>
          <w:sz w:val="26"/>
          <w:szCs w:val="26"/>
        </w:rPr>
        <w:t>.</w:t>
      </w:r>
    </w:p>
    <w:p w:rsidR="00DB1563" w:rsidRDefault="00DB1563" w:rsidP="00B67059">
      <w:pPr>
        <w:widowControl/>
        <w:spacing w:line="360" w:lineRule="auto"/>
        <w:rPr>
          <w:sz w:val="26"/>
          <w:szCs w:val="26"/>
        </w:rPr>
      </w:pPr>
    </w:p>
    <w:p w:rsidR="00DB1563" w:rsidRDefault="00DB1563" w:rsidP="00B67059">
      <w:pPr>
        <w:widowControl/>
        <w:spacing w:line="360" w:lineRule="auto"/>
        <w:rPr>
          <w:sz w:val="26"/>
          <w:szCs w:val="26"/>
        </w:rPr>
      </w:pPr>
      <w:r>
        <w:rPr>
          <w:sz w:val="26"/>
          <w:szCs w:val="26"/>
        </w:rPr>
        <w:tab/>
      </w:r>
      <w:r>
        <w:rPr>
          <w:sz w:val="26"/>
          <w:szCs w:val="26"/>
        </w:rPr>
        <w:tab/>
        <w:t xml:space="preserve">The Complainant also appears to believe that </w:t>
      </w:r>
      <w:r w:rsidR="00171199">
        <w:rPr>
          <w:sz w:val="26"/>
          <w:szCs w:val="26"/>
        </w:rPr>
        <w:t>the heating value of the gas that enters Columbia’s system may not be the same as that of the gas he actually uses at his home.</w:t>
      </w:r>
      <w:r w:rsidR="007C5F20">
        <w:rPr>
          <w:sz w:val="26"/>
          <w:szCs w:val="26"/>
        </w:rPr>
        <w:t xml:space="preserve">  </w:t>
      </w:r>
      <w:r w:rsidR="00D1715F">
        <w:rPr>
          <w:sz w:val="26"/>
          <w:szCs w:val="26"/>
        </w:rPr>
        <w:t>Rather</w:t>
      </w:r>
      <w:r w:rsidR="005B36EF">
        <w:rPr>
          <w:sz w:val="26"/>
          <w:szCs w:val="26"/>
        </w:rPr>
        <w:t>, the</w:t>
      </w:r>
      <w:r w:rsidR="007C5F20">
        <w:rPr>
          <w:sz w:val="26"/>
          <w:szCs w:val="26"/>
        </w:rPr>
        <w:t xml:space="preserve"> Complainant suggests that </w:t>
      </w:r>
      <w:r w:rsidR="002873E6">
        <w:rPr>
          <w:sz w:val="26"/>
          <w:szCs w:val="26"/>
        </w:rPr>
        <w:t>the heating value of gas may be different for any given customer at any given point of Columbia’s system.</w:t>
      </w:r>
      <w:r w:rsidR="00C10F1C">
        <w:rPr>
          <w:sz w:val="26"/>
          <w:szCs w:val="26"/>
        </w:rPr>
        <w:t xml:space="preserve">  Therefore, he believes the therm multiplier that appears on his bills</w:t>
      </w:r>
      <w:r w:rsidR="00D1715F">
        <w:rPr>
          <w:sz w:val="26"/>
          <w:szCs w:val="26"/>
        </w:rPr>
        <w:t xml:space="preserve"> is</w:t>
      </w:r>
      <w:r w:rsidR="00C10F1C">
        <w:rPr>
          <w:sz w:val="26"/>
          <w:szCs w:val="26"/>
        </w:rPr>
        <w:t xml:space="preserve"> suspect.</w:t>
      </w:r>
      <w:r w:rsidR="005B36EF">
        <w:rPr>
          <w:sz w:val="26"/>
          <w:szCs w:val="26"/>
        </w:rPr>
        <w:t xml:space="preserve">  However, the Complainant provided no evidence to support this belief, and provided no explanation of how</w:t>
      </w:r>
      <w:r w:rsidR="00D1715F">
        <w:rPr>
          <w:sz w:val="26"/>
          <w:szCs w:val="26"/>
        </w:rPr>
        <w:t xml:space="preserve"> </w:t>
      </w:r>
      <w:r w:rsidR="00351A51">
        <w:rPr>
          <w:sz w:val="26"/>
          <w:szCs w:val="26"/>
        </w:rPr>
        <w:t>Columbia would reasonably account for this alleged variation in gas heating values among its customers.</w:t>
      </w:r>
    </w:p>
    <w:p w:rsidR="00281290" w:rsidRDefault="00281290" w:rsidP="00B67059">
      <w:pPr>
        <w:widowControl/>
        <w:spacing w:line="360" w:lineRule="auto"/>
        <w:rPr>
          <w:sz w:val="26"/>
          <w:szCs w:val="26"/>
        </w:rPr>
      </w:pPr>
    </w:p>
    <w:p w:rsidR="00CC46A4" w:rsidRDefault="00281290" w:rsidP="00B67059">
      <w:pPr>
        <w:widowControl/>
        <w:spacing w:line="360" w:lineRule="auto"/>
        <w:rPr>
          <w:sz w:val="26"/>
          <w:szCs w:val="26"/>
        </w:rPr>
      </w:pPr>
      <w:r>
        <w:rPr>
          <w:sz w:val="26"/>
          <w:szCs w:val="26"/>
        </w:rPr>
        <w:tab/>
      </w:r>
      <w:r>
        <w:rPr>
          <w:sz w:val="26"/>
          <w:szCs w:val="26"/>
        </w:rPr>
        <w:tab/>
        <w:t xml:space="preserve">With regard to the Complainant’s contention that Columbia’s change to therm billing violated his contract with Direct Energy, we find no evidence to suggest that this was the case.  </w:t>
      </w:r>
      <w:r w:rsidR="000C55FB">
        <w:rPr>
          <w:sz w:val="26"/>
          <w:szCs w:val="26"/>
        </w:rPr>
        <w:t>Although</w:t>
      </w:r>
      <w:r>
        <w:rPr>
          <w:sz w:val="26"/>
          <w:szCs w:val="26"/>
        </w:rPr>
        <w:t xml:space="preserve"> the terms of the Complainant’s original</w:t>
      </w:r>
      <w:r w:rsidR="00D50955">
        <w:rPr>
          <w:sz w:val="26"/>
          <w:szCs w:val="26"/>
        </w:rPr>
        <w:t xml:space="preserve"> contract with Direct Energy would</w:t>
      </w:r>
      <w:r>
        <w:rPr>
          <w:sz w:val="26"/>
          <w:szCs w:val="26"/>
        </w:rPr>
        <w:t xml:space="preserve"> have included a price for gas expressed in dollars per Ccf, </w:t>
      </w:r>
      <w:r w:rsidR="00A70932">
        <w:rPr>
          <w:sz w:val="26"/>
          <w:szCs w:val="26"/>
        </w:rPr>
        <w:t>we do not find</w:t>
      </w:r>
      <w:r w:rsidR="00D50955">
        <w:rPr>
          <w:sz w:val="26"/>
          <w:szCs w:val="26"/>
        </w:rPr>
        <w:t xml:space="preserve"> that the switch to therm billing </w:t>
      </w:r>
      <w:r w:rsidR="00A70932">
        <w:rPr>
          <w:sz w:val="26"/>
          <w:szCs w:val="26"/>
        </w:rPr>
        <w:t>represent</w:t>
      </w:r>
      <w:r w:rsidR="00017F8B">
        <w:rPr>
          <w:sz w:val="26"/>
          <w:szCs w:val="26"/>
        </w:rPr>
        <w:t>ed</w:t>
      </w:r>
      <w:r w:rsidR="00520E08">
        <w:rPr>
          <w:sz w:val="26"/>
          <w:szCs w:val="26"/>
        </w:rPr>
        <w:t xml:space="preserve"> a material change to</w:t>
      </w:r>
      <w:r w:rsidR="00A70932">
        <w:rPr>
          <w:sz w:val="26"/>
          <w:szCs w:val="26"/>
        </w:rPr>
        <w:t xml:space="preserve"> the contract, as it involved only</w:t>
      </w:r>
      <w:r>
        <w:rPr>
          <w:sz w:val="26"/>
          <w:szCs w:val="26"/>
        </w:rPr>
        <w:t xml:space="preserve"> a change in the units used to express the price of the gas</w:t>
      </w:r>
      <w:r w:rsidR="00991C34">
        <w:rPr>
          <w:sz w:val="26"/>
          <w:szCs w:val="26"/>
        </w:rPr>
        <w:t>, a change that Direct Ener</w:t>
      </w:r>
      <w:r w:rsidR="00D67A77">
        <w:rPr>
          <w:sz w:val="26"/>
          <w:szCs w:val="26"/>
        </w:rPr>
        <w:t>gy could easily a</w:t>
      </w:r>
      <w:r w:rsidR="00017F8B">
        <w:rPr>
          <w:sz w:val="26"/>
          <w:szCs w:val="26"/>
        </w:rPr>
        <w:t>dapt to its then-existing</w:t>
      </w:r>
      <w:r w:rsidR="00D67A77">
        <w:rPr>
          <w:sz w:val="26"/>
          <w:szCs w:val="26"/>
        </w:rPr>
        <w:t xml:space="preserve"> contract</w:t>
      </w:r>
      <w:r w:rsidR="00017F8B">
        <w:rPr>
          <w:sz w:val="26"/>
          <w:szCs w:val="26"/>
        </w:rPr>
        <w:t xml:space="preserve"> with the Complainant</w:t>
      </w:r>
      <w:r w:rsidR="00991C34">
        <w:rPr>
          <w:sz w:val="26"/>
          <w:szCs w:val="26"/>
        </w:rPr>
        <w:t xml:space="preserve">.  </w:t>
      </w:r>
      <w:r w:rsidR="00D50955">
        <w:rPr>
          <w:sz w:val="26"/>
          <w:szCs w:val="26"/>
        </w:rPr>
        <w:t>Moreover,</w:t>
      </w:r>
      <w:r w:rsidR="000C55FB">
        <w:rPr>
          <w:sz w:val="26"/>
          <w:szCs w:val="26"/>
        </w:rPr>
        <w:t xml:space="preserve"> while Direct Energy did not immediately </w:t>
      </w:r>
      <w:r w:rsidR="00CA515E">
        <w:rPr>
          <w:sz w:val="26"/>
          <w:szCs w:val="26"/>
        </w:rPr>
        <w:t xml:space="preserve">adjust its rates to reflect </w:t>
      </w:r>
      <w:r w:rsidR="00CA515E" w:rsidRPr="000C00B5">
        <w:rPr>
          <w:sz w:val="26"/>
          <w:szCs w:val="26"/>
        </w:rPr>
        <w:t>the change to therm billing</w:t>
      </w:r>
      <w:r w:rsidR="00017F8B">
        <w:rPr>
          <w:sz w:val="26"/>
          <w:szCs w:val="26"/>
        </w:rPr>
        <w:t>, it did eventually correct this</w:t>
      </w:r>
      <w:r w:rsidR="00CA515E" w:rsidRPr="000C00B5">
        <w:rPr>
          <w:sz w:val="26"/>
          <w:szCs w:val="26"/>
        </w:rPr>
        <w:t xml:space="preserve"> error, and provided a refund of the resulting overbilling to the Complainant, with which the Complainant was satisfied.</w:t>
      </w:r>
    </w:p>
    <w:p w:rsidR="00CC46A4" w:rsidRDefault="00CC46A4" w:rsidP="00B67059">
      <w:pPr>
        <w:widowControl/>
        <w:spacing w:line="360" w:lineRule="auto"/>
        <w:rPr>
          <w:sz w:val="26"/>
          <w:szCs w:val="26"/>
        </w:rPr>
      </w:pPr>
    </w:p>
    <w:p w:rsidR="00B703F6" w:rsidRPr="00DC15C1" w:rsidRDefault="00CC46A4" w:rsidP="00B67059">
      <w:pPr>
        <w:widowControl/>
        <w:spacing w:line="360" w:lineRule="auto"/>
        <w:rPr>
          <w:rFonts w:eastAsiaTheme="minorHAnsi"/>
          <w:sz w:val="26"/>
          <w:szCs w:val="26"/>
        </w:rPr>
      </w:pPr>
      <w:r>
        <w:rPr>
          <w:sz w:val="26"/>
          <w:szCs w:val="26"/>
        </w:rPr>
        <w:tab/>
      </w:r>
      <w:r>
        <w:rPr>
          <w:sz w:val="26"/>
          <w:szCs w:val="26"/>
        </w:rPr>
        <w:tab/>
      </w:r>
      <w:r w:rsidR="003F77B3" w:rsidRPr="003958EB">
        <w:rPr>
          <w:sz w:val="26"/>
          <w:szCs w:val="26"/>
        </w:rPr>
        <w:t>Finally, with regard to the Complainant’s concern that therm billing</w:t>
      </w:r>
      <w:r w:rsidR="003958EB" w:rsidRPr="003958EB">
        <w:rPr>
          <w:sz w:val="26"/>
          <w:szCs w:val="26"/>
        </w:rPr>
        <w:t xml:space="preserve"> diminishes his ability to accurately compare rates from different suppliers</w:t>
      </w:r>
      <w:r w:rsidR="003958EB">
        <w:rPr>
          <w:sz w:val="26"/>
          <w:szCs w:val="26"/>
        </w:rPr>
        <w:t xml:space="preserve">, we find this </w:t>
      </w:r>
      <w:r w:rsidR="003958EB">
        <w:rPr>
          <w:sz w:val="26"/>
          <w:szCs w:val="26"/>
        </w:rPr>
        <w:lastRenderedPageBreak/>
        <w:t>concern to be unfounded.</w:t>
      </w:r>
      <w:r w:rsidR="00143F09">
        <w:rPr>
          <w:sz w:val="26"/>
          <w:szCs w:val="26"/>
        </w:rPr>
        <w:t xml:space="preserve">  </w:t>
      </w:r>
      <w:r w:rsidR="00F9242E">
        <w:rPr>
          <w:sz w:val="26"/>
          <w:szCs w:val="26"/>
        </w:rPr>
        <w:t>While t</w:t>
      </w:r>
      <w:r w:rsidR="00143F09">
        <w:rPr>
          <w:sz w:val="26"/>
          <w:szCs w:val="26"/>
        </w:rPr>
        <w:t xml:space="preserve">he </w:t>
      </w:r>
      <w:r w:rsidR="00143F09" w:rsidRPr="009576F3">
        <w:rPr>
          <w:sz w:val="26"/>
          <w:szCs w:val="26"/>
        </w:rPr>
        <w:t>essence of</w:t>
      </w:r>
      <w:r w:rsidR="00F9242E" w:rsidRPr="009576F3">
        <w:rPr>
          <w:sz w:val="26"/>
          <w:szCs w:val="26"/>
        </w:rPr>
        <w:t xml:space="preserve"> the Complainant’s concern in this regard is not entirely clear,</w:t>
      </w:r>
      <w:r w:rsidR="00143F09" w:rsidRPr="009576F3">
        <w:rPr>
          <w:sz w:val="26"/>
          <w:szCs w:val="26"/>
        </w:rPr>
        <w:t xml:space="preserve"> </w:t>
      </w:r>
      <w:r w:rsidR="00F9242E" w:rsidRPr="009576F3">
        <w:rPr>
          <w:sz w:val="26"/>
          <w:szCs w:val="26"/>
        </w:rPr>
        <w:t xml:space="preserve">we note that the Complainant appeared to </w:t>
      </w:r>
      <w:r w:rsidR="00F6719C" w:rsidRPr="009576F3">
        <w:rPr>
          <w:sz w:val="26"/>
          <w:szCs w:val="26"/>
        </w:rPr>
        <w:t>question whether the therm multiplier used by Columbia can</w:t>
      </w:r>
      <w:r w:rsidR="00F9242E" w:rsidRPr="009576F3">
        <w:rPr>
          <w:sz w:val="26"/>
          <w:szCs w:val="26"/>
        </w:rPr>
        <w:t xml:space="preserve"> properly be </w:t>
      </w:r>
      <w:r w:rsidR="00F6719C" w:rsidRPr="009576F3">
        <w:rPr>
          <w:sz w:val="26"/>
          <w:szCs w:val="26"/>
        </w:rPr>
        <w:t>applied to gas he might receive from other suppliers</w:t>
      </w:r>
      <w:r w:rsidR="00090B69">
        <w:rPr>
          <w:sz w:val="26"/>
          <w:szCs w:val="26"/>
        </w:rPr>
        <w:t>.  In other words, the Complaina</w:t>
      </w:r>
      <w:r w:rsidR="00095DBE">
        <w:rPr>
          <w:sz w:val="26"/>
          <w:szCs w:val="26"/>
        </w:rPr>
        <w:t>nt appeared</w:t>
      </w:r>
      <w:r w:rsidR="00090B69">
        <w:rPr>
          <w:sz w:val="26"/>
          <w:szCs w:val="26"/>
        </w:rPr>
        <w:t xml:space="preserve"> to</w:t>
      </w:r>
      <w:r w:rsidR="000E231D">
        <w:rPr>
          <w:sz w:val="26"/>
          <w:szCs w:val="26"/>
        </w:rPr>
        <w:t xml:space="preserve"> </w:t>
      </w:r>
      <w:r w:rsidR="00090B69">
        <w:rPr>
          <w:sz w:val="26"/>
          <w:szCs w:val="26"/>
        </w:rPr>
        <w:t>suggest</w:t>
      </w:r>
      <w:r w:rsidR="000E231D">
        <w:rPr>
          <w:sz w:val="26"/>
          <w:szCs w:val="26"/>
        </w:rPr>
        <w:t xml:space="preserve"> that the heating value of the gas obtained by Columbia for its sales customers may not be the same as that provided by a competitive supplier</w:t>
      </w:r>
      <w:r w:rsidR="00090B69">
        <w:rPr>
          <w:sz w:val="26"/>
          <w:szCs w:val="26"/>
        </w:rPr>
        <w:t xml:space="preserve"> and</w:t>
      </w:r>
      <w:r w:rsidR="00B67059">
        <w:rPr>
          <w:sz w:val="26"/>
          <w:szCs w:val="26"/>
        </w:rPr>
        <w:t>,</w:t>
      </w:r>
      <w:r w:rsidR="00090B69">
        <w:rPr>
          <w:sz w:val="26"/>
          <w:szCs w:val="26"/>
        </w:rPr>
        <w:t xml:space="preserve"> therefore, Columbia’s application of a single therm multiplier to all the g</w:t>
      </w:r>
      <w:r w:rsidR="00F70BBD">
        <w:rPr>
          <w:sz w:val="26"/>
          <w:szCs w:val="26"/>
        </w:rPr>
        <w:t>as in its system may not be appropriate</w:t>
      </w:r>
      <w:r w:rsidR="000E231D">
        <w:rPr>
          <w:sz w:val="26"/>
          <w:szCs w:val="26"/>
        </w:rPr>
        <w:t>.</w:t>
      </w:r>
      <w:r w:rsidR="007A7F33">
        <w:rPr>
          <w:sz w:val="26"/>
          <w:szCs w:val="26"/>
        </w:rPr>
        <w:t xml:space="preserve">  </w:t>
      </w:r>
      <w:r w:rsidR="000E231D">
        <w:rPr>
          <w:sz w:val="26"/>
          <w:szCs w:val="26"/>
        </w:rPr>
        <w:t xml:space="preserve">However, </w:t>
      </w:r>
      <w:r w:rsidR="00980F74">
        <w:rPr>
          <w:sz w:val="26"/>
          <w:szCs w:val="26"/>
        </w:rPr>
        <w:t>Columbia</w:t>
      </w:r>
      <w:r w:rsidR="007A7F33">
        <w:rPr>
          <w:sz w:val="26"/>
          <w:szCs w:val="26"/>
        </w:rPr>
        <w:t>’s</w:t>
      </w:r>
      <w:r w:rsidR="00980F74">
        <w:rPr>
          <w:sz w:val="26"/>
          <w:szCs w:val="26"/>
        </w:rPr>
        <w:t xml:space="preserve"> witness explained</w:t>
      </w:r>
      <w:r w:rsidR="007A7F33">
        <w:rPr>
          <w:sz w:val="26"/>
          <w:szCs w:val="26"/>
        </w:rPr>
        <w:t xml:space="preserve"> that </w:t>
      </w:r>
      <w:r w:rsidR="00980F74">
        <w:rPr>
          <w:sz w:val="26"/>
          <w:szCs w:val="26"/>
        </w:rPr>
        <w:t>all the gas that enters its system is intermixed, and that there is no way to determine the origin or destination of individual gas molecules.  Tr. at</w:t>
      </w:r>
      <w:r w:rsidR="00B67059">
        <w:rPr>
          <w:sz w:val="26"/>
          <w:szCs w:val="26"/>
        </w:rPr>
        <w:t> </w:t>
      </w:r>
      <w:r w:rsidR="00980F74">
        <w:rPr>
          <w:sz w:val="26"/>
          <w:szCs w:val="26"/>
        </w:rPr>
        <w:t>53, 66.</w:t>
      </w:r>
      <w:r w:rsidR="007A7F33">
        <w:rPr>
          <w:sz w:val="26"/>
          <w:szCs w:val="26"/>
        </w:rPr>
        <w:t xml:space="preserve">  </w:t>
      </w:r>
      <w:r w:rsidR="001F0025">
        <w:rPr>
          <w:sz w:val="26"/>
          <w:szCs w:val="26"/>
        </w:rPr>
        <w:t>It is not likely that one-hundred</w:t>
      </w:r>
      <w:r w:rsidR="00034E13">
        <w:rPr>
          <w:sz w:val="26"/>
          <w:szCs w:val="26"/>
        </w:rPr>
        <w:t xml:space="preserve"> percent of the gas</w:t>
      </w:r>
      <w:r w:rsidR="001F0025">
        <w:rPr>
          <w:sz w:val="26"/>
          <w:szCs w:val="26"/>
        </w:rPr>
        <w:t xml:space="preserve"> that</w:t>
      </w:r>
      <w:r w:rsidR="00034E13">
        <w:rPr>
          <w:sz w:val="26"/>
          <w:szCs w:val="26"/>
        </w:rPr>
        <w:t xml:space="preserve"> an NGS delivers to Columbia’s system on </w:t>
      </w:r>
      <w:r w:rsidR="001F0025">
        <w:rPr>
          <w:sz w:val="26"/>
          <w:szCs w:val="26"/>
        </w:rPr>
        <w:t>behalf of the NGS’s customers would be</w:t>
      </w:r>
      <w:r w:rsidR="00034E13">
        <w:rPr>
          <w:sz w:val="26"/>
          <w:szCs w:val="26"/>
        </w:rPr>
        <w:t xml:space="preserve"> consumed exclusively by those customers.  </w:t>
      </w:r>
      <w:r w:rsidR="00F1321A">
        <w:rPr>
          <w:sz w:val="26"/>
          <w:szCs w:val="26"/>
        </w:rPr>
        <w:t>Rather, all the gas that enters Columbia’s system is intermixed, regardless of the individual sources of upstream supply.  Thus, the measurements of the heating value</w:t>
      </w:r>
      <w:r w:rsidR="007A7F33">
        <w:rPr>
          <w:sz w:val="26"/>
          <w:szCs w:val="26"/>
        </w:rPr>
        <w:t xml:space="preserve"> of the gas that enters Columbia’s system apply to the overall mix of gas</w:t>
      </w:r>
      <w:r w:rsidR="00F1321A">
        <w:rPr>
          <w:sz w:val="26"/>
          <w:szCs w:val="26"/>
        </w:rPr>
        <w:t>, and it is not unreasonable t</w:t>
      </w:r>
      <w:r w:rsidR="00BD2761">
        <w:rPr>
          <w:sz w:val="26"/>
          <w:szCs w:val="26"/>
        </w:rPr>
        <w:t>o use</w:t>
      </w:r>
      <w:r w:rsidR="0051266A">
        <w:rPr>
          <w:sz w:val="26"/>
          <w:szCs w:val="26"/>
        </w:rPr>
        <w:t xml:space="preserve"> the resulting therm multiplier to</w:t>
      </w:r>
      <w:r w:rsidR="00BD2761">
        <w:rPr>
          <w:sz w:val="26"/>
          <w:szCs w:val="26"/>
        </w:rPr>
        <w:t xml:space="preserve"> calculate the</w:t>
      </w:r>
      <w:r w:rsidR="0051266A">
        <w:rPr>
          <w:sz w:val="26"/>
          <w:szCs w:val="26"/>
        </w:rPr>
        <w:t xml:space="preserve"> </w:t>
      </w:r>
      <w:r w:rsidR="00BD2761">
        <w:rPr>
          <w:sz w:val="26"/>
          <w:szCs w:val="26"/>
        </w:rPr>
        <w:t xml:space="preserve">bills of all customers </w:t>
      </w:r>
      <w:r w:rsidR="00DE28B4">
        <w:rPr>
          <w:sz w:val="26"/>
          <w:szCs w:val="26"/>
        </w:rPr>
        <w:t>who receive gas on</w:t>
      </w:r>
      <w:r w:rsidR="00BD2761">
        <w:rPr>
          <w:sz w:val="26"/>
          <w:szCs w:val="26"/>
        </w:rPr>
        <w:t xml:space="preserve"> Columbia’s system, regardless of the individual suppliers from whom those customers may purchase their gas.</w:t>
      </w:r>
      <w:r w:rsidR="00F70BBD">
        <w:rPr>
          <w:sz w:val="26"/>
          <w:szCs w:val="26"/>
        </w:rPr>
        <w:t xml:space="preserve">  Therefore</w:t>
      </w:r>
      <w:r w:rsidR="00CB776F">
        <w:rPr>
          <w:sz w:val="26"/>
          <w:szCs w:val="26"/>
        </w:rPr>
        <w:t xml:space="preserve">, there </w:t>
      </w:r>
      <w:r w:rsidR="007D5930">
        <w:rPr>
          <w:sz w:val="26"/>
          <w:szCs w:val="26"/>
        </w:rPr>
        <w:t>is no reason to conclude that customers cannot accurately compare the rates of alternative suppliers when those rates are expressed in dollars per therm, rather than dollars per Ccf.</w:t>
      </w:r>
      <w:r w:rsidR="00DE28B4">
        <w:rPr>
          <w:sz w:val="26"/>
          <w:szCs w:val="26"/>
        </w:rPr>
        <w:t xml:space="preserve">  Furthermore</w:t>
      </w:r>
      <w:r w:rsidR="00B703F6">
        <w:rPr>
          <w:sz w:val="26"/>
          <w:szCs w:val="26"/>
        </w:rPr>
        <w:t xml:space="preserve">, as the ALJ noted, our Regulation at </w:t>
      </w:r>
      <w:r w:rsidR="00E119E3">
        <w:rPr>
          <w:sz w:val="26"/>
          <w:szCs w:val="26"/>
        </w:rPr>
        <w:t>52 Pa. Code § 62.77(a)</w:t>
      </w:r>
      <w:r w:rsidR="00B703F6">
        <w:rPr>
          <w:sz w:val="26"/>
          <w:szCs w:val="26"/>
        </w:rPr>
        <w:t xml:space="preserve"> requires th</w:t>
      </w:r>
      <w:r w:rsidR="00601171">
        <w:rPr>
          <w:sz w:val="26"/>
          <w:szCs w:val="26"/>
        </w:rPr>
        <w:t>at an</w:t>
      </w:r>
      <w:r w:rsidR="00B703F6">
        <w:rPr>
          <w:sz w:val="26"/>
          <w:szCs w:val="26"/>
        </w:rPr>
        <w:t xml:space="preserve"> NGS’s marketed prices must be presented in the standard pricing unit of the</w:t>
      </w:r>
      <w:r w:rsidR="00601171">
        <w:rPr>
          <w:sz w:val="26"/>
          <w:szCs w:val="26"/>
        </w:rPr>
        <w:t xml:space="preserve"> natural gas</w:t>
      </w:r>
      <w:r w:rsidR="00B703F6">
        <w:rPr>
          <w:sz w:val="26"/>
          <w:szCs w:val="26"/>
        </w:rPr>
        <w:t xml:space="preserve"> distribution company.</w:t>
      </w:r>
      <w:r w:rsidR="00B703F6">
        <w:rPr>
          <w:rFonts w:eastAsiaTheme="minorHAnsi"/>
          <w:sz w:val="26"/>
          <w:szCs w:val="26"/>
        </w:rPr>
        <w:t xml:space="preserve">  Therefore, the Complainant need not be concerned that </w:t>
      </w:r>
      <w:r w:rsidR="00B703F6">
        <w:rPr>
          <w:sz w:val="26"/>
          <w:szCs w:val="26"/>
        </w:rPr>
        <w:t>Columbia’s use of</w:t>
      </w:r>
      <w:r w:rsidR="00B703F6" w:rsidRPr="003958EB">
        <w:rPr>
          <w:sz w:val="26"/>
          <w:szCs w:val="26"/>
        </w:rPr>
        <w:t xml:space="preserve"> therm billing diminishes his ability to accurately compare rates from different suppliers</w:t>
      </w:r>
      <w:r w:rsidR="00B703F6">
        <w:rPr>
          <w:sz w:val="26"/>
          <w:szCs w:val="26"/>
        </w:rPr>
        <w:t>.</w:t>
      </w:r>
    </w:p>
    <w:p w:rsidR="00E119E3" w:rsidRPr="004A67D7" w:rsidRDefault="00E119E3" w:rsidP="004F2B86">
      <w:pPr>
        <w:widowControl/>
        <w:spacing w:line="360" w:lineRule="auto"/>
        <w:rPr>
          <w:sz w:val="26"/>
          <w:szCs w:val="26"/>
        </w:rPr>
      </w:pPr>
    </w:p>
    <w:p w:rsidR="006A1FE8" w:rsidRPr="00734BAD" w:rsidRDefault="00353CE3" w:rsidP="004F2B86">
      <w:pPr>
        <w:widowControl/>
        <w:spacing w:line="360" w:lineRule="auto"/>
        <w:rPr>
          <w:sz w:val="26"/>
          <w:szCs w:val="26"/>
        </w:rPr>
      </w:pPr>
      <w:r w:rsidRPr="00734BAD">
        <w:rPr>
          <w:sz w:val="26"/>
          <w:szCs w:val="26"/>
        </w:rPr>
        <w:tab/>
      </w:r>
      <w:r w:rsidRPr="00734BAD">
        <w:rPr>
          <w:sz w:val="26"/>
          <w:szCs w:val="26"/>
        </w:rPr>
        <w:tab/>
      </w:r>
      <w:r w:rsidR="00AD24F3" w:rsidRPr="00734BAD">
        <w:rPr>
          <w:sz w:val="26"/>
          <w:szCs w:val="26"/>
        </w:rPr>
        <w:t>Accordingly</w:t>
      </w:r>
      <w:r w:rsidR="0064586F" w:rsidRPr="00734BAD">
        <w:rPr>
          <w:sz w:val="26"/>
          <w:szCs w:val="26"/>
        </w:rPr>
        <w:t>, we find that</w:t>
      </w:r>
      <w:r w:rsidR="000715E8" w:rsidRPr="00734BAD">
        <w:rPr>
          <w:sz w:val="26"/>
          <w:szCs w:val="26"/>
        </w:rPr>
        <w:t xml:space="preserve"> the Complainant has failed to </w:t>
      </w:r>
      <w:r w:rsidR="00A423C4" w:rsidRPr="00734BAD">
        <w:rPr>
          <w:sz w:val="26"/>
          <w:szCs w:val="26"/>
        </w:rPr>
        <w:t>sustain his burden of proving that either Columbia or Direct Energy violated any Statute, or any Regulation or Order of the Commission, by implementing Columbia’s therm billing methodology.  Therefore, we will</w:t>
      </w:r>
      <w:r w:rsidR="0052640D">
        <w:rPr>
          <w:sz w:val="26"/>
          <w:szCs w:val="26"/>
        </w:rPr>
        <w:t xml:space="preserve"> deny the Complainant’s Exceptions</w:t>
      </w:r>
      <w:r w:rsidR="00934092">
        <w:rPr>
          <w:sz w:val="26"/>
          <w:szCs w:val="26"/>
        </w:rPr>
        <w:t xml:space="preserve"> </w:t>
      </w:r>
      <w:r w:rsidR="0052640D">
        <w:rPr>
          <w:sz w:val="26"/>
          <w:szCs w:val="26"/>
        </w:rPr>
        <w:t xml:space="preserve">and </w:t>
      </w:r>
      <w:r w:rsidR="00A423C4" w:rsidRPr="00734BAD">
        <w:rPr>
          <w:sz w:val="26"/>
          <w:szCs w:val="26"/>
        </w:rPr>
        <w:t>dismiss the Complaint.</w:t>
      </w:r>
    </w:p>
    <w:p w:rsidR="00A423C4" w:rsidRPr="00247A24" w:rsidRDefault="00A423C4" w:rsidP="00A423C4">
      <w:pPr>
        <w:keepNext/>
        <w:widowControl/>
        <w:spacing w:line="360" w:lineRule="auto"/>
        <w:jc w:val="center"/>
        <w:rPr>
          <w:b/>
          <w:sz w:val="26"/>
          <w:szCs w:val="26"/>
        </w:rPr>
      </w:pPr>
      <w:r w:rsidRPr="00247A24">
        <w:rPr>
          <w:b/>
          <w:sz w:val="26"/>
          <w:szCs w:val="26"/>
        </w:rPr>
        <w:lastRenderedPageBreak/>
        <w:t>Conclusion</w:t>
      </w:r>
    </w:p>
    <w:p w:rsidR="00A423C4" w:rsidRPr="00247A24" w:rsidRDefault="00A423C4" w:rsidP="00A423C4">
      <w:pPr>
        <w:keepNext/>
        <w:widowControl/>
        <w:ind w:firstLine="1440"/>
        <w:rPr>
          <w:sz w:val="26"/>
          <w:szCs w:val="26"/>
        </w:rPr>
      </w:pPr>
    </w:p>
    <w:p w:rsidR="00A423C4" w:rsidRPr="00247A24" w:rsidRDefault="00A423C4" w:rsidP="00A423C4">
      <w:pPr>
        <w:keepNext/>
        <w:widowControl/>
        <w:spacing w:line="360" w:lineRule="auto"/>
        <w:ind w:firstLine="1440"/>
        <w:rPr>
          <w:sz w:val="26"/>
          <w:szCs w:val="26"/>
        </w:rPr>
      </w:pPr>
      <w:r w:rsidRPr="00247A24">
        <w:rPr>
          <w:sz w:val="26"/>
          <w:szCs w:val="26"/>
        </w:rPr>
        <w:t xml:space="preserve">In light of the above, we shall:  </w:t>
      </w:r>
      <w:r w:rsidR="000C332D" w:rsidRPr="00247A24">
        <w:rPr>
          <w:sz w:val="26"/>
          <w:szCs w:val="26"/>
        </w:rPr>
        <w:t>(1) deny</w:t>
      </w:r>
      <w:r w:rsidRPr="00247A24">
        <w:rPr>
          <w:sz w:val="26"/>
          <w:szCs w:val="26"/>
        </w:rPr>
        <w:t xml:space="preserve"> the Complainant’s Exceptions; (2)</w:t>
      </w:r>
      <w:r w:rsidR="00934092">
        <w:rPr>
          <w:sz w:val="26"/>
          <w:szCs w:val="26"/>
        </w:rPr>
        <w:t> </w:t>
      </w:r>
      <w:r w:rsidRPr="00247A24">
        <w:rPr>
          <w:sz w:val="26"/>
          <w:szCs w:val="26"/>
        </w:rPr>
        <w:t>adopt the ALJ</w:t>
      </w:r>
      <w:r w:rsidR="005B55F4">
        <w:rPr>
          <w:sz w:val="26"/>
          <w:szCs w:val="26"/>
        </w:rPr>
        <w:t>’s Initial Decision, consistent with</w:t>
      </w:r>
      <w:r w:rsidR="00247A24" w:rsidRPr="00247A24">
        <w:rPr>
          <w:sz w:val="26"/>
          <w:szCs w:val="26"/>
        </w:rPr>
        <w:t xml:space="preserve"> this </w:t>
      </w:r>
      <w:r w:rsidRPr="00247A24">
        <w:rPr>
          <w:sz w:val="26"/>
          <w:szCs w:val="26"/>
        </w:rPr>
        <w:t>Opinion and Order</w:t>
      </w:r>
      <w:r w:rsidR="005B55F4">
        <w:rPr>
          <w:sz w:val="26"/>
          <w:szCs w:val="26"/>
        </w:rPr>
        <w:t>, including the modification</w:t>
      </w:r>
      <w:r w:rsidR="0002606A">
        <w:rPr>
          <w:sz w:val="26"/>
          <w:szCs w:val="26"/>
        </w:rPr>
        <w:t>s</w:t>
      </w:r>
      <w:r w:rsidR="005B55F4">
        <w:rPr>
          <w:sz w:val="26"/>
          <w:szCs w:val="26"/>
        </w:rPr>
        <w:t xml:space="preserve"> to the Findings of Fact as set forth herein</w:t>
      </w:r>
      <w:r w:rsidRPr="00247A24">
        <w:rPr>
          <w:sz w:val="26"/>
          <w:szCs w:val="26"/>
        </w:rPr>
        <w:t xml:space="preserve">; and (3) dismiss the Complaint; </w:t>
      </w:r>
      <w:r w:rsidRPr="00247A24">
        <w:rPr>
          <w:b/>
          <w:sz w:val="26"/>
          <w:szCs w:val="26"/>
        </w:rPr>
        <w:t>THEREFORE,</w:t>
      </w:r>
      <w:r w:rsidRPr="00247A24">
        <w:rPr>
          <w:sz w:val="26"/>
          <w:szCs w:val="26"/>
        </w:rPr>
        <w:t xml:space="preserve"> </w:t>
      </w:r>
    </w:p>
    <w:p w:rsidR="00A423C4" w:rsidRPr="00247A24" w:rsidRDefault="00A423C4" w:rsidP="00A423C4">
      <w:pPr>
        <w:widowControl/>
        <w:spacing w:line="360" w:lineRule="auto"/>
        <w:rPr>
          <w:sz w:val="26"/>
          <w:szCs w:val="26"/>
        </w:rPr>
      </w:pPr>
    </w:p>
    <w:p w:rsidR="00A423C4" w:rsidRPr="00B40E9F" w:rsidRDefault="00A423C4" w:rsidP="00A423C4">
      <w:pPr>
        <w:keepNext/>
        <w:widowControl/>
        <w:ind w:firstLine="1440"/>
        <w:rPr>
          <w:b/>
          <w:sz w:val="26"/>
          <w:szCs w:val="26"/>
        </w:rPr>
      </w:pPr>
      <w:r w:rsidRPr="00247A24">
        <w:rPr>
          <w:b/>
          <w:sz w:val="26"/>
          <w:szCs w:val="26"/>
        </w:rPr>
        <w:t>IT IS ORDERED</w:t>
      </w:r>
      <w:r w:rsidRPr="00B40E9F">
        <w:rPr>
          <w:b/>
          <w:sz w:val="26"/>
          <w:szCs w:val="26"/>
        </w:rPr>
        <w:t>:</w:t>
      </w:r>
    </w:p>
    <w:p w:rsidR="00A423C4" w:rsidRPr="00B40E9F" w:rsidRDefault="00A423C4" w:rsidP="00A423C4">
      <w:pPr>
        <w:keepNext/>
        <w:widowControl/>
        <w:rPr>
          <w:sz w:val="26"/>
          <w:szCs w:val="26"/>
        </w:rPr>
      </w:pPr>
    </w:p>
    <w:p w:rsidR="00CA43A5" w:rsidRPr="00B40E9F" w:rsidRDefault="00CA43A5" w:rsidP="000A06E0">
      <w:pPr>
        <w:keepNext/>
        <w:widowControl/>
        <w:rPr>
          <w:sz w:val="26"/>
          <w:szCs w:val="26"/>
        </w:rPr>
      </w:pPr>
    </w:p>
    <w:p w:rsidR="009155F7" w:rsidRPr="00247A24" w:rsidRDefault="009155F7" w:rsidP="000A06E0">
      <w:pPr>
        <w:keepNext/>
        <w:widowControl/>
        <w:numPr>
          <w:ilvl w:val="0"/>
          <w:numId w:val="1"/>
        </w:numPr>
        <w:tabs>
          <w:tab w:val="clear" w:pos="2160"/>
          <w:tab w:val="num" w:pos="0"/>
        </w:tabs>
        <w:spacing w:line="360" w:lineRule="auto"/>
        <w:ind w:left="0" w:firstLine="1440"/>
        <w:rPr>
          <w:sz w:val="26"/>
          <w:szCs w:val="26"/>
        </w:rPr>
      </w:pPr>
      <w:r w:rsidRPr="00B40E9F">
        <w:rPr>
          <w:sz w:val="26"/>
          <w:szCs w:val="26"/>
        </w:rPr>
        <w:t>That the Exceptions of</w:t>
      </w:r>
      <w:r w:rsidR="00B40E9F" w:rsidRPr="00B40E9F">
        <w:rPr>
          <w:sz w:val="26"/>
          <w:szCs w:val="26"/>
        </w:rPr>
        <w:t xml:space="preserve"> Donald Rinald, filed on February</w:t>
      </w:r>
      <w:r w:rsidR="00E14881" w:rsidRPr="00B40E9F">
        <w:rPr>
          <w:sz w:val="26"/>
          <w:szCs w:val="26"/>
        </w:rPr>
        <w:t xml:space="preserve"> 12, 2013</w:t>
      </w:r>
      <w:r w:rsidR="00A13151" w:rsidRPr="00B40E9F">
        <w:rPr>
          <w:sz w:val="26"/>
          <w:szCs w:val="26"/>
        </w:rPr>
        <w:t>,</w:t>
      </w:r>
      <w:r w:rsidR="00251918" w:rsidRPr="00B40E9F">
        <w:rPr>
          <w:sz w:val="26"/>
          <w:szCs w:val="26"/>
        </w:rPr>
        <w:t xml:space="preserve"> to the Initial Decision </w:t>
      </w:r>
      <w:r w:rsidR="00251918" w:rsidRPr="00247A24">
        <w:rPr>
          <w:sz w:val="26"/>
          <w:szCs w:val="26"/>
        </w:rPr>
        <w:t>of Administ</w:t>
      </w:r>
      <w:r w:rsidR="000A06E0" w:rsidRPr="00247A24">
        <w:rPr>
          <w:sz w:val="26"/>
          <w:szCs w:val="26"/>
        </w:rPr>
        <w:t>ra</w:t>
      </w:r>
      <w:r w:rsidR="00E14881" w:rsidRPr="00247A24">
        <w:rPr>
          <w:sz w:val="26"/>
          <w:szCs w:val="26"/>
        </w:rPr>
        <w:t>ti</w:t>
      </w:r>
      <w:r w:rsidR="00B40E9F" w:rsidRPr="00247A24">
        <w:rPr>
          <w:sz w:val="26"/>
          <w:szCs w:val="26"/>
        </w:rPr>
        <w:t>ve Law Judge Susan D. Colwell, are</w:t>
      </w:r>
      <w:r w:rsidR="002E643A" w:rsidRPr="00247A24">
        <w:rPr>
          <w:sz w:val="26"/>
          <w:szCs w:val="26"/>
        </w:rPr>
        <w:t xml:space="preserve"> </w:t>
      </w:r>
      <w:r w:rsidR="00251918" w:rsidRPr="00247A24">
        <w:rPr>
          <w:sz w:val="26"/>
          <w:szCs w:val="26"/>
        </w:rPr>
        <w:t>denied</w:t>
      </w:r>
      <w:r w:rsidR="00B40E9F" w:rsidRPr="00247A24">
        <w:rPr>
          <w:sz w:val="26"/>
          <w:szCs w:val="26"/>
        </w:rPr>
        <w:t>.</w:t>
      </w:r>
    </w:p>
    <w:p w:rsidR="003F51F4" w:rsidRPr="00247A24" w:rsidRDefault="003F51F4" w:rsidP="005F184F">
      <w:pPr>
        <w:widowControl/>
        <w:spacing w:line="360" w:lineRule="auto"/>
        <w:ind w:left="1440"/>
        <w:rPr>
          <w:sz w:val="26"/>
          <w:szCs w:val="26"/>
        </w:rPr>
      </w:pPr>
    </w:p>
    <w:p w:rsidR="00CA43A5" w:rsidRPr="00247A24" w:rsidRDefault="00CA43A5" w:rsidP="005F184F">
      <w:pPr>
        <w:widowControl/>
        <w:numPr>
          <w:ilvl w:val="0"/>
          <w:numId w:val="1"/>
        </w:numPr>
        <w:tabs>
          <w:tab w:val="clear" w:pos="2160"/>
          <w:tab w:val="num" w:pos="0"/>
        </w:tabs>
        <w:spacing w:line="360" w:lineRule="auto"/>
        <w:ind w:left="0" w:firstLine="1440"/>
        <w:rPr>
          <w:sz w:val="26"/>
          <w:szCs w:val="26"/>
        </w:rPr>
      </w:pPr>
      <w:r w:rsidRPr="00247A24">
        <w:rPr>
          <w:sz w:val="26"/>
          <w:szCs w:val="26"/>
        </w:rPr>
        <w:t>That the Initial Decision of Adm</w:t>
      </w:r>
      <w:r w:rsidR="00251918" w:rsidRPr="00247A24">
        <w:rPr>
          <w:sz w:val="26"/>
          <w:szCs w:val="26"/>
        </w:rPr>
        <w:t>inist</w:t>
      </w:r>
      <w:r w:rsidR="000A06E0" w:rsidRPr="00247A24">
        <w:rPr>
          <w:sz w:val="26"/>
          <w:szCs w:val="26"/>
        </w:rPr>
        <w:t>ra</w:t>
      </w:r>
      <w:r w:rsidR="00E14881" w:rsidRPr="00247A24">
        <w:rPr>
          <w:sz w:val="26"/>
          <w:szCs w:val="26"/>
        </w:rPr>
        <w:t>ti</w:t>
      </w:r>
      <w:r w:rsidR="00B40E9F" w:rsidRPr="00247A24">
        <w:rPr>
          <w:sz w:val="26"/>
          <w:szCs w:val="26"/>
        </w:rPr>
        <w:t>ve Law Judge Susan</w:t>
      </w:r>
      <w:r w:rsidR="00934092">
        <w:rPr>
          <w:sz w:val="26"/>
          <w:szCs w:val="26"/>
        </w:rPr>
        <w:t> </w:t>
      </w:r>
      <w:r w:rsidR="00B40E9F" w:rsidRPr="00247A24">
        <w:rPr>
          <w:sz w:val="26"/>
          <w:szCs w:val="26"/>
        </w:rPr>
        <w:t>D.</w:t>
      </w:r>
      <w:r w:rsidR="00934092">
        <w:rPr>
          <w:sz w:val="26"/>
          <w:szCs w:val="26"/>
        </w:rPr>
        <w:t> </w:t>
      </w:r>
      <w:r w:rsidR="00B40E9F" w:rsidRPr="00247A24">
        <w:rPr>
          <w:sz w:val="26"/>
          <w:szCs w:val="26"/>
        </w:rPr>
        <w:t>Colwell</w:t>
      </w:r>
      <w:r w:rsidR="00A91DC1" w:rsidRPr="00247A24">
        <w:rPr>
          <w:sz w:val="26"/>
          <w:szCs w:val="26"/>
        </w:rPr>
        <w:t xml:space="preserve">, issued </w:t>
      </w:r>
      <w:r w:rsidR="00B40E9F" w:rsidRPr="00247A24">
        <w:rPr>
          <w:sz w:val="26"/>
          <w:szCs w:val="26"/>
        </w:rPr>
        <w:t>February 1</w:t>
      </w:r>
      <w:r w:rsidR="00E14881" w:rsidRPr="00247A24">
        <w:rPr>
          <w:sz w:val="26"/>
          <w:szCs w:val="26"/>
        </w:rPr>
        <w:t>, 2013</w:t>
      </w:r>
      <w:r w:rsidR="00745E99" w:rsidRPr="00247A24">
        <w:rPr>
          <w:sz w:val="26"/>
          <w:szCs w:val="26"/>
        </w:rPr>
        <w:t>,</w:t>
      </w:r>
      <w:r w:rsidR="00251918" w:rsidRPr="00247A24">
        <w:rPr>
          <w:sz w:val="26"/>
          <w:szCs w:val="26"/>
        </w:rPr>
        <w:t xml:space="preserve"> is adopted</w:t>
      </w:r>
      <w:r w:rsidRPr="00247A24">
        <w:rPr>
          <w:sz w:val="26"/>
          <w:szCs w:val="26"/>
        </w:rPr>
        <w:t>,</w:t>
      </w:r>
      <w:r w:rsidR="00E14881" w:rsidRPr="00247A24">
        <w:rPr>
          <w:sz w:val="26"/>
          <w:szCs w:val="26"/>
        </w:rPr>
        <w:t xml:space="preserve"> </w:t>
      </w:r>
      <w:r w:rsidR="0002606A">
        <w:rPr>
          <w:sz w:val="26"/>
          <w:szCs w:val="26"/>
        </w:rPr>
        <w:t>consistent with</w:t>
      </w:r>
      <w:r w:rsidR="003B2DBB" w:rsidRPr="00247A24">
        <w:rPr>
          <w:sz w:val="26"/>
          <w:szCs w:val="26"/>
        </w:rPr>
        <w:t xml:space="preserve"> this </w:t>
      </w:r>
      <w:r w:rsidRPr="00247A24">
        <w:rPr>
          <w:sz w:val="26"/>
          <w:szCs w:val="26"/>
        </w:rPr>
        <w:t>Opinion and Order</w:t>
      </w:r>
      <w:r w:rsidR="0002606A">
        <w:rPr>
          <w:sz w:val="26"/>
          <w:szCs w:val="26"/>
        </w:rPr>
        <w:t>, including the modifications to the Findings of Fact as set forth in this Opinion and Order</w:t>
      </w:r>
      <w:r w:rsidRPr="00247A24">
        <w:rPr>
          <w:sz w:val="26"/>
          <w:szCs w:val="26"/>
        </w:rPr>
        <w:t>.</w:t>
      </w:r>
    </w:p>
    <w:p w:rsidR="003F51F4" w:rsidRPr="00247A24" w:rsidRDefault="003F51F4" w:rsidP="005F184F">
      <w:pPr>
        <w:widowControl/>
        <w:spacing w:line="360" w:lineRule="auto"/>
        <w:ind w:left="1440"/>
        <w:rPr>
          <w:sz w:val="26"/>
          <w:szCs w:val="26"/>
        </w:rPr>
      </w:pPr>
    </w:p>
    <w:p w:rsidR="00396541" w:rsidRDefault="00251918" w:rsidP="00551506">
      <w:pPr>
        <w:pStyle w:val="ListParagraph"/>
        <w:widowControl/>
        <w:numPr>
          <w:ilvl w:val="0"/>
          <w:numId w:val="1"/>
        </w:numPr>
        <w:spacing w:line="360" w:lineRule="auto"/>
        <w:ind w:left="0" w:firstLine="1440"/>
        <w:rPr>
          <w:sz w:val="26"/>
          <w:szCs w:val="26"/>
        </w:rPr>
      </w:pPr>
      <w:r w:rsidRPr="00247A24">
        <w:rPr>
          <w:sz w:val="26"/>
          <w:szCs w:val="26"/>
        </w:rPr>
        <w:t>That the Formal Co</w:t>
      </w:r>
      <w:r w:rsidR="005C399D" w:rsidRPr="00247A24">
        <w:rPr>
          <w:sz w:val="26"/>
          <w:szCs w:val="26"/>
        </w:rPr>
        <w:t>mplaint</w:t>
      </w:r>
      <w:r w:rsidR="0088208B" w:rsidRPr="00247A24">
        <w:rPr>
          <w:sz w:val="26"/>
          <w:szCs w:val="26"/>
        </w:rPr>
        <w:t xml:space="preserve"> against Columbia Gas of Pennsylvania, Inc.,</w:t>
      </w:r>
      <w:r w:rsidR="005C399D" w:rsidRPr="00247A24">
        <w:rPr>
          <w:sz w:val="26"/>
          <w:szCs w:val="26"/>
        </w:rPr>
        <w:t xml:space="preserve"> filed by </w:t>
      </w:r>
      <w:r w:rsidR="0088208B" w:rsidRPr="00247A24">
        <w:rPr>
          <w:sz w:val="26"/>
          <w:szCs w:val="26"/>
        </w:rPr>
        <w:t>Donald Rinald</w:t>
      </w:r>
      <w:r w:rsidR="0088208B" w:rsidRPr="0088208B">
        <w:rPr>
          <w:sz w:val="26"/>
          <w:szCs w:val="26"/>
        </w:rPr>
        <w:t xml:space="preserve"> on March</w:t>
      </w:r>
      <w:r w:rsidR="00E14881" w:rsidRPr="0088208B">
        <w:rPr>
          <w:sz w:val="26"/>
          <w:szCs w:val="26"/>
        </w:rPr>
        <w:t xml:space="preserve"> 5, 2012</w:t>
      </w:r>
      <w:r w:rsidR="0088208B">
        <w:rPr>
          <w:sz w:val="26"/>
          <w:szCs w:val="26"/>
        </w:rPr>
        <w:t>,</w:t>
      </w:r>
      <w:r w:rsidR="005C399D" w:rsidRPr="0088208B">
        <w:rPr>
          <w:sz w:val="26"/>
          <w:szCs w:val="26"/>
        </w:rPr>
        <w:t xml:space="preserve"> </w:t>
      </w:r>
      <w:r w:rsidR="00E14881" w:rsidRPr="0088208B">
        <w:rPr>
          <w:sz w:val="26"/>
          <w:szCs w:val="26"/>
        </w:rPr>
        <w:t xml:space="preserve">is </w:t>
      </w:r>
      <w:r w:rsidR="00411024" w:rsidRPr="0088208B">
        <w:rPr>
          <w:sz w:val="26"/>
          <w:szCs w:val="26"/>
        </w:rPr>
        <w:t>dismissed</w:t>
      </w:r>
      <w:r w:rsidR="0088208B" w:rsidRPr="0088208B">
        <w:rPr>
          <w:sz w:val="26"/>
          <w:szCs w:val="26"/>
        </w:rPr>
        <w:t>.</w:t>
      </w:r>
    </w:p>
    <w:p w:rsidR="0088208B" w:rsidRDefault="0088208B" w:rsidP="0088208B">
      <w:pPr>
        <w:pStyle w:val="ListParagraph"/>
        <w:widowControl/>
        <w:spacing w:line="360" w:lineRule="auto"/>
        <w:ind w:left="1440"/>
        <w:rPr>
          <w:sz w:val="26"/>
          <w:szCs w:val="26"/>
        </w:rPr>
      </w:pPr>
    </w:p>
    <w:p w:rsidR="0088208B" w:rsidRPr="0088208B" w:rsidRDefault="0088208B" w:rsidP="00551506">
      <w:pPr>
        <w:pStyle w:val="ListParagraph"/>
        <w:widowControl/>
        <w:numPr>
          <w:ilvl w:val="0"/>
          <w:numId w:val="1"/>
        </w:numPr>
        <w:spacing w:line="360" w:lineRule="auto"/>
        <w:ind w:left="0" w:firstLine="1440"/>
        <w:rPr>
          <w:sz w:val="26"/>
          <w:szCs w:val="26"/>
        </w:rPr>
      </w:pPr>
      <w:r>
        <w:rPr>
          <w:sz w:val="26"/>
          <w:szCs w:val="26"/>
        </w:rPr>
        <w:t>That the Formal Complaint against Direct Energy Services, L</w:t>
      </w:r>
      <w:r w:rsidR="00247A24">
        <w:rPr>
          <w:sz w:val="26"/>
          <w:szCs w:val="26"/>
        </w:rPr>
        <w:t>L</w:t>
      </w:r>
      <w:r>
        <w:rPr>
          <w:sz w:val="26"/>
          <w:szCs w:val="26"/>
        </w:rPr>
        <w:t>C, filed by Donald Rinald on March 5, 2012, is dismissed.</w:t>
      </w:r>
    </w:p>
    <w:p w:rsidR="00D45DD3" w:rsidRPr="0088208B" w:rsidRDefault="00D45DD3" w:rsidP="00D45DD3">
      <w:pPr>
        <w:pStyle w:val="ListParagraph"/>
        <w:rPr>
          <w:sz w:val="26"/>
          <w:szCs w:val="26"/>
        </w:rPr>
      </w:pPr>
    </w:p>
    <w:p w:rsidR="00251918" w:rsidRPr="0088208B" w:rsidRDefault="00251918" w:rsidP="00551506">
      <w:pPr>
        <w:pStyle w:val="ListParagraph"/>
        <w:keepNext/>
        <w:widowControl/>
        <w:numPr>
          <w:ilvl w:val="0"/>
          <w:numId w:val="1"/>
        </w:numPr>
        <w:spacing w:line="360" w:lineRule="auto"/>
        <w:ind w:left="0" w:firstLine="1440"/>
        <w:rPr>
          <w:sz w:val="26"/>
          <w:szCs w:val="26"/>
        </w:rPr>
      </w:pPr>
      <w:r w:rsidRPr="0088208B">
        <w:rPr>
          <w:sz w:val="26"/>
          <w:szCs w:val="26"/>
        </w:rPr>
        <w:lastRenderedPageBreak/>
        <w:t>That</w:t>
      </w:r>
      <w:r w:rsidR="0088208B" w:rsidRPr="0088208B">
        <w:rPr>
          <w:sz w:val="26"/>
          <w:szCs w:val="26"/>
        </w:rPr>
        <w:t xml:space="preserve"> the record at Docket No. C-2012-2292780</w:t>
      </w:r>
      <w:r w:rsidR="00C074D9" w:rsidRPr="0088208B">
        <w:rPr>
          <w:sz w:val="26"/>
          <w:szCs w:val="26"/>
        </w:rPr>
        <w:t xml:space="preserve"> </w:t>
      </w:r>
      <w:r w:rsidR="00814503">
        <w:rPr>
          <w:sz w:val="26"/>
          <w:szCs w:val="26"/>
        </w:rPr>
        <w:t>be</w:t>
      </w:r>
      <w:r w:rsidRPr="0088208B">
        <w:rPr>
          <w:sz w:val="26"/>
          <w:szCs w:val="26"/>
        </w:rPr>
        <w:t xml:space="preserve"> marked closed.</w:t>
      </w:r>
    </w:p>
    <w:p w:rsidR="00CA43A5" w:rsidRPr="0088208B" w:rsidRDefault="00CA43A5" w:rsidP="00551506">
      <w:pPr>
        <w:keepNext/>
        <w:rPr>
          <w:sz w:val="26"/>
          <w:szCs w:val="26"/>
        </w:rPr>
      </w:pPr>
    </w:p>
    <w:p w:rsidR="00CA43A5" w:rsidRPr="0088208B" w:rsidRDefault="00CA43A5" w:rsidP="00551506">
      <w:pPr>
        <w:keepNext/>
        <w:rPr>
          <w:sz w:val="26"/>
          <w:szCs w:val="26"/>
        </w:rPr>
      </w:pPr>
    </w:p>
    <w:p w:rsidR="00CA43A5" w:rsidRPr="00C074D9" w:rsidRDefault="000D7E64" w:rsidP="00551506">
      <w:pPr>
        <w:keepNext/>
        <w:tabs>
          <w:tab w:val="left" w:pos="-720"/>
        </w:tabs>
        <w:ind w:firstLine="5040"/>
        <w:rPr>
          <w:sz w:val="26"/>
          <w:szCs w:val="26"/>
        </w:rPr>
      </w:pPr>
      <w:r>
        <w:rPr>
          <w:noProof/>
        </w:rPr>
        <w:drawing>
          <wp:anchor distT="0" distB="0" distL="114300" distR="114300" simplePos="0" relativeHeight="251658240" behindDoc="1" locked="0" layoutInCell="1" allowOverlap="1" wp14:anchorId="64BED289" wp14:editId="079FC829">
            <wp:simplePos x="0" y="0"/>
            <wp:positionH relativeFrom="column">
              <wp:posOffset>2863850</wp:posOffset>
            </wp:positionH>
            <wp:positionV relativeFrom="paragraph">
              <wp:posOffset>104140</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43A5" w:rsidRPr="0088208B">
        <w:rPr>
          <w:b/>
          <w:sz w:val="26"/>
          <w:szCs w:val="26"/>
        </w:rPr>
        <w:t>BY THE COMMISSION,</w:t>
      </w:r>
    </w:p>
    <w:p w:rsidR="00CA43A5" w:rsidRPr="00C074D9" w:rsidRDefault="00CA43A5" w:rsidP="00551506">
      <w:pPr>
        <w:keepNext/>
        <w:tabs>
          <w:tab w:val="left" w:pos="-720"/>
        </w:tabs>
        <w:rPr>
          <w:sz w:val="26"/>
          <w:szCs w:val="26"/>
        </w:rPr>
      </w:pPr>
    </w:p>
    <w:p w:rsidR="00CA43A5" w:rsidRPr="00C074D9" w:rsidRDefault="00CA43A5" w:rsidP="00551506">
      <w:pPr>
        <w:keepNext/>
        <w:tabs>
          <w:tab w:val="left" w:pos="-720"/>
        </w:tabs>
        <w:rPr>
          <w:sz w:val="26"/>
          <w:szCs w:val="26"/>
        </w:rPr>
      </w:pPr>
    </w:p>
    <w:p w:rsidR="00CA43A5" w:rsidRPr="00C074D9" w:rsidRDefault="00CA43A5" w:rsidP="00551506">
      <w:pPr>
        <w:keepNext/>
        <w:tabs>
          <w:tab w:val="left" w:pos="-720"/>
        </w:tabs>
        <w:rPr>
          <w:sz w:val="26"/>
          <w:szCs w:val="26"/>
        </w:rPr>
      </w:pPr>
    </w:p>
    <w:p w:rsidR="00CA43A5" w:rsidRPr="00C074D9" w:rsidRDefault="00564565" w:rsidP="00551506">
      <w:pPr>
        <w:keepNext/>
        <w:tabs>
          <w:tab w:val="left" w:pos="-720"/>
        </w:tabs>
        <w:ind w:firstLine="5040"/>
        <w:rPr>
          <w:b/>
          <w:sz w:val="26"/>
          <w:szCs w:val="26"/>
        </w:rPr>
      </w:pPr>
      <w:r w:rsidRPr="00C074D9">
        <w:rPr>
          <w:sz w:val="26"/>
          <w:szCs w:val="26"/>
        </w:rPr>
        <w:t>Rosemary Chiavetta</w:t>
      </w:r>
    </w:p>
    <w:p w:rsidR="00CA43A5" w:rsidRPr="00C074D9" w:rsidRDefault="00CA43A5" w:rsidP="00551506">
      <w:pPr>
        <w:keepNext/>
        <w:tabs>
          <w:tab w:val="left" w:pos="-720"/>
        </w:tabs>
        <w:ind w:firstLine="5040"/>
        <w:rPr>
          <w:sz w:val="26"/>
          <w:szCs w:val="26"/>
        </w:rPr>
      </w:pPr>
      <w:r w:rsidRPr="00C074D9">
        <w:rPr>
          <w:sz w:val="26"/>
          <w:szCs w:val="26"/>
        </w:rPr>
        <w:t>Secretary</w:t>
      </w:r>
    </w:p>
    <w:p w:rsidR="00CA43A5" w:rsidRDefault="00CA43A5" w:rsidP="00551506">
      <w:pPr>
        <w:keepNext/>
        <w:tabs>
          <w:tab w:val="left" w:pos="-720"/>
        </w:tabs>
        <w:rPr>
          <w:sz w:val="26"/>
          <w:szCs w:val="26"/>
        </w:rPr>
      </w:pPr>
    </w:p>
    <w:p w:rsidR="00934092" w:rsidRPr="00C074D9" w:rsidRDefault="00934092" w:rsidP="00551506">
      <w:pPr>
        <w:keepNext/>
        <w:tabs>
          <w:tab w:val="left" w:pos="-720"/>
        </w:tabs>
        <w:rPr>
          <w:sz w:val="26"/>
          <w:szCs w:val="26"/>
        </w:rPr>
      </w:pPr>
    </w:p>
    <w:p w:rsidR="00CA43A5" w:rsidRPr="00C074D9" w:rsidRDefault="00CA43A5" w:rsidP="00551506">
      <w:pPr>
        <w:keepNext/>
        <w:tabs>
          <w:tab w:val="left" w:pos="-720"/>
        </w:tabs>
        <w:rPr>
          <w:sz w:val="26"/>
          <w:szCs w:val="26"/>
        </w:rPr>
      </w:pPr>
      <w:r w:rsidRPr="00C074D9">
        <w:rPr>
          <w:sz w:val="26"/>
          <w:szCs w:val="26"/>
        </w:rPr>
        <w:t>(SEAL)</w:t>
      </w:r>
    </w:p>
    <w:p w:rsidR="00CA43A5" w:rsidRDefault="00CA43A5" w:rsidP="00551506">
      <w:pPr>
        <w:keepNext/>
        <w:tabs>
          <w:tab w:val="left" w:pos="-720"/>
        </w:tabs>
        <w:rPr>
          <w:sz w:val="26"/>
          <w:szCs w:val="26"/>
        </w:rPr>
      </w:pPr>
    </w:p>
    <w:p w:rsidR="00934092" w:rsidRPr="00C074D9" w:rsidRDefault="00934092" w:rsidP="00551506">
      <w:pPr>
        <w:keepNext/>
        <w:tabs>
          <w:tab w:val="left" w:pos="-720"/>
        </w:tabs>
        <w:rPr>
          <w:sz w:val="26"/>
          <w:szCs w:val="26"/>
        </w:rPr>
      </w:pPr>
    </w:p>
    <w:p w:rsidR="00CA43A5" w:rsidRPr="00C074D9" w:rsidRDefault="00CA43A5" w:rsidP="00551506">
      <w:pPr>
        <w:keepNext/>
        <w:tabs>
          <w:tab w:val="left" w:pos="-720"/>
        </w:tabs>
        <w:rPr>
          <w:sz w:val="26"/>
          <w:szCs w:val="26"/>
        </w:rPr>
      </w:pPr>
      <w:r w:rsidRPr="00C074D9">
        <w:rPr>
          <w:sz w:val="26"/>
          <w:szCs w:val="26"/>
        </w:rPr>
        <w:t xml:space="preserve">ORDER ADOPTED: </w:t>
      </w:r>
      <w:r w:rsidR="00B347C2">
        <w:rPr>
          <w:sz w:val="26"/>
          <w:szCs w:val="26"/>
        </w:rPr>
        <w:t>August 15</w:t>
      </w:r>
      <w:r w:rsidR="005E5108" w:rsidRPr="00C074D9">
        <w:rPr>
          <w:sz w:val="26"/>
          <w:szCs w:val="26"/>
        </w:rPr>
        <w:t>, 2013</w:t>
      </w:r>
    </w:p>
    <w:p w:rsidR="00857172" w:rsidRPr="00C074D9" w:rsidRDefault="00857172" w:rsidP="00551506">
      <w:pPr>
        <w:keepNext/>
        <w:tabs>
          <w:tab w:val="left" w:pos="-720"/>
        </w:tabs>
        <w:rPr>
          <w:sz w:val="26"/>
          <w:szCs w:val="26"/>
        </w:rPr>
      </w:pPr>
    </w:p>
    <w:p w:rsidR="00344804" w:rsidRPr="00CA43A5" w:rsidRDefault="00CA43A5" w:rsidP="00551506">
      <w:pPr>
        <w:keepNext/>
        <w:tabs>
          <w:tab w:val="left" w:pos="-720"/>
        </w:tabs>
        <w:rPr>
          <w:sz w:val="26"/>
          <w:szCs w:val="26"/>
        </w:rPr>
      </w:pPr>
      <w:r w:rsidRPr="00C074D9">
        <w:rPr>
          <w:sz w:val="26"/>
          <w:szCs w:val="26"/>
        </w:rPr>
        <w:t>ORDER ENTERED:</w:t>
      </w:r>
      <w:r w:rsidRPr="00CA43A5">
        <w:rPr>
          <w:sz w:val="26"/>
          <w:szCs w:val="26"/>
        </w:rPr>
        <w:t xml:space="preserve">  </w:t>
      </w:r>
      <w:r w:rsidR="000D7E64">
        <w:rPr>
          <w:sz w:val="26"/>
          <w:szCs w:val="26"/>
        </w:rPr>
        <w:t>August 15, 2013</w:t>
      </w:r>
      <w:bookmarkStart w:id="2" w:name="_GoBack"/>
      <w:bookmarkEnd w:id="2"/>
    </w:p>
    <w:sectPr w:rsidR="00344804" w:rsidRPr="00CA43A5" w:rsidSect="004770D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CC" w:rsidRDefault="00BE63CC" w:rsidP="00F7174B">
      <w:r>
        <w:separator/>
      </w:r>
    </w:p>
  </w:endnote>
  <w:endnote w:type="continuationSeparator" w:id="0">
    <w:p w:rsidR="00BE63CC" w:rsidRDefault="00BE63CC"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DC1448" w:rsidRPr="009F1A08" w:rsidRDefault="00DC1448">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0D7E64">
          <w:rPr>
            <w:noProof/>
            <w:sz w:val="26"/>
            <w:szCs w:val="26"/>
          </w:rPr>
          <w:t>20</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CC" w:rsidRDefault="00BE63CC" w:rsidP="00F7174B">
      <w:r>
        <w:separator/>
      </w:r>
    </w:p>
  </w:footnote>
  <w:footnote w:type="continuationSeparator" w:id="0">
    <w:p w:rsidR="00BE63CC" w:rsidRDefault="00BE63CC" w:rsidP="00F7174B">
      <w:r>
        <w:continuationSeparator/>
      </w:r>
    </w:p>
  </w:footnote>
  <w:footnote w:id="1">
    <w:p w:rsidR="00DC1448" w:rsidRPr="00CE10F2" w:rsidRDefault="00DC1448" w:rsidP="00863D2A">
      <w:pPr>
        <w:widowControl/>
        <w:rPr>
          <w:sz w:val="26"/>
          <w:szCs w:val="26"/>
        </w:rPr>
      </w:pPr>
      <w:r>
        <w:rPr>
          <w:sz w:val="26"/>
          <w:szCs w:val="26"/>
        </w:rPr>
        <w:tab/>
      </w:r>
      <w:r w:rsidRPr="0073435D">
        <w:rPr>
          <w:rStyle w:val="FootnoteReference"/>
          <w:sz w:val="26"/>
          <w:szCs w:val="26"/>
        </w:rPr>
        <w:footnoteRef/>
      </w:r>
      <w:r>
        <w:rPr>
          <w:sz w:val="26"/>
          <w:szCs w:val="26"/>
        </w:rPr>
        <w:tab/>
      </w:r>
      <w:r w:rsidRPr="0073435D">
        <w:rPr>
          <w:sz w:val="26"/>
          <w:szCs w:val="26"/>
        </w:rPr>
        <w:t xml:space="preserve">This change was made pursuant to a Joint Petition for Partial Settlement approved by the Commission in Columbia’s 2010 base rate proceeding. </w:t>
      </w:r>
      <w:r w:rsidRPr="0073435D">
        <w:rPr>
          <w:i/>
          <w:sz w:val="26"/>
          <w:szCs w:val="26"/>
        </w:rPr>
        <w:t xml:space="preserve"> Pennsylvania Public Utility Commission, et al. v. Columbia Gas of Pennsylvania</w:t>
      </w:r>
      <w:r w:rsidR="000C1D1F">
        <w:rPr>
          <w:sz w:val="26"/>
          <w:szCs w:val="26"/>
        </w:rPr>
        <w:t>, Docket No. R</w:t>
      </w:r>
      <w:r w:rsidR="000C1D1F">
        <w:rPr>
          <w:sz w:val="26"/>
          <w:szCs w:val="26"/>
        </w:rPr>
        <w:noBreakHyphen/>
        <w:t>2010</w:t>
      </w:r>
      <w:r w:rsidR="000C1D1F">
        <w:rPr>
          <w:sz w:val="26"/>
          <w:szCs w:val="26"/>
        </w:rPr>
        <w:noBreakHyphen/>
      </w:r>
      <w:r w:rsidRPr="0073435D">
        <w:rPr>
          <w:sz w:val="26"/>
          <w:szCs w:val="26"/>
        </w:rPr>
        <w:t xml:space="preserve">2215623, </w:t>
      </w:r>
      <w:r w:rsidRPr="0073435D">
        <w:rPr>
          <w:i/>
          <w:sz w:val="26"/>
          <w:szCs w:val="26"/>
        </w:rPr>
        <w:t>et al</w:t>
      </w:r>
      <w:r w:rsidRPr="0073435D">
        <w:rPr>
          <w:sz w:val="26"/>
          <w:szCs w:val="26"/>
        </w:rPr>
        <w:t>. (Opinion and Order entered October 14, 2011).</w:t>
      </w:r>
      <w:r>
        <w:rPr>
          <w:sz w:val="26"/>
          <w:szCs w:val="26"/>
        </w:rPr>
        <w:t xml:space="preserve">  </w:t>
      </w:r>
    </w:p>
    <w:p w:rsidR="00DC1448" w:rsidRPr="0073435D" w:rsidRDefault="00DC1448" w:rsidP="00965462">
      <w:pPr>
        <w:pStyle w:val="FootnoteText"/>
        <w:spacing w:line="60" w:lineRule="auto"/>
        <w:rPr>
          <w:sz w:val="26"/>
          <w:szCs w:val="26"/>
        </w:rPr>
      </w:pPr>
    </w:p>
  </w:footnote>
  <w:footnote w:id="2">
    <w:p w:rsidR="00DC1448" w:rsidRDefault="00DC1448">
      <w:pPr>
        <w:pStyle w:val="FootnoteText"/>
        <w:rPr>
          <w:sz w:val="26"/>
          <w:szCs w:val="26"/>
        </w:rPr>
      </w:pPr>
      <w:r>
        <w:rPr>
          <w:sz w:val="26"/>
          <w:szCs w:val="26"/>
        </w:rPr>
        <w:tab/>
      </w:r>
      <w:r w:rsidRPr="00155FCB">
        <w:rPr>
          <w:rStyle w:val="FootnoteReference"/>
          <w:sz w:val="26"/>
          <w:szCs w:val="26"/>
        </w:rPr>
        <w:footnoteRef/>
      </w:r>
      <w:r>
        <w:rPr>
          <w:sz w:val="26"/>
          <w:szCs w:val="26"/>
        </w:rPr>
        <w:tab/>
        <w:t>Ccf stands for 100 cubic feet, a standard volumetric measure of gas consumption.</w:t>
      </w:r>
      <w:r w:rsidR="006E533A">
        <w:rPr>
          <w:sz w:val="26"/>
          <w:szCs w:val="26"/>
        </w:rPr>
        <w:t xml:space="preserve">  Columbia Exh. No. CG-5.</w:t>
      </w:r>
    </w:p>
    <w:p w:rsidR="00DC1448" w:rsidRPr="00155FCB" w:rsidRDefault="00DC1448" w:rsidP="00965462">
      <w:pPr>
        <w:pStyle w:val="FootnoteText"/>
        <w:spacing w:line="60" w:lineRule="auto"/>
        <w:rPr>
          <w:sz w:val="26"/>
          <w:szCs w:val="26"/>
        </w:rPr>
      </w:pPr>
    </w:p>
  </w:footnote>
  <w:footnote w:id="3">
    <w:p w:rsidR="00DC1448" w:rsidRPr="00155FCB" w:rsidRDefault="00DC1448">
      <w:pPr>
        <w:pStyle w:val="FootnoteText"/>
        <w:rPr>
          <w:sz w:val="26"/>
          <w:szCs w:val="26"/>
        </w:rPr>
      </w:pPr>
      <w:r>
        <w:rPr>
          <w:sz w:val="26"/>
          <w:szCs w:val="26"/>
        </w:rPr>
        <w:tab/>
      </w:r>
      <w:r w:rsidRPr="00155FCB">
        <w:rPr>
          <w:rStyle w:val="FootnoteReference"/>
          <w:sz w:val="26"/>
          <w:szCs w:val="26"/>
        </w:rPr>
        <w:footnoteRef/>
      </w:r>
      <w:r>
        <w:rPr>
          <w:sz w:val="26"/>
          <w:szCs w:val="26"/>
        </w:rPr>
        <w:tab/>
        <w:t>A therm is a measure of energy or heat, and is equal to 100,000 British thermal units, or Btu.</w:t>
      </w:r>
      <w:r w:rsidR="006E533A">
        <w:rPr>
          <w:sz w:val="26"/>
          <w:szCs w:val="26"/>
        </w:rPr>
        <w:t xml:space="preserve">  Columbia Exh. No. CG-5.</w:t>
      </w:r>
    </w:p>
  </w:footnote>
  <w:footnote w:id="4">
    <w:p w:rsidR="00BE5158" w:rsidRDefault="00BE5158" w:rsidP="00863D2A">
      <w:pPr>
        <w:pStyle w:val="FootnoteText"/>
        <w:widowControl/>
        <w:rPr>
          <w:sz w:val="26"/>
          <w:szCs w:val="26"/>
        </w:rPr>
      </w:pPr>
      <w:r>
        <w:rPr>
          <w:sz w:val="26"/>
          <w:szCs w:val="26"/>
        </w:rPr>
        <w:tab/>
      </w:r>
      <w:r w:rsidRPr="00172F06">
        <w:rPr>
          <w:rStyle w:val="FootnoteReference"/>
          <w:sz w:val="26"/>
          <w:szCs w:val="26"/>
        </w:rPr>
        <w:footnoteRef/>
      </w:r>
      <w:r>
        <w:rPr>
          <w:sz w:val="26"/>
          <w:szCs w:val="26"/>
        </w:rPr>
        <w:tab/>
        <w:t>According to literature provided by Columbia to customers regarding the conversion to therm billing, customers who have consistently been receiving gas with higher energy content could expect to experience bill increases of four to five percent as a result of the conversion.  Columbia Exh. No. CG-5.</w:t>
      </w:r>
    </w:p>
    <w:p w:rsidR="004121C0" w:rsidRPr="00172F06" w:rsidRDefault="004121C0" w:rsidP="00863D2A">
      <w:pPr>
        <w:pStyle w:val="FootnoteText"/>
        <w:widowControl/>
        <w:spacing w:line="60" w:lineRule="auto"/>
        <w:rPr>
          <w:sz w:val="26"/>
          <w:szCs w:val="26"/>
        </w:rPr>
      </w:pPr>
    </w:p>
  </w:footnote>
  <w:footnote w:id="5">
    <w:p w:rsidR="001A2BE9" w:rsidRDefault="001A2BE9" w:rsidP="00863D2A">
      <w:pPr>
        <w:pStyle w:val="FootnoteText"/>
        <w:widowControl/>
        <w:rPr>
          <w:sz w:val="26"/>
          <w:szCs w:val="26"/>
        </w:rPr>
      </w:pPr>
      <w:r>
        <w:rPr>
          <w:sz w:val="26"/>
          <w:szCs w:val="26"/>
        </w:rPr>
        <w:tab/>
      </w:r>
      <w:r w:rsidRPr="003915CB">
        <w:rPr>
          <w:rStyle w:val="FootnoteReference"/>
          <w:sz w:val="26"/>
          <w:szCs w:val="26"/>
        </w:rPr>
        <w:footnoteRef/>
      </w:r>
      <w:r>
        <w:rPr>
          <w:sz w:val="26"/>
          <w:szCs w:val="26"/>
        </w:rPr>
        <w:tab/>
        <w:t>In her Findin</w:t>
      </w:r>
      <w:r w:rsidR="00864A80">
        <w:rPr>
          <w:sz w:val="26"/>
          <w:szCs w:val="26"/>
        </w:rPr>
        <w:t>g of Fact No. 23, the ALJ stated</w:t>
      </w:r>
      <w:r>
        <w:rPr>
          <w:sz w:val="26"/>
          <w:szCs w:val="26"/>
        </w:rPr>
        <w:t xml:space="preserve"> that the Complainant had a month-to-month contract with Direct Energy from March, 2011 to March 2012.  I.D.</w:t>
      </w:r>
      <w:r w:rsidR="00863D2A">
        <w:rPr>
          <w:sz w:val="26"/>
          <w:szCs w:val="26"/>
        </w:rPr>
        <w:t xml:space="preserve"> </w:t>
      </w:r>
      <w:r>
        <w:rPr>
          <w:sz w:val="26"/>
          <w:szCs w:val="26"/>
        </w:rPr>
        <w:t>at</w:t>
      </w:r>
      <w:r w:rsidR="00863D2A">
        <w:rPr>
          <w:sz w:val="26"/>
          <w:szCs w:val="26"/>
        </w:rPr>
        <w:t> </w:t>
      </w:r>
      <w:r>
        <w:rPr>
          <w:sz w:val="26"/>
          <w:szCs w:val="26"/>
        </w:rPr>
        <w:t>5.  However, testimony provided by Direct Energy’s witness reveals that the Complainant did not purchase gas from Direct Energy on a month-to-month basis until after the fixed-price contract ended in March 2012.  Tr. at 70.</w:t>
      </w:r>
      <w:r w:rsidR="00FA46C9">
        <w:rPr>
          <w:sz w:val="26"/>
          <w:szCs w:val="26"/>
        </w:rPr>
        <w:t xml:space="preserve">  Therefore</w:t>
      </w:r>
      <w:r w:rsidR="00594479">
        <w:rPr>
          <w:sz w:val="26"/>
          <w:szCs w:val="26"/>
        </w:rPr>
        <w:t>, we will modify</w:t>
      </w:r>
      <w:r w:rsidR="00FA46C9">
        <w:rPr>
          <w:sz w:val="26"/>
          <w:szCs w:val="26"/>
        </w:rPr>
        <w:t xml:space="preserve"> Finding of Fact No. 23 accordingly.</w:t>
      </w:r>
    </w:p>
    <w:p w:rsidR="009410B7" w:rsidRPr="003915CB" w:rsidRDefault="009410B7" w:rsidP="009410B7">
      <w:pPr>
        <w:pStyle w:val="FootnoteText"/>
        <w:spacing w:line="84" w:lineRule="auto"/>
        <w:rPr>
          <w:sz w:val="26"/>
          <w:szCs w:val="26"/>
        </w:rPr>
      </w:pPr>
    </w:p>
  </w:footnote>
  <w:footnote w:id="6">
    <w:p w:rsidR="009410B7" w:rsidRPr="009410B7" w:rsidRDefault="009410B7">
      <w:pPr>
        <w:pStyle w:val="FootnoteText"/>
        <w:rPr>
          <w:sz w:val="26"/>
          <w:szCs w:val="26"/>
        </w:rPr>
      </w:pPr>
      <w:r>
        <w:rPr>
          <w:sz w:val="26"/>
          <w:szCs w:val="26"/>
        </w:rPr>
        <w:tab/>
      </w:r>
      <w:r w:rsidRPr="009410B7">
        <w:rPr>
          <w:rStyle w:val="FootnoteReference"/>
          <w:sz w:val="26"/>
          <w:szCs w:val="26"/>
        </w:rPr>
        <w:footnoteRef/>
      </w:r>
      <w:r>
        <w:rPr>
          <w:sz w:val="26"/>
          <w:szCs w:val="26"/>
        </w:rPr>
        <w:tab/>
        <w:t>In her Finding of Fact No.</w:t>
      </w:r>
      <w:r w:rsidR="00FA46C9">
        <w:rPr>
          <w:sz w:val="26"/>
          <w:szCs w:val="26"/>
        </w:rPr>
        <w:t xml:space="preserve"> </w:t>
      </w:r>
      <w:r>
        <w:rPr>
          <w:sz w:val="26"/>
          <w:szCs w:val="26"/>
        </w:rPr>
        <w:t>25, the ALJ indic</w:t>
      </w:r>
      <w:r w:rsidR="00864A80">
        <w:rPr>
          <w:sz w:val="26"/>
          <w:szCs w:val="26"/>
        </w:rPr>
        <w:t>ated</w:t>
      </w:r>
      <w:r>
        <w:rPr>
          <w:sz w:val="26"/>
          <w:szCs w:val="26"/>
        </w:rPr>
        <w:t xml:space="preserve"> that the </w:t>
      </w:r>
      <w:r w:rsidR="00B51514">
        <w:rPr>
          <w:sz w:val="26"/>
          <w:szCs w:val="26"/>
        </w:rPr>
        <w:t>direct-</w:t>
      </w:r>
      <w:r>
        <w:rPr>
          <w:sz w:val="26"/>
          <w:szCs w:val="26"/>
        </w:rPr>
        <w:t>mar</w:t>
      </w:r>
      <w:r w:rsidR="0022202F">
        <w:rPr>
          <w:sz w:val="26"/>
          <w:szCs w:val="26"/>
        </w:rPr>
        <w:t xml:space="preserve">ket rate charged to the Complainant by </w:t>
      </w:r>
      <w:r>
        <w:rPr>
          <w:sz w:val="26"/>
          <w:szCs w:val="26"/>
        </w:rPr>
        <w:t>Direc</w:t>
      </w:r>
      <w:r w:rsidR="00864A80">
        <w:rPr>
          <w:sz w:val="26"/>
          <w:szCs w:val="26"/>
        </w:rPr>
        <w:t>t Energy in April 2012 was $0.</w:t>
      </w:r>
      <w:r>
        <w:rPr>
          <w:sz w:val="26"/>
          <w:szCs w:val="26"/>
        </w:rPr>
        <w:t>529 per Ccf.  I.D. at</w:t>
      </w:r>
      <w:r w:rsidR="004A0BB1">
        <w:rPr>
          <w:sz w:val="26"/>
          <w:szCs w:val="26"/>
        </w:rPr>
        <w:t> </w:t>
      </w:r>
      <w:r>
        <w:rPr>
          <w:sz w:val="26"/>
          <w:szCs w:val="26"/>
        </w:rPr>
        <w:t xml:space="preserve">5.  However, the evidence provided by Direct Energy reveals that </w:t>
      </w:r>
      <w:r w:rsidR="00B51514">
        <w:rPr>
          <w:sz w:val="26"/>
          <w:szCs w:val="26"/>
        </w:rPr>
        <w:t xml:space="preserve">the </w:t>
      </w:r>
      <w:r w:rsidR="0022202F">
        <w:rPr>
          <w:sz w:val="26"/>
          <w:szCs w:val="26"/>
        </w:rPr>
        <w:t>rate charged</w:t>
      </w:r>
      <w:r w:rsidR="00B14BB0">
        <w:rPr>
          <w:sz w:val="26"/>
          <w:szCs w:val="26"/>
        </w:rPr>
        <w:t xml:space="preserve"> in April</w:t>
      </w:r>
      <w:r>
        <w:rPr>
          <w:sz w:val="26"/>
          <w:szCs w:val="26"/>
        </w:rPr>
        <w:t xml:space="preserve"> 2012 was $0.799 pe</w:t>
      </w:r>
      <w:r w:rsidR="00864A80">
        <w:rPr>
          <w:sz w:val="26"/>
          <w:szCs w:val="26"/>
        </w:rPr>
        <w:t>r Ccf, and that the rate of $0.</w:t>
      </w:r>
      <w:r>
        <w:rPr>
          <w:sz w:val="26"/>
          <w:szCs w:val="26"/>
        </w:rPr>
        <w:t xml:space="preserve">529 </w:t>
      </w:r>
      <w:r w:rsidR="00864A80">
        <w:rPr>
          <w:sz w:val="26"/>
          <w:szCs w:val="26"/>
        </w:rPr>
        <w:t xml:space="preserve">per Ccf </w:t>
      </w:r>
      <w:r w:rsidR="002263D2">
        <w:rPr>
          <w:sz w:val="26"/>
          <w:szCs w:val="26"/>
        </w:rPr>
        <w:t>did not become effective</w:t>
      </w:r>
      <w:r w:rsidR="00B14BB0">
        <w:rPr>
          <w:sz w:val="26"/>
          <w:szCs w:val="26"/>
        </w:rPr>
        <w:t xml:space="preserve"> until May</w:t>
      </w:r>
      <w:r>
        <w:rPr>
          <w:sz w:val="26"/>
          <w:szCs w:val="26"/>
        </w:rPr>
        <w:t xml:space="preserve"> 2012.</w:t>
      </w:r>
      <w:r w:rsidR="00135480">
        <w:rPr>
          <w:sz w:val="26"/>
          <w:szCs w:val="26"/>
        </w:rPr>
        <w:t xml:space="preserve">  Tr. at 71; Direct Energy Exh. No. 2.</w:t>
      </w:r>
      <w:r w:rsidR="00FA46C9">
        <w:rPr>
          <w:sz w:val="26"/>
          <w:szCs w:val="26"/>
        </w:rPr>
        <w:t xml:space="preserve">  Therefore, we will modify Finding of Fact No. 25 accordingly.</w:t>
      </w:r>
    </w:p>
  </w:footnote>
  <w:footnote w:id="7">
    <w:p w:rsidR="0048493F" w:rsidRPr="002911F0" w:rsidRDefault="0048493F" w:rsidP="0048493F">
      <w:pPr>
        <w:pStyle w:val="FootnoteText"/>
        <w:rPr>
          <w:sz w:val="26"/>
          <w:szCs w:val="26"/>
        </w:rPr>
      </w:pPr>
      <w:r>
        <w:rPr>
          <w:sz w:val="26"/>
          <w:szCs w:val="26"/>
        </w:rPr>
        <w:tab/>
      </w:r>
      <w:r w:rsidRPr="002911F0">
        <w:rPr>
          <w:rStyle w:val="FootnoteReference"/>
          <w:sz w:val="26"/>
          <w:szCs w:val="26"/>
        </w:rPr>
        <w:footnoteRef/>
      </w:r>
      <w:r>
        <w:rPr>
          <w:sz w:val="26"/>
          <w:szCs w:val="26"/>
        </w:rPr>
        <w:tab/>
        <w:t>The Complainant does not identify the requested rate increase to which he refers.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17EC"/>
    <w:rsid w:val="00000223"/>
    <w:rsid w:val="00000651"/>
    <w:rsid w:val="00000D47"/>
    <w:rsid w:val="00001277"/>
    <w:rsid w:val="0000153D"/>
    <w:rsid w:val="00001FC8"/>
    <w:rsid w:val="00002644"/>
    <w:rsid w:val="00004817"/>
    <w:rsid w:val="00004D03"/>
    <w:rsid w:val="00005318"/>
    <w:rsid w:val="000065FB"/>
    <w:rsid w:val="00006685"/>
    <w:rsid w:val="00006A65"/>
    <w:rsid w:val="00006F35"/>
    <w:rsid w:val="00006FEE"/>
    <w:rsid w:val="0000721A"/>
    <w:rsid w:val="00007AF7"/>
    <w:rsid w:val="00007ECA"/>
    <w:rsid w:val="0001221F"/>
    <w:rsid w:val="00013358"/>
    <w:rsid w:val="00014E95"/>
    <w:rsid w:val="00016D57"/>
    <w:rsid w:val="000171BD"/>
    <w:rsid w:val="00017852"/>
    <w:rsid w:val="00017F8B"/>
    <w:rsid w:val="00021E46"/>
    <w:rsid w:val="00022B74"/>
    <w:rsid w:val="0002315D"/>
    <w:rsid w:val="00024F85"/>
    <w:rsid w:val="0002501D"/>
    <w:rsid w:val="0002524C"/>
    <w:rsid w:val="00025F3F"/>
    <w:rsid w:val="0002606A"/>
    <w:rsid w:val="000267E5"/>
    <w:rsid w:val="00026CD2"/>
    <w:rsid w:val="00030A62"/>
    <w:rsid w:val="00030F6D"/>
    <w:rsid w:val="0003325E"/>
    <w:rsid w:val="00033512"/>
    <w:rsid w:val="000338FE"/>
    <w:rsid w:val="00033D2F"/>
    <w:rsid w:val="00034E13"/>
    <w:rsid w:val="00034FAE"/>
    <w:rsid w:val="000359E1"/>
    <w:rsid w:val="00035A3B"/>
    <w:rsid w:val="00037341"/>
    <w:rsid w:val="00037FC0"/>
    <w:rsid w:val="00040A8E"/>
    <w:rsid w:val="00040AEA"/>
    <w:rsid w:val="000411B5"/>
    <w:rsid w:val="000441C7"/>
    <w:rsid w:val="00044CDF"/>
    <w:rsid w:val="00045800"/>
    <w:rsid w:val="00047874"/>
    <w:rsid w:val="00047F4A"/>
    <w:rsid w:val="000523D1"/>
    <w:rsid w:val="00052B8F"/>
    <w:rsid w:val="000536BC"/>
    <w:rsid w:val="00053CA1"/>
    <w:rsid w:val="00054612"/>
    <w:rsid w:val="0005572E"/>
    <w:rsid w:val="00056286"/>
    <w:rsid w:val="00057EB5"/>
    <w:rsid w:val="00057F80"/>
    <w:rsid w:val="00060ADE"/>
    <w:rsid w:val="000612FD"/>
    <w:rsid w:val="000623C6"/>
    <w:rsid w:val="0006356A"/>
    <w:rsid w:val="000642AA"/>
    <w:rsid w:val="000649EC"/>
    <w:rsid w:val="00065708"/>
    <w:rsid w:val="0006634C"/>
    <w:rsid w:val="000669D9"/>
    <w:rsid w:val="00066EE5"/>
    <w:rsid w:val="00067260"/>
    <w:rsid w:val="00070469"/>
    <w:rsid w:val="00070EFA"/>
    <w:rsid w:val="000715E8"/>
    <w:rsid w:val="0007209F"/>
    <w:rsid w:val="00072808"/>
    <w:rsid w:val="0007521D"/>
    <w:rsid w:val="000753F6"/>
    <w:rsid w:val="00075D7D"/>
    <w:rsid w:val="00076F35"/>
    <w:rsid w:val="00081416"/>
    <w:rsid w:val="0008298A"/>
    <w:rsid w:val="00083125"/>
    <w:rsid w:val="00084573"/>
    <w:rsid w:val="0008490E"/>
    <w:rsid w:val="00084AF9"/>
    <w:rsid w:val="00087299"/>
    <w:rsid w:val="000878C9"/>
    <w:rsid w:val="00090825"/>
    <w:rsid w:val="00090B69"/>
    <w:rsid w:val="000918D4"/>
    <w:rsid w:val="0009261B"/>
    <w:rsid w:val="00093164"/>
    <w:rsid w:val="00093660"/>
    <w:rsid w:val="00094851"/>
    <w:rsid w:val="00094907"/>
    <w:rsid w:val="00095DBE"/>
    <w:rsid w:val="0009612D"/>
    <w:rsid w:val="00097504"/>
    <w:rsid w:val="00097922"/>
    <w:rsid w:val="000A013F"/>
    <w:rsid w:val="000A0142"/>
    <w:rsid w:val="000A06E0"/>
    <w:rsid w:val="000A1358"/>
    <w:rsid w:val="000A35C0"/>
    <w:rsid w:val="000A365D"/>
    <w:rsid w:val="000A443E"/>
    <w:rsid w:val="000A4F51"/>
    <w:rsid w:val="000A6356"/>
    <w:rsid w:val="000A672E"/>
    <w:rsid w:val="000A76C2"/>
    <w:rsid w:val="000B216D"/>
    <w:rsid w:val="000B2755"/>
    <w:rsid w:val="000B363C"/>
    <w:rsid w:val="000B3BB4"/>
    <w:rsid w:val="000B41CC"/>
    <w:rsid w:val="000B4EAE"/>
    <w:rsid w:val="000B5039"/>
    <w:rsid w:val="000B5206"/>
    <w:rsid w:val="000B5238"/>
    <w:rsid w:val="000B607A"/>
    <w:rsid w:val="000B69A3"/>
    <w:rsid w:val="000B6B15"/>
    <w:rsid w:val="000B72CF"/>
    <w:rsid w:val="000C00B5"/>
    <w:rsid w:val="000C00E1"/>
    <w:rsid w:val="000C07BC"/>
    <w:rsid w:val="000C1D1F"/>
    <w:rsid w:val="000C2AE3"/>
    <w:rsid w:val="000C31E4"/>
    <w:rsid w:val="000C332D"/>
    <w:rsid w:val="000C4058"/>
    <w:rsid w:val="000C55FB"/>
    <w:rsid w:val="000C5927"/>
    <w:rsid w:val="000C67F5"/>
    <w:rsid w:val="000C709A"/>
    <w:rsid w:val="000C7255"/>
    <w:rsid w:val="000C76B5"/>
    <w:rsid w:val="000C7BBD"/>
    <w:rsid w:val="000D008C"/>
    <w:rsid w:val="000D267E"/>
    <w:rsid w:val="000D29C8"/>
    <w:rsid w:val="000D3CAA"/>
    <w:rsid w:val="000D3E1C"/>
    <w:rsid w:val="000D4460"/>
    <w:rsid w:val="000D59B3"/>
    <w:rsid w:val="000D6E1E"/>
    <w:rsid w:val="000D7E64"/>
    <w:rsid w:val="000E231D"/>
    <w:rsid w:val="000E3310"/>
    <w:rsid w:val="000E6DC6"/>
    <w:rsid w:val="000F179E"/>
    <w:rsid w:val="000F1DC2"/>
    <w:rsid w:val="000F27FE"/>
    <w:rsid w:val="000F2DE3"/>
    <w:rsid w:val="000F4307"/>
    <w:rsid w:val="000F717E"/>
    <w:rsid w:val="00100639"/>
    <w:rsid w:val="001006A8"/>
    <w:rsid w:val="00100F06"/>
    <w:rsid w:val="00101387"/>
    <w:rsid w:val="0010147F"/>
    <w:rsid w:val="0010158F"/>
    <w:rsid w:val="001017F6"/>
    <w:rsid w:val="00101F51"/>
    <w:rsid w:val="001026CA"/>
    <w:rsid w:val="001035AF"/>
    <w:rsid w:val="0010425F"/>
    <w:rsid w:val="00104D61"/>
    <w:rsid w:val="00104D9B"/>
    <w:rsid w:val="00105C8E"/>
    <w:rsid w:val="001062CD"/>
    <w:rsid w:val="00106312"/>
    <w:rsid w:val="00107388"/>
    <w:rsid w:val="001079A5"/>
    <w:rsid w:val="00107EE2"/>
    <w:rsid w:val="001106DA"/>
    <w:rsid w:val="00110F2F"/>
    <w:rsid w:val="001129F3"/>
    <w:rsid w:val="00112E9E"/>
    <w:rsid w:val="00112FDA"/>
    <w:rsid w:val="001138D3"/>
    <w:rsid w:val="00114656"/>
    <w:rsid w:val="00115DA8"/>
    <w:rsid w:val="001169AE"/>
    <w:rsid w:val="0011757D"/>
    <w:rsid w:val="001176EC"/>
    <w:rsid w:val="00117A05"/>
    <w:rsid w:val="00117CB2"/>
    <w:rsid w:val="0012026F"/>
    <w:rsid w:val="00120B39"/>
    <w:rsid w:val="00120B8F"/>
    <w:rsid w:val="00120CC2"/>
    <w:rsid w:val="00120D10"/>
    <w:rsid w:val="0012370F"/>
    <w:rsid w:val="001238E5"/>
    <w:rsid w:val="001239CD"/>
    <w:rsid w:val="00123A2E"/>
    <w:rsid w:val="00124071"/>
    <w:rsid w:val="00124683"/>
    <w:rsid w:val="001253FB"/>
    <w:rsid w:val="001266DB"/>
    <w:rsid w:val="001267D4"/>
    <w:rsid w:val="0012696F"/>
    <w:rsid w:val="00126D31"/>
    <w:rsid w:val="00127062"/>
    <w:rsid w:val="001303B4"/>
    <w:rsid w:val="0013269E"/>
    <w:rsid w:val="00134395"/>
    <w:rsid w:val="00135480"/>
    <w:rsid w:val="001358B2"/>
    <w:rsid w:val="00135972"/>
    <w:rsid w:val="001360FC"/>
    <w:rsid w:val="001400A9"/>
    <w:rsid w:val="001414CD"/>
    <w:rsid w:val="00142219"/>
    <w:rsid w:val="00142CF7"/>
    <w:rsid w:val="00143F09"/>
    <w:rsid w:val="001447A0"/>
    <w:rsid w:val="0014497F"/>
    <w:rsid w:val="00144F43"/>
    <w:rsid w:val="00145197"/>
    <w:rsid w:val="00146A23"/>
    <w:rsid w:val="00146DDD"/>
    <w:rsid w:val="00146E58"/>
    <w:rsid w:val="00147145"/>
    <w:rsid w:val="001476D4"/>
    <w:rsid w:val="00150096"/>
    <w:rsid w:val="001508E4"/>
    <w:rsid w:val="001515A8"/>
    <w:rsid w:val="001525E2"/>
    <w:rsid w:val="001526C2"/>
    <w:rsid w:val="00152DFB"/>
    <w:rsid w:val="0015380A"/>
    <w:rsid w:val="001542D1"/>
    <w:rsid w:val="00154CB6"/>
    <w:rsid w:val="00155FCB"/>
    <w:rsid w:val="00156329"/>
    <w:rsid w:val="00162F5C"/>
    <w:rsid w:val="00163D79"/>
    <w:rsid w:val="00164D32"/>
    <w:rsid w:val="00164DA4"/>
    <w:rsid w:val="00166298"/>
    <w:rsid w:val="001663C8"/>
    <w:rsid w:val="00171199"/>
    <w:rsid w:val="00172060"/>
    <w:rsid w:val="001728FC"/>
    <w:rsid w:val="00172A96"/>
    <w:rsid w:val="00172AB2"/>
    <w:rsid w:val="00172F06"/>
    <w:rsid w:val="00174D3D"/>
    <w:rsid w:val="00174E3F"/>
    <w:rsid w:val="00175729"/>
    <w:rsid w:val="0017682B"/>
    <w:rsid w:val="00177F78"/>
    <w:rsid w:val="00181222"/>
    <w:rsid w:val="00182478"/>
    <w:rsid w:val="00182607"/>
    <w:rsid w:val="0018274A"/>
    <w:rsid w:val="00182E8E"/>
    <w:rsid w:val="001831AC"/>
    <w:rsid w:val="0018480F"/>
    <w:rsid w:val="00184D47"/>
    <w:rsid w:val="001857B0"/>
    <w:rsid w:val="0018583E"/>
    <w:rsid w:val="00185AFF"/>
    <w:rsid w:val="00185B0D"/>
    <w:rsid w:val="00185F46"/>
    <w:rsid w:val="00186A97"/>
    <w:rsid w:val="00187930"/>
    <w:rsid w:val="00190992"/>
    <w:rsid w:val="00191763"/>
    <w:rsid w:val="00192DF3"/>
    <w:rsid w:val="00192FCD"/>
    <w:rsid w:val="00194940"/>
    <w:rsid w:val="00194B66"/>
    <w:rsid w:val="00194E02"/>
    <w:rsid w:val="0019530E"/>
    <w:rsid w:val="00195C58"/>
    <w:rsid w:val="00195F2E"/>
    <w:rsid w:val="001A0B18"/>
    <w:rsid w:val="001A1946"/>
    <w:rsid w:val="001A2355"/>
    <w:rsid w:val="001A280F"/>
    <w:rsid w:val="001A2BE9"/>
    <w:rsid w:val="001A597D"/>
    <w:rsid w:val="001A76C4"/>
    <w:rsid w:val="001A7EFE"/>
    <w:rsid w:val="001B0145"/>
    <w:rsid w:val="001B05EC"/>
    <w:rsid w:val="001B0C7B"/>
    <w:rsid w:val="001B1151"/>
    <w:rsid w:val="001B1DB4"/>
    <w:rsid w:val="001B2603"/>
    <w:rsid w:val="001B5865"/>
    <w:rsid w:val="001B59F0"/>
    <w:rsid w:val="001C0809"/>
    <w:rsid w:val="001C1183"/>
    <w:rsid w:val="001C1F06"/>
    <w:rsid w:val="001C4978"/>
    <w:rsid w:val="001C73CD"/>
    <w:rsid w:val="001C7AAE"/>
    <w:rsid w:val="001D0ED2"/>
    <w:rsid w:val="001D1715"/>
    <w:rsid w:val="001D1D6B"/>
    <w:rsid w:val="001D1FFA"/>
    <w:rsid w:val="001D25F3"/>
    <w:rsid w:val="001D3751"/>
    <w:rsid w:val="001D38E9"/>
    <w:rsid w:val="001D4719"/>
    <w:rsid w:val="001D537B"/>
    <w:rsid w:val="001D5E90"/>
    <w:rsid w:val="001D6778"/>
    <w:rsid w:val="001D69F4"/>
    <w:rsid w:val="001E0B61"/>
    <w:rsid w:val="001E1276"/>
    <w:rsid w:val="001E1610"/>
    <w:rsid w:val="001E1FD6"/>
    <w:rsid w:val="001E2949"/>
    <w:rsid w:val="001E60EE"/>
    <w:rsid w:val="001E662B"/>
    <w:rsid w:val="001E7091"/>
    <w:rsid w:val="001F0025"/>
    <w:rsid w:val="001F0509"/>
    <w:rsid w:val="001F2669"/>
    <w:rsid w:val="001F285E"/>
    <w:rsid w:val="001F2D64"/>
    <w:rsid w:val="001F4BCA"/>
    <w:rsid w:val="001F67C2"/>
    <w:rsid w:val="001F7250"/>
    <w:rsid w:val="00202524"/>
    <w:rsid w:val="00202A4F"/>
    <w:rsid w:val="00202B57"/>
    <w:rsid w:val="00203025"/>
    <w:rsid w:val="00203F94"/>
    <w:rsid w:val="0020580B"/>
    <w:rsid w:val="0020644D"/>
    <w:rsid w:val="00206592"/>
    <w:rsid w:val="00210736"/>
    <w:rsid w:val="00210E85"/>
    <w:rsid w:val="00210F81"/>
    <w:rsid w:val="00211622"/>
    <w:rsid w:val="002143F8"/>
    <w:rsid w:val="00214B3E"/>
    <w:rsid w:val="00214DC8"/>
    <w:rsid w:val="00214E5F"/>
    <w:rsid w:val="00215C08"/>
    <w:rsid w:val="0021693E"/>
    <w:rsid w:val="00216A86"/>
    <w:rsid w:val="0022004A"/>
    <w:rsid w:val="002202F4"/>
    <w:rsid w:val="00221533"/>
    <w:rsid w:val="00221BF0"/>
    <w:rsid w:val="00221F1A"/>
    <w:rsid w:val="0022202F"/>
    <w:rsid w:val="00223CD5"/>
    <w:rsid w:val="002260F4"/>
    <w:rsid w:val="002263D2"/>
    <w:rsid w:val="0022698E"/>
    <w:rsid w:val="00226DDF"/>
    <w:rsid w:val="002276B4"/>
    <w:rsid w:val="00227912"/>
    <w:rsid w:val="00227FAB"/>
    <w:rsid w:val="002305D8"/>
    <w:rsid w:val="002309E9"/>
    <w:rsid w:val="002311C3"/>
    <w:rsid w:val="002311EE"/>
    <w:rsid w:val="00233488"/>
    <w:rsid w:val="00235F21"/>
    <w:rsid w:val="002370F5"/>
    <w:rsid w:val="00237B46"/>
    <w:rsid w:val="00237E48"/>
    <w:rsid w:val="0024007E"/>
    <w:rsid w:val="0024088A"/>
    <w:rsid w:val="00240ACA"/>
    <w:rsid w:val="00240D7B"/>
    <w:rsid w:val="00241299"/>
    <w:rsid w:val="00242B89"/>
    <w:rsid w:val="00242C42"/>
    <w:rsid w:val="002434EB"/>
    <w:rsid w:val="0024399A"/>
    <w:rsid w:val="00244EBA"/>
    <w:rsid w:val="0024596F"/>
    <w:rsid w:val="00246C59"/>
    <w:rsid w:val="00247A24"/>
    <w:rsid w:val="00251918"/>
    <w:rsid w:val="00252D75"/>
    <w:rsid w:val="00254995"/>
    <w:rsid w:val="00255462"/>
    <w:rsid w:val="00256233"/>
    <w:rsid w:val="00256BA9"/>
    <w:rsid w:val="00257D32"/>
    <w:rsid w:val="00260957"/>
    <w:rsid w:val="00261A85"/>
    <w:rsid w:val="00262D9F"/>
    <w:rsid w:val="002643F9"/>
    <w:rsid w:val="00264646"/>
    <w:rsid w:val="00265AE4"/>
    <w:rsid w:val="00266444"/>
    <w:rsid w:val="00266D46"/>
    <w:rsid w:val="00267188"/>
    <w:rsid w:val="00267B63"/>
    <w:rsid w:val="00270683"/>
    <w:rsid w:val="00270DFB"/>
    <w:rsid w:val="00271BBD"/>
    <w:rsid w:val="0027232D"/>
    <w:rsid w:val="0027292C"/>
    <w:rsid w:val="00272D1F"/>
    <w:rsid w:val="00274D0F"/>
    <w:rsid w:val="00275037"/>
    <w:rsid w:val="00277500"/>
    <w:rsid w:val="00277BF4"/>
    <w:rsid w:val="0028125E"/>
    <w:rsid w:val="00281290"/>
    <w:rsid w:val="002818FA"/>
    <w:rsid w:val="00281A5F"/>
    <w:rsid w:val="00283539"/>
    <w:rsid w:val="00285073"/>
    <w:rsid w:val="002859FB"/>
    <w:rsid w:val="00285A8E"/>
    <w:rsid w:val="0028701F"/>
    <w:rsid w:val="002872B6"/>
    <w:rsid w:val="002873E6"/>
    <w:rsid w:val="00287681"/>
    <w:rsid w:val="00287EF7"/>
    <w:rsid w:val="002911F0"/>
    <w:rsid w:val="00291F2F"/>
    <w:rsid w:val="00291F68"/>
    <w:rsid w:val="0029235E"/>
    <w:rsid w:val="00292927"/>
    <w:rsid w:val="00294181"/>
    <w:rsid w:val="00294BD5"/>
    <w:rsid w:val="0029672A"/>
    <w:rsid w:val="00296998"/>
    <w:rsid w:val="00297B94"/>
    <w:rsid w:val="002A060A"/>
    <w:rsid w:val="002A2BEB"/>
    <w:rsid w:val="002A4450"/>
    <w:rsid w:val="002A5EB0"/>
    <w:rsid w:val="002A60F1"/>
    <w:rsid w:val="002A6750"/>
    <w:rsid w:val="002B2296"/>
    <w:rsid w:val="002B28A9"/>
    <w:rsid w:val="002B29F8"/>
    <w:rsid w:val="002B3040"/>
    <w:rsid w:val="002B333B"/>
    <w:rsid w:val="002B4244"/>
    <w:rsid w:val="002B4407"/>
    <w:rsid w:val="002B60C5"/>
    <w:rsid w:val="002B6679"/>
    <w:rsid w:val="002B67B7"/>
    <w:rsid w:val="002C0429"/>
    <w:rsid w:val="002C16BE"/>
    <w:rsid w:val="002C19E4"/>
    <w:rsid w:val="002C1CCB"/>
    <w:rsid w:val="002C257A"/>
    <w:rsid w:val="002C3676"/>
    <w:rsid w:val="002C3C03"/>
    <w:rsid w:val="002C4F72"/>
    <w:rsid w:val="002C6CC4"/>
    <w:rsid w:val="002C6EF5"/>
    <w:rsid w:val="002C7166"/>
    <w:rsid w:val="002D13C4"/>
    <w:rsid w:val="002D1791"/>
    <w:rsid w:val="002D275E"/>
    <w:rsid w:val="002D2A1D"/>
    <w:rsid w:val="002D2C16"/>
    <w:rsid w:val="002D313F"/>
    <w:rsid w:val="002D402C"/>
    <w:rsid w:val="002D5320"/>
    <w:rsid w:val="002D6357"/>
    <w:rsid w:val="002D6AB7"/>
    <w:rsid w:val="002D743D"/>
    <w:rsid w:val="002D7584"/>
    <w:rsid w:val="002D7A10"/>
    <w:rsid w:val="002E01A0"/>
    <w:rsid w:val="002E039A"/>
    <w:rsid w:val="002E0A68"/>
    <w:rsid w:val="002E0FA9"/>
    <w:rsid w:val="002E3026"/>
    <w:rsid w:val="002E3731"/>
    <w:rsid w:val="002E3F06"/>
    <w:rsid w:val="002E4A4B"/>
    <w:rsid w:val="002E5839"/>
    <w:rsid w:val="002E643A"/>
    <w:rsid w:val="002E6FFA"/>
    <w:rsid w:val="002E7BAB"/>
    <w:rsid w:val="002E7F8F"/>
    <w:rsid w:val="002F112F"/>
    <w:rsid w:val="002F1A77"/>
    <w:rsid w:val="002F24F7"/>
    <w:rsid w:val="002F2733"/>
    <w:rsid w:val="002F2BB0"/>
    <w:rsid w:val="002F2D99"/>
    <w:rsid w:val="002F3F04"/>
    <w:rsid w:val="002F41BA"/>
    <w:rsid w:val="002F662D"/>
    <w:rsid w:val="002F7228"/>
    <w:rsid w:val="002F7249"/>
    <w:rsid w:val="002F750E"/>
    <w:rsid w:val="00300AD2"/>
    <w:rsid w:val="00300C2E"/>
    <w:rsid w:val="003010FC"/>
    <w:rsid w:val="003018AA"/>
    <w:rsid w:val="00303B99"/>
    <w:rsid w:val="0030714F"/>
    <w:rsid w:val="003073E2"/>
    <w:rsid w:val="00307DDF"/>
    <w:rsid w:val="00310F4C"/>
    <w:rsid w:val="003114C6"/>
    <w:rsid w:val="00311AE6"/>
    <w:rsid w:val="003134B2"/>
    <w:rsid w:val="00313706"/>
    <w:rsid w:val="00314A43"/>
    <w:rsid w:val="00315102"/>
    <w:rsid w:val="00315A0E"/>
    <w:rsid w:val="00316699"/>
    <w:rsid w:val="003169F2"/>
    <w:rsid w:val="00320FE4"/>
    <w:rsid w:val="00321083"/>
    <w:rsid w:val="00322040"/>
    <w:rsid w:val="003240B8"/>
    <w:rsid w:val="00325422"/>
    <w:rsid w:val="003268C2"/>
    <w:rsid w:val="003274BA"/>
    <w:rsid w:val="00331EB6"/>
    <w:rsid w:val="003332D4"/>
    <w:rsid w:val="00333FDA"/>
    <w:rsid w:val="003340DE"/>
    <w:rsid w:val="00334887"/>
    <w:rsid w:val="003353B5"/>
    <w:rsid w:val="0033657E"/>
    <w:rsid w:val="00337BA8"/>
    <w:rsid w:val="00340D19"/>
    <w:rsid w:val="00342956"/>
    <w:rsid w:val="00342D6A"/>
    <w:rsid w:val="0034395C"/>
    <w:rsid w:val="00343EC0"/>
    <w:rsid w:val="00344804"/>
    <w:rsid w:val="00345372"/>
    <w:rsid w:val="003468E7"/>
    <w:rsid w:val="00346C47"/>
    <w:rsid w:val="003473C2"/>
    <w:rsid w:val="00347863"/>
    <w:rsid w:val="00347A1F"/>
    <w:rsid w:val="003510FF"/>
    <w:rsid w:val="003518C8"/>
    <w:rsid w:val="00351A51"/>
    <w:rsid w:val="00352BC7"/>
    <w:rsid w:val="0035338B"/>
    <w:rsid w:val="003533B5"/>
    <w:rsid w:val="00353CE3"/>
    <w:rsid w:val="003542D3"/>
    <w:rsid w:val="00356024"/>
    <w:rsid w:val="0035728C"/>
    <w:rsid w:val="0036063F"/>
    <w:rsid w:val="00360C62"/>
    <w:rsid w:val="00361F8D"/>
    <w:rsid w:val="003622CA"/>
    <w:rsid w:val="003629F0"/>
    <w:rsid w:val="00363030"/>
    <w:rsid w:val="00364563"/>
    <w:rsid w:val="0036462C"/>
    <w:rsid w:val="00364A42"/>
    <w:rsid w:val="00364CC8"/>
    <w:rsid w:val="003653A1"/>
    <w:rsid w:val="003674CA"/>
    <w:rsid w:val="0037352F"/>
    <w:rsid w:val="00374099"/>
    <w:rsid w:val="003743C4"/>
    <w:rsid w:val="003755FB"/>
    <w:rsid w:val="0037577C"/>
    <w:rsid w:val="0037608C"/>
    <w:rsid w:val="00376D53"/>
    <w:rsid w:val="00376F22"/>
    <w:rsid w:val="00377862"/>
    <w:rsid w:val="003778B6"/>
    <w:rsid w:val="00381421"/>
    <w:rsid w:val="0038188D"/>
    <w:rsid w:val="003841E8"/>
    <w:rsid w:val="00384AEA"/>
    <w:rsid w:val="00385502"/>
    <w:rsid w:val="00385526"/>
    <w:rsid w:val="003857E9"/>
    <w:rsid w:val="003863E7"/>
    <w:rsid w:val="003866CA"/>
    <w:rsid w:val="00386D03"/>
    <w:rsid w:val="003878C9"/>
    <w:rsid w:val="003904F7"/>
    <w:rsid w:val="0039085E"/>
    <w:rsid w:val="003915CB"/>
    <w:rsid w:val="00391A43"/>
    <w:rsid w:val="00391CAA"/>
    <w:rsid w:val="00393123"/>
    <w:rsid w:val="003933D9"/>
    <w:rsid w:val="00394A04"/>
    <w:rsid w:val="00394FFE"/>
    <w:rsid w:val="003958EB"/>
    <w:rsid w:val="00395B3E"/>
    <w:rsid w:val="00396541"/>
    <w:rsid w:val="00396928"/>
    <w:rsid w:val="00396EC9"/>
    <w:rsid w:val="003A071C"/>
    <w:rsid w:val="003A0A0B"/>
    <w:rsid w:val="003A0D28"/>
    <w:rsid w:val="003A15FF"/>
    <w:rsid w:val="003A1A55"/>
    <w:rsid w:val="003A1D43"/>
    <w:rsid w:val="003A31BD"/>
    <w:rsid w:val="003A534F"/>
    <w:rsid w:val="003A5623"/>
    <w:rsid w:val="003A6FF0"/>
    <w:rsid w:val="003A7E3A"/>
    <w:rsid w:val="003B016A"/>
    <w:rsid w:val="003B0611"/>
    <w:rsid w:val="003B0D66"/>
    <w:rsid w:val="003B0D72"/>
    <w:rsid w:val="003B2CB6"/>
    <w:rsid w:val="003B2DBB"/>
    <w:rsid w:val="003B3617"/>
    <w:rsid w:val="003B42D9"/>
    <w:rsid w:val="003B5F4E"/>
    <w:rsid w:val="003B7073"/>
    <w:rsid w:val="003C06D8"/>
    <w:rsid w:val="003C3140"/>
    <w:rsid w:val="003C3E02"/>
    <w:rsid w:val="003C3FE8"/>
    <w:rsid w:val="003C73F9"/>
    <w:rsid w:val="003D2152"/>
    <w:rsid w:val="003D3FE9"/>
    <w:rsid w:val="003D447C"/>
    <w:rsid w:val="003D4DB8"/>
    <w:rsid w:val="003D51DE"/>
    <w:rsid w:val="003D5F07"/>
    <w:rsid w:val="003D6AB5"/>
    <w:rsid w:val="003E02E7"/>
    <w:rsid w:val="003E071C"/>
    <w:rsid w:val="003E121E"/>
    <w:rsid w:val="003E25AA"/>
    <w:rsid w:val="003E3988"/>
    <w:rsid w:val="003E3FF5"/>
    <w:rsid w:val="003E414C"/>
    <w:rsid w:val="003E4B34"/>
    <w:rsid w:val="003E5354"/>
    <w:rsid w:val="003E5C36"/>
    <w:rsid w:val="003F068A"/>
    <w:rsid w:val="003F1F93"/>
    <w:rsid w:val="003F20A0"/>
    <w:rsid w:val="003F21C4"/>
    <w:rsid w:val="003F2DF5"/>
    <w:rsid w:val="003F51F4"/>
    <w:rsid w:val="003F52C6"/>
    <w:rsid w:val="003F54E5"/>
    <w:rsid w:val="003F558E"/>
    <w:rsid w:val="003F6692"/>
    <w:rsid w:val="003F683A"/>
    <w:rsid w:val="003F7285"/>
    <w:rsid w:val="003F77B3"/>
    <w:rsid w:val="003F7B70"/>
    <w:rsid w:val="00403D6E"/>
    <w:rsid w:val="00405083"/>
    <w:rsid w:val="004077D8"/>
    <w:rsid w:val="00407AC0"/>
    <w:rsid w:val="00411024"/>
    <w:rsid w:val="00411814"/>
    <w:rsid w:val="004121C0"/>
    <w:rsid w:val="00412BDA"/>
    <w:rsid w:val="00412E30"/>
    <w:rsid w:val="00413B67"/>
    <w:rsid w:val="00413BEB"/>
    <w:rsid w:val="00413FA9"/>
    <w:rsid w:val="00414907"/>
    <w:rsid w:val="00415341"/>
    <w:rsid w:val="004158F5"/>
    <w:rsid w:val="00415B78"/>
    <w:rsid w:val="004166BD"/>
    <w:rsid w:val="004169A6"/>
    <w:rsid w:val="004170AF"/>
    <w:rsid w:val="0042057D"/>
    <w:rsid w:val="004222F5"/>
    <w:rsid w:val="00422C55"/>
    <w:rsid w:val="00423004"/>
    <w:rsid w:val="0042431A"/>
    <w:rsid w:val="00425698"/>
    <w:rsid w:val="00425B5A"/>
    <w:rsid w:val="00425ED2"/>
    <w:rsid w:val="00427BEA"/>
    <w:rsid w:val="00431C4F"/>
    <w:rsid w:val="00432BB7"/>
    <w:rsid w:val="004331E9"/>
    <w:rsid w:val="00433E8D"/>
    <w:rsid w:val="004346C9"/>
    <w:rsid w:val="00434A60"/>
    <w:rsid w:val="00434E88"/>
    <w:rsid w:val="0043541B"/>
    <w:rsid w:val="0043559E"/>
    <w:rsid w:val="0043592C"/>
    <w:rsid w:val="00436217"/>
    <w:rsid w:val="0044061D"/>
    <w:rsid w:val="00440626"/>
    <w:rsid w:val="00440BCF"/>
    <w:rsid w:val="004411B9"/>
    <w:rsid w:val="00441207"/>
    <w:rsid w:val="00441462"/>
    <w:rsid w:val="00441FEE"/>
    <w:rsid w:val="004422CA"/>
    <w:rsid w:val="00443807"/>
    <w:rsid w:val="00443F03"/>
    <w:rsid w:val="004449AC"/>
    <w:rsid w:val="004462F7"/>
    <w:rsid w:val="00451116"/>
    <w:rsid w:val="00454835"/>
    <w:rsid w:val="00454F06"/>
    <w:rsid w:val="004550AC"/>
    <w:rsid w:val="0045650D"/>
    <w:rsid w:val="0046019D"/>
    <w:rsid w:val="00464536"/>
    <w:rsid w:val="0046514E"/>
    <w:rsid w:val="0046623C"/>
    <w:rsid w:val="00466446"/>
    <w:rsid w:val="0046686A"/>
    <w:rsid w:val="00467739"/>
    <w:rsid w:val="00470D0C"/>
    <w:rsid w:val="00474104"/>
    <w:rsid w:val="00474E22"/>
    <w:rsid w:val="00475D86"/>
    <w:rsid w:val="0047608F"/>
    <w:rsid w:val="004762EF"/>
    <w:rsid w:val="00476554"/>
    <w:rsid w:val="004770D4"/>
    <w:rsid w:val="0047739F"/>
    <w:rsid w:val="004813D4"/>
    <w:rsid w:val="00482DB7"/>
    <w:rsid w:val="0048493F"/>
    <w:rsid w:val="00484D63"/>
    <w:rsid w:val="004864B3"/>
    <w:rsid w:val="004875D5"/>
    <w:rsid w:val="004912CE"/>
    <w:rsid w:val="00491D91"/>
    <w:rsid w:val="00492DCE"/>
    <w:rsid w:val="0049580C"/>
    <w:rsid w:val="00495AC6"/>
    <w:rsid w:val="00496874"/>
    <w:rsid w:val="0049768F"/>
    <w:rsid w:val="004A04E5"/>
    <w:rsid w:val="004A0768"/>
    <w:rsid w:val="004A0BB1"/>
    <w:rsid w:val="004A1495"/>
    <w:rsid w:val="004A17BE"/>
    <w:rsid w:val="004A2089"/>
    <w:rsid w:val="004A2165"/>
    <w:rsid w:val="004A38A4"/>
    <w:rsid w:val="004A3E61"/>
    <w:rsid w:val="004A4993"/>
    <w:rsid w:val="004A4C41"/>
    <w:rsid w:val="004A4DCA"/>
    <w:rsid w:val="004A5084"/>
    <w:rsid w:val="004A5F74"/>
    <w:rsid w:val="004A67D7"/>
    <w:rsid w:val="004A6C0A"/>
    <w:rsid w:val="004A7373"/>
    <w:rsid w:val="004B0043"/>
    <w:rsid w:val="004B04B7"/>
    <w:rsid w:val="004B1052"/>
    <w:rsid w:val="004B17B5"/>
    <w:rsid w:val="004B35AF"/>
    <w:rsid w:val="004B604A"/>
    <w:rsid w:val="004B6A8C"/>
    <w:rsid w:val="004B6B14"/>
    <w:rsid w:val="004C07BB"/>
    <w:rsid w:val="004C0FC8"/>
    <w:rsid w:val="004C3390"/>
    <w:rsid w:val="004C44E9"/>
    <w:rsid w:val="004C4E4F"/>
    <w:rsid w:val="004C516F"/>
    <w:rsid w:val="004C650A"/>
    <w:rsid w:val="004C68A0"/>
    <w:rsid w:val="004C748A"/>
    <w:rsid w:val="004D1201"/>
    <w:rsid w:val="004D2D46"/>
    <w:rsid w:val="004D35BD"/>
    <w:rsid w:val="004D3A9D"/>
    <w:rsid w:val="004D4C2B"/>
    <w:rsid w:val="004D5EDC"/>
    <w:rsid w:val="004D6AC4"/>
    <w:rsid w:val="004D7316"/>
    <w:rsid w:val="004E47EC"/>
    <w:rsid w:val="004E514F"/>
    <w:rsid w:val="004E6E06"/>
    <w:rsid w:val="004E7038"/>
    <w:rsid w:val="004E737F"/>
    <w:rsid w:val="004E7D5B"/>
    <w:rsid w:val="004F03DE"/>
    <w:rsid w:val="004F1674"/>
    <w:rsid w:val="004F22DA"/>
    <w:rsid w:val="004F2512"/>
    <w:rsid w:val="004F29CB"/>
    <w:rsid w:val="004F2B86"/>
    <w:rsid w:val="004F2C6A"/>
    <w:rsid w:val="004F2D4C"/>
    <w:rsid w:val="004F5E7A"/>
    <w:rsid w:val="0050002D"/>
    <w:rsid w:val="00500C5A"/>
    <w:rsid w:val="00500E33"/>
    <w:rsid w:val="00502165"/>
    <w:rsid w:val="00504834"/>
    <w:rsid w:val="00504C7A"/>
    <w:rsid w:val="00505AEE"/>
    <w:rsid w:val="005060D7"/>
    <w:rsid w:val="0050632E"/>
    <w:rsid w:val="00507512"/>
    <w:rsid w:val="0050752D"/>
    <w:rsid w:val="00510F93"/>
    <w:rsid w:val="00510F99"/>
    <w:rsid w:val="0051132E"/>
    <w:rsid w:val="00511EF3"/>
    <w:rsid w:val="00512540"/>
    <w:rsid w:val="0051266A"/>
    <w:rsid w:val="00513441"/>
    <w:rsid w:val="0051380C"/>
    <w:rsid w:val="00513C84"/>
    <w:rsid w:val="00514507"/>
    <w:rsid w:val="005148C2"/>
    <w:rsid w:val="005153F5"/>
    <w:rsid w:val="00515D75"/>
    <w:rsid w:val="0051664D"/>
    <w:rsid w:val="0051670B"/>
    <w:rsid w:val="00520E08"/>
    <w:rsid w:val="00521350"/>
    <w:rsid w:val="00522CFD"/>
    <w:rsid w:val="00525849"/>
    <w:rsid w:val="00526381"/>
    <w:rsid w:val="0052640D"/>
    <w:rsid w:val="005269E6"/>
    <w:rsid w:val="00526E71"/>
    <w:rsid w:val="00530BFA"/>
    <w:rsid w:val="00530EE7"/>
    <w:rsid w:val="0053112A"/>
    <w:rsid w:val="00532271"/>
    <w:rsid w:val="0053247C"/>
    <w:rsid w:val="0053364E"/>
    <w:rsid w:val="0053400C"/>
    <w:rsid w:val="005346A9"/>
    <w:rsid w:val="0053471B"/>
    <w:rsid w:val="005351B9"/>
    <w:rsid w:val="00535C84"/>
    <w:rsid w:val="00536011"/>
    <w:rsid w:val="00537F9D"/>
    <w:rsid w:val="00543C89"/>
    <w:rsid w:val="0054498C"/>
    <w:rsid w:val="00545802"/>
    <w:rsid w:val="005466D1"/>
    <w:rsid w:val="00546F58"/>
    <w:rsid w:val="00547606"/>
    <w:rsid w:val="005500C7"/>
    <w:rsid w:val="00550B79"/>
    <w:rsid w:val="00551506"/>
    <w:rsid w:val="0055150B"/>
    <w:rsid w:val="005519A7"/>
    <w:rsid w:val="0055315B"/>
    <w:rsid w:val="005532F9"/>
    <w:rsid w:val="0055440B"/>
    <w:rsid w:val="005556EC"/>
    <w:rsid w:val="00555F40"/>
    <w:rsid w:val="0055708D"/>
    <w:rsid w:val="00557A3A"/>
    <w:rsid w:val="00560BD7"/>
    <w:rsid w:val="00561AE8"/>
    <w:rsid w:val="00561CA6"/>
    <w:rsid w:val="00562087"/>
    <w:rsid w:val="005624BD"/>
    <w:rsid w:val="00562E45"/>
    <w:rsid w:val="00563649"/>
    <w:rsid w:val="00563A02"/>
    <w:rsid w:val="00564565"/>
    <w:rsid w:val="005647BE"/>
    <w:rsid w:val="00564A12"/>
    <w:rsid w:val="00565FD3"/>
    <w:rsid w:val="00566299"/>
    <w:rsid w:val="00567695"/>
    <w:rsid w:val="0057127D"/>
    <w:rsid w:val="00571B4B"/>
    <w:rsid w:val="005722F6"/>
    <w:rsid w:val="005725F6"/>
    <w:rsid w:val="005749CC"/>
    <w:rsid w:val="00574DB8"/>
    <w:rsid w:val="005802AF"/>
    <w:rsid w:val="005829DD"/>
    <w:rsid w:val="00583C85"/>
    <w:rsid w:val="00584CF8"/>
    <w:rsid w:val="00586817"/>
    <w:rsid w:val="00586D92"/>
    <w:rsid w:val="00586FB7"/>
    <w:rsid w:val="00587507"/>
    <w:rsid w:val="00587FE0"/>
    <w:rsid w:val="00590184"/>
    <w:rsid w:val="005904F0"/>
    <w:rsid w:val="00590FF6"/>
    <w:rsid w:val="00593755"/>
    <w:rsid w:val="00594294"/>
    <w:rsid w:val="00594479"/>
    <w:rsid w:val="00595D46"/>
    <w:rsid w:val="005964E0"/>
    <w:rsid w:val="00596A0B"/>
    <w:rsid w:val="00596E05"/>
    <w:rsid w:val="00596F85"/>
    <w:rsid w:val="005970FA"/>
    <w:rsid w:val="005A0176"/>
    <w:rsid w:val="005A088E"/>
    <w:rsid w:val="005A139C"/>
    <w:rsid w:val="005A2298"/>
    <w:rsid w:val="005A28C1"/>
    <w:rsid w:val="005A2950"/>
    <w:rsid w:val="005A3309"/>
    <w:rsid w:val="005A426F"/>
    <w:rsid w:val="005A72FC"/>
    <w:rsid w:val="005B0388"/>
    <w:rsid w:val="005B109A"/>
    <w:rsid w:val="005B197F"/>
    <w:rsid w:val="005B28C5"/>
    <w:rsid w:val="005B36EF"/>
    <w:rsid w:val="005B4219"/>
    <w:rsid w:val="005B4CE5"/>
    <w:rsid w:val="005B536B"/>
    <w:rsid w:val="005B53AF"/>
    <w:rsid w:val="005B55F4"/>
    <w:rsid w:val="005B5D1F"/>
    <w:rsid w:val="005B6E15"/>
    <w:rsid w:val="005B6F4F"/>
    <w:rsid w:val="005C1FB0"/>
    <w:rsid w:val="005C2FD5"/>
    <w:rsid w:val="005C31EB"/>
    <w:rsid w:val="005C399D"/>
    <w:rsid w:val="005C3F5A"/>
    <w:rsid w:val="005C4EFD"/>
    <w:rsid w:val="005C5378"/>
    <w:rsid w:val="005C64D0"/>
    <w:rsid w:val="005D1063"/>
    <w:rsid w:val="005D161F"/>
    <w:rsid w:val="005D2AB9"/>
    <w:rsid w:val="005D30B3"/>
    <w:rsid w:val="005D34E2"/>
    <w:rsid w:val="005D496E"/>
    <w:rsid w:val="005D4B0B"/>
    <w:rsid w:val="005D4CDC"/>
    <w:rsid w:val="005D56DA"/>
    <w:rsid w:val="005D7C20"/>
    <w:rsid w:val="005E0C1B"/>
    <w:rsid w:val="005E0DCB"/>
    <w:rsid w:val="005E19AF"/>
    <w:rsid w:val="005E28DB"/>
    <w:rsid w:val="005E2EDE"/>
    <w:rsid w:val="005E47FB"/>
    <w:rsid w:val="005E49A6"/>
    <w:rsid w:val="005E5108"/>
    <w:rsid w:val="005E5E87"/>
    <w:rsid w:val="005E6960"/>
    <w:rsid w:val="005E6E51"/>
    <w:rsid w:val="005E7D93"/>
    <w:rsid w:val="005E7EB8"/>
    <w:rsid w:val="005F1577"/>
    <w:rsid w:val="005F184F"/>
    <w:rsid w:val="005F18D6"/>
    <w:rsid w:val="005F2BA8"/>
    <w:rsid w:val="005F3582"/>
    <w:rsid w:val="005F3FFE"/>
    <w:rsid w:val="005F4434"/>
    <w:rsid w:val="005F50DF"/>
    <w:rsid w:val="005F7E1A"/>
    <w:rsid w:val="00600D34"/>
    <w:rsid w:val="00601089"/>
    <w:rsid w:val="00601171"/>
    <w:rsid w:val="00601925"/>
    <w:rsid w:val="00601DC7"/>
    <w:rsid w:val="00602064"/>
    <w:rsid w:val="00602C1D"/>
    <w:rsid w:val="00603024"/>
    <w:rsid w:val="006036DE"/>
    <w:rsid w:val="00605F3F"/>
    <w:rsid w:val="006062B4"/>
    <w:rsid w:val="00607011"/>
    <w:rsid w:val="00607374"/>
    <w:rsid w:val="006075A4"/>
    <w:rsid w:val="00607F85"/>
    <w:rsid w:val="006102C2"/>
    <w:rsid w:val="0061079B"/>
    <w:rsid w:val="00611041"/>
    <w:rsid w:val="00611196"/>
    <w:rsid w:val="006116E3"/>
    <w:rsid w:val="00611AFF"/>
    <w:rsid w:val="00612D6B"/>
    <w:rsid w:val="00613A81"/>
    <w:rsid w:val="00614C2C"/>
    <w:rsid w:val="00614E10"/>
    <w:rsid w:val="00615EF4"/>
    <w:rsid w:val="00616FF1"/>
    <w:rsid w:val="00617B95"/>
    <w:rsid w:val="00620B76"/>
    <w:rsid w:val="00622A43"/>
    <w:rsid w:val="0062318C"/>
    <w:rsid w:val="0062386C"/>
    <w:rsid w:val="0062402E"/>
    <w:rsid w:val="0062427C"/>
    <w:rsid w:val="00624400"/>
    <w:rsid w:val="00624E51"/>
    <w:rsid w:val="00625ACD"/>
    <w:rsid w:val="00626162"/>
    <w:rsid w:val="00627A9E"/>
    <w:rsid w:val="00630852"/>
    <w:rsid w:val="00631D5D"/>
    <w:rsid w:val="00631FEE"/>
    <w:rsid w:val="00634719"/>
    <w:rsid w:val="00635923"/>
    <w:rsid w:val="00635B87"/>
    <w:rsid w:val="006367B8"/>
    <w:rsid w:val="00636B09"/>
    <w:rsid w:val="00640C34"/>
    <w:rsid w:val="0064106B"/>
    <w:rsid w:val="0064134E"/>
    <w:rsid w:val="00641DB9"/>
    <w:rsid w:val="0064558B"/>
    <w:rsid w:val="0064586F"/>
    <w:rsid w:val="00646EF4"/>
    <w:rsid w:val="00647E2D"/>
    <w:rsid w:val="006503E8"/>
    <w:rsid w:val="00650570"/>
    <w:rsid w:val="00652143"/>
    <w:rsid w:val="00652747"/>
    <w:rsid w:val="00653A6C"/>
    <w:rsid w:val="00654A4A"/>
    <w:rsid w:val="0065545A"/>
    <w:rsid w:val="0066037C"/>
    <w:rsid w:val="006627B9"/>
    <w:rsid w:val="00662A6B"/>
    <w:rsid w:val="00663111"/>
    <w:rsid w:val="00664A6C"/>
    <w:rsid w:val="00664DAC"/>
    <w:rsid w:val="00665CDA"/>
    <w:rsid w:val="00666184"/>
    <w:rsid w:val="006661CF"/>
    <w:rsid w:val="006668F8"/>
    <w:rsid w:val="006669AB"/>
    <w:rsid w:val="00667A22"/>
    <w:rsid w:val="00667B44"/>
    <w:rsid w:val="00670BFD"/>
    <w:rsid w:val="00670DC6"/>
    <w:rsid w:val="00671E4C"/>
    <w:rsid w:val="0067299B"/>
    <w:rsid w:val="00674295"/>
    <w:rsid w:val="006743AB"/>
    <w:rsid w:val="00674BB7"/>
    <w:rsid w:val="00674D90"/>
    <w:rsid w:val="006770DB"/>
    <w:rsid w:val="00677350"/>
    <w:rsid w:val="006774CC"/>
    <w:rsid w:val="0068139E"/>
    <w:rsid w:val="006818A8"/>
    <w:rsid w:val="00681A51"/>
    <w:rsid w:val="00682424"/>
    <w:rsid w:val="00682469"/>
    <w:rsid w:val="0068337B"/>
    <w:rsid w:val="0068355B"/>
    <w:rsid w:val="006837CF"/>
    <w:rsid w:val="00683D97"/>
    <w:rsid w:val="00684FCA"/>
    <w:rsid w:val="0068582B"/>
    <w:rsid w:val="00685E4A"/>
    <w:rsid w:val="00686B5C"/>
    <w:rsid w:val="00686F01"/>
    <w:rsid w:val="00690276"/>
    <w:rsid w:val="00692850"/>
    <w:rsid w:val="0069347D"/>
    <w:rsid w:val="0069418C"/>
    <w:rsid w:val="00694FE9"/>
    <w:rsid w:val="00695271"/>
    <w:rsid w:val="00696997"/>
    <w:rsid w:val="00697B6F"/>
    <w:rsid w:val="006A02D6"/>
    <w:rsid w:val="006A1AFD"/>
    <w:rsid w:val="006A1FE8"/>
    <w:rsid w:val="006A22B6"/>
    <w:rsid w:val="006A3AE6"/>
    <w:rsid w:val="006A4295"/>
    <w:rsid w:val="006A4F51"/>
    <w:rsid w:val="006A6375"/>
    <w:rsid w:val="006A6D0E"/>
    <w:rsid w:val="006A6DCF"/>
    <w:rsid w:val="006A758C"/>
    <w:rsid w:val="006B191A"/>
    <w:rsid w:val="006B1D18"/>
    <w:rsid w:val="006B2718"/>
    <w:rsid w:val="006B3126"/>
    <w:rsid w:val="006B4493"/>
    <w:rsid w:val="006C07A9"/>
    <w:rsid w:val="006C0D0F"/>
    <w:rsid w:val="006C0F46"/>
    <w:rsid w:val="006C1EEC"/>
    <w:rsid w:val="006C352C"/>
    <w:rsid w:val="006C3FEA"/>
    <w:rsid w:val="006C4FEE"/>
    <w:rsid w:val="006C65E9"/>
    <w:rsid w:val="006C6666"/>
    <w:rsid w:val="006C69E7"/>
    <w:rsid w:val="006D10AE"/>
    <w:rsid w:val="006D1E54"/>
    <w:rsid w:val="006D24DC"/>
    <w:rsid w:val="006D29F2"/>
    <w:rsid w:val="006D3674"/>
    <w:rsid w:val="006D3BBB"/>
    <w:rsid w:val="006D4B4A"/>
    <w:rsid w:val="006D4CD6"/>
    <w:rsid w:val="006D5276"/>
    <w:rsid w:val="006D6F85"/>
    <w:rsid w:val="006D71F9"/>
    <w:rsid w:val="006D7CA2"/>
    <w:rsid w:val="006E025F"/>
    <w:rsid w:val="006E065B"/>
    <w:rsid w:val="006E09D3"/>
    <w:rsid w:val="006E1692"/>
    <w:rsid w:val="006E1E6C"/>
    <w:rsid w:val="006E20CB"/>
    <w:rsid w:val="006E533A"/>
    <w:rsid w:val="006E5505"/>
    <w:rsid w:val="006E56CB"/>
    <w:rsid w:val="006E6BBE"/>
    <w:rsid w:val="006E71BB"/>
    <w:rsid w:val="006E71DC"/>
    <w:rsid w:val="006E7EC1"/>
    <w:rsid w:val="006F0665"/>
    <w:rsid w:val="006F0815"/>
    <w:rsid w:val="006F0D0A"/>
    <w:rsid w:val="006F136D"/>
    <w:rsid w:val="006F1754"/>
    <w:rsid w:val="006F226D"/>
    <w:rsid w:val="006F240A"/>
    <w:rsid w:val="006F2A5B"/>
    <w:rsid w:val="006F2D27"/>
    <w:rsid w:val="006F2FB3"/>
    <w:rsid w:val="006F3CE3"/>
    <w:rsid w:val="006F3D23"/>
    <w:rsid w:val="006F4E35"/>
    <w:rsid w:val="006F531B"/>
    <w:rsid w:val="006F56B6"/>
    <w:rsid w:val="006F5C09"/>
    <w:rsid w:val="006F62BC"/>
    <w:rsid w:val="006F70BD"/>
    <w:rsid w:val="0070023A"/>
    <w:rsid w:val="00700EE1"/>
    <w:rsid w:val="00702493"/>
    <w:rsid w:val="007034D1"/>
    <w:rsid w:val="00704310"/>
    <w:rsid w:val="00706A77"/>
    <w:rsid w:val="0071035D"/>
    <w:rsid w:val="007122F9"/>
    <w:rsid w:val="0071382F"/>
    <w:rsid w:val="00714652"/>
    <w:rsid w:val="00714A8A"/>
    <w:rsid w:val="00714B44"/>
    <w:rsid w:val="00714F3B"/>
    <w:rsid w:val="007166F7"/>
    <w:rsid w:val="00716AEF"/>
    <w:rsid w:val="00716B51"/>
    <w:rsid w:val="00717076"/>
    <w:rsid w:val="00717296"/>
    <w:rsid w:val="007172CB"/>
    <w:rsid w:val="00717FE7"/>
    <w:rsid w:val="00721A20"/>
    <w:rsid w:val="00721FDF"/>
    <w:rsid w:val="007253B2"/>
    <w:rsid w:val="007253FF"/>
    <w:rsid w:val="00727370"/>
    <w:rsid w:val="007319AD"/>
    <w:rsid w:val="007320A9"/>
    <w:rsid w:val="007326A9"/>
    <w:rsid w:val="00732A29"/>
    <w:rsid w:val="007339F8"/>
    <w:rsid w:val="0073435D"/>
    <w:rsid w:val="00734BAD"/>
    <w:rsid w:val="00735D9E"/>
    <w:rsid w:val="007374D3"/>
    <w:rsid w:val="00740561"/>
    <w:rsid w:val="0074109C"/>
    <w:rsid w:val="00742335"/>
    <w:rsid w:val="00742445"/>
    <w:rsid w:val="00742842"/>
    <w:rsid w:val="0074492D"/>
    <w:rsid w:val="00744FD2"/>
    <w:rsid w:val="00745A2F"/>
    <w:rsid w:val="00745E99"/>
    <w:rsid w:val="0074620D"/>
    <w:rsid w:val="007526AB"/>
    <w:rsid w:val="00753376"/>
    <w:rsid w:val="00753909"/>
    <w:rsid w:val="007543B0"/>
    <w:rsid w:val="007548E3"/>
    <w:rsid w:val="007565BF"/>
    <w:rsid w:val="007568A9"/>
    <w:rsid w:val="00756DEC"/>
    <w:rsid w:val="00761514"/>
    <w:rsid w:val="0076267A"/>
    <w:rsid w:val="00763C22"/>
    <w:rsid w:val="00763CE7"/>
    <w:rsid w:val="007659E2"/>
    <w:rsid w:val="00766A7F"/>
    <w:rsid w:val="007673C3"/>
    <w:rsid w:val="00767696"/>
    <w:rsid w:val="00767793"/>
    <w:rsid w:val="00770127"/>
    <w:rsid w:val="00771830"/>
    <w:rsid w:val="00772177"/>
    <w:rsid w:val="0077265F"/>
    <w:rsid w:val="0077576E"/>
    <w:rsid w:val="00775C65"/>
    <w:rsid w:val="00775FA9"/>
    <w:rsid w:val="0077639A"/>
    <w:rsid w:val="007800AF"/>
    <w:rsid w:val="0078100C"/>
    <w:rsid w:val="0078157F"/>
    <w:rsid w:val="0078185E"/>
    <w:rsid w:val="00782799"/>
    <w:rsid w:val="00783BF7"/>
    <w:rsid w:val="00786F48"/>
    <w:rsid w:val="0078772C"/>
    <w:rsid w:val="00787866"/>
    <w:rsid w:val="007878E4"/>
    <w:rsid w:val="0079082B"/>
    <w:rsid w:val="0079090E"/>
    <w:rsid w:val="00790984"/>
    <w:rsid w:val="00791054"/>
    <w:rsid w:val="00792289"/>
    <w:rsid w:val="00792628"/>
    <w:rsid w:val="0079267C"/>
    <w:rsid w:val="0079345F"/>
    <w:rsid w:val="007963BD"/>
    <w:rsid w:val="007A0505"/>
    <w:rsid w:val="007A1190"/>
    <w:rsid w:val="007A3DCA"/>
    <w:rsid w:val="007A4783"/>
    <w:rsid w:val="007A5191"/>
    <w:rsid w:val="007A647F"/>
    <w:rsid w:val="007A64E0"/>
    <w:rsid w:val="007A6ED6"/>
    <w:rsid w:val="007A7F33"/>
    <w:rsid w:val="007B0500"/>
    <w:rsid w:val="007B111B"/>
    <w:rsid w:val="007B1441"/>
    <w:rsid w:val="007B1B4D"/>
    <w:rsid w:val="007B25E8"/>
    <w:rsid w:val="007B25FE"/>
    <w:rsid w:val="007B330D"/>
    <w:rsid w:val="007B374F"/>
    <w:rsid w:val="007B376C"/>
    <w:rsid w:val="007B3AE8"/>
    <w:rsid w:val="007B4418"/>
    <w:rsid w:val="007B5DAC"/>
    <w:rsid w:val="007B5F62"/>
    <w:rsid w:val="007B621D"/>
    <w:rsid w:val="007B625E"/>
    <w:rsid w:val="007B654F"/>
    <w:rsid w:val="007B66B3"/>
    <w:rsid w:val="007B7077"/>
    <w:rsid w:val="007B718D"/>
    <w:rsid w:val="007B73FD"/>
    <w:rsid w:val="007C1042"/>
    <w:rsid w:val="007C14B6"/>
    <w:rsid w:val="007C20B1"/>
    <w:rsid w:val="007C2DB5"/>
    <w:rsid w:val="007C3003"/>
    <w:rsid w:val="007C3F53"/>
    <w:rsid w:val="007C4DB0"/>
    <w:rsid w:val="007C5923"/>
    <w:rsid w:val="007C5F20"/>
    <w:rsid w:val="007C6B60"/>
    <w:rsid w:val="007C6F85"/>
    <w:rsid w:val="007C7B99"/>
    <w:rsid w:val="007D16CC"/>
    <w:rsid w:val="007D23B3"/>
    <w:rsid w:val="007D3AA0"/>
    <w:rsid w:val="007D3B71"/>
    <w:rsid w:val="007D3FE2"/>
    <w:rsid w:val="007D4359"/>
    <w:rsid w:val="007D4EC2"/>
    <w:rsid w:val="007D543F"/>
    <w:rsid w:val="007D5690"/>
    <w:rsid w:val="007D5930"/>
    <w:rsid w:val="007D67EA"/>
    <w:rsid w:val="007D69FA"/>
    <w:rsid w:val="007D75E9"/>
    <w:rsid w:val="007D7CC9"/>
    <w:rsid w:val="007E1600"/>
    <w:rsid w:val="007E2F09"/>
    <w:rsid w:val="007E3A75"/>
    <w:rsid w:val="007E4641"/>
    <w:rsid w:val="007E5D6C"/>
    <w:rsid w:val="007F02B9"/>
    <w:rsid w:val="007F0CE1"/>
    <w:rsid w:val="007F1ABA"/>
    <w:rsid w:val="007F282F"/>
    <w:rsid w:val="007F2A03"/>
    <w:rsid w:val="007F3616"/>
    <w:rsid w:val="007F4847"/>
    <w:rsid w:val="007F4D92"/>
    <w:rsid w:val="007F5371"/>
    <w:rsid w:val="007F699F"/>
    <w:rsid w:val="007F77B2"/>
    <w:rsid w:val="007F7883"/>
    <w:rsid w:val="00800499"/>
    <w:rsid w:val="008014ED"/>
    <w:rsid w:val="008029DB"/>
    <w:rsid w:val="00802CA3"/>
    <w:rsid w:val="00805346"/>
    <w:rsid w:val="008072D7"/>
    <w:rsid w:val="00810603"/>
    <w:rsid w:val="00810D15"/>
    <w:rsid w:val="00811145"/>
    <w:rsid w:val="00811263"/>
    <w:rsid w:val="00811742"/>
    <w:rsid w:val="00812B83"/>
    <w:rsid w:val="00812C2D"/>
    <w:rsid w:val="00813813"/>
    <w:rsid w:val="00813C03"/>
    <w:rsid w:val="00814283"/>
    <w:rsid w:val="00814503"/>
    <w:rsid w:val="00814F25"/>
    <w:rsid w:val="00816C67"/>
    <w:rsid w:val="00820209"/>
    <w:rsid w:val="008203C4"/>
    <w:rsid w:val="00820F35"/>
    <w:rsid w:val="00820FEC"/>
    <w:rsid w:val="0082393D"/>
    <w:rsid w:val="00823DE0"/>
    <w:rsid w:val="00824BFC"/>
    <w:rsid w:val="00824FAC"/>
    <w:rsid w:val="00830821"/>
    <w:rsid w:val="00831ED5"/>
    <w:rsid w:val="00832177"/>
    <w:rsid w:val="0083324D"/>
    <w:rsid w:val="00833AA0"/>
    <w:rsid w:val="00841733"/>
    <w:rsid w:val="00842484"/>
    <w:rsid w:val="00843447"/>
    <w:rsid w:val="0084487B"/>
    <w:rsid w:val="00844BD4"/>
    <w:rsid w:val="00844D38"/>
    <w:rsid w:val="00844D85"/>
    <w:rsid w:val="0084563E"/>
    <w:rsid w:val="0084660B"/>
    <w:rsid w:val="008466C5"/>
    <w:rsid w:val="00847F98"/>
    <w:rsid w:val="00850E71"/>
    <w:rsid w:val="00851B6E"/>
    <w:rsid w:val="008524BE"/>
    <w:rsid w:val="0085306F"/>
    <w:rsid w:val="00853243"/>
    <w:rsid w:val="00853BC2"/>
    <w:rsid w:val="00853C7E"/>
    <w:rsid w:val="00854278"/>
    <w:rsid w:val="00856063"/>
    <w:rsid w:val="008566B2"/>
    <w:rsid w:val="00857172"/>
    <w:rsid w:val="00860DE4"/>
    <w:rsid w:val="0086236A"/>
    <w:rsid w:val="00863D2A"/>
    <w:rsid w:val="00863F3B"/>
    <w:rsid w:val="00864A80"/>
    <w:rsid w:val="0086569A"/>
    <w:rsid w:val="00867A36"/>
    <w:rsid w:val="00867C3F"/>
    <w:rsid w:val="00870002"/>
    <w:rsid w:val="008700CE"/>
    <w:rsid w:val="008702A8"/>
    <w:rsid w:val="0087035A"/>
    <w:rsid w:val="00870FD4"/>
    <w:rsid w:val="00871C1E"/>
    <w:rsid w:val="00872345"/>
    <w:rsid w:val="00872B3E"/>
    <w:rsid w:val="00872C75"/>
    <w:rsid w:val="00873456"/>
    <w:rsid w:val="0087347D"/>
    <w:rsid w:val="00873CA1"/>
    <w:rsid w:val="00877B0B"/>
    <w:rsid w:val="00880121"/>
    <w:rsid w:val="0088208B"/>
    <w:rsid w:val="00882DAD"/>
    <w:rsid w:val="008843F5"/>
    <w:rsid w:val="00884848"/>
    <w:rsid w:val="00884F32"/>
    <w:rsid w:val="00885263"/>
    <w:rsid w:val="008868A8"/>
    <w:rsid w:val="00886EAF"/>
    <w:rsid w:val="008902F2"/>
    <w:rsid w:val="00890D93"/>
    <w:rsid w:val="008916FE"/>
    <w:rsid w:val="00892C7F"/>
    <w:rsid w:val="00892DA5"/>
    <w:rsid w:val="00892FA4"/>
    <w:rsid w:val="00893AAE"/>
    <w:rsid w:val="00894822"/>
    <w:rsid w:val="008949B1"/>
    <w:rsid w:val="00895396"/>
    <w:rsid w:val="00896995"/>
    <w:rsid w:val="00896DA2"/>
    <w:rsid w:val="00896E2B"/>
    <w:rsid w:val="0089713E"/>
    <w:rsid w:val="008972AA"/>
    <w:rsid w:val="008972FB"/>
    <w:rsid w:val="008A10F3"/>
    <w:rsid w:val="008A28FA"/>
    <w:rsid w:val="008A306A"/>
    <w:rsid w:val="008A4D60"/>
    <w:rsid w:val="008A53EE"/>
    <w:rsid w:val="008A5C0F"/>
    <w:rsid w:val="008A67B2"/>
    <w:rsid w:val="008A6FE4"/>
    <w:rsid w:val="008A714C"/>
    <w:rsid w:val="008B012A"/>
    <w:rsid w:val="008B1596"/>
    <w:rsid w:val="008B31A6"/>
    <w:rsid w:val="008B4062"/>
    <w:rsid w:val="008B56D7"/>
    <w:rsid w:val="008B5977"/>
    <w:rsid w:val="008B63EC"/>
    <w:rsid w:val="008B7A43"/>
    <w:rsid w:val="008C09C4"/>
    <w:rsid w:val="008C1492"/>
    <w:rsid w:val="008C1598"/>
    <w:rsid w:val="008C1F44"/>
    <w:rsid w:val="008C2593"/>
    <w:rsid w:val="008C2FCC"/>
    <w:rsid w:val="008C4392"/>
    <w:rsid w:val="008C476A"/>
    <w:rsid w:val="008C646F"/>
    <w:rsid w:val="008D08DC"/>
    <w:rsid w:val="008D0EE3"/>
    <w:rsid w:val="008D12D7"/>
    <w:rsid w:val="008D2AC2"/>
    <w:rsid w:val="008D48FF"/>
    <w:rsid w:val="008D50EA"/>
    <w:rsid w:val="008D61A7"/>
    <w:rsid w:val="008E0007"/>
    <w:rsid w:val="008E0374"/>
    <w:rsid w:val="008E1426"/>
    <w:rsid w:val="008E145C"/>
    <w:rsid w:val="008E16B0"/>
    <w:rsid w:val="008E1AA7"/>
    <w:rsid w:val="008E3E4B"/>
    <w:rsid w:val="008E43A6"/>
    <w:rsid w:val="008E4923"/>
    <w:rsid w:val="008E4EF9"/>
    <w:rsid w:val="008E6286"/>
    <w:rsid w:val="008E62F5"/>
    <w:rsid w:val="008E6DFC"/>
    <w:rsid w:val="008E7710"/>
    <w:rsid w:val="008F1E9C"/>
    <w:rsid w:val="008F2795"/>
    <w:rsid w:val="008F2F6F"/>
    <w:rsid w:val="008F3AB7"/>
    <w:rsid w:val="008F485A"/>
    <w:rsid w:val="008F58B6"/>
    <w:rsid w:val="008F7DB1"/>
    <w:rsid w:val="00900D4D"/>
    <w:rsid w:val="009012FC"/>
    <w:rsid w:val="00901D76"/>
    <w:rsid w:val="00902D59"/>
    <w:rsid w:val="00903483"/>
    <w:rsid w:val="0090380F"/>
    <w:rsid w:val="00903F34"/>
    <w:rsid w:val="00904623"/>
    <w:rsid w:val="00905449"/>
    <w:rsid w:val="009056DA"/>
    <w:rsid w:val="00905C0A"/>
    <w:rsid w:val="00906028"/>
    <w:rsid w:val="00906B32"/>
    <w:rsid w:val="00906F6E"/>
    <w:rsid w:val="009122F8"/>
    <w:rsid w:val="009124CB"/>
    <w:rsid w:val="00912568"/>
    <w:rsid w:val="00912915"/>
    <w:rsid w:val="00913870"/>
    <w:rsid w:val="00913A0B"/>
    <w:rsid w:val="009154B5"/>
    <w:rsid w:val="00915520"/>
    <w:rsid w:val="009155DC"/>
    <w:rsid w:val="009155F7"/>
    <w:rsid w:val="00917AA0"/>
    <w:rsid w:val="0092075A"/>
    <w:rsid w:val="00921131"/>
    <w:rsid w:val="009213FB"/>
    <w:rsid w:val="009238F7"/>
    <w:rsid w:val="00923C63"/>
    <w:rsid w:val="00924605"/>
    <w:rsid w:val="009247F5"/>
    <w:rsid w:val="00924966"/>
    <w:rsid w:val="00925717"/>
    <w:rsid w:val="00926AB2"/>
    <w:rsid w:val="00927A95"/>
    <w:rsid w:val="00927C5C"/>
    <w:rsid w:val="00927CEF"/>
    <w:rsid w:val="00931854"/>
    <w:rsid w:val="00932B80"/>
    <w:rsid w:val="00934092"/>
    <w:rsid w:val="0093409F"/>
    <w:rsid w:val="00934AA9"/>
    <w:rsid w:val="009356BA"/>
    <w:rsid w:val="009373D3"/>
    <w:rsid w:val="009407FE"/>
    <w:rsid w:val="009410B7"/>
    <w:rsid w:val="00941E3E"/>
    <w:rsid w:val="00942436"/>
    <w:rsid w:val="00943263"/>
    <w:rsid w:val="00945827"/>
    <w:rsid w:val="00946F1E"/>
    <w:rsid w:val="009479D1"/>
    <w:rsid w:val="009507C1"/>
    <w:rsid w:val="00951563"/>
    <w:rsid w:val="00951CD9"/>
    <w:rsid w:val="00952B49"/>
    <w:rsid w:val="00952CA0"/>
    <w:rsid w:val="009535DE"/>
    <w:rsid w:val="0095361B"/>
    <w:rsid w:val="00953D70"/>
    <w:rsid w:val="00954A61"/>
    <w:rsid w:val="00954DDD"/>
    <w:rsid w:val="00956F14"/>
    <w:rsid w:val="00957603"/>
    <w:rsid w:val="009576F3"/>
    <w:rsid w:val="009579A2"/>
    <w:rsid w:val="00957A1D"/>
    <w:rsid w:val="00957BC0"/>
    <w:rsid w:val="00960369"/>
    <w:rsid w:val="009607A2"/>
    <w:rsid w:val="00961671"/>
    <w:rsid w:val="00961AC1"/>
    <w:rsid w:val="00964013"/>
    <w:rsid w:val="0096487B"/>
    <w:rsid w:val="00965462"/>
    <w:rsid w:val="00965CD1"/>
    <w:rsid w:val="00966934"/>
    <w:rsid w:val="00970460"/>
    <w:rsid w:val="00970874"/>
    <w:rsid w:val="00971B48"/>
    <w:rsid w:val="00972583"/>
    <w:rsid w:val="00972963"/>
    <w:rsid w:val="00972ECE"/>
    <w:rsid w:val="009734B3"/>
    <w:rsid w:val="009757D1"/>
    <w:rsid w:val="00975EB9"/>
    <w:rsid w:val="00980754"/>
    <w:rsid w:val="00980F74"/>
    <w:rsid w:val="00981535"/>
    <w:rsid w:val="009825C8"/>
    <w:rsid w:val="009832B9"/>
    <w:rsid w:val="00983531"/>
    <w:rsid w:val="00983A38"/>
    <w:rsid w:val="0098409F"/>
    <w:rsid w:val="00984A55"/>
    <w:rsid w:val="00984BF1"/>
    <w:rsid w:val="00985537"/>
    <w:rsid w:val="00985C01"/>
    <w:rsid w:val="009903BA"/>
    <w:rsid w:val="009903D4"/>
    <w:rsid w:val="009911B1"/>
    <w:rsid w:val="00991698"/>
    <w:rsid w:val="009917E7"/>
    <w:rsid w:val="00991AE2"/>
    <w:rsid w:val="00991C17"/>
    <w:rsid w:val="00991C34"/>
    <w:rsid w:val="00992D1E"/>
    <w:rsid w:val="00992D66"/>
    <w:rsid w:val="00993E88"/>
    <w:rsid w:val="00994D1A"/>
    <w:rsid w:val="00997EB2"/>
    <w:rsid w:val="009A036C"/>
    <w:rsid w:val="009A054C"/>
    <w:rsid w:val="009A06F5"/>
    <w:rsid w:val="009A0788"/>
    <w:rsid w:val="009A0E92"/>
    <w:rsid w:val="009A17EC"/>
    <w:rsid w:val="009A25D3"/>
    <w:rsid w:val="009A3345"/>
    <w:rsid w:val="009A3D83"/>
    <w:rsid w:val="009A759F"/>
    <w:rsid w:val="009A79BB"/>
    <w:rsid w:val="009A7C0F"/>
    <w:rsid w:val="009B03DF"/>
    <w:rsid w:val="009B2232"/>
    <w:rsid w:val="009B3E2E"/>
    <w:rsid w:val="009B6AF0"/>
    <w:rsid w:val="009C09F3"/>
    <w:rsid w:val="009C0CD2"/>
    <w:rsid w:val="009C128C"/>
    <w:rsid w:val="009C1E96"/>
    <w:rsid w:val="009C292D"/>
    <w:rsid w:val="009C5F0C"/>
    <w:rsid w:val="009C67C0"/>
    <w:rsid w:val="009C6C4B"/>
    <w:rsid w:val="009D1035"/>
    <w:rsid w:val="009D13D0"/>
    <w:rsid w:val="009D1B09"/>
    <w:rsid w:val="009D2068"/>
    <w:rsid w:val="009D2836"/>
    <w:rsid w:val="009D38C0"/>
    <w:rsid w:val="009D6BC5"/>
    <w:rsid w:val="009D6DA4"/>
    <w:rsid w:val="009D7861"/>
    <w:rsid w:val="009D7D33"/>
    <w:rsid w:val="009E01FC"/>
    <w:rsid w:val="009E1999"/>
    <w:rsid w:val="009E237C"/>
    <w:rsid w:val="009E324D"/>
    <w:rsid w:val="009E4DD4"/>
    <w:rsid w:val="009E4E3F"/>
    <w:rsid w:val="009E5B49"/>
    <w:rsid w:val="009E698B"/>
    <w:rsid w:val="009E7C2F"/>
    <w:rsid w:val="009F0BB6"/>
    <w:rsid w:val="009F0BED"/>
    <w:rsid w:val="009F0FBE"/>
    <w:rsid w:val="009F1547"/>
    <w:rsid w:val="009F1A08"/>
    <w:rsid w:val="009F1A1B"/>
    <w:rsid w:val="009F1CB5"/>
    <w:rsid w:val="009F47E8"/>
    <w:rsid w:val="009F4ABA"/>
    <w:rsid w:val="009F55FF"/>
    <w:rsid w:val="009F71BE"/>
    <w:rsid w:val="009F7706"/>
    <w:rsid w:val="00A00317"/>
    <w:rsid w:val="00A02D14"/>
    <w:rsid w:val="00A057FA"/>
    <w:rsid w:val="00A0598C"/>
    <w:rsid w:val="00A066AE"/>
    <w:rsid w:val="00A10DD9"/>
    <w:rsid w:val="00A1117F"/>
    <w:rsid w:val="00A11D21"/>
    <w:rsid w:val="00A12565"/>
    <w:rsid w:val="00A12C6B"/>
    <w:rsid w:val="00A12E41"/>
    <w:rsid w:val="00A12FE6"/>
    <w:rsid w:val="00A13151"/>
    <w:rsid w:val="00A13525"/>
    <w:rsid w:val="00A13E8A"/>
    <w:rsid w:val="00A14117"/>
    <w:rsid w:val="00A14757"/>
    <w:rsid w:val="00A149FA"/>
    <w:rsid w:val="00A16587"/>
    <w:rsid w:val="00A17630"/>
    <w:rsid w:val="00A17DF0"/>
    <w:rsid w:val="00A20C1A"/>
    <w:rsid w:val="00A20F78"/>
    <w:rsid w:val="00A218F1"/>
    <w:rsid w:val="00A22250"/>
    <w:rsid w:val="00A258FB"/>
    <w:rsid w:val="00A27DEE"/>
    <w:rsid w:val="00A31B93"/>
    <w:rsid w:val="00A3202D"/>
    <w:rsid w:val="00A32EB7"/>
    <w:rsid w:val="00A33BD6"/>
    <w:rsid w:val="00A34C4D"/>
    <w:rsid w:val="00A34E06"/>
    <w:rsid w:val="00A34FFC"/>
    <w:rsid w:val="00A35910"/>
    <w:rsid w:val="00A35B9D"/>
    <w:rsid w:val="00A35D32"/>
    <w:rsid w:val="00A375EF"/>
    <w:rsid w:val="00A40981"/>
    <w:rsid w:val="00A41757"/>
    <w:rsid w:val="00A423C4"/>
    <w:rsid w:val="00A4342E"/>
    <w:rsid w:val="00A475C5"/>
    <w:rsid w:val="00A51751"/>
    <w:rsid w:val="00A517B6"/>
    <w:rsid w:val="00A519B0"/>
    <w:rsid w:val="00A5221B"/>
    <w:rsid w:val="00A528C2"/>
    <w:rsid w:val="00A52B18"/>
    <w:rsid w:val="00A53A5D"/>
    <w:rsid w:val="00A53BEB"/>
    <w:rsid w:val="00A5433A"/>
    <w:rsid w:val="00A54AFD"/>
    <w:rsid w:val="00A54E69"/>
    <w:rsid w:val="00A61B06"/>
    <w:rsid w:val="00A61C8F"/>
    <w:rsid w:val="00A62113"/>
    <w:rsid w:val="00A62BD7"/>
    <w:rsid w:val="00A630BE"/>
    <w:rsid w:val="00A63379"/>
    <w:rsid w:val="00A63774"/>
    <w:rsid w:val="00A65B15"/>
    <w:rsid w:val="00A65EE2"/>
    <w:rsid w:val="00A66711"/>
    <w:rsid w:val="00A6759C"/>
    <w:rsid w:val="00A67923"/>
    <w:rsid w:val="00A7015E"/>
    <w:rsid w:val="00A70932"/>
    <w:rsid w:val="00A713ED"/>
    <w:rsid w:val="00A714B8"/>
    <w:rsid w:val="00A72227"/>
    <w:rsid w:val="00A72CE7"/>
    <w:rsid w:val="00A74256"/>
    <w:rsid w:val="00A74751"/>
    <w:rsid w:val="00A74901"/>
    <w:rsid w:val="00A75031"/>
    <w:rsid w:val="00A75580"/>
    <w:rsid w:val="00A75733"/>
    <w:rsid w:val="00A76308"/>
    <w:rsid w:val="00A776C7"/>
    <w:rsid w:val="00A77AC1"/>
    <w:rsid w:val="00A77C08"/>
    <w:rsid w:val="00A80ACB"/>
    <w:rsid w:val="00A81492"/>
    <w:rsid w:val="00A81527"/>
    <w:rsid w:val="00A82058"/>
    <w:rsid w:val="00A84AE7"/>
    <w:rsid w:val="00A84E8D"/>
    <w:rsid w:val="00A86576"/>
    <w:rsid w:val="00A8668D"/>
    <w:rsid w:val="00A869B0"/>
    <w:rsid w:val="00A90420"/>
    <w:rsid w:val="00A91051"/>
    <w:rsid w:val="00A910CB"/>
    <w:rsid w:val="00A91DC1"/>
    <w:rsid w:val="00A9289F"/>
    <w:rsid w:val="00A92908"/>
    <w:rsid w:val="00A929FD"/>
    <w:rsid w:val="00A92C1D"/>
    <w:rsid w:val="00A93307"/>
    <w:rsid w:val="00A93633"/>
    <w:rsid w:val="00A9546A"/>
    <w:rsid w:val="00A96A31"/>
    <w:rsid w:val="00A97082"/>
    <w:rsid w:val="00A97301"/>
    <w:rsid w:val="00A9774D"/>
    <w:rsid w:val="00AA0965"/>
    <w:rsid w:val="00AA0C77"/>
    <w:rsid w:val="00AA1D27"/>
    <w:rsid w:val="00AA204C"/>
    <w:rsid w:val="00AA2D57"/>
    <w:rsid w:val="00AA3941"/>
    <w:rsid w:val="00AA43EB"/>
    <w:rsid w:val="00AA538E"/>
    <w:rsid w:val="00AA56D0"/>
    <w:rsid w:val="00AA588E"/>
    <w:rsid w:val="00AA610F"/>
    <w:rsid w:val="00AA6223"/>
    <w:rsid w:val="00AB056E"/>
    <w:rsid w:val="00AB09DB"/>
    <w:rsid w:val="00AB0C9F"/>
    <w:rsid w:val="00AB0F63"/>
    <w:rsid w:val="00AB143A"/>
    <w:rsid w:val="00AB155C"/>
    <w:rsid w:val="00AB1693"/>
    <w:rsid w:val="00AB5BCE"/>
    <w:rsid w:val="00AB68F9"/>
    <w:rsid w:val="00AB717A"/>
    <w:rsid w:val="00AB7E96"/>
    <w:rsid w:val="00AC003B"/>
    <w:rsid w:val="00AC003C"/>
    <w:rsid w:val="00AC0103"/>
    <w:rsid w:val="00AC1404"/>
    <w:rsid w:val="00AC14BD"/>
    <w:rsid w:val="00AC31EA"/>
    <w:rsid w:val="00AC38BD"/>
    <w:rsid w:val="00AC4881"/>
    <w:rsid w:val="00AC5F91"/>
    <w:rsid w:val="00AC7343"/>
    <w:rsid w:val="00AD039F"/>
    <w:rsid w:val="00AD0F88"/>
    <w:rsid w:val="00AD24F3"/>
    <w:rsid w:val="00AD3902"/>
    <w:rsid w:val="00AD3C07"/>
    <w:rsid w:val="00AD523F"/>
    <w:rsid w:val="00AD57F8"/>
    <w:rsid w:val="00AD58A0"/>
    <w:rsid w:val="00AD6010"/>
    <w:rsid w:val="00AD6DFC"/>
    <w:rsid w:val="00AE05F8"/>
    <w:rsid w:val="00AE2212"/>
    <w:rsid w:val="00AE319E"/>
    <w:rsid w:val="00AE339E"/>
    <w:rsid w:val="00AE33FF"/>
    <w:rsid w:val="00AE38D4"/>
    <w:rsid w:val="00AE499D"/>
    <w:rsid w:val="00AE4B14"/>
    <w:rsid w:val="00AE4FF8"/>
    <w:rsid w:val="00AE5E94"/>
    <w:rsid w:val="00AE6D12"/>
    <w:rsid w:val="00AF026B"/>
    <w:rsid w:val="00AF06D5"/>
    <w:rsid w:val="00AF09DD"/>
    <w:rsid w:val="00AF246B"/>
    <w:rsid w:val="00AF4BEE"/>
    <w:rsid w:val="00AF5B2F"/>
    <w:rsid w:val="00AF7DB4"/>
    <w:rsid w:val="00B009CC"/>
    <w:rsid w:val="00B01A94"/>
    <w:rsid w:val="00B02655"/>
    <w:rsid w:val="00B05102"/>
    <w:rsid w:val="00B06130"/>
    <w:rsid w:val="00B079F9"/>
    <w:rsid w:val="00B10263"/>
    <w:rsid w:val="00B10376"/>
    <w:rsid w:val="00B10D36"/>
    <w:rsid w:val="00B11A26"/>
    <w:rsid w:val="00B11C26"/>
    <w:rsid w:val="00B11DEE"/>
    <w:rsid w:val="00B1229F"/>
    <w:rsid w:val="00B12661"/>
    <w:rsid w:val="00B1348E"/>
    <w:rsid w:val="00B142AA"/>
    <w:rsid w:val="00B14BB0"/>
    <w:rsid w:val="00B14BD1"/>
    <w:rsid w:val="00B14BDB"/>
    <w:rsid w:val="00B1527F"/>
    <w:rsid w:val="00B15884"/>
    <w:rsid w:val="00B16A34"/>
    <w:rsid w:val="00B2042B"/>
    <w:rsid w:val="00B213F2"/>
    <w:rsid w:val="00B217D6"/>
    <w:rsid w:val="00B21CB5"/>
    <w:rsid w:val="00B23933"/>
    <w:rsid w:val="00B24FAF"/>
    <w:rsid w:val="00B24FB0"/>
    <w:rsid w:val="00B25453"/>
    <w:rsid w:val="00B25E56"/>
    <w:rsid w:val="00B25ED6"/>
    <w:rsid w:val="00B3057E"/>
    <w:rsid w:val="00B30730"/>
    <w:rsid w:val="00B31B9C"/>
    <w:rsid w:val="00B31CD6"/>
    <w:rsid w:val="00B33653"/>
    <w:rsid w:val="00B347C2"/>
    <w:rsid w:val="00B34D6C"/>
    <w:rsid w:val="00B35559"/>
    <w:rsid w:val="00B3559C"/>
    <w:rsid w:val="00B36A96"/>
    <w:rsid w:val="00B3725B"/>
    <w:rsid w:val="00B40417"/>
    <w:rsid w:val="00B40E9F"/>
    <w:rsid w:val="00B4118A"/>
    <w:rsid w:val="00B45080"/>
    <w:rsid w:val="00B466DA"/>
    <w:rsid w:val="00B46905"/>
    <w:rsid w:val="00B4696B"/>
    <w:rsid w:val="00B47CC6"/>
    <w:rsid w:val="00B505B6"/>
    <w:rsid w:val="00B51514"/>
    <w:rsid w:val="00B5384F"/>
    <w:rsid w:val="00B54421"/>
    <w:rsid w:val="00B549FB"/>
    <w:rsid w:val="00B552E3"/>
    <w:rsid w:val="00B5544F"/>
    <w:rsid w:val="00B55C9A"/>
    <w:rsid w:val="00B55E5D"/>
    <w:rsid w:val="00B56826"/>
    <w:rsid w:val="00B56FF7"/>
    <w:rsid w:val="00B577A8"/>
    <w:rsid w:val="00B577EA"/>
    <w:rsid w:val="00B577FF"/>
    <w:rsid w:val="00B60A36"/>
    <w:rsid w:val="00B61155"/>
    <w:rsid w:val="00B6285D"/>
    <w:rsid w:val="00B63EB9"/>
    <w:rsid w:val="00B64407"/>
    <w:rsid w:val="00B654EB"/>
    <w:rsid w:val="00B65540"/>
    <w:rsid w:val="00B66867"/>
    <w:rsid w:val="00B66994"/>
    <w:rsid w:val="00B66EF5"/>
    <w:rsid w:val="00B67059"/>
    <w:rsid w:val="00B67D62"/>
    <w:rsid w:val="00B703F6"/>
    <w:rsid w:val="00B70757"/>
    <w:rsid w:val="00B7079D"/>
    <w:rsid w:val="00B707FE"/>
    <w:rsid w:val="00B710D8"/>
    <w:rsid w:val="00B71A1E"/>
    <w:rsid w:val="00B71AFB"/>
    <w:rsid w:val="00B71F3A"/>
    <w:rsid w:val="00B73C97"/>
    <w:rsid w:val="00B76340"/>
    <w:rsid w:val="00B76A88"/>
    <w:rsid w:val="00B80C43"/>
    <w:rsid w:val="00B80DF0"/>
    <w:rsid w:val="00B815B2"/>
    <w:rsid w:val="00B821F8"/>
    <w:rsid w:val="00B8264D"/>
    <w:rsid w:val="00B836F5"/>
    <w:rsid w:val="00B85B4E"/>
    <w:rsid w:val="00B865DB"/>
    <w:rsid w:val="00B868E2"/>
    <w:rsid w:val="00B87B6D"/>
    <w:rsid w:val="00B87E7C"/>
    <w:rsid w:val="00B9144F"/>
    <w:rsid w:val="00B93FF5"/>
    <w:rsid w:val="00B94786"/>
    <w:rsid w:val="00B95189"/>
    <w:rsid w:val="00B9551C"/>
    <w:rsid w:val="00B9607E"/>
    <w:rsid w:val="00BA0D64"/>
    <w:rsid w:val="00BA202C"/>
    <w:rsid w:val="00BA2B9C"/>
    <w:rsid w:val="00BA44ED"/>
    <w:rsid w:val="00BA6505"/>
    <w:rsid w:val="00BA68A6"/>
    <w:rsid w:val="00BA7631"/>
    <w:rsid w:val="00BA7715"/>
    <w:rsid w:val="00BA774F"/>
    <w:rsid w:val="00BA78B6"/>
    <w:rsid w:val="00BA79B5"/>
    <w:rsid w:val="00BA7DE9"/>
    <w:rsid w:val="00BB016A"/>
    <w:rsid w:val="00BB0840"/>
    <w:rsid w:val="00BB20BA"/>
    <w:rsid w:val="00BB26AD"/>
    <w:rsid w:val="00BB2930"/>
    <w:rsid w:val="00BB3D25"/>
    <w:rsid w:val="00BB6D2B"/>
    <w:rsid w:val="00BB79BD"/>
    <w:rsid w:val="00BC10E6"/>
    <w:rsid w:val="00BC3516"/>
    <w:rsid w:val="00BC55A3"/>
    <w:rsid w:val="00BC666B"/>
    <w:rsid w:val="00BC7208"/>
    <w:rsid w:val="00BD0B48"/>
    <w:rsid w:val="00BD0C97"/>
    <w:rsid w:val="00BD1DF0"/>
    <w:rsid w:val="00BD1E24"/>
    <w:rsid w:val="00BD271D"/>
    <w:rsid w:val="00BD2761"/>
    <w:rsid w:val="00BD2A0A"/>
    <w:rsid w:val="00BD3653"/>
    <w:rsid w:val="00BD462E"/>
    <w:rsid w:val="00BD4CE7"/>
    <w:rsid w:val="00BD5D0F"/>
    <w:rsid w:val="00BD7025"/>
    <w:rsid w:val="00BD75BA"/>
    <w:rsid w:val="00BD761A"/>
    <w:rsid w:val="00BD7863"/>
    <w:rsid w:val="00BD7C68"/>
    <w:rsid w:val="00BE061D"/>
    <w:rsid w:val="00BE08AA"/>
    <w:rsid w:val="00BE0CC9"/>
    <w:rsid w:val="00BE15B2"/>
    <w:rsid w:val="00BE1CBC"/>
    <w:rsid w:val="00BE1F49"/>
    <w:rsid w:val="00BE29DC"/>
    <w:rsid w:val="00BE5158"/>
    <w:rsid w:val="00BE5393"/>
    <w:rsid w:val="00BE5C7D"/>
    <w:rsid w:val="00BE63CC"/>
    <w:rsid w:val="00BE6BD1"/>
    <w:rsid w:val="00BF1EA0"/>
    <w:rsid w:val="00BF60E7"/>
    <w:rsid w:val="00BF697A"/>
    <w:rsid w:val="00BF6ADB"/>
    <w:rsid w:val="00BF6D5A"/>
    <w:rsid w:val="00C02DA5"/>
    <w:rsid w:val="00C03776"/>
    <w:rsid w:val="00C03E66"/>
    <w:rsid w:val="00C04138"/>
    <w:rsid w:val="00C04B9F"/>
    <w:rsid w:val="00C074D9"/>
    <w:rsid w:val="00C0753E"/>
    <w:rsid w:val="00C10A80"/>
    <w:rsid w:val="00C10A86"/>
    <w:rsid w:val="00C10F1C"/>
    <w:rsid w:val="00C12078"/>
    <w:rsid w:val="00C12BED"/>
    <w:rsid w:val="00C13821"/>
    <w:rsid w:val="00C13A14"/>
    <w:rsid w:val="00C13BBA"/>
    <w:rsid w:val="00C14051"/>
    <w:rsid w:val="00C15667"/>
    <w:rsid w:val="00C15F73"/>
    <w:rsid w:val="00C2037B"/>
    <w:rsid w:val="00C20A4C"/>
    <w:rsid w:val="00C2205A"/>
    <w:rsid w:val="00C22935"/>
    <w:rsid w:val="00C22FF7"/>
    <w:rsid w:val="00C23C7A"/>
    <w:rsid w:val="00C23DC9"/>
    <w:rsid w:val="00C25F93"/>
    <w:rsid w:val="00C26B34"/>
    <w:rsid w:val="00C27A2F"/>
    <w:rsid w:val="00C27F75"/>
    <w:rsid w:val="00C27F76"/>
    <w:rsid w:val="00C3055E"/>
    <w:rsid w:val="00C30DA4"/>
    <w:rsid w:val="00C334EC"/>
    <w:rsid w:val="00C33D7F"/>
    <w:rsid w:val="00C341E4"/>
    <w:rsid w:val="00C34334"/>
    <w:rsid w:val="00C35F65"/>
    <w:rsid w:val="00C3788C"/>
    <w:rsid w:val="00C41124"/>
    <w:rsid w:val="00C41688"/>
    <w:rsid w:val="00C427CE"/>
    <w:rsid w:val="00C4337B"/>
    <w:rsid w:val="00C43536"/>
    <w:rsid w:val="00C44719"/>
    <w:rsid w:val="00C44A9B"/>
    <w:rsid w:val="00C4589D"/>
    <w:rsid w:val="00C4690E"/>
    <w:rsid w:val="00C46EDD"/>
    <w:rsid w:val="00C47F43"/>
    <w:rsid w:val="00C50108"/>
    <w:rsid w:val="00C51610"/>
    <w:rsid w:val="00C51E37"/>
    <w:rsid w:val="00C51F6A"/>
    <w:rsid w:val="00C5211B"/>
    <w:rsid w:val="00C53422"/>
    <w:rsid w:val="00C54D1E"/>
    <w:rsid w:val="00C560BC"/>
    <w:rsid w:val="00C57857"/>
    <w:rsid w:val="00C57AB0"/>
    <w:rsid w:val="00C57D74"/>
    <w:rsid w:val="00C60128"/>
    <w:rsid w:val="00C60ED4"/>
    <w:rsid w:val="00C61FDC"/>
    <w:rsid w:val="00C6247C"/>
    <w:rsid w:val="00C63309"/>
    <w:rsid w:val="00C63F77"/>
    <w:rsid w:val="00C6572C"/>
    <w:rsid w:val="00C66F88"/>
    <w:rsid w:val="00C674CB"/>
    <w:rsid w:val="00C6799A"/>
    <w:rsid w:val="00C67AC4"/>
    <w:rsid w:val="00C708F7"/>
    <w:rsid w:val="00C70CFF"/>
    <w:rsid w:val="00C71954"/>
    <w:rsid w:val="00C71A6A"/>
    <w:rsid w:val="00C724D8"/>
    <w:rsid w:val="00C74092"/>
    <w:rsid w:val="00C75655"/>
    <w:rsid w:val="00C75D4E"/>
    <w:rsid w:val="00C761FB"/>
    <w:rsid w:val="00C7672B"/>
    <w:rsid w:val="00C7691A"/>
    <w:rsid w:val="00C76AF3"/>
    <w:rsid w:val="00C77A1F"/>
    <w:rsid w:val="00C80CA5"/>
    <w:rsid w:val="00C819B7"/>
    <w:rsid w:val="00C81DE1"/>
    <w:rsid w:val="00C82414"/>
    <w:rsid w:val="00C8255A"/>
    <w:rsid w:val="00C837C3"/>
    <w:rsid w:val="00C84497"/>
    <w:rsid w:val="00C85651"/>
    <w:rsid w:val="00C868F6"/>
    <w:rsid w:val="00C86953"/>
    <w:rsid w:val="00C87F6C"/>
    <w:rsid w:val="00C90D91"/>
    <w:rsid w:val="00C9137C"/>
    <w:rsid w:val="00C91644"/>
    <w:rsid w:val="00C930D3"/>
    <w:rsid w:val="00C93556"/>
    <w:rsid w:val="00C9368B"/>
    <w:rsid w:val="00C9663B"/>
    <w:rsid w:val="00CA1356"/>
    <w:rsid w:val="00CA269E"/>
    <w:rsid w:val="00CA2E99"/>
    <w:rsid w:val="00CA35C7"/>
    <w:rsid w:val="00CA3669"/>
    <w:rsid w:val="00CA43A5"/>
    <w:rsid w:val="00CA4EFA"/>
    <w:rsid w:val="00CA515E"/>
    <w:rsid w:val="00CA5FDE"/>
    <w:rsid w:val="00CA7C0B"/>
    <w:rsid w:val="00CB0C94"/>
    <w:rsid w:val="00CB18EB"/>
    <w:rsid w:val="00CB18FC"/>
    <w:rsid w:val="00CB2039"/>
    <w:rsid w:val="00CB217B"/>
    <w:rsid w:val="00CB244C"/>
    <w:rsid w:val="00CB4F30"/>
    <w:rsid w:val="00CB56AB"/>
    <w:rsid w:val="00CB5C32"/>
    <w:rsid w:val="00CB5C5E"/>
    <w:rsid w:val="00CB65BF"/>
    <w:rsid w:val="00CB6E2B"/>
    <w:rsid w:val="00CB6FF7"/>
    <w:rsid w:val="00CB7302"/>
    <w:rsid w:val="00CB776F"/>
    <w:rsid w:val="00CB792D"/>
    <w:rsid w:val="00CB7B64"/>
    <w:rsid w:val="00CC1E9F"/>
    <w:rsid w:val="00CC46A4"/>
    <w:rsid w:val="00CC5684"/>
    <w:rsid w:val="00CC5896"/>
    <w:rsid w:val="00CC6F89"/>
    <w:rsid w:val="00CD045F"/>
    <w:rsid w:val="00CD12FE"/>
    <w:rsid w:val="00CD1EAB"/>
    <w:rsid w:val="00CD2B54"/>
    <w:rsid w:val="00CD4158"/>
    <w:rsid w:val="00CD50AF"/>
    <w:rsid w:val="00CD5A0D"/>
    <w:rsid w:val="00CE0483"/>
    <w:rsid w:val="00CE0C35"/>
    <w:rsid w:val="00CE10F2"/>
    <w:rsid w:val="00CE2078"/>
    <w:rsid w:val="00CE2717"/>
    <w:rsid w:val="00CE3810"/>
    <w:rsid w:val="00CE3A1B"/>
    <w:rsid w:val="00CE52B4"/>
    <w:rsid w:val="00CE59BB"/>
    <w:rsid w:val="00CE5DCD"/>
    <w:rsid w:val="00CE6E0B"/>
    <w:rsid w:val="00CE701C"/>
    <w:rsid w:val="00CE7599"/>
    <w:rsid w:val="00CF2095"/>
    <w:rsid w:val="00CF414A"/>
    <w:rsid w:val="00CF47E1"/>
    <w:rsid w:val="00CF4FF0"/>
    <w:rsid w:val="00CF57B0"/>
    <w:rsid w:val="00CF5B47"/>
    <w:rsid w:val="00CF607B"/>
    <w:rsid w:val="00CF6869"/>
    <w:rsid w:val="00D013CF"/>
    <w:rsid w:val="00D01FBC"/>
    <w:rsid w:val="00D04FDD"/>
    <w:rsid w:val="00D1017C"/>
    <w:rsid w:val="00D104F9"/>
    <w:rsid w:val="00D12A6E"/>
    <w:rsid w:val="00D12DD6"/>
    <w:rsid w:val="00D14323"/>
    <w:rsid w:val="00D14E10"/>
    <w:rsid w:val="00D1581D"/>
    <w:rsid w:val="00D15D9F"/>
    <w:rsid w:val="00D16008"/>
    <w:rsid w:val="00D166D4"/>
    <w:rsid w:val="00D1715F"/>
    <w:rsid w:val="00D2099C"/>
    <w:rsid w:val="00D20D57"/>
    <w:rsid w:val="00D22631"/>
    <w:rsid w:val="00D24991"/>
    <w:rsid w:val="00D25B17"/>
    <w:rsid w:val="00D2656C"/>
    <w:rsid w:val="00D30254"/>
    <w:rsid w:val="00D33768"/>
    <w:rsid w:val="00D33B0F"/>
    <w:rsid w:val="00D33D87"/>
    <w:rsid w:val="00D34244"/>
    <w:rsid w:val="00D34C7A"/>
    <w:rsid w:val="00D34F4A"/>
    <w:rsid w:val="00D35077"/>
    <w:rsid w:val="00D35A6E"/>
    <w:rsid w:val="00D3618E"/>
    <w:rsid w:val="00D408A8"/>
    <w:rsid w:val="00D40B57"/>
    <w:rsid w:val="00D41458"/>
    <w:rsid w:val="00D415D6"/>
    <w:rsid w:val="00D41844"/>
    <w:rsid w:val="00D41A9C"/>
    <w:rsid w:val="00D41F54"/>
    <w:rsid w:val="00D43DC1"/>
    <w:rsid w:val="00D44A7C"/>
    <w:rsid w:val="00D45204"/>
    <w:rsid w:val="00D45DD3"/>
    <w:rsid w:val="00D4647A"/>
    <w:rsid w:val="00D46DAE"/>
    <w:rsid w:val="00D50955"/>
    <w:rsid w:val="00D51346"/>
    <w:rsid w:val="00D51C8F"/>
    <w:rsid w:val="00D5204B"/>
    <w:rsid w:val="00D525BB"/>
    <w:rsid w:val="00D528B0"/>
    <w:rsid w:val="00D53460"/>
    <w:rsid w:val="00D54479"/>
    <w:rsid w:val="00D54C10"/>
    <w:rsid w:val="00D55191"/>
    <w:rsid w:val="00D55CD0"/>
    <w:rsid w:val="00D57275"/>
    <w:rsid w:val="00D57544"/>
    <w:rsid w:val="00D57973"/>
    <w:rsid w:val="00D60704"/>
    <w:rsid w:val="00D60758"/>
    <w:rsid w:val="00D60CE2"/>
    <w:rsid w:val="00D612EC"/>
    <w:rsid w:val="00D6153E"/>
    <w:rsid w:val="00D61B65"/>
    <w:rsid w:val="00D623C4"/>
    <w:rsid w:val="00D62932"/>
    <w:rsid w:val="00D62CE8"/>
    <w:rsid w:val="00D64417"/>
    <w:rsid w:val="00D659A8"/>
    <w:rsid w:val="00D669D3"/>
    <w:rsid w:val="00D67A77"/>
    <w:rsid w:val="00D67F40"/>
    <w:rsid w:val="00D7040F"/>
    <w:rsid w:val="00D70501"/>
    <w:rsid w:val="00D7065C"/>
    <w:rsid w:val="00D722DF"/>
    <w:rsid w:val="00D72A2E"/>
    <w:rsid w:val="00D741FF"/>
    <w:rsid w:val="00D769B9"/>
    <w:rsid w:val="00D77699"/>
    <w:rsid w:val="00D80587"/>
    <w:rsid w:val="00D80A83"/>
    <w:rsid w:val="00D81C1D"/>
    <w:rsid w:val="00D82E05"/>
    <w:rsid w:val="00D83043"/>
    <w:rsid w:val="00D84675"/>
    <w:rsid w:val="00D8526A"/>
    <w:rsid w:val="00D8617A"/>
    <w:rsid w:val="00D86252"/>
    <w:rsid w:val="00D86EF5"/>
    <w:rsid w:val="00D87CC5"/>
    <w:rsid w:val="00D87DA9"/>
    <w:rsid w:val="00D917F3"/>
    <w:rsid w:val="00D92E61"/>
    <w:rsid w:val="00D935BB"/>
    <w:rsid w:val="00D95091"/>
    <w:rsid w:val="00D95CB0"/>
    <w:rsid w:val="00D966F5"/>
    <w:rsid w:val="00D96D38"/>
    <w:rsid w:val="00D973B2"/>
    <w:rsid w:val="00D97BAA"/>
    <w:rsid w:val="00DA0435"/>
    <w:rsid w:val="00DA0AA0"/>
    <w:rsid w:val="00DA1902"/>
    <w:rsid w:val="00DA2E7B"/>
    <w:rsid w:val="00DA3AF3"/>
    <w:rsid w:val="00DA495A"/>
    <w:rsid w:val="00DA4C31"/>
    <w:rsid w:val="00DA544F"/>
    <w:rsid w:val="00DA5455"/>
    <w:rsid w:val="00DA57F0"/>
    <w:rsid w:val="00DA5C2B"/>
    <w:rsid w:val="00DA6C17"/>
    <w:rsid w:val="00DA6F07"/>
    <w:rsid w:val="00DB1369"/>
    <w:rsid w:val="00DB1563"/>
    <w:rsid w:val="00DB169E"/>
    <w:rsid w:val="00DB2E03"/>
    <w:rsid w:val="00DB3E83"/>
    <w:rsid w:val="00DB422A"/>
    <w:rsid w:val="00DB4754"/>
    <w:rsid w:val="00DB4F28"/>
    <w:rsid w:val="00DB5EFB"/>
    <w:rsid w:val="00DB6EF1"/>
    <w:rsid w:val="00DB6F95"/>
    <w:rsid w:val="00DB7732"/>
    <w:rsid w:val="00DC1448"/>
    <w:rsid w:val="00DC15C1"/>
    <w:rsid w:val="00DC188E"/>
    <w:rsid w:val="00DC19BB"/>
    <w:rsid w:val="00DC2172"/>
    <w:rsid w:val="00DC39C0"/>
    <w:rsid w:val="00DC4D3A"/>
    <w:rsid w:val="00DC6404"/>
    <w:rsid w:val="00DC72B1"/>
    <w:rsid w:val="00DC7B30"/>
    <w:rsid w:val="00DD113B"/>
    <w:rsid w:val="00DD2CC2"/>
    <w:rsid w:val="00DD332A"/>
    <w:rsid w:val="00DD3D8D"/>
    <w:rsid w:val="00DD4237"/>
    <w:rsid w:val="00DD4818"/>
    <w:rsid w:val="00DD57B3"/>
    <w:rsid w:val="00DD5848"/>
    <w:rsid w:val="00DD5D3F"/>
    <w:rsid w:val="00DD613D"/>
    <w:rsid w:val="00DD64C5"/>
    <w:rsid w:val="00DD701A"/>
    <w:rsid w:val="00DD7ABC"/>
    <w:rsid w:val="00DD7FDF"/>
    <w:rsid w:val="00DE0776"/>
    <w:rsid w:val="00DE0B09"/>
    <w:rsid w:val="00DE12A4"/>
    <w:rsid w:val="00DE1703"/>
    <w:rsid w:val="00DE25AC"/>
    <w:rsid w:val="00DE28B4"/>
    <w:rsid w:val="00DE59CD"/>
    <w:rsid w:val="00DE6744"/>
    <w:rsid w:val="00DF01D7"/>
    <w:rsid w:val="00DF03CC"/>
    <w:rsid w:val="00DF212C"/>
    <w:rsid w:val="00DF2791"/>
    <w:rsid w:val="00DF2B56"/>
    <w:rsid w:val="00DF5355"/>
    <w:rsid w:val="00DF568D"/>
    <w:rsid w:val="00DF67D2"/>
    <w:rsid w:val="00E0055D"/>
    <w:rsid w:val="00E00C1D"/>
    <w:rsid w:val="00E00CCB"/>
    <w:rsid w:val="00E03206"/>
    <w:rsid w:val="00E042C7"/>
    <w:rsid w:val="00E06BB6"/>
    <w:rsid w:val="00E0781A"/>
    <w:rsid w:val="00E10B7B"/>
    <w:rsid w:val="00E11475"/>
    <w:rsid w:val="00E116C5"/>
    <w:rsid w:val="00E119E3"/>
    <w:rsid w:val="00E12A46"/>
    <w:rsid w:val="00E134E0"/>
    <w:rsid w:val="00E13E04"/>
    <w:rsid w:val="00E14881"/>
    <w:rsid w:val="00E149C5"/>
    <w:rsid w:val="00E167D3"/>
    <w:rsid w:val="00E175A7"/>
    <w:rsid w:val="00E20168"/>
    <w:rsid w:val="00E20695"/>
    <w:rsid w:val="00E20740"/>
    <w:rsid w:val="00E20E92"/>
    <w:rsid w:val="00E21106"/>
    <w:rsid w:val="00E245DA"/>
    <w:rsid w:val="00E24645"/>
    <w:rsid w:val="00E24817"/>
    <w:rsid w:val="00E24A2B"/>
    <w:rsid w:val="00E27177"/>
    <w:rsid w:val="00E274B5"/>
    <w:rsid w:val="00E27DF6"/>
    <w:rsid w:val="00E31BCB"/>
    <w:rsid w:val="00E32963"/>
    <w:rsid w:val="00E32DF1"/>
    <w:rsid w:val="00E337BC"/>
    <w:rsid w:val="00E34E11"/>
    <w:rsid w:val="00E350CD"/>
    <w:rsid w:val="00E36B2E"/>
    <w:rsid w:val="00E36DFD"/>
    <w:rsid w:val="00E372A9"/>
    <w:rsid w:val="00E4001B"/>
    <w:rsid w:val="00E43094"/>
    <w:rsid w:val="00E43E14"/>
    <w:rsid w:val="00E45A4C"/>
    <w:rsid w:val="00E461C0"/>
    <w:rsid w:val="00E47262"/>
    <w:rsid w:val="00E50274"/>
    <w:rsid w:val="00E50B9E"/>
    <w:rsid w:val="00E50E3D"/>
    <w:rsid w:val="00E50F64"/>
    <w:rsid w:val="00E51E10"/>
    <w:rsid w:val="00E51FDE"/>
    <w:rsid w:val="00E534B2"/>
    <w:rsid w:val="00E53CBB"/>
    <w:rsid w:val="00E5659E"/>
    <w:rsid w:val="00E56B66"/>
    <w:rsid w:val="00E57676"/>
    <w:rsid w:val="00E579AF"/>
    <w:rsid w:val="00E57CF3"/>
    <w:rsid w:val="00E60545"/>
    <w:rsid w:val="00E622CC"/>
    <w:rsid w:val="00E62523"/>
    <w:rsid w:val="00E63D14"/>
    <w:rsid w:val="00E64377"/>
    <w:rsid w:val="00E64563"/>
    <w:rsid w:val="00E6468A"/>
    <w:rsid w:val="00E65A5A"/>
    <w:rsid w:val="00E705B7"/>
    <w:rsid w:val="00E7086E"/>
    <w:rsid w:val="00E70ECC"/>
    <w:rsid w:val="00E71839"/>
    <w:rsid w:val="00E719CE"/>
    <w:rsid w:val="00E71A89"/>
    <w:rsid w:val="00E71C3C"/>
    <w:rsid w:val="00E71C98"/>
    <w:rsid w:val="00E71DE5"/>
    <w:rsid w:val="00E71FC7"/>
    <w:rsid w:val="00E724E0"/>
    <w:rsid w:val="00E754BA"/>
    <w:rsid w:val="00E7694D"/>
    <w:rsid w:val="00E770B5"/>
    <w:rsid w:val="00E77197"/>
    <w:rsid w:val="00E77A3E"/>
    <w:rsid w:val="00E80176"/>
    <w:rsid w:val="00E81B1A"/>
    <w:rsid w:val="00E833E5"/>
    <w:rsid w:val="00E84FB3"/>
    <w:rsid w:val="00E86A3E"/>
    <w:rsid w:val="00E87037"/>
    <w:rsid w:val="00E92854"/>
    <w:rsid w:val="00E940E0"/>
    <w:rsid w:val="00E95E22"/>
    <w:rsid w:val="00E96D70"/>
    <w:rsid w:val="00E9767C"/>
    <w:rsid w:val="00EA0F03"/>
    <w:rsid w:val="00EA1EF9"/>
    <w:rsid w:val="00EA2CA0"/>
    <w:rsid w:val="00EA3031"/>
    <w:rsid w:val="00EA4A6F"/>
    <w:rsid w:val="00EA5760"/>
    <w:rsid w:val="00EA60B4"/>
    <w:rsid w:val="00EA7237"/>
    <w:rsid w:val="00EB055B"/>
    <w:rsid w:val="00EB0DC2"/>
    <w:rsid w:val="00EB112A"/>
    <w:rsid w:val="00EB2FE6"/>
    <w:rsid w:val="00EB46AF"/>
    <w:rsid w:val="00EB47AB"/>
    <w:rsid w:val="00EB57D6"/>
    <w:rsid w:val="00EB6050"/>
    <w:rsid w:val="00EB67F6"/>
    <w:rsid w:val="00EB7AFB"/>
    <w:rsid w:val="00EC1212"/>
    <w:rsid w:val="00EC1D3D"/>
    <w:rsid w:val="00EC3151"/>
    <w:rsid w:val="00EC3331"/>
    <w:rsid w:val="00EC518F"/>
    <w:rsid w:val="00EC5B5B"/>
    <w:rsid w:val="00EC677E"/>
    <w:rsid w:val="00EC7071"/>
    <w:rsid w:val="00EC7E67"/>
    <w:rsid w:val="00ED05BA"/>
    <w:rsid w:val="00ED0903"/>
    <w:rsid w:val="00ED1435"/>
    <w:rsid w:val="00ED1D98"/>
    <w:rsid w:val="00ED1F5D"/>
    <w:rsid w:val="00ED3143"/>
    <w:rsid w:val="00ED3E97"/>
    <w:rsid w:val="00ED3F10"/>
    <w:rsid w:val="00ED496E"/>
    <w:rsid w:val="00ED4CE6"/>
    <w:rsid w:val="00ED5536"/>
    <w:rsid w:val="00ED56CF"/>
    <w:rsid w:val="00ED5B5C"/>
    <w:rsid w:val="00ED6B5A"/>
    <w:rsid w:val="00ED70BD"/>
    <w:rsid w:val="00ED7934"/>
    <w:rsid w:val="00EE0B3E"/>
    <w:rsid w:val="00EE166C"/>
    <w:rsid w:val="00EE1FD6"/>
    <w:rsid w:val="00EE37BB"/>
    <w:rsid w:val="00EE37C3"/>
    <w:rsid w:val="00EF3F1B"/>
    <w:rsid w:val="00EF4058"/>
    <w:rsid w:val="00EF4099"/>
    <w:rsid w:val="00EF5E81"/>
    <w:rsid w:val="00EF6012"/>
    <w:rsid w:val="00EF6BDC"/>
    <w:rsid w:val="00F00129"/>
    <w:rsid w:val="00F0190F"/>
    <w:rsid w:val="00F01C4C"/>
    <w:rsid w:val="00F02786"/>
    <w:rsid w:val="00F0434F"/>
    <w:rsid w:val="00F04911"/>
    <w:rsid w:val="00F05D0A"/>
    <w:rsid w:val="00F05F44"/>
    <w:rsid w:val="00F063E9"/>
    <w:rsid w:val="00F0670F"/>
    <w:rsid w:val="00F0692E"/>
    <w:rsid w:val="00F07BE9"/>
    <w:rsid w:val="00F07FA6"/>
    <w:rsid w:val="00F107A7"/>
    <w:rsid w:val="00F10DA2"/>
    <w:rsid w:val="00F11BB3"/>
    <w:rsid w:val="00F12DA2"/>
    <w:rsid w:val="00F13036"/>
    <w:rsid w:val="00F1321A"/>
    <w:rsid w:val="00F15E45"/>
    <w:rsid w:val="00F16434"/>
    <w:rsid w:val="00F2127D"/>
    <w:rsid w:val="00F215DE"/>
    <w:rsid w:val="00F21D1A"/>
    <w:rsid w:val="00F22865"/>
    <w:rsid w:val="00F24D75"/>
    <w:rsid w:val="00F25267"/>
    <w:rsid w:val="00F25FC3"/>
    <w:rsid w:val="00F261E3"/>
    <w:rsid w:val="00F27507"/>
    <w:rsid w:val="00F306D5"/>
    <w:rsid w:val="00F30EA8"/>
    <w:rsid w:val="00F30EB3"/>
    <w:rsid w:val="00F32E80"/>
    <w:rsid w:val="00F34B2F"/>
    <w:rsid w:val="00F34F33"/>
    <w:rsid w:val="00F366D8"/>
    <w:rsid w:val="00F369B6"/>
    <w:rsid w:val="00F36D1F"/>
    <w:rsid w:val="00F3769E"/>
    <w:rsid w:val="00F40F06"/>
    <w:rsid w:val="00F41172"/>
    <w:rsid w:val="00F4262C"/>
    <w:rsid w:val="00F42669"/>
    <w:rsid w:val="00F4374F"/>
    <w:rsid w:val="00F451CA"/>
    <w:rsid w:val="00F46A6E"/>
    <w:rsid w:val="00F47128"/>
    <w:rsid w:val="00F4749B"/>
    <w:rsid w:val="00F514FB"/>
    <w:rsid w:val="00F52B73"/>
    <w:rsid w:val="00F56CE9"/>
    <w:rsid w:val="00F61151"/>
    <w:rsid w:val="00F62FCB"/>
    <w:rsid w:val="00F63063"/>
    <w:rsid w:val="00F63723"/>
    <w:rsid w:val="00F64E44"/>
    <w:rsid w:val="00F64ECE"/>
    <w:rsid w:val="00F66DD9"/>
    <w:rsid w:val="00F6719C"/>
    <w:rsid w:val="00F67B6E"/>
    <w:rsid w:val="00F70BBD"/>
    <w:rsid w:val="00F7174B"/>
    <w:rsid w:val="00F71D1A"/>
    <w:rsid w:val="00F72953"/>
    <w:rsid w:val="00F72A85"/>
    <w:rsid w:val="00F73BBF"/>
    <w:rsid w:val="00F76A4E"/>
    <w:rsid w:val="00F77765"/>
    <w:rsid w:val="00F77907"/>
    <w:rsid w:val="00F77EC3"/>
    <w:rsid w:val="00F8049C"/>
    <w:rsid w:val="00F816B4"/>
    <w:rsid w:val="00F823C6"/>
    <w:rsid w:val="00F842C0"/>
    <w:rsid w:val="00F84E26"/>
    <w:rsid w:val="00F85141"/>
    <w:rsid w:val="00F853B8"/>
    <w:rsid w:val="00F85E98"/>
    <w:rsid w:val="00F90F30"/>
    <w:rsid w:val="00F91762"/>
    <w:rsid w:val="00F91943"/>
    <w:rsid w:val="00F9242E"/>
    <w:rsid w:val="00F92924"/>
    <w:rsid w:val="00F9388B"/>
    <w:rsid w:val="00F945ED"/>
    <w:rsid w:val="00F951A5"/>
    <w:rsid w:val="00F95989"/>
    <w:rsid w:val="00F96919"/>
    <w:rsid w:val="00FA320A"/>
    <w:rsid w:val="00FA46C9"/>
    <w:rsid w:val="00FA5C88"/>
    <w:rsid w:val="00FA6372"/>
    <w:rsid w:val="00FA6845"/>
    <w:rsid w:val="00FA7188"/>
    <w:rsid w:val="00FA7C8B"/>
    <w:rsid w:val="00FB0249"/>
    <w:rsid w:val="00FB0AB9"/>
    <w:rsid w:val="00FB1257"/>
    <w:rsid w:val="00FB3CE5"/>
    <w:rsid w:val="00FB6425"/>
    <w:rsid w:val="00FB793A"/>
    <w:rsid w:val="00FC0B12"/>
    <w:rsid w:val="00FC0E31"/>
    <w:rsid w:val="00FC2DFD"/>
    <w:rsid w:val="00FC32C9"/>
    <w:rsid w:val="00FC487E"/>
    <w:rsid w:val="00FC5915"/>
    <w:rsid w:val="00FC5D6D"/>
    <w:rsid w:val="00FC6C0F"/>
    <w:rsid w:val="00FC6D3C"/>
    <w:rsid w:val="00FC7931"/>
    <w:rsid w:val="00FD07DD"/>
    <w:rsid w:val="00FD1ABB"/>
    <w:rsid w:val="00FD2233"/>
    <w:rsid w:val="00FD42A0"/>
    <w:rsid w:val="00FD4F74"/>
    <w:rsid w:val="00FD6657"/>
    <w:rsid w:val="00FD7187"/>
    <w:rsid w:val="00FE015F"/>
    <w:rsid w:val="00FE0276"/>
    <w:rsid w:val="00FE339F"/>
    <w:rsid w:val="00FE5873"/>
    <w:rsid w:val="00FE61B0"/>
    <w:rsid w:val="00FE6527"/>
    <w:rsid w:val="00FE6ADE"/>
    <w:rsid w:val="00FE6FB1"/>
    <w:rsid w:val="00FF0584"/>
    <w:rsid w:val="00FF0CD1"/>
    <w:rsid w:val="00FF1A54"/>
    <w:rsid w:val="00FF1FC4"/>
    <w:rsid w:val="00FF40EF"/>
    <w:rsid w:val="00FF659E"/>
    <w:rsid w:val="00FF6B5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semiHidden/>
    <w:unhideWhenUsed/>
    <w:rsid w:val="00F7174B"/>
  </w:style>
  <w:style w:type="character" w:customStyle="1" w:styleId="FootnoteTextChar">
    <w:name w:val="Footnote Text Char"/>
    <w:basedOn w:val="DefaultParagraphFont"/>
    <w:link w:val="FootnoteText"/>
    <w:uiPriority w:val="99"/>
    <w:semiHidden/>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semiHidden/>
    <w:unhideWhenUsed/>
    <w:rsid w:val="00F7174B"/>
  </w:style>
  <w:style w:type="character" w:customStyle="1" w:styleId="FootnoteTextChar">
    <w:name w:val="Footnote Text Char"/>
    <w:basedOn w:val="DefaultParagraphFont"/>
    <w:link w:val="FootnoteText"/>
    <w:uiPriority w:val="99"/>
    <w:semiHidden/>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A7CA-9B35-41C0-95A3-1BBA30C1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Hinds, Margaret</cp:lastModifiedBy>
  <cp:revision>7</cp:revision>
  <cp:lastPrinted>2013-08-15T16:58:00Z</cp:lastPrinted>
  <dcterms:created xsi:type="dcterms:W3CDTF">2013-08-02T20:18:00Z</dcterms:created>
  <dcterms:modified xsi:type="dcterms:W3CDTF">2013-08-15T16:58:00Z</dcterms:modified>
</cp:coreProperties>
</file>