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4" w:rsidRPr="00E2012A" w:rsidRDefault="009109C4" w:rsidP="006A5690">
      <w:pPr>
        <w:jc w:val="center"/>
        <w:outlineLvl w:val="0"/>
        <w:rPr>
          <w:rFonts w:ascii="Times New Roman" w:hAnsi="Times New Roman" w:cs="Times New Roman"/>
          <w:b/>
        </w:rPr>
      </w:pPr>
      <w:r w:rsidRPr="00E2012A">
        <w:rPr>
          <w:rFonts w:ascii="Times New Roman" w:hAnsi="Times New Roman" w:cs="Times New Roman"/>
          <w:b/>
        </w:rPr>
        <w:t>BEFORE THE</w:t>
      </w:r>
    </w:p>
    <w:p w:rsidR="009109C4" w:rsidRPr="00E2012A" w:rsidRDefault="009109C4" w:rsidP="006A5690">
      <w:pPr>
        <w:tabs>
          <w:tab w:val="center" w:pos="4680"/>
        </w:tabs>
        <w:suppressAutoHyphens/>
        <w:jc w:val="center"/>
        <w:outlineLvl w:val="0"/>
        <w:rPr>
          <w:rFonts w:ascii="Times New Roman" w:hAnsi="Times New Roman" w:cs="Times New Roman"/>
          <w:b/>
          <w:bCs/>
          <w:spacing w:val="-3"/>
        </w:rPr>
      </w:pPr>
      <w:r w:rsidRPr="00E2012A">
        <w:rPr>
          <w:rFonts w:ascii="Times New Roman" w:hAnsi="Times New Roman" w:cs="Times New Roman"/>
          <w:b/>
          <w:bCs/>
          <w:spacing w:val="-3"/>
        </w:rPr>
        <w:t>PENNSYLVANIA PUBLIC UTILITY COMMISSION</w:t>
      </w:r>
    </w:p>
    <w:p w:rsidR="00C20E30" w:rsidRPr="00E2012A" w:rsidRDefault="00C20E30" w:rsidP="006A5690">
      <w:pPr>
        <w:tabs>
          <w:tab w:val="left" w:pos="-720"/>
        </w:tabs>
        <w:suppressAutoHyphens/>
        <w:jc w:val="center"/>
        <w:rPr>
          <w:rFonts w:ascii="Times New Roman" w:hAnsi="Times New Roman" w:cs="Times New Roman"/>
          <w:spacing w:val="-3"/>
        </w:rPr>
      </w:pPr>
    </w:p>
    <w:p w:rsidR="00217BEA" w:rsidRPr="00E2012A" w:rsidRDefault="00217BEA" w:rsidP="006A5690">
      <w:pPr>
        <w:tabs>
          <w:tab w:val="left" w:pos="-720"/>
        </w:tabs>
        <w:suppressAutoHyphens/>
        <w:jc w:val="center"/>
        <w:rPr>
          <w:rFonts w:ascii="Times New Roman" w:hAnsi="Times New Roman" w:cs="Times New Roman"/>
          <w:spacing w:val="-3"/>
        </w:rPr>
      </w:pPr>
    </w:p>
    <w:p w:rsidR="00217BEA" w:rsidRPr="00E2012A" w:rsidRDefault="00217BEA" w:rsidP="006A5690">
      <w:pPr>
        <w:tabs>
          <w:tab w:val="left" w:pos="-720"/>
        </w:tabs>
        <w:suppressAutoHyphens/>
        <w:jc w:val="center"/>
        <w:rPr>
          <w:rFonts w:ascii="Times New Roman" w:hAnsi="Times New Roman" w:cs="Times New Roman"/>
          <w:spacing w:val="-3"/>
        </w:rPr>
      </w:pPr>
    </w:p>
    <w:p w:rsidR="009109C4" w:rsidRPr="00E2012A" w:rsidRDefault="003E4D6E" w:rsidP="006A5690">
      <w:pPr>
        <w:tabs>
          <w:tab w:val="left" w:pos="-720"/>
        </w:tabs>
        <w:suppressAutoHyphens/>
        <w:jc w:val="both"/>
        <w:rPr>
          <w:rFonts w:ascii="Times New Roman" w:hAnsi="Times New Roman" w:cs="Times New Roman"/>
          <w:spacing w:val="-3"/>
        </w:rPr>
      </w:pPr>
      <w:proofErr w:type="spellStart"/>
      <w:r w:rsidRPr="00E2012A">
        <w:rPr>
          <w:rFonts w:ascii="Times New Roman" w:hAnsi="Times New Roman" w:cs="Times New Roman"/>
          <w:spacing w:val="-3"/>
        </w:rPr>
        <w:t>Dinen</w:t>
      </w:r>
      <w:proofErr w:type="spellEnd"/>
      <w:r w:rsidRPr="00E2012A">
        <w:rPr>
          <w:rFonts w:ascii="Times New Roman" w:hAnsi="Times New Roman" w:cs="Times New Roman"/>
          <w:spacing w:val="-3"/>
        </w:rPr>
        <w:t xml:space="preserve"> Sanders</w:t>
      </w:r>
      <w:r w:rsidRPr="00E2012A">
        <w:rPr>
          <w:rFonts w:ascii="Times New Roman" w:hAnsi="Times New Roman" w:cs="Times New Roman"/>
          <w:spacing w:val="-3"/>
        </w:rPr>
        <w:tab/>
      </w:r>
      <w:r w:rsidR="009565F7" w:rsidRPr="00E2012A">
        <w:rPr>
          <w:rFonts w:ascii="Times New Roman" w:hAnsi="Times New Roman" w:cs="Times New Roman"/>
          <w:spacing w:val="-3"/>
        </w:rPr>
        <w:tab/>
      </w:r>
      <w:r w:rsidR="005A4D5D" w:rsidRPr="00E2012A">
        <w:rPr>
          <w:rFonts w:ascii="Times New Roman" w:hAnsi="Times New Roman" w:cs="Times New Roman"/>
          <w:spacing w:val="-3"/>
        </w:rPr>
        <w:tab/>
      </w:r>
      <w:r w:rsidR="005A4D5D" w:rsidRPr="00E2012A">
        <w:rPr>
          <w:rFonts w:ascii="Times New Roman" w:hAnsi="Times New Roman" w:cs="Times New Roman"/>
          <w:spacing w:val="-3"/>
        </w:rPr>
        <w:tab/>
      </w:r>
      <w:r w:rsidR="009109C4" w:rsidRPr="00E2012A">
        <w:rPr>
          <w:rFonts w:ascii="Times New Roman" w:hAnsi="Times New Roman" w:cs="Times New Roman"/>
          <w:spacing w:val="-3"/>
        </w:rPr>
        <w:tab/>
      </w:r>
      <w:r w:rsidR="009109C4" w:rsidRPr="00E2012A">
        <w:rPr>
          <w:rFonts w:ascii="Times New Roman" w:hAnsi="Times New Roman" w:cs="Times New Roman"/>
          <w:spacing w:val="-3"/>
        </w:rPr>
        <w:tab/>
      </w:r>
      <w:r w:rsidR="009109C4" w:rsidRPr="00E2012A">
        <w:rPr>
          <w:rFonts w:ascii="Times New Roman" w:hAnsi="Times New Roman" w:cs="Times New Roman"/>
          <w:spacing w:val="-3"/>
        </w:rPr>
        <w:fldChar w:fldCharType="begin"/>
      </w:r>
      <w:r w:rsidR="009109C4" w:rsidRPr="00E2012A">
        <w:rPr>
          <w:rFonts w:ascii="Times New Roman" w:hAnsi="Times New Roman" w:cs="Times New Roman"/>
          <w:spacing w:val="-3"/>
        </w:rPr>
        <w:instrText>fillin "Complainant's name" \d ""</w:instrText>
      </w:r>
      <w:r w:rsidR="009109C4" w:rsidRPr="00E2012A">
        <w:rPr>
          <w:rFonts w:ascii="Times New Roman" w:hAnsi="Times New Roman" w:cs="Times New Roman"/>
          <w:spacing w:val="-3"/>
        </w:rPr>
        <w:fldChar w:fldCharType="end"/>
      </w:r>
      <w:r w:rsidR="009109C4" w:rsidRPr="00E2012A">
        <w:rPr>
          <w:rFonts w:ascii="Times New Roman" w:hAnsi="Times New Roman" w:cs="Times New Roman"/>
          <w:spacing w:val="-3"/>
        </w:rPr>
        <w:t>:</w:t>
      </w:r>
    </w:p>
    <w:p w:rsidR="009109C4" w:rsidRPr="00E2012A" w:rsidRDefault="00CB0FE4" w:rsidP="006A5690">
      <w:pPr>
        <w:tabs>
          <w:tab w:val="left" w:pos="-720"/>
        </w:tabs>
        <w:suppressAutoHyphens/>
        <w:jc w:val="both"/>
        <w:rPr>
          <w:rFonts w:ascii="Times New Roman" w:hAnsi="Times New Roman" w:cs="Times New Roman"/>
          <w:spacing w:val="-3"/>
        </w:rPr>
      </w:pP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009C4426" w:rsidRPr="00E2012A">
        <w:rPr>
          <w:rFonts w:ascii="Times New Roman" w:hAnsi="Times New Roman" w:cs="Times New Roman"/>
          <w:spacing w:val="-3"/>
        </w:rPr>
        <w:tab/>
      </w:r>
      <w:r w:rsidR="006A5690" w:rsidRPr="00E2012A">
        <w:rPr>
          <w:rFonts w:ascii="Times New Roman" w:hAnsi="Times New Roman" w:cs="Times New Roman"/>
          <w:spacing w:val="-3"/>
        </w:rPr>
        <w:tab/>
      </w:r>
      <w:r w:rsidR="009C4426" w:rsidRPr="00E2012A">
        <w:rPr>
          <w:rFonts w:ascii="Times New Roman" w:hAnsi="Times New Roman" w:cs="Times New Roman"/>
          <w:spacing w:val="-3"/>
        </w:rPr>
        <w:t>:</w:t>
      </w:r>
    </w:p>
    <w:p w:rsidR="009109C4" w:rsidRPr="00E2012A" w:rsidRDefault="00CB0FE4" w:rsidP="006A5690">
      <w:pPr>
        <w:tabs>
          <w:tab w:val="left" w:pos="-720"/>
        </w:tabs>
        <w:suppressAutoHyphens/>
        <w:jc w:val="both"/>
        <w:rPr>
          <w:rFonts w:ascii="Times New Roman" w:hAnsi="Times New Roman" w:cs="Times New Roman"/>
          <w:spacing w:val="-3"/>
        </w:rPr>
      </w:pPr>
      <w:r w:rsidRPr="00E2012A">
        <w:rPr>
          <w:rFonts w:ascii="Times New Roman" w:hAnsi="Times New Roman" w:cs="Times New Roman"/>
          <w:spacing w:val="-3"/>
        </w:rPr>
        <w:tab/>
        <w:t>v.</w:t>
      </w: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009109C4" w:rsidRPr="00E2012A">
        <w:rPr>
          <w:rFonts w:ascii="Times New Roman" w:hAnsi="Times New Roman" w:cs="Times New Roman"/>
          <w:spacing w:val="-3"/>
        </w:rPr>
        <w:tab/>
      </w:r>
      <w:r w:rsidR="009C4426" w:rsidRPr="00E2012A">
        <w:rPr>
          <w:rFonts w:ascii="Times New Roman" w:hAnsi="Times New Roman" w:cs="Times New Roman"/>
          <w:spacing w:val="-3"/>
        </w:rPr>
        <w:tab/>
      </w:r>
      <w:r w:rsidR="006A5690" w:rsidRPr="00E2012A">
        <w:rPr>
          <w:rFonts w:ascii="Times New Roman" w:hAnsi="Times New Roman" w:cs="Times New Roman"/>
          <w:spacing w:val="-3"/>
        </w:rPr>
        <w:tab/>
      </w:r>
      <w:r w:rsidR="009109C4" w:rsidRPr="00E2012A">
        <w:rPr>
          <w:rFonts w:ascii="Times New Roman" w:hAnsi="Times New Roman" w:cs="Times New Roman"/>
          <w:spacing w:val="-3"/>
        </w:rPr>
        <w:t>:</w:t>
      </w:r>
      <w:r w:rsidR="009109C4" w:rsidRPr="00E2012A">
        <w:rPr>
          <w:rFonts w:ascii="Times New Roman" w:hAnsi="Times New Roman" w:cs="Times New Roman"/>
          <w:spacing w:val="-3"/>
        </w:rPr>
        <w:tab/>
      </w:r>
      <w:r w:rsidR="009109C4" w:rsidRPr="00E2012A">
        <w:rPr>
          <w:rFonts w:ascii="Times New Roman" w:hAnsi="Times New Roman" w:cs="Times New Roman"/>
          <w:spacing w:val="-3"/>
        </w:rPr>
        <w:tab/>
      </w:r>
      <w:bookmarkStart w:id="0" w:name="BMDocketNumber"/>
      <w:r w:rsidR="005929A6" w:rsidRPr="00E2012A">
        <w:rPr>
          <w:rFonts w:ascii="Times New Roman" w:hAnsi="Times New Roman" w:cs="Times New Roman"/>
          <w:spacing w:val="-3"/>
        </w:rPr>
        <w:t>C</w:t>
      </w:r>
      <w:r w:rsidR="00047510" w:rsidRPr="00E2012A">
        <w:rPr>
          <w:rFonts w:ascii="Times New Roman" w:hAnsi="Times New Roman" w:cs="Times New Roman"/>
          <w:spacing w:val="-3"/>
        </w:rPr>
        <w:t>-201</w:t>
      </w:r>
      <w:r w:rsidR="005929A6" w:rsidRPr="00E2012A">
        <w:rPr>
          <w:rFonts w:ascii="Times New Roman" w:hAnsi="Times New Roman" w:cs="Times New Roman"/>
          <w:spacing w:val="-3"/>
        </w:rPr>
        <w:t>4</w:t>
      </w:r>
      <w:r w:rsidR="00047510" w:rsidRPr="00E2012A">
        <w:rPr>
          <w:rFonts w:ascii="Times New Roman" w:hAnsi="Times New Roman" w:cs="Times New Roman"/>
          <w:spacing w:val="-3"/>
        </w:rPr>
        <w:t>-2</w:t>
      </w:r>
      <w:r w:rsidR="005929A6" w:rsidRPr="00E2012A">
        <w:rPr>
          <w:rFonts w:ascii="Times New Roman" w:hAnsi="Times New Roman" w:cs="Times New Roman"/>
          <w:spacing w:val="-3"/>
        </w:rPr>
        <w:t>4</w:t>
      </w:r>
      <w:r w:rsidR="00FC2F4B" w:rsidRPr="00E2012A">
        <w:rPr>
          <w:rFonts w:ascii="Times New Roman" w:hAnsi="Times New Roman" w:cs="Times New Roman"/>
          <w:spacing w:val="-3"/>
        </w:rPr>
        <w:t>4</w:t>
      </w:r>
      <w:r w:rsidR="003E4D6E" w:rsidRPr="00E2012A">
        <w:rPr>
          <w:rFonts w:ascii="Times New Roman" w:hAnsi="Times New Roman" w:cs="Times New Roman"/>
          <w:spacing w:val="-3"/>
        </w:rPr>
        <w:t>5224</w:t>
      </w:r>
      <w:bookmarkEnd w:id="0"/>
      <w:r w:rsidR="009109C4" w:rsidRPr="00E2012A">
        <w:rPr>
          <w:rFonts w:ascii="Times New Roman" w:hAnsi="Times New Roman" w:cs="Times New Roman"/>
          <w:spacing w:val="-3"/>
        </w:rPr>
        <w:fldChar w:fldCharType="begin"/>
      </w:r>
      <w:r w:rsidR="009109C4" w:rsidRPr="00E2012A">
        <w:rPr>
          <w:rFonts w:ascii="Times New Roman" w:hAnsi="Times New Roman" w:cs="Times New Roman"/>
          <w:spacing w:val="-3"/>
        </w:rPr>
        <w:instrText>fillin "Docket No." \d ""</w:instrText>
      </w:r>
      <w:r w:rsidR="009109C4" w:rsidRPr="00E2012A">
        <w:rPr>
          <w:rFonts w:ascii="Times New Roman" w:hAnsi="Times New Roman" w:cs="Times New Roman"/>
          <w:spacing w:val="-3"/>
        </w:rPr>
        <w:fldChar w:fldCharType="end"/>
      </w:r>
    </w:p>
    <w:p w:rsidR="00C02792" w:rsidRPr="00E2012A" w:rsidRDefault="00CB0FE4" w:rsidP="006A5690">
      <w:pPr>
        <w:tabs>
          <w:tab w:val="left" w:pos="-720"/>
        </w:tabs>
        <w:suppressAutoHyphens/>
        <w:jc w:val="both"/>
        <w:rPr>
          <w:rFonts w:ascii="Times New Roman" w:hAnsi="Times New Roman" w:cs="Times New Roman"/>
          <w:spacing w:val="-3"/>
        </w:rPr>
      </w:pP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009109C4" w:rsidRPr="00E2012A">
        <w:rPr>
          <w:rFonts w:ascii="Times New Roman" w:hAnsi="Times New Roman" w:cs="Times New Roman"/>
          <w:spacing w:val="-3"/>
        </w:rPr>
        <w:tab/>
      </w:r>
      <w:r w:rsidR="009109C4" w:rsidRPr="00E2012A">
        <w:rPr>
          <w:rFonts w:ascii="Times New Roman" w:hAnsi="Times New Roman" w:cs="Times New Roman"/>
          <w:spacing w:val="-3"/>
        </w:rPr>
        <w:tab/>
      </w:r>
      <w:r w:rsidR="009C4426" w:rsidRPr="00E2012A">
        <w:rPr>
          <w:rFonts w:ascii="Times New Roman" w:hAnsi="Times New Roman" w:cs="Times New Roman"/>
          <w:spacing w:val="-3"/>
        </w:rPr>
        <w:tab/>
      </w:r>
      <w:r w:rsidR="006A5690" w:rsidRPr="00E2012A">
        <w:rPr>
          <w:rFonts w:ascii="Times New Roman" w:hAnsi="Times New Roman" w:cs="Times New Roman"/>
          <w:spacing w:val="-3"/>
        </w:rPr>
        <w:tab/>
      </w:r>
      <w:r w:rsidR="009109C4" w:rsidRPr="00E2012A">
        <w:rPr>
          <w:rFonts w:ascii="Times New Roman" w:hAnsi="Times New Roman" w:cs="Times New Roman"/>
          <w:spacing w:val="-3"/>
        </w:rPr>
        <w:t>:</w:t>
      </w:r>
    </w:p>
    <w:p w:rsidR="00202C5D" w:rsidRPr="00E2012A" w:rsidRDefault="003E4D6E" w:rsidP="006A5690">
      <w:pPr>
        <w:tabs>
          <w:tab w:val="left" w:pos="-720"/>
        </w:tabs>
        <w:suppressAutoHyphens/>
        <w:jc w:val="both"/>
        <w:rPr>
          <w:rFonts w:ascii="Times New Roman" w:hAnsi="Times New Roman" w:cs="Times New Roman"/>
          <w:spacing w:val="-3"/>
        </w:rPr>
      </w:pPr>
      <w:r w:rsidRPr="00E2012A">
        <w:rPr>
          <w:rFonts w:ascii="Times New Roman" w:hAnsi="Times New Roman" w:cs="Times New Roman"/>
          <w:spacing w:val="-3"/>
        </w:rPr>
        <w:t>Planet Energy (Pennsylvania) Corp.</w:t>
      </w:r>
      <w:r w:rsidR="00AB6548" w:rsidRPr="00E2012A">
        <w:rPr>
          <w:rFonts w:ascii="Times New Roman" w:hAnsi="Times New Roman" w:cs="Times New Roman"/>
          <w:spacing w:val="-3"/>
        </w:rPr>
        <w:tab/>
      </w:r>
      <w:r w:rsidR="009C4426" w:rsidRPr="00E2012A">
        <w:rPr>
          <w:rFonts w:ascii="Times New Roman" w:hAnsi="Times New Roman" w:cs="Times New Roman"/>
          <w:spacing w:val="-3"/>
        </w:rPr>
        <w:tab/>
      </w:r>
      <w:r w:rsidR="006A5690" w:rsidRPr="00E2012A">
        <w:rPr>
          <w:rFonts w:ascii="Times New Roman" w:hAnsi="Times New Roman" w:cs="Times New Roman"/>
          <w:spacing w:val="-3"/>
        </w:rPr>
        <w:tab/>
      </w:r>
      <w:r w:rsidR="009109C4" w:rsidRPr="00E2012A">
        <w:rPr>
          <w:rFonts w:ascii="Times New Roman" w:hAnsi="Times New Roman" w:cs="Times New Roman"/>
          <w:spacing w:val="-3"/>
        </w:rPr>
        <w:t>:</w:t>
      </w:r>
    </w:p>
    <w:p w:rsidR="00CE48BD" w:rsidRPr="00E2012A" w:rsidRDefault="00CE48BD" w:rsidP="006A5690">
      <w:pPr>
        <w:pStyle w:val="ParaTab1"/>
        <w:ind w:firstLine="0"/>
        <w:rPr>
          <w:rFonts w:ascii="Times New Roman" w:hAnsi="Times New Roman" w:cs="Times New Roman"/>
          <w:spacing w:val="-3"/>
        </w:rPr>
      </w:pPr>
    </w:p>
    <w:p w:rsidR="00C20E30" w:rsidRPr="00E2012A" w:rsidRDefault="00C20E30" w:rsidP="006A5690">
      <w:pPr>
        <w:pStyle w:val="ParaTab1"/>
        <w:ind w:firstLine="0"/>
        <w:rPr>
          <w:rFonts w:ascii="Times New Roman" w:hAnsi="Times New Roman" w:cs="Times New Roman"/>
          <w:spacing w:val="-3"/>
        </w:rPr>
      </w:pPr>
    </w:p>
    <w:p w:rsidR="00217BEA" w:rsidRPr="00E2012A" w:rsidRDefault="00217BEA" w:rsidP="006A5690">
      <w:pPr>
        <w:pStyle w:val="ParaTab1"/>
        <w:ind w:firstLine="0"/>
        <w:rPr>
          <w:rFonts w:ascii="Times New Roman" w:hAnsi="Times New Roman" w:cs="Times New Roman"/>
          <w:spacing w:val="-3"/>
        </w:rPr>
      </w:pPr>
    </w:p>
    <w:p w:rsidR="00217BEA" w:rsidRPr="00E2012A" w:rsidRDefault="00CE48BD" w:rsidP="006A5690">
      <w:pPr>
        <w:tabs>
          <w:tab w:val="center" w:pos="4680"/>
        </w:tabs>
        <w:suppressAutoHyphens/>
        <w:jc w:val="center"/>
        <w:rPr>
          <w:rFonts w:ascii="Times New Roman" w:hAnsi="Times New Roman" w:cs="Times New Roman"/>
          <w:b/>
          <w:bCs/>
          <w:spacing w:val="-3"/>
          <w:u w:val="single"/>
        </w:rPr>
      </w:pPr>
      <w:r w:rsidRPr="00E2012A">
        <w:rPr>
          <w:rFonts w:ascii="Times New Roman" w:hAnsi="Times New Roman" w:cs="Times New Roman"/>
          <w:b/>
          <w:bCs/>
          <w:spacing w:val="-3"/>
          <w:u w:val="single"/>
        </w:rPr>
        <w:t xml:space="preserve">INITIAL DECISION </w:t>
      </w:r>
      <w:r w:rsidR="00A642D8" w:rsidRPr="00E2012A">
        <w:rPr>
          <w:rFonts w:ascii="Times New Roman" w:hAnsi="Times New Roman" w:cs="Times New Roman"/>
          <w:b/>
          <w:bCs/>
          <w:spacing w:val="-3"/>
          <w:u w:val="single"/>
        </w:rPr>
        <w:t xml:space="preserve">GRANTING MOTION FOR JUDGMENT </w:t>
      </w:r>
    </w:p>
    <w:p w:rsidR="00CE48BD" w:rsidRPr="00E2012A" w:rsidRDefault="00A642D8" w:rsidP="006A5690">
      <w:pPr>
        <w:tabs>
          <w:tab w:val="center" w:pos="4680"/>
        </w:tabs>
        <w:suppressAutoHyphens/>
        <w:jc w:val="center"/>
        <w:rPr>
          <w:rFonts w:ascii="Times New Roman" w:hAnsi="Times New Roman" w:cs="Times New Roman"/>
          <w:b/>
          <w:bCs/>
          <w:spacing w:val="-3"/>
          <w:u w:val="single"/>
        </w:rPr>
      </w:pPr>
      <w:r w:rsidRPr="00E2012A">
        <w:rPr>
          <w:rFonts w:ascii="Times New Roman" w:hAnsi="Times New Roman" w:cs="Times New Roman"/>
          <w:b/>
          <w:bCs/>
          <w:spacing w:val="-3"/>
          <w:u w:val="single"/>
        </w:rPr>
        <w:t>ON THE PLEADINGS</w:t>
      </w:r>
      <w:r w:rsidR="00FC0F03" w:rsidRPr="00E2012A">
        <w:rPr>
          <w:rFonts w:ascii="Times New Roman" w:hAnsi="Times New Roman" w:cs="Times New Roman"/>
          <w:b/>
          <w:bCs/>
          <w:spacing w:val="-3"/>
          <w:u w:val="single"/>
        </w:rPr>
        <w:t xml:space="preserve"> </w:t>
      </w:r>
      <w:r w:rsidR="00CE48BD" w:rsidRPr="00E2012A">
        <w:rPr>
          <w:rFonts w:ascii="Times New Roman" w:hAnsi="Times New Roman" w:cs="Times New Roman"/>
          <w:b/>
          <w:bCs/>
          <w:spacing w:val="-3"/>
          <w:u w:val="single"/>
        </w:rPr>
        <w:t>AND DISMISSING COMPLAINT</w:t>
      </w:r>
    </w:p>
    <w:p w:rsidR="00CE48BD" w:rsidRPr="00E2012A" w:rsidRDefault="00CE48BD" w:rsidP="006A5690">
      <w:pPr>
        <w:tabs>
          <w:tab w:val="center" w:pos="4680"/>
        </w:tabs>
        <w:suppressAutoHyphens/>
        <w:jc w:val="center"/>
        <w:rPr>
          <w:rFonts w:ascii="Times New Roman" w:hAnsi="Times New Roman" w:cs="Times New Roman"/>
          <w:b/>
          <w:bCs/>
          <w:spacing w:val="-3"/>
          <w:u w:val="single"/>
        </w:rPr>
      </w:pPr>
    </w:p>
    <w:p w:rsidR="00DE7D00" w:rsidRPr="00E2012A" w:rsidRDefault="00DE7D00" w:rsidP="006A5690">
      <w:pPr>
        <w:tabs>
          <w:tab w:val="center" w:pos="4680"/>
        </w:tabs>
        <w:suppressAutoHyphens/>
        <w:jc w:val="center"/>
        <w:rPr>
          <w:rFonts w:ascii="Times New Roman" w:hAnsi="Times New Roman" w:cs="Times New Roman"/>
          <w:b/>
          <w:bCs/>
          <w:spacing w:val="-3"/>
          <w:u w:val="single"/>
        </w:rPr>
      </w:pPr>
    </w:p>
    <w:p w:rsidR="00CE48BD" w:rsidRPr="00E2012A" w:rsidRDefault="00CE48BD" w:rsidP="006A5690">
      <w:pPr>
        <w:tabs>
          <w:tab w:val="center" w:pos="4680"/>
        </w:tabs>
        <w:suppressAutoHyphens/>
        <w:jc w:val="center"/>
        <w:outlineLvl w:val="0"/>
        <w:rPr>
          <w:rFonts w:ascii="Times New Roman" w:hAnsi="Times New Roman" w:cs="Times New Roman"/>
          <w:bCs/>
          <w:spacing w:val="-3"/>
        </w:rPr>
      </w:pPr>
      <w:r w:rsidRPr="00E2012A">
        <w:rPr>
          <w:rFonts w:ascii="Times New Roman" w:hAnsi="Times New Roman" w:cs="Times New Roman"/>
          <w:bCs/>
          <w:spacing w:val="-3"/>
        </w:rPr>
        <w:t xml:space="preserve">Before </w:t>
      </w:r>
    </w:p>
    <w:p w:rsidR="00CE48BD" w:rsidRPr="00E2012A" w:rsidRDefault="00CE48BD" w:rsidP="006A5690">
      <w:pPr>
        <w:tabs>
          <w:tab w:val="center" w:pos="4680"/>
        </w:tabs>
        <w:suppressAutoHyphens/>
        <w:jc w:val="center"/>
        <w:rPr>
          <w:rFonts w:ascii="Times New Roman" w:hAnsi="Times New Roman" w:cs="Times New Roman"/>
          <w:bCs/>
          <w:spacing w:val="-3"/>
        </w:rPr>
      </w:pPr>
      <w:r w:rsidRPr="00E2012A">
        <w:rPr>
          <w:rFonts w:ascii="Times New Roman" w:hAnsi="Times New Roman" w:cs="Times New Roman"/>
          <w:bCs/>
          <w:spacing w:val="-3"/>
        </w:rPr>
        <w:t>David A. Salapa</w:t>
      </w:r>
    </w:p>
    <w:p w:rsidR="00CE48BD" w:rsidRPr="00E2012A" w:rsidRDefault="00CE48BD" w:rsidP="006A5690">
      <w:pPr>
        <w:tabs>
          <w:tab w:val="center" w:pos="4680"/>
        </w:tabs>
        <w:suppressAutoHyphens/>
        <w:jc w:val="center"/>
        <w:rPr>
          <w:rFonts w:ascii="Times New Roman" w:hAnsi="Times New Roman" w:cs="Times New Roman"/>
          <w:bCs/>
          <w:spacing w:val="-3"/>
        </w:rPr>
      </w:pPr>
      <w:r w:rsidRPr="00E2012A">
        <w:rPr>
          <w:rFonts w:ascii="Times New Roman" w:hAnsi="Times New Roman" w:cs="Times New Roman"/>
          <w:bCs/>
          <w:spacing w:val="-3"/>
        </w:rPr>
        <w:t>Administrative Law Judge</w:t>
      </w:r>
    </w:p>
    <w:p w:rsidR="00022E73" w:rsidRPr="00E2012A" w:rsidRDefault="00022E73" w:rsidP="006A5690">
      <w:pPr>
        <w:tabs>
          <w:tab w:val="center" w:pos="4680"/>
        </w:tabs>
        <w:suppressAutoHyphens/>
        <w:jc w:val="center"/>
        <w:rPr>
          <w:rFonts w:ascii="Times New Roman" w:hAnsi="Times New Roman" w:cs="Times New Roman"/>
          <w:bCs/>
          <w:spacing w:val="-3"/>
        </w:rPr>
      </w:pPr>
    </w:p>
    <w:p w:rsidR="00DE7D00" w:rsidRPr="00E2012A" w:rsidRDefault="00DE7D00" w:rsidP="006A5690">
      <w:pPr>
        <w:tabs>
          <w:tab w:val="center" w:pos="4680"/>
        </w:tabs>
        <w:suppressAutoHyphens/>
        <w:jc w:val="center"/>
        <w:rPr>
          <w:rFonts w:ascii="Times New Roman" w:hAnsi="Times New Roman" w:cs="Times New Roman"/>
          <w:bCs/>
          <w:spacing w:val="-3"/>
        </w:rPr>
      </w:pPr>
    </w:p>
    <w:p w:rsidR="00022E73" w:rsidRPr="00E2012A" w:rsidRDefault="00022E73" w:rsidP="00022E73">
      <w:pPr>
        <w:tabs>
          <w:tab w:val="center" w:pos="4680"/>
        </w:tabs>
        <w:suppressAutoHyphens/>
        <w:jc w:val="center"/>
        <w:rPr>
          <w:rFonts w:ascii="Times New Roman" w:hAnsi="Times New Roman" w:cs="Times New Roman"/>
          <w:bCs/>
          <w:spacing w:val="-3"/>
          <w:u w:val="single"/>
        </w:rPr>
      </w:pPr>
      <w:r w:rsidRPr="00E2012A">
        <w:rPr>
          <w:rFonts w:ascii="Times New Roman" w:hAnsi="Times New Roman" w:cs="Times New Roman"/>
          <w:bCs/>
          <w:spacing w:val="-3"/>
          <w:u w:val="single"/>
        </w:rPr>
        <w:t>INTRODUCTION</w:t>
      </w:r>
    </w:p>
    <w:p w:rsidR="00836EB2" w:rsidRPr="00E2012A" w:rsidRDefault="00836EB2" w:rsidP="00022E73">
      <w:pPr>
        <w:tabs>
          <w:tab w:val="center" w:pos="4680"/>
        </w:tabs>
        <w:suppressAutoHyphens/>
        <w:jc w:val="center"/>
        <w:rPr>
          <w:rFonts w:ascii="Times New Roman" w:hAnsi="Times New Roman" w:cs="Times New Roman"/>
          <w:bCs/>
          <w:spacing w:val="-3"/>
          <w:u w:val="single"/>
        </w:rPr>
      </w:pPr>
    </w:p>
    <w:p w:rsidR="003F6218" w:rsidRPr="00E2012A" w:rsidRDefault="003F6218" w:rsidP="00022E73">
      <w:pPr>
        <w:tabs>
          <w:tab w:val="center" w:pos="4680"/>
        </w:tabs>
        <w:suppressAutoHyphens/>
        <w:jc w:val="center"/>
        <w:rPr>
          <w:rFonts w:ascii="Times New Roman" w:hAnsi="Times New Roman" w:cs="Times New Roman"/>
          <w:bCs/>
          <w:spacing w:val="-3"/>
          <w:u w:val="single"/>
        </w:rPr>
      </w:pPr>
    </w:p>
    <w:p w:rsidR="00F75666" w:rsidRPr="00E2012A" w:rsidRDefault="00836EB2" w:rsidP="003E3BEA">
      <w:pPr>
        <w:pStyle w:val="ParaTab1"/>
        <w:tabs>
          <w:tab w:val="left" w:pos="-90"/>
        </w:tabs>
        <w:spacing w:line="360" w:lineRule="auto"/>
        <w:ind w:firstLine="0"/>
        <w:rPr>
          <w:rFonts w:ascii="Times New Roman" w:hAnsi="Times New Roman" w:cs="Times New Roman"/>
          <w:bCs/>
          <w:spacing w:val="-3"/>
        </w:rPr>
      </w:pPr>
      <w:r w:rsidRPr="00E2012A">
        <w:rPr>
          <w:rFonts w:ascii="Times New Roman" w:hAnsi="Times New Roman" w:cs="Times New Roman"/>
        </w:rPr>
        <w:tab/>
      </w:r>
      <w:r w:rsidRPr="00E2012A">
        <w:rPr>
          <w:rFonts w:ascii="Times New Roman" w:hAnsi="Times New Roman" w:cs="Times New Roman"/>
        </w:rPr>
        <w:tab/>
        <w:t xml:space="preserve">A customer filed a complaint </w:t>
      </w:r>
      <w:r w:rsidR="006377E4" w:rsidRPr="00E2012A">
        <w:rPr>
          <w:rFonts w:ascii="Times New Roman" w:hAnsi="Times New Roman"/>
          <w:bCs/>
          <w:spacing w:val="-3"/>
        </w:rPr>
        <w:t xml:space="preserve">against her electric generation supplier (EGS) alleging that the EGS charged excessive rates.  This decision dismisses the complaint against the EGS because the </w:t>
      </w:r>
      <w:r w:rsidR="006377E4" w:rsidRPr="00E2012A">
        <w:rPr>
          <w:rFonts w:ascii="Times New Roman" w:hAnsi="Times New Roman" w:cs="Times New Roman"/>
        </w:rPr>
        <w:t xml:space="preserve">Pennsylvania Public Utility Commission (Commission) lacks jurisdiction to determine the reasonableness of rates charged by an </w:t>
      </w:r>
      <w:r w:rsidR="006377E4" w:rsidRPr="00E2012A">
        <w:rPr>
          <w:rFonts w:ascii="Times New Roman" w:hAnsi="Times New Roman"/>
          <w:bCs/>
          <w:spacing w:val="-3"/>
        </w:rPr>
        <w:t>EGS</w:t>
      </w:r>
      <w:r w:rsidR="00FC0F03" w:rsidRPr="00E2012A">
        <w:rPr>
          <w:rFonts w:ascii="Times New Roman" w:hAnsi="Times New Roman"/>
          <w:bCs/>
          <w:spacing w:val="-3"/>
        </w:rPr>
        <w:t>.</w:t>
      </w:r>
      <w:r w:rsidR="006377E4" w:rsidRPr="00E2012A">
        <w:rPr>
          <w:rFonts w:ascii="Times New Roman" w:hAnsi="Times New Roman" w:cs="Times New Roman"/>
        </w:rPr>
        <w:t xml:space="preserve"> </w:t>
      </w:r>
    </w:p>
    <w:p w:rsidR="001A74B0" w:rsidRPr="00E2012A" w:rsidRDefault="001A74B0" w:rsidP="003E3BEA">
      <w:pPr>
        <w:tabs>
          <w:tab w:val="center" w:pos="4680"/>
        </w:tabs>
        <w:suppressAutoHyphens/>
        <w:spacing w:line="360" w:lineRule="auto"/>
        <w:jc w:val="center"/>
        <w:rPr>
          <w:rFonts w:ascii="Times New Roman" w:hAnsi="Times New Roman" w:cs="Times New Roman"/>
          <w:bCs/>
          <w:spacing w:val="-3"/>
        </w:rPr>
      </w:pPr>
    </w:p>
    <w:p w:rsidR="009109C4" w:rsidRPr="00E2012A" w:rsidRDefault="009109C4" w:rsidP="003E3BEA">
      <w:pPr>
        <w:tabs>
          <w:tab w:val="center" w:pos="4680"/>
        </w:tabs>
        <w:suppressAutoHyphens/>
        <w:spacing w:line="360" w:lineRule="auto"/>
        <w:jc w:val="center"/>
        <w:outlineLvl w:val="0"/>
        <w:rPr>
          <w:rFonts w:ascii="Times New Roman" w:hAnsi="Times New Roman" w:cs="Times New Roman"/>
          <w:bCs/>
          <w:spacing w:val="-3"/>
          <w:u w:val="single"/>
        </w:rPr>
      </w:pPr>
      <w:r w:rsidRPr="00E2012A">
        <w:rPr>
          <w:rFonts w:ascii="Times New Roman" w:hAnsi="Times New Roman" w:cs="Times New Roman"/>
          <w:bCs/>
          <w:spacing w:val="-3"/>
          <w:u w:val="single"/>
        </w:rPr>
        <w:t>HISTORY OF THE PROCEEDING</w:t>
      </w:r>
    </w:p>
    <w:p w:rsidR="00DE7D00" w:rsidRPr="00E2012A" w:rsidRDefault="00DE7D00" w:rsidP="003E3BEA">
      <w:pPr>
        <w:tabs>
          <w:tab w:val="center" w:pos="4680"/>
        </w:tabs>
        <w:suppressAutoHyphens/>
        <w:spacing w:line="360" w:lineRule="auto"/>
        <w:jc w:val="center"/>
        <w:outlineLvl w:val="0"/>
        <w:rPr>
          <w:rFonts w:ascii="Times New Roman" w:hAnsi="Times New Roman" w:cs="Times New Roman"/>
          <w:bCs/>
          <w:spacing w:val="-3"/>
          <w:u w:val="single"/>
        </w:rPr>
      </w:pPr>
    </w:p>
    <w:p w:rsidR="006377E4" w:rsidRPr="00E2012A" w:rsidRDefault="009109C4" w:rsidP="003E3BEA">
      <w:pPr>
        <w:pStyle w:val="ParaTab1"/>
        <w:spacing w:line="360" w:lineRule="auto"/>
        <w:rPr>
          <w:rFonts w:ascii="Times New Roman" w:hAnsi="Times New Roman" w:cs="Times New Roman"/>
        </w:rPr>
      </w:pPr>
      <w:r w:rsidRPr="00E2012A">
        <w:rPr>
          <w:rFonts w:ascii="Times New Roman" w:hAnsi="Times New Roman" w:cs="Times New Roman"/>
        </w:rPr>
        <w:t xml:space="preserve">On </w:t>
      </w:r>
      <w:r w:rsidR="006377E4" w:rsidRPr="00E2012A">
        <w:rPr>
          <w:rFonts w:ascii="Times New Roman" w:hAnsi="Times New Roman" w:cs="Times New Roman"/>
        </w:rPr>
        <w:t>September 30, 2014</w:t>
      </w:r>
      <w:r w:rsidR="00F24ACA" w:rsidRPr="00E2012A">
        <w:rPr>
          <w:rFonts w:ascii="Times New Roman" w:hAnsi="Times New Roman" w:cs="Times New Roman"/>
        </w:rPr>
        <w:t>,</w:t>
      </w:r>
      <w:r w:rsidR="006377E4" w:rsidRPr="00E2012A">
        <w:rPr>
          <w:rFonts w:ascii="Times New Roman" w:hAnsi="Times New Roman" w:cs="Times New Roman"/>
        </w:rPr>
        <w:t xml:space="preserve"> Dinen Sanders</w:t>
      </w:r>
      <w:r w:rsidR="009E2BE4" w:rsidRPr="00E2012A">
        <w:rPr>
          <w:rFonts w:ascii="Times New Roman" w:hAnsi="Times New Roman" w:cs="Times New Roman"/>
        </w:rPr>
        <w:t xml:space="preserve"> </w:t>
      </w:r>
      <w:r w:rsidRPr="00E2012A">
        <w:rPr>
          <w:rFonts w:ascii="Times New Roman" w:hAnsi="Times New Roman" w:cs="Times New Roman"/>
        </w:rPr>
        <w:t>(</w:t>
      </w:r>
      <w:r w:rsidR="00232495" w:rsidRPr="00E2012A">
        <w:rPr>
          <w:rFonts w:ascii="Times New Roman" w:hAnsi="Times New Roman" w:cs="Times New Roman"/>
        </w:rPr>
        <w:t>Complainant</w:t>
      </w:r>
      <w:r w:rsidRPr="00E2012A">
        <w:rPr>
          <w:rFonts w:ascii="Times New Roman" w:hAnsi="Times New Roman" w:cs="Times New Roman"/>
        </w:rPr>
        <w:t xml:space="preserve">) filed a complaint </w:t>
      </w:r>
      <w:r w:rsidR="001C4FE8" w:rsidRPr="00E2012A">
        <w:rPr>
          <w:rFonts w:ascii="Times New Roman" w:hAnsi="Times New Roman" w:cs="Times New Roman"/>
        </w:rPr>
        <w:t xml:space="preserve">with the Commission </w:t>
      </w:r>
      <w:r w:rsidRPr="00E2012A">
        <w:rPr>
          <w:rFonts w:ascii="Times New Roman" w:hAnsi="Times New Roman" w:cs="Times New Roman"/>
        </w:rPr>
        <w:t>against</w:t>
      </w:r>
      <w:r w:rsidR="00545F92" w:rsidRPr="00E2012A">
        <w:rPr>
          <w:rFonts w:ascii="Times New Roman" w:hAnsi="Times New Roman" w:cs="Times New Roman"/>
        </w:rPr>
        <w:t xml:space="preserve"> </w:t>
      </w:r>
      <w:r w:rsidR="006377E4" w:rsidRPr="00E2012A">
        <w:rPr>
          <w:rFonts w:ascii="Times New Roman" w:hAnsi="Times New Roman" w:cs="Times New Roman"/>
        </w:rPr>
        <w:t>Planet Energy (Pennsylvania) Corp.</w:t>
      </w:r>
      <w:r w:rsidR="00294511" w:rsidRPr="00E2012A">
        <w:rPr>
          <w:rFonts w:ascii="Times New Roman" w:hAnsi="Times New Roman" w:cs="Times New Roman"/>
        </w:rPr>
        <w:t xml:space="preserve"> (Respondent).</w:t>
      </w:r>
      <w:r w:rsidR="006377E4" w:rsidRPr="00E2012A">
        <w:rPr>
          <w:rFonts w:ascii="Times New Roman" w:hAnsi="Times New Roman" w:cs="Times New Roman"/>
        </w:rPr>
        <w:t xml:space="preserve">  In the complaint, </w:t>
      </w:r>
      <w:r w:rsidR="00294511" w:rsidRPr="00E2012A">
        <w:rPr>
          <w:rFonts w:ascii="Times New Roman" w:hAnsi="Times New Roman" w:cs="Times New Roman"/>
        </w:rPr>
        <w:t>t</w:t>
      </w:r>
      <w:r w:rsidR="00A642D8" w:rsidRPr="00E2012A">
        <w:rPr>
          <w:rFonts w:ascii="Times New Roman" w:hAnsi="Times New Roman" w:cs="Times New Roman"/>
        </w:rPr>
        <w:t xml:space="preserve">he Complainant </w:t>
      </w:r>
      <w:r w:rsidR="006377E4" w:rsidRPr="00E2012A">
        <w:rPr>
          <w:rFonts w:ascii="Times New Roman" w:hAnsi="Times New Roman" w:cs="Times New Roman"/>
        </w:rPr>
        <w:t>alleges that the Respondent was her EGS from May 11, 2012 to January 15, 2013.  According to the complaint, during this time period the Respondent increased the rate it charged</w:t>
      </w:r>
      <w:r w:rsidR="00294511" w:rsidRPr="00E2012A">
        <w:rPr>
          <w:rFonts w:ascii="Times New Roman" w:hAnsi="Times New Roman" w:cs="Times New Roman"/>
        </w:rPr>
        <w:t xml:space="preserve"> the Complainant</w:t>
      </w:r>
      <w:r w:rsidR="006377E4" w:rsidRPr="00E2012A">
        <w:rPr>
          <w:rFonts w:ascii="Times New Roman" w:hAnsi="Times New Roman" w:cs="Times New Roman"/>
        </w:rPr>
        <w:t xml:space="preserve"> by three times the original rate it charged her.</w:t>
      </w:r>
      <w:r w:rsidR="00EB5A3D" w:rsidRPr="00E2012A">
        <w:rPr>
          <w:rFonts w:ascii="Times New Roman" w:hAnsi="Times New Roman" w:cs="Times New Roman"/>
        </w:rPr>
        <w:t xml:space="preserve">  </w:t>
      </w:r>
      <w:r w:rsidR="006377E4" w:rsidRPr="00E2012A">
        <w:rPr>
          <w:rFonts w:ascii="Times New Roman" w:hAnsi="Times New Roman" w:cs="Times New Roman"/>
        </w:rPr>
        <w:t xml:space="preserve">The complaint requests that the Commission direct the Respondent to refund </w:t>
      </w:r>
      <w:r w:rsidR="00EB5A3D" w:rsidRPr="00E2012A">
        <w:rPr>
          <w:rFonts w:ascii="Times New Roman" w:hAnsi="Times New Roman" w:cs="Times New Roman"/>
        </w:rPr>
        <w:t xml:space="preserve">the Complainant </w:t>
      </w:r>
      <w:r w:rsidR="006377E4" w:rsidRPr="00E2012A">
        <w:rPr>
          <w:rFonts w:ascii="Times New Roman" w:hAnsi="Times New Roman" w:cs="Times New Roman"/>
        </w:rPr>
        <w:t>$1,100.00.</w:t>
      </w:r>
    </w:p>
    <w:p w:rsidR="003E3BEA" w:rsidRDefault="003E3BEA" w:rsidP="00A642D8">
      <w:pPr>
        <w:pStyle w:val="ParaTab1"/>
        <w:spacing w:line="360" w:lineRule="auto"/>
        <w:rPr>
          <w:rFonts w:ascii="Times New Roman" w:hAnsi="Times New Roman" w:cs="Times New Roman"/>
        </w:rPr>
        <w:sectPr w:rsidR="003E3BEA" w:rsidSect="00B934E1">
          <w:footerReference w:type="default" r:id="rId9"/>
          <w:footerReference w:type="first" r:id="rId10"/>
          <w:pgSz w:w="12240" w:h="15840"/>
          <w:pgMar w:top="1440" w:right="1440" w:bottom="1440" w:left="1440" w:header="720" w:footer="720" w:gutter="0"/>
          <w:cols w:space="720"/>
          <w:titlePg/>
          <w:docGrid w:linePitch="360"/>
        </w:sectPr>
      </w:pPr>
    </w:p>
    <w:p w:rsidR="00E2012A" w:rsidRPr="00E2012A" w:rsidRDefault="009109C4" w:rsidP="00435731">
      <w:pPr>
        <w:pStyle w:val="ParaTab1"/>
        <w:spacing w:line="360" w:lineRule="auto"/>
        <w:rPr>
          <w:rFonts w:ascii="Times New Roman" w:hAnsi="Times New Roman" w:cs="Times New Roman"/>
        </w:rPr>
      </w:pPr>
      <w:r w:rsidRPr="00E2012A">
        <w:rPr>
          <w:rFonts w:ascii="Times New Roman" w:hAnsi="Times New Roman" w:cs="Times New Roman"/>
        </w:rPr>
        <w:lastRenderedPageBreak/>
        <w:t>The Respondent filed an answer</w:t>
      </w:r>
      <w:r w:rsidR="00A21789" w:rsidRPr="00E2012A">
        <w:rPr>
          <w:rFonts w:ascii="Times New Roman" w:hAnsi="Times New Roman" w:cs="Times New Roman"/>
        </w:rPr>
        <w:t xml:space="preserve"> combined with a motion for judgment on the pleadings</w:t>
      </w:r>
      <w:r w:rsidR="0057449C" w:rsidRPr="00E2012A">
        <w:rPr>
          <w:rFonts w:ascii="Times New Roman" w:hAnsi="Times New Roman" w:cs="Times New Roman"/>
        </w:rPr>
        <w:t xml:space="preserve"> on </w:t>
      </w:r>
      <w:r w:rsidR="00EB5A3D" w:rsidRPr="00E2012A">
        <w:rPr>
          <w:rFonts w:ascii="Times New Roman" w:hAnsi="Times New Roman" w:cs="Times New Roman"/>
        </w:rPr>
        <w:t>October 17, 2014</w:t>
      </w:r>
      <w:r w:rsidR="00521036" w:rsidRPr="00E2012A">
        <w:rPr>
          <w:rFonts w:ascii="Times New Roman" w:hAnsi="Times New Roman" w:cs="Times New Roman"/>
        </w:rPr>
        <w:t>.</w:t>
      </w:r>
      <w:r w:rsidR="0057449C" w:rsidRPr="00E2012A">
        <w:rPr>
          <w:rFonts w:ascii="Times New Roman" w:hAnsi="Times New Roman" w:cs="Times New Roman"/>
        </w:rPr>
        <w:t xml:space="preserve">  </w:t>
      </w:r>
      <w:r w:rsidR="009C702F" w:rsidRPr="00E2012A">
        <w:rPr>
          <w:rFonts w:ascii="Times New Roman" w:hAnsi="Times New Roman" w:cs="Times New Roman"/>
        </w:rPr>
        <w:t xml:space="preserve">The answer </w:t>
      </w:r>
      <w:r w:rsidR="00E2012A" w:rsidRPr="00E2012A">
        <w:rPr>
          <w:rFonts w:ascii="Times New Roman" w:hAnsi="Times New Roman" w:cs="Times New Roman"/>
        </w:rPr>
        <w:t xml:space="preserve">and motion </w:t>
      </w:r>
      <w:r w:rsidR="00EB5A3D" w:rsidRPr="00E2012A">
        <w:rPr>
          <w:rFonts w:ascii="Times New Roman" w:hAnsi="Times New Roman" w:cs="Times New Roman"/>
        </w:rPr>
        <w:t>states that the Respondent sold its Pennsylvania book of customers to Xoom Energy, LLC (Xoom) effective November 9, 2012.</w:t>
      </w:r>
      <w:r w:rsidR="00E2012A" w:rsidRPr="00E2012A">
        <w:rPr>
          <w:rFonts w:ascii="Times New Roman" w:hAnsi="Times New Roman" w:cs="Times New Roman"/>
        </w:rPr>
        <w:t xml:space="preserve">  The answer and motion asserts that the Respondent provided notice of the sale </w:t>
      </w:r>
      <w:r w:rsidR="003E3BEA">
        <w:rPr>
          <w:rFonts w:ascii="Times New Roman" w:hAnsi="Times New Roman" w:cs="Times New Roman"/>
        </w:rPr>
        <w:t xml:space="preserve">to </w:t>
      </w:r>
      <w:r w:rsidR="00E2012A" w:rsidRPr="00E2012A">
        <w:rPr>
          <w:rFonts w:ascii="Times New Roman" w:hAnsi="Times New Roman" w:cs="Times New Roman"/>
        </w:rPr>
        <w:t>all of its Pennsylvania customers, including the Complainant.</w:t>
      </w:r>
      <w:r w:rsidR="00EB5A3D" w:rsidRPr="00E2012A">
        <w:rPr>
          <w:rFonts w:ascii="Times New Roman" w:hAnsi="Times New Roman" w:cs="Times New Roman"/>
        </w:rPr>
        <w:t xml:space="preserve">  </w:t>
      </w:r>
    </w:p>
    <w:p w:rsidR="00E2012A" w:rsidRPr="00E2012A" w:rsidRDefault="00E2012A" w:rsidP="00435731">
      <w:pPr>
        <w:pStyle w:val="ParaTab1"/>
        <w:spacing w:line="360" w:lineRule="auto"/>
        <w:rPr>
          <w:rFonts w:ascii="Times New Roman" w:hAnsi="Times New Roman" w:cs="Times New Roman"/>
        </w:rPr>
      </w:pPr>
    </w:p>
    <w:p w:rsidR="00A21789" w:rsidRPr="00E2012A" w:rsidRDefault="00EB5A3D" w:rsidP="00435731">
      <w:pPr>
        <w:pStyle w:val="ParaTab1"/>
        <w:spacing w:line="360" w:lineRule="auto"/>
        <w:rPr>
          <w:rFonts w:ascii="Times New Roman" w:hAnsi="Times New Roman" w:cs="Times New Roman"/>
        </w:rPr>
      </w:pPr>
      <w:r w:rsidRPr="00E2012A">
        <w:rPr>
          <w:rFonts w:ascii="Times New Roman" w:hAnsi="Times New Roman" w:cs="Times New Roman"/>
        </w:rPr>
        <w:t>According to the answer</w:t>
      </w:r>
      <w:r w:rsidR="00E2012A" w:rsidRPr="00E2012A">
        <w:rPr>
          <w:rFonts w:ascii="Times New Roman" w:hAnsi="Times New Roman" w:cs="Times New Roman"/>
        </w:rPr>
        <w:t xml:space="preserve"> and motion</w:t>
      </w:r>
      <w:r w:rsidRPr="00E2012A">
        <w:rPr>
          <w:rFonts w:ascii="Times New Roman" w:hAnsi="Times New Roman" w:cs="Times New Roman"/>
        </w:rPr>
        <w:t xml:space="preserve">, Xoom assumed responsibility for the Complainant’s account on November 9, 2012.  However, the Respondent provided billing and collection services for the Complainant’s account through the January 15, 2013 bill under a transition services agreement with Xoom.  </w:t>
      </w:r>
    </w:p>
    <w:p w:rsidR="00A21789" w:rsidRPr="00E2012A" w:rsidRDefault="00A21789" w:rsidP="00435731">
      <w:pPr>
        <w:pStyle w:val="ParaTab1"/>
        <w:spacing w:line="360" w:lineRule="auto"/>
        <w:rPr>
          <w:rFonts w:ascii="Times New Roman" w:hAnsi="Times New Roman" w:cs="Times New Roman"/>
        </w:rPr>
      </w:pPr>
    </w:p>
    <w:p w:rsidR="00965BAD" w:rsidRPr="00E2012A" w:rsidRDefault="00A21789" w:rsidP="00AD2038">
      <w:pPr>
        <w:pStyle w:val="ParaTab1"/>
        <w:spacing w:line="360" w:lineRule="auto"/>
        <w:rPr>
          <w:rFonts w:ascii="Times New Roman" w:hAnsi="Times New Roman" w:cs="Times New Roman"/>
        </w:rPr>
      </w:pPr>
      <w:r w:rsidRPr="00E2012A">
        <w:rPr>
          <w:rFonts w:ascii="Times New Roman" w:hAnsi="Times New Roman" w:cs="Times New Roman"/>
        </w:rPr>
        <w:t xml:space="preserve">The answer </w:t>
      </w:r>
      <w:r w:rsidR="00E2012A" w:rsidRPr="00E2012A">
        <w:rPr>
          <w:rFonts w:ascii="Times New Roman" w:hAnsi="Times New Roman" w:cs="Times New Roman"/>
        </w:rPr>
        <w:t xml:space="preserve">and motion </w:t>
      </w:r>
      <w:r w:rsidRPr="00E2012A">
        <w:rPr>
          <w:rFonts w:ascii="Times New Roman" w:hAnsi="Times New Roman" w:cs="Times New Roman"/>
        </w:rPr>
        <w:t>denies that the Complainant’s rate tripled.  According to the answer</w:t>
      </w:r>
      <w:r w:rsidR="00E2012A" w:rsidRPr="00E2012A">
        <w:rPr>
          <w:rFonts w:ascii="Times New Roman" w:hAnsi="Times New Roman" w:cs="Times New Roman"/>
        </w:rPr>
        <w:t xml:space="preserve"> and motion</w:t>
      </w:r>
      <w:r w:rsidRPr="00E2012A">
        <w:rPr>
          <w:rFonts w:ascii="Times New Roman" w:hAnsi="Times New Roman" w:cs="Times New Roman"/>
        </w:rPr>
        <w:t xml:space="preserve">, the Complainant’s rate fluctuated pursuant to the terms of her variable rate plan, increasing in some months and decreasing in others. </w:t>
      </w:r>
      <w:r w:rsidR="003E3BEA">
        <w:rPr>
          <w:rFonts w:ascii="Times New Roman" w:hAnsi="Times New Roman" w:cs="Times New Roman"/>
        </w:rPr>
        <w:t xml:space="preserve"> </w:t>
      </w:r>
      <w:r w:rsidRPr="00E2012A">
        <w:rPr>
          <w:rFonts w:ascii="Times New Roman" w:hAnsi="Times New Roman" w:cs="Times New Roman"/>
        </w:rPr>
        <w:t xml:space="preserve">The answer </w:t>
      </w:r>
      <w:r w:rsidR="00E2012A" w:rsidRPr="00E2012A">
        <w:rPr>
          <w:rFonts w:ascii="Times New Roman" w:hAnsi="Times New Roman" w:cs="Times New Roman"/>
        </w:rPr>
        <w:t xml:space="preserve">and motion </w:t>
      </w:r>
      <w:r w:rsidRPr="00E2012A">
        <w:rPr>
          <w:rFonts w:ascii="Times New Roman" w:hAnsi="Times New Roman" w:cs="Times New Roman"/>
        </w:rPr>
        <w:t xml:space="preserve">contends that the Complainant’s bills increased and decreased primarily based on her electricity usage, not her rate.  Included in the answer </w:t>
      </w:r>
      <w:r w:rsidR="00E2012A" w:rsidRPr="00E2012A">
        <w:rPr>
          <w:rFonts w:ascii="Times New Roman" w:hAnsi="Times New Roman" w:cs="Times New Roman"/>
        </w:rPr>
        <w:t xml:space="preserve">and motion </w:t>
      </w:r>
      <w:r w:rsidRPr="00E2012A">
        <w:rPr>
          <w:rFonts w:ascii="Times New Roman" w:hAnsi="Times New Roman" w:cs="Times New Roman"/>
        </w:rPr>
        <w:t xml:space="preserve">is a chart showing the billing period, amount billed, usage and rate for the Complainant.  The answer </w:t>
      </w:r>
      <w:r w:rsidR="00E2012A" w:rsidRPr="00E2012A">
        <w:rPr>
          <w:rFonts w:ascii="Times New Roman" w:hAnsi="Times New Roman" w:cs="Times New Roman"/>
        </w:rPr>
        <w:t>and motion</w:t>
      </w:r>
      <w:r w:rsidRPr="00E2012A">
        <w:rPr>
          <w:rFonts w:ascii="Times New Roman" w:hAnsi="Times New Roman" w:cs="Times New Roman"/>
        </w:rPr>
        <w:t xml:space="preserve"> requests that the Commission dismiss the Complainant’s complaint.</w:t>
      </w:r>
    </w:p>
    <w:p w:rsidR="00673C0E" w:rsidRPr="00E2012A" w:rsidRDefault="00673C0E" w:rsidP="006A5690">
      <w:pPr>
        <w:pStyle w:val="ParaTab1"/>
        <w:spacing w:line="360" w:lineRule="auto"/>
        <w:ind w:firstLine="0"/>
        <w:rPr>
          <w:rFonts w:ascii="Times New Roman" w:hAnsi="Times New Roman" w:cs="Times New Roman"/>
        </w:rPr>
      </w:pPr>
    </w:p>
    <w:p w:rsidR="00217BEA" w:rsidRPr="00E2012A" w:rsidRDefault="00A21789" w:rsidP="00E565F1">
      <w:pPr>
        <w:pStyle w:val="ParaTab1"/>
        <w:spacing w:line="360" w:lineRule="auto"/>
        <w:rPr>
          <w:rFonts w:ascii="Times New Roman" w:hAnsi="Times New Roman" w:cs="Times New Roman"/>
        </w:rPr>
      </w:pPr>
      <w:r w:rsidRPr="00E2012A">
        <w:rPr>
          <w:rFonts w:ascii="Times New Roman" w:hAnsi="Times New Roman" w:cs="Times New Roman"/>
        </w:rPr>
        <w:t xml:space="preserve">By notice dated February 26, 2015, the Commission notified the parties that it had assigned the case to me as motion judge.  As of the date of this decision, the Complainant has not filed an answer to </w:t>
      </w:r>
      <w:r w:rsidR="00294511" w:rsidRPr="00E2012A">
        <w:rPr>
          <w:rFonts w:ascii="Times New Roman" w:hAnsi="Times New Roman" w:cs="Times New Roman"/>
        </w:rPr>
        <w:t xml:space="preserve">the </w:t>
      </w:r>
      <w:r w:rsidR="00E2012A" w:rsidRPr="00E2012A">
        <w:rPr>
          <w:rFonts w:ascii="Times New Roman" w:hAnsi="Times New Roman" w:cs="Times New Roman"/>
        </w:rPr>
        <w:t>Respondent’s pleading</w:t>
      </w:r>
      <w:r w:rsidRPr="00E2012A">
        <w:rPr>
          <w:rFonts w:ascii="Times New Roman" w:hAnsi="Times New Roman" w:cs="Times New Roman"/>
        </w:rPr>
        <w:t xml:space="preserve">.  </w:t>
      </w:r>
      <w:r w:rsidR="00C23D5A" w:rsidRPr="00E2012A">
        <w:rPr>
          <w:rFonts w:ascii="Times New Roman" w:hAnsi="Times New Roman" w:cs="Times New Roman"/>
        </w:rPr>
        <w:t xml:space="preserve">The </w:t>
      </w:r>
      <w:r w:rsidR="005C78F8" w:rsidRPr="00E2012A">
        <w:rPr>
          <w:rFonts w:ascii="Times New Roman" w:hAnsi="Times New Roman" w:cs="Times New Roman"/>
        </w:rPr>
        <w:t xml:space="preserve">motion for judgment on the pleadings is </w:t>
      </w:r>
      <w:r w:rsidR="00C23D5A" w:rsidRPr="00E2012A">
        <w:rPr>
          <w:rFonts w:ascii="Times New Roman" w:hAnsi="Times New Roman" w:cs="Times New Roman"/>
        </w:rPr>
        <w:t xml:space="preserve">ready for decision.  For the reasons set forth below, I will </w:t>
      </w:r>
      <w:r w:rsidR="005C78F8" w:rsidRPr="00E2012A">
        <w:rPr>
          <w:rFonts w:ascii="Times New Roman" w:hAnsi="Times New Roman" w:cs="Times New Roman"/>
        </w:rPr>
        <w:t xml:space="preserve">grant the motion for judgment on the pleadings </w:t>
      </w:r>
      <w:r w:rsidR="00C23D5A" w:rsidRPr="00E2012A">
        <w:rPr>
          <w:rFonts w:ascii="Times New Roman" w:hAnsi="Times New Roman" w:cs="Times New Roman"/>
        </w:rPr>
        <w:t>and dismiss the complaint</w:t>
      </w:r>
      <w:r w:rsidR="00217BEA" w:rsidRPr="00E2012A">
        <w:rPr>
          <w:rFonts w:ascii="Times New Roman" w:hAnsi="Times New Roman" w:cs="Times New Roman"/>
        </w:rPr>
        <w:t>.</w:t>
      </w:r>
    </w:p>
    <w:p w:rsidR="00217BEA" w:rsidRPr="00E2012A" w:rsidRDefault="00217BEA" w:rsidP="00E565F1">
      <w:pPr>
        <w:autoSpaceDE/>
        <w:autoSpaceDN/>
        <w:spacing w:line="360" w:lineRule="auto"/>
        <w:rPr>
          <w:rFonts w:ascii="Times New Roman" w:hAnsi="Times New Roman" w:cs="Times New Roman"/>
          <w:u w:val="single"/>
        </w:rPr>
      </w:pPr>
    </w:p>
    <w:p w:rsidR="00D84D3F" w:rsidRPr="00E2012A" w:rsidRDefault="00D84D3F" w:rsidP="00E565F1">
      <w:pPr>
        <w:pStyle w:val="ParaTab1"/>
        <w:spacing w:line="360" w:lineRule="auto"/>
        <w:ind w:firstLine="0"/>
        <w:jc w:val="center"/>
        <w:rPr>
          <w:rFonts w:ascii="Times New Roman" w:hAnsi="Times New Roman" w:cs="Times New Roman"/>
          <w:u w:val="single"/>
        </w:rPr>
      </w:pPr>
      <w:r w:rsidRPr="00E2012A">
        <w:rPr>
          <w:rFonts w:ascii="Times New Roman" w:hAnsi="Times New Roman" w:cs="Times New Roman"/>
          <w:u w:val="single"/>
        </w:rPr>
        <w:t>FINDINGS OF FACT</w:t>
      </w:r>
    </w:p>
    <w:p w:rsidR="00D84D3F" w:rsidRPr="00E2012A" w:rsidRDefault="00D84D3F" w:rsidP="00E565F1">
      <w:pPr>
        <w:spacing w:line="360" w:lineRule="auto"/>
        <w:jc w:val="center"/>
        <w:rPr>
          <w:rFonts w:ascii="Times New Roman" w:hAnsi="Times New Roman" w:cs="Times New Roman"/>
          <w:u w:val="single"/>
        </w:rPr>
      </w:pPr>
    </w:p>
    <w:p w:rsidR="00D84D3F" w:rsidRPr="00E2012A" w:rsidRDefault="00D84D3F" w:rsidP="00E565F1">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1.</w:t>
      </w:r>
      <w:r w:rsidRPr="00E2012A">
        <w:rPr>
          <w:rFonts w:ascii="Times New Roman" w:hAnsi="Times New Roman" w:cs="Times New Roman"/>
        </w:rPr>
        <w:tab/>
        <w:t xml:space="preserve">The </w:t>
      </w:r>
      <w:r w:rsidR="00232495" w:rsidRPr="00E2012A">
        <w:rPr>
          <w:rFonts w:ascii="Times New Roman" w:hAnsi="Times New Roman" w:cs="Times New Roman"/>
        </w:rPr>
        <w:t>Complainant</w:t>
      </w:r>
      <w:r w:rsidRPr="00E2012A">
        <w:rPr>
          <w:rFonts w:ascii="Times New Roman" w:hAnsi="Times New Roman" w:cs="Times New Roman"/>
        </w:rPr>
        <w:t xml:space="preserve"> in this case </w:t>
      </w:r>
      <w:r w:rsidR="0075678C" w:rsidRPr="00E2012A">
        <w:rPr>
          <w:rFonts w:ascii="Times New Roman" w:hAnsi="Times New Roman" w:cs="Times New Roman"/>
        </w:rPr>
        <w:t xml:space="preserve">is </w:t>
      </w:r>
      <w:r w:rsidR="00A21789" w:rsidRPr="00E2012A">
        <w:rPr>
          <w:rFonts w:ascii="Times New Roman" w:hAnsi="Times New Roman" w:cs="Times New Roman"/>
        </w:rPr>
        <w:t>Dinen Sanders</w:t>
      </w:r>
      <w:r w:rsidR="00CE65B0" w:rsidRPr="00E2012A">
        <w:rPr>
          <w:rFonts w:ascii="Times New Roman" w:hAnsi="Times New Roman" w:cs="Times New Roman"/>
        </w:rPr>
        <w:t>.</w:t>
      </w:r>
    </w:p>
    <w:p w:rsidR="00217BEA" w:rsidRPr="00E2012A" w:rsidRDefault="00217BEA" w:rsidP="00E565F1">
      <w:pPr>
        <w:spacing w:line="360" w:lineRule="auto"/>
        <w:rPr>
          <w:rFonts w:ascii="Times New Roman" w:hAnsi="Times New Roman" w:cs="Times New Roman"/>
        </w:rPr>
      </w:pPr>
    </w:p>
    <w:p w:rsidR="00D84D3F" w:rsidRPr="00E2012A" w:rsidRDefault="00D84D3F" w:rsidP="00E565F1">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2.</w:t>
      </w:r>
      <w:r w:rsidRPr="00E2012A">
        <w:rPr>
          <w:rFonts w:ascii="Times New Roman" w:hAnsi="Times New Roman" w:cs="Times New Roman"/>
        </w:rPr>
        <w:tab/>
        <w:t xml:space="preserve">The Respondent in this case is </w:t>
      </w:r>
      <w:r w:rsidR="00A21789" w:rsidRPr="00E2012A">
        <w:rPr>
          <w:rFonts w:ascii="Times New Roman" w:hAnsi="Times New Roman" w:cs="Times New Roman"/>
        </w:rPr>
        <w:t>Planet Energy (Pennsylvania) Corp.</w:t>
      </w:r>
    </w:p>
    <w:p w:rsidR="00974E8C" w:rsidRPr="00E2012A" w:rsidRDefault="00974E8C" w:rsidP="00E565F1">
      <w:pPr>
        <w:spacing w:line="360" w:lineRule="auto"/>
        <w:rPr>
          <w:rFonts w:ascii="Times New Roman" w:hAnsi="Times New Roman" w:cs="Times New Roman"/>
        </w:rPr>
      </w:pPr>
    </w:p>
    <w:p w:rsidR="00D84D3F" w:rsidRPr="00E2012A" w:rsidRDefault="00974E8C" w:rsidP="00217BEA">
      <w:pPr>
        <w:spacing w:line="360" w:lineRule="auto"/>
        <w:rPr>
          <w:rFonts w:ascii="Times New Roman" w:hAnsi="Times New Roman" w:cs="Times New Roman"/>
        </w:rPr>
      </w:pPr>
      <w:r w:rsidRPr="00E2012A">
        <w:rPr>
          <w:rFonts w:ascii="Times New Roman" w:hAnsi="Times New Roman" w:cs="Times New Roman"/>
        </w:rPr>
        <w:lastRenderedPageBreak/>
        <w:tab/>
      </w:r>
      <w:r w:rsidRPr="00E2012A">
        <w:rPr>
          <w:rFonts w:ascii="Times New Roman" w:hAnsi="Times New Roman" w:cs="Times New Roman"/>
        </w:rPr>
        <w:tab/>
      </w:r>
      <w:r w:rsidR="005C78F8" w:rsidRPr="00E2012A">
        <w:rPr>
          <w:rFonts w:ascii="Times New Roman" w:hAnsi="Times New Roman" w:cs="Times New Roman"/>
        </w:rPr>
        <w:t>3</w:t>
      </w:r>
      <w:r w:rsidR="00D84D3F" w:rsidRPr="00E2012A">
        <w:rPr>
          <w:rFonts w:ascii="Times New Roman" w:hAnsi="Times New Roman" w:cs="Times New Roman"/>
        </w:rPr>
        <w:t>.</w:t>
      </w:r>
      <w:r w:rsidR="00D84D3F" w:rsidRPr="00E2012A">
        <w:rPr>
          <w:rFonts w:ascii="Times New Roman" w:hAnsi="Times New Roman" w:cs="Times New Roman"/>
        </w:rPr>
        <w:tab/>
        <w:t xml:space="preserve">On </w:t>
      </w:r>
      <w:r w:rsidR="00945E73" w:rsidRPr="00E2012A">
        <w:rPr>
          <w:rFonts w:ascii="Times New Roman" w:hAnsi="Times New Roman" w:cs="Times New Roman"/>
        </w:rPr>
        <w:t>September 30, 20</w:t>
      </w:r>
      <w:r w:rsidR="00294511" w:rsidRPr="00E2012A">
        <w:rPr>
          <w:rFonts w:ascii="Times New Roman" w:hAnsi="Times New Roman" w:cs="Times New Roman"/>
        </w:rPr>
        <w:t>14</w:t>
      </w:r>
      <w:r w:rsidR="0034233B" w:rsidRPr="00E2012A">
        <w:rPr>
          <w:rFonts w:ascii="Times New Roman" w:hAnsi="Times New Roman" w:cs="Times New Roman"/>
        </w:rPr>
        <w:t xml:space="preserve">, </w:t>
      </w:r>
      <w:r w:rsidR="00D84D3F" w:rsidRPr="00E2012A">
        <w:rPr>
          <w:rFonts w:ascii="Times New Roman" w:hAnsi="Times New Roman" w:cs="Times New Roman"/>
        </w:rPr>
        <w:t xml:space="preserve">the </w:t>
      </w:r>
      <w:r w:rsidR="00232495" w:rsidRPr="00E2012A">
        <w:rPr>
          <w:rFonts w:ascii="Times New Roman" w:hAnsi="Times New Roman" w:cs="Times New Roman"/>
        </w:rPr>
        <w:t>Complainant</w:t>
      </w:r>
      <w:r w:rsidR="00D84D3F" w:rsidRPr="00E2012A">
        <w:rPr>
          <w:rFonts w:ascii="Times New Roman" w:hAnsi="Times New Roman" w:cs="Times New Roman"/>
        </w:rPr>
        <w:t xml:space="preserve"> filed a complaint with the Commission</w:t>
      </w:r>
      <w:r w:rsidR="00C80A67" w:rsidRPr="00E2012A">
        <w:rPr>
          <w:rFonts w:ascii="Times New Roman" w:hAnsi="Times New Roman" w:cs="Times New Roman"/>
        </w:rPr>
        <w:t xml:space="preserve"> against </w:t>
      </w:r>
      <w:r w:rsidR="00673C0E" w:rsidRPr="00E2012A">
        <w:rPr>
          <w:rFonts w:ascii="Times New Roman" w:hAnsi="Times New Roman" w:cs="Times New Roman"/>
        </w:rPr>
        <w:t>the Respondent</w:t>
      </w:r>
      <w:r w:rsidR="00C80A67" w:rsidRPr="00E2012A">
        <w:rPr>
          <w:rFonts w:ascii="Times New Roman" w:hAnsi="Times New Roman" w:cs="Times New Roman"/>
        </w:rPr>
        <w:t>.</w:t>
      </w:r>
    </w:p>
    <w:p w:rsidR="00D84D3F" w:rsidRPr="00E2012A" w:rsidRDefault="00D84D3F" w:rsidP="00217BEA">
      <w:pPr>
        <w:spacing w:line="360" w:lineRule="auto"/>
        <w:rPr>
          <w:rFonts w:ascii="Times New Roman" w:hAnsi="Times New Roman" w:cs="Times New Roman"/>
        </w:rPr>
      </w:pPr>
    </w:p>
    <w:p w:rsidR="003C5393" w:rsidRPr="00E2012A" w:rsidRDefault="00D84D3F" w:rsidP="00217BEA">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r>
      <w:r w:rsidR="001A31A4" w:rsidRPr="00E2012A">
        <w:rPr>
          <w:rFonts w:ascii="Times New Roman" w:hAnsi="Times New Roman" w:cs="Times New Roman"/>
        </w:rPr>
        <w:t>4</w:t>
      </w:r>
      <w:r w:rsidRPr="00E2012A">
        <w:rPr>
          <w:rFonts w:ascii="Times New Roman" w:hAnsi="Times New Roman" w:cs="Times New Roman"/>
        </w:rPr>
        <w:t>.</w:t>
      </w:r>
      <w:r w:rsidRPr="00E2012A">
        <w:rPr>
          <w:rFonts w:ascii="Times New Roman" w:hAnsi="Times New Roman" w:cs="Times New Roman"/>
        </w:rPr>
        <w:tab/>
      </w:r>
      <w:r w:rsidR="00684537" w:rsidRPr="00E2012A">
        <w:rPr>
          <w:rFonts w:ascii="Times New Roman" w:hAnsi="Times New Roman" w:cs="Times New Roman"/>
        </w:rPr>
        <w:t>The Respondent</w:t>
      </w:r>
      <w:r w:rsidR="00945E73" w:rsidRPr="00E2012A">
        <w:rPr>
          <w:rFonts w:ascii="Times New Roman" w:hAnsi="Times New Roman" w:cs="Times New Roman"/>
        </w:rPr>
        <w:t xml:space="preserve"> </w:t>
      </w:r>
      <w:r w:rsidR="00E2012A" w:rsidRPr="00E2012A">
        <w:rPr>
          <w:rFonts w:ascii="Times New Roman" w:hAnsi="Times New Roman" w:cs="Times New Roman"/>
        </w:rPr>
        <w:t xml:space="preserve">filed </w:t>
      </w:r>
      <w:r w:rsidR="00684537" w:rsidRPr="00E2012A">
        <w:rPr>
          <w:rFonts w:ascii="Times New Roman" w:hAnsi="Times New Roman" w:cs="Times New Roman"/>
        </w:rPr>
        <w:t xml:space="preserve">an answer </w:t>
      </w:r>
      <w:r w:rsidR="00945E73" w:rsidRPr="00E2012A">
        <w:rPr>
          <w:rFonts w:ascii="Times New Roman" w:hAnsi="Times New Roman" w:cs="Times New Roman"/>
        </w:rPr>
        <w:t>combined with a motion for judgment on the pleadings</w:t>
      </w:r>
      <w:r w:rsidR="005C78F8" w:rsidRPr="00E2012A">
        <w:rPr>
          <w:rFonts w:ascii="Times New Roman" w:hAnsi="Times New Roman" w:cs="Times New Roman"/>
        </w:rPr>
        <w:t xml:space="preserve"> </w:t>
      </w:r>
      <w:r w:rsidR="004670EC" w:rsidRPr="00E2012A">
        <w:rPr>
          <w:rFonts w:ascii="Times New Roman" w:hAnsi="Times New Roman" w:cs="Times New Roman"/>
        </w:rPr>
        <w:t xml:space="preserve">on </w:t>
      </w:r>
      <w:r w:rsidR="00945E73" w:rsidRPr="00E2012A">
        <w:rPr>
          <w:rFonts w:ascii="Times New Roman" w:hAnsi="Times New Roman" w:cs="Times New Roman"/>
        </w:rPr>
        <w:t>October 17, 2014</w:t>
      </w:r>
      <w:r w:rsidR="00684537" w:rsidRPr="00E2012A">
        <w:rPr>
          <w:rFonts w:ascii="Times New Roman" w:hAnsi="Times New Roman" w:cs="Times New Roman"/>
        </w:rPr>
        <w:t>.</w:t>
      </w:r>
    </w:p>
    <w:p w:rsidR="00047D1A" w:rsidRPr="00E2012A" w:rsidRDefault="00047D1A" w:rsidP="00945E73">
      <w:pPr>
        <w:spacing w:line="360" w:lineRule="auto"/>
        <w:rPr>
          <w:rFonts w:ascii="Times New Roman" w:hAnsi="Times New Roman" w:cs="Times New Roman"/>
        </w:rPr>
      </w:pPr>
    </w:p>
    <w:p w:rsidR="00945E73" w:rsidRPr="00E2012A" w:rsidRDefault="00684537" w:rsidP="003E3BEA">
      <w:pPr>
        <w:spacing w:line="360" w:lineRule="auto"/>
        <w:rPr>
          <w:rFonts w:ascii="Times New Roman" w:hAnsi="Times New Roman" w:cs="Times New Roman"/>
        </w:rPr>
      </w:pPr>
      <w:r w:rsidRPr="00E2012A">
        <w:rPr>
          <w:rFonts w:ascii="Times New Roman" w:hAnsi="Times New Roman" w:cs="Times New Roman"/>
        </w:rPr>
        <w:tab/>
      </w:r>
      <w:r w:rsidR="004670EC" w:rsidRPr="00E2012A">
        <w:rPr>
          <w:rFonts w:ascii="Times New Roman" w:hAnsi="Times New Roman" w:cs="Times New Roman"/>
        </w:rPr>
        <w:tab/>
      </w:r>
      <w:r w:rsidR="00945E73" w:rsidRPr="00E2012A">
        <w:rPr>
          <w:rFonts w:ascii="Times New Roman" w:hAnsi="Times New Roman" w:cs="Times New Roman"/>
        </w:rPr>
        <w:t>5</w:t>
      </w:r>
      <w:r w:rsidR="00D84D3F" w:rsidRPr="00E2012A">
        <w:rPr>
          <w:rFonts w:ascii="Times New Roman" w:hAnsi="Times New Roman" w:cs="Times New Roman"/>
        </w:rPr>
        <w:t>.</w:t>
      </w:r>
      <w:r w:rsidR="00D84D3F" w:rsidRPr="00E2012A">
        <w:rPr>
          <w:rFonts w:ascii="Times New Roman" w:hAnsi="Times New Roman" w:cs="Times New Roman"/>
        </w:rPr>
        <w:tab/>
      </w:r>
      <w:r w:rsidR="005408EE" w:rsidRPr="00E2012A">
        <w:rPr>
          <w:rFonts w:ascii="Times New Roman" w:hAnsi="Times New Roman" w:cs="Times New Roman"/>
        </w:rPr>
        <w:t>T</w:t>
      </w:r>
      <w:r w:rsidR="004670EC" w:rsidRPr="00E2012A">
        <w:rPr>
          <w:rFonts w:ascii="Times New Roman" w:hAnsi="Times New Roman" w:cs="Times New Roman"/>
        </w:rPr>
        <w:t xml:space="preserve">he </w:t>
      </w:r>
      <w:r w:rsidR="00232495" w:rsidRPr="00E2012A">
        <w:rPr>
          <w:rFonts w:ascii="Times New Roman" w:hAnsi="Times New Roman" w:cs="Times New Roman"/>
        </w:rPr>
        <w:t>Complainant</w:t>
      </w:r>
      <w:r w:rsidR="004670EC" w:rsidRPr="00E2012A">
        <w:rPr>
          <w:rFonts w:ascii="Times New Roman" w:hAnsi="Times New Roman" w:cs="Times New Roman"/>
        </w:rPr>
        <w:t xml:space="preserve"> </w:t>
      </w:r>
      <w:r w:rsidR="005408EE" w:rsidRPr="00E2012A">
        <w:rPr>
          <w:rFonts w:ascii="Times New Roman" w:hAnsi="Times New Roman" w:cs="Times New Roman"/>
        </w:rPr>
        <w:t xml:space="preserve">did not </w:t>
      </w:r>
      <w:r w:rsidR="002D0371" w:rsidRPr="00E2012A">
        <w:rPr>
          <w:rFonts w:ascii="Times New Roman" w:hAnsi="Times New Roman" w:cs="Times New Roman"/>
        </w:rPr>
        <w:t xml:space="preserve">file an answer to the </w:t>
      </w:r>
      <w:r w:rsidR="00E2012A" w:rsidRPr="00E2012A">
        <w:rPr>
          <w:rFonts w:ascii="Times New Roman" w:hAnsi="Times New Roman" w:cs="Times New Roman"/>
        </w:rPr>
        <w:t>Respondent’s pleading</w:t>
      </w:r>
      <w:r w:rsidR="002D0371" w:rsidRPr="00E2012A">
        <w:rPr>
          <w:rFonts w:ascii="Times New Roman" w:hAnsi="Times New Roman" w:cs="Times New Roman"/>
        </w:rPr>
        <w:t>.</w:t>
      </w:r>
    </w:p>
    <w:p w:rsidR="00FC0F03" w:rsidRPr="00E2012A" w:rsidRDefault="00FC0F03" w:rsidP="003E3BEA">
      <w:pPr>
        <w:spacing w:line="360" w:lineRule="auto"/>
        <w:rPr>
          <w:rFonts w:ascii="Times New Roman" w:hAnsi="Times New Roman" w:cs="Times New Roman"/>
          <w:u w:val="single"/>
        </w:rPr>
      </w:pPr>
    </w:p>
    <w:p w:rsidR="009109C4" w:rsidRPr="00E2012A" w:rsidRDefault="009109C4" w:rsidP="003E3BEA">
      <w:pPr>
        <w:pStyle w:val="ParaTab1"/>
        <w:tabs>
          <w:tab w:val="left" w:pos="2070"/>
        </w:tabs>
        <w:spacing w:line="360" w:lineRule="auto"/>
        <w:ind w:firstLine="0"/>
        <w:jc w:val="center"/>
        <w:outlineLvl w:val="0"/>
        <w:rPr>
          <w:rFonts w:ascii="Times New Roman" w:hAnsi="Times New Roman" w:cs="Times New Roman"/>
          <w:u w:val="single"/>
        </w:rPr>
      </w:pPr>
      <w:r w:rsidRPr="00E2012A">
        <w:rPr>
          <w:rFonts w:ascii="Times New Roman" w:hAnsi="Times New Roman" w:cs="Times New Roman"/>
          <w:u w:val="single"/>
        </w:rPr>
        <w:t>DISCUSSION</w:t>
      </w:r>
    </w:p>
    <w:p w:rsidR="00945E73" w:rsidRPr="00E2012A" w:rsidRDefault="00945E73" w:rsidP="003E3BEA">
      <w:pPr>
        <w:pStyle w:val="ParaTab1"/>
        <w:spacing w:line="360" w:lineRule="auto"/>
        <w:rPr>
          <w:rFonts w:ascii="Times New Roman" w:hAnsi="Times New Roman" w:cs="Times New Roman"/>
        </w:rPr>
      </w:pPr>
    </w:p>
    <w:p w:rsidR="001A31A4" w:rsidRPr="00E2012A" w:rsidRDefault="001A31A4" w:rsidP="003E3BEA">
      <w:pPr>
        <w:pStyle w:val="ParaTab1"/>
        <w:spacing w:line="360" w:lineRule="auto"/>
        <w:rPr>
          <w:rFonts w:ascii="Times New Roman" w:hAnsi="Times New Roman" w:cs="Times New Roman"/>
        </w:rPr>
      </w:pPr>
      <w:r w:rsidRPr="00E2012A">
        <w:rPr>
          <w:rFonts w:ascii="Times New Roman" w:hAnsi="Times New Roman" w:cs="Times New Roman"/>
        </w:rPr>
        <w:t xml:space="preserve">The Commission’s Rules of Practice and Procedure at 52 Pa.Code § 5.102 govern motions for judgment on the pleadings.  The Commission will grant a motion for judgment on the pleadings only if the pleadings show there is no genuine issue as to a material fact and that the moving party is entitled to judgment as a matter of law.  </w:t>
      </w:r>
      <w:r w:rsidR="00D36AF1" w:rsidRPr="00E2012A">
        <w:rPr>
          <w:rFonts w:ascii="Times New Roman" w:hAnsi="Times New Roman" w:cs="Times New Roman"/>
        </w:rPr>
        <w:t xml:space="preserve">52 Pa.Code § 5.102(d)(1).  Only in a case where the moving party’s right to prevail is so clear that a trial would be a fruitless exercise should judgment on the pleadings be granted.  </w:t>
      </w:r>
      <w:r w:rsidRPr="00E2012A">
        <w:rPr>
          <w:rFonts w:ascii="Times New Roman" w:hAnsi="Times New Roman" w:cs="Times New Roman"/>
          <w:u w:val="single"/>
        </w:rPr>
        <w:t>Williams v. Lewis</w:t>
      </w:r>
      <w:r w:rsidR="0069590E" w:rsidRPr="00E2012A">
        <w:rPr>
          <w:rFonts w:ascii="Times New Roman" w:hAnsi="Times New Roman" w:cs="Times New Roman"/>
        </w:rPr>
        <w:t>, 466 A.2d 682 (Pa.</w:t>
      </w:r>
      <w:r w:rsidR="00512519" w:rsidRPr="00E2012A">
        <w:rPr>
          <w:rFonts w:ascii="Times New Roman" w:hAnsi="Times New Roman" w:cs="Times New Roman"/>
        </w:rPr>
        <w:t xml:space="preserve"> </w:t>
      </w:r>
      <w:r w:rsidR="00217BEA" w:rsidRPr="00E2012A">
        <w:rPr>
          <w:rFonts w:ascii="Times New Roman" w:hAnsi="Times New Roman" w:cs="Times New Roman"/>
        </w:rPr>
        <w:t xml:space="preserve">Super. </w:t>
      </w:r>
      <w:r w:rsidRPr="00E2012A">
        <w:rPr>
          <w:rFonts w:ascii="Times New Roman" w:hAnsi="Times New Roman" w:cs="Times New Roman"/>
        </w:rPr>
        <w:t xml:space="preserve">1983); </w:t>
      </w:r>
      <w:r w:rsidRPr="00E2012A">
        <w:rPr>
          <w:rFonts w:ascii="Times New Roman" w:hAnsi="Times New Roman" w:cs="Times New Roman"/>
          <w:u w:val="single"/>
        </w:rPr>
        <w:t>Service Employees International Union, Local 69, AFL-CIO v. The Peoples Natural Gas Company, d/b/a Dominion Peoples</w:t>
      </w:r>
      <w:r w:rsidRPr="00E2012A">
        <w:rPr>
          <w:rFonts w:ascii="Times New Roman" w:hAnsi="Times New Roman" w:cs="Times New Roman"/>
        </w:rPr>
        <w:t>, Docket No. C-20028539 (Order entered December 19, 2003)</w:t>
      </w:r>
      <w:r w:rsidR="007B1B20" w:rsidRPr="00E2012A">
        <w:rPr>
          <w:rFonts w:ascii="Times New Roman" w:hAnsi="Times New Roman" w:cs="Times New Roman"/>
        </w:rPr>
        <w:t>.</w:t>
      </w:r>
      <w:r w:rsidRPr="00E2012A">
        <w:rPr>
          <w:rFonts w:ascii="Times New Roman" w:hAnsi="Times New Roman" w:cs="Times New Roman"/>
        </w:rPr>
        <w:t xml:space="preserve">  In ruling on a motion for judgment on the pleadings, the tribunal must consider as true all well-pleaded averments of the party against whom the motion is directed and consider against h</w:t>
      </w:r>
      <w:r w:rsidR="00E15CBF" w:rsidRPr="00E2012A">
        <w:rPr>
          <w:rFonts w:ascii="Times New Roman" w:hAnsi="Times New Roman" w:cs="Times New Roman"/>
        </w:rPr>
        <w:t>er</w:t>
      </w:r>
      <w:r w:rsidRPr="00E2012A">
        <w:rPr>
          <w:rFonts w:ascii="Times New Roman" w:hAnsi="Times New Roman" w:cs="Times New Roman"/>
        </w:rPr>
        <w:t xml:space="preserve"> only those facts </w:t>
      </w:r>
      <w:r w:rsidR="00E15CBF" w:rsidRPr="00E2012A">
        <w:rPr>
          <w:rFonts w:ascii="Times New Roman" w:hAnsi="Times New Roman" w:cs="Times New Roman"/>
        </w:rPr>
        <w:t>s</w:t>
      </w:r>
      <w:r w:rsidRPr="00E2012A">
        <w:rPr>
          <w:rFonts w:ascii="Times New Roman" w:hAnsi="Times New Roman" w:cs="Times New Roman"/>
        </w:rPr>
        <w:t xml:space="preserve">he specifically admits.  Judgment on the pleadings should be entered only when the case is clear and free from doubt.  </w:t>
      </w:r>
      <w:r w:rsidRPr="00E2012A">
        <w:rPr>
          <w:rFonts w:ascii="Times New Roman" w:hAnsi="Times New Roman" w:cs="Times New Roman"/>
          <w:u w:val="single"/>
        </w:rPr>
        <w:t>Reuben v. O’Brien</w:t>
      </w:r>
      <w:r w:rsidRPr="00E2012A">
        <w:rPr>
          <w:rFonts w:ascii="Times New Roman" w:hAnsi="Times New Roman" w:cs="Times New Roman"/>
        </w:rPr>
        <w:t>, 496 A.2d 913 (Pa. Super 1985)</w:t>
      </w:r>
      <w:r w:rsidR="002B294B" w:rsidRPr="00E2012A">
        <w:rPr>
          <w:rFonts w:ascii="Times New Roman" w:hAnsi="Times New Roman" w:cs="Times New Roman"/>
        </w:rPr>
        <w:t>.</w:t>
      </w:r>
    </w:p>
    <w:p w:rsidR="00C04309" w:rsidRPr="00E2012A" w:rsidRDefault="00C04309" w:rsidP="001A31A4">
      <w:pPr>
        <w:pStyle w:val="ParaTab1"/>
        <w:spacing w:line="360" w:lineRule="auto"/>
        <w:rPr>
          <w:rFonts w:ascii="Times New Roman" w:hAnsi="Times New Roman" w:cs="Times New Roman"/>
        </w:rPr>
      </w:pPr>
    </w:p>
    <w:p w:rsidR="00C04309" w:rsidRPr="00E2012A" w:rsidRDefault="00C04309" w:rsidP="00C04309">
      <w:pPr>
        <w:pStyle w:val="p7"/>
        <w:spacing w:line="360" w:lineRule="auto"/>
      </w:pPr>
      <w:r w:rsidRPr="00E2012A">
        <w:t>The Respondent’s October 17, 2014 answer combined with a motion for judgment on the pleadings does not comply with 52 Pa.Code § </w:t>
      </w:r>
      <w:r w:rsidR="00B94945" w:rsidRPr="00E2012A">
        <w:t>102</w:t>
      </w:r>
      <w:r w:rsidR="006F4041">
        <w:t xml:space="preserve"> in that </w:t>
      </w:r>
      <w:r w:rsidR="00B94945" w:rsidRPr="00E2012A">
        <w:t xml:space="preserve">the motion should have been filed as a separate pleading.  </w:t>
      </w:r>
      <w:r w:rsidRPr="00E2012A">
        <w:t xml:space="preserve">However, the regulation at </w:t>
      </w:r>
      <w:r w:rsidRPr="00E2012A">
        <w:rPr>
          <w:spacing w:val="-3"/>
        </w:rPr>
        <w:t xml:space="preserve">52 Pa.Code § 1.2(a) provides that the presiding officer or the Commission may disregard an error or defect of procedure which does not affect the substantive rights of the parties.  </w:t>
      </w:r>
      <w:r w:rsidRPr="00E2012A">
        <w:t xml:space="preserve">Since the </w:t>
      </w:r>
      <w:r w:rsidR="00611AC0" w:rsidRPr="00E2012A">
        <w:t xml:space="preserve">Respondent’s motion </w:t>
      </w:r>
      <w:r w:rsidRPr="00E2012A">
        <w:t xml:space="preserve">requested </w:t>
      </w:r>
      <w:r w:rsidR="00B94945" w:rsidRPr="00E2012A">
        <w:t xml:space="preserve">that the Commisison dismiss the Complainant’s complaint </w:t>
      </w:r>
      <w:r w:rsidRPr="00E2012A">
        <w:t xml:space="preserve">and a copy of the </w:t>
      </w:r>
      <w:r w:rsidR="00611AC0" w:rsidRPr="00E2012A">
        <w:t xml:space="preserve">motion </w:t>
      </w:r>
      <w:r w:rsidRPr="00E2012A">
        <w:t>was served on</w:t>
      </w:r>
      <w:r w:rsidR="00B94945" w:rsidRPr="00E2012A">
        <w:t xml:space="preserve"> the</w:t>
      </w:r>
      <w:r w:rsidRPr="00E2012A">
        <w:t xml:space="preserve"> </w:t>
      </w:r>
      <w:r w:rsidR="00B94945" w:rsidRPr="00E2012A">
        <w:t>Complainant</w:t>
      </w:r>
      <w:r w:rsidRPr="00E2012A">
        <w:t xml:space="preserve">, the </w:t>
      </w:r>
      <w:r w:rsidR="00B94945" w:rsidRPr="00E2012A">
        <w:t xml:space="preserve">Complainant </w:t>
      </w:r>
      <w:r w:rsidRPr="00E2012A">
        <w:t xml:space="preserve">had notice of the request and an opportunity to file an answer to the </w:t>
      </w:r>
      <w:r w:rsidR="00B94945" w:rsidRPr="00E2012A">
        <w:t>motion</w:t>
      </w:r>
      <w:r w:rsidRPr="00E2012A">
        <w:t>.</w:t>
      </w:r>
    </w:p>
    <w:p w:rsidR="00877533" w:rsidRPr="00E2012A" w:rsidRDefault="00C04309" w:rsidP="00877533">
      <w:pPr>
        <w:pStyle w:val="p7"/>
        <w:spacing w:line="360" w:lineRule="auto"/>
      </w:pPr>
      <w:r w:rsidRPr="00E2012A">
        <w:lastRenderedPageBreak/>
        <w:t xml:space="preserve">I will ignore the procedural defects of the </w:t>
      </w:r>
      <w:r w:rsidR="00B94945" w:rsidRPr="00E2012A">
        <w:t xml:space="preserve">Respondent’s motion for judgment on the pleading and address the merits of the motion </w:t>
      </w:r>
      <w:r w:rsidRPr="00E2012A">
        <w:t>in order to secure a just, speedy and inexpensive determination of this proceeding</w:t>
      </w:r>
      <w:r w:rsidR="00294511" w:rsidRPr="00E2012A">
        <w:t>,</w:t>
      </w:r>
      <w:r w:rsidRPr="00E2012A">
        <w:t xml:space="preserve"> pursuant to 52 Pa.Code § 1.2(a).  This will not adversely affect</w:t>
      </w:r>
      <w:r w:rsidR="00294511" w:rsidRPr="00E2012A">
        <w:t xml:space="preserve"> the</w:t>
      </w:r>
      <w:r w:rsidRPr="00E2012A">
        <w:t xml:space="preserve"> </w:t>
      </w:r>
      <w:r w:rsidR="00B94945" w:rsidRPr="00E2012A">
        <w:t>Complainant’s</w:t>
      </w:r>
      <w:r w:rsidRPr="00E2012A">
        <w:t xml:space="preserve"> substantive rights, pursuant to 52 Pa.Code § 1.2(c), since </w:t>
      </w:r>
      <w:r w:rsidR="00611AC0" w:rsidRPr="00E2012A">
        <w:t>she</w:t>
      </w:r>
      <w:r w:rsidRPr="00E2012A">
        <w:t xml:space="preserve"> had notice of the issue and an opportunity to respond.</w:t>
      </w:r>
      <w:r w:rsidR="00877533" w:rsidRPr="00E2012A">
        <w:t xml:space="preserve">  I will address the </w:t>
      </w:r>
      <w:r w:rsidR="00E2012A" w:rsidRPr="00E2012A">
        <w:t xml:space="preserve">merits of the </w:t>
      </w:r>
      <w:r w:rsidR="00877533" w:rsidRPr="00E2012A">
        <w:t>Respondent’s motion for judgment on the pleadings after providing a brief explanation of the Commission’s limited jurisdiction over EGSs.</w:t>
      </w:r>
    </w:p>
    <w:p w:rsidR="00877533" w:rsidRPr="00E2012A" w:rsidRDefault="00877533" w:rsidP="00877533">
      <w:pPr>
        <w:pStyle w:val="ParaTab1"/>
        <w:spacing w:line="360" w:lineRule="auto"/>
        <w:ind w:left="90" w:firstLine="1350"/>
        <w:rPr>
          <w:rFonts w:ascii="Times New Roman" w:hAnsi="Times New Roman" w:cs="Times New Roman"/>
        </w:rPr>
      </w:pPr>
    </w:p>
    <w:p w:rsidR="00877533" w:rsidRPr="00E2012A" w:rsidRDefault="00877533" w:rsidP="00877533">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The Commission, as a creation of the General Assembly, has only the powers and authority granted to it by the General Assembly contained in the Public Utility Code.  </w:t>
      </w:r>
      <w:r w:rsidRPr="00E2012A">
        <w:rPr>
          <w:rFonts w:ascii="Times New Roman" w:hAnsi="Times New Roman" w:cs="Times New Roman"/>
          <w:u w:val="single"/>
        </w:rPr>
        <w:t>Tod and Lisa Shedlosky v. Pennsylvania Electric Co.</w:t>
      </w:r>
      <w:r w:rsidRPr="00E2012A">
        <w:rPr>
          <w:rFonts w:ascii="Times New Roman" w:hAnsi="Times New Roman" w:cs="Times New Roman"/>
        </w:rPr>
        <w:t xml:space="preserve">, Docket No. C-20066937 (Order entered May 28, 2008); </w:t>
      </w:r>
      <w:r w:rsidRPr="00E2012A">
        <w:rPr>
          <w:rFonts w:ascii="Times New Roman" w:hAnsi="Times New Roman" w:cs="Times New Roman"/>
          <w:u w:val="single"/>
        </w:rPr>
        <w:t>Feingold v. Bell Tel. Co. of Pa.</w:t>
      </w:r>
      <w:r w:rsidRPr="00E2012A">
        <w:rPr>
          <w:rFonts w:ascii="Times New Roman" w:hAnsi="Times New Roman" w:cs="Times New Roman"/>
        </w:rPr>
        <w:t xml:space="preserve">, 383 A.2d 791 (Pa. 1977).  The Commission must act within, and cannot exceed, its jurisdiction.  </w:t>
      </w:r>
      <w:r w:rsidRPr="00E2012A">
        <w:rPr>
          <w:rFonts w:ascii="Times New Roman" w:hAnsi="Times New Roman" w:cs="Times New Roman"/>
          <w:u w:val="single"/>
        </w:rPr>
        <w:t>City of Pittsburgh v. Pa. Pub. Util. Comm’n,</w:t>
      </w:r>
      <w:r w:rsidRPr="00E2012A">
        <w:rPr>
          <w:rFonts w:ascii="Times New Roman" w:hAnsi="Times New Roman" w:cs="Times New Roman"/>
        </w:rPr>
        <w:t xml:space="preserve"> 43 A.2d 348 (Pa. Super. 1945).  Jurisdiction may not be conferred by the parties where none exists.  </w:t>
      </w:r>
      <w:r w:rsidRPr="00E2012A">
        <w:rPr>
          <w:rFonts w:ascii="Times New Roman" w:hAnsi="Times New Roman" w:cs="Times New Roman"/>
          <w:u w:val="single"/>
        </w:rPr>
        <w:t>Roberts v. Martorano</w:t>
      </w:r>
      <w:r w:rsidRPr="00E2012A">
        <w:rPr>
          <w:rFonts w:ascii="Times New Roman" w:hAnsi="Times New Roman" w:cs="Times New Roman"/>
        </w:rPr>
        <w:t xml:space="preserve">, 235 A.2d 602 (Pa. 1967).  Subject matter jurisdiction is a prerequisite to the exercise of power to decide a controversy.  </w:t>
      </w:r>
      <w:r w:rsidRPr="00E2012A">
        <w:rPr>
          <w:rFonts w:ascii="Times New Roman" w:hAnsi="Times New Roman" w:cs="Times New Roman"/>
          <w:u w:val="single"/>
        </w:rPr>
        <w:t>Hughes v. Pennsylvania State Police</w:t>
      </w:r>
      <w:r w:rsidRPr="00E2012A">
        <w:rPr>
          <w:rFonts w:ascii="Times New Roman" w:hAnsi="Times New Roman" w:cs="Times New Roman"/>
        </w:rPr>
        <w:t xml:space="preserve">, 619 A.2d 390 (Pa. Cmwlth. 1992), </w:t>
      </w:r>
      <w:r w:rsidRPr="00E2012A">
        <w:rPr>
          <w:rFonts w:ascii="Times New Roman" w:hAnsi="Times New Roman" w:cs="Times New Roman"/>
          <w:u w:val="single"/>
        </w:rPr>
        <w:t>alloc. denied</w:t>
      </w:r>
      <w:r w:rsidRPr="00E2012A">
        <w:rPr>
          <w:rFonts w:ascii="Times New Roman" w:hAnsi="Times New Roman" w:cs="Times New Roman"/>
        </w:rPr>
        <w:t>, 637 A.2d 293 (Pa. 1993).</w:t>
      </w:r>
    </w:p>
    <w:p w:rsidR="00877533" w:rsidRPr="00E2012A" w:rsidRDefault="00877533" w:rsidP="00877533">
      <w:pPr>
        <w:pStyle w:val="ParaTab1"/>
        <w:spacing w:line="360" w:lineRule="auto"/>
        <w:ind w:left="90" w:firstLine="1350"/>
        <w:rPr>
          <w:rFonts w:ascii="Times New Roman" w:hAnsi="Times New Roman" w:cs="Times New Roman"/>
        </w:rPr>
      </w:pPr>
    </w:p>
    <w:p w:rsidR="00877533" w:rsidRPr="00E2012A" w:rsidRDefault="00877533" w:rsidP="00877533">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The Respondent, as an EGS, is not a public utility subject to Commission regulation, except in limited circumstances.  </w:t>
      </w:r>
      <w:r w:rsidRPr="00E2012A">
        <w:rPr>
          <w:rFonts w:ascii="Times New Roman" w:hAnsi="Times New Roman" w:cs="Times New Roman"/>
          <w:u w:val="single"/>
        </w:rPr>
        <w:t>Delmarva Power &amp; Light Co. v. Pa. Pub. Util. Comm’n</w:t>
      </w:r>
      <w:r w:rsidRPr="00E2012A">
        <w:rPr>
          <w:rFonts w:ascii="Times New Roman" w:hAnsi="Times New Roman" w:cs="Times New Roman"/>
        </w:rPr>
        <w:t>, 870 A.2d 901 (Pa. 2005) (</w:t>
      </w:r>
      <w:r w:rsidRPr="00E2012A">
        <w:rPr>
          <w:rFonts w:ascii="Times New Roman" w:hAnsi="Times New Roman" w:cs="Times New Roman"/>
          <w:u w:val="single"/>
        </w:rPr>
        <w:t>Delmarva</w:t>
      </w:r>
      <w:r w:rsidRPr="00E2012A">
        <w:rPr>
          <w:rFonts w:ascii="Times New Roman" w:hAnsi="Times New Roman" w:cs="Times New Roman"/>
        </w:rPr>
        <w:t xml:space="preserve">).  In </w:t>
      </w:r>
      <w:r w:rsidRPr="00E2012A">
        <w:rPr>
          <w:rFonts w:ascii="Times New Roman" w:hAnsi="Times New Roman" w:cs="Times New Roman"/>
          <w:u w:val="single"/>
        </w:rPr>
        <w:t>Delmarva</w:t>
      </w:r>
      <w:r w:rsidRPr="00E2012A">
        <w:rPr>
          <w:rFonts w:ascii="Times New Roman" w:hAnsi="Times New Roman" w:cs="Times New Roman"/>
        </w:rPr>
        <w:t>, the Pennsylvania Supreme Court held that the definition of “public utility” at 66 Pa.C.S. § 102 does not include EGSs except for the limited purposes set forth in 66 Pa.C.S. § 2809, regarding licensing requirements and 66 Pa.C.S. § 2810, regarding revenue neutral reconciliation.  The Pennsylvania Supreme Court noted that the Commission could forbear from regulating EGSs, pursuant to 66 Pa.C.S. § 2809(e), if it determined that the requirements of 66 Pa.C.S. § 2809 were unnecessary due to competition among the EGSs.</w:t>
      </w:r>
    </w:p>
    <w:p w:rsidR="00877533" w:rsidRPr="00E2012A" w:rsidRDefault="00877533" w:rsidP="00877533">
      <w:pPr>
        <w:pStyle w:val="ParaTab1"/>
        <w:spacing w:line="360" w:lineRule="auto"/>
        <w:rPr>
          <w:rFonts w:ascii="Times New Roman" w:hAnsi="Times New Roman" w:cs="Times New Roman"/>
        </w:rPr>
      </w:pPr>
    </w:p>
    <w:p w:rsidR="00877533" w:rsidRPr="00E2012A" w:rsidRDefault="00877533" w:rsidP="00877533">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On December 22, 2014, Act 155 of 2014 became effective.  Among other changes to the Public Utility Code, Act 155 added a provision at 66 Pa.C.S. § 2809(g) authorizing the </w:t>
      </w:r>
      <w:r w:rsidRPr="00E2012A">
        <w:rPr>
          <w:rFonts w:ascii="Times New Roman" w:hAnsi="Times New Roman" w:cs="Times New Roman"/>
        </w:rPr>
        <w:lastRenderedPageBreak/>
        <w:t>Commission to establish fees to be charged for Commission activities related to the oversight of EGSs.</w:t>
      </w:r>
    </w:p>
    <w:p w:rsidR="00877533" w:rsidRPr="00E2012A" w:rsidRDefault="00877533" w:rsidP="00877533">
      <w:pPr>
        <w:pStyle w:val="ParaTab1"/>
        <w:spacing w:line="360" w:lineRule="auto"/>
        <w:ind w:left="90" w:firstLine="1350"/>
        <w:rPr>
          <w:rFonts w:ascii="Times New Roman" w:hAnsi="Times New Roman" w:cs="Times New Roman"/>
        </w:rPr>
      </w:pPr>
    </w:p>
    <w:p w:rsidR="001A31A4" w:rsidRPr="00E2012A" w:rsidRDefault="00877533" w:rsidP="00877533">
      <w:pPr>
        <w:pStyle w:val="p7"/>
        <w:spacing w:line="360" w:lineRule="auto"/>
      </w:pPr>
      <w:r w:rsidRPr="00E2012A">
        <w:t xml:space="preserve">Having provided a brief explanation of the Commission’s limited jurisdiction over EGSs, I will address the </w:t>
      </w:r>
      <w:r w:rsidR="00E2012A" w:rsidRPr="00E2012A">
        <w:t xml:space="preserve">merits of the </w:t>
      </w:r>
      <w:r w:rsidRPr="00E2012A">
        <w:t>Respondent’s motion for judgment on the pleadings.  In ruling on a motion for judgment on the pleadings, the Commission must consider the factual averments in the complaint as true</w:t>
      </w:r>
      <w:r w:rsidR="001A31A4" w:rsidRPr="00E2012A">
        <w:t xml:space="preserve"> for purposes of disposing of the motion for judgment on the pleadings.  The factual averments in the complain</w:t>
      </w:r>
      <w:r w:rsidR="00C42E9C" w:rsidRPr="00E2012A">
        <w:t>t</w:t>
      </w:r>
      <w:r w:rsidR="001A31A4" w:rsidRPr="00E2012A">
        <w:t xml:space="preserve"> are that </w:t>
      </w:r>
      <w:r w:rsidR="00611AC0" w:rsidRPr="00E2012A">
        <w:t xml:space="preserve">the Complainant entered into an agreement with the Respondent for electric generation service. </w:t>
      </w:r>
      <w:r w:rsidR="005D6324">
        <w:t xml:space="preserve"> </w:t>
      </w:r>
      <w:r w:rsidR="00611AC0" w:rsidRPr="00E2012A">
        <w:t xml:space="preserve">The Respondent was her EGS from May 11, 2012 to January 15, 2013.  During this time period the Respondent increased the rate it charged the Complainant by three times the original rate it charged her.  </w:t>
      </w:r>
    </w:p>
    <w:p w:rsidR="00611AC0" w:rsidRPr="00E2012A" w:rsidRDefault="00611AC0" w:rsidP="00611AC0">
      <w:pPr>
        <w:pStyle w:val="ParaTab1"/>
        <w:spacing w:line="360" w:lineRule="auto"/>
        <w:rPr>
          <w:rFonts w:ascii="Times New Roman" w:hAnsi="Times New Roman" w:cs="Times New Roman"/>
        </w:rPr>
      </w:pPr>
    </w:p>
    <w:p w:rsidR="00611AC0" w:rsidRPr="00E2012A" w:rsidRDefault="00611AC0" w:rsidP="00611AC0">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Accepting these facts alleged in the complaint as true for purposes of disposing of the motion for judgment on the pleadings, the Commission may not regulate the rates that </w:t>
      </w:r>
      <w:r w:rsidR="00294511" w:rsidRPr="00E2012A">
        <w:rPr>
          <w:rFonts w:ascii="Times New Roman" w:hAnsi="Times New Roman" w:cs="Times New Roman"/>
        </w:rPr>
        <w:t xml:space="preserve">the </w:t>
      </w:r>
      <w:r w:rsidRPr="00E2012A">
        <w:rPr>
          <w:rFonts w:ascii="Times New Roman" w:hAnsi="Times New Roman" w:cs="Times New Roman"/>
        </w:rPr>
        <w:t>Respond</w:t>
      </w:r>
      <w:r w:rsidR="00294511" w:rsidRPr="00E2012A">
        <w:rPr>
          <w:rFonts w:ascii="Times New Roman" w:hAnsi="Times New Roman" w:cs="Times New Roman"/>
        </w:rPr>
        <w:t>ent</w:t>
      </w:r>
      <w:r w:rsidRPr="00E2012A">
        <w:rPr>
          <w:rFonts w:ascii="Times New Roman" w:hAnsi="Times New Roman" w:cs="Times New Roman"/>
        </w:rPr>
        <w:t xml:space="preserve"> charged the Complainant for electric generation supply service since it is not a public utility except for the limited purposes of 66 Pa.C.S. §§ 2809 and 2810.  Therefore, the Commission has no jurisdiction over </w:t>
      </w:r>
      <w:r w:rsidR="00877533" w:rsidRPr="00E2012A">
        <w:rPr>
          <w:rFonts w:ascii="Times New Roman" w:hAnsi="Times New Roman" w:cs="Times New Roman"/>
        </w:rPr>
        <w:t xml:space="preserve">the </w:t>
      </w:r>
      <w:r w:rsidRPr="00E2012A">
        <w:rPr>
          <w:rFonts w:ascii="Times New Roman" w:hAnsi="Times New Roman" w:cs="Times New Roman"/>
        </w:rPr>
        <w:t>Respond</w:t>
      </w:r>
      <w:r w:rsidR="00877533" w:rsidRPr="00E2012A">
        <w:rPr>
          <w:rFonts w:ascii="Times New Roman" w:hAnsi="Times New Roman" w:cs="Times New Roman"/>
        </w:rPr>
        <w:t>ent</w:t>
      </w:r>
      <w:r w:rsidRPr="00E2012A">
        <w:rPr>
          <w:rFonts w:ascii="Times New Roman" w:hAnsi="Times New Roman" w:cs="Times New Roman"/>
        </w:rPr>
        <w:t xml:space="preserve"> to the extent that the Complainant contends that</w:t>
      </w:r>
      <w:r w:rsidR="007B020A" w:rsidRPr="00E2012A">
        <w:rPr>
          <w:rFonts w:ascii="Times New Roman" w:hAnsi="Times New Roman" w:cs="Times New Roman"/>
        </w:rPr>
        <w:t xml:space="preserve"> the</w:t>
      </w:r>
      <w:r w:rsidRPr="00E2012A">
        <w:rPr>
          <w:rFonts w:ascii="Times New Roman" w:hAnsi="Times New Roman" w:cs="Times New Roman"/>
        </w:rPr>
        <w:t xml:space="preserve"> Respond</w:t>
      </w:r>
      <w:r w:rsidR="007B020A" w:rsidRPr="00E2012A">
        <w:rPr>
          <w:rFonts w:ascii="Times New Roman" w:hAnsi="Times New Roman" w:cs="Times New Roman"/>
        </w:rPr>
        <w:t xml:space="preserve">ent </w:t>
      </w:r>
      <w:r w:rsidRPr="00E2012A">
        <w:rPr>
          <w:rFonts w:ascii="Times New Roman" w:hAnsi="Times New Roman" w:cs="Times New Roman"/>
        </w:rPr>
        <w:t xml:space="preserve">has charged an unreasonable, unjust or illegal rate for electric generation supply service.  Since the Commission lacks the jurisdiction to regulate rates charged for electric generation supply service, it lacks the authority to order a refund or credit to the Complainant.  </w:t>
      </w:r>
    </w:p>
    <w:p w:rsidR="007B020A" w:rsidRPr="00E2012A" w:rsidRDefault="007B020A" w:rsidP="00611AC0">
      <w:pPr>
        <w:pStyle w:val="ParaTab1"/>
        <w:spacing w:line="360" w:lineRule="auto"/>
        <w:ind w:left="90" w:firstLine="1350"/>
        <w:rPr>
          <w:rFonts w:ascii="Times New Roman" w:hAnsi="Times New Roman" w:cs="Times New Roman"/>
        </w:rPr>
      </w:pPr>
    </w:p>
    <w:p w:rsidR="00611AC0" w:rsidRPr="00E2012A" w:rsidRDefault="00611AC0" w:rsidP="00611AC0">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In </w:t>
      </w:r>
      <w:r w:rsidRPr="00E2012A">
        <w:rPr>
          <w:rFonts w:ascii="Times New Roman" w:hAnsi="Times New Roman" w:cs="Times New Roman"/>
          <w:u w:val="single"/>
        </w:rPr>
        <w:t>Review of Rules, Policies and Consumer Education Measures Regarding Variable Rate Retail Electric Products</w:t>
      </w:r>
      <w:r w:rsidRPr="00E2012A">
        <w:rPr>
          <w:rFonts w:ascii="Times New Roman" w:hAnsi="Times New Roman" w:cs="Times New Roman"/>
        </w:rPr>
        <w:t>, Docket No. M-2014-2406134 (Order entered March 4, 2014) (</w:t>
      </w:r>
      <w:r w:rsidRPr="00E2012A">
        <w:rPr>
          <w:rFonts w:ascii="Times New Roman" w:hAnsi="Times New Roman" w:cs="Times New Roman"/>
          <w:u w:val="single"/>
        </w:rPr>
        <w:t>Variable Rate Order</w:t>
      </w:r>
      <w:r w:rsidRPr="00E2012A">
        <w:rPr>
          <w:rFonts w:ascii="Times New Roman" w:hAnsi="Times New Roman" w:cs="Times New Roman"/>
        </w:rPr>
        <w:t xml:space="preserve">), the Commission recognized that in early 2014 many EGSs had to increase their retail prices to customers in order to recover the higher wholesale electric energy costs they incurred in January 2014.  In the </w:t>
      </w:r>
      <w:r w:rsidRPr="00E2012A">
        <w:rPr>
          <w:rFonts w:ascii="Times New Roman" w:hAnsi="Times New Roman" w:cs="Times New Roman"/>
          <w:u w:val="single"/>
        </w:rPr>
        <w:t>Variable Rate Order</w:t>
      </w:r>
      <w:r w:rsidRPr="00E2012A">
        <w:rPr>
          <w:rFonts w:ascii="Times New Roman" w:hAnsi="Times New Roman" w:cs="Times New Roman"/>
        </w:rPr>
        <w:t>, the Commission noted that in many cases, the EGSs voluntarily absorbed losses in order to maintain long term contractual relationships with their customers.  However, the Commission acknowledged that not all EGSs acted to mitigate the financial hardships experienced by their customers and some EGSs passed the costs to their retail customers.</w:t>
      </w:r>
    </w:p>
    <w:p w:rsidR="00611AC0" w:rsidRPr="00E2012A" w:rsidRDefault="00611AC0" w:rsidP="00611AC0">
      <w:pPr>
        <w:pStyle w:val="ParaTab1"/>
        <w:spacing w:line="360" w:lineRule="auto"/>
        <w:ind w:left="90" w:firstLine="1350"/>
        <w:rPr>
          <w:rFonts w:ascii="Times New Roman" w:hAnsi="Times New Roman" w:cs="Times New Roman"/>
        </w:rPr>
      </w:pPr>
      <w:r w:rsidRPr="00E2012A">
        <w:rPr>
          <w:rFonts w:ascii="Times New Roman" w:hAnsi="Times New Roman" w:cs="Times New Roman"/>
        </w:rPr>
        <w:lastRenderedPageBreak/>
        <w:t xml:space="preserve">As a result of the higher wholesale electric energy costs experienced by the EGSs, the </w:t>
      </w:r>
      <w:r w:rsidRPr="00E2012A">
        <w:rPr>
          <w:rFonts w:ascii="Times New Roman" w:hAnsi="Times New Roman" w:cs="Times New Roman"/>
          <w:u w:val="single"/>
        </w:rPr>
        <w:t>Variable Rate Order</w:t>
      </w:r>
      <w:r w:rsidRPr="00E2012A">
        <w:rPr>
          <w:rFonts w:ascii="Times New Roman" w:hAnsi="Times New Roman" w:cs="Times New Roman"/>
        </w:rPr>
        <w:t xml:space="preserve"> observed that some of the EGSs’ customers received higher electric bills.  Some of these bills were two or three times the amount the customer would normally be billed.  Most of these customers had entered into contracts with a variable rate that is adjusted monthly.  </w:t>
      </w:r>
    </w:p>
    <w:p w:rsidR="00611AC0" w:rsidRPr="00E2012A" w:rsidRDefault="00611AC0" w:rsidP="00611AC0">
      <w:pPr>
        <w:pStyle w:val="ParaTab1"/>
        <w:spacing w:line="360" w:lineRule="auto"/>
        <w:ind w:left="90" w:firstLine="1350"/>
        <w:rPr>
          <w:rFonts w:ascii="Times New Roman" w:hAnsi="Times New Roman" w:cs="Times New Roman"/>
        </w:rPr>
      </w:pPr>
    </w:p>
    <w:p w:rsidR="00611AC0" w:rsidRPr="00E2012A" w:rsidRDefault="00611AC0" w:rsidP="00611AC0">
      <w:pPr>
        <w:pStyle w:val="ParaTab1"/>
        <w:spacing w:line="360" w:lineRule="auto"/>
        <w:ind w:left="90" w:firstLine="1350"/>
        <w:rPr>
          <w:rFonts w:ascii="Times New Roman" w:hAnsi="Times New Roman" w:cs="Times New Roman"/>
        </w:rPr>
      </w:pPr>
      <w:r w:rsidRPr="00E2012A">
        <w:rPr>
          <w:rFonts w:ascii="Times New Roman" w:hAnsi="Times New Roman" w:cs="Times New Roman"/>
        </w:rPr>
        <w:t xml:space="preserve">The </w:t>
      </w:r>
      <w:r w:rsidRPr="00E2012A">
        <w:rPr>
          <w:rFonts w:ascii="Times New Roman" w:hAnsi="Times New Roman" w:cs="Times New Roman"/>
          <w:u w:val="single"/>
        </w:rPr>
        <w:t>Variable Rate Order</w:t>
      </w:r>
      <w:r w:rsidRPr="00E2012A">
        <w:rPr>
          <w:rFonts w:ascii="Times New Roman" w:hAnsi="Times New Roman" w:cs="Times New Roman"/>
        </w:rPr>
        <w:t xml:space="preserve"> stated that the rates consumers pay in the retail electric market are governed by the terms of the contract with their EGS.  The Commission emphasized that it was important for consumers in variable rate contracts to review the terms and conditions of those contracts to determine if they were at risk for large rate increases.</w:t>
      </w:r>
    </w:p>
    <w:p w:rsidR="00611AC0" w:rsidRPr="00E2012A" w:rsidRDefault="00611AC0" w:rsidP="00611AC0">
      <w:pPr>
        <w:pStyle w:val="ParaTab1"/>
        <w:spacing w:line="360" w:lineRule="auto"/>
        <w:ind w:left="90" w:firstLine="1350"/>
        <w:rPr>
          <w:rFonts w:ascii="Times New Roman" w:hAnsi="Times New Roman" w:cs="Times New Roman"/>
        </w:rPr>
      </w:pPr>
    </w:p>
    <w:p w:rsidR="00611AC0" w:rsidRPr="00E2012A" w:rsidRDefault="00611AC0" w:rsidP="00611AC0">
      <w:pPr>
        <w:pStyle w:val="ParaTab1"/>
        <w:spacing w:line="360" w:lineRule="auto"/>
        <w:rPr>
          <w:rFonts w:ascii="Times New Roman" w:hAnsi="Times New Roman" w:cs="Times New Roman"/>
        </w:rPr>
      </w:pPr>
      <w:r w:rsidRPr="00E2012A">
        <w:rPr>
          <w:rFonts w:ascii="Times New Roman" w:hAnsi="Times New Roman" w:cs="Times New Roman"/>
        </w:rPr>
        <w:t xml:space="preserve">Underlying this discussion in the </w:t>
      </w:r>
      <w:r w:rsidRPr="00E2012A">
        <w:rPr>
          <w:rFonts w:ascii="Times New Roman" w:hAnsi="Times New Roman" w:cs="Times New Roman"/>
          <w:u w:val="single"/>
        </w:rPr>
        <w:t>Variable Rate Order</w:t>
      </w:r>
      <w:r w:rsidRPr="00E2012A">
        <w:rPr>
          <w:rFonts w:ascii="Times New Roman" w:hAnsi="Times New Roman" w:cs="Times New Roman"/>
        </w:rPr>
        <w:t xml:space="preserve"> is the unstated acknowledgement by the Commission that it does not have jurisdiction to regulate the rates charged by an EGS, such as </w:t>
      </w:r>
      <w:r w:rsidR="007B020A" w:rsidRPr="00E2012A">
        <w:rPr>
          <w:rFonts w:ascii="Times New Roman" w:hAnsi="Times New Roman" w:cs="Times New Roman"/>
        </w:rPr>
        <w:t xml:space="preserve">the </w:t>
      </w:r>
      <w:r w:rsidRPr="00E2012A">
        <w:rPr>
          <w:rFonts w:ascii="Times New Roman" w:hAnsi="Times New Roman" w:cs="Times New Roman"/>
        </w:rPr>
        <w:t>Respond</w:t>
      </w:r>
      <w:r w:rsidR="007B020A" w:rsidRPr="00E2012A">
        <w:rPr>
          <w:rFonts w:ascii="Times New Roman" w:hAnsi="Times New Roman" w:cs="Times New Roman"/>
        </w:rPr>
        <w:t>ent</w:t>
      </w:r>
      <w:r w:rsidRPr="00E2012A">
        <w:rPr>
          <w:rFonts w:ascii="Times New Roman" w:hAnsi="Times New Roman" w:cs="Times New Roman"/>
        </w:rPr>
        <w:t xml:space="preserve">, or order a refund of unreasonable rates.  Rather, these rates are governed by private contract between the EGS and the customer.  The Commission lacks the jurisdiction to rule on the parties’ responsibilities under a private agreement or the authority to award damages under that agreement.  </w:t>
      </w:r>
      <w:r w:rsidRPr="00E2012A">
        <w:rPr>
          <w:rFonts w:ascii="Times New Roman" w:hAnsi="Times New Roman" w:cs="Times New Roman"/>
          <w:u w:val="single"/>
        </w:rPr>
        <w:t>Feingold v. Bell Tel. Co. of Pa.</w:t>
      </w:r>
      <w:r w:rsidRPr="00E2012A">
        <w:rPr>
          <w:rFonts w:ascii="Times New Roman" w:hAnsi="Times New Roman" w:cs="Times New Roman"/>
        </w:rPr>
        <w:t xml:space="preserve">, 383 A.2d 791 (Pa. 1977).  Since the Commission lacks jurisdiction to regulate the rates charged by </w:t>
      </w:r>
      <w:r w:rsidR="007B020A" w:rsidRPr="00E2012A">
        <w:rPr>
          <w:rFonts w:ascii="Times New Roman" w:hAnsi="Times New Roman" w:cs="Times New Roman"/>
        </w:rPr>
        <w:t xml:space="preserve">the </w:t>
      </w:r>
      <w:r w:rsidRPr="00E2012A">
        <w:rPr>
          <w:rFonts w:ascii="Times New Roman" w:hAnsi="Times New Roman" w:cs="Times New Roman"/>
        </w:rPr>
        <w:t>Respond</w:t>
      </w:r>
      <w:r w:rsidR="007B020A" w:rsidRPr="00E2012A">
        <w:rPr>
          <w:rFonts w:ascii="Times New Roman" w:hAnsi="Times New Roman" w:cs="Times New Roman"/>
        </w:rPr>
        <w:t>ent</w:t>
      </w:r>
      <w:r w:rsidRPr="00E2012A">
        <w:rPr>
          <w:rFonts w:ascii="Times New Roman" w:hAnsi="Times New Roman" w:cs="Times New Roman"/>
        </w:rPr>
        <w:t xml:space="preserve"> or rule on the parties’ responsibilities under their private agreement, the Commission cannot order </w:t>
      </w:r>
      <w:r w:rsidR="007B020A" w:rsidRPr="00E2012A">
        <w:rPr>
          <w:rFonts w:ascii="Times New Roman" w:hAnsi="Times New Roman" w:cs="Times New Roman"/>
        </w:rPr>
        <w:t xml:space="preserve">the </w:t>
      </w:r>
      <w:r w:rsidRPr="00E2012A">
        <w:rPr>
          <w:rFonts w:ascii="Times New Roman" w:hAnsi="Times New Roman" w:cs="Times New Roman"/>
        </w:rPr>
        <w:t>Respond</w:t>
      </w:r>
      <w:r w:rsidR="007B020A" w:rsidRPr="00E2012A">
        <w:rPr>
          <w:rFonts w:ascii="Times New Roman" w:hAnsi="Times New Roman" w:cs="Times New Roman"/>
        </w:rPr>
        <w:t>ent</w:t>
      </w:r>
      <w:r w:rsidRPr="00E2012A">
        <w:rPr>
          <w:rFonts w:ascii="Times New Roman" w:hAnsi="Times New Roman" w:cs="Times New Roman"/>
        </w:rPr>
        <w:t xml:space="preserve"> to refund any charges for electric generation supply service to the Complainant.</w:t>
      </w:r>
    </w:p>
    <w:p w:rsidR="007B020A" w:rsidRPr="00E2012A" w:rsidRDefault="007B020A" w:rsidP="00611AC0">
      <w:pPr>
        <w:pStyle w:val="ParaTab1"/>
        <w:spacing w:line="360" w:lineRule="auto"/>
        <w:rPr>
          <w:rFonts w:ascii="Times New Roman" w:hAnsi="Times New Roman" w:cs="Times New Roman"/>
        </w:rPr>
      </w:pPr>
    </w:p>
    <w:p w:rsidR="00611AC0" w:rsidRPr="00E2012A" w:rsidRDefault="00611AC0" w:rsidP="00611AC0">
      <w:pPr>
        <w:pStyle w:val="ParaTab1"/>
        <w:spacing w:line="360" w:lineRule="auto"/>
        <w:rPr>
          <w:rFonts w:ascii="Times New Roman" w:hAnsi="Times New Roman" w:cs="Times New Roman"/>
        </w:rPr>
      </w:pPr>
      <w:r w:rsidRPr="00E2012A">
        <w:rPr>
          <w:rFonts w:ascii="Times New Roman" w:hAnsi="Times New Roman" w:cs="Times New Roman"/>
        </w:rPr>
        <w:t xml:space="preserve">The Commission has specifically addressed its authority to direct EGSs to refund charges for electric generation supply service.  In </w:t>
      </w:r>
      <w:r w:rsidRPr="00E2012A">
        <w:rPr>
          <w:rFonts w:ascii="Times New Roman" w:hAnsi="Times New Roman" w:cs="Times New Roman"/>
          <w:u w:val="single"/>
        </w:rPr>
        <w:t>Commonwealth of Pennsylvania, by Attorney General, Kathleen G. Kane, through the Bureau of Consumer Protection and Tanya J. McCloskey, Acting Consumer Advocate v. IDT Energy, Inc.</w:t>
      </w:r>
      <w:r w:rsidRPr="00E2012A">
        <w:rPr>
          <w:rFonts w:ascii="Times New Roman" w:hAnsi="Times New Roman" w:cs="Times New Roman"/>
        </w:rPr>
        <w:t>, Docket No. C-2014-2427657 (Order entered December 18, 2014) (</w:t>
      </w:r>
      <w:r w:rsidRPr="00E2012A">
        <w:rPr>
          <w:rFonts w:ascii="Times New Roman" w:hAnsi="Times New Roman" w:cs="Times New Roman"/>
          <w:u w:val="single"/>
        </w:rPr>
        <w:t>IDT Order</w:t>
      </w:r>
      <w:r w:rsidRPr="00E2012A">
        <w:rPr>
          <w:rFonts w:ascii="Times New Roman" w:hAnsi="Times New Roman" w:cs="Times New Roman"/>
        </w:rPr>
        <w:t xml:space="preserve">), the Commission held that it lacked the authority, pursuant to 66 Pa.C.S. § 1312, to direct EGSs to refund charges for electric generation supply service.  The Commission reached this conclusion because it reasoned that 66 Pa.C.S. § 1312 applied only to rates charged by public utilities and EGSs are not public utilities except </w:t>
      </w:r>
      <w:r w:rsidRPr="00E2012A">
        <w:rPr>
          <w:rFonts w:ascii="Times New Roman" w:hAnsi="Times New Roman" w:cs="Times New Roman"/>
        </w:rPr>
        <w:lastRenderedPageBreak/>
        <w:t xml:space="preserve">for the limited purposes of 66 Pa.C.S. §§ 2809 and 2810.  Therefore, the Commission could not generally refund charges for electric generation supply service. </w:t>
      </w:r>
    </w:p>
    <w:p w:rsidR="00611AC0" w:rsidRPr="00E2012A" w:rsidRDefault="00611AC0" w:rsidP="00611AC0">
      <w:pPr>
        <w:pStyle w:val="ParaTab1"/>
        <w:spacing w:line="360" w:lineRule="auto"/>
        <w:rPr>
          <w:rFonts w:ascii="Times New Roman" w:hAnsi="Times New Roman" w:cs="Times New Roman"/>
        </w:rPr>
      </w:pPr>
    </w:p>
    <w:p w:rsidR="00611AC0" w:rsidRPr="00E2012A" w:rsidRDefault="00611AC0" w:rsidP="00611AC0">
      <w:pPr>
        <w:pStyle w:val="ParaTab1"/>
        <w:spacing w:line="360" w:lineRule="auto"/>
        <w:rPr>
          <w:rFonts w:ascii="Times New Roman" w:hAnsi="Times New Roman" w:cs="Times New Roman"/>
        </w:rPr>
      </w:pPr>
      <w:r w:rsidRPr="00E2012A">
        <w:rPr>
          <w:rFonts w:ascii="Times New Roman" w:hAnsi="Times New Roman" w:cs="Times New Roman"/>
        </w:rPr>
        <w:t xml:space="preserve">However, the Commission carved out two exceptions to this no refund rule in the </w:t>
      </w:r>
      <w:r w:rsidRPr="00E2012A">
        <w:rPr>
          <w:rFonts w:ascii="Times New Roman" w:hAnsi="Times New Roman" w:cs="Times New Roman"/>
          <w:u w:val="single"/>
        </w:rPr>
        <w:t>IDT Order</w:t>
      </w:r>
      <w:r w:rsidRPr="00E2012A">
        <w:rPr>
          <w:rFonts w:ascii="Times New Roman" w:hAnsi="Times New Roman" w:cs="Times New Roman"/>
        </w:rPr>
        <w:t xml:space="preserve">.  First, the Commission noted that, pursuant to 52 Pa.Code § 57.177(b), it could direct an EGS to refund charges when a customer has been switched to an EGS without the customer’s consent.  Second, the Commission stated that it had the authority, pursuant to 66 Pa.C.S. § 501, to order a credit or refund where the EGS overbills a customer by failing to bill a customer in accordance with its disclosure statement, in violation of 52 Pa.Code §§ 54.4(a) and 54.5(a) and 66 Pa.C.S. § 2809(b).  </w:t>
      </w:r>
      <w:r w:rsidR="00E2012A" w:rsidRPr="00E2012A">
        <w:rPr>
          <w:rFonts w:ascii="Times New Roman" w:hAnsi="Times New Roman" w:cs="Times New Roman"/>
        </w:rPr>
        <w:t xml:space="preserve">Neither exception to the no refund rule stated in the </w:t>
      </w:r>
      <w:r w:rsidR="00E2012A" w:rsidRPr="00E2012A">
        <w:rPr>
          <w:rFonts w:ascii="Times New Roman" w:hAnsi="Times New Roman" w:cs="Times New Roman"/>
          <w:u w:val="single"/>
        </w:rPr>
        <w:t>IDT Order</w:t>
      </w:r>
      <w:r w:rsidRPr="00E2012A">
        <w:rPr>
          <w:rFonts w:ascii="Times New Roman" w:hAnsi="Times New Roman" w:cs="Times New Roman"/>
        </w:rPr>
        <w:t xml:space="preserve"> </w:t>
      </w:r>
      <w:r w:rsidR="00E2012A" w:rsidRPr="00E2012A">
        <w:rPr>
          <w:rFonts w:ascii="Times New Roman" w:hAnsi="Times New Roman" w:cs="Times New Roman"/>
        </w:rPr>
        <w:t xml:space="preserve">applies in this case because </w:t>
      </w:r>
      <w:r w:rsidRPr="00E2012A">
        <w:rPr>
          <w:rFonts w:ascii="Times New Roman" w:hAnsi="Times New Roman" w:cs="Times New Roman"/>
        </w:rPr>
        <w:t xml:space="preserve">the Complainant has failed to state in her complaint </w:t>
      </w:r>
      <w:r w:rsidR="00E2012A" w:rsidRPr="00E2012A">
        <w:rPr>
          <w:rFonts w:ascii="Times New Roman" w:hAnsi="Times New Roman" w:cs="Times New Roman"/>
        </w:rPr>
        <w:t xml:space="preserve">either </w:t>
      </w:r>
      <w:r w:rsidRPr="00E2012A">
        <w:rPr>
          <w:rFonts w:ascii="Times New Roman" w:hAnsi="Times New Roman" w:cs="Times New Roman"/>
        </w:rPr>
        <w:t xml:space="preserve">that she was switched </w:t>
      </w:r>
      <w:r w:rsidR="007B020A" w:rsidRPr="00E2012A">
        <w:rPr>
          <w:rFonts w:ascii="Times New Roman" w:hAnsi="Times New Roman" w:cs="Times New Roman"/>
        </w:rPr>
        <w:t xml:space="preserve">to the </w:t>
      </w:r>
      <w:r w:rsidRPr="00E2012A">
        <w:rPr>
          <w:rFonts w:ascii="Times New Roman" w:hAnsi="Times New Roman" w:cs="Times New Roman"/>
        </w:rPr>
        <w:t>Respond</w:t>
      </w:r>
      <w:r w:rsidR="007B020A" w:rsidRPr="00E2012A">
        <w:rPr>
          <w:rFonts w:ascii="Times New Roman" w:hAnsi="Times New Roman" w:cs="Times New Roman"/>
        </w:rPr>
        <w:t>ent</w:t>
      </w:r>
      <w:r w:rsidRPr="00E2012A">
        <w:rPr>
          <w:rFonts w:ascii="Times New Roman" w:hAnsi="Times New Roman" w:cs="Times New Roman"/>
        </w:rPr>
        <w:t xml:space="preserve"> as her EGS without her consent or that </w:t>
      </w:r>
      <w:r w:rsidR="007B020A" w:rsidRPr="00E2012A">
        <w:rPr>
          <w:rFonts w:ascii="Times New Roman" w:hAnsi="Times New Roman" w:cs="Times New Roman"/>
        </w:rPr>
        <w:t xml:space="preserve">the </w:t>
      </w:r>
      <w:r w:rsidRPr="00E2012A">
        <w:rPr>
          <w:rFonts w:ascii="Times New Roman" w:hAnsi="Times New Roman" w:cs="Times New Roman"/>
        </w:rPr>
        <w:t>Respond</w:t>
      </w:r>
      <w:r w:rsidR="007B020A" w:rsidRPr="00E2012A">
        <w:rPr>
          <w:rFonts w:ascii="Times New Roman" w:hAnsi="Times New Roman" w:cs="Times New Roman"/>
        </w:rPr>
        <w:t>ent</w:t>
      </w:r>
      <w:r w:rsidRPr="00E2012A">
        <w:rPr>
          <w:rFonts w:ascii="Times New Roman" w:hAnsi="Times New Roman" w:cs="Times New Roman"/>
        </w:rPr>
        <w:t xml:space="preserve"> failed to bill her in accordance with its disclosure statement.  </w:t>
      </w:r>
    </w:p>
    <w:p w:rsidR="007B020A" w:rsidRPr="00E2012A" w:rsidRDefault="007B020A" w:rsidP="001A31A4">
      <w:pPr>
        <w:spacing w:line="360" w:lineRule="auto"/>
        <w:ind w:firstLine="1440"/>
        <w:rPr>
          <w:rFonts w:ascii="Times New Roman" w:hAnsi="Times New Roman" w:cs="Times New Roman"/>
        </w:rPr>
      </w:pPr>
    </w:p>
    <w:p w:rsidR="007B020A" w:rsidRPr="00E2012A" w:rsidRDefault="007B020A" w:rsidP="007B020A">
      <w:pPr>
        <w:pStyle w:val="ParaTab1"/>
        <w:spacing w:line="360" w:lineRule="auto"/>
        <w:ind w:left="90" w:firstLine="1350"/>
        <w:rPr>
          <w:rFonts w:ascii="Times New Roman" w:hAnsi="Times New Roman" w:cs="Times New Roman"/>
        </w:rPr>
      </w:pPr>
      <w:r w:rsidRPr="00E2012A">
        <w:rPr>
          <w:rFonts w:ascii="Times New Roman" w:hAnsi="Times New Roman" w:cs="Times New Roman"/>
        </w:rPr>
        <w:t>Accepting as true all of the facts alleged in the Complainant’s complaint, the Complainant is not entitled to relief as a matter of law.  As set forth above, the Commission lacks jurisdiction to determine the reasonableness of the rates charged by the Respondent or to order a refund.  I will grant the Respondent’s motion for judgment on the pleadings and deny the complaint against the Respondent.</w:t>
      </w:r>
    </w:p>
    <w:p w:rsidR="007B020A" w:rsidRPr="00E2012A" w:rsidRDefault="007B020A" w:rsidP="007B020A">
      <w:pPr>
        <w:pStyle w:val="ParaTab1"/>
        <w:spacing w:line="360" w:lineRule="auto"/>
        <w:ind w:left="90" w:firstLine="1350"/>
        <w:rPr>
          <w:rFonts w:ascii="Times New Roman" w:hAnsi="Times New Roman" w:cs="Times New Roman"/>
        </w:rPr>
      </w:pPr>
    </w:p>
    <w:p w:rsidR="007B020A" w:rsidRPr="00E2012A" w:rsidRDefault="007B020A" w:rsidP="007B020A">
      <w:pPr>
        <w:spacing w:line="360" w:lineRule="auto"/>
        <w:ind w:firstLine="1440"/>
        <w:rPr>
          <w:rFonts w:ascii="Times New Roman" w:hAnsi="Times New Roman" w:cs="Times New Roman"/>
          <w:color w:val="000000"/>
          <w:u w:color="000000"/>
        </w:rPr>
      </w:pPr>
      <w:r w:rsidRPr="00E2012A">
        <w:rPr>
          <w:rFonts w:ascii="Times New Roman" w:hAnsi="Times New Roman" w:cs="Times New Roman"/>
        </w:rPr>
        <w:t xml:space="preserve">In prior decisions, the Commission has indicated that it disfavors granting motions dismissing complaints filed by </w:t>
      </w:r>
      <w:r w:rsidRPr="00E2012A">
        <w:rPr>
          <w:rFonts w:ascii="Times New Roman" w:hAnsi="Times New Roman" w:cs="Times New Roman"/>
          <w:u w:val="single"/>
        </w:rPr>
        <w:t>pro se</w:t>
      </w:r>
      <w:r w:rsidRPr="00E2012A">
        <w:rPr>
          <w:rFonts w:ascii="Times New Roman" w:hAnsi="Times New Roman" w:cs="Times New Roman"/>
        </w:rPr>
        <w:t xml:space="preserve"> complainants.  </w:t>
      </w:r>
      <w:r w:rsidRPr="00E2012A">
        <w:rPr>
          <w:rFonts w:ascii="Times New Roman" w:hAnsi="Times New Roman" w:cs="Times New Roman"/>
          <w:iCs/>
          <w:color w:val="000000"/>
          <w:u w:val="single" w:color="000000"/>
        </w:rPr>
        <w:t>Carlock v. The United Telephone Company of Pennsylvania</w:t>
      </w:r>
      <w:r w:rsidRPr="00E2012A">
        <w:rPr>
          <w:rFonts w:ascii="Times New Roman" w:hAnsi="Times New Roman" w:cs="Times New Roman"/>
          <w:iCs/>
          <w:color w:val="000000"/>
          <w:u w:color="000000"/>
        </w:rPr>
        <w:t>,</w:t>
      </w:r>
      <w:r w:rsidRPr="00E2012A">
        <w:rPr>
          <w:rFonts w:ascii="Times New Roman" w:hAnsi="Times New Roman" w:cs="Times New Roman"/>
          <w:color w:val="000000"/>
          <w:u w:color="000000"/>
        </w:rPr>
        <w:t xml:space="preserve"> Docket No. F-00163617 (Order entered July 14, 1993) (</w:t>
      </w:r>
      <w:r w:rsidRPr="00E2012A">
        <w:rPr>
          <w:rFonts w:ascii="Times New Roman" w:hAnsi="Times New Roman" w:cs="Times New Roman"/>
          <w:color w:val="000000"/>
          <w:u w:val="single" w:color="000000"/>
        </w:rPr>
        <w:t>Carlock</w:t>
      </w:r>
      <w:r w:rsidRPr="00E2012A">
        <w:rPr>
          <w:rFonts w:ascii="Times New Roman" w:hAnsi="Times New Roman" w:cs="Times New Roman"/>
          <w:color w:val="000000"/>
          <w:u w:color="000000"/>
        </w:rPr>
        <w:t xml:space="preserve">); </w:t>
      </w:r>
      <w:r w:rsidRPr="00E2012A">
        <w:rPr>
          <w:rFonts w:ascii="Times New Roman" w:hAnsi="Times New Roman" w:cs="Times New Roman"/>
          <w:color w:val="000000"/>
          <w:u w:val="single" w:color="000000"/>
        </w:rPr>
        <w:t>Brown v. PECO Energy Company</w:t>
      </w:r>
      <w:r w:rsidRPr="00E2012A">
        <w:rPr>
          <w:rFonts w:ascii="Times New Roman" w:hAnsi="Times New Roman" w:cs="Times New Roman"/>
          <w:color w:val="000000"/>
          <w:u w:color="000000"/>
        </w:rPr>
        <w:t>, Docket No. C-2008-2055866 (Order entered May 29, 2009) (</w:t>
      </w:r>
      <w:r w:rsidRPr="00E2012A">
        <w:rPr>
          <w:rFonts w:ascii="Times New Roman" w:hAnsi="Times New Roman" w:cs="Times New Roman"/>
          <w:color w:val="000000"/>
          <w:u w:val="single" w:color="000000"/>
        </w:rPr>
        <w:t>Brown</w:t>
      </w:r>
      <w:r w:rsidRPr="00E2012A">
        <w:rPr>
          <w:rFonts w:ascii="Times New Roman" w:hAnsi="Times New Roman" w:cs="Times New Roman"/>
          <w:color w:val="000000"/>
          <w:u w:color="000000"/>
        </w:rPr>
        <w:t xml:space="preserve">); </w:t>
      </w:r>
      <w:r w:rsidRPr="00E2012A">
        <w:rPr>
          <w:rFonts w:ascii="Times New Roman" w:hAnsi="Times New Roman" w:cs="Times New Roman"/>
          <w:color w:val="000000"/>
          <w:u w:val="single" w:color="000000"/>
        </w:rPr>
        <w:t>Richmond v. PECO Energy Company</w:t>
      </w:r>
      <w:r w:rsidRPr="00E2012A">
        <w:rPr>
          <w:rFonts w:ascii="Times New Roman" w:hAnsi="Times New Roman" w:cs="Times New Roman"/>
          <w:color w:val="000000"/>
          <w:u w:color="000000"/>
        </w:rPr>
        <w:t>, Docket No. F-2010-2187305 (Order entered December 7, 2011) (</w:t>
      </w:r>
      <w:r w:rsidRPr="00E2012A">
        <w:rPr>
          <w:rFonts w:ascii="Times New Roman" w:hAnsi="Times New Roman" w:cs="Times New Roman"/>
          <w:color w:val="000000"/>
          <w:u w:val="single" w:color="000000"/>
        </w:rPr>
        <w:t>Richmond</w:t>
      </w:r>
      <w:r w:rsidRPr="00E2012A">
        <w:rPr>
          <w:rFonts w:ascii="Times New Roman" w:hAnsi="Times New Roman" w:cs="Times New Roman"/>
          <w:color w:val="000000"/>
          <w:u w:color="000000"/>
        </w:rPr>
        <w:t xml:space="preserve">).  In </w:t>
      </w:r>
      <w:r w:rsidRPr="00E2012A">
        <w:rPr>
          <w:rFonts w:ascii="Times New Roman" w:hAnsi="Times New Roman" w:cs="Times New Roman"/>
          <w:color w:val="000000"/>
          <w:u w:val="single" w:color="000000"/>
        </w:rPr>
        <w:t>Carlock</w:t>
      </w:r>
      <w:r w:rsidRPr="00E2012A">
        <w:rPr>
          <w:rFonts w:ascii="Times New Roman" w:hAnsi="Times New Roman" w:cs="Times New Roman"/>
          <w:color w:val="000000"/>
          <w:u w:color="000000"/>
        </w:rPr>
        <w:t xml:space="preserve">, </w:t>
      </w:r>
      <w:r w:rsidRPr="00E2012A">
        <w:rPr>
          <w:rFonts w:ascii="Times New Roman" w:hAnsi="Times New Roman" w:cs="Times New Roman"/>
          <w:color w:val="000000"/>
          <w:u w:val="single" w:color="000000"/>
        </w:rPr>
        <w:t>Brown</w:t>
      </w:r>
      <w:r w:rsidRPr="00E2012A">
        <w:rPr>
          <w:rFonts w:ascii="Times New Roman" w:hAnsi="Times New Roman" w:cs="Times New Roman"/>
          <w:color w:val="000000"/>
          <w:u w:color="000000"/>
        </w:rPr>
        <w:t xml:space="preserve">, and </w:t>
      </w:r>
      <w:r w:rsidRPr="00E2012A">
        <w:rPr>
          <w:rFonts w:ascii="Times New Roman" w:hAnsi="Times New Roman" w:cs="Times New Roman"/>
          <w:color w:val="000000"/>
          <w:u w:val="single" w:color="000000"/>
        </w:rPr>
        <w:t>Richmond</w:t>
      </w:r>
      <w:r w:rsidRPr="00E2012A">
        <w:rPr>
          <w:rFonts w:ascii="Times New Roman" w:hAnsi="Times New Roman" w:cs="Times New Roman"/>
          <w:color w:val="000000"/>
          <w:u w:color="000000"/>
        </w:rPr>
        <w:t xml:space="preserve">, the Commission indicated that a complaint filed by a </w:t>
      </w:r>
      <w:r w:rsidRPr="00E2012A">
        <w:rPr>
          <w:rFonts w:ascii="Times New Roman" w:hAnsi="Times New Roman" w:cs="Times New Roman"/>
          <w:color w:val="000000"/>
          <w:u w:val="single"/>
        </w:rPr>
        <w:t>pro se</w:t>
      </w:r>
      <w:r w:rsidRPr="00E2012A">
        <w:rPr>
          <w:rFonts w:ascii="Times New Roman" w:hAnsi="Times New Roman" w:cs="Times New Roman"/>
          <w:color w:val="000000"/>
          <w:u w:color="000000"/>
        </w:rPr>
        <w:t xml:space="preserve"> complainant should not be dismissed until the complainant has the opportunity to orally explain his or her position at a hearing.  </w:t>
      </w:r>
    </w:p>
    <w:p w:rsidR="007B020A" w:rsidRPr="00E2012A" w:rsidRDefault="007B020A" w:rsidP="007B020A">
      <w:pPr>
        <w:spacing w:line="360" w:lineRule="auto"/>
        <w:ind w:firstLine="1440"/>
        <w:rPr>
          <w:rFonts w:ascii="Times New Roman" w:hAnsi="Times New Roman" w:cs="Times New Roman"/>
          <w:color w:val="000000"/>
          <w:u w:color="000000"/>
        </w:rPr>
      </w:pPr>
    </w:p>
    <w:p w:rsidR="007B020A" w:rsidRPr="00E2012A" w:rsidRDefault="007B020A" w:rsidP="007B020A">
      <w:pPr>
        <w:pStyle w:val="ParaTab1"/>
        <w:spacing w:line="360" w:lineRule="auto"/>
        <w:ind w:left="90" w:firstLine="1350"/>
        <w:rPr>
          <w:rFonts w:ascii="Times New Roman" w:hAnsi="Times New Roman" w:cs="Times New Roman"/>
        </w:rPr>
      </w:pPr>
      <w:r w:rsidRPr="00E2012A">
        <w:rPr>
          <w:rFonts w:ascii="Times New Roman" w:hAnsi="Times New Roman" w:cs="Times New Roman"/>
          <w:color w:val="000000"/>
          <w:u w:color="000000"/>
        </w:rPr>
        <w:t xml:space="preserve">However, in </w:t>
      </w:r>
      <w:r w:rsidRPr="00E2012A">
        <w:rPr>
          <w:rFonts w:ascii="Times New Roman" w:hAnsi="Times New Roman" w:cs="Times New Roman"/>
          <w:color w:val="000000"/>
          <w:u w:val="single" w:color="000000"/>
        </w:rPr>
        <w:t>Nadav v. Respond Power, LLC</w:t>
      </w:r>
      <w:r w:rsidRPr="00E2012A">
        <w:rPr>
          <w:rFonts w:ascii="Times New Roman" w:hAnsi="Times New Roman" w:cs="Times New Roman"/>
          <w:color w:val="000000"/>
          <w:u w:color="000000"/>
        </w:rPr>
        <w:t>, Docket No. C-2014-2429159 (Order entered December 19, 2014) (</w:t>
      </w:r>
      <w:r w:rsidRPr="00E2012A">
        <w:rPr>
          <w:rFonts w:ascii="Times New Roman" w:hAnsi="Times New Roman" w:cs="Times New Roman"/>
          <w:color w:val="000000"/>
          <w:u w:val="single" w:color="000000"/>
        </w:rPr>
        <w:t>Nadav</w:t>
      </w:r>
      <w:r w:rsidR="00241DE8" w:rsidRPr="00E2012A">
        <w:rPr>
          <w:rFonts w:ascii="Times New Roman" w:hAnsi="Times New Roman" w:cs="Times New Roman"/>
          <w:color w:val="000000"/>
          <w:u w:color="000000"/>
        </w:rPr>
        <w:t xml:space="preserve">) and </w:t>
      </w:r>
      <w:r w:rsidR="00241DE8" w:rsidRPr="00E2012A">
        <w:rPr>
          <w:rFonts w:ascii="Times New Roman" w:hAnsi="Times New Roman" w:cs="Times New Roman"/>
          <w:color w:val="000000"/>
          <w:u w:val="single" w:color="000000"/>
        </w:rPr>
        <w:t>Werle v. Respond Power, LLC</w:t>
      </w:r>
      <w:r w:rsidR="00241DE8" w:rsidRPr="00E2012A">
        <w:rPr>
          <w:rFonts w:ascii="Times New Roman" w:hAnsi="Times New Roman" w:cs="Times New Roman"/>
          <w:color w:val="000000"/>
          <w:u w:color="000000"/>
        </w:rPr>
        <w:t>, Docket No. C-2</w:t>
      </w:r>
      <w:r w:rsidR="000D6943">
        <w:rPr>
          <w:rFonts w:ascii="Times New Roman" w:hAnsi="Times New Roman" w:cs="Times New Roman"/>
          <w:color w:val="000000"/>
          <w:u w:color="000000"/>
        </w:rPr>
        <w:t>0</w:t>
      </w:r>
      <w:r w:rsidR="00241DE8" w:rsidRPr="00E2012A">
        <w:rPr>
          <w:rFonts w:ascii="Times New Roman" w:hAnsi="Times New Roman" w:cs="Times New Roman"/>
          <w:color w:val="000000"/>
          <w:u w:color="000000"/>
        </w:rPr>
        <w:t>1</w:t>
      </w:r>
      <w:bookmarkStart w:id="1" w:name="_GoBack"/>
      <w:bookmarkEnd w:id="1"/>
      <w:r w:rsidR="00241DE8" w:rsidRPr="00E2012A">
        <w:rPr>
          <w:rFonts w:ascii="Times New Roman" w:hAnsi="Times New Roman" w:cs="Times New Roman"/>
          <w:color w:val="000000"/>
          <w:u w:color="000000"/>
        </w:rPr>
        <w:t>4-</w:t>
      </w:r>
      <w:r w:rsidR="00241DE8" w:rsidRPr="00E2012A">
        <w:rPr>
          <w:rFonts w:ascii="Times New Roman" w:hAnsi="Times New Roman" w:cs="Times New Roman"/>
          <w:color w:val="000000"/>
          <w:u w:color="000000"/>
        </w:rPr>
        <w:lastRenderedPageBreak/>
        <w:t>2429158 (Order entered February 23, 2015) (</w:t>
      </w:r>
      <w:r w:rsidR="00241DE8" w:rsidRPr="00E2012A">
        <w:rPr>
          <w:rFonts w:ascii="Times New Roman" w:hAnsi="Times New Roman" w:cs="Times New Roman"/>
          <w:color w:val="000000"/>
          <w:u w:val="single" w:color="000000"/>
        </w:rPr>
        <w:t>Werle</w:t>
      </w:r>
      <w:r w:rsidR="00241DE8" w:rsidRPr="00E2012A">
        <w:rPr>
          <w:rFonts w:ascii="Times New Roman" w:hAnsi="Times New Roman" w:cs="Times New Roman"/>
          <w:color w:val="000000"/>
          <w:u w:color="000000"/>
        </w:rPr>
        <w:t>)</w:t>
      </w:r>
      <w:r w:rsidRPr="00E2012A">
        <w:rPr>
          <w:rFonts w:ascii="Times New Roman" w:hAnsi="Times New Roman" w:cs="Times New Roman"/>
          <w:color w:val="000000"/>
          <w:u w:color="000000"/>
        </w:rPr>
        <w:t xml:space="preserve"> the Commission sustained preliminary objections filed by </w:t>
      </w:r>
      <w:r w:rsidR="00241DE8" w:rsidRPr="00E2012A">
        <w:rPr>
          <w:rFonts w:ascii="Times New Roman" w:hAnsi="Times New Roman" w:cs="Times New Roman"/>
          <w:color w:val="000000"/>
          <w:u w:color="000000"/>
        </w:rPr>
        <w:t>an EGS</w:t>
      </w:r>
      <w:r w:rsidRPr="00E2012A">
        <w:rPr>
          <w:rFonts w:ascii="Times New Roman" w:hAnsi="Times New Roman" w:cs="Times New Roman"/>
          <w:color w:val="000000"/>
          <w:u w:color="000000"/>
        </w:rPr>
        <w:t xml:space="preserve"> and dismissed a complaint where the complaint alleged that </w:t>
      </w:r>
      <w:r w:rsidR="00751770" w:rsidRPr="00E2012A">
        <w:rPr>
          <w:rFonts w:ascii="Times New Roman" w:hAnsi="Times New Roman" w:cs="Times New Roman"/>
          <w:color w:val="000000"/>
          <w:u w:color="000000"/>
        </w:rPr>
        <w:t>an EGS</w:t>
      </w:r>
      <w:r w:rsidRPr="00E2012A">
        <w:rPr>
          <w:rFonts w:ascii="Times New Roman" w:hAnsi="Times New Roman" w:cs="Times New Roman"/>
          <w:color w:val="000000"/>
          <w:u w:color="000000"/>
        </w:rPr>
        <w:t>’s rates were unreasonable.  In dismissing the complaint</w:t>
      </w:r>
      <w:r w:rsidR="00751770" w:rsidRPr="00E2012A">
        <w:rPr>
          <w:rFonts w:ascii="Times New Roman" w:hAnsi="Times New Roman" w:cs="Times New Roman"/>
          <w:color w:val="000000"/>
          <w:u w:color="000000"/>
        </w:rPr>
        <w:t>s</w:t>
      </w:r>
      <w:r w:rsidRPr="00E2012A">
        <w:rPr>
          <w:rFonts w:ascii="Times New Roman" w:hAnsi="Times New Roman" w:cs="Times New Roman"/>
          <w:color w:val="000000"/>
          <w:u w:color="000000"/>
        </w:rPr>
        <w:t xml:space="preserve">, the Commission in </w:t>
      </w:r>
      <w:r w:rsidRPr="00E2012A">
        <w:rPr>
          <w:rFonts w:ascii="Times New Roman" w:hAnsi="Times New Roman" w:cs="Times New Roman"/>
          <w:color w:val="000000"/>
          <w:u w:val="single" w:color="000000"/>
        </w:rPr>
        <w:t>Nadav</w:t>
      </w:r>
      <w:r w:rsidRPr="00E2012A">
        <w:rPr>
          <w:rFonts w:ascii="Times New Roman" w:hAnsi="Times New Roman" w:cs="Times New Roman"/>
          <w:color w:val="000000"/>
          <w:u w:color="000000"/>
        </w:rPr>
        <w:t xml:space="preserve"> </w:t>
      </w:r>
      <w:r w:rsidR="00241DE8" w:rsidRPr="00E2012A">
        <w:rPr>
          <w:rFonts w:ascii="Times New Roman" w:hAnsi="Times New Roman" w:cs="Times New Roman"/>
          <w:color w:val="000000"/>
          <w:u w:color="000000"/>
        </w:rPr>
        <w:t xml:space="preserve">and </w:t>
      </w:r>
      <w:r w:rsidR="00241DE8" w:rsidRPr="00E2012A">
        <w:rPr>
          <w:rFonts w:ascii="Times New Roman" w:hAnsi="Times New Roman" w:cs="Times New Roman"/>
          <w:color w:val="000000"/>
          <w:u w:val="single" w:color="000000"/>
        </w:rPr>
        <w:t>Werle</w:t>
      </w:r>
      <w:r w:rsidR="00241DE8" w:rsidRPr="00E2012A">
        <w:rPr>
          <w:rFonts w:ascii="Times New Roman" w:hAnsi="Times New Roman" w:cs="Times New Roman"/>
          <w:color w:val="000000"/>
          <w:u w:color="000000"/>
        </w:rPr>
        <w:t xml:space="preserve"> </w:t>
      </w:r>
      <w:r w:rsidRPr="00E2012A">
        <w:rPr>
          <w:rFonts w:ascii="Times New Roman" w:hAnsi="Times New Roman" w:cs="Times New Roman"/>
          <w:color w:val="000000"/>
          <w:u w:color="000000"/>
        </w:rPr>
        <w:t xml:space="preserve">concluded that it had no authority to regulate </w:t>
      </w:r>
      <w:r w:rsidR="00241DE8" w:rsidRPr="00E2012A">
        <w:rPr>
          <w:rFonts w:ascii="Times New Roman" w:hAnsi="Times New Roman" w:cs="Times New Roman"/>
          <w:color w:val="000000"/>
          <w:u w:color="000000"/>
        </w:rPr>
        <w:t>an EGS</w:t>
      </w:r>
      <w:r w:rsidRPr="00E2012A">
        <w:rPr>
          <w:rFonts w:ascii="Times New Roman" w:hAnsi="Times New Roman" w:cs="Times New Roman"/>
          <w:color w:val="000000"/>
          <w:u w:color="000000"/>
        </w:rPr>
        <w:t>’s rates and that the complaint</w:t>
      </w:r>
      <w:r w:rsidR="00241DE8" w:rsidRPr="00E2012A">
        <w:rPr>
          <w:rFonts w:ascii="Times New Roman" w:hAnsi="Times New Roman" w:cs="Times New Roman"/>
          <w:color w:val="000000"/>
          <w:u w:color="000000"/>
        </w:rPr>
        <w:t xml:space="preserve"> in each case</w:t>
      </w:r>
      <w:r w:rsidRPr="00E2012A">
        <w:rPr>
          <w:rFonts w:ascii="Times New Roman" w:hAnsi="Times New Roman" w:cs="Times New Roman"/>
          <w:color w:val="000000"/>
          <w:u w:color="000000"/>
        </w:rPr>
        <w:t xml:space="preserve"> was legally insufficient for failing to identify a violation of the electric supply contract, the Public Utility Code, Commission regulation or Commission order. </w:t>
      </w:r>
      <w:r w:rsidRPr="00E2012A">
        <w:rPr>
          <w:rFonts w:ascii="Times New Roman" w:hAnsi="Times New Roman" w:cs="Times New Roman"/>
        </w:rPr>
        <w:t xml:space="preserve">  </w:t>
      </w:r>
    </w:p>
    <w:p w:rsidR="007B020A" w:rsidRPr="00E2012A" w:rsidRDefault="007B020A" w:rsidP="007B020A">
      <w:pPr>
        <w:pStyle w:val="ParaTab1"/>
        <w:spacing w:line="360" w:lineRule="auto"/>
        <w:ind w:left="90" w:firstLine="1350"/>
        <w:rPr>
          <w:rFonts w:ascii="Times New Roman" w:hAnsi="Times New Roman" w:cs="Times New Roman"/>
        </w:rPr>
      </w:pPr>
    </w:p>
    <w:p w:rsidR="007B020A" w:rsidRPr="00E2012A" w:rsidRDefault="007B020A" w:rsidP="007B020A">
      <w:pPr>
        <w:spacing w:line="360" w:lineRule="auto"/>
        <w:ind w:firstLine="1440"/>
        <w:rPr>
          <w:rFonts w:ascii="Times New Roman" w:hAnsi="Times New Roman" w:cs="Times New Roman"/>
        </w:rPr>
      </w:pPr>
      <w:r w:rsidRPr="00E2012A">
        <w:rPr>
          <w:rFonts w:ascii="Times New Roman" w:hAnsi="Times New Roman" w:cs="Times New Roman"/>
          <w:color w:val="000000"/>
          <w:u w:color="000000"/>
        </w:rPr>
        <w:t>Since the complaint in this case raises the same issue</w:t>
      </w:r>
      <w:r w:rsidR="00FC0F03" w:rsidRPr="00E2012A">
        <w:rPr>
          <w:rFonts w:ascii="Times New Roman" w:hAnsi="Times New Roman" w:cs="Times New Roman"/>
          <w:color w:val="000000"/>
          <w:u w:color="000000"/>
        </w:rPr>
        <w:t>s</w:t>
      </w:r>
      <w:r w:rsidRPr="00E2012A">
        <w:rPr>
          <w:rFonts w:ascii="Times New Roman" w:hAnsi="Times New Roman" w:cs="Times New Roman"/>
          <w:color w:val="000000"/>
          <w:u w:color="000000"/>
        </w:rPr>
        <w:t xml:space="preserve"> as the complaint</w:t>
      </w:r>
      <w:r w:rsidR="00241DE8" w:rsidRPr="00E2012A">
        <w:rPr>
          <w:rFonts w:ascii="Times New Roman" w:hAnsi="Times New Roman" w:cs="Times New Roman"/>
          <w:color w:val="000000"/>
          <w:u w:color="000000"/>
        </w:rPr>
        <w:t>s</w:t>
      </w:r>
      <w:r w:rsidRPr="00E2012A">
        <w:rPr>
          <w:rFonts w:ascii="Times New Roman" w:hAnsi="Times New Roman" w:cs="Times New Roman"/>
          <w:color w:val="000000"/>
          <w:u w:color="000000"/>
        </w:rPr>
        <w:t xml:space="preserve"> in </w:t>
      </w:r>
      <w:r w:rsidRPr="00E2012A">
        <w:rPr>
          <w:rFonts w:ascii="Times New Roman" w:hAnsi="Times New Roman" w:cs="Times New Roman"/>
          <w:color w:val="000000"/>
          <w:u w:val="single" w:color="000000"/>
        </w:rPr>
        <w:t>Nadav</w:t>
      </w:r>
      <w:r w:rsidRPr="00E2012A">
        <w:rPr>
          <w:rFonts w:ascii="Times New Roman" w:hAnsi="Times New Roman" w:cs="Times New Roman"/>
          <w:color w:val="000000"/>
          <w:u w:color="000000"/>
        </w:rPr>
        <w:t xml:space="preserve"> </w:t>
      </w:r>
      <w:r w:rsidR="00241DE8" w:rsidRPr="00E2012A">
        <w:rPr>
          <w:rFonts w:ascii="Times New Roman" w:hAnsi="Times New Roman" w:cs="Times New Roman"/>
          <w:color w:val="000000"/>
          <w:u w:color="000000"/>
        </w:rPr>
        <w:t xml:space="preserve">and </w:t>
      </w:r>
      <w:r w:rsidR="00241DE8" w:rsidRPr="00E2012A">
        <w:rPr>
          <w:rFonts w:ascii="Times New Roman" w:hAnsi="Times New Roman" w:cs="Times New Roman"/>
          <w:color w:val="000000"/>
          <w:u w:val="single" w:color="000000"/>
        </w:rPr>
        <w:t>Werle</w:t>
      </w:r>
      <w:r w:rsidR="00241DE8" w:rsidRPr="00E2012A">
        <w:rPr>
          <w:rFonts w:ascii="Times New Roman" w:hAnsi="Times New Roman" w:cs="Times New Roman"/>
          <w:color w:val="000000"/>
          <w:u w:color="000000"/>
        </w:rPr>
        <w:t xml:space="preserve"> </w:t>
      </w:r>
      <w:r w:rsidRPr="00E2012A">
        <w:rPr>
          <w:rFonts w:ascii="Times New Roman" w:hAnsi="Times New Roman" w:cs="Times New Roman"/>
          <w:color w:val="000000"/>
          <w:u w:color="000000"/>
        </w:rPr>
        <w:t>I find the decision</w:t>
      </w:r>
      <w:r w:rsidR="00241DE8" w:rsidRPr="00E2012A">
        <w:rPr>
          <w:rFonts w:ascii="Times New Roman" w:hAnsi="Times New Roman" w:cs="Times New Roman"/>
          <w:color w:val="000000"/>
          <w:u w:color="000000"/>
        </w:rPr>
        <w:t>s</w:t>
      </w:r>
      <w:r w:rsidRPr="00E2012A">
        <w:rPr>
          <w:rFonts w:ascii="Times New Roman" w:hAnsi="Times New Roman" w:cs="Times New Roman"/>
          <w:color w:val="000000"/>
          <w:u w:color="000000"/>
        </w:rPr>
        <w:t xml:space="preserve"> in </w:t>
      </w:r>
      <w:r w:rsidRPr="00E2012A">
        <w:rPr>
          <w:rFonts w:ascii="Times New Roman" w:hAnsi="Times New Roman" w:cs="Times New Roman"/>
          <w:color w:val="000000"/>
          <w:u w:val="single" w:color="000000"/>
        </w:rPr>
        <w:t>Nadav</w:t>
      </w:r>
      <w:r w:rsidRPr="00E2012A">
        <w:rPr>
          <w:rFonts w:ascii="Times New Roman" w:hAnsi="Times New Roman" w:cs="Times New Roman"/>
          <w:color w:val="000000"/>
          <w:u w:color="000000"/>
        </w:rPr>
        <w:t xml:space="preserve"> </w:t>
      </w:r>
      <w:r w:rsidR="00241DE8" w:rsidRPr="00E2012A">
        <w:rPr>
          <w:rFonts w:ascii="Times New Roman" w:hAnsi="Times New Roman" w:cs="Times New Roman"/>
          <w:color w:val="000000"/>
          <w:u w:color="000000"/>
        </w:rPr>
        <w:t xml:space="preserve">and </w:t>
      </w:r>
      <w:r w:rsidR="00241DE8" w:rsidRPr="00E2012A">
        <w:rPr>
          <w:rFonts w:ascii="Times New Roman" w:hAnsi="Times New Roman" w:cs="Times New Roman"/>
          <w:color w:val="000000"/>
          <w:u w:val="single" w:color="000000"/>
        </w:rPr>
        <w:t>Werle</w:t>
      </w:r>
      <w:r w:rsidR="00241DE8" w:rsidRPr="00E2012A">
        <w:rPr>
          <w:rFonts w:ascii="Times New Roman" w:hAnsi="Times New Roman" w:cs="Times New Roman"/>
          <w:color w:val="000000"/>
          <w:u w:color="000000"/>
        </w:rPr>
        <w:t xml:space="preserve"> </w:t>
      </w:r>
      <w:r w:rsidRPr="00E2012A">
        <w:rPr>
          <w:rFonts w:ascii="Times New Roman" w:hAnsi="Times New Roman" w:cs="Times New Roman"/>
          <w:color w:val="000000"/>
          <w:u w:color="000000"/>
        </w:rPr>
        <w:t xml:space="preserve">to be more persuasive than the decisions in </w:t>
      </w:r>
      <w:r w:rsidRPr="00E2012A">
        <w:rPr>
          <w:rFonts w:ascii="Times New Roman" w:hAnsi="Times New Roman" w:cs="Times New Roman"/>
          <w:color w:val="000000"/>
          <w:u w:val="single" w:color="000000"/>
        </w:rPr>
        <w:t>Carlock</w:t>
      </w:r>
      <w:r w:rsidRPr="00E2012A">
        <w:rPr>
          <w:rFonts w:ascii="Times New Roman" w:hAnsi="Times New Roman" w:cs="Times New Roman"/>
          <w:color w:val="000000"/>
          <w:u w:color="000000"/>
        </w:rPr>
        <w:t xml:space="preserve">, </w:t>
      </w:r>
      <w:r w:rsidRPr="00E2012A">
        <w:rPr>
          <w:rFonts w:ascii="Times New Roman" w:hAnsi="Times New Roman" w:cs="Times New Roman"/>
          <w:color w:val="000000"/>
          <w:u w:val="single" w:color="000000"/>
        </w:rPr>
        <w:t>Brown</w:t>
      </w:r>
      <w:r w:rsidRPr="00E2012A">
        <w:rPr>
          <w:rFonts w:ascii="Times New Roman" w:hAnsi="Times New Roman" w:cs="Times New Roman"/>
          <w:color w:val="000000"/>
          <w:u w:color="000000"/>
        </w:rPr>
        <w:t xml:space="preserve">, and </w:t>
      </w:r>
      <w:r w:rsidRPr="00E2012A">
        <w:rPr>
          <w:rFonts w:ascii="Times New Roman" w:hAnsi="Times New Roman" w:cs="Times New Roman"/>
          <w:color w:val="000000"/>
          <w:u w:val="single" w:color="000000"/>
        </w:rPr>
        <w:t>Richmond</w:t>
      </w:r>
      <w:r w:rsidRPr="00E2012A">
        <w:rPr>
          <w:rFonts w:ascii="Times New Roman" w:hAnsi="Times New Roman" w:cs="Times New Roman"/>
          <w:color w:val="000000"/>
          <w:u w:color="000000"/>
        </w:rPr>
        <w:t xml:space="preserve">.  </w:t>
      </w:r>
      <w:r w:rsidRPr="00E2012A">
        <w:rPr>
          <w:rFonts w:ascii="Times New Roman" w:hAnsi="Times New Roman" w:cs="Times New Roman"/>
        </w:rPr>
        <w:t>In these circumstances, giving the Complainant the opportunity to explain her position at a hearing would be a fruitless exercise.</w:t>
      </w:r>
    </w:p>
    <w:p w:rsidR="00575314" w:rsidRPr="00E2012A" w:rsidRDefault="00575314" w:rsidP="001A31A4">
      <w:pPr>
        <w:spacing w:line="360" w:lineRule="auto"/>
        <w:ind w:firstLine="1440"/>
        <w:rPr>
          <w:rFonts w:ascii="Times New Roman" w:hAnsi="Times New Roman" w:cs="Times New Roman"/>
        </w:rPr>
      </w:pPr>
    </w:p>
    <w:p w:rsidR="00D04BA4" w:rsidRPr="00E2012A" w:rsidRDefault="00575314" w:rsidP="00162021">
      <w:pPr>
        <w:spacing w:line="360" w:lineRule="auto"/>
        <w:ind w:firstLine="1440"/>
        <w:rPr>
          <w:rFonts w:ascii="Times New Roman" w:hAnsi="Times New Roman" w:cs="Times New Roman"/>
          <w:u w:val="single"/>
        </w:rPr>
      </w:pPr>
      <w:r w:rsidRPr="00E2012A">
        <w:rPr>
          <w:rFonts w:ascii="Times New Roman" w:hAnsi="Times New Roman" w:cs="Times New Roman"/>
        </w:rPr>
        <w:t>Since there are no material facts in dispute and the Respondent is entitled to judgment as a matter of law, I will grant its motion for judgment on the pleadings and enter the following order.</w:t>
      </w:r>
    </w:p>
    <w:p w:rsidR="005D50C3" w:rsidRPr="00E2012A" w:rsidRDefault="005D50C3" w:rsidP="001A31A4">
      <w:pPr>
        <w:pStyle w:val="ParaTab1"/>
        <w:spacing w:line="360" w:lineRule="auto"/>
        <w:ind w:firstLine="0"/>
        <w:jc w:val="center"/>
        <w:rPr>
          <w:rFonts w:ascii="Times New Roman" w:hAnsi="Times New Roman" w:cs="Times New Roman"/>
          <w:u w:val="single"/>
        </w:rPr>
      </w:pPr>
    </w:p>
    <w:p w:rsidR="001A31A4" w:rsidRPr="00E2012A" w:rsidRDefault="001A31A4" w:rsidP="001A31A4">
      <w:pPr>
        <w:pStyle w:val="ParaTab1"/>
        <w:spacing w:line="360" w:lineRule="auto"/>
        <w:ind w:firstLine="0"/>
        <w:jc w:val="center"/>
        <w:rPr>
          <w:rFonts w:ascii="Times New Roman" w:hAnsi="Times New Roman" w:cs="Times New Roman"/>
          <w:u w:val="single"/>
        </w:rPr>
      </w:pPr>
      <w:r w:rsidRPr="00E2012A">
        <w:rPr>
          <w:rFonts w:ascii="Times New Roman" w:hAnsi="Times New Roman" w:cs="Times New Roman"/>
          <w:u w:val="single"/>
        </w:rPr>
        <w:t>CONCLUSIONS OF LAW</w:t>
      </w:r>
    </w:p>
    <w:p w:rsidR="00A81F7B" w:rsidRPr="00E2012A" w:rsidRDefault="00A81F7B" w:rsidP="001A31A4">
      <w:pPr>
        <w:pStyle w:val="ParaTab1"/>
        <w:spacing w:line="360" w:lineRule="auto"/>
        <w:ind w:firstLine="0"/>
        <w:jc w:val="center"/>
        <w:rPr>
          <w:rFonts w:ascii="Times New Roman" w:hAnsi="Times New Roman" w:cs="Times New Roman"/>
          <w:u w:val="single"/>
        </w:rPr>
      </w:pPr>
    </w:p>
    <w:p w:rsidR="00A81F7B" w:rsidRPr="00E2012A" w:rsidRDefault="00A81F7B" w:rsidP="00A81F7B">
      <w:pPr>
        <w:spacing w:line="360" w:lineRule="auto"/>
        <w:ind w:firstLine="1440"/>
        <w:rPr>
          <w:rFonts w:ascii="Times New Roman" w:hAnsi="Times New Roman" w:cs="Times New Roman"/>
        </w:rPr>
      </w:pPr>
      <w:r w:rsidRPr="00E2012A">
        <w:rPr>
          <w:rFonts w:ascii="Times New Roman" w:hAnsi="Times New Roman" w:cs="Times New Roman"/>
        </w:rPr>
        <w:t>1.</w:t>
      </w:r>
      <w:r w:rsidRPr="00E2012A">
        <w:rPr>
          <w:rFonts w:ascii="Times New Roman" w:hAnsi="Times New Roman" w:cs="Times New Roman"/>
        </w:rPr>
        <w:tab/>
        <w:t>The Commission’s Rules of Practice and Procedure at 52 Pa.Code § 5.102 govern motions for judgment on the pleadings.</w:t>
      </w:r>
    </w:p>
    <w:p w:rsidR="00A81F7B" w:rsidRPr="00E2012A" w:rsidRDefault="00A81F7B" w:rsidP="00A81F7B">
      <w:pPr>
        <w:spacing w:line="360" w:lineRule="auto"/>
        <w:rPr>
          <w:rFonts w:ascii="Times New Roman" w:hAnsi="Times New Roman" w:cs="Times New Roman"/>
        </w:rPr>
      </w:pPr>
    </w:p>
    <w:p w:rsidR="00A81F7B" w:rsidRPr="00E2012A" w:rsidRDefault="00A81F7B" w:rsidP="00A81F7B">
      <w:pPr>
        <w:spacing w:line="360" w:lineRule="auto"/>
        <w:ind w:firstLine="1440"/>
        <w:rPr>
          <w:rFonts w:ascii="Times New Roman" w:hAnsi="Times New Roman" w:cs="Times New Roman"/>
        </w:rPr>
      </w:pPr>
      <w:r w:rsidRPr="00E2012A">
        <w:rPr>
          <w:rFonts w:ascii="Times New Roman" w:hAnsi="Times New Roman" w:cs="Times New Roman"/>
        </w:rPr>
        <w:t>2.</w:t>
      </w:r>
      <w:r w:rsidRPr="00E2012A">
        <w:rPr>
          <w:rFonts w:ascii="Times New Roman" w:hAnsi="Times New Roman" w:cs="Times New Roman"/>
        </w:rPr>
        <w:tab/>
        <w:t>A motion for judgment on the pleadings is properly granted where the pleadings show there is no genuine issue as to a material fact and that the moving party is entitled to judgment as a matter of law.  52 Pa.Code § 5.102(d)(1).</w:t>
      </w:r>
    </w:p>
    <w:p w:rsidR="001A31A4" w:rsidRPr="00E2012A" w:rsidRDefault="001A31A4" w:rsidP="001A31A4">
      <w:pPr>
        <w:spacing w:line="360" w:lineRule="auto"/>
        <w:rPr>
          <w:rFonts w:ascii="Times New Roman" w:hAnsi="Times New Roman" w:cs="Times New Roman"/>
        </w:rPr>
      </w:pPr>
    </w:p>
    <w:p w:rsidR="00A81F7B" w:rsidRPr="00E2012A" w:rsidRDefault="00A81F7B" w:rsidP="00A81F7B">
      <w:pPr>
        <w:spacing w:line="360" w:lineRule="auto"/>
        <w:ind w:firstLine="1440"/>
        <w:rPr>
          <w:rFonts w:ascii="Times New Roman" w:hAnsi="Times New Roman" w:cs="Times New Roman"/>
        </w:rPr>
      </w:pPr>
      <w:r w:rsidRPr="00E2012A">
        <w:rPr>
          <w:rFonts w:ascii="Times New Roman" w:hAnsi="Times New Roman" w:cs="Times New Roman"/>
        </w:rPr>
        <w:t>3.</w:t>
      </w:r>
      <w:r w:rsidRPr="00E2012A">
        <w:rPr>
          <w:rFonts w:ascii="Times New Roman" w:hAnsi="Times New Roman" w:cs="Times New Roman"/>
        </w:rPr>
        <w:tab/>
        <w:t>The Commission has no jurisdiction to regulate the rates charged by the Respondent.</w:t>
      </w:r>
    </w:p>
    <w:p w:rsidR="00A81F7B" w:rsidRPr="00E2012A" w:rsidRDefault="00A81F7B" w:rsidP="00A81F7B">
      <w:pPr>
        <w:spacing w:line="360" w:lineRule="auto"/>
        <w:rPr>
          <w:rFonts w:ascii="Times New Roman" w:hAnsi="Times New Roman" w:cs="Times New Roman"/>
        </w:rPr>
      </w:pPr>
    </w:p>
    <w:p w:rsidR="00A81F7B" w:rsidRPr="00E2012A" w:rsidRDefault="00A81F7B" w:rsidP="00A81F7B">
      <w:pPr>
        <w:spacing w:line="360" w:lineRule="auto"/>
        <w:rPr>
          <w:rFonts w:ascii="Times New Roman" w:hAnsi="Times New Roman"/>
        </w:rPr>
      </w:pPr>
      <w:r w:rsidRPr="00E2012A">
        <w:rPr>
          <w:rFonts w:ascii="Times New Roman" w:hAnsi="Times New Roman" w:cs="Times New Roman"/>
        </w:rPr>
        <w:tab/>
      </w:r>
      <w:r w:rsidRPr="00E2012A">
        <w:rPr>
          <w:rFonts w:ascii="Times New Roman" w:hAnsi="Times New Roman" w:cs="Times New Roman"/>
        </w:rPr>
        <w:tab/>
        <w:t>4</w:t>
      </w:r>
      <w:r w:rsidRPr="00E2012A">
        <w:rPr>
          <w:rFonts w:ascii="Times New Roman" w:hAnsi="Times New Roman"/>
        </w:rPr>
        <w:t>.</w:t>
      </w:r>
      <w:r w:rsidRPr="00E2012A">
        <w:rPr>
          <w:rFonts w:ascii="Times New Roman" w:hAnsi="Times New Roman"/>
        </w:rPr>
        <w:tab/>
        <w:t xml:space="preserve">The Respondent, as an EGS, is not a public utility subject to Commission regulation, except in limited circumstances.  </w:t>
      </w:r>
      <w:r w:rsidRPr="00E2012A">
        <w:rPr>
          <w:rFonts w:ascii="Times New Roman" w:hAnsi="Times New Roman"/>
          <w:u w:val="single"/>
        </w:rPr>
        <w:t>Delmarva Power &amp; Light Co. v. Pa. Pub. Util. Comm’n</w:t>
      </w:r>
      <w:r w:rsidRPr="00E2012A">
        <w:rPr>
          <w:rFonts w:ascii="Times New Roman" w:hAnsi="Times New Roman"/>
        </w:rPr>
        <w:t>, 870 A.2d 901 (Pa. 2005).</w:t>
      </w:r>
    </w:p>
    <w:p w:rsidR="00A81F7B" w:rsidRPr="00E2012A" w:rsidRDefault="00A81F7B" w:rsidP="00A81F7B">
      <w:pPr>
        <w:spacing w:line="360" w:lineRule="auto"/>
        <w:rPr>
          <w:rFonts w:ascii="Times New Roman" w:hAnsi="Times New Roman"/>
        </w:rPr>
      </w:pPr>
      <w:r w:rsidRPr="00E2012A">
        <w:rPr>
          <w:rFonts w:ascii="Times New Roman" w:hAnsi="Times New Roman"/>
        </w:rPr>
        <w:lastRenderedPageBreak/>
        <w:tab/>
      </w:r>
      <w:r w:rsidRPr="00E2012A">
        <w:rPr>
          <w:rFonts w:ascii="Times New Roman" w:hAnsi="Times New Roman"/>
        </w:rPr>
        <w:tab/>
        <w:t>5.</w:t>
      </w:r>
      <w:r w:rsidRPr="00E2012A">
        <w:rPr>
          <w:rFonts w:ascii="Times New Roman" w:hAnsi="Times New Roman"/>
        </w:rPr>
        <w:tab/>
        <w:t>The Respondent is a public utility for purposes of 66 Pa.C.S. § 2809 with regard to licensing requirements.</w:t>
      </w:r>
    </w:p>
    <w:p w:rsidR="001A31A4" w:rsidRPr="00E2012A" w:rsidRDefault="001A31A4" w:rsidP="00A81F7B">
      <w:pPr>
        <w:spacing w:line="360" w:lineRule="auto"/>
        <w:rPr>
          <w:rFonts w:ascii="Times New Roman" w:hAnsi="Times New Roman" w:cs="Times New Roman"/>
        </w:rPr>
      </w:pPr>
    </w:p>
    <w:p w:rsidR="001A31A4" w:rsidRPr="00E2012A" w:rsidRDefault="00A81F7B" w:rsidP="001A31A4">
      <w:pPr>
        <w:spacing w:line="360" w:lineRule="auto"/>
        <w:ind w:firstLine="1440"/>
        <w:rPr>
          <w:rFonts w:ascii="Times New Roman" w:hAnsi="Times New Roman" w:cs="Times New Roman"/>
        </w:rPr>
      </w:pPr>
      <w:r w:rsidRPr="00E2012A">
        <w:rPr>
          <w:rFonts w:ascii="Times New Roman" w:hAnsi="Times New Roman" w:cs="Times New Roman"/>
        </w:rPr>
        <w:t>6</w:t>
      </w:r>
      <w:r w:rsidR="001A31A4" w:rsidRPr="00E2012A">
        <w:rPr>
          <w:rFonts w:ascii="Times New Roman" w:hAnsi="Times New Roman" w:cs="Times New Roman"/>
        </w:rPr>
        <w:t>.</w:t>
      </w:r>
      <w:r w:rsidR="001A31A4" w:rsidRPr="00E2012A">
        <w:rPr>
          <w:rFonts w:ascii="Times New Roman" w:hAnsi="Times New Roman" w:cs="Times New Roman"/>
        </w:rPr>
        <w:tab/>
        <w:t xml:space="preserve">It is just, reasonable and in the public interest that the complaint filed at Docket No. </w:t>
      </w:r>
      <w:r w:rsidRPr="00E2012A">
        <w:rPr>
          <w:rFonts w:ascii="Times New Roman" w:hAnsi="Times New Roman" w:cs="Times New Roman"/>
        </w:rPr>
        <w:t>C-2014-2445224</w:t>
      </w:r>
      <w:r w:rsidR="001A31A4" w:rsidRPr="00E2012A">
        <w:rPr>
          <w:rFonts w:ascii="Times New Roman" w:hAnsi="Times New Roman" w:cs="Times New Roman"/>
          <w:spacing w:val="-3"/>
        </w:rPr>
        <w:t xml:space="preserve"> </w:t>
      </w:r>
      <w:r w:rsidR="001A31A4" w:rsidRPr="00E2012A">
        <w:rPr>
          <w:rFonts w:ascii="Times New Roman" w:hAnsi="Times New Roman" w:cs="Times New Roman"/>
        </w:rPr>
        <w:t>is dismissed without hearing.</w:t>
      </w:r>
    </w:p>
    <w:p w:rsidR="00162021" w:rsidRPr="00E2012A" w:rsidRDefault="00162021" w:rsidP="001A31A4">
      <w:pPr>
        <w:spacing w:line="360" w:lineRule="auto"/>
        <w:ind w:firstLine="1440"/>
        <w:rPr>
          <w:rFonts w:ascii="Times New Roman" w:hAnsi="Times New Roman" w:cs="Times New Roman"/>
        </w:rPr>
      </w:pPr>
    </w:p>
    <w:p w:rsidR="001A31A4" w:rsidRPr="00E2012A" w:rsidRDefault="001A31A4" w:rsidP="001A31A4">
      <w:pPr>
        <w:spacing w:line="360" w:lineRule="auto"/>
        <w:jc w:val="center"/>
        <w:rPr>
          <w:rFonts w:ascii="Times New Roman" w:hAnsi="Times New Roman" w:cs="Times New Roman"/>
          <w:u w:val="single"/>
        </w:rPr>
      </w:pPr>
      <w:r w:rsidRPr="00E2012A">
        <w:rPr>
          <w:rFonts w:ascii="Times New Roman" w:hAnsi="Times New Roman" w:cs="Times New Roman"/>
          <w:u w:val="single"/>
        </w:rPr>
        <w:t>ORDER</w:t>
      </w:r>
    </w:p>
    <w:p w:rsidR="001A31A4" w:rsidRPr="00E2012A" w:rsidRDefault="001A31A4" w:rsidP="001A31A4">
      <w:pPr>
        <w:spacing w:line="360" w:lineRule="auto"/>
        <w:rPr>
          <w:rFonts w:ascii="Times New Roman" w:hAnsi="Times New Roman" w:cs="Times New Roman"/>
        </w:rPr>
      </w:pPr>
    </w:p>
    <w:p w:rsidR="004B2321" w:rsidRPr="00E2012A" w:rsidRDefault="004B2321" w:rsidP="001A31A4">
      <w:pPr>
        <w:spacing w:line="360" w:lineRule="auto"/>
        <w:rPr>
          <w:rFonts w:ascii="Times New Roman" w:hAnsi="Times New Roman" w:cs="Times New Roman"/>
        </w:rPr>
      </w:pPr>
    </w:p>
    <w:p w:rsidR="001A31A4" w:rsidRPr="00E2012A" w:rsidRDefault="001A31A4" w:rsidP="001A31A4">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THEREFORE,</w:t>
      </w:r>
    </w:p>
    <w:p w:rsidR="001A31A4" w:rsidRPr="00E2012A" w:rsidRDefault="001A31A4" w:rsidP="001A31A4">
      <w:pPr>
        <w:spacing w:line="360" w:lineRule="auto"/>
        <w:rPr>
          <w:rFonts w:ascii="Times New Roman" w:hAnsi="Times New Roman" w:cs="Times New Roman"/>
        </w:rPr>
      </w:pPr>
    </w:p>
    <w:p w:rsidR="001A31A4" w:rsidRPr="00E2012A" w:rsidRDefault="001A31A4" w:rsidP="001A31A4">
      <w:pPr>
        <w:spacing w:line="360" w:lineRule="auto"/>
        <w:outlineLvl w:val="0"/>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IT IS ORDERED:</w:t>
      </w:r>
    </w:p>
    <w:p w:rsidR="001A31A4" w:rsidRPr="00E2012A" w:rsidRDefault="001A31A4" w:rsidP="001A31A4">
      <w:pPr>
        <w:spacing w:line="360" w:lineRule="auto"/>
        <w:rPr>
          <w:rFonts w:ascii="Times New Roman" w:hAnsi="Times New Roman" w:cs="Times New Roman"/>
        </w:rPr>
      </w:pPr>
    </w:p>
    <w:p w:rsidR="001A31A4" w:rsidRPr="00E2012A" w:rsidRDefault="001A31A4" w:rsidP="001A31A4">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1.</w:t>
      </w:r>
      <w:r w:rsidRPr="00E2012A">
        <w:rPr>
          <w:rFonts w:ascii="Times New Roman" w:hAnsi="Times New Roman" w:cs="Times New Roman"/>
        </w:rPr>
        <w:tab/>
        <w:t xml:space="preserve">That the motion for judgment on the pleadings filed by </w:t>
      </w:r>
      <w:r w:rsidR="00A81F7B" w:rsidRPr="00E2012A">
        <w:rPr>
          <w:rFonts w:ascii="Times New Roman" w:hAnsi="Times New Roman" w:cs="Times New Roman"/>
        </w:rPr>
        <w:t>Planet Energy (Pennsylvania) Corp.</w:t>
      </w:r>
      <w:r w:rsidRPr="00E2012A">
        <w:rPr>
          <w:rFonts w:ascii="Times New Roman" w:hAnsi="Times New Roman" w:cs="Times New Roman"/>
        </w:rPr>
        <w:t xml:space="preserve"> at Docket No. </w:t>
      </w:r>
      <w:r w:rsidR="007644FF" w:rsidRPr="00E2012A">
        <w:rPr>
          <w:rFonts w:ascii="Times New Roman" w:hAnsi="Times New Roman" w:cs="Times New Roman"/>
        </w:rPr>
        <w:t>C-2014-244</w:t>
      </w:r>
      <w:r w:rsidR="00A81F7B" w:rsidRPr="00E2012A">
        <w:rPr>
          <w:rFonts w:ascii="Times New Roman" w:hAnsi="Times New Roman" w:cs="Times New Roman"/>
        </w:rPr>
        <w:t>5224</w:t>
      </w:r>
      <w:r w:rsidRPr="00E2012A">
        <w:rPr>
          <w:rFonts w:ascii="Times New Roman" w:hAnsi="Times New Roman" w:cs="Times New Roman"/>
        </w:rPr>
        <w:t xml:space="preserve"> is granted.</w:t>
      </w:r>
    </w:p>
    <w:p w:rsidR="001A31A4" w:rsidRPr="00E2012A" w:rsidRDefault="001A31A4" w:rsidP="001A31A4">
      <w:pPr>
        <w:spacing w:line="360" w:lineRule="auto"/>
        <w:rPr>
          <w:rFonts w:ascii="Times New Roman" w:hAnsi="Times New Roman" w:cs="Times New Roman"/>
        </w:rPr>
      </w:pPr>
    </w:p>
    <w:p w:rsidR="001A31A4" w:rsidRPr="00E2012A" w:rsidRDefault="001A31A4" w:rsidP="001A31A4">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t>2.</w:t>
      </w:r>
      <w:r w:rsidRPr="00E2012A">
        <w:rPr>
          <w:rFonts w:ascii="Times New Roman" w:hAnsi="Times New Roman" w:cs="Times New Roman"/>
        </w:rPr>
        <w:tab/>
        <w:t xml:space="preserve">That the complaint of </w:t>
      </w:r>
      <w:r w:rsidR="00A81F7B" w:rsidRPr="00E2012A">
        <w:rPr>
          <w:rFonts w:ascii="Times New Roman" w:hAnsi="Times New Roman" w:cs="Times New Roman"/>
        </w:rPr>
        <w:t>Dinen Sanders</w:t>
      </w:r>
      <w:r w:rsidR="009E0EED" w:rsidRPr="00E2012A">
        <w:rPr>
          <w:rFonts w:ascii="Times New Roman" w:hAnsi="Times New Roman" w:cs="Times New Roman"/>
        </w:rPr>
        <w:t xml:space="preserve"> </w:t>
      </w:r>
      <w:r w:rsidRPr="00E2012A">
        <w:rPr>
          <w:rFonts w:ascii="Times New Roman" w:hAnsi="Times New Roman" w:cs="Times New Roman"/>
        </w:rPr>
        <w:t xml:space="preserve">at Docket No. </w:t>
      </w:r>
      <w:r w:rsidR="00A81F7B" w:rsidRPr="00E2012A">
        <w:rPr>
          <w:rFonts w:ascii="Times New Roman" w:hAnsi="Times New Roman" w:cs="Times New Roman"/>
        </w:rPr>
        <w:t>C-2014-2445224</w:t>
      </w:r>
      <w:r w:rsidRPr="00E2012A">
        <w:rPr>
          <w:rFonts w:ascii="Times New Roman" w:hAnsi="Times New Roman" w:cs="Times New Roman"/>
        </w:rPr>
        <w:t xml:space="preserve"> against </w:t>
      </w:r>
      <w:r w:rsidR="00A81F7B" w:rsidRPr="00E2012A">
        <w:rPr>
          <w:rFonts w:ascii="Times New Roman" w:hAnsi="Times New Roman" w:cs="Times New Roman"/>
        </w:rPr>
        <w:t>Planet Energy (Pennsylvania) Corp.</w:t>
      </w:r>
      <w:r w:rsidRPr="00E2012A">
        <w:rPr>
          <w:rFonts w:ascii="Times New Roman" w:hAnsi="Times New Roman" w:cs="Times New Roman"/>
        </w:rPr>
        <w:t xml:space="preserve"> is d</w:t>
      </w:r>
      <w:r w:rsidR="00A81F7B" w:rsidRPr="00E2012A">
        <w:rPr>
          <w:rFonts w:ascii="Times New Roman" w:hAnsi="Times New Roman" w:cs="Times New Roman"/>
        </w:rPr>
        <w:t>enied</w:t>
      </w:r>
      <w:r w:rsidRPr="00E2012A">
        <w:rPr>
          <w:rFonts w:ascii="Times New Roman" w:hAnsi="Times New Roman" w:cs="Times New Roman"/>
        </w:rPr>
        <w:t>.</w:t>
      </w:r>
    </w:p>
    <w:p w:rsidR="004B2321" w:rsidRPr="00E2012A" w:rsidRDefault="004B2321" w:rsidP="001A31A4">
      <w:pPr>
        <w:spacing w:line="360" w:lineRule="auto"/>
        <w:rPr>
          <w:rFonts w:ascii="Times New Roman" w:hAnsi="Times New Roman" w:cs="Times New Roman"/>
        </w:rPr>
      </w:pPr>
    </w:p>
    <w:p w:rsidR="001A31A4" w:rsidRPr="00E2012A" w:rsidRDefault="001A31A4" w:rsidP="001A31A4">
      <w:pPr>
        <w:spacing w:line="360" w:lineRule="auto"/>
        <w:rPr>
          <w:rFonts w:ascii="Times New Roman" w:hAnsi="Times New Roman" w:cs="Times New Roman"/>
        </w:rPr>
      </w:pPr>
      <w:r w:rsidRPr="00E2012A">
        <w:rPr>
          <w:rFonts w:ascii="Times New Roman" w:hAnsi="Times New Roman" w:cs="Times New Roman"/>
        </w:rPr>
        <w:tab/>
      </w:r>
      <w:r w:rsidRPr="00E2012A">
        <w:rPr>
          <w:rFonts w:ascii="Times New Roman" w:hAnsi="Times New Roman" w:cs="Times New Roman"/>
        </w:rPr>
        <w:tab/>
      </w:r>
      <w:r w:rsidR="003E3460">
        <w:rPr>
          <w:rFonts w:ascii="Times New Roman" w:hAnsi="Times New Roman" w:cs="Times New Roman"/>
        </w:rPr>
        <w:t>3.</w:t>
      </w:r>
      <w:r w:rsidRPr="00E2012A">
        <w:rPr>
          <w:rFonts w:ascii="Times New Roman" w:hAnsi="Times New Roman" w:cs="Times New Roman"/>
        </w:rPr>
        <w:tab/>
        <w:t xml:space="preserve">That the </w:t>
      </w:r>
      <w:r w:rsidR="007644FF" w:rsidRPr="00E2012A">
        <w:rPr>
          <w:rFonts w:ascii="Times New Roman" w:hAnsi="Times New Roman" w:cs="Times New Roman"/>
        </w:rPr>
        <w:t>docket</w:t>
      </w:r>
      <w:r w:rsidRPr="00E2012A">
        <w:rPr>
          <w:rFonts w:ascii="Times New Roman" w:hAnsi="Times New Roman" w:cs="Times New Roman"/>
        </w:rPr>
        <w:t xml:space="preserve"> at Docket No. </w:t>
      </w:r>
      <w:r w:rsidR="00A81F7B" w:rsidRPr="00E2012A">
        <w:rPr>
          <w:rFonts w:ascii="Times New Roman" w:hAnsi="Times New Roman" w:cs="Times New Roman"/>
        </w:rPr>
        <w:t>C-2014-2445224</w:t>
      </w:r>
      <w:r w:rsidRPr="00E2012A">
        <w:rPr>
          <w:rFonts w:ascii="Times New Roman" w:hAnsi="Times New Roman" w:cs="Times New Roman"/>
        </w:rPr>
        <w:t xml:space="preserve"> is marked closed.</w:t>
      </w:r>
    </w:p>
    <w:p w:rsidR="001A31A4" w:rsidRPr="00E2012A" w:rsidRDefault="001A31A4" w:rsidP="001A31A4">
      <w:pPr>
        <w:spacing w:line="360" w:lineRule="auto"/>
        <w:rPr>
          <w:rFonts w:ascii="Times New Roman" w:hAnsi="Times New Roman" w:cs="Times New Roman"/>
        </w:rPr>
      </w:pPr>
    </w:p>
    <w:p w:rsidR="004B2321" w:rsidRPr="00E2012A" w:rsidRDefault="004B2321" w:rsidP="001A31A4">
      <w:pPr>
        <w:spacing w:line="360" w:lineRule="auto"/>
        <w:rPr>
          <w:rFonts w:ascii="Times New Roman" w:hAnsi="Times New Roman" w:cs="Times New Roman"/>
        </w:rPr>
      </w:pPr>
    </w:p>
    <w:p w:rsidR="001A31A4" w:rsidRPr="00E2012A" w:rsidRDefault="001A31A4" w:rsidP="001A31A4">
      <w:pPr>
        <w:pStyle w:val="ParaTab1"/>
        <w:tabs>
          <w:tab w:val="clear" w:pos="-720"/>
        </w:tabs>
        <w:ind w:firstLine="0"/>
        <w:rPr>
          <w:rFonts w:ascii="Times New Roman" w:hAnsi="Times New Roman" w:cs="Times New Roman"/>
          <w:spacing w:val="-3"/>
          <w:u w:val="single"/>
        </w:rPr>
      </w:pPr>
      <w:r w:rsidRPr="00E2012A">
        <w:rPr>
          <w:rFonts w:ascii="Times New Roman" w:hAnsi="Times New Roman" w:cs="Times New Roman"/>
          <w:spacing w:val="-3"/>
        </w:rPr>
        <w:t>Date:</w:t>
      </w:r>
      <w:r w:rsidRPr="00E2012A">
        <w:rPr>
          <w:rFonts w:ascii="Times New Roman" w:hAnsi="Times New Roman" w:cs="Times New Roman"/>
          <w:spacing w:val="-3"/>
        </w:rPr>
        <w:tab/>
      </w:r>
      <w:r w:rsidR="00A81F7B" w:rsidRPr="00E2012A">
        <w:rPr>
          <w:rFonts w:ascii="Times New Roman" w:hAnsi="Times New Roman" w:cs="Times New Roman"/>
          <w:spacing w:val="-3"/>
          <w:u w:val="single"/>
        </w:rPr>
        <w:t xml:space="preserve">March </w:t>
      </w:r>
      <w:r w:rsidR="00E2012A" w:rsidRPr="00E2012A">
        <w:rPr>
          <w:rFonts w:ascii="Times New Roman" w:hAnsi="Times New Roman" w:cs="Times New Roman"/>
          <w:spacing w:val="-3"/>
          <w:u w:val="single"/>
        </w:rPr>
        <w:t>3</w:t>
      </w:r>
      <w:r w:rsidR="00B14063" w:rsidRPr="00E2012A">
        <w:rPr>
          <w:rFonts w:ascii="Times New Roman" w:hAnsi="Times New Roman" w:cs="Times New Roman"/>
          <w:spacing w:val="-3"/>
          <w:u w:val="single"/>
        </w:rPr>
        <w:t>,</w:t>
      </w:r>
      <w:r w:rsidRPr="00E2012A">
        <w:rPr>
          <w:rFonts w:ascii="Times New Roman" w:hAnsi="Times New Roman" w:cs="Times New Roman"/>
          <w:spacing w:val="-3"/>
          <w:u w:val="single"/>
        </w:rPr>
        <w:t xml:space="preserve"> 201</w:t>
      </w:r>
      <w:r w:rsidR="007644FF" w:rsidRPr="00E2012A">
        <w:rPr>
          <w:rFonts w:ascii="Times New Roman" w:hAnsi="Times New Roman" w:cs="Times New Roman"/>
          <w:spacing w:val="-3"/>
          <w:u w:val="single"/>
        </w:rPr>
        <w:t>5</w:t>
      </w: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Pr="00E2012A">
        <w:rPr>
          <w:rFonts w:ascii="Times New Roman" w:hAnsi="Times New Roman" w:cs="Times New Roman"/>
          <w:spacing w:val="-3"/>
        </w:rPr>
        <w:tab/>
      </w:r>
      <w:r w:rsidR="00A81F7B" w:rsidRPr="00E2012A">
        <w:rPr>
          <w:rFonts w:ascii="Times New Roman" w:hAnsi="Times New Roman" w:cs="Times New Roman"/>
          <w:spacing w:val="-3"/>
        </w:rPr>
        <w:tab/>
      </w:r>
      <w:r w:rsidRPr="00E2012A">
        <w:rPr>
          <w:rFonts w:ascii="Times New Roman" w:hAnsi="Times New Roman" w:cs="Times New Roman"/>
          <w:spacing w:val="-3"/>
          <w:u w:val="single"/>
        </w:rPr>
        <w:tab/>
      </w:r>
      <w:r w:rsidRPr="00E2012A">
        <w:rPr>
          <w:rFonts w:ascii="Times New Roman" w:hAnsi="Times New Roman" w:cs="Times New Roman"/>
          <w:spacing w:val="-3"/>
          <w:u w:val="single"/>
        </w:rPr>
        <w:tab/>
        <w:t>/s/</w:t>
      </w:r>
      <w:r w:rsidRPr="00E2012A">
        <w:rPr>
          <w:rFonts w:ascii="Times New Roman" w:hAnsi="Times New Roman" w:cs="Times New Roman"/>
          <w:spacing w:val="-3"/>
          <w:u w:val="single"/>
        </w:rPr>
        <w:tab/>
      </w:r>
      <w:r w:rsidRPr="00E2012A">
        <w:rPr>
          <w:rFonts w:ascii="Times New Roman" w:hAnsi="Times New Roman" w:cs="Times New Roman"/>
          <w:spacing w:val="-3"/>
          <w:u w:val="single"/>
        </w:rPr>
        <w:tab/>
      </w:r>
      <w:r w:rsidRPr="00E2012A">
        <w:rPr>
          <w:rFonts w:ascii="Times New Roman" w:hAnsi="Times New Roman" w:cs="Times New Roman"/>
          <w:spacing w:val="-3"/>
          <w:u w:val="single"/>
        </w:rPr>
        <w:tab/>
      </w:r>
      <w:r w:rsidRPr="00E2012A">
        <w:rPr>
          <w:rFonts w:ascii="Times New Roman" w:hAnsi="Times New Roman" w:cs="Times New Roman"/>
          <w:spacing w:val="-3"/>
          <w:u w:val="single"/>
        </w:rPr>
        <w:tab/>
      </w:r>
    </w:p>
    <w:p w:rsidR="001A31A4" w:rsidRPr="00E2012A" w:rsidRDefault="001A31A4" w:rsidP="001A31A4">
      <w:pPr>
        <w:pStyle w:val="ParaTab1"/>
        <w:tabs>
          <w:tab w:val="clear" w:pos="-720"/>
          <w:tab w:val="left" w:pos="720"/>
          <w:tab w:val="left" w:pos="5040"/>
        </w:tabs>
        <w:ind w:firstLine="0"/>
        <w:rPr>
          <w:rFonts w:ascii="Times New Roman" w:hAnsi="Times New Roman" w:cs="Times New Roman"/>
          <w:spacing w:val="-3"/>
        </w:rPr>
      </w:pPr>
      <w:r w:rsidRPr="00E2012A">
        <w:rPr>
          <w:rFonts w:ascii="Times New Roman" w:hAnsi="Times New Roman" w:cs="Times New Roman"/>
          <w:spacing w:val="-3"/>
        </w:rPr>
        <w:tab/>
      </w:r>
      <w:r w:rsidRPr="00E2012A">
        <w:rPr>
          <w:rFonts w:ascii="Times New Roman" w:hAnsi="Times New Roman" w:cs="Times New Roman"/>
          <w:spacing w:val="-3"/>
        </w:rPr>
        <w:tab/>
        <w:t>David A. Salapa</w:t>
      </w:r>
    </w:p>
    <w:p w:rsidR="00070A8F" w:rsidRPr="00E2012A" w:rsidRDefault="001A31A4" w:rsidP="009930C0">
      <w:pPr>
        <w:pStyle w:val="ParaTab1"/>
        <w:tabs>
          <w:tab w:val="clear" w:pos="-720"/>
          <w:tab w:val="left" w:pos="720"/>
          <w:tab w:val="left" w:pos="5040"/>
        </w:tabs>
        <w:ind w:firstLine="0"/>
        <w:rPr>
          <w:rFonts w:ascii="Times New Roman" w:hAnsi="Times New Roman" w:cs="Times New Roman"/>
          <w:spacing w:val="-3"/>
        </w:rPr>
      </w:pPr>
      <w:r w:rsidRPr="00E2012A">
        <w:rPr>
          <w:rFonts w:ascii="Times New Roman" w:hAnsi="Times New Roman" w:cs="Times New Roman"/>
          <w:spacing w:val="-3"/>
        </w:rPr>
        <w:tab/>
      </w:r>
      <w:r w:rsidRPr="00E2012A">
        <w:rPr>
          <w:rFonts w:ascii="Times New Roman" w:hAnsi="Times New Roman" w:cs="Times New Roman"/>
          <w:spacing w:val="-3"/>
        </w:rPr>
        <w:tab/>
        <w:t>Administrative Law Judge</w:t>
      </w:r>
    </w:p>
    <w:sectPr w:rsidR="00070A8F" w:rsidRPr="00E2012A" w:rsidSect="00B934E1">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4C" w:rsidRDefault="00CF104C">
      <w:r>
        <w:separator/>
      </w:r>
    </w:p>
  </w:endnote>
  <w:endnote w:type="continuationSeparator" w:id="0">
    <w:p w:rsidR="00CF104C" w:rsidRDefault="00C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66075"/>
      <w:docPartObj>
        <w:docPartGallery w:val="Page Numbers (Bottom of Page)"/>
        <w:docPartUnique/>
      </w:docPartObj>
    </w:sdtPr>
    <w:sdtEndPr>
      <w:rPr>
        <w:rFonts w:ascii="Times New Roman" w:hAnsi="Times New Roman" w:cs="Times New Roman"/>
        <w:noProof/>
        <w:sz w:val="20"/>
        <w:szCs w:val="20"/>
      </w:rPr>
    </w:sdtEndPr>
    <w:sdtContent>
      <w:p w:rsidR="00294511" w:rsidRPr="00F83FFC" w:rsidRDefault="00294511">
        <w:pPr>
          <w:pStyle w:val="Footer"/>
          <w:jc w:val="center"/>
          <w:rPr>
            <w:rFonts w:ascii="Times New Roman" w:hAnsi="Times New Roman" w:cs="Times New Roman"/>
            <w:sz w:val="20"/>
            <w:szCs w:val="20"/>
          </w:rPr>
        </w:pPr>
        <w:r w:rsidRPr="00F83FFC">
          <w:rPr>
            <w:rFonts w:ascii="Times New Roman" w:hAnsi="Times New Roman" w:cs="Times New Roman"/>
            <w:sz w:val="20"/>
            <w:szCs w:val="20"/>
          </w:rPr>
          <w:fldChar w:fldCharType="begin"/>
        </w:r>
        <w:r w:rsidRPr="00F83FFC">
          <w:rPr>
            <w:rFonts w:ascii="Times New Roman" w:hAnsi="Times New Roman" w:cs="Times New Roman"/>
            <w:sz w:val="20"/>
            <w:szCs w:val="20"/>
          </w:rPr>
          <w:instrText xml:space="preserve"> PAGE   \* MERGEFORMAT </w:instrText>
        </w:r>
        <w:r w:rsidRPr="00F83FFC">
          <w:rPr>
            <w:rFonts w:ascii="Times New Roman" w:hAnsi="Times New Roman" w:cs="Times New Roman"/>
            <w:sz w:val="20"/>
            <w:szCs w:val="20"/>
          </w:rPr>
          <w:fldChar w:fldCharType="separate"/>
        </w:r>
        <w:r w:rsidR="000D6943">
          <w:rPr>
            <w:rFonts w:ascii="Times New Roman" w:hAnsi="Times New Roman" w:cs="Times New Roman"/>
            <w:noProof/>
            <w:sz w:val="20"/>
            <w:szCs w:val="20"/>
          </w:rPr>
          <w:t>8</w:t>
        </w:r>
        <w:r w:rsidRPr="00F83FF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11" w:rsidRPr="00217BEA" w:rsidRDefault="00294511">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77059"/>
      <w:docPartObj>
        <w:docPartGallery w:val="Page Numbers (Bottom of Page)"/>
        <w:docPartUnique/>
      </w:docPartObj>
    </w:sdtPr>
    <w:sdtEndPr>
      <w:rPr>
        <w:rFonts w:ascii="Times New Roman" w:hAnsi="Times New Roman" w:cs="Times New Roman"/>
        <w:noProof/>
        <w:sz w:val="20"/>
        <w:szCs w:val="20"/>
      </w:rPr>
    </w:sdtEndPr>
    <w:sdtContent>
      <w:p w:rsidR="003E3BEA" w:rsidRPr="00217BEA" w:rsidRDefault="003E3BEA">
        <w:pPr>
          <w:pStyle w:val="Footer"/>
          <w:jc w:val="center"/>
          <w:rPr>
            <w:rFonts w:ascii="Times New Roman" w:hAnsi="Times New Roman" w:cs="Times New Roman"/>
            <w:sz w:val="20"/>
            <w:szCs w:val="20"/>
          </w:rPr>
        </w:pPr>
        <w:r w:rsidRPr="00217BEA">
          <w:rPr>
            <w:rFonts w:ascii="Times New Roman" w:hAnsi="Times New Roman" w:cs="Times New Roman"/>
            <w:sz w:val="20"/>
            <w:szCs w:val="20"/>
          </w:rPr>
          <w:fldChar w:fldCharType="begin"/>
        </w:r>
        <w:r w:rsidRPr="00217BEA">
          <w:rPr>
            <w:rFonts w:ascii="Times New Roman" w:hAnsi="Times New Roman" w:cs="Times New Roman"/>
            <w:sz w:val="20"/>
            <w:szCs w:val="20"/>
          </w:rPr>
          <w:instrText xml:space="preserve"> PAGE   \* MERGEFORMAT </w:instrText>
        </w:r>
        <w:r w:rsidRPr="00217BEA">
          <w:rPr>
            <w:rFonts w:ascii="Times New Roman" w:hAnsi="Times New Roman" w:cs="Times New Roman"/>
            <w:sz w:val="20"/>
            <w:szCs w:val="20"/>
          </w:rPr>
          <w:fldChar w:fldCharType="separate"/>
        </w:r>
        <w:r w:rsidR="000D6943">
          <w:rPr>
            <w:rFonts w:ascii="Times New Roman" w:hAnsi="Times New Roman" w:cs="Times New Roman"/>
            <w:noProof/>
            <w:sz w:val="20"/>
            <w:szCs w:val="20"/>
          </w:rPr>
          <w:t>2</w:t>
        </w:r>
        <w:r w:rsidRPr="00217BE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4C" w:rsidRDefault="00CF104C">
      <w:r>
        <w:separator/>
      </w:r>
    </w:p>
  </w:footnote>
  <w:footnote w:type="continuationSeparator" w:id="0">
    <w:p w:rsidR="00CF104C" w:rsidRDefault="00CF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1E9"/>
    <w:multiLevelType w:val="hybridMultilevel"/>
    <w:tmpl w:val="CAB037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4"/>
    <w:rsid w:val="0000065C"/>
    <w:rsid w:val="00000CBD"/>
    <w:rsid w:val="00001189"/>
    <w:rsid w:val="00001B8D"/>
    <w:rsid w:val="00006651"/>
    <w:rsid w:val="00006BA3"/>
    <w:rsid w:val="00013979"/>
    <w:rsid w:val="00013E73"/>
    <w:rsid w:val="00022E73"/>
    <w:rsid w:val="00024732"/>
    <w:rsid w:val="000252CF"/>
    <w:rsid w:val="00027611"/>
    <w:rsid w:val="0003195E"/>
    <w:rsid w:val="00033609"/>
    <w:rsid w:val="00033F59"/>
    <w:rsid w:val="0003529E"/>
    <w:rsid w:val="00037A35"/>
    <w:rsid w:val="00037D1F"/>
    <w:rsid w:val="0004037D"/>
    <w:rsid w:val="000457FF"/>
    <w:rsid w:val="00047510"/>
    <w:rsid w:val="00047D1A"/>
    <w:rsid w:val="000526FC"/>
    <w:rsid w:val="00054798"/>
    <w:rsid w:val="00054B5E"/>
    <w:rsid w:val="00055329"/>
    <w:rsid w:val="000603EC"/>
    <w:rsid w:val="00060A45"/>
    <w:rsid w:val="00060CF5"/>
    <w:rsid w:val="00064FED"/>
    <w:rsid w:val="000662AE"/>
    <w:rsid w:val="00066505"/>
    <w:rsid w:val="000667FB"/>
    <w:rsid w:val="00070014"/>
    <w:rsid w:val="000700D9"/>
    <w:rsid w:val="00070A8F"/>
    <w:rsid w:val="00071D8C"/>
    <w:rsid w:val="00071FE9"/>
    <w:rsid w:val="00074D6E"/>
    <w:rsid w:val="000752F1"/>
    <w:rsid w:val="00077BBE"/>
    <w:rsid w:val="000834F8"/>
    <w:rsid w:val="00083735"/>
    <w:rsid w:val="00084F3D"/>
    <w:rsid w:val="00090AC0"/>
    <w:rsid w:val="000958BA"/>
    <w:rsid w:val="00096FAE"/>
    <w:rsid w:val="0009718B"/>
    <w:rsid w:val="000A1CB8"/>
    <w:rsid w:val="000A2B81"/>
    <w:rsid w:val="000A3536"/>
    <w:rsid w:val="000A3853"/>
    <w:rsid w:val="000B6A6D"/>
    <w:rsid w:val="000C046B"/>
    <w:rsid w:val="000C1C3B"/>
    <w:rsid w:val="000C396D"/>
    <w:rsid w:val="000C58B4"/>
    <w:rsid w:val="000C7768"/>
    <w:rsid w:val="000D6943"/>
    <w:rsid w:val="000E119F"/>
    <w:rsid w:val="000E5F49"/>
    <w:rsid w:val="000F043A"/>
    <w:rsid w:val="000F1855"/>
    <w:rsid w:val="000F2327"/>
    <w:rsid w:val="000F250E"/>
    <w:rsid w:val="000F3CB4"/>
    <w:rsid w:val="000F4F0C"/>
    <w:rsid w:val="000F4F62"/>
    <w:rsid w:val="00101A48"/>
    <w:rsid w:val="001031BF"/>
    <w:rsid w:val="001040C2"/>
    <w:rsid w:val="00104218"/>
    <w:rsid w:val="0010513C"/>
    <w:rsid w:val="00106EAA"/>
    <w:rsid w:val="001141A0"/>
    <w:rsid w:val="001164B0"/>
    <w:rsid w:val="00120E02"/>
    <w:rsid w:val="00126B92"/>
    <w:rsid w:val="00126DB9"/>
    <w:rsid w:val="001270BE"/>
    <w:rsid w:val="0012718F"/>
    <w:rsid w:val="00127D0F"/>
    <w:rsid w:val="00131278"/>
    <w:rsid w:val="00133D16"/>
    <w:rsid w:val="00134EA4"/>
    <w:rsid w:val="00135566"/>
    <w:rsid w:val="00135F6B"/>
    <w:rsid w:val="00141823"/>
    <w:rsid w:val="00143D28"/>
    <w:rsid w:val="001460AE"/>
    <w:rsid w:val="00147C8A"/>
    <w:rsid w:val="00155312"/>
    <w:rsid w:val="00155B0B"/>
    <w:rsid w:val="001569F8"/>
    <w:rsid w:val="00160FC3"/>
    <w:rsid w:val="00162021"/>
    <w:rsid w:val="0016462E"/>
    <w:rsid w:val="00165D64"/>
    <w:rsid w:val="00170EC4"/>
    <w:rsid w:val="00171106"/>
    <w:rsid w:val="00171A55"/>
    <w:rsid w:val="00172161"/>
    <w:rsid w:val="00172302"/>
    <w:rsid w:val="00173BBF"/>
    <w:rsid w:val="00177B94"/>
    <w:rsid w:val="001803B4"/>
    <w:rsid w:val="00180E22"/>
    <w:rsid w:val="00181017"/>
    <w:rsid w:val="00182C17"/>
    <w:rsid w:val="00182D27"/>
    <w:rsid w:val="00183FD4"/>
    <w:rsid w:val="00185741"/>
    <w:rsid w:val="00192363"/>
    <w:rsid w:val="0019343D"/>
    <w:rsid w:val="0019653A"/>
    <w:rsid w:val="00197158"/>
    <w:rsid w:val="001A11CC"/>
    <w:rsid w:val="001A15A0"/>
    <w:rsid w:val="001A1782"/>
    <w:rsid w:val="001A31A4"/>
    <w:rsid w:val="001A48F7"/>
    <w:rsid w:val="001A6F6F"/>
    <w:rsid w:val="001A74B0"/>
    <w:rsid w:val="001A7D99"/>
    <w:rsid w:val="001B132E"/>
    <w:rsid w:val="001B34F2"/>
    <w:rsid w:val="001B3FBC"/>
    <w:rsid w:val="001B6C65"/>
    <w:rsid w:val="001B7C8D"/>
    <w:rsid w:val="001C070D"/>
    <w:rsid w:val="001C1481"/>
    <w:rsid w:val="001C2388"/>
    <w:rsid w:val="001C3A91"/>
    <w:rsid w:val="001C4FE8"/>
    <w:rsid w:val="001C7B5A"/>
    <w:rsid w:val="001D0D4A"/>
    <w:rsid w:val="001D2AE7"/>
    <w:rsid w:val="001D374E"/>
    <w:rsid w:val="001D4992"/>
    <w:rsid w:val="001D5869"/>
    <w:rsid w:val="001D5892"/>
    <w:rsid w:val="001E0A56"/>
    <w:rsid w:val="001E3240"/>
    <w:rsid w:val="001E6F18"/>
    <w:rsid w:val="001E7490"/>
    <w:rsid w:val="001F0D49"/>
    <w:rsid w:val="001F5161"/>
    <w:rsid w:val="00200A1A"/>
    <w:rsid w:val="00202448"/>
    <w:rsid w:val="00202C5D"/>
    <w:rsid w:val="00204146"/>
    <w:rsid w:val="002042CE"/>
    <w:rsid w:val="00204801"/>
    <w:rsid w:val="00206ECF"/>
    <w:rsid w:val="0021017B"/>
    <w:rsid w:val="00210738"/>
    <w:rsid w:val="00211A9F"/>
    <w:rsid w:val="00214ECA"/>
    <w:rsid w:val="0021701C"/>
    <w:rsid w:val="00217BEA"/>
    <w:rsid w:val="0022145E"/>
    <w:rsid w:val="002230DC"/>
    <w:rsid w:val="00223B03"/>
    <w:rsid w:val="00225874"/>
    <w:rsid w:val="002302B8"/>
    <w:rsid w:val="00231158"/>
    <w:rsid w:val="00232495"/>
    <w:rsid w:val="00232AC4"/>
    <w:rsid w:val="0023320D"/>
    <w:rsid w:val="00234585"/>
    <w:rsid w:val="002346CA"/>
    <w:rsid w:val="00235C95"/>
    <w:rsid w:val="0024080A"/>
    <w:rsid w:val="00241DE8"/>
    <w:rsid w:val="00254FBD"/>
    <w:rsid w:val="00256085"/>
    <w:rsid w:val="00257D53"/>
    <w:rsid w:val="002638E5"/>
    <w:rsid w:val="0026431D"/>
    <w:rsid w:val="00265B45"/>
    <w:rsid w:val="00265D5F"/>
    <w:rsid w:val="002669C0"/>
    <w:rsid w:val="0027257D"/>
    <w:rsid w:val="0027334B"/>
    <w:rsid w:val="00273761"/>
    <w:rsid w:val="00274782"/>
    <w:rsid w:val="002800EB"/>
    <w:rsid w:val="0028227A"/>
    <w:rsid w:val="00282D98"/>
    <w:rsid w:val="00284B03"/>
    <w:rsid w:val="00286F6B"/>
    <w:rsid w:val="002932E7"/>
    <w:rsid w:val="00294184"/>
    <w:rsid w:val="00294511"/>
    <w:rsid w:val="0029482F"/>
    <w:rsid w:val="002949A4"/>
    <w:rsid w:val="0029571D"/>
    <w:rsid w:val="002957B6"/>
    <w:rsid w:val="00295A15"/>
    <w:rsid w:val="00295FE9"/>
    <w:rsid w:val="00297284"/>
    <w:rsid w:val="002A0665"/>
    <w:rsid w:val="002A1392"/>
    <w:rsid w:val="002A1762"/>
    <w:rsid w:val="002A38A3"/>
    <w:rsid w:val="002A3B50"/>
    <w:rsid w:val="002A4E1A"/>
    <w:rsid w:val="002A5839"/>
    <w:rsid w:val="002A5ABE"/>
    <w:rsid w:val="002A6F0C"/>
    <w:rsid w:val="002B1D4D"/>
    <w:rsid w:val="002B294B"/>
    <w:rsid w:val="002B41C4"/>
    <w:rsid w:val="002B45F0"/>
    <w:rsid w:val="002B5BAB"/>
    <w:rsid w:val="002B5BF4"/>
    <w:rsid w:val="002B63D6"/>
    <w:rsid w:val="002B74B4"/>
    <w:rsid w:val="002C3FBA"/>
    <w:rsid w:val="002C452B"/>
    <w:rsid w:val="002C6332"/>
    <w:rsid w:val="002C7B30"/>
    <w:rsid w:val="002D0371"/>
    <w:rsid w:val="002D13AB"/>
    <w:rsid w:val="002D371D"/>
    <w:rsid w:val="002D7812"/>
    <w:rsid w:val="002E084F"/>
    <w:rsid w:val="002E14D0"/>
    <w:rsid w:val="002E4A3B"/>
    <w:rsid w:val="002E63D8"/>
    <w:rsid w:val="002E6D43"/>
    <w:rsid w:val="002E7BC6"/>
    <w:rsid w:val="002F0E0F"/>
    <w:rsid w:val="002F42FF"/>
    <w:rsid w:val="002F7EEB"/>
    <w:rsid w:val="00301379"/>
    <w:rsid w:val="0030155D"/>
    <w:rsid w:val="0030553D"/>
    <w:rsid w:val="00305DF3"/>
    <w:rsid w:val="003062A0"/>
    <w:rsid w:val="00306CD2"/>
    <w:rsid w:val="003126E4"/>
    <w:rsid w:val="00314E1C"/>
    <w:rsid w:val="0031514D"/>
    <w:rsid w:val="003166D6"/>
    <w:rsid w:val="00317956"/>
    <w:rsid w:val="003215FC"/>
    <w:rsid w:val="00325DF8"/>
    <w:rsid w:val="00330A1A"/>
    <w:rsid w:val="00331AAF"/>
    <w:rsid w:val="00333DDA"/>
    <w:rsid w:val="00335DD0"/>
    <w:rsid w:val="003416B0"/>
    <w:rsid w:val="0034233B"/>
    <w:rsid w:val="00342EBF"/>
    <w:rsid w:val="003432EB"/>
    <w:rsid w:val="003437F6"/>
    <w:rsid w:val="003457A0"/>
    <w:rsid w:val="003467B1"/>
    <w:rsid w:val="00346D85"/>
    <w:rsid w:val="00352494"/>
    <w:rsid w:val="00353DC9"/>
    <w:rsid w:val="00355C09"/>
    <w:rsid w:val="00355C81"/>
    <w:rsid w:val="00356C8C"/>
    <w:rsid w:val="00360316"/>
    <w:rsid w:val="00360909"/>
    <w:rsid w:val="00360AC6"/>
    <w:rsid w:val="003610F7"/>
    <w:rsid w:val="00362573"/>
    <w:rsid w:val="00362D41"/>
    <w:rsid w:val="0036515E"/>
    <w:rsid w:val="00366359"/>
    <w:rsid w:val="003720E9"/>
    <w:rsid w:val="003769FB"/>
    <w:rsid w:val="00377C12"/>
    <w:rsid w:val="00382437"/>
    <w:rsid w:val="00383CF2"/>
    <w:rsid w:val="00383F10"/>
    <w:rsid w:val="003842C6"/>
    <w:rsid w:val="00386AA3"/>
    <w:rsid w:val="00394082"/>
    <w:rsid w:val="00395086"/>
    <w:rsid w:val="003A2103"/>
    <w:rsid w:val="003A2FF2"/>
    <w:rsid w:val="003A34BD"/>
    <w:rsid w:val="003B1159"/>
    <w:rsid w:val="003B3270"/>
    <w:rsid w:val="003B48C1"/>
    <w:rsid w:val="003B4AF1"/>
    <w:rsid w:val="003C3F32"/>
    <w:rsid w:val="003C5393"/>
    <w:rsid w:val="003D0398"/>
    <w:rsid w:val="003D3B02"/>
    <w:rsid w:val="003D3CFD"/>
    <w:rsid w:val="003D469B"/>
    <w:rsid w:val="003D46E1"/>
    <w:rsid w:val="003D76B2"/>
    <w:rsid w:val="003E0E9C"/>
    <w:rsid w:val="003E27B8"/>
    <w:rsid w:val="003E3460"/>
    <w:rsid w:val="003E3BEA"/>
    <w:rsid w:val="003E4D6E"/>
    <w:rsid w:val="003E633E"/>
    <w:rsid w:val="003F0588"/>
    <w:rsid w:val="003F22D4"/>
    <w:rsid w:val="003F3664"/>
    <w:rsid w:val="003F53DD"/>
    <w:rsid w:val="003F547A"/>
    <w:rsid w:val="003F6218"/>
    <w:rsid w:val="003F7FC7"/>
    <w:rsid w:val="004000B3"/>
    <w:rsid w:val="0040068A"/>
    <w:rsid w:val="004017E9"/>
    <w:rsid w:val="004043AF"/>
    <w:rsid w:val="00405B53"/>
    <w:rsid w:val="00406A4D"/>
    <w:rsid w:val="00406D2A"/>
    <w:rsid w:val="004100A5"/>
    <w:rsid w:val="00412350"/>
    <w:rsid w:val="00412610"/>
    <w:rsid w:val="00413969"/>
    <w:rsid w:val="00414B0F"/>
    <w:rsid w:val="004164D7"/>
    <w:rsid w:val="00417679"/>
    <w:rsid w:val="0042028E"/>
    <w:rsid w:val="00420619"/>
    <w:rsid w:val="0042259B"/>
    <w:rsid w:val="00423EB4"/>
    <w:rsid w:val="004266F5"/>
    <w:rsid w:val="00426985"/>
    <w:rsid w:val="00432794"/>
    <w:rsid w:val="00433E67"/>
    <w:rsid w:val="00435731"/>
    <w:rsid w:val="004357F1"/>
    <w:rsid w:val="00435F9C"/>
    <w:rsid w:val="00440666"/>
    <w:rsid w:val="00440747"/>
    <w:rsid w:val="00440BF6"/>
    <w:rsid w:val="00441143"/>
    <w:rsid w:val="0044417C"/>
    <w:rsid w:val="00447BE7"/>
    <w:rsid w:val="004503C9"/>
    <w:rsid w:val="00451ECF"/>
    <w:rsid w:val="0045361D"/>
    <w:rsid w:val="004550EE"/>
    <w:rsid w:val="0045696E"/>
    <w:rsid w:val="00457547"/>
    <w:rsid w:val="004601D1"/>
    <w:rsid w:val="00465B07"/>
    <w:rsid w:val="004670EC"/>
    <w:rsid w:val="00467CCB"/>
    <w:rsid w:val="0047158A"/>
    <w:rsid w:val="004728BC"/>
    <w:rsid w:val="004744D7"/>
    <w:rsid w:val="00475BAD"/>
    <w:rsid w:val="00482D97"/>
    <w:rsid w:val="00484AF3"/>
    <w:rsid w:val="00485248"/>
    <w:rsid w:val="004856F6"/>
    <w:rsid w:val="0048647F"/>
    <w:rsid w:val="00486CEA"/>
    <w:rsid w:val="00487C83"/>
    <w:rsid w:val="0049244B"/>
    <w:rsid w:val="00492B3A"/>
    <w:rsid w:val="00495471"/>
    <w:rsid w:val="004965E6"/>
    <w:rsid w:val="00497910"/>
    <w:rsid w:val="004A2F03"/>
    <w:rsid w:val="004A43F2"/>
    <w:rsid w:val="004A4E2A"/>
    <w:rsid w:val="004A7B60"/>
    <w:rsid w:val="004B03C2"/>
    <w:rsid w:val="004B1259"/>
    <w:rsid w:val="004B2321"/>
    <w:rsid w:val="004B5B3F"/>
    <w:rsid w:val="004B5BB0"/>
    <w:rsid w:val="004B5C96"/>
    <w:rsid w:val="004B6071"/>
    <w:rsid w:val="004B6BBD"/>
    <w:rsid w:val="004C090F"/>
    <w:rsid w:val="004C12A6"/>
    <w:rsid w:val="004D12CE"/>
    <w:rsid w:val="004D1513"/>
    <w:rsid w:val="004D27CC"/>
    <w:rsid w:val="004D3126"/>
    <w:rsid w:val="004D3947"/>
    <w:rsid w:val="004D5C9D"/>
    <w:rsid w:val="004D66D8"/>
    <w:rsid w:val="004E0784"/>
    <w:rsid w:val="004E0FC2"/>
    <w:rsid w:val="004E2EB6"/>
    <w:rsid w:val="004E3F01"/>
    <w:rsid w:val="004E45DF"/>
    <w:rsid w:val="004E50AD"/>
    <w:rsid w:val="004E614F"/>
    <w:rsid w:val="004F28DF"/>
    <w:rsid w:val="004F6BCE"/>
    <w:rsid w:val="00500FA3"/>
    <w:rsid w:val="0050128A"/>
    <w:rsid w:val="005017E9"/>
    <w:rsid w:val="00501CCD"/>
    <w:rsid w:val="00501F50"/>
    <w:rsid w:val="00502B6E"/>
    <w:rsid w:val="005078BA"/>
    <w:rsid w:val="0050799D"/>
    <w:rsid w:val="00510C96"/>
    <w:rsid w:val="005115A3"/>
    <w:rsid w:val="00512519"/>
    <w:rsid w:val="0051257D"/>
    <w:rsid w:val="00515A74"/>
    <w:rsid w:val="00517F93"/>
    <w:rsid w:val="00521036"/>
    <w:rsid w:val="00522B90"/>
    <w:rsid w:val="00523E37"/>
    <w:rsid w:val="005249AD"/>
    <w:rsid w:val="00526FC2"/>
    <w:rsid w:val="00534598"/>
    <w:rsid w:val="005408EE"/>
    <w:rsid w:val="005428F7"/>
    <w:rsid w:val="00544B13"/>
    <w:rsid w:val="00545F92"/>
    <w:rsid w:val="00550808"/>
    <w:rsid w:val="005578CB"/>
    <w:rsid w:val="0056158B"/>
    <w:rsid w:val="0056358C"/>
    <w:rsid w:val="0056551D"/>
    <w:rsid w:val="00565EB9"/>
    <w:rsid w:val="00567E16"/>
    <w:rsid w:val="00567E95"/>
    <w:rsid w:val="0057043D"/>
    <w:rsid w:val="00571FE0"/>
    <w:rsid w:val="0057449C"/>
    <w:rsid w:val="00575314"/>
    <w:rsid w:val="00576D29"/>
    <w:rsid w:val="0058223D"/>
    <w:rsid w:val="005833D5"/>
    <w:rsid w:val="005929A6"/>
    <w:rsid w:val="005929C6"/>
    <w:rsid w:val="00593922"/>
    <w:rsid w:val="00593D11"/>
    <w:rsid w:val="005A06EB"/>
    <w:rsid w:val="005A1994"/>
    <w:rsid w:val="005A2A65"/>
    <w:rsid w:val="005A4779"/>
    <w:rsid w:val="005A4B01"/>
    <w:rsid w:val="005A4C90"/>
    <w:rsid w:val="005A4D5D"/>
    <w:rsid w:val="005A6C6E"/>
    <w:rsid w:val="005B04A5"/>
    <w:rsid w:val="005B07F2"/>
    <w:rsid w:val="005B096C"/>
    <w:rsid w:val="005B618F"/>
    <w:rsid w:val="005B6879"/>
    <w:rsid w:val="005B75AA"/>
    <w:rsid w:val="005C1054"/>
    <w:rsid w:val="005C2A9A"/>
    <w:rsid w:val="005C3952"/>
    <w:rsid w:val="005C68B6"/>
    <w:rsid w:val="005C78F8"/>
    <w:rsid w:val="005D051C"/>
    <w:rsid w:val="005D3A8A"/>
    <w:rsid w:val="005D4901"/>
    <w:rsid w:val="005D50C3"/>
    <w:rsid w:val="005D6324"/>
    <w:rsid w:val="005E03CF"/>
    <w:rsid w:val="005E27B9"/>
    <w:rsid w:val="005E3C55"/>
    <w:rsid w:val="005F3151"/>
    <w:rsid w:val="005F59BF"/>
    <w:rsid w:val="005F677F"/>
    <w:rsid w:val="005F759C"/>
    <w:rsid w:val="006015F1"/>
    <w:rsid w:val="00602BFF"/>
    <w:rsid w:val="00606805"/>
    <w:rsid w:val="0060737E"/>
    <w:rsid w:val="006076DF"/>
    <w:rsid w:val="00610125"/>
    <w:rsid w:val="0061035E"/>
    <w:rsid w:val="00611AC0"/>
    <w:rsid w:val="0061337C"/>
    <w:rsid w:val="00614BEC"/>
    <w:rsid w:val="00622D7F"/>
    <w:rsid w:val="00623BEB"/>
    <w:rsid w:val="00623F34"/>
    <w:rsid w:val="006240F1"/>
    <w:rsid w:val="0062414C"/>
    <w:rsid w:val="00625A13"/>
    <w:rsid w:val="006267F1"/>
    <w:rsid w:val="00630D54"/>
    <w:rsid w:val="006359B5"/>
    <w:rsid w:val="00636EEE"/>
    <w:rsid w:val="006377E4"/>
    <w:rsid w:val="006379F2"/>
    <w:rsid w:val="00642816"/>
    <w:rsid w:val="00642ED3"/>
    <w:rsid w:val="006443A9"/>
    <w:rsid w:val="00651C47"/>
    <w:rsid w:val="0065256E"/>
    <w:rsid w:val="00653BD5"/>
    <w:rsid w:val="006565DA"/>
    <w:rsid w:val="00660236"/>
    <w:rsid w:val="00660475"/>
    <w:rsid w:val="006608BF"/>
    <w:rsid w:val="006610C9"/>
    <w:rsid w:val="00661A84"/>
    <w:rsid w:val="00663795"/>
    <w:rsid w:val="00663CFB"/>
    <w:rsid w:val="006641AF"/>
    <w:rsid w:val="00665FCD"/>
    <w:rsid w:val="00667771"/>
    <w:rsid w:val="00671531"/>
    <w:rsid w:val="00673C0E"/>
    <w:rsid w:val="00674442"/>
    <w:rsid w:val="00675675"/>
    <w:rsid w:val="006777B6"/>
    <w:rsid w:val="006816B6"/>
    <w:rsid w:val="00681E5C"/>
    <w:rsid w:val="00682E41"/>
    <w:rsid w:val="0068338B"/>
    <w:rsid w:val="00684537"/>
    <w:rsid w:val="00684F91"/>
    <w:rsid w:val="00691BE1"/>
    <w:rsid w:val="0069259F"/>
    <w:rsid w:val="0069590E"/>
    <w:rsid w:val="006A2F5C"/>
    <w:rsid w:val="006A3062"/>
    <w:rsid w:val="006A5690"/>
    <w:rsid w:val="006A7889"/>
    <w:rsid w:val="006B1BC2"/>
    <w:rsid w:val="006B35EB"/>
    <w:rsid w:val="006B4ADC"/>
    <w:rsid w:val="006B632E"/>
    <w:rsid w:val="006B6702"/>
    <w:rsid w:val="006C0ACA"/>
    <w:rsid w:val="006C3D16"/>
    <w:rsid w:val="006C5BAB"/>
    <w:rsid w:val="006D3E3D"/>
    <w:rsid w:val="006D46BD"/>
    <w:rsid w:val="006D4900"/>
    <w:rsid w:val="006D4D9C"/>
    <w:rsid w:val="006E0D5B"/>
    <w:rsid w:val="006E1266"/>
    <w:rsid w:val="006E242E"/>
    <w:rsid w:val="006F1BC7"/>
    <w:rsid w:val="006F21ED"/>
    <w:rsid w:val="006F2C3E"/>
    <w:rsid w:val="006F346C"/>
    <w:rsid w:val="006F4041"/>
    <w:rsid w:val="006F4211"/>
    <w:rsid w:val="006F64B3"/>
    <w:rsid w:val="006F70C8"/>
    <w:rsid w:val="00704C5F"/>
    <w:rsid w:val="00706AF4"/>
    <w:rsid w:val="007105D7"/>
    <w:rsid w:val="00710763"/>
    <w:rsid w:val="007134B3"/>
    <w:rsid w:val="00714A76"/>
    <w:rsid w:val="007167C0"/>
    <w:rsid w:val="0072300C"/>
    <w:rsid w:val="00725F62"/>
    <w:rsid w:val="007276E4"/>
    <w:rsid w:val="00733648"/>
    <w:rsid w:val="00734F58"/>
    <w:rsid w:val="00735CB6"/>
    <w:rsid w:val="007365A3"/>
    <w:rsid w:val="00736FC5"/>
    <w:rsid w:val="00741C49"/>
    <w:rsid w:val="00744582"/>
    <w:rsid w:val="00746EFD"/>
    <w:rsid w:val="00747286"/>
    <w:rsid w:val="0074730F"/>
    <w:rsid w:val="00751770"/>
    <w:rsid w:val="00751980"/>
    <w:rsid w:val="007558CD"/>
    <w:rsid w:val="0075678C"/>
    <w:rsid w:val="00757499"/>
    <w:rsid w:val="00760B5A"/>
    <w:rsid w:val="007644FF"/>
    <w:rsid w:val="00767176"/>
    <w:rsid w:val="00770C02"/>
    <w:rsid w:val="0077144A"/>
    <w:rsid w:val="007716AB"/>
    <w:rsid w:val="0077184C"/>
    <w:rsid w:val="0077301C"/>
    <w:rsid w:val="0077381D"/>
    <w:rsid w:val="00775457"/>
    <w:rsid w:val="00777668"/>
    <w:rsid w:val="0078229E"/>
    <w:rsid w:val="00782995"/>
    <w:rsid w:val="00782FD3"/>
    <w:rsid w:val="007840C8"/>
    <w:rsid w:val="00785E6A"/>
    <w:rsid w:val="0079238C"/>
    <w:rsid w:val="00793BC9"/>
    <w:rsid w:val="00794430"/>
    <w:rsid w:val="00796C39"/>
    <w:rsid w:val="007A0B34"/>
    <w:rsid w:val="007A2EC3"/>
    <w:rsid w:val="007A33A8"/>
    <w:rsid w:val="007A65B9"/>
    <w:rsid w:val="007A6A82"/>
    <w:rsid w:val="007B020A"/>
    <w:rsid w:val="007B0A5D"/>
    <w:rsid w:val="007B1B20"/>
    <w:rsid w:val="007B1DCA"/>
    <w:rsid w:val="007B3A1E"/>
    <w:rsid w:val="007B5B49"/>
    <w:rsid w:val="007B5D42"/>
    <w:rsid w:val="007B693F"/>
    <w:rsid w:val="007C08F1"/>
    <w:rsid w:val="007C2B63"/>
    <w:rsid w:val="007C54A8"/>
    <w:rsid w:val="007D1ECB"/>
    <w:rsid w:val="007D354B"/>
    <w:rsid w:val="007D5733"/>
    <w:rsid w:val="007D606E"/>
    <w:rsid w:val="007E0B93"/>
    <w:rsid w:val="007E1D19"/>
    <w:rsid w:val="007E3F02"/>
    <w:rsid w:val="007F35C8"/>
    <w:rsid w:val="00800797"/>
    <w:rsid w:val="00800ED8"/>
    <w:rsid w:val="0080222B"/>
    <w:rsid w:val="00802562"/>
    <w:rsid w:val="008047D2"/>
    <w:rsid w:val="0080536D"/>
    <w:rsid w:val="0080609F"/>
    <w:rsid w:val="00807C70"/>
    <w:rsid w:val="0081451E"/>
    <w:rsid w:val="00820837"/>
    <w:rsid w:val="008213A0"/>
    <w:rsid w:val="00831D78"/>
    <w:rsid w:val="00832A4D"/>
    <w:rsid w:val="00836EB2"/>
    <w:rsid w:val="00837AC9"/>
    <w:rsid w:val="00840C90"/>
    <w:rsid w:val="0084409A"/>
    <w:rsid w:val="00844C4A"/>
    <w:rsid w:val="00853D32"/>
    <w:rsid w:val="0086047B"/>
    <w:rsid w:val="00861766"/>
    <w:rsid w:val="00861D04"/>
    <w:rsid w:val="00862673"/>
    <w:rsid w:val="00862791"/>
    <w:rsid w:val="008667B0"/>
    <w:rsid w:val="00866E59"/>
    <w:rsid w:val="00871CE2"/>
    <w:rsid w:val="00877533"/>
    <w:rsid w:val="00880117"/>
    <w:rsid w:val="00881643"/>
    <w:rsid w:val="0088203B"/>
    <w:rsid w:val="008843F0"/>
    <w:rsid w:val="008868F6"/>
    <w:rsid w:val="00887118"/>
    <w:rsid w:val="00887CE7"/>
    <w:rsid w:val="00894291"/>
    <w:rsid w:val="008A068F"/>
    <w:rsid w:val="008A071B"/>
    <w:rsid w:val="008A4DDB"/>
    <w:rsid w:val="008A4E15"/>
    <w:rsid w:val="008A7E01"/>
    <w:rsid w:val="008B1B0D"/>
    <w:rsid w:val="008B2845"/>
    <w:rsid w:val="008B45AD"/>
    <w:rsid w:val="008B4CA1"/>
    <w:rsid w:val="008B6843"/>
    <w:rsid w:val="008C26CA"/>
    <w:rsid w:val="008C5419"/>
    <w:rsid w:val="008C7108"/>
    <w:rsid w:val="008D0D01"/>
    <w:rsid w:val="008D1C03"/>
    <w:rsid w:val="008D2C06"/>
    <w:rsid w:val="008D44C0"/>
    <w:rsid w:val="008D53EC"/>
    <w:rsid w:val="008E27FF"/>
    <w:rsid w:val="008E372C"/>
    <w:rsid w:val="008E37E7"/>
    <w:rsid w:val="008E6898"/>
    <w:rsid w:val="008E71EB"/>
    <w:rsid w:val="008F00FC"/>
    <w:rsid w:val="008F137F"/>
    <w:rsid w:val="008F165B"/>
    <w:rsid w:val="008F4441"/>
    <w:rsid w:val="008F7994"/>
    <w:rsid w:val="008F7A19"/>
    <w:rsid w:val="008F7D94"/>
    <w:rsid w:val="00901692"/>
    <w:rsid w:val="009018F2"/>
    <w:rsid w:val="009039E0"/>
    <w:rsid w:val="00905400"/>
    <w:rsid w:val="009109C4"/>
    <w:rsid w:val="00911638"/>
    <w:rsid w:val="00915064"/>
    <w:rsid w:val="0092173D"/>
    <w:rsid w:val="00921F53"/>
    <w:rsid w:val="00923491"/>
    <w:rsid w:val="00930E2C"/>
    <w:rsid w:val="00933038"/>
    <w:rsid w:val="00937428"/>
    <w:rsid w:val="00941C3A"/>
    <w:rsid w:val="0094203D"/>
    <w:rsid w:val="00942648"/>
    <w:rsid w:val="00943CC4"/>
    <w:rsid w:val="00945E37"/>
    <w:rsid w:val="00945E73"/>
    <w:rsid w:val="00947547"/>
    <w:rsid w:val="0094768A"/>
    <w:rsid w:val="00951E78"/>
    <w:rsid w:val="00954172"/>
    <w:rsid w:val="00954AE8"/>
    <w:rsid w:val="00955E38"/>
    <w:rsid w:val="009565F7"/>
    <w:rsid w:val="009602B5"/>
    <w:rsid w:val="00960BE0"/>
    <w:rsid w:val="009645EE"/>
    <w:rsid w:val="00965BAD"/>
    <w:rsid w:val="0097301F"/>
    <w:rsid w:val="00974E8C"/>
    <w:rsid w:val="00976EC2"/>
    <w:rsid w:val="00980774"/>
    <w:rsid w:val="00982216"/>
    <w:rsid w:val="0098633D"/>
    <w:rsid w:val="00987A43"/>
    <w:rsid w:val="00987C2D"/>
    <w:rsid w:val="00987FF2"/>
    <w:rsid w:val="00990C3D"/>
    <w:rsid w:val="00991C3B"/>
    <w:rsid w:val="00992B0C"/>
    <w:rsid w:val="009930C0"/>
    <w:rsid w:val="009936E8"/>
    <w:rsid w:val="009940F9"/>
    <w:rsid w:val="00995E4A"/>
    <w:rsid w:val="00996C76"/>
    <w:rsid w:val="00997873"/>
    <w:rsid w:val="009A09B6"/>
    <w:rsid w:val="009A25A8"/>
    <w:rsid w:val="009A7743"/>
    <w:rsid w:val="009B11E3"/>
    <w:rsid w:val="009B155E"/>
    <w:rsid w:val="009C0A8B"/>
    <w:rsid w:val="009C3869"/>
    <w:rsid w:val="009C4426"/>
    <w:rsid w:val="009C5C33"/>
    <w:rsid w:val="009C5D3D"/>
    <w:rsid w:val="009C6C7C"/>
    <w:rsid w:val="009C6EAF"/>
    <w:rsid w:val="009C702F"/>
    <w:rsid w:val="009C76E4"/>
    <w:rsid w:val="009D18ED"/>
    <w:rsid w:val="009D3387"/>
    <w:rsid w:val="009D4916"/>
    <w:rsid w:val="009E09E7"/>
    <w:rsid w:val="009E0EED"/>
    <w:rsid w:val="009E12F7"/>
    <w:rsid w:val="009E2BE4"/>
    <w:rsid w:val="009E554D"/>
    <w:rsid w:val="009E6304"/>
    <w:rsid w:val="009F0063"/>
    <w:rsid w:val="009F0412"/>
    <w:rsid w:val="009F1692"/>
    <w:rsid w:val="009F1AE8"/>
    <w:rsid w:val="009F2CEF"/>
    <w:rsid w:val="009F58AC"/>
    <w:rsid w:val="009F7D76"/>
    <w:rsid w:val="00A0385A"/>
    <w:rsid w:val="00A0441C"/>
    <w:rsid w:val="00A048D3"/>
    <w:rsid w:val="00A058F9"/>
    <w:rsid w:val="00A0680C"/>
    <w:rsid w:val="00A13120"/>
    <w:rsid w:val="00A1370E"/>
    <w:rsid w:val="00A179D1"/>
    <w:rsid w:val="00A20115"/>
    <w:rsid w:val="00A20963"/>
    <w:rsid w:val="00A21789"/>
    <w:rsid w:val="00A23D7C"/>
    <w:rsid w:val="00A2705C"/>
    <w:rsid w:val="00A2712C"/>
    <w:rsid w:val="00A30B41"/>
    <w:rsid w:val="00A30D30"/>
    <w:rsid w:val="00A33FE0"/>
    <w:rsid w:val="00A3478F"/>
    <w:rsid w:val="00A35652"/>
    <w:rsid w:val="00A35A23"/>
    <w:rsid w:val="00A36E0B"/>
    <w:rsid w:val="00A36E4D"/>
    <w:rsid w:val="00A43E9B"/>
    <w:rsid w:val="00A47310"/>
    <w:rsid w:val="00A47EAA"/>
    <w:rsid w:val="00A5034D"/>
    <w:rsid w:val="00A5165C"/>
    <w:rsid w:val="00A53CA0"/>
    <w:rsid w:val="00A553B1"/>
    <w:rsid w:val="00A55817"/>
    <w:rsid w:val="00A55A8F"/>
    <w:rsid w:val="00A56768"/>
    <w:rsid w:val="00A6033B"/>
    <w:rsid w:val="00A612A6"/>
    <w:rsid w:val="00A63A5C"/>
    <w:rsid w:val="00A642D8"/>
    <w:rsid w:val="00A657E0"/>
    <w:rsid w:val="00A66B7B"/>
    <w:rsid w:val="00A673DA"/>
    <w:rsid w:val="00A702B2"/>
    <w:rsid w:val="00A71783"/>
    <w:rsid w:val="00A72AE8"/>
    <w:rsid w:val="00A7599F"/>
    <w:rsid w:val="00A76012"/>
    <w:rsid w:val="00A77785"/>
    <w:rsid w:val="00A81F7B"/>
    <w:rsid w:val="00A82E0D"/>
    <w:rsid w:val="00A82EB3"/>
    <w:rsid w:val="00A90EF0"/>
    <w:rsid w:val="00A93111"/>
    <w:rsid w:val="00A9569B"/>
    <w:rsid w:val="00A95CC0"/>
    <w:rsid w:val="00A97020"/>
    <w:rsid w:val="00AA3B2E"/>
    <w:rsid w:val="00AA3FC7"/>
    <w:rsid w:val="00AA4E45"/>
    <w:rsid w:val="00AA7062"/>
    <w:rsid w:val="00AA751F"/>
    <w:rsid w:val="00AB359F"/>
    <w:rsid w:val="00AB4C19"/>
    <w:rsid w:val="00AB5313"/>
    <w:rsid w:val="00AB57F2"/>
    <w:rsid w:val="00AB6548"/>
    <w:rsid w:val="00AC021D"/>
    <w:rsid w:val="00AC16ED"/>
    <w:rsid w:val="00AC3B7D"/>
    <w:rsid w:val="00AD2038"/>
    <w:rsid w:val="00AD3A03"/>
    <w:rsid w:val="00AD3E59"/>
    <w:rsid w:val="00AE11B0"/>
    <w:rsid w:val="00AE4241"/>
    <w:rsid w:val="00AE70C9"/>
    <w:rsid w:val="00AF04F6"/>
    <w:rsid w:val="00AF2841"/>
    <w:rsid w:val="00AF30C1"/>
    <w:rsid w:val="00AF4088"/>
    <w:rsid w:val="00AF4C12"/>
    <w:rsid w:val="00AF4FE0"/>
    <w:rsid w:val="00AF6733"/>
    <w:rsid w:val="00AF7D84"/>
    <w:rsid w:val="00B03AB2"/>
    <w:rsid w:val="00B0406C"/>
    <w:rsid w:val="00B05182"/>
    <w:rsid w:val="00B14063"/>
    <w:rsid w:val="00B14815"/>
    <w:rsid w:val="00B17AB1"/>
    <w:rsid w:val="00B21EAC"/>
    <w:rsid w:val="00B244C3"/>
    <w:rsid w:val="00B2624A"/>
    <w:rsid w:val="00B27C78"/>
    <w:rsid w:val="00B32190"/>
    <w:rsid w:val="00B333BC"/>
    <w:rsid w:val="00B34824"/>
    <w:rsid w:val="00B35DFF"/>
    <w:rsid w:val="00B35EC0"/>
    <w:rsid w:val="00B3633C"/>
    <w:rsid w:val="00B369B3"/>
    <w:rsid w:val="00B3797A"/>
    <w:rsid w:val="00B43053"/>
    <w:rsid w:val="00B4407E"/>
    <w:rsid w:val="00B538F9"/>
    <w:rsid w:val="00B574CF"/>
    <w:rsid w:val="00B5796D"/>
    <w:rsid w:val="00B609F7"/>
    <w:rsid w:val="00B61EF4"/>
    <w:rsid w:val="00B64667"/>
    <w:rsid w:val="00B71D3E"/>
    <w:rsid w:val="00B751B3"/>
    <w:rsid w:val="00B852BA"/>
    <w:rsid w:val="00B85B4C"/>
    <w:rsid w:val="00B85F24"/>
    <w:rsid w:val="00B8643B"/>
    <w:rsid w:val="00B87031"/>
    <w:rsid w:val="00B93132"/>
    <w:rsid w:val="00B934E1"/>
    <w:rsid w:val="00B93C11"/>
    <w:rsid w:val="00B94945"/>
    <w:rsid w:val="00B94B55"/>
    <w:rsid w:val="00B95A53"/>
    <w:rsid w:val="00B95A5F"/>
    <w:rsid w:val="00B95E75"/>
    <w:rsid w:val="00BA6A63"/>
    <w:rsid w:val="00BA6D2A"/>
    <w:rsid w:val="00BA6F5D"/>
    <w:rsid w:val="00BA6FB3"/>
    <w:rsid w:val="00BA741E"/>
    <w:rsid w:val="00BB39A6"/>
    <w:rsid w:val="00BB5EFB"/>
    <w:rsid w:val="00BC267C"/>
    <w:rsid w:val="00BC27F5"/>
    <w:rsid w:val="00BC3DA1"/>
    <w:rsid w:val="00BC419C"/>
    <w:rsid w:val="00BC5976"/>
    <w:rsid w:val="00BD148A"/>
    <w:rsid w:val="00BD486D"/>
    <w:rsid w:val="00BD50E0"/>
    <w:rsid w:val="00BE2792"/>
    <w:rsid w:val="00BE4E06"/>
    <w:rsid w:val="00BE60A5"/>
    <w:rsid w:val="00BE7899"/>
    <w:rsid w:val="00BF29CE"/>
    <w:rsid w:val="00BF2F9E"/>
    <w:rsid w:val="00BF7D2A"/>
    <w:rsid w:val="00C00237"/>
    <w:rsid w:val="00C02792"/>
    <w:rsid w:val="00C02E1F"/>
    <w:rsid w:val="00C036AD"/>
    <w:rsid w:val="00C03FAA"/>
    <w:rsid w:val="00C04309"/>
    <w:rsid w:val="00C10684"/>
    <w:rsid w:val="00C14AE0"/>
    <w:rsid w:val="00C15D19"/>
    <w:rsid w:val="00C20E30"/>
    <w:rsid w:val="00C21809"/>
    <w:rsid w:val="00C23D5A"/>
    <w:rsid w:val="00C307CE"/>
    <w:rsid w:val="00C32734"/>
    <w:rsid w:val="00C32962"/>
    <w:rsid w:val="00C330D0"/>
    <w:rsid w:val="00C3495E"/>
    <w:rsid w:val="00C360D7"/>
    <w:rsid w:val="00C40442"/>
    <w:rsid w:val="00C40495"/>
    <w:rsid w:val="00C4112D"/>
    <w:rsid w:val="00C41352"/>
    <w:rsid w:val="00C427A6"/>
    <w:rsid w:val="00C42E9C"/>
    <w:rsid w:val="00C43434"/>
    <w:rsid w:val="00C46859"/>
    <w:rsid w:val="00C468F8"/>
    <w:rsid w:val="00C50096"/>
    <w:rsid w:val="00C5108F"/>
    <w:rsid w:val="00C52F77"/>
    <w:rsid w:val="00C53B20"/>
    <w:rsid w:val="00C53C5E"/>
    <w:rsid w:val="00C56B49"/>
    <w:rsid w:val="00C57AE3"/>
    <w:rsid w:val="00C60262"/>
    <w:rsid w:val="00C612AD"/>
    <w:rsid w:val="00C63930"/>
    <w:rsid w:val="00C64694"/>
    <w:rsid w:val="00C70582"/>
    <w:rsid w:val="00C70598"/>
    <w:rsid w:val="00C71309"/>
    <w:rsid w:val="00C72885"/>
    <w:rsid w:val="00C80A67"/>
    <w:rsid w:val="00C814EE"/>
    <w:rsid w:val="00C84E4F"/>
    <w:rsid w:val="00C866A0"/>
    <w:rsid w:val="00C90E33"/>
    <w:rsid w:val="00C912BF"/>
    <w:rsid w:val="00C93E07"/>
    <w:rsid w:val="00CA1F77"/>
    <w:rsid w:val="00CA2D94"/>
    <w:rsid w:val="00CA34D5"/>
    <w:rsid w:val="00CA4AA1"/>
    <w:rsid w:val="00CA521D"/>
    <w:rsid w:val="00CA5470"/>
    <w:rsid w:val="00CA6231"/>
    <w:rsid w:val="00CA79B8"/>
    <w:rsid w:val="00CB0FE4"/>
    <w:rsid w:val="00CB11AD"/>
    <w:rsid w:val="00CB294C"/>
    <w:rsid w:val="00CB5E7F"/>
    <w:rsid w:val="00CB6348"/>
    <w:rsid w:val="00CB64A8"/>
    <w:rsid w:val="00CB6AD6"/>
    <w:rsid w:val="00CC072F"/>
    <w:rsid w:val="00CC4666"/>
    <w:rsid w:val="00CC5110"/>
    <w:rsid w:val="00CC654B"/>
    <w:rsid w:val="00CC7DAB"/>
    <w:rsid w:val="00CE12F1"/>
    <w:rsid w:val="00CE41CD"/>
    <w:rsid w:val="00CE48BD"/>
    <w:rsid w:val="00CE4B65"/>
    <w:rsid w:val="00CE60DB"/>
    <w:rsid w:val="00CE6372"/>
    <w:rsid w:val="00CE65B0"/>
    <w:rsid w:val="00CE76B3"/>
    <w:rsid w:val="00CF104C"/>
    <w:rsid w:val="00CF1DC9"/>
    <w:rsid w:val="00CF2494"/>
    <w:rsid w:val="00CF3F28"/>
    <w:rsid w:val="00CF638D"/>
    <w:rsid w:val="00D004FA"/>
    <w:rsid w:val="00D00853"/>
    <w:rsid w:val="00D02A89"/>
    <w:rsid w:val="00D03291"/>
    <w:rsid w:val="00D04BA4"/>
    <w:rsid w:val="00D10011"/>
    <w:rsid w:val="00D10481"/>
    <w:rsid w:val="00D107A1"/>
    <w:rsid w:val="00D1163E"/>
    <w:rsid w:val="00D16089"/>
    <w:rsid w:val="00D22529"/>
    <w:rsid w:val="00D24224"/>
    <w:rsid w:val="00D277F5"/>
    <w:rsid w:val="00D318A8"/>
    <w:rsid w:val="00D3236C"/>
    <w:rsid w:val="00D33598"/>
    <w:rsid w:val="00D34110"/>
    <w:rsid w:val="00D34803"/>
    <w:rsid w:val="00D36AF1"/>
    <w:rsid w:val="00D36D4A"/>
    <w:rsid w:val="00D510A0"/>
    <w:rsid w:val="00D51FEF"/>
    <w:rsid w:val="00D525F5"/>
    <w:rsid w:val="00D5516A"/>
    <w:rsid w:val="00D56753"/>
    <w:rsid w:val="00D62524"/>
    <w:rsid w:val="00D62EAA"/>
    <w:rsid w:val="00D64561"/>
    <w:rsid w:val="00D71546"/>
    <w:rsid w:val="00D7235B"/>
    <w:rsid w:val="00D77BF9"/>
    <w:rsid w:val="00D84D3F"/>
    <w:rsid w:val="00D84F02"/>
    <w:rsid w:val="00D8553C"/>
    <w:rsid w:val="00D85F05"/>
    <w:rsid w:val="00D92B74"/>
    <w:rsid w:val="00D944EA"/>
    <w:rsid w:val="00D95A14"/>
    <w:rsid w:val="00DA158F"/>
    <w:rsid w:val="00DA44CE"/>
    <w:rsid w:val="00DA7ADD"/>
    <w:rsid w:val="00DB0991"/>
    <w:rsid w:val="00DB2829"/>
    <w:rsid w:val="00DB3811"/>
    <w:rsid w:val="00DB3AF4"/>
    <w:rsid w:val="00DC17E1"/>
    <w:rsid w:val="00DC2060"/>
    <w:rsid w:val="00DC666C"/>
    <w:rsid w:val="00DC7F34"/>
    <w:rsid w:val="00DD2924"/>
    <w:rsid w:val="00DD49C5"/>
    <w:rsid w:val="00DD65D4"/>
    <w:rsid w:val="00DD735B"/>
    <w:rsid w:val="00DE10BB"/>
    <w:rsid w:val="00DE20C9"/>
    <w:rsid w:val="00DE2A26"/>
    <w:rsid w:val="00DE47B2"/>
    <w:rsid w:val="00DE4991"/>
    <w:rsid w:val="00DE6B08"/>
    <w:rsid w:val="00DE6DD4"/>
    <w:rsid w:val="00DE734C"/>
    <w:rsid w:val="00DE7625"/>
    <w:rsid w:val="00DE7D00"/>
    <w:rsid w:val="00DF0490"/>
    <w:rsid w:val="00DF0618"/>
    <w:rsid w:val="00DF29CB"/>
    <w:rsid w:val="00DF577C"/>
    <w:rsid w:val="00E01100"/>
    <w:rsid w:val="00E01E05"/>
    <w:rsid w:val="00E07603"/>
    <w:rsid w:val="00E11127"/>
    <w:rsid w:val="00E12CD0"/>
    <w:rsid w:val="00E12D8D"/>
    <w:rsid w:val="00E13159"/>
    <w:rsid w:val="00E15CBF"/>
    <w:rsid w:val="00E2012A"/>
    <w:rsid w:val="00E20278"/>
    <w:rsid w:val="00E222B8"/>
    <w:rsid w:val="00E2244B"/>
    <w:rsid w:val="00E2430F"/>
    <w:rsid w:val="00E320C2"/>
    <w:rsid w:val="00E323DA"/>
    <w:rsid w:val="00E33216"/>
    <w:rsid w:val="00E337E3"/>
    <w:rsid w:val="00E36ADD"/>
    <w:rsid w:val="00E41F3E"/>
    <w:rsid w:val="00E42A5D"/>
    <w:rsid w:val="00E43E41"/>
    <w:rsid w:val="00E44C23"/>
    <w:rsid w:val="00E47932"/>
    <w:rsid w:val="00E5167D"/>
    <w:rsid w:val="00E51DC4"/>
    <w:rsid w:val="00E52759"/>
    <w:rsid w:val="00E5629D"/>
    <w:rsid w:val="00E56420"/>
    <w:rsid w:val="00E565F1"/>
    <w:rsid w:val="00E57FC5"/>
    <w:rsid w:val="00E60A68"/>
    <w:rsid w:val="00E62A85"/>
    <w:rsid w:val="00E66E9C"/>
    <w:rsid w:val="00E67408"/>
    <w:rsid w:val="00E67F78"/>
    <w:rsid w:val="00E707F6"/>
    <w:rsid w:val="00E7140A"/>
    <w:rsid w:val="00E71E59"/>
    <w:rsid w:val="00E71FBB"/>
    <w:rsid w:val="00E7210A"/>
    <w:rsid w:val="00E7211E"/>
    <w:rsid w:val="00E75454"/>
    <w:rsid w:val="00E75956"/>
    <w:rsid w:val="00E772D5"/>
    <w:rsid w:val="00E81A81"/>
    <w:rsid w:val="00E83FFC"/>
    <w:rsid w:val="00E8446B"/>
    <w:rsid w:val="00E860BA"/>
    <w:rsid w:val="00E90A78"/>
    <w:rsid w:val="00E91802"/>
    <w:rsid w:val="00E9254E"/>
    <w:rsid w:val="00E94FFA"/>
    <w:rsid w:val="00E95D45"/>
    <w:rsid w:val="00EA3BEF"/>
    <w:rsid w:val="00EA5B0E"/>
    <w:rsid w:val="00EB0291"/>
    <w:rsid w:val="00EB1693"/>
    <w:rsid w:val="00EB42DD"/>
    <w:rsid w:val="00EB5A3D"/>
    <w:rsid w:val="00EB7CAF"/>
    <w:rsid w:val="00EC5F6F"/>
    <w:rsid w:val="00ED3433"/>
    <w:rsid w:val="00ED36C0"/>
    <w:rsid w:val="00ED40EF"/>
    <w:rsid w:val="00ED6610"/>
    <w:rsid w:val="00EE0006"/>
    <w:rsid w:val="00EE20D6"/>
    <w:rsid w:val="00EE3D66"/>
    <w:rsid w:val="00EE4591"/>
    <w:rsid w:val="00EE4687"/>
    <w:rsid w:val="00EE4B41"/>
    <w:rsid w:val="00EE5018"/>
    <w:rsid w:val="00EE52CA"/>
    <w:rsid w:val="00EE6450"/>
    <w:rsid w:val="00EE68D2"/>
    <w:rsid w:val="00EE7631"/>
    <w:rsid w:val="00EF175E"/>
    <w:rsid w:val="00EF2C0C"/>
    <w:rsid w:val="00EF35F2"/>
    <w:rsid w:val="00EF3ADF"/>
    <w:rsid w:val="00EF4BDF"/>
    <w:rsid w:val="00F0000B"/>
    <w:rsid w:val="00F0265D"/>
    <w:rsid w:val="00F0361D"/>
    <w:rsid w:val="00F100FD"/>
    <w:rsid w:val="00F10224"/>
    <w:rsid w:val="00F10C33"/>
    <w:rsid w:val="00F11E0E"/>
    <w:rsid w:val="00F12097"/>
    <w:rsid w:val="00F14666"/>
    <w:rsid w:val="00F156AF"/>
    <w:rsid w:val="00F15946"/>
    <w:rsid w:val="00F226E8"/>
    <w:rsid w:val="00F24011"/>
    <w:rsid w:val="00F24ACA"/>
    <w:rsid w:val="00F27482"/>
    <w:rsid w:val="00F30836"/>
    <w:rsid w:val="00F32CEF"/>
    <w:rsid w:val="00F34209"/>
    <w:rsid w:val="00F34B84"/>
    <w:rsid w:val="00F3663C"/>
    <w:rsid w:val="00F36FB6"/>
    <w:rsid w:val="00F4040D"/>
    <w:rsid w:val="00F42D74"/>
    <w:rsid w:val="00F43969"/>
    <w:rsid w:val="00F43C5B"/>
    <w:rsid w:val="00F43E20"/>
    <w:rsid w:val="00F501B2"/>
    <w:rsid w:val="00F51ECB"/>
    <w:rsid w:val="00F5286F"/>
    <w:rsid w:val="00F52912"/>
    <w:rsid w:val="00F53EE7"/>
    <w:rsid w:val="00F561F0"/>
    <w:rsid w:val="00F562A6"/>
    <w:rsid w:val="00F57FB9"/>
    <w:rsid w:val="00F60A77"/>
    <w:rsid w:val="00F635C3"/>
    <w:rsid w:val="00F642F6"/>
    <w:rsid w:val="00F7289A"/>
    <w:rsid w:val="00F73364"/>
    <w:rsid w:val="00F75666"/>
    <w:rsid w:val="00F80D01"/>
    <w:rsid w:val="00F83FFC"/>
    <w:rsid w:val="00F8458B"/>
    <w:rsid w:val="00F84D16"/>
    <w:rsid w:val="00F86833"/>
    <w:rsid w:val="00F87909"/>
    <w:rsid w:val="00F9104A"/>
    <w:rsid w:val="00F912E9"/>
    <w:rsid w:val="00F941F4"/>
    <w:rsid w:val="00F97612"/>
    <w:rsid w:val="00FA3BD9"/>
    <w:rsid w:val="00FA3EEF"/>
    <w:rsid w:val="00FA4ADE"/>
    <w:rsid w:val="00FA6468"/>
    <w:rsid w:val="00FA756E"/>
    <w:rsid w:val="00FA7DB5"/>
    <w:rsid w:val="00FB1E2E"/>
    <w:rsid w:val="00FC0F03"/>
    <w:rsid w:val="00FC2F4B"/>
    <w:rsid w:val="00FC3E58"/>
    <w:rsid w:val="00FC41E8"/>
    <w:rsid w:val="00FC54C5"/>
    <w:rsid w:val="00FD15FF"/>
    <w:rsid w:val="00FD3AE0"/>
    <w:rsid w:val="00FD4040"/>
    <w:rsid w:val="00FE49B5"/>
    <w:rsid w:val="00FE4F56"/>
    <w:rsid w:val="00FE50D3"/>
    <w:rsid w:val="00FE586A"/>
    <w:rsid w:val="00FF0454"/>
    <w:rsid w:val="00FF1261"/>
    <w:rsid w:val="00FF543B"/>
    <w:rsid w:val="00FF642D"/>
    <w:rsid w:val="00FF6ED4"/>
    <w:rsid w:val="00FF718C"/>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FootnoteText">
    <w:name w:val="footnote text"/>
    <w:basedOn w:val="Normal"/>
    <w:link w:val="FootnoteTextChar"/>
    <w:rsid w:val="0061337C"/>
    <w:rPr>
      <w:rFonts w:ascii="Times New Roman" w:hAnsi="Times New Roman" w:cs="Times New Roman"/>
    </w:rPr>
  </w:style>
  <w:style w:type="character" w:customStyle="1" w:styleId="FootnoteTextChar">
    <w:name w:val="Footnote Text Char"/>
    <w:link w:val="FootnoteText"/>
    <w:rsid w:val="0061337C"/>
    <w:rPr>
      <w:sz w:val="24"/>
      <w:szCs w:val="24"/>
    </w:rPr>
  </w:style>
  <w:style w:type="character" w:styleId="FootnoteReference">
    <w:name w:val="footnote reference"/>
    <w:rsid w:val="0061337C"/>
    <w:rPr>
      <w:vertAlign w:val="superscript"/>
    </w:rPr>
  </w:style>
  <w:style w:type="paragraph" w:styleId="Header">
    <w:name w:val="header"/>
    <w:basedOn w:val="Normal"/>
    <w:link w:val="HeaderChar"/>
    <w:rsid w:val="0068338B"/>
    <w:pPr>
      <w:tabs>
        <w:tab w:val="center" w:pos="4680"/>
        <w:tab w:val="right" w:pos="9360"/>
      </w:tabs>
    </w:pPr>
  </w:style>
  <w:style w:type="character" w:customStyle="1" w:styleId="HeaderChar">
    <w:name w:val="Header Char"/>
    <w:link w:val="Header"/>
    <w:rsid w:val="0068338B"/>
    <w:rPr>
      <w:rFonts w:ascii="CG Times" w:hAnsi="CG Times" w:cs="CG Times"/>
      <w:sz w:val="24"/>
      <w:szCs w:val="24"/>
    </w:rPr>
  </w:style>
  <w:style w:type="paragraph" w:styleId="BalloonText">
    <w:name w:val="Balloon Text"/>
    <w:basedOn w:val="Normal"/>
    <w:link w:val="BalloonTextChar"/>
    <w:rsid w:val="00D62EAA"/>
    <w:rPr>
      <w:rFonts w:ascii="Tahoma" w:hAnsi="Tahoma" w:cs="Tahoma"/>
      <w:sz w:val="16"/>
      <w:szCs w:val="16"/>
    </w:rPr>
  </w:style>
  <w:style w:type="character" w:customStyle="1" w:styleId="BalloonTextChar">
    <w:name w:val="Balloon Text Char"/>
    <w:link w:val="BalloonText"/>
    <w:rsid w:val="00D62EAA"/>
    <w:rPr>
      <w:rFonts w:ascii="Tahoma" w:hAnsi="Tahoma" w:cs="Tahoma"/>
      <w:sz w:val="16"/>
      <w:szCs w:val="16"/>
    </w:rPr>
  </w:style>
  <w:style w:type="paragraph" w:styleId="ListParagraph">
    <w:name w:val="List Paragraph"/>
    <w:basedOn w:val="Normal"/>
    <w:uiPriority w:val="34"/>
    <w:qFormat/>
    <w:rsid w:val="00501F50"/>
    <w:pPr>
      <w:ind w:left="720"/>
      <w:contextualSpacing/>
    </w:pPr>
  </w:style>
  <w:style w:type="character" w:styleId="Strong">
    <w:name w:val="Strong"/>
    <w:basedOn w:val="DefaultParagraphFont"/>
    <w:qFormat/>
    <w:rsid w:val="001A31A4"/>
    <w:rPr>
      <w:b/>
      <w:bCs/>
    </w:rPr>
  </w:style>
  <w:style w:type="character" w:customStyle="1" w:styleId="FooterChar">
    <w:name w:val="Footer Char"/>
    <w:basedOn w:val="DefaultParagraphFont"/>
    <w:link w:val="Footer"/>
    <w:uiPriority w:val="99"/>
    <w:rsid w:val="00217BEA"/>
    <w:rPr>
      <w:rFonts w:ascii="CG Times" w:hAnsi="CG Times" w:cs="CG Times"/>
      <w:sz w:val="24"/>
      <w:szCs w:val="24"/>
    </w:rPr>
  </w:style>
  <w:style w:type="paragraph" w:customStyle="1" w:styleId="p7">
    <w:name w:val="p7"/>
    <w:basedOn w:val="Normal"/>
    <w:rsid w:val="00C04309"/>
    <w:pPr>
      <w:widowControl w:val="0"/>
      <w:tabs>
        <w:tab w:val="left" w:pos="1457"/>
      </w:tabs>
      <w:adjustRightInd w:val="0"/>
      <w:ind w:firstLine="1457"/>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FootnoteText">
    <w:name w:val="footnote text"/>
    <w:basedOn w:val="Normal"/>
    <w:link w:val="FootnoteTextChar"/>
    <w:rsid w:val="0061337C"/>
    <w:rPr>
      <w:rFonts w:ascii="Times New Roman" w:hAnsi="Times New Roman" w:cs="Times New Roman"/>
    </w:rPr>
  </w:style>
  <w:style w:type="character" w:customStyle="1" w:styleId="FootnoteTextChar">
    <w:name w:val="Footnote Text Char"/>
    <w:link w:val="FootnoteText"/>
    <w:rsid w:val="0061337C"/>
    <w:rPr>
      <w:sz w:val="24"/>
      <w:szCs w:val="24"/>
    </w:rPr>
  </w:style>
  <w:style w:type="character" w:styleId="FootnoteReference">
    <w:name w:val="footnote reference"/>
    <w:rsid w:val="0061337C"/>
    <w:rPr>
      <w:vertAlign w:val="superscript"/>
    </w:rPr>
  </w:style>
  <w:style w:type="paragraph" w:styleId="Header">
    <w:name w:val="header"/>
    <w:basedOn w:val="Normal"/>
    <w:link w:val="HeaderChar"/>
    <w:rsid w:val="0068338B"/>
    <w:pPr>
      <w:tabs>
        <w:tab w:val="center" w:pos="4680"/>
        <w:tab w:val="right" w:pos="9360"/>
      </w:tabs>
    </w:pPr>
  </w:style>
  <w:style w:type="character" w:customStyle="1" w:styleId="HeaderChar">
    <w:name w:val="Header Char"/>
    <w:link w:val="Header"/>
    <w:rsid w:val="0068338B"/>
    <w:rPr>
      <w:rFonts w:ascii="CG Times" w:hAnsi="CG Times" w:cs="CG Times"/>
      <w:sz w:val="24"/>
      <w:szCs w:val="24"/>
    </w:rPr>
  </w:style>
  <w:style w:type="paragraph" w:styleId="BalloonText">
    <w:name w:val="Balloon Text"/>
    <w:basedOn w:val="Normal"/>
    <w:link w:val="BalloonTextChar"/>
    <w:rsid w:val="00D62EAA"/>
    <w:rPr>
      <w:rFonts w:ascii="Tahoma" w:hAnsi="Tahoma" w:cs="Tahoma"/>
      <w:sz w:val="16"/>
      <w:szCs w:val="16"/>
    </w:rPr>
  </w:style>
  <w:style w:type="character" w:customStyle="1" w:styleId="BalloonTextChar">
    <w:name w:val="Balloon Text Char"/>
    <w:link w:val="BalloonText"/>
    <w:rsid w:val="00D62EAA"/>
    <w:rPr>
      <w:rFonts w:ascii="Tahoma" w:hAnsi="Tahoma" w:cs="Tahoma"/>
      <w:sz w:val="16"/>
      <w:szCs w:val="16"/>
    </w:rPr>
  </w:style>
  <w:style w:type="paragraph" w:styleId="ListParagraph">
    <w:name w:val="List Paragraph"/>
    <w:basedOn w:val="Normal"/>
    <w:uiPriority w:val="34"/>
    <w:qFormat/>
    <w:rsid w:val="00501F50"/>
    <w:pPr>
      <w:ind w:left="720"/>
      <w:contextualSpacing/>
    </w:pPr>
  </w:style>
  <w:style w:type="character" w:styleId="Strong">
    <w:name w:val="Strong"/>
    <w:basedOn w:val="DefaultParagraphFont"/>
    <w:qFormat/>
    <w:rsid w:val="001A31A4"/>
    <w:rPr>
      <w:b/>
      <w:bCs/>
    </w:rPr>
  </w:style>
  <w:style w:type="character" w:customStyle="1" w:styleId="FooterChar">
    <w:name w:val="Footer Char"/>
    <w:basedOn w:val="DefaultParagraphFont"/>
    <w:link w:val="Footer"/>
    <w:uiPriority w:val="99"/>
    <w:rsid w:val="00217BEA"/>
    <w:rPr>
      <w:rFonts w:ascii="CG Times" w:hAnsi="CG Times" w:cs="CG Times"/>
      <w:sz w:val="24"/>
      <w:szCs w:val="24"/>
    </w:rPr>
  </w:style>
  <w:style w:type="paragraph" w:customStyle="1" w:styleId="p7">
    <w:name w:val="p7"/>
    <w:basedOn w:val="Normal"/>
    <w:rsid w:val="00C04309"/>
    <w:pPr>
      <w:widowControl w:val="0"/>
      <w:tabs>
        <w:tab w:val="left" w:pos="1457"/>
      </w:tabs>
      <w:adjustRightInd w:val="0"/>
      <w:ind w:firstLine="1457"/>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5588">
      <w:bodyDiv w:val="1"/>
      <w:marLeft w:val="0"/>
      <w:marRight w:val="0"/>
      <w:marTop w:val="0"/>
      <w:marBottom w:val="0"/>
      <w:divBdr>
        <w:top w:val="none" w:sz="0" w:space="0" w:color="auto"/>
        <w:left w:val="none" w:sz="0" w:space="0" w:color="auto"/>
        <w:bottom w:val="none" w:sz="0" w:space="0" w:color="auto"/>
        <w:right w:val="none" w:sz="0" w:space="0" w:color="auto"/>
      </w:divBdr>
      <w:divsChild>
        <w:div w:id="120293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3360-6FB8-45F5-A6B8-2B0D41CC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dsalapa</cp:lastModifiedBy>
  <cp:revision>7</cp:revision>
  <cp:lastPrinted>2015-03-06T17:20:00Z</cp:lastPrinted>
  <dcterms:created xsi:type="dcterms:W3CDTF">2015-02-27T15:35:00Z</dcterms:created>
  <dcterms:modified xsi:type="dcterms:W3CDTF">2015-03-18T14:17:00Z</dcterms:modified>
</cp:coreProperties>
</file>