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E2" w:rsidRDefault="004B26E2" w:rsidP="004B26E2">
      <w:pPr>
        <w:jc w:val="center"/>
        <w:rPr>
          <w:b/>
        </w:rPr>
      </w:pPr>
      <w:bookmarkStart w:id="0" w:name="_GoBack"/>
      <w:bookmarkEnd w:id="0"/>
      <w:r>
        <w:tab/>
      </w:r>
      <w:r>
        <w:rPr>
          <w:b/>
        </w:rPr>
        <w:t>BEFORE THE</w:t>
      </w:r>
    </w:p>
    <w:p w:rsidR="004B26E2" w:rsidRDefault="004B26E2" w:rsidP="004B26E2">
      <w:pPr>
        <w:jc w:val="center"/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PENNSYLVANIA</w:t>
          </w:r>
        </w:smartTag>
      </w:smartTag>
      <w:r>
        <w:rPr>
          <w:b/>
        </w:rPr>
        <w:t xml:space="preserve"> PUBLIC UTILITY COMMISSION</w:t>
      </w:r>
    </w:p>
    <w:p w:rsidR="004B26E2" w:rsidRDefault="004B26E2" w:rsidP="004B26E2"/>
    <w:p w:rsidR="004B26E2" w:rsidRDefault="004B26E2" w:rsidP="004B26E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320"/>
      </w:tblGrid>
      <w:tr w:rsidR="009F64F2" w:rsidRPr="00754C39" w:rsidTr="009F64F2">
        <w:tc>
          <w:tcPr>
            <w:tcW w:w="5148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9F64F2" w:rsidRPr="00754C39" w:rsidRDefault="009F64F2" w:rsidP="00B72B3F">
            <w:pPr>
              <w:rPr>
                <w:sz w:val="26"/>
                <w:szCs w:val="26"/>
              </w:rPr>
            </w:pPr>
            <w:r w:rsidRPr="005A2A81">
              <w:rPr>
                <w:szCs w:val="26"/>
              </w:rPr>
              <w:t xml:space="preserve">Public Meeting held </w:t>
            </w:r>
            <w:r w:rsidR="00B72B3F" w:rsidRPr="005A2A81">
              <w:rPr>
                <w:szCs w:val="26"/>
              </w:rPr>
              <w:t>November 19, 2015</w:t>
            </w:r>
          </w:p>
        </w:tc>
      </w:tr>
      <w:tr w:rsidR="009F64F2" w:rsidRPr="00754C39" w:rsidTr="009F64F2">
        <w:tc>
          <w:tcPr>
            <w:tcW w:w="5148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</w:tr>
      <w:tr w:rsidR="009F64F2" w:rsidRPr="00754C39" w:rsidTr="009F64F2">
        <w:tc>
          <w:tcPr>
            <w:tcW w:w="5148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  <w:r w:rsidRPr="00754C39">
              <w:rPr>
                <w:sz w:val="26"/>
                <w:szCs w:val="26"/>
              </w:rPr>
              <w:t>Commissioners Present:</w:t>
            </w:r>
          </w:p>
        </w:tc>
        <w:tc>
          <w:tcPr>
            <w:tcW w:w="4320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</w:tr>
      <w:tr w:rsidR="009F64F2" w:rsidRPr="00754C39" w:rsidTr="009F64F2">
        <w:tc>
          <w:tcPr>
            <w:tcW w:w="5148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</w:tr>
      <w:tr w:rsidR="00B72B3F" w:rsidRPr="00754C39" w:rsidTr="009F64F2">
        <w:tc>
          <w:tcPr>
            <w:tcW w:w="9468" w:type="dxa"/>
            <w:gridSpan w:val="2"/>
          </w:tcPr>
          <w:p w:rsidR="00B72B3F" w:rsidRPr="00C0451E" w:rsidRDefault="00B72B3F" w:rsidP="00361271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Brown, Chairman</w:t>
            </w:r>
          </w:p>
        </w:tc>
      </w:tr>
      <w:tr w:rsidR="00B72B3F" w:rsidRPr="00754C39" w:rsidTr="009F64F2">
        <w:tc>
          <w:tcPr>
            <w:tcW w:w="9468" w:type="dxa"/>
            <w:gridSpan w:val="2"/>
          </w:tcPr>
          <w:p w:rsidR="00B72B3F" w:rsidRPr="00C0451E" w:rsidRDefault="00B72B3F" w:rsidP="00361271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Jr.,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</w:tr>
      <w:tr w:rsidR="00B72B3F" w:rsidRPr="00754C39" w:rsidTr="009F64F2">
        <w:tc>
          <w:tcPr>
            <w:tcW w:w="9468" w:type="dxa"/>
            <w:gridSpan w:val="2"/>
          </w:tcPr>
          <w:p w:rsidR="00B72B3F" w:rsidRPr="00C0451E" w:rsidRDefault="00B72B3F" w:rsidP="00361271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Pamela A. Witmer</w:t>
            </w:r>
          </w:p>
        </w:tc>
      </w:tr>
      <w:tr w:rsidR="00B72B3F" w:rsidRPr="00754C39" w:rsidTr="00C95E5F">
        <w:tc>
          <w:tcPr>
            <w:tcW w:w="5148" w:type="dxa"/>
          </w:tcPr>
          <w:p w:rsidR="00B72B3F" w:rsidRDefault="00B72B3F" w:rsidP="00361271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F. Powelson</w:t>
            </w:r>
          </w:p>
          <w:p w:rsidR="00B72B3F" w:rsidRDefault="00B72B3F" w:rsidP="00361271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</w:p>
          <w:p w:rsidR="00B72B3F" w:rsidRPr="00C0451E" w:rsidRDefault="00B72B3F" w:rsidP="00361271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B72B3F" w:rsidRPr="00C0451E" w:rsidRDefault="00B72B3F" w:rsidP="00B72B3F">
            <w:pPr>
              <w:ind w:left="720"/>
              <w:rPr>
                <w:sz w:val="26"/>
                <w:szCs w:val="26"/>
              </w:rPr>
            </w:pPr>
          </w:p>
        </w:tc>
      </w:tr>
      <w:tr w:rsidR="00B72B3F" w:rsidRPr="00C0451E" w:rsidTr="00B72B3F">
        <w:tc>
          <w:tcPr>
            <w:tcW w:w="5148" w:type="dxa"/>
          </w:tcPr>
          <w:p w:rsidR="00B72B3F" w:rsidRPr="00C0451E" w:rsidRDefault="00B72B3F" w:rsidP="00B72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Electric Generation Supplier License Cancellations of Companies with an Expired Financial Security </w:t>
            </w:r>
          </w:p>
        </w:tc>
        <w:tc>
          <w:tcPr>
            <w:tcW w:w="4320" w:type="dxa"/>
          </w:tcPr>
          <w:p w:rsidR="00B72B3F" w:rsidRDefault="00B72B3F" w:rsidP="00B72B3F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B72B3F" w:rsidRDefault="00B72B3F" w:rsidP="00B72B3F">
            <w:pPr>
              <w:ind w:left="720"/>
              <w:rPr>
                <w:sz w:val="26"/>
                <w:szCs w:val="26"/>
              </w:rPr>
            </w:pPr>
          </w:p>
          <w:p w:rsidR="00B72B3F" w:rsidRDefault="00B72B3F" w:rsidP="00B72B3F">
            <w:pPr>
              <w:ind w:left="720"/>
              <w:rPr>
                <w:sz w:val="26"/>
                <w:szCs w:val="26"/>
              </w:rPr>
            </w:pPr>
          </w:p>
          <w:p w:rsidR="00B72B3F" w:rsidRPr="00C0451E" w:rsidRDefault="00B72B3F" w:rsidP="00B72B3F">
            <w:pPr>
              <w:ind w:left="720"/>
              <w:rPr>
                <w:sz w:val="26"/>
                <w:szCs w:val="26"/>
              </w:rPr>
            </w:pPr>
          </w:p>
        </w:tc>
      </w:tr>
      <w:tr w:rsidR="00B72B3F" w:rsidRPr="00C0451E" w:rsidTr="00B72B3F">
        <w:tc>
          <w:tcPr>
            <w:tcW w:w="5148" w:type="dxa"/>
          </w:tcPr>
          <w:p w:rsidR="00B72B3F" w:rsidRDefault="00B72B3F" w:rsidP="00B72B3F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B72B3F" w:rsidRDefault="00B72B3F" w:rsidP="00B72B3F">
            <w:pPr>
              <w:ind w:left="720"/>
              <w:rPr>
                <w:sz w:val="26"/>
                <w:szCs w:val="26"/>
              </w:rPr>
            </w:pPr>
          </w:p>
        </w:tc>
      </w:tr>
    </w:tbl>
    <w:p w:rsidR="00061AA0" w:rsidRPr="00103290" w:rsidRDefault="00061AA0" w:rsidP="00B72B3F">
      <w:pPr>
        <w:ind w:left="2880" w:firstLine="720"/>
        <w:rPr>
          <w:sz w:val="22"/>
          <w:szCs w:val="22"/>
        </w:rPr>
      </w:pPr>
      <w:r w:rsidRPr="00103290">
        <w:rPr>
          <w:b/>
          <w:bCs/>
          <w:u w:val="single"/>
        </w:rPr>
        <w:t xml:space="preserve">ERRATA NOTICE </w:t>
      </w:r>
    </w:p>
    <w:p w:rsidR="00061AA0" w:rsidRPr="00103290" w:rsidRDefault="00061AA0" w:rsidP="00061AA0">
      <w:pPr>
        <w:ind w:firstLine="1440"/>
        <w:jc w:val="center"/>
        <w:rPr>
          <w:sz w:val="22"/>
          <w:szCs w:val="22"/>
        </w:rPr>
      </w:pPr>
    </w:p>
    <w:p w:rsidR="00061AA0" w:rsidRPr="00103290" w:rsidRDefault="00061AA0" w:rsidP="00855D21">
      <w:pPr>
        <w:ind w:firstLine="1440"/>
        <w:rPr>
          <w:sz w:val="22"/>
          <w:szCs w:val="22"/>
        </w:rPr>
      </w:pPr>
    </w:p>
    <w:p w:rsidR="00F922A0" w:rsidRPr="00B72B3F" w:rsidRDefault="00061AA0" w:rsidP="00855D21">
      <w:pPr>
        <w:spacing w:line="360" w:lineRule="auto"/>
        <w:ind w:firstLine="1440"/>
      </w:pPr>
      <w:r w:rsidRPr="00B72B3F">
        <w:t xml:space="preserve">This is to advise all parties of record that </w:t>
      </w:r>
      <w:r w:rsidR="00180DB7" w:rsidRPr="00B72B3F">
        <w:t xml:space="preserve">the </w:t>
      </w:r>
      <w:r w:rsidR="00583B4B">
        <w:t xml:space="preserve">Tentative </w:t>
      </w:r>
      <w:r w:rsidR="00180DB7" w:rsidRPr="00B72B3F">
        <w:t>Order</w:t>
      </w:r>
      <w:r w:rsidRPr="00B72B3F">
        <w:t xml:space="preserve"> </w:t>
      </w:r>
      <w:r w:rsidR="00693018" w:rsidRPr="00B72B3F">
        <w:t>entered on</w:t>
      </w:r>
      <w:r w:rsidR="00B72B3F" w:rsidRPr="00B72B3F">
        <w:t xml:space="preserve">                </w:t>
      </w:r>
      <w:r w:rsidR="00693018" w:rsidRPr="00B72B3F">
        <w:t xml:space="preserve"> </w:t>
      </w:r>
      <w:r w:rsidR="00B72B3F" w:rsidRPr="00B72B3F">
        <w:t>November 19, 2015</w:t>
      </w:r>
      <w:r w:rsidR="00180DB7" w:rsidRPr="00B72B3F">
        <w:t>,</w:t>
      </w:r>
      <w:r w:rsidRPr="00B72B3F">
        <w:t xml:space="preserve"> in the above-captioned proceeding contains</w:t>
      </w:r>
      <w:r w:rsidR="00F922A0" w:rsidRPr="00B72B3F">
        <w:t xml:space="preserve"> </w:t>
      </w:r>
      <w:r w:rsidRPr="00B72B3F">
        <w:t>erro</w:t>
      </w:r>
      <w:r w:rsidR="00FA0973" w:rsidRPr="00B72B3F">
        <w:t>r</w:t>
      </w:r>
      <w:r w:rsidR="00180DB7" w:rsidRPr="00B72B3F">
        <w:t>s</w:t>
      </w:r>
      <w:r w:rsidR="00F922A0" w:rsidRPr="00B72B3F">
        <w:t xml:space="preserve"> on P</w:t>
      </w:r>
      <w:r w:rsidR="00AD3111" w:rsidRPr="00B72B3F">
        <w:t xml:space="preserve">age </w:t>
      </w:r>
      <w:r w:rsidR="007448B4" w:rsidRPr="00B72B3F">
        <w:t>2</w:t>
      </w:r>
      <w:r w:rsidR="009F64F2" w:rsidRPr="00B72B3F">
        <w:t xml:space="preserve"> and </w:t>
      </w:r>
      <w:r w:rsidR="007448B4" w:rsidRPr="00B72B3F">
        <w:t>3</w:t>
      </w:r>
      <w:r w:rsidR="00094EB8" w:rsidRPr="00B72B3F">
        <w:t xml:space="preserve">, </w:t>
      </w:r>
      <w:r w:rsidR="002E6AD9" w:rsidRPr="00B72B3F">
        <w:t xml:space="preserve">concerning </w:t>
      </w:r>
      <w:r w:rsidR="00B72B3F">
        <w:t>the list of electric generation suppliers that have not submitted the required security</w:t>
      </w:r>
      <w:r w:rsidR="009F64F2" w:rsidRPr="00B72B3F">
        <w:t>.</w:t>
      </w:r>
    </w:p>
    <w:p w:rsidR="00F922A0" w:rsidRPr="00B72B3F" w:rsidRDefault="00F922A0" w:rsidP="00855D21">
      <w:pPr>
        <w:spacing w:line="360" w:lineRule="auto"/>
        <w:ind w:firstLine="1440"/>
        <w:rPr>
          <w:highlight w:val="yellow"/>
        </w:rPr>
      </w:pPr>
    </w:p>
    <w:p w:rsidR="00855D21" w:rsidRDefault="00B72B3F" w:rsidP="00855D21">
      <w:pPr>
        <w:spacing w:line="360" w:lineRule="auto"/>
        <w:ind w:firstLine="1440"/>
      </w:pPr>
      <w:r w:rsidRPr="00583B4B">
        <w:t>I</w:t>
      </w:r>
      <w:r w:rsidR="007448B4" w:rsidRPr="00583B4B">
        <w:t xml:space="preserve">n the </w:t>
      </w:r>
      <w:r w:rsidR="00855D21">
        <w:t xml:space="preserve">Tentative </w:t>
      </w:r>
      <w:r w:rsidR="007448B4" w:rsidRPr="00583B4B">
        <w:t>Order</w:t>
      </w:r>
      <w:r w:rsidRPr="00583B4B">
        <w:t>, the following companies where</w:t>
      </w:r>
      <w:r w:rsidR="00855D21">
        <w:t xml:space="preserve"> inadvertently included in the list despite having filed the required financial security</w:t>
      </w:r>
      <w:r w:rsidR="00AD1418">
        <w:t>, or were previously</w:t>
      </w:r>
      <w:r w:rsidR="00532C90">
        <w:t xml:space="preserve"> abandoned,</w:t>
      </w:r>
      <w:r w:rsidR="00855D21">
        <w:t xml:space="preserve"> prior to November 9, 2015:  </w:t>
      </w:r>
      <w:r w:rsidR="00583B4B" w:rsidRPr="00583B4B">
        <w:t xml:space="preserve">Current Choice, Inc., </w:t>
      </w:r>
      <w:proofErr w:type="spellStart"/>
      <w:r w:rsidR="00583B4B" w:rsidRPr="00583B4B">
        <w:t>Eisenbach</w:t>
      </w:r>
      <w:proofErr w:type="spellEnd"/>
      <w:r w:rsidR="00583B4B" w:rsidRPr="00583B4B">
        <w:t xml:space="preserve"> Consulting LLC, Energy Service Providers, Inc., F&amp;P Holdings LP, </w:t>
      </w:r>
      <w:r w:rsidR="00532C90">
        <w:t xml:space="preserve">Smart Choice Energy Services LLC, </w:t>
      </w:r>
      <w:r w:rsidR="00583B4B" w:rsidRPr="00583B4B">
        <w:t>and Noble Americas Energy Solutions LLC</w:t>
      </w:r>
      <w:r w:rsidRPr="00583B4B">
        <w:t>.</w:t>
      </w:r>
      <w:r w:rsidR="00583B4B" w:rsidRPr="00583B4B">
        <w:t xml:space="preserve">  </w:t>
      </w:r>
      <w:r w:rsidR="00A253F8" w:rsidRPr="00583B4B">
        <w:t>Please find the corrected page</w:t>
      </w:r>
      <w:r w:rsidR="00813ED3" w:rsidRPr="00583B4B">
        <w:t>s</w:t>
      </w:r>
      <w:r w:rsidR="00A253F8" w:rsidRPr="00583B4B">
        <w:t xml:space="preserve"> attached</w:t>
      </w:r>
      <w:r w:rsidR="00D67425" w:rsidRPr="00583B4B">
        <w:t xml:space="preserve"> for your records</w:t>
      </w:r>
      <w:r w:rsidR="00A253F8" w:rsidRPr="00583B4B">
        <w:t>.</w:t>
      </w:r>
      <w:r w:rsidR="00061AA0" w:rsidRPr="00583B4B">
        <w:t xml:space="preserve">  </w:t>
      </w:r>
    </w:p>
    <w:p w:rsidR="00855D21" w:rsidRDefault="00855D21" w:rsidP="00855D21">
      <w:pPr>
        <w:spacing w:line="360" w:lineRule="auto"/>
        <w:ind w:firstLine="1440"/>
      </w:pPr>
    </w:p>
    <w:p w:rsidR="00061AA0" w:rsidRPr="00583B4B" w:rsidRDefault="00855D21" w:rsidP="00855D21">
      <w:pPr>
        <w:spacing w:line="360" w:lineRule="auto"/>
        <w:ind w:firstLine="1440"/>
      </w:pPr>
      <w:r>
        <w:t>C</w:t>
      </w:r>
      <w:r w:rsidR="00B72B3F" w:rsidRPr="00583B4B">
        <w:t>ompanies that filed</w:t>
      </w:r>
      <w:r>
        <w:t xml:space="preserve"> (or have failed to file)</w:t>
      </w:r>
      <w:r w:rsidR="00B72B3F" w:rsidRPr="00583B4B">
        <w:t xml:space="preserve"> </w:t>
      </w:r>
      <w:r w:rsidR="00583B4B" w:rsidRPr="00583B4B">
        <w:t xml:space="preserve">the required security </w:t>
      </w:r>
      <w:r w:rsidR="00B72B3F" w:rsidRPr="00583B4B">
        <w:t>after November 9, 2015</w:t>
      </w:r>
      <w:r w:rsidR="00583B4B" w:rsidRPr="00583B4B">
        <w:t>, will</w:t>
      </w:r>
      <w:r>
        <w:t xml:space="preserve"> be addressed in the Final Order in this matter. </w:t>
      </w:r>
    </w:p>
    <w:p w:rsidR="00813ED3" w:rsidRPr="00B72B3F" w:rsidRDefault="00813ED3" w:rsidP="00855D21">
      <w:pPr>
        <w:spacing w:line="360" w:lineRule="auto"/>
        <w:ind w:firstLine="1440"/>
        <w:rPr>
          <w:highlight w:val="yellow"/>
        </w:rPr>
      </w:pPr>
    </w:p>
    <w:p w:rsidR="00541786" w:rsidRDefault="00061AA0" w:rsidP="00855D21">
      <w:pPr>
        <w:spacing w:line="360" w:lineRule="auto"/>
        <w:ind w:firstLine="1440"/>
      </w:pPr>
      <w:r w:rsidRPr="00B72B3F">
        <w:t xml:space="preserve">The </w:t>
      </w:r>
      <w:r w:rsidR="00B72B3F" w:rsidRPr="00B72B3F">
        <w:t xml:space="preserve">Tentative </w:t>
      </w:r>
      <w:r w:rsidR="00560082" w:rsidRPr="00B72B3F">
        <w:t>Order</w:t>
      </w:r>
      <w:r w:rsidRPr="00B72B3F">
        <w:t xml:space="preserve"> on the PA PUC website will be corrected as indicated above.</w:t>
      </w:r>
      <w:r w:rsidRPr="00103290">
        <w:t xml:space="preserve"> </w:t>
      </w:r>
    </w:p>
    <w:p w:rsidR="00380C93" w:rsidRDefault="00541786" w:rsidP="00855D21">
      <w:r>
        <w:br w:type="page"/>
      </w:r>
    </w:p>
    <w:p w:rsidR="00B72B3F" w:rsidRDefault="00B72B3F" w:rsidP="00855D21">
      <w:pPr>
        <w:spacing w:line="360" w:lineRule="auto"/>
        <w:rPr>
          <w:snapToGrid w:val="0"/>
          <w:sz w:val="26"/>
          <w:szCs w:val="26"/>
        </w:rPr>
      </w:pPr>
      <w:proofErr w:type="gramStart"/>
      <w:r w:rsidRPr="00D844AA">
        <w:rPr>
          <w:snapToGrid w:val="0"/>
          <w:sz w:val="26"/>
          <w:szCs w:val="26"/>
        </w:rPr>
        <w:lastRenderedPageBreak/>
        <w:t>electric</w:t>
      </w:r>
      <w:proofErr w:type="gramEnd"/>
      <w:r w:rsidRPr="00D844AA">
        <w:rPr>
          <w:snapToGrid w:val="0"/>
          <w:sz w:val="26"/>
          <w:szCs w:val="26"/>
        </w:rPr>
        <w:t xml:space="preserve"> distribution </w:t>
      </w:r>
      <w:r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583B4B" w:rsidRDefault="00583B4B" w:rsidP="00855D21">
      <w:pPr>
        <w:spacing w:line="360" w:lineRule="auto"/>
        <w:rPr>
          <w:snapToGrid w:val="0"/>
          <w:sz w:val="26"/>
          <w:szCs w:val="26"/>
        </w:rPr>
      </w:pPr>
    </w:p>
    <w:p w:rsidR="00B72B3F" w:rsidRPr="00CB25B4" w:rsidRDefault="00B72B3F" w:rsidP="00855D21">
      <w:pPr>
        <w:spacing w:line="360" w:lineRule="auto"/>
        <w:ind w:firstLine="1440"/>
        <w:rPr>
          <w:b/>
          <w:sz w:val="26"/>
          <w:szCs w:val="26"/>
        </w:rPr>
      </w:pPr>
      <w:r>
        <w:rPr>
          <w:sz w:val="26"/>
          <w:szCs w:val="26"/>
        </w:rPr>
        <w:t>As of November 9, 2015</w:t>
      </w:r>
      <w:r w:rsidRPr="006E7F26">
        <w:rPr>
          <w:sz w:val="26"/>
          <w:szCs w:val="26"/>
        </w:rPr>
        <w:t xml:space="preserve">, </w:t>
      </w:r>
      <w:r>
        <w:rPr>
          <w:sz w:val="26"/>
          <w:szCs w:val="26"/>
        </w:rPr>
        <w:t>each EGS</w:t>
      </w:r>
      <w:r w:rsidRPr="006E7F26">
        <w:rPr>
          <w:sz w:val="26"/>
          <w:szCs w:val="26"/>
        </w:rPr>
        <w:t xml:space="preserve"> listed in </w:t>
      </w:r>
      <w:r>
        <w:rPr>
          <w:sz w:val="26"/>
          <w:szCs w:val="26"/>
        </w:rPr>
        <w:t xml:space="preserve">the Supplier </w:t>
      </w:r>
      <w:r w:rsidRPr="006E7F26">
        <w:rPr>
          <w:sz w:val="26"/>
          <w:szCs w:val="26"/>
        </w:rPr>
        <w:t>Table</w:t>
      </w:r>
      <w:r>
        <w:rPr>
          <w:sz w:val="26"/>
          <w:szCs w:val="26"/>
        </w:rPr>
        <w:t xml:space="preserve"> below </w:t>
      </w:r>
      <w:r w:rsidRPr="006E7F26">
        <w:rPr>
          <w:sz w:val="26"/>
          <w:szCs w:val="26"/>
        </w:rPr>
        <w:t>ha</w:t>
      </w:r>
      <w:r>
        <w:rPr>
          <w:sz w:val="26"/>
          <w:szCs w:val="26"/>
        </w:rPr>
        <w:t>s</w:t>
      </w:r>
      <w:r w:rsidRPr="006E7F26">
        <w:rPr>
          <w:sz w:val="26"/>
          <w:szCs w:val="26"/>
        </w:rPr>
        <w:t xml:space="preserve"> not submitted the required </w:t>
      </w:r>
      <w:r>
        <w:rPr>
          <w:sz w:val="26"/>
          <w:szCs w:val="26"/>
        </w:rPr>
        <w:t>bond or other approved security to the Commission</w:t>
      </w:r>
      <w:r w:rsidRPr="00CB25B4">
        <w:rPr>
          <w:b/>
          <w:sz w:val="26"/>
          <w:szCs w:val="26"/>
        </w:rPr>
        <w:t>.</w:t>
      </w:r>
    </w:p>
    <w:p w:rsidR="00B72B3F" w:rsidRDefault="00B72B3F" w:rsidP="00855D21">
      <w:pPr>
        <w:spacing w:line="360" w:lineRule="auto"/>
        <w:ind w:firstLine="720"/>
        <w:rPr>
          <w:sz w:val="26"/>
          <w:szCs w:val="26"/>
        </w:rPr>
      </w:pPr>
    </w:p>
    <w:p w:rsidR="00B72B3F" w:rsidRDefault="00B72B3F" w:rsidP="00855D21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Table – List of electric generation suppliers that have not submitted the required security </w:t>
      </w:r>
    </w:p>
    <w:tbl>
      <w:tblPr>
        <w:tblStyle w:val="TableGrid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3051"/>
        <w:gridCol w:w="4869"/>
        <w:gridCol w:w="1260"/>
      </w:tblGrid>
      <w:tr w:rsidR="00B72B3F" w:rsidTr="00361271">
        <w:trPr>
          <w:trHeight w:val="287"/>
          <w:jc w:val="center"/>
        </w:trPr>
        <w:tc>
          <w:tcPr>
            <w:tcW w:w="3051" w:type="dxa"/>
            <w:vAlign w:val="bottom"/>
          </w:tcPr>
          <w:p w:rsidR="00B72B3F" w:rsidRPr="00E5621D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Docket Number</w:t>
            </w:r>
          </w:p>
        </w:tc>
        <w:tc>
          <w:tcPr>
            <w:tcW w:w="4869" w:type="dxa"/>
            <w:vAlign w:val="bottom"/>
          </w:tcPr>
          <w:p w:rsidR="00B72B3F" w:rsidRPr="00E5621D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Company Name</w:t>
            </w:r>
          </w:p>
        </w:tc>
        <w:tc>
          <w:tcPr>
            <w:tcW w:w="1260" w:type="dxa"/>
          </w:tcPr>
          <w:p w:rsidR="00B72B3F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Exp. Date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A-2011-2280772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 xml:space="preserve">American </w:t>
            </w:r>
            <w:proofErr w:type="spellStart"/>
            <w:r w:rsidRPr="00492FE8">
              <w:rPr>
                <w:sz w:val="26"/>
                <w:szCs w:val="26"/>
              </w:rPr>
              <w:t>Enerpower</w:t>
            </w:r>
            <w:proofErr w:type="spellEnd"/>
            <w:r w:rsidRPr="00492FE8">
              <w:rPr>
                <w:sz w:val="26"/>
                <w:szCs w:val="26"/>
              </w:rPr>
              <w:t xml:space="preserve"> Franchisor LLC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492FE8">
              <w:rPr>
                <w:color w:val="000000" w:themeColor="text1"/>
                <w:sz w:val="26"/>
                <w:szCs w:val="26"/>
              </w:rPr>
              <w:t>9/1/15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A-2010-2200158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Better Cost Control LLC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492FE8">
              <w:rPr>
                <w:color w:val="000000" w:themeColor="text1"/>
                <w:sz w:val="26"/>
                <w:szCs w:val="26"/>
              </w:rPr>
              <w:t>9/7/15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A-2013-2387026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Better Cost Energy LLC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492FE8">
              <w:rPr>
                <w:color w:val="000000" w:themeColor="text1"/>
                <w:sz w:val="26"/>
                <w:szCs w:val="26"/>
              </w:rPr>
              <w:t>9/4/15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A-2009-2132064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Customer Acquisition Specialists of America, Inc.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492FE8">
              <w:rPr>
                <w:color w:val="000000" w:themeColor="text1"/>
                <w:sz w:val="26"/>
                <w:szCs w:val="26"/>
              </w:rPr>
              <w:t>9/15/15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A-2013-2397012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Delta Energy Services Ohio LLC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492FE8">
              <w:rPr>
                <w:color w:val="000000" w:themeColor="text1"/>
                <w:sz w:val="26"/>
                <w:szCs w:val="26"/>
              </w:rPr>
              <w:t>10/25/15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A-2013-2397402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Destination Energy LLC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492FE8">
              <w:rPr>
                <w:color w:val="000000" w:themeColor="text1"/>
                <w:sz w:val="26"/>
                <w:szCs w:val="26"/>
              </w:rPr>
              <w:t>11/12/15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A-2013-2390630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Guaranteed Electric Brokers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9/11/15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A-2010-2210786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492FE8">
              <w:rPr>
                <w:sz w:val="26"/>
                <w:szCs w:val="26"/>
              </w:rPr>
              <w:t>Intelligen</w:t>
            </w:r>
            <w:proofErr w:type="spellEnd"/>
            <w:r w:rsidRPr="00492FE8">
              <w:rPr>
                <w:sz w:val="26"/>
                <w:szCs w:val="26"/>
              </w:rPr>
              <w:t xml:space="preserve"> Resources LP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9/30/15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A-2012-2334259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L5E LLC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10/30/15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A-2014-2437035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Marketing Systems Group LLC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10/24/15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A-2011-2276675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National1 Energy LLC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10/28/15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A-2012-2337856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Northeastern Energy Consultants LLC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11/4/15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896962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896962">
              <w:rPr>
                <w:sz w:val="26"/>
                <w:szCs w:val="26"/>
              </w:rPr>
              <w:t>A-2009-2137539</w:t>
            </w:r>
          </w:p>
        </w:tc>
        <w:tc>
          <w:tcPr>
            <w:tcW w:w="4869" w:type="dxa"/>
          </w:tcPr>
          <w:p w:rsidR="00B72B3F" w:rsidRPr="00896962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896962">
              <w:rPr>
                <w:sz w:val="26"/>
                <w:szCs w:val="26"/>
              </w:rPr>
              <w:t>Reflective Energy Solutions LLC</w:t>
            </w:r>
          </w:p>
        </w:tc>
        <w:tc>
          <w:tcPr>
            <w:tcW w:w="1260" w:type="dxa"/>
          </w:tcPr>
          <w:p w:rsidR="00B72B3F" w:rsidRPr="00896962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896962">
              <w:rPr>
                <w:sz w:val="26"/>
                <w:szCs w:val="26"/>
              </w:rPr>
              <w:t>10/16/15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A-2011-2220388 *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492FE8">
              <w:rPr>
                <w:sz w:val="26"/>
                <w:szCs w:val="26"/>
              </w:rPr>
              <w:t>Rescom</w:t>
            </w:r>
            <w:proofErr w:type="spellEnd"/>
            <w:r w:rsidRPr="00492FE8">
              <w:rPr>
                <w:sz w:val="26"/>
                <w:szCs w:val="26"/>
              </w:rPr>
              <w:t xml:space="preserve"> Energy LLC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9/3/15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A-2013-2396803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Search Energy LLC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11/13/15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A-2009-2145787 *</w:t>
            </w:r>
          </w:p>
        </w:tc>
        <w:tc>
          <w:tcPr>
            <w:tcW w:w="4869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Spark Energy LP</w:t>
            </w:r>
          </w:p>
        </w:tc>
        <w:tc>
          <w:tcPr>
            <w:tcW w:w="1260" w:type="dxa"/>
          </w:tcPr>
          <w:p w:rsidR="00B72B3F" w:rsidRPr="00492FE8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 w:rsidRPr="00492FE8">
              <w:rPr>
                <w:sz w:val="26"/>
                <w:szCs w:val="26"/>
              </w:rPr>
              <w:t>11/11/15</w:t>
            </w:r>
          </w:p>
        </w:tc>
      </w:tr>
      <w:tr w:rsidR="00B72B3F" w:rsidTr="00361271">
        <w:trPr>
          <w:jc w:val="center"/>
        </w:trPr>
        <w:tc>
          <w:tcPr>
            <w:tcW w:w="3051" w:type="dxa"/>
          </w:tcPr>
          <w:p w:rsidR="00B72B3F" w:rsidRPr="00F44066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A-2012-2284040</w:t>
            </w:r>
          </w:p>
        </w:tc>
        <w:tc>
          <w:tcPr>
            <w:tcW w:w="4869" w:type="dxa"/>
          </w:tcPr>
          <w:p w:rsidR="00B72B3F" w:rsidRPr="00F44066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Verdigris Energy LLC</w:t>
            </w:r>
          </w:p>
        </w:tc>
        <w:tc>
          <w:tcPr>
            <w:tcW w:w="1260" w:type="dxa"/>
          </w:tcPr>
          <w:p w:rsidR="00B72B3F" w:rsidRDefault="00B72B3F" w:rsidP="00855D2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11/2/15</w:t>
            </w:r>
          </w:p>
        </w:tc>
      </w:tr>
    </w:tbl>
    <w:p w:rsidR="00B72B3F" w:rsidRPr="005466FF" w:rsidRDefault="00B72B3F" w:rsidP="00855D21">
      <w:pPr>
        <w:spacing w:line="360" w:lineRule="auto"/>
        <w:rPr>
          <w:sz w:val="26"/>
          <w:szCs w:val="26"/>
        </w:rPr>
      </w:pPr>
      <w:r w:rsidRPr="009F66EC">
        <w:rPr>
          <w:sz w:val="26"/>
          <w:szCs w:val="26"/>
        </w:rPr>
        <w:tab/>
      </w:r>
      <w:r w:rsidRPr="005466FF">
        <w:rPr>
          <w:color w:val="000000" w:themeColor="text1"/>
          <w:szCs w:val="26"/>
        </w:rPr>
        <w:t>* Taking title to electricity</w:t>
      </w:r>
    </w:p>
    <w:p w:rsidR="00B72B3F" w:rsidRPr="009F66EC" w:rsidRDefault="00B72B3F" w:rsidP="00855D21">
      <w:pPr>
        <w:spacing w:line="360" w:lineRule="auto"/>
        <w:rPr>
          <w:sz w:val="26"/>
          <w:szCs w:val="26"/>
        </w:rPr>
      </w:pPr>
    </w:p>
    <w:p w:rsidR="00AD1418" w:rsidRDefault="00AD1418" w:rsidP="00855D21">
      <w:pPr>
        <w:spacing w:line="360" w:lineRule="auto"/>
        <w:ind w:firstLine="1440"/>
        <w:rPr>
          <w:sz w:val="26"/>
          <w:szCs w:val="26"/>
        </w:rPr>
      </w:pPr>
    </w:p>
    <w:p w:rsidR="00B72B3F" w:rsidRDefault="00B72B3F" w:rsidP="00855D21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EGS license validation procedures, the </w:t>
      </w:r>
      <w:r w:rsidRPr="006E7F26">
        <w:rPr>
          <w:sz w:val="26"/>
          <w:szCs w:val="26"/>
        </w:rPr>
        <w:t xml:space="preserve">Commission’s Bureau of Technical Utility Services (TUS)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the Supplier Table above 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60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None of the companies listed in the Supplier Table provided the required documentation.</w:t>
      </w:r>
    </w:p>
    <w:p w:rsidR="00B72B3F" w:rsidRDefault="00B72B3F" w:rsidP="00855D21">
      <w:pPr>
        <w:spacing w:line="360" w:lineRule="auto"/>
        <w:ind w:firstLine="720"/>
        <w:rPr>
          <w:sz w:val="26"/>
          <w:szCs w:val="26"/>
        </w:rPr>
      </w:pPr>
    </w:p>
    <w:p w:rsidR="00B72B3F" w:rsidRDefault="00B72B3F" w:rsidP="00855D21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>
        <w:rPr>
          <w:sz w:val="26"/>
          <w:szCs w:val="26"/>
        </w:rPr>
        <w:t xml:space="preserve"> the EGSs listed in the Supplier Table are not in compliance with </w:t>
      </w:r>
      <w:r w:rsidRPr="00D844AA">
        <w:rPr>
          <w:sz w:val="26"/>
          <w:szCs w:val="26"/>
        </w:rPr>
        <w:t>52 Pa. Code §54.40(</w:t>
      </w:r>
      <w:r>
        <w:rPr>
          <w:sz w:val="26"/>
          <w:szCs w:val="26"/>
        </w:rPr>
        <w:t>a</w:t>
      </w:r>
      <w:r w:rsidRPr="00D844AA">
        <w:rPr>
          <w:sz w:val="26"/>
          <w:szCs w:val="26"/>
        </w:rPr>
        <w:t>)</w:t>
      </w:r>
      <w:r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>
        <w:rPr>
          <w:sz w:val="26"/>
          <w:szCs w:val="26"/>
        </w:rPr>
        <w:t>initiate the cancellation process for each</w:t>
      </w:r>
      <w:r w:rsidRPr="003C261B">
        <w:rPr>
          <w:sz w:val="26"/>
          <w:szCs w:val="26"/>
        </w:rPr>
        <w:t xml:space="preserve"> EGS license</w:t>
      </w:r>
      <w:r>
        <w:rPr>
          <w:sz w:val="26"/>
          <w:szCs w:val="26"/>
        </w:rPr>
        <w:t xml:space="preserve"> of each company listed in the Supplier Table, </w:t>
      </w:r>
      <w:r w:rsidRPr="003C261B">
        <w:rPr>
          <w:sz w:val="26"/>
          <w:szCs w:val="26"/>
        </w:rPr>
        <w:t>without the necessity of a formal complaint</w:t>
      </w:r>
      <w:r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B72B3F" w:rsidRDefault="00B72B3F" w:rsidP="00855D21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B72B3F" w:rsidRPr="00D844AA" w:rsidRDefault="00B72B3F" w:rsidP="00855D21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B72B3F" w:rsidRPr="00D844AA" w:rsidRDefault="00B72B3F" w:rsidP="00855D21">
      <w:pPr>
        <w:spacing w:line="360" w:lineRule="auto"/>
        <w:ind w:firstLine="720"/>
        <w:rPr>
          <w:b/>
          <w:sz w:val="26"/>
          <w:szCs w:val="26"/>
        </w:rPr>
      </w:pPr>
    </w:p>
    <w:p w:rsidR="00B72B3F" w:rsidRPr="00D844AA" w:rsidRDefault="00B72B3F" w:rsidP="00855D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D844AA">
        <w:rPr>
          <w:sz w:val="26"/>
          <w:szCs w:val="26"/>
        </w:rPr>
        <w:tab/>
        <w:t>1.</w:t>
      </w:r>
      <w:r w:rsidRPr="00D844AA">
        <w:rPr>
          <w:sz w:val="26"/>
          <w:szCs w:val="26"/>
        </w:rPr>
        <w:tab/>
        <w:t xml:space="preserve">That cancellation of </w:t>
      </w:r>
      <w:r>
        <w:rPr>
          <w:sz w:val="26"/>
          <w:szCs w:val="26"/>
        </w:rPr>
        <w:t>the Electric Generation Supplier Licenses of each company listed in the Supplier Table</w:t>
      </w:r>
      <w:r w:rsidRPr="00D844AA">
        <w:rPr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 w:rsidRPr="00D844AA">
        <w:rPr>
          <w:sz w:val="26"/>
          <w:szCs w:val="26"/>
        </w:rPr>
        <w:t xml:space="preserve"> hereby tentatively approved as being in the public interest.</w:t>
      </w:r>
    </w:p>
    <w:p w:rsidR="00B72B3F" w:rsidRPr="00BE6220" w:rsidRDefault="00B72B3F" w:rsidP="00855D21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12411F" w:rsidRDefault="0012411F" w:rsidP="00855D21"/>
    <w:sectPr w:rsidR="0012411F" w:rsidSect="00CE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720" w:footer="288" w:gutter="0"/>
      <w:paperSrc w:first="15"/>
      <w:pgNumType w:start="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C7" w:rsidRDefault="00710FC7">
      <w:r>
        <w:separator/>
      </w:r>
    </w:p>
  </w:endnote>
  <w:endnote w:type="continuationSeparator" w:id="0">
    <w:p w:rsidR="00710FC7" w:rsidRDefault="0071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D3" w:rsidRDefault="000804B4" w:rsidP="004C6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3E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ED3">
      <w:rPr>
        <w:rStyle w:val="PageNumber"/>
        <w:noProof/>
      </w:rPr>
      <w:t>12</w:t>
    </w:r>
    <w:r>
      <w:rPr>
        <w:rStyle w:val="PageNumber"/>
      </w:rPr>
      <w:fldChar w:fldCharType="end"/>
    </w:r>
  </w:p>
  <w:p w:rsidR="00813ED3" w:rsidRDefault="00813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67" w:rsidRDefault="00711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D3" w:rsidRPr="00DC42AE" w:rsidRDefault="00813ED3" w:rsidP="004C67E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</w:p>
  <w:p w:rsidR="00813ED3" w:rsidRDefault="00813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C7" w:rsidRDefault="00710FC7">
      <w:r>
        <w:separator/>
      </w:r>
    </w:p>
  </w:footnote>
  <w:footnote w:type="continuationSeparator" w:id="0">
    <w:p w:rsidR="00710FC7" w:rsidRDefault="00710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67" w:rsidRDefault="00711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67" w:rsidRDefault="00711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67" w:rsidRDefault="00711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B4F"/>
    <w:multiLevelType w:val="hybridMultilevel"/>
    <w:tmpl w:val="C7382D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06D3559"/>
    <w:multiLevelType w:val="hybridMultilevel"/>
    <w:tmpl w:val="B0E4CD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E2"/>
    <w:rsid w:val="0000235B"/>
    <w:rsid w:val="00002894"/>
    <w:rsid w:val="00002A15"/>
    <w:rsid w:val="000102F5"/>
    <w:rsid w:val="000109B4"/>
    <w:rsid w:val="00010D5E"/>
    <w:rsid w:val="00010E8E"/>
    <w:rsid w:val="000133BF"/>
    <w:rsid w:val="00013DB9"/>
    <w:rsid w:val="00022F41"/>
    <w:rsid w:val="0002403B"/>
    <w:rsid w:val="00030135"/>
    <w:rsid w:val="00031517"/>
    <w:rsid w:val="00031AB1"/>
    <w:rsid w:val="0003703E"/>
    <w:rsid w:val="00047AA7"/>
    <w:rsid w:val="000506CC"/>
    <w:rsid w:val="0005265C"/>
    <w:rsid w:val="00052E00"/>
    <w:rsid w:val="00053876"/>
    <w:rsid w:val="00053F4A"/>
    <w:rsid w:val="00056C15"/>
    <w:rsid w:val="00060C62"/>
    <w:rsid w:val="00061148"/>
    <w:rsid w:val="00061AA0"/>
    <w:rsid w:val="00061C90"/>
    <w:rsid w:val="00062745"/>
    <w:rsid w:val="000644C8"/>
    <w:rsid w:val="000666A6"/>
    <w:rsid w:val="00066BD9"/>
    <w:rsid w:val="00070539"/>
    <w:rsid w:val="000721A7"/>
    <w:rsid w:val="00076498"/>
    <w:rsid w:val="000804B4"/>
    <w:rsid w:val="00080770"/>
    <w:rsid w:val="00082AE5"/>
    <w:rsid w:val="000836E8"/>
    <w:rsid w:val="00084DC8"/>
    <w:rsid w:val="00086381"/>
    <w:rsid w:val="00086D28"/>
    <w:rsid w:val="000911D0"/>
    <w:rsid w:val="00091425"/>
    <w:rsid w:val="000929AD"/>
    <w:rsid w:val="0009326C"/>
    <w:rsid w:val="00094EB8"/>
    <w:rsid w:val="00096002"/>
    <w:rsid w:val="000963E1"/>
    <w:rsid w:val="000B41FF"/>
    <w:rsid w:val="000B6CCA"/>
    <w:rsid w:val="000C222E"/>
    <w:rsid w:val="000C3C3C"/>
    <w:rsid w:val="000C3FC8"/>
    <w:rsid w:val="000D1895"/>
    <w:rsid w:val="000D4246"/>
    <w:rsid w:val="000D4BF7"/>
    <w:rsid w:val="000D5396"/>
    <w:rsid w:val="000D5D9B"/>
    <w:rsid w:val="000E3E11"/>
    <w:rsid w:val="000F127E"/>
    <w:rsid w:val="000F1898"/>
    <w:rsid w:val="000F19D8"/>
    <w:rsid w:val="000F7144"/>
    <w:rsid w:val="00103367"/>
    <w:rsid w:val="001042CF"/>
    <w:rsid w:val="001078A7"/>
    <w:rsid w:val="001112A4"/>
    <w:rsid w:val="001168D3"/>
    <w:rsid w:val="0011699F"/>
    <w:rsid w:val="00120AA6"/>
    <w:rsid w:val="00120B3D"/>
    <w:rsid w:val="0012139C"/>
    <w:rsid w:val="0012411F"/>
    <w:rsid w:val="0013586B"/>
    <w:rsid w:val="00137061"/>
    <w:rsid w:val="00141564"/>
    <w:rsid w:val="0014205C"/>
    <w:rsid w:val="00143209"/>
    <w:rsid w:val="00146731"/>
    <w:rsid w:val="00146CF5"/>
    <w:rsid w:val="00150480"/>
    <w:rsid w:val="001519A2"/>
    <w:rsid w:val="00152EA1"/>
    <w:rsid w:val="00153032"/>
    <w:rsid w:val="001536B0"/>
    <w:rsid w:val="00155810"/>
    <w:rsid w:val="00157374"/>
    <w:rsid w:val="001603AA"/>
    <w:rsid w:val="001627F3"/>
    <w:rsid w:val="00164C05"/>
    <w:rsid w:val="00165F09"/>
    <w:rsid w:val="00167C84"/>
    <w:rsid w:val="00171372"/>
    <w:rsid w:val="00180DB7"/>
    <w:rsid w:val="00181657"/>
    <w:rsid w:val="0018284E"/>
    <w:rsid w:val="00183D08"/>
    <w:rsid w:val="001860C5"/>
    <w:rsid w:val="0019169D"/>
    <w:rsid w:val="001979F8"/>
    <w:rsid w:val="001A10FE"/>
    <w:rsid w:val="001A57BB"/>
    <w:rsid w:val="001B38EC"/>
    <w:rsid w:val="001B449A"/>
    <w:rsid w:val="001B4624"/>
    <w:rsid w:val="001B464F"/>
    <w:rsid w:val="001B54EB"/>
    <w:rsid w:val="001B5EE2"/>
    <w:rsid w:val="001C3F56"/>
    <w:rsid w:val="001C47C9"/>
    <w:rsid w:val="001C532C"/>
    <w:rsid w:val="001C7BD3"/>
    <w:rsid w:val="001D21B3"/>
    <w:rsid w:val="001D24AE"/>
    <w:rsid w:val="001D27B5"/>
    <w:rsid w:val="001D50CB"/>
    <w:rsid w:val="001D675D"/>
    <w:rsid w:val="001E2338"/>
    <w:rsid w:val="001E3BB5"/>
    <w:rsid w:val="001E6BE6"/>
    <w:rsid w:val="001E7E8D"/>
    <w:rsid w:val="001E7FB2"/>
    <w:rsid w:val="001F212D"/>
    <w:rsid w:val="001F25FF"/>
    <w:rsid w:val="001F2730"/>
    <w:rsid w:val="0020235D"/>
    <w:rsid w:val="00204634"/>
    <w:rsid w:val="00207B94"/>
    <w:rsid w:val="00210EA2"/>
    <w:rsid w:val="002164CF"/>
    <w:rsid w:val="00222945"/>
    <w:rsid w:val="002251C5"/>
    <w:rsid w:val="00225F9F"/>
    <w:rsid w:val="002276ED"/>
    <w:rsid w:val="00237568"/>
    <w:rsid w:val="0024433B"/>
    <w:rsid w:val="002450C9"/>
    <w:rsid w:val="00250A56"/>
    <w:rsid w:val="00250C39"/>
    <w:rsid w:val="002512CF"/>
    <w:rsid w:val="00256D90"/>
    <w:rsid w:val="00262477"/>
    <w:rsid w:val="00267645"/>
    <w:rsid w:val="002708A5"/>
    <w:rsid w:val="00272A64"/>
    <w:rsid w:val="00273FEB"/>
    <w:rsid w:val="0027541F"/>
    <w:rsid w:val="0028156E"/>
    <w:rsid w:val="002824A3"/>
    <w:rsid w:val="00282E4F"/>
    <w:rsid w:val="002A1E10"/>
    <w:rsid w:val="002A635E"/>
    <w:rsid w:val="002A7E88"/>
    <w:rsid w:val="002B1224"/>
    <w:rsid w:val="002B2655"/>
    <w:rsid w:val="002B3F52"/>
    <w:rsid w:val="002C2009"/>
    <w:rsid w:val="002C237E"/>
    <w:rsid w:val="002C2E35"/>
    <w:rsid w:val="002C2FE7"/>
    <w:rsid w:val="002C5E53"/>
    <w:rsid w:val="002C7B9A"/>
    <w:rsid w:val="002D15C1"/>
    <w:rsid w:val="002D2B16"/>
    <w:rsid w:val="002D3523"/>
    <w:rsid w:val="002E1FCE"/>
    <w:rsid w:val="002E4C19"/>
    <w:rsid w:val="002E575A"/>
    <w:rsid w:val="002E581E"/>
    <w:rsid w:val="002E6AD9"/>
    <w:rsid w:val="002E75FB"/>
    <w:rsid w:val="002F28A8"/>
    <w:rsid w:val="002F3212"/>
    <w:rsid w:val="002F327E"/>
    <w:rsid w:val="002F3F95"/>
    <w:rsid w:val="002F48FC"/>
    <w:rsid w:val="002F543E"/>
    <w:rsid w:val="002F6885"/>
    <w:rsid w:val="002F70C7"/>
    <w:rsid w:val="0030142A"/>
    <w:rsid w:val="003039A9"/>
    <w:rsid w:val="00304FB0"/>
    <w:rsid w:val="00305E53"/>
    <w:rsid w:val="003067F3"/>
    <w:rsid w:val="003105B1"/>
    <w:rsid w:val="00321962"/>
    <w:rsid w:val="00326B12"/>
    <w:rsid w:val="00330533"/>
    <w:rsid w:val="00331A15"/>
    <w:rsid w:val="0033257B"/>
    <w:rsid w:val="0033391A"/>
    <w:rsid w:val="003343CF"/>
    <w:rsid w:val="003402A3"/>
    <w:rsid w:val="00341287"/>
    <w:rsid w:val="00343CA9"/>
    <w:rsid w:val="00345283"/>
    <w:rsid w:val="0035200F"/>
    <w:rsid w:val="0035364D"/>
    <w:rsid w:val="00353AB6"/>
    <w:rsid w:val="00355BF1"/>
    <w:rsid w:val="00357E43"/>
    <w:rsid w:val="00360912"/>
    <w:rsid w:val="00361D2D"/>
    <w:rsid w:val="0036730D"/>
    <w:rsid w:val="003675ED"/>
    <w:rsid w:val="00370C54"/>
    <w:rsid w:val="00371351"/>
    <w:rsid w:val="003731E2"/>
    <w:rsid w:val="003750FB"/>
    <w:rsid w:val="00375C32"/>
    <w:rsid w:val="00376C83"/>
    <w:rsid w:val="00380C93"/>
    <w:rsid w:val="0038467C"/>
    <w:rsid w:val="003858B9"/>
    <w:rsid w:val="0039516D"/>
    <w:rsid w:val="00395BCC"/>
    <w:rsid w:val="003A07DE"/>
    <w:rsid w:val="003A2EB1"/>
    <w:rsid w:val="003A4014"/>
    <w:rsid w:val="003A5C02"/>
    <w:rsid w:val="003B3B28"/>
    <w:rsid w:val="003B5D10"/>
    <w:rsid w:val="003C726A"/>
    <w:rsid w:val="003D0209"/>
    <w:rsid w:val="003D1100"/>
    <w:rsid w:val="003D1E21"/>
    <w:rsid w:val="003D50A1"/>
    <w:rsid w:val="003D54D9"/>
    <w:rsid w:val="003E228E"/>
    <w:rsid w:val="003E568A"/>
    <w:rsid w:val="003F3BF1"/>
    <w:rsid w:val="003F58EC"/>
    <w:rsid w:val="003F6AA0"/>
    <w:rsid w:val="003F6B74"/>
    <w:rsid w:val="003F7F3B"/>
    <w:rsid w:val="00402A59"/>
    <w:rsid w:val="00402C56"/>
    <w:rsid w:val="0040411D"/>
    <w:rsid w:val="0040413E"/>
    <w:rsid w:val="004053AE"/>
    <w:rsid w:val="004110EA"/>
    <w:rsid w:val="004120B4"/>
    <w:rsid w:val="004126B4"/>
    <w:rsid w:val="00413047"/>
    <w:rsid w:val="004144D8"/>
    <w:rsid w:val="00415143"/>
    <w:rsid w:val="00416A78"/>
    <w:rsid w:val="00423957"/>
    <w:rsid w:val="0042440E"/>
    <w:rsid w:val="00430900"/>
    <w:rsid w:val="00432143"/>
    <w:rsid w:val="00443A69"/>
    <w:rsid w:val="00444CD4"/>
    <w:rsid w:val="00444FC6"/>
    <w:rsid w:val="00445444"/>
    <w:rsid w:val="00445D3A"/>
    <w:rsid w:val="00445DEF"/>
    <w:rsid w:val="00446535"/>
    <w:rsid w:val="00446824"/>
    <w:rsid w:val="00455056"/>
    <w:rsid w:val="00460D9B"/>
    <w:rsid w:val="004646B2"/>
    <w:rsid w:val="00466E96"/>
    <w:rsid w:val="00467538"/>
    <w:rsid w:val="00467608"/>
    <w:rsid w:val="004704B1"/>
    <w:rsid w:val="00477293"/>
    <w:rsid w:val="00481BAB"/>
    <w:rsid w:val="0048216C"/>
    <w:rsid w:val="00485A2D"/>
    <w:rsid w:val="004943AE"/>
    <w:rsid w:val="0049549A"/>
    <w:rsid w:val="0049553A"/>
    <w:rsid w:val="00496970"/>
    <w:rsid w:val="00497287"/>
    <w:rsid w:val="004A083C"/>
    <w:rsid w:val="004B26E2"/>
    <w:rsid w:val="004B4893"/>
    <w:rsid w:val="004B7AFE"/>
    <w:rsid w:val="004C1464"/>
    <w:rsid w:val="004C1BA2"/>
    <w:rsid w:val="004C1C78"/>
    <w:rsid w:val="004C329C"/>
    <w:rsid w:val="004C3ABE"/>
    <w:rsid w:val="004C67EF"/>
    <w:rsid w:val="004D1B72"/>
    <w:rsid w:val="004E74A8"/>
    <w:rsid w:val="004E77CE"/>
    <w:rsid w:val="004F0156"/>
    <w:rsid w:val="004F0656"/>
    <w:rsid w:val="004F5CBF"/>
    <w:rsid w:val="0050179C"/>
    <w:rsid w:val="00504BF8"/>
    <w:rsid w:val="005129F6"/>
    <w:rsid w:val="00515B82"/>
    <w:rsid w:val="00515ED8"/>
    <w:rsid w:val="00516D51"/>
    <w:rsid w:val="005175A0"/>
    <w:rsid w:val="00520548"/>
    <w:rsid w:val="00520E3F"/>
    <w:rsid w:val="005217E9"/>
    <w:rsid w:val="00523AF6"/>
    <w:rsid w:val="00523DAB"/>
    <w:rsid w:val="00527A05"/>
    <w:rsid w:val="00532420"/>
    <w:rsid w:val="00532C90"/>
    <w:rsid w:val="00534572"/>
    <w:rsid w:val="00541393"/>
    <w:rsid w:val="00541786"/>
    <w:rsid w:val="00542A68"/>
    <w:rsid w:val="00544424"/>
    <w:rsid w:val="00550EBD"/>
    <w:rsid w:val="00555080"/>
    <w:rsid w:val="00555A03"/>
    <w:rsid w:val="00556BBF"/>
    <w:rsid w:val="00556F82"/>
    <w:rsid w:val="0055724C"/>
    <w:rsid w:val="00560082"/>
    <w:rsid w:val="005605A3"/>
    <w:rsid w:val="005617D6"/>
    <w:rsid w:val="005633CC"/>
    <w:rsid w:val="005654A9"/>
    <w:rsid w:val="00565C9D"/>
    <w:rsid w:val="005670F8"/>
    <w:rsid w:val="00567869"/>
    <w:rsid w:val="00567F83"/>
    <w:rsid w:val="00575D69"/>
    <w:rsid w:val="00576762"/>
    <w:rsid w:val="00583955"/>
    <w:rsid w:val="00583B4B"/>
    <w:rsid w:val="005857CA"/>
    <w:rsid w:val="0058602B"/>
    <w:rsid w:val="00590EFE"/>
    <w:rsid w:val="00591AC4"/>
    <w:rsid w:val="00592D27"/>
    <w:rsid w:val="00594F80"/>
    <w:rsid w:val="00595241"/>
    <w:rsid w:val="00595652"/>
    <w:rsid w:val="005974E2"/>
    <w:rsid w:val="005979AA"/>
    <w:rsid w:val="005A2A81"/>
    <w:rsid w:val="005A40F3"/>
    <w:rsid w:val="005A4F4A"/>
    <w:rsid w:val="005B099E"/>
    <w:rsid w:val="005B473C"/>
    <w:rsid w:val="005B6426"/>
    <w:rsid w:val="005C0DD8"/>
    <w:rsid w:val="005C11AF"/>
    <w:rsid w:val="005C24F5"/>
    <w:rsid w:val="005C2C3A"/>
    <w:rsid w:val="005C5EF8"/>
    <w:rsid w:val="005C73FB"/>
    <w:rsid w:val="005D4DD7"/>
    <w:rsid w:val="005D5D9F"/>
    <w:rsid w:val="005E4BBD"/>
    <w:rsid w:val="005E7E24"/>
    <w:rsid w:val="006014E0"/>
    <w:rsid w:val="006058D9"/>
    <w:rsid w:val="00607178"/>
    <w:rsid w:val="0061209D"/>
    <w:rsid w:val="00614655"/>
    <w:rsid w:val="00623FB1"/>
    <w:rsid w:val="00635FBF"/>
    <w:rsid w:val="006362EF"/>
    <w:rsid w:val="00650DC6"/>
    <w:rsid w:val="006518F3"/>
    <w:rsid w:val="00652035"/>
    <w:rsid w:val="0065438C"/>
    <w:rsid w:val="00655B7E"/>
    <w:rsid w:val="00657436"/>
    <w:rsid w:val="00660DD1"/>
    <w:rsid w:val="0066183C"/>
    <w:rsid w:val="00661EF7"/>
    <w:rsid w:val="0066493C"/>
    <w:rsid w:val="00673B73"/>
    <w:rsid w:val="00673F87"/>
    <w:rsid w:val="006756B5"/>
    <w:rsid w:val="0068078E"/>
    <w:rsid w:val="006817FB"/>
    <w:rsid w:val="0068604F"/>
    <w:rsid w:val="006860B1"/>
    <w:rsid w:val="006872BB"/>
    <w:rsid w:val="00693018"/>
    <w:rsid w:val="0069582F"/>
    <w:rsid w:val="006A1437"/>
    <w:rsid w:val="006A1ED2"/>
    <w:rsid w:val="006A2AD4"/>
    <w:rsid w:val="006A2FD3"/>
    <w:rsid w:val="006A5AAE"/>
    <w:rsid w:val="006A5E15"/>
    <w:rsid w:val="006B03AB"/>
    <w:rsid w:val="006B0AF7"/>
    <w:rsid w:val="006B10F8"/>
    <w:rsid w:val="006B5852"/>
    <w:rsid w:val="006C00D6"/>
    <w:rsid w:val="006C202B"/>
    <w:rsid w:val="006C23A1"/>
    <w:rsid w:val="006C43B6"/>
    <w:rsid w:val="006C6AA9"/>
    <w:rsid w:val="006D0180"/>
    <w:rsid w:val="006D2702"/>
    <w:rsid w:val="006E2957"/>
    <w:rsid w:val="006E2C03"/>
    <w:rsid w:val="006E672A"/>
    <w:rsid w:val="006F0D47"/>
    <w:rsid w:val="006F4DF0"/>
    <w:rsid w:val="006F5F77"/>
    <w:rsid w:val="006F5FAB"/>
    <w:rsid w:val="006F788B"/>
    <w:rsid w:val="007003E2"/>
    <w:rsid w:val="0070686E"/>
    <w:rsid w:val="00706EF5"/>
    <w:rsid w:val="00710D67"/>
    <w:rsid w:val="00710FC7"/>
    <w:rsid w:val="00711867"/>
    <w:rsid w:val="00711FBB"/>
    <w:rsid w:val="007129A9"/>
    <w:rsid w:val="007151B2"/>
    <w:rsid w:val="0072527E"/>
    <w:rsid w:val="0072529C"/>
    <w:rsid w:val="007263B9"/>
    <w:rsid w:val="00730F25"/>
    <w:rsid w:val="00731BC3"/>
    <w:rsid w:val="007335DD"/>
    <w:rsid w:val="00735958"/>
    <w:rsid w:val="00735ED6"/>
    <w:rsid w:val="00736503"/>
    <w:rsid w:val="00743D70"/>
    <w:rsid w:val="007448B4"/>
    <w:rsid w:val="007461AC"/>
    <w:rsid w:val="007462DE"/>
    <w:rsid w:val="00752524"/>
    <w:rsid w:val="0075260C"/>
    <w:rsid w:val="0075673A"/>
    <w:rsid w:val="00760C92"/>
    <w:rsid w:val="0076669A"/>
    <w:rsid w:val="00767539"/>
    <w:rsid w:val="00770D18"/>
    <w:rsid w:val="007761D4"/>
    <w:rsid w:val="00782D74"/>
    <w:rsid w:val="007856C4"/>
    <w:rsid w:val="0078798D"/>
    <w:rsid w:val="00790184"/>
    <w:rsid w:val="00790950"/>
    <w:rsid w:val="00790CEE"/>
    <w:rsid w:val="00791D0E"/>
    <w:rsid w:val="007A3F27"/>
    <w:rsid w:val="007A6373"/>
    <w:rsid w:val="007B1083"/>
    <w:rsid w:val="007B165B"/>
    <w:rsid w:val="007B194F"/>
    <w:rsid w:val="007B1A75"/>
    <w:rsid w:val="007B2141"/>
    <w:rsid w:val="007B32EE"/>
    <w:rsid w:val="007C00F5"/>
    <w:rsid w:val="007C0461"/>
    <w:rsid w:val="007D430C"/>
    <w:rsid w:val="007D6AA4"/>
    <w:rsid w:val="007D6DE6"/>
    <w:rsid w:val="007E1015"/>
    <w:rsid w:val="007F25D8"/>
    <w:rsid w:val="007F312D"/>
    <w:rsid w:val="007F553A"/>
    <w:rsid w:val="007F590B"/>
    <w:rsid w:val="007F62C3"/>
    <w:rsid w:val="007F710C"/>
    <w:rsid w:val="007F73A6"/>
    <w:rsid w:val="007F78EC"/>
    <w:rsid w:val="008025A3"/>
    <w:rsid w:val="00803DE2"/>
    <w:rsid w:val="0081274B"/>
    <w:rsid w:val="008139D7"/>
    <w:rsid w:val="00813D9D"/>
    <w:rsid w:val="00813ED3"/>
    <w:rsid w:val="00816557"/>
    <w:rsid w:val="0081696C"/>
    <w:rsid w:val="00820C38"/>
    <w:rsid w:val="008217B5"/>
    <w:rsid w:val="008223B2"/>
    <w:rsid w:val="008229F6"/>
    <w:rsid w:val="0083146F"/>
    <w:rsid w:val="00832570"/>
    <w:rsid w:val="00834B56"/>
    <w:rsid w:val="008418B1"/>
    <w:rsid w:val="00841B4C"/>
    <w:rsid w:val="008427DB"/>
    <w:rsid w:val="00843573"/>
    <w:rsid w:val="00843C07"/>
    <w:rsid w:val="0084456E"/>
    <w:rsid w:val="00845CDB"/>
    <w:rsid w:val="008478A4"/>
    <w:rsid w:val="00851492"/>
    <w:rsid w:val="008519BB"/>
    <w:rsid w:val="008556AE"/>
    <w:rsid w:val="00855D21"/>
    <w:rsid w:val="0086518F"/>
    <w:rsid w:val="00871810"/>
    <w:rsid w:val="008721B3"/>
    <w:rsid w:val="00876E00"/>
    <w:rsid w:val="00880988"/>
    <w:rsid w:val="00881843"/>
    <w:rsid w:val="0088541D"/>
    <w:rsid w:val="0088583B"/>
    <w:rsid w:val="00890589"/>
    <w:rsid w:val="008934D9"/>
    <w:rsid w:val="00893605"/>
    <w:rsid w:val="0089405E"/>
    <w:rsid w:val="008A10CD"/>
    <w:rsid w:val="008A272D"/>
    <w:rsid w:val="008A44DB"/>
    <w:rsid w:val="008A7917"/>
    <w:rsid w:val="008A7DB4"/>
    <w:rsid w:val="008C21C2"/>
    <w:rsid w:val="008C49C6"/>
    <w:rsid w:val="008C524A"/>
    <w:rsid w:val="008D4C79"/>
    <w:rsid w:val="008D6AB0"/>
    <w:rsid w:val="008D7F94"/>
    <w:rsid w:val="008E0980"/>
    <w:rsid w:val="008E2B68"/>
    <w:rsid w:val="008E5F06"/>
    <w:rsid w:val="008F3DA5"/>
    <w:rsid w:val="0090265A"/>
    <w:rsid w:val="009068D4"/>
    <w:rsid w:val="00910695"/>
    <w:rsid w:val="0091162B"/>
    <w:rsid w:val="00912FF4"/>
    <w:rsid w:val="00916885"/>
    <w:rsid w:val="00917EFD"/>
    <w:rsid w:val="00920AA3"/>
    <w:rsid w:val="0092185B"/>
    <w:rsid w:val="00922F35"/>
    <w:rsid w:val="00923A3F"/>
    <w:rsid w:val="00926CCB"/>
    <w:rsid w:val="00927C12"/>
    <w:rsid w:val="00937EE4"/>
    <w:rsid w:val="00940BF1"/>
    <w:rsid w:val="0094141C"/>
    <w:rsid w:val="00941A97"/>
    <w:rsid w:val="00946280"/>
    <w:rsid w:val="009500FA"/>
    <w:rsid w:val="00950999"/>
    <w:rsid w:val="00954C64"/>
    <w:rsid w:val="0096435A"/>
    <w:rsid w:val="0096565E"/>
    <w:rsid w:val="00965869"/>
    <w:rsid w:val="009659A8"/>
    <w:rsid w:val="00967588"/>
    <w:rsid w:val="00967FB6"/>
    <w:rsid w:val="009700A1"/>
    <w:rsid w:val="009735B7"/>
    <w:rsid w:val="009757E7"/>
    <w:rsid w:val="00984610"/>
    <w:rsid w:val="00990EE0"/>
    <w:rsid w:val="00995350"/>
    <w:rsid w:val="009A157D"/>
    <w:rsid w:val="009A43C4"/>
    <w:rsid w:val="009B2075"/>
    <w:rsid w:val="009B5F4C"/>
    <w:rsid w:val="009B62A9"/>
    <w:rsid w:val="009B713A"/>
    <w:rsid w:val="009C1258"/>
    <w:rsid w:val="009C19F0"/>
    <w:rsid w:val="009C2124"/>
    <w:rsid w:val="009C5480"/>
    <w:rsid w:val="009C74EE"/>
    <w:rsid w:val="009D1322"/>
    <w:rsid w:val="009D3A7C"/>
    <w:rsid w:val="009F17E9"/>
    <w:rsid w:val="009F40EE"/>
    <w:rsid w:val="009F44D4"/>
    <w:rsid w:val="009F512D"/>
    <w:rsid w:val="009F6261"/>
    <w:rsid w:val="009F64F2"/>
    <w:rsid w:val="009F67BE"/>
    <w:rsid w:val="00A02975"/>
    <w:rsid w:val="00A045EF"/>
    <w:rsid w:val="00A07FC3"/>
    <w:rsid w:val="00A1295B"/>
    <w:rsid w:val="00A2007E"/>
    <w:rsid w:val="00A20114"/>
    <w:rsid w:val="00A201FB"/>
    <w:rsid w:val="00A253F8"/>
    <w:rsid w:val="00A27F36"/>
    <w:rsid w:val="00A3286E"/>
    <w:rsid w:val="00A35B13"/>
    <w:rsid w:val="00A3684E"/>
    <w:rsid w:val="00A36A14"/>
    <w:rsid w:val="00A41905"/>
    <w:rsid w:val="00A424B5"/>
    <w:rsid w:val="00A4335F"/>
    <w:rsid w:val="00A45646"/>
    <w:rsid w:val="00A459E0"/>
    <w:rsid w:val="00A518F7"/>
    <w:rsid w:val="00A52F94"/>
    <w:rsid w:val="00A55304"/>
    <w:rsid w:val="00A563D7"/>
    <w:rsid w:val="00A64ED5"/>
    <w:rsid w:val="00A65895"/>
    <w:rsid w:val="00A65DC4"/>
    <w:rsid w:val="00A6742E"/>
    <w:rsid w:val="00A67CF5"/>
    <w:rsid w:val="00A75145"/>
    <w:rsid w:val="00A75719"/>
    <w:rsid w:val="00A82F39"/>
    <w:rsid w:val="00A86E3F"/>
    <w:rsid w:val="00A90108"/>
    <w:rsid w:val="00A91733"/>
    <w:rsid w:val="00A91BD4"/>
    <w:rsid w:val="00A92215"/>
    <w:rsid w:val="00A92DBC"/>
    <w:rsid w:val="00A92E9A"/>
    <w:rsid w:val="00A9489C"/>
    <w:rsid w:val="00A95153"/>
    <w:rsid w:val="00A97ACB"/>
    <w:rsid w:val="00AA5E3B"/>
    <w:rsid w:val="00AA6206"/>
    <w:rsid w:val="00AA6C1A"/>
    <w:rsid w:val="00AB0DB8"/>
    <w:rsid w:val="00AB33B3"/>
    <w:rsid w:val="00AD1418"/>
    <w:rsid w:val="00AD3111"/>
    <w:rsid w:val="00AD5DC7"/>
    <w:rsid w:val="00AD5DE0"/>
    <w:rsid w:val="00AE3992"/>
    <w:rsid w:val="00AE3C18"/>
    <w:rsid w:val="00AE6470"/>
    <w:rsid w:val="00AF014A"/>
    <w:rsid w:val="00AF02A6"/>
    <w:rsid w:val="00AF6F95"/>
    <w:rsid w:val="00B00A96"/>
    <w:rsid w:val="00B01464"/>
    <w:rsid w:val="00B026D0"/>
    <w:rsid w:val="00B041AB"/>
    <w:rsid w:val="00B05AC7"/>
    <w:rsid w:val="00B073E1"/>
    <w:rsid w:val="00B11605"/>
    <w:rsid w:val="00B140EC"/>
    <w:rsid w:val="00B14124"/>
    <w:rsid w:val="00B17E5D"/>
    <w:rsid w:val="00B21659"/>
    <w:rsid w:val="00B21E7C"/>
    <w:rsid w:val="00B25A67"/>
    <w:rsid w:val="00B2705D"/>
    <w:rsid w:val="00B31A87"/>
    <w:rsid w:val="00B328D9"/>
    <w:rsid w:val="00B359F7"/>
    <w:rsid w:val="00B36174"/>
    <w:rsid w:val="00B36797"/>
    <w:rsid w:val="00B37938"/>
    <w:rsid w:val="00B40964"/>
    <w:rsid w:val="00B4379B"/>
    <w:rsid w:val="00B449A6"/>
    <w:rsid w:val="00B44B21"/>
    <w:rsid w:val="00B47364"/>
    <w:rsid w:val="00B4761C"/>
    <w:rsid w:val="00B52DF0"/>
    <w:rsid w:val="00B5362F"/>
    <w:rsid w:val="00B536AA"/>
    <w:rsid w:val="00B72B3F"/>
    <w:rsid w:val="00B72F77"/>
    <w:rsid w:val="00B82854"/>
    <w:rsid w:val="00B83B4C"/>
    <w:rsid w:val="00B8481F"/>
    <w:rsid w:val="00B8596E"/>
    <w:rsid w:val="00B86426"/>
    <w:rsid w:val="00B932A3"/>
    <w:rsid w:val="00B9368B"/>
    <w:rsid w:val="00B9635F"/>
    <w:rsid w:val="00B97C53"/>
    <w:rsid w:val="00BA336D"/>
    <w:rsid w:val="00BA60E2"/>
    <w:rsid w:val="00BB20ED"/>
    <w:rsid w:val="00BB2292"/>
    <w:rsid w:val="00BB2C94"/>
    <w:rsid w:val="00BB3122"/>
    <w:rsid w:val="00BB4DE1"/>
    <w:rsid w:val="00BC364B"/>
    <w:rsid w:val="00BC3F88"/>
    <w:rsid w:val="00BC411D"/>
    <w:rsid w:val="00BC637B"/>
    <w:rsid w:val="00BD0301"/>
    <w:rsid w:val="00BD4834"/>
    <w:rsid w:val="00BD483F"/>
    <w:rsid w:val="00BE3526"/>
    <w:rsid w:val="00BE4E4D"/>
    <w:rsid w:val="00BE7164"/>
    <w:rsid w:val="00BE74A5"/>
    <w:rsid w:val="00BF105E"/>
    <w:rsid w:val="00BF272B"/>
    <w:rsid w:val="00BF31BF"/>
    <w:rsid w:val="00BF49DE"/>
    <w:rsid w:val="00BF5637"/>
    <w:rsid w:val="00BF6C16"/>
    <w:rsid w:val="00C00B93"/>
    <w:rsid w:val="00C045F4"/>
    <w:rsid w:val="00C1225F"/>
    <w:rsid w:val="00C13AE0"/>
    <w:rsid w:val="00C16C6D"/>
    <w:rsid w:val="00C25477"/>
    <w:rsid w:val="00C272D1"/>
    <w:rsid w:val="00C3090C"/>
    <w:rsid w:val="00C30F72"/>
    <w:rsid w:val="00C30FC2"/>
    <w:rsid w:val="00C33822"/>
    <w:rsid w:val="00C3412F"/>
    <w:rsid w:val="00C34A77"/>
    <w:rsid w:val="00C34C88"/>
    <w:rsid w:val="00C36B9D"/>
    <w:rsid w:val="00C3776A"/>
    <w:rsid w:val="00C4365C"/>
    <w:rsid w:val="00C43742"/>
    <w:rsid w:val="00C45547"/>
    <w:rsid w:val="00C51119"/>
    <w:rsid w:val="00C51B3D"/>
    <w:rsid w:val="00C5218E"/>
    <w:rsid w:val="00C523BE"/>
    <w:rsid w:val="00C53FDA"/>
    <w:rsid w:val="00C64267"/>
    <w:rsid w:val="00C64323"/>
    <w:rsid w:val="00C8014C"/>
    <w:rsid w:val="00C84495"/>
    <w:rsid w:val="00C85212"/>
    <w:rsid w:val="00C85EDF"/>
    <w:rsid w:val="00C860E6"/>
    <w:rsid w:val="00C863B8"/>
    <w:rsid w:val="00C91287"/>
    <w:rsid w:val="00C947A2"/>
    <w:rsid w:val="00C958B5"/>
    <w:rsid w:val="00CA03EF"/>
    <w:rsid w:val="00CA32F8"/>
    <w:rsid w:val="00CA4E0A"/>
    <w:rsid w:val="00CA5E04"/>
    <w:rsid w:val="00CA7E2A"/>
    <w:rsid w:val="00CB1766"/>
    <w:rsid w:val="00CB1B44"/>
    <w:rsid w:val="00CB34C5"/>
    <w:rsid w:val="00CC0E9C"/>
    <w:rsid w:val="00CC4ED9"/>
    <w:rsid w:val="00CC58D1"/>
    <w:rsid w:val="00CC6DD6"/>
    <w:rsid w:val="00CC70AF"/>
    <w:rsid w:val="00CD5349"/>
    <w:rsid w:val="00CE0C52"/>
    <w:rsid w:val="00CE1013"/>
    <w:rsid w:val="00CE2ABC"/>
    <w:rsid w:val="00CE43A3"/>
    <w:rsid w:val="00CE4908"/>
    <w:rsid w:val="00CE767B"/>
    <w:rsid w:val="00CE7A3C"/>
    <w:rsid w:val="00D04611"/>
    <w:rsid w:val="00D05CBD"/>
    <w:rsid w:val="00D13380"/>
    <w:rsid w:val="00D139C8"/>
    <w:rsid w:val="00D14F2F"/>
    <w:rsid w:val="00D1519F"/>
    <w:rsid w:val="00D157DD"/>
    <w:rsid w:val="00D16568"/>
    <w:rsid w:val="00D245F1"/>
    <w:rsid w:val="00D31261"/>
    <w:rsid w:val="00D36F95"/>
    <w:rsid w:val="00D40BC8"/>
    <w:rsid w:val="00D44A31"/>
    <w:rsid w:val="00D458A3"/>
    <w:rsid w:val="00D47E63"/>
    <w:rsid w:val="00D510DE"/>
    <w:rsid w:val="00D56F36"/>
    <w:rsid w:val="00D617B8"/>
    <w:rsid w:val="00D6203F"/>
    <w:rsid w:val="00D63E28"/>
    <w:rsid w:val="00D64F5E"/>
    <w:rsid w:val="00D6591C"/>
    <w:rsid w:val="00D67425"/>
    <w:rsid w:val="00D67B68"/>
    <w:rsid w:val="00D71BA5"/>
    <w:rsid w:val="00D72AE5"/>
    <w:rsid w:val="00D75D0C"/>
    <w:rsid w:val="00D76A1B"/>
    <w:rsid w:val="00D80DC1"/>
    <w:rsid w:val="00D81047"/>
    <w:rsid w:val="00D92034"/>
    <w:rsid w:val="00D95341"/>
    <w:rsid w:val="00DA2B91"/>
    <w:rsid w:val="00DA555C"/>
    <w:rsid w:val="00DB2F7E"/>
    <w:rsid w:val="00DC1098"/>
    <w:rsid w:val="00DC1298"/>
    <w:rsid w:val="00DC1694"/>
    <w:rsid w:val="00DC33BC"/>
    <w:rsid w:val="00DC42AE"/>
    <w:rsid w:val="00DC56A8"/>
    <w:rsid w:val="00DC5F30"/>
    <w:rsid w:val="00DD6508"/>
    <w:rsid w:val="00DF3659"/>
    <w:rsid w:val="00DF3CC4"/>
    <w:rsid w:val="00DF5886"/>
    <w:rsid w:val="00DF69C7"/>
    <w:rsid w:val="00E03D9C"/>
    <w:rsid w:val="00E12EA0"/>
    <w:rsid w:val="00E14EEC"/>
    <w:rsid w:val="00E16DBE"/>
    <w:rsid w:val="00E21287"/>
    <w:rsid w:val="00E2233E"/>
    <w:rsid w:val="00E2305D"/>
    <w:rsid w:val="00E24767"/>
    <w:rsid w:val="00E254A3"/>
    <w:rsid w:val="00E267CD"/>
    <w:rsid w:val="00E310CB"/>
    <w:rsid w:val="00E3530D"/>
    <w:rsid w:val="00E35715"/>
    <w:rsid w:val="00E36601"/>
    <w:rsid w:val="00E376A1"/>
    <w:rsid w:val="00E411BC"/>
    <w:rsid w:val="00E5265F"/>
    <w:rsid w:val="00E55125"/>
    <w:rsid w:val="00E55F95"/>
    <w:rsid w:val="00E57FCD"/>
    <w:rsid w:val="00E602D8"/>
    <w:rsid w:val="00E60D8A"/>
    <w:rsid w:val="00E61AFA"/>
    <w:rsid w:val="00E7008C"/>
    <w:rsid w:val="00E714CA"/>
    <w:rsid w:val="00E7177C"/>
    <w:rsid w:val="00E74050"/>
    <w:rsid w:val="00E77644"/>
    <w:rsid w:val="00E77FC8"/>
    <w:rsid w:val="00E85259"/>
    <w:rsid w:val="00E85D5D"/>
    <w:rsid w:val="00E91511"/>
    <w:rsid w:val="00E92162"/>
    <w:rsid w:val="00E929A9"/>
    <w:rsid w:val="00E946BD"/>
    <w:rsid w:val="00EA0250"/>
    <w:rsid w:val="00EA24FD"/>
    <w:rsid w:val="00EA3748"/>
    <w:rsid w:val="00EA3A37"/>
    <w:rsid w:val="00EA599F"/>
    <w:rsid w:val="00EA5F83"/>
    <w:rsid w:val="00EB1B09"/>
    <w:rsid w:val="00EB4DFC"/>
    <w:rsid w:val="00EC0E6A"/>
    <w:rsid w:val="00ED1E60"/>
    <w:rsid w:val="00ED2D81"/>
    <w:rsid w:val="00ED4475"/>
    <w:rsid w:val="00ED4675"/>
    <w:rsid w:val="00ED577C"/>
    <w:rsid w:val="00EE27B3"/>
    <w:rsid w:val="00EE6048"/>
    <w:rsid w:val="00EF01B1"/>
    <w:rsid w:val="00EF1FA6"/>
    <w:rsid w:val="00EF3944"/>
    <w:rsid w:val="00EF3DE8"/>
    <w:rsid w:val="00EF44BD"/>
    <w:rsid w:val="00EF4C04"/>
    <w:rsid w:val="00EF523D"/>
    <w:rsid w:val="00EF5E4B"/>
    <w:rsid w:val="00EF7857"/>
    <w:rsid w:val="00EF7B22"/>
    <w:rsid w:val="00F026AF"/>
    <w:rsid w:val="00F0404C"/>
    <w:rsid w:val="00F05973"/>
    <w:rsid w:val="00F05F9A"/>
    <w:rsid w:val="00F10F08"/>
    <w:rsid w:val="00F15164"/>
    <w:rsid w:val="00F17D0D"/>
    <w:rsid w:val="00F21A75"/>
    <w:rsid w:val="00F22408"/>
    <w:rsid w:val="00F22B79"/>
    <w:rsid w:val="00F23B90"/>
    <w:rsid w:val="00F26DE9"/>
    <w:rsid w:val="00F30794"/>
    <w:rsid w:val="00F325C0"/>
    <w:rsid w:val="00F33F26"/>
    <w:rsid w:val="00F34DAF"/>
    <w:rsid w:val="00F414C3"/>
    <w:rsid w:val="00F460BE"/>
    <w:rsid w:val="00F46D8D"/>
    <w:rsid w:val="00F52175"/>
    <w:rsid w:val="00F54FD5"/>
    <w:rsid w:val="00F57963"/>
    <w:rsid w:val="00F624B5"/>
    <w:rsid w:val="00F67FA5"/>
    <w:rsid w:val="00F70698"/>
    <w:rsid w:val="00F71114"/>
    <w:rsid w:val="00F71F9F"/>
    <w:rsid w:val="00F778C2"/>
    <w:rsid w:val="00F80AFC"/>
    <w:rsid w:val="00F81510"/>
    <w:rsid w:val="00F81A18"/>
    <w:rsid w:val="00F8256B"/>
    <w:rsid w:val="00F830BE"/>
    <w:rsid w:val="00F846A4"/>
    <w:rsid w:val="00F84DAC"/>
    <w:rsid w:val="00F85A60"/>
    <w:rsid w:val="00F91B7E"/>
    <w:rsid w:val="00F922A0"/>
    <w:rsid w:val="00F95B59"/>
    <w:rsid w:val="00F97D93"/>
    <w:rsid w:val="00FA0973"/>
    <w:rsid w:val="00FA348B"/>
    <w:rsid w:val="00FA44F4"/>
    <w:rsid w:val="00FB1E31"/>
    <w:rsid w:val="00FC1647"/>
    <w:rsid w:val="00FC329C"/>
    <w:rsid w:val="00FC3E7B"/>
    <w:rsid w:val="00FD1DDC"/>
    <w:rsid w:val="00FD2AE4"/>
    <w:rsid w:val="00FD2F14"/>
    <w:rsid w:val="00FD4236"/>
    <w:rsid w:val="00FE0074"/>
    <w:rsid w:val="00FE1D0B"/>
    <w:rsid w:val="00FE212F"/>
    <w:rsid w:val="00FE2E4D"/>
    <w:rsid w:val="00FE353D"/>
    <w:rsid w:val="00FE64D3"/>
    <w:rsid w:val="00FE6ADD"/>
    <w:rsid w:val="00FF2E02"/>
    <w:rsid w:val="00FF56A4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95B"/>
  </w:style>
  <w:style w:type="paragraph" w:styleId="Header">
    <w:name w:val="header"/>
    <w:basedOn w:val="Normal"/>
    <w:link w:val="HeaderChar"/>
    <w:uiPriority w:val="99"/>
    <w:rsid w:val="00DC4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80"/>
    <w:rPr>
      <w:sz w:val="24"/>
      <w:szCs w:val="24"/>
    </w:rPr>
  </w:style>
  <w:style w:type="paragraph" w:customStyle="1" w:styleId="p5">
    <w:name w:val="p5"/>
    <w:basedOn w:val="Normal"/>
    <w:rsid w:val="009F64F2"/>
    <w:pPr>
      <w:widowControl w:val="0"/>
      <w:tabs>
        <w:tab w:val="left" w:pos="391"/>
      </w:tabs>
      <w:autoSpaceDE w:val="0"/>
      <w:autoSpaceDN w:val="0"/>
      <w:adjustRightInd w:val="0"/>
      <w:ind w:left="1049"/>
    </w:pPr>
  </w:style>
  <w:style w:type="character" w:customStyle="1" w:styleId="HeaderChar">
    <w:name w:val="Header Char"/>
    <w:link w:val="Header"/>
    <w:uiPriority w:val="99"/>
    <w:rsid w:val="00380C93"/>
    <w:rPr>
      <w:sz w:val="24"/>
      <w:szCs w:val="24"/>
    </w:rPr>
  </w:style>
  <w:style w:type="table" w:styleId="TableGrid">
    <w:name w:val="Table Grid"/>
    <w:basedOn w:val="TableNormal"/>
    <w:uiPriority w:val="59"/>
    <w:rsid w:val="00B72B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95B"/>
  </w:style>
  <w:style w:type="paragraph" w:styleId="Header">
    <w:name w:val="header"/>
    <w:basedOn w:val="Normal"/>
    <w:link w:val="HeaderChar"/>
    <w:uiPriority w:val="99"/>
    <w:rsid w:val="00DC4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80"/>
    <w:rPr>
      <w:sz w:val="24"/>
      <w:szCs w:val="24"/>
    </w:rPr>
  </w:style>
  <w:style w:type="paragraph" w:customStyle="1" w:styleId="p5">
    <w:name w:val="p5"/>
    <w:basedOn w:val="Normal"/>
    <w:rsid w:val="009F64F2"/>
    <w:pPr>
      <w:widowControl w:val="0"/>
      <w:tabs>
        <w:tab w:val="left" w:pos="391"/>
      </w:tabs>
      <w:autoSpaceDE w:val="0"/>
      <w:autoSpaceDN w:val="0"/>
      <w:adjustRightInd w:val="0"/>
      <w:ind w:left="1049"/>
    </w:pPr>
  </w:style>
  <w:style w:type="character" w:customStyle="1" w:styleId="HeaderChar">
    <w:name w:val="Header Char"/>
    <w:link w:val="Header"/>
    <w:uiPriority w:val="99"/>
    <w:rsid w:val="00380C93"/>
    <w:rPr>
      <w:sz w:val="24"/>
      <w:szCs w:val="24"/>
    </w:rPr>
  </w:style>
  <w:style w:type="table" w:styleId="TableGrid">
    <w:name w:val="Table Grid"/>
    <w:basedOn w:val="TableNormal"/>
    <w:uiPriority w:val="59"/>
    <w:rsid w:val="00B72B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shoffner</dc:creator>
  <cp:lastModifiedBy>Rametta, Anthony</cp:lastModifiedBy>
  <cp:revision>6</cp:revision>
  <cp:lastPrinted>2015-12-01T20:51:00Z</cp:lastPrinted>
  <dcterms:created xsi:type="dcterms:W3CDTF">2015-12-01T20:51:00Z</dcterms:created>
  <dcterms:modified xsi:type="dcterms:W3CDTF">2015-12-02T15:51:00Z</dcterms:modified>
</cp:coreProperties>
</file>