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08" w:rsidRPr="004E5432" w:rsidRDefault="008A5B08" w:rsidP="008A5B08">
      <w:pPr>
        <w:suppressAutoHyphens/>
        <w:jc w:val="center"/>
        <w:outlineLvl w:val="0"/>
        <w:rPr>
          <w:rFonts w:ascii="Times New Roman" w:hAnsi="Times New Roman"/>
          <w:b/>
          <w:bCs/>
          <w:spacing w:val="-3"/>
        </w:rPr>
      </w:pPr>
      <w:r w:rsidRPr="004E5432">
        <w:rPr>
          <w:rFonts w:ascii="Times New Roman" w:hAnsi="Times New Roman"/>
          <w:b/>
          <w:bCs/>
          <w:spacing w:val="-3"/>
        </w:rPr>
        <w:t>BEFORE THE</w:t>
      </w:r>
    </w:p>
    <w:p w:rsidR="008A5B08" w:rsidRPr="004E5432" w:rsidRDefault="008A5B08" w:rsidP="008A5B08">
      <w:pPr>
        <w:suppressAutoHyphens/>
        <w:jc w:val="center"/>
        <w:outlineLvl w:val="0"/>
        <w:rPr>
          <w:rFonts w:ascii="Times New Roman" w:hAnsi="Times New Roman"/>
          <w:b/>
          <w:bCs/>
          <w:spacing w:val="-3"/>
        </w:rPr>
      </w:pPr>
      <w:r w:rsidRPr="004E5432">
        <w:rPr>
          <w:rFonts w:ascii="Times New Roman" w:hAnsi="Times New Roman"/>
          <w:b/>
          <w:bCs/>
          <w:spacing w:val="-3"/>
        </w:rPr>
        <w:t>PENNSYLVANIA PUBLIC UTILITY COMMISSION</w:t>
      </w:r>
    </w:p>
    <w:p w:rsidR="008A5B08" w:rsidRPr="00B47C1E" w:rsidRDefault="008A5B08" w:rsidP="008A5B08">
      <w:pPr>
        <w:suppressAutoHyphens/>
        <w:jc w:val="center"/>
        <w:outlineLvl w:val="0"/>
        <w:rPr>
          <w:rFonts w:ascii="Times New Roman" w:hAnsi="Times New Roman"/>
          <w:b/>
          <w:bCs/>
          <w:spacing w:val="-3"/>
        </w:rPr>
      </w:pPr>
    </w:p>
    <w:p w:rsidR="008A5B08" w:rsidRPr="00B47C1E" w:rsidRDefault="008A5B08" w:rsidP="008A5B08">
      <w:pPr>
        <w:suppressAutoHyphens/>
        <w:jc w:val="center"/>
        <w:outlineLvl w:val="0"/>
        <w:rPr>
          <w:rFonts w:ascii="Times New Roman" w:hAnsi="Times New Roman"/>
          <w:b/>
          <w:bCs/>
          <w:spacing w:val="-3"/>
        </w:rPr>
      </w:pPr>
    </w:p>
    <w:p w:rsidR="008A5B08" w:rsidRPr="00B47C1E" w:rsidRDefault="008A5B08" w:rsidP="008A5B08">
      <w:pPr>
        <w:pStyle w:val="NoSpacing"/>
        <w:rPr>
          <w:rFonts w:ascii="Times New Roman" w:hAnsi="Times New Roman" w:cs="Times New Roman"/>
        </w:rPr>
      </w:pPr>
    </w:p>
    <w:p w:rsidR="008A5B08" w:rsidRPr="004E5432" w:rsidRDefault="008A5B08" w:rsidP="008A5B08">
      <w:pPr>
        <w:pStyle w:val="NoSpacing"/>
        <w:rPr>
          <w:rFonts w:ascii="Times New Roman" w:hAnsi="Times New Roman" w:cs="Times New Roman"/>
        </w:rPr>
      </w:pPr>
      <w:r w:rsidRPr="004E5432">
        <w:rPr>
          <w:rFonts w:ascii="Times New Roman" w:hAnsi="Times New Roman" w:cs="Times New Roman"/>
        </w:rPr>
        <w:t xml:space="preserve">Petition of </w:t>
      </w:r>
      <w:r w:rsidR="00484610">
        <w:rPr>
          <w:rFonts w:ascii="Times New Roman" w:hAnsi="Times New Roman" w:cs="Times New Roman"/>
        </w:rPr>
        <w:t>Duquesne Light Company</w:t>
      </w:r>
      <w:r w:rsidRPr="004E5432">
        <w:rPr>
          <w:rFonts w:ascii="Times New Roman" w:hAnsi="Times New Roman" w:cs="Times New Roman"/>
        </w:rPr>
        <w:t xml:space="preserve"> for Approval</w:t>
      </w:r>
      <w:r w:rsidRPr="004E5432">
        <w:rPr>
          <w:rFonts w:ascii="Times New Roman" w:hAnsi="Times New Roman" w:cs="Times New Roman"/>
        </w:rPr>
        <w:tab/>
        <w:t>:</w:t>
      </w:r>
      <w:r w:rsidR="00145AAD">
        <w:rPr>
          <w:rFonts w:ascii="Times New Roman" w:hAnsi="Times New Roman" w:cs="Times New Roman"/>
        </w:rPr>
        <w:tab/>
      </w:r>
      <w:r w:rsidR="00145AAD">
        <w:rPr>
          <w:rFonts w:ascii="Times New Roman" w:hAnsi="Times New Roman" w:cs="Times New Roman"/>
        </w:rPr>
        <w:tab/>
      </w:r>
      <w:r w:rsidR="00145AAD" w:rsidRPr="004E5432">
        <w:rPr>
          <w:rFonts w:ascii="Times New Roman" w:hAnsi="Times New Roman" w:cs="Times New Roman"/>
        </w:rPr>
        <w:t>M-20</w:t>
      </w:r>
      <w:r w:rsidR="00145AAD">
        <w:rPr>
          <w:rFonts w:ascii="Times New Roman" w:hAnsi="Times New Roman" w:cs="Times New Roman"/>
        </w:rPr>
        <w:t>15</w:t>
      </w:r>
      <w:r w:rsidR="00145AAD" w:rsidRPr="004E5432">
        <w:rPr>
          <w:rFonts w:ascii="Times New Roman" w:hAnsi="Times New Roman" w:cs="Times New Roman"/>
        </w:rPr>
        <w:t>-2</w:t>
      </w:r>
      <w:r w:rsidR="00145AAD">
        <w:rPr>
          <w:rFonts w:ascii="Times New Roman" w:hAnsi="Times New Roman" w:cs="Times New Roman"/>
        </w:rPr>
        <w:t>515375</w:t>
      </w:r>
    </w:p>
    <w:p w:rsidR="008A5B08" w:rsidRPr="004E5432" w:rsidRDefault="008A5B08" w:rsidP="008A5B08">
      <w:pPr>
        <w:pStyle w:val="NoSpacing"/>
        <w:rPr>
          <w:rFonts w:ascii="Times New Roman" w:hAnsi="Times New Roman" w:cs="Times New Roman"/>
        </w:rPr>
      </w:pPr>
      <w:proofErr w:type="gramStart"/>
      <w:r w:rsidRPr="004E5432">
        <w:rPr>
          <w:rFonts w:ascii="Times New Roman" w:hAnsi="Times New Roman" w:cs="Times New Roman"/>
        </w:rPr>
        <w:t>of</w:t>
      </w:r>
      <w:proofErr w:type="gramEnd"/>
      <w:r w:rsidRPr="004E5432">
        <w:rPr>
          <w:rFonts w:ascii="Times New Roman" w:hAnsi="Times New Roman" w:cs="Times New Roman"/>
        </w:rPr>
        <w:t xml:space="preserve"> its </w:t>
      </w:r>
      <w:r>
        <w:rPr>
          <w:rFonts w:ascii="Times New Roman" w:hAnsi="Times New Roman" w:cs="Times New Roman"/>
        </w:rPr>
        <w:t xml:space="preserve">Act 129 Phase III </w:t>
      </w:r>
      <w:r w:rsidRPr="004E5432">
        <w:rPr>
          <w:rFonts w:ascii="Times New Roman" w:hAnsi="Times New Roman" w:cs="Times New Roman"/>
        </w:rPr>
        <w:t>Energy Efficiency and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5B08" w:rsidRDefault="008A5B08" w:rsidP="008A5B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Conservation </w:t>
      </w:r>
      <w:r w:rsidRPr="004E5432">
        <w:rPr>
          <w:rFonts w:ascii="Times New Roman" w:hAnsi="Times New Roman" w:cs="Times New Roman"/>
        </w:rPr>
        <w:t xml:space="preserve">Plan </w:t>
      </w:r>
      <w:r w:rsidR="00145AAD">
        <w:rPr>
          <w:rFonts w:ascii="Times New Roman" w:hAnsi="Times New Roman" w:cs="Times New Roman"/>
        </w:rPr>
        <w:tab/>
      </w:r>
      <w:r w:rsidR="00145AAD">
        <w:rPr>
          <w:rFonts w:ascii="Times New Roman" w:hAnsi="Times New Roman" w:cs="Times New Roman"/>
        </w:rPr>
        <w:tab/>
      </w:r>
      <w:r w:rsidR="00145AAD">
        <w:rPr>
          <w:rFonts w:ascii="Times New Roman" w:hAnsi="Times New Roman" w:cs="Times New Roman"/>
        </w:rPr>
        <w:tab/>
      </w:r>
      <w:r w:rsidR="00145AAD">
        <w:rPr>
          <w:rFonts w:ascii="Times New Roman" w:hAnsi="Times New Roman" w:cs="Times New Roman"/>
        </w:rPr>
        <w:tab/>
      </w:r>
      <w:r w:rsidR="00145AAD">
        <w:rPr>
          <w:rFonts w:ascii="Times New Roman" w:hAnsi="Times New Roman" w:cs="Times New Roman"/>
        </w:rPr>
        <w:tab/>
        <w:t>:</w:t>
      </w:r>
    </w:p>
    <w:p w:rsidR="008A5B08" w:rsidRDefault="008A5B08" w:rsidP="008A5B08">
      <w:pPr>
        <w:pStyle w:val="NoSpacing"/>
        <w:rPr>
          <w:rFonts w:ascii="Times New Roman" w:hAnsi="Times New Roman" w:cs="Times New Roman"/>
        </w:rPr>
      </w:pPr>
    </w:p>
    <w:p w:rsidR="008A5B08" w:rsidRDefault="008A5B08" w:rsidP="008A5B08">
      <w:pPr>
        <w:pStyle w:val="NoSpacing"/>
        <w:rPr>
          <w:rFonts w:ascii="Times New Roman" w:hAnsi="Times New Roman"/>
          <w:spacing w:val="-3"/>
        </w:rPr>
      </w:pPr>
    </w:p>
    <w:p w:rsidR="00145AAD" w:rsidRPr="004E5432" w:rsidRDefault="00145AAD" w:rsidP="008A5B08">
      <w:pPr>
        <w:pStyle w:val="NoSpacing"/>
        <w:rPr>
          <w:rFonts w:ascii="Times New Roman" w:hAnsi="Times New Roman"/>
          <w:spacing w:val="-3"/>
        </w:rPr>
      </w:pPr>
    </w:p>
    <w:p w:rsidR="008A5B08" w:rsidRDefault="00C75CCC" w:rsidP="008A5B08">
      <w:pPr>
        <w:tabs>
          <w:tab w:val="center" w:pos="4680"/>
        </w:tabs>
        <w:suppressAutoHyphens/>
        <w:contextualSpacing/>
        <w:jc w:val="center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SCHEDULING ORDER</w:t>
      </w:r>
    </w:p>
    <w:p w:rsidR="008A5B08" w:rsidRDefault="008A5B08" w:rsidP="008A5B08">
      <w:pPr>
        <w:tabs>
          <w:tab w:val="center" w:pos="4680"/>
        </w:tabs>
        <w:suppressAutoHyphens/>
        <w:contextualSpacing/>
        <w:jc w:val="center"/>
        <w:rPr>
          <w:rFonts w:ascii="Times New Roman" w:hAnsi="Times New Roman"/>
          <w:b/>
          <w:spacing w:val="-3"/>
          <w:u w:val="single"/>
        </w:rPr>
      </w:pPr>
    </w:p>
    <w:p w:rsidR="008A5B08" w:rsidRPr="004E5432" w:rsidRDefault="008A5B08" w:rsidP="008A5B08">
      <w:pPr>
        <w:tabs>
          <w:tab w:val="left" w:pos="-1440"/>
          <w:tab w:val="left" w:pos="-720"/>
        </w:tabs>
        <w:suppressAutoHyphens/>
        <w:ind w:firstLine="1440"/>
        <w:jc w:val="center"/>
        <w:rPr>
          <w:rFonts w:ascii="Times New Roman" w:hAnsi="Times New Roman"/>
          <w:spacing w:val="-3"/>
        </w:rPr>
      </w:pPr>
    </w:p>
    <w:p w:rsidR="008A5B08" w:rsidRPr="008A5B08" w:rsidRDefault="008A5B08" w:rsidP="008A5B08">
      <w:pPr>
        <w:spacing w:line="360" w:lineRule="auto"/>
        <w:rPr>
          <w:rFonts w:ascii="Times New Roman" w:hAnsi="Times New Roman"/>
          <w:bCs/>
        </w:rPr>
      </w:pPr>
      <w:r w:rsidRPr="004E5432">
        <w:rPr>
          <w:rFonts w:ascii="Times New Roman" w:hAnsi="Times New Roman"/>
          <w:bCs/>
        </w:rPr>
        <w:tab/>
      </w:r>
      <w:r w:rsidRPr="004E5432">
        <w:rPr>
          <w:rFonts w:ascii="Times New Roman" w:hAnsi="Times New Roman"/>
          <w:bCs/>
        </w:rPr>
        <w:tab/>
      </w:r>
      <w:proofErr w:type="gramStart"/>
      <w:r>
        <w:t>The Commission</w:t>
      </w:r>
      <w:r w:rsidR="00CF716C">
        <w:t>’</w:t>
      </w:r>
      <w:r>
        <w:t xml:space="preserve">s Order in </w:t>
      </w:r>
      <w:r w:rsidR="00145AAD">
        <w:t>D</w:t>
      </w:r>
      <w:r>
        <w:t xml:space="preserve">ocket </w:t>
      </w:r>
      <w:r w:rsidR="00145AAD">
        <w:t>N</w:t>
      </w:r>
      <w:r>
        <w:t>o.</w:t>
      </w:r>
      <w:proofErr w:type="gramEnd"/>
      <w:r>
        <w:t xml:space="preserve"> M-2014-2424864, entered June 19, 2015, requires each electric distribution company to file a plan in Phase III of the Act 129 Energy Efficiency and Conservation Plan (EE&amp;C) series.  </w:t>
      </w:r>
      <w:r>
        <w:rPr>
          <w:i/>
        </w:rPr>
        <w:t>Energy Efficiency and Conservation Program,</w:t>
      </w:r>
      <w:r>
        <w:t xml:space="preserve"> Docket No. M-2014-2424864 (</w:t>
      </w:r>
      <w:r>
        <w:rPr>
          <w:i/>
        </w:rPr>
        <w:t>Imp</w:t>
      </w:r>
      <w:r w:rsidR="00484610">
        <w:rPr>
          <w:i/>
        </w:rPr>
        <w:t>lementation Order</w:t>
      </w:r>
      <w:r w:rsidR="00484610" w:rsidRPr="00484610">
        <w:t xml:space="preserve">) </w:t>
      </w:r>
      <w:r w:rsidRPr="00484610">
        <w:t>entered</w:t>
      </w:r>
      <w:r w:rsidR="00484610">
        <w:t xml:space="preserve"> June 19, 2015, which sets up the litigation process Duquesne Light </w:t>
      </w:r>
      <w:r w:rsidR="00037785">
        <w:t xml:space="preserve">Company </w:t>
      </w:r>
      <w:r w:rsidR="00484610">
        <w:t xml:space="preserve">and other </w:t>
      </w:r>
      <w:r w:rsidR="00037785">
        <w:t>e</w:t>
      </w:r>
      <w:r w:rsidR="00484610">
        <w:t xml:space="preserve">lectric </w:t>
      </w:r>
      <w:r w:rsidR="00037785">
        <w:t>d</w:t>
      </w:r>
      <w:r w:rsidR="00484610">
        <w:t xml:space="preserve">istribution </w:t>
      </w:r>
      <w:r w:rsidR="00037785">
        <w:t>c</w:t>
      </w:r>
      <w:r w:rsidR="00484610">
        <w:t>ompanies (EDCs) must follow</w:t>
      </w:r>
      <w:r>
        <w:t xml:space="preserve">.  </w:t>
      </w:r>
    </w:p>
    <w:p w:rsidR="008A5B08" w:rsidRDefault="008A5B08" w:rsidP="008A5B08">
      <w:pPr>
        <w:spacing w:line="360" w:lineRule="auto"/>
        <w:rPr>
          <w:rFonts w:ascii="Times New Roman" w:hAnsi="Times New Roman"/>
          <w:bCs/>
        </w:rPr>
      </w:pPr>
    </w:p>
    <w:p w:rsidR="008A5B08" w:rsidRDefault="008A5B08" w:rsidP="008A5B0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4E5432">
        <w:rPr>
          <w:rFonts w:ascii="Times New Roman" w:hAnsi="Times New Roman"/>
          <w:bCs/>
        </w:rPr>
        <w:t xml:space="preserve">On </w:t>
      </w:r>
      <w:r w:rsidR="00484610">
        <w:rPr>
          <w:rFonts w:ascii="Times New Roman" w:hAnsi="Times New Roman"/>
          <w:bCs/>
        </w:rPr>
        <w:t>November 25</w:t>
      </w:r>
      <w:r>
        <w:rPr>
          <w:rFonts w:ascii="Times New Roman" w:hAnsi="Times New Roman"/>
          <w:bCs/>
        </w:rPr>
        <w:t>, 2015,</w:t>
      </w:r>
      <w:r w:rsidRPr="004E5432">
        <w:rPr>
          <w:rFonts w:ascii="Times New Roman" w:hAnsi="Times New Roman"/>
          <w:bCs/>
        </w:rPr>
        <w:t xml:space="preserve"> </w:t>
      </w:r>
      <w:r w:rsidR="00484610">
        <w:rPr>
          <w:rFonts w:ascii="Times New Roman" w:hAnsi="Times New Roman"/>
          <w:bCs/>
        </w:rPr>
        <w:t>Duquesne Light Company</w:t>
      </w:r>
      <w:r>
        <w:rPr>
          <w:rFonts w:ascii="Times New Roman" w:hAnsi="Times New Roman"/>
          <w:bCs/>
        </w:rPr>
        <w:t xml:space="preserve"> (</w:t>
      </w:r>
      <w:r w:rsidR="00484610">
        <w:rPr>
          <w:rFonts w:ascii="Times New Roman" w:hAnsi="Times New Roman"/>
          <w:bCs/>
        </w:rPr>
        <w:t>Duquesne Light</w:t>
      </w:r>
      <w:r w:rsidR="00355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P</w:t>
      </w:r>
      <w:r w:rsidRPr="004E5432">
        <w:rPr>
          <w:rFonts w:ascii="Times New Roman" w:hAnsi="Times New Roman"/>
        </w:rPr>
        <w:t>etitioner) filed with the Pennsylvania Public Utility Commission</w:t>
      </w:r>
      <w:r w:rsidR="00484610">
        <w:rPr>
          <w:rFonts w:ascii="Times New Roman" w:hAnsi="Times New Roman"/>
        </w:rPr>
        <w:t xml:space="preserve"> </w:t>
      </w:r>
      <w:r w:rsidRPr="004E5432">
        <w:rPr>
          <w:rFonts w:ascii="Times New Roman" w:hAnsi="Times New Roman"/>
        </w:rPr>
        <w:t>(Commission) its Petition</w:t>
      </w:r>
      <w:r w:rsidRPr="004E5432">
        <w:rPr>
          <w:rFonts w:ascii="Times New Roman" w:hAnsi="Times New Roman"/>
          <w:bCs/>
        </w:rPr>
        <w:t xml:space="preserve"> </w:t>
      </w:r>
      <w:r w:rsidRPr="004E5432">
        <w:rPr>
          <w:rFonts w:ascii="Times New Roman" w:hAnsi="Times New Roman"/>
        </w:rPr>
        <w:t xml:space="preserve">for Approval of its </w:t>
      </w:r>
      <w:r>
        <w:rPr>
          <w:rFonts w:ascii="Times New Roman" w:hAnsi="Times New Roman"/>
        </w:rPr>
        <w:t xml:space="preserve">Act 129 Phase III </w:t>
      </w:r>
      <w:r w:rsidRPr="004E5432">
        <w:rPr>
          <w:rFonts w:ascii="Times New Roman" w:hAnsi="Times New Roman"/>
        </w:rPr>
        <w:t>Energy Efficiency and Conservation Plan</w:t>
      </w:r>
      <w:r w:rsidR="00484610">
        <w:rPr>
          <w:rFonts w:ascii="Times New Roman" w:hAnsi="Times New Roman"/>
        </w:rPr>
        <w:t>.  Duquesne Light asks</w:t>
      </w:r>
      <w:r w:rsidRPr="004E5432">
        <w:rPr>
          <w:rFonts w:ascii="Times New Roman" w:hAnsi="Times New Roman"/>
        </w:rPr>
        <w:t xml:space="preserve"> the Commission </w:t>
      </w:r>
      <w:r w:rsidR="00484610">
        <w:rPr>
          <w:rFonts w:ascii="Times New Roman" w:hAnsi="Times New Roman"/>
        </w:rPr>
        <w:t xml:space="preserve">to </w:t>
      </w:r>
      <w:r w:rsidRPr="004E5432">
        <w:rPr>
          <w:rFonts w:ascii="Times New Roman" w:hAnsi="Times New Roman"/>
        </w:rPr>
        <w:t xml:space="preserve">approve </w:t>
      </w:r>
      <w:r w:rsidR="00484610">
        <w:rPr>
          <w:rFonts w:ascii="Times New Roman" w:hAnsi="Times New Roman"/>
        </w:rPr>
        <w:t>its</w:t>
      </w:r>
      <w:r w:rsidRPr="004E5432">
        <w:rPr>
          <w:rFonts w:ascii="Times New Roman" w:hAnsi="Times New Roman"/>
        </w:rPr>
        <w:t xml:space="preserve"> Energy Efficiency and Conservation Plan (EE&amp;C Plan), which is designed to reduce energy consumption and demand in its service territory in accordance with the requirements of Act 129, 66 </w:t>
      </w:r>
      <w:proofErr w:type="spellStart"/>
      <w:r w:rsidRPr="004E5432">
        <w:rPr>
          <w:rFonts w:ascii="Times New Roman" w:hAnsi="Times New Roman"/>
        </w:rPr>
        <w:t>Pa.C.S.A</w:t>
      </w:r>
      <w:proofErr w:type="spellEnd"/>
      <w:r w:rsidRPr="004E5432">
        <w:rPr>
          <w:rFonts w:ascii="Times New Roman" w:hAnsi="Times New Roman"/>
        </w:rPr>
        <w:t>.§</w:t>
      </w:r>
      <w:r w:rsidR="00194F23">
        <w:rPr>
          <w:rFonts w:ascii="Times New Roman" w:hAnsi="Times New Roman"/>
        </w:rPr>
        <w:t xml:space="preserve"> </w:t>
      </w:r>
      <w:r w:rsidRPr="004E5432">
        <w:rPr>
          <w:rFonts w:ascii="Times New Roman" w:hAnsi="Times New Roman"/>
        </w:rPr>
        <w:t xml:space="preserve">2806.1, and </w:t>
      </w:r>
      <w:r w:rsidRPr="004E5432">
        <w:rPr>
          <w:rFonts w:ascii="Times New Roman" w:hAnsi="Times New Roman"/>
          <w:bCs/>
        </w:rPr>
        <w:t xml:space="preserve">the </w:t>
      </w:r>
      <w:r w:rsidRPr="008A5B08">
        <w:rPr>
          <w:rFonts w:ascii="Times New Roman" w:hAnsi="Times New Roman"/>
          <w:bCs/>
          <w:i/>
        </w:rPr>
        <w:t>Implementation Order</w:t>
      </w:r>
      <w:r w:rsidRPr="004E5432">
        <w:rPr>
          <w:rFonts w:ascii="Times New Roman" w:hAnsi="Times New Roman"/>
          <w:bCs/>
        </w:rPr>
        <w:t>.</w:t>
      </w:r>
    </w:p>
    <w:p w:rsidR="008A5B08" w:rsidRDefault="008A5B08" w:rsidP="008A5B08">
      <w:pPr>
        <w:spacing w:line="360" w:lineRule="auto"/>
        <w:rPr>
          <w:rFonts w:ascii="Times New Roman" w:hAnsi="Times New Roman"/>
          <w:bCs/>
        </w:rPr>
      </w:pPr>
    </w:p>
    <w:p w:rsidR="008A5B08" w:rsidRDefault="008A5B08" w:rsidP="008A5B08">
      <w:pPr>
        <w:spacing w:line="360" w:lineRule="auto"/>
        <w:rPr>
          <w:rFonts w:ascii="Times New Roman" w:hAnsi="Times New Roman"/>
          <w:bCs/>
        </w:rPr>
      </w:pPr>
      <w:r>
        <w:tab/>
      </w:r>
      <w:r>
        <w:tab/>
        <w:t xml:space="preserve">The </w:t>
      </w:r>
      <w:r w:rsidRPr="008A5B08">
        <w:rPr>
          <w:rFonts w:ascii="Times New Roman" w:hAnsi="Times New Roman"/>
          <w:bCs/>
          <w:i/>
        </w:rPr>
        <w:t>Implementation Order</w:t>
      </w:r>
      <w:r>
        <w:t xml:space="preserve"> requires publication of notice of the filing, which was accomplished on December 12, 2015, 45 Pa.B. </w:t>
      </w:r>
      <w:r w:rsidR="00B77565">
        <w:t xml:space="preserve">7078, </w:t>
      </w:r>
      <w:r>
        <w:t>and set</w:t>
      </w:r>
      <w:r w:rsidR="00484610">
        <w:t>s</w:t>
      </w:r>
      <w:r>
        <w:t xml:space="preserve"> a 20-day deadline for answers with comments and recommendations.  Hearings must be held before the 65</w:t>
      </w:r>
      <w:r w:rsidRPr="00F16D45">
        <w:rPr>
          <w:vertAlign w:val="superscript"/>
        </w:rPr>
        <w:t>th</w:t>
      </w:r>
      <w:r>
        <w:t xml:space="preserve"> day following the filing of the plan, and briefing is to be 10 days after the hearing.  The Company has </w:t>
      </w:r>
      <w:r w:rsidR="00194F23">
        <w:t>10</w:t>
      </w:r>
      <w:r>
        <w:t xml:space="preserve"> days</w:t>
      </w:r>
      <w:r w:rsidR="00484610">
        <w:t xml:space="preserve"> after the briefing date in which</w:t>
      </w:r>
      <w:r>
        <w:t xml:space="preserve"> to file a revised plan, reply comments or both</w:t>
      </w:r>
      <w:r w:rsidR="00484610">
        <w:t>.  After that deadline, the presiding officer must</w:t>
      </w:r>
      <w:r>
        <w:t xml:space="preserve"> certify the record to the Commission</w:t>
      </w:r>
      <w:r w:rsidR="00194F23">
        <w:t>’</w:t>
      </w:r>
      <w:r>
        <w:t xml:space="preserve">s Office of Special Assistants for preparation of a Commission order.  The Commission </w:t>
      </w:r>
      <w:r w:rsidR="005F49EA">
        <w:t>o</w:t>
      </w:r>
      <w:r>
        <w:t xml:space="preserve">rder approving or rejecting the plan, in </w:t>
      </w:r>
      <w:r>
        <w:lastRenderedPageBreak/>
        <w:t xml:space="preserve">full or in part, </w:t>
      </w:r>
      <w:r w:rsidR="00B77565">
        <w:t xml:space="preserve">is </w:t>
      </w:r>
      <w:r>
        <w:t>t</w:t>
      </w:r>
      <w:r w:rsidR="00B77565">
        <w:t>o</w:t>
      </w:r>
      <w:r>
        <w:t xml:space="preserve"> be adopted within 120 days of the filing of the plan, which from</w:t>
      </w:r>
      <w:r w:rsidR="008955CF">
        <w:t xml:space="preserve"> the</w:t>
      </w:r>
      <w:r>
        <w:t xml:space="preserve"> November 30</w:t>
      </w:r>
      <w:r w:rsidR="00194F23">
        <w:t>,</w:t>
      </w:r>
      <w:r w:rsidR="00ED0399">
        <w:rPr>
          <w:vertAlign w:val="superscript"/>
        </w:rPr>
        <w:t xml:space="preserve"> </w:t>
      </w:r>
      <w:r w:rsidR="00ED0399">
        <w:t xml:space="preserve">2015 </w:t>
      </w:r>
      <w:r w:rsidR="008955CF">
        <w:t xml:space="preserve">filing </w:t>
      </w:r>
      <w:r w:rsidR="00ED0399">
        <w:t>due date</w:t>
      </w:r>
      <w:r w:rsidR="008955CF">
        <w:t xml:space="preserve">, </w:t>
      </w:r>
      <w:r w:rsidR="00ED0399">
        <w:t>is March 31, 2016</w:t>
      </w:r>
      <w:r>
        <w:t xml:space="preserve">.  </w:t>
      </w:r>
    </w:p>
    <w:p w:rsidR="008A5B08" w:rsidRDefault="008A5B08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B77565" w:rsidRDefault="00ED039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On December 9</w:t>
      </w:r>
      <w:r w:rsidR="00B77565">
        <w:rPr>
          <w:rFonts w:ascii="Times New Roman" w:hAnsi="Times New Roman"/>
        </w:rPr>
        <w:t>, 2015,</w:t>
      </w:r>
      <w:r>
        <w:rPr>
          <w:rFonts w:ascii="Times New Roman" w:hAnsi="Times New Roman"/>
        </w:rPr>
        <w:t xml:space="preserve"> the Commission’s Office of Administrative Law Judge issue</w:t>
      </w:r>
      <w:r w:rsidR="00194F23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Call-In Telephone N</w:t>
      </w:r>
      <w:r w:rsidR="00B77565">
        <w:rPr>
          <w:rFonts w:ascii="Times New Roman" w:hAnsi="Times New Roman"/>
        </w:rPr>
        <w:t>otice for the prehear</w:t>
      </w:r>
      <w:r>
        <w:rPr>
          <w:rFonts w:ascii="Times New Roman" w:hAnsi="Times New Roman"/>
        </w:rPr>
        <w:t>ing conference set for January 6</w:t>
      </w:r>
      <w:r w:rsidR="00B77565">
        <w:rPr>
          <w:rFonts w:ascii="Times New Roman" w:hAnsi="Times New Roman"/>
        </w:rPr>
        <w:t xml:space="preserve">, 2016 and listed </w:t>
      </w:r>
      <w:r>
        <w:rPr>
          <w:rFonts w:ascii="Times New Roman" w:hAnsi="Times New Roman"/>
        </w:rPr>
        <w:t>the undersigned Administrative Law Judge (ALJ) as the assigned presiding officer.  On December 15</w:t>
      </w:r>
      <w:r w:rsidR="00B77565">
        <w:rPr>
          <w:rFonts w:ascii="Times New Roman" w:hAnsi="Times New Roman"/>
        </w:rPr>
        <w:t xml:space="preserve">, 2015, </w:t>
      </w:r>
      <w:r>
        <w:rPr>
          <w:rFonts w:ascii="Times New Roman" w:hAnsi="Times New Roman"/>
        </w:rPr>
        <w:t>the ALJ</w:t>
      </w:r>
      <w:r w:rsidR="00B77565">
        <w:rPr>
          <w:rFonts w:ascii="Times New Roman" w:hAnsi="Times New Roman"/>
        </w:rPr>
        <w:t xml:space="preserve"> issued a prehearing order which set forth some of the requirements for participation in a formal proceeding before the Commission, and which </w:t>
      </w:r>
      <w:r>
        <w:rPr>
          <w:rFonts w:ascii="Times New Roman" w:hAnsi="Times New Roman"/>
        </w:rPr>
        <w:t>required the parties to file prehearing memoranda on or before 12:00 p.m. on Tuesday, January 5, 2016.  By separate electronic mail to the parties on December 15, 2015, the presiding officer provided a litigation</w:t>
      </w:r>
      <w:r w:rsidR="00B77565">
        <w:rPr>
          <w:rFonts w:ascii="Times New Roman" w:hAnsi="Times New Roman"/>
        </w:rPr>
        <w:t xml:space="preserve"> schedule </w:t>
      </w:r>
      <w:r>
        <w:rPr>
          <w:rFonts w:ascii="Times New Roman" w:hAnsi="Times New Roman"/>
        </w:rPr>
        <w:t>which included the hearing date, and the date the hearing record would be certified to the Commission</w:t>
      </w:r>
      <w:r w:rsidR="00B77565">
        <w:rPr>
          <w:rFonts w:ascii="Times New Roman" w:hAnsi="Times New Roman"/>
        </w:rPr>
        <w:t xml:space="preserve">.  </w:t>
      </w:r>
    </w:p>
    <w:p w:rsidR="00534B14" w:rsidRDefault="00534B14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534B14" w:rsidRDefault="00ED039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On December 10</w:t>
      </w:r>
      <w:r w:rsidR="00534B14">
        <w:rPr>
          <w:rFonts w:ascii="Times New Roman" w:hAnsi="Times New Roman"/>
        </w:rPr>
        <w:t>, 2015, the Office of Consumer Advocate (OCA) filed its notice of intervention and public statement</w:t>
      </w:r>
      <w:r>
        <w:rPr>
          <w:rFonts w:ascii="Times New Roman" w:hAnsi="Times New Roman"/>
        </w:rPr>
        <w:t>.  On December 18, 2015</w:t>
      </w:r>
      <w:r w:rsidR="00534B14">
        <w:rPr>
          <w:rFonts w:ascii="Times New Roman" w:hAnsi="Times New Roman"/>
        </w:rPr>
        <w:t xml:space="preserve">, </w:t>
      </w:r>
      <w:r w:rsidR="00975A29">
        <w:rPr>
          <w:rFonts w:ascii="Times New Roman" w:hAnsi="Times New Roman"/>
        </w:rPr>
        <w:t xml:space="preserve">the </w:t>
      </w:r>
      <w:r w:rsidR="00534B14">
        <w:rPr>
          <w:rFonts w:ascii="Times New Roman" w:hAnsi="Times New Roman"/>
        </w:rPr>
        <w:t>Office of Small Business Advocate (OSBA) filed its notice of intervention, public statement and notice of appearance.</w:t>
      </w:r>
      <w:r w:rsidR="00534B14">
        <w:rPr>
          <w:rFonts w:ascii="Times New Roman" w:hAnsi="Times New Roman"/>
        </w:rPr>
        <w:tab/>
      </w:r>
    </w:p>
    <w:p w:rsidR="004D7D7B" w:rsidRDefault="004D7D7B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534B14" w:rsidRDefault="00ED039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date, Petitions to Intervene have been filed by: </w:t>
      </w:r>
      <w:r w:rsidR="00194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Coalition for Affordable Utility Services and Energy Efficiency in Pennsylvania (CAUSE-PA); </w:t>
      </w:r>
      <w:r w:rsidR="00534B14">
        <w:rPr>
          <w:rFonts w:ascii="Times New Roman" w:hAnsi="Times New Roman"/>
        </w:rPr>
        <w:t>Wal-Mart Stores East and Sam</w:t>
      </w:r>
      <w:r w:rsidR="00194F23">
        <w:rPr>
          <w:rFonts w:ascii="Times New Roman" w:hAnsi="Times New Roman"/>
        </w:rPr>
        <w:t>’</w:t>
      </w:r>
      <w:r w:rsidR="00534B14">
        <w:rPr>
          <w:rFonts w:ascii="Times New Roman" w:hAnsi="Times New Roman"/>
        </w:rPr>
        <w:t>s East, Inc. (Walmart)</w:t>
      </w:r>
      <w:r w:rsidR="0049436C">
        <w:rPr>
          <w:rFonts w:ascii="Times New Roman" w:hAnsi="Times New Roman"/>
        </w:rPr>
        <w:t>; Citizen Power, Inc. (CPI)</w:t>
      </w:r>
      <w:r w:rsidR="00510D3E">
        <w:rPr>
          <w:rFonts w:ascii="Times New Roman" w:hAnsi="Times New Roman"/>
        </w:rPr>
        <w:t>; and Duquesne Industrial Intervenors (DII)</w:t>
      </w:r>
      <w:r w:rsidR="0049436C">
        <w:rPr>
          <w:rFonts w:ascii="Times New Roman" w:hAnsi="Times New Roman"/>
        </w:rPr>
        <w:t>.</w:t>
      </w:r>
    </w:p>
    <w:p w:rsidR="0049436C" w:rsidRDefault="0049436C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49436C" w:rsidRDefault="0049436C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To date, comments have been filed by:</w:t>
      </w:r>
      <w:r w:rsidR="00194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OCA; Energy Efficiency for ALL (EEFA); </w:t>
      </w:r>
      <w:proofErr w:type="spellStart"/>
      <w:r>
        <w:rPr>
          <w:rFonts w:ascii="Times New Roman" w:hAnsi="Times New Roman"/>
        </w:rPr>
        <w:t>EnergyHub</w:t>
      </w:r>
      <w:proofErr w:type="spellEnd"/>
      <w:r>
        <w:rPr>
          <w:rFonts w:ascii="Times New Roman" w:hAnsi="Times New Roman"/>
        </w:rPr>
        <w:t>; DII; and joint commentators comprised of Pennsylvania’s Future, Sierra Club, Environmental Defense Fund and Clean Air Council (collectively, Penn Future</w:t>
      </w:r>
      <w:r w:rsidR="000C4D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et al).</w:t>
      </w:r>
    </w:p>
    <w:p w:rsidR="0049436C" w:rsidRDefault="0049436C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49436C" w:rsidRDefault="0049436C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Prehearing memoranda were filed by</w:t>
      </w:r>
      <w:r w:rsidR="00194F2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Walmart; CAUSE-PA; DII; OCA; Duquesne Light; Citizen Power; and OSBA.</w:t>
      </w:r>
    </w:p>
    <w:p w:rsidR="004D7D7B" w:rsidRDefault="004D7D7B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26523E" w:rsidRDefault="0026523E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prehearing conference was held as scheduled, with the following attorneys present:  on behalf of </w:t>
      </w:r>
      <w:r w:rsidR="00C46ABB">
        <w:rPr>
          <w:rFonts w:ascii="Times New Roman" w:hAnsi="Times New Roman"/>
        </w:rPr>
        <w:t>Duquesne Light</w:t>
      </w:r>
      <w:r>
        <w:rPr>
          <w:rFonts w:ascii="Times New Roman" w:hAnsi="Times New Roman"/>
        </w:rPr>
        <w:t xml:space="preserve">, </w:t>
      </w:r>
      <w:r w:rsidR="00C46ABB">
        <w:rPr>
          <w:rFonts w:ascii="Times New Roman" w:hAnsi="Times New Roman"/>
        </w:rPr>
        <w:t xml:space="preserve">Michael A. </w:t>
      </w:r>
      <w:proofErr w:type="spellStart"/>
      <w:r w:rsidR="00C46ABB">
        <w:rPr>
          <w:rFonts w:ascii="Times New Roman" w:hAnsi="Times New Roman"/>
        </w:rPr>
        <w:t>Gruin</w:t>
      </w:r>
      <w:proofErr w:type="spellEnd"/>
      <w:r>
        <w:rPr>
          <w:rFonts w:ascii="Times New Roman" w:hAnsi="Times New Roman"/>
        </w:rPr>
        <w:t xml:space="preserve">, Esq., </w:t>
      </w:r>
      <w:r w:rsidR="00510D3E">
        <w:rPr>
          <w:rFonts w:ascii="Times New Roman" w:hAnsi="Times New Roman"/>
        </w:rPr>
        <w:t xml:space="preserve">Linda Evers, Esq., </w:t>
      </w:r>
      <w:r w:rsidR="00510D3E">
        <w:rPr>
          <w:rFonts w:ascii="Times New Roman" w:hAnsi="Times New Roman"/>
        </w:rPr>
        <w:lastRenderedPageBreak/>
        <w:t>Elizabeth</w:t>
      </w:r>
      <w:r w:rsidR="00194F23">
        <w:rPr>
          <w:rFonts w:ascii="Times New Roman" w:hAnsi="Times New Roman"/>
        </w:rPr>
        <w:t> </w:t>
      </w:r>
      <w:r w:rsidR="00510D3E">
        <w:rPr>
          <w:rFonts w:ascii="Times New Roman" w:hAnsi="Times New Roman"/>
        </w:rPr>
        <w:t xml:space="preserve">Ware, Esq., Adrienne Kurtanich, Esq. and David </w:t>
      </w:r>
      <w:proofErr w:type="spellStart"/>
      <w:r w:rsidR="00510D3E">
        <w:rPr>
          <w:rFonts w:ascii="Times New Roman" w:hAnsi="Times New Roman"/>
        </w:rPr>
        <w:t>Defide</w:t>
      </w:r>
      <w:proofErr w:type="spellEnd"/>
      <w:r>
        <w:rPr>
          <w:rFonts w:ascii="Times New Roman" w:hAnsi="Times New Roman"/>
        </w:rPr>
        <w:t xml:space="preserve">; on behalf of OCA, </w:t>
      </w:r>
      <w:r w:rsidR="00C46ABB">
        <w:rPr>
          <w:rFonts w:ascii="Times New Roman" w:hAnsi="Times New Roman"/>
        </w:rPr>
        <w:t>Lauren M. Burge</w:t>
      </w:r>
      <w:r>
        <w:rPr>
          <w:rFonts w:ascii="Times New Roman" w:hAnsi="Times New Roman"/>
        </w:rPr>
        <w:t xml:space="preserve">, Esq.; on behalf of OSBA, Elizabeth Rose Triscari, Esq.; on behalf of Walmart, Barry A. </w:t>
      </w:r>
      <w:proofErr w:type="spellStart"/>
      <w:r>
        <w:rPr>
          <w:rFonts w:ascii="Times New Roman" w:hAnsi="Times New Roman"/>
        </w:rPr>
        <w:t>Naum</w:t>
      </w:r>
      <w:proofErr w:type="spellEnd"/>
      <w:r>
        <w:rPr>
          <w:rFonts w:ascii="Times New Roman" w:hAnsi="Times New Roman"/>
        </w:rPr>
        <w:t xml:space="preserve">, Esq.; on behalf of </w:t>
      </w:r>
      <w:r w:rsidR="00C46ABB">
        <w:rPr>
          <w:rFonts w:ascii="Times New Roman" w:hAnsi="Times New Roman"/>
        </w:rPr>
        <w:t>Citizen Power</w:t>
      </w:r>
      <w:r>
        <w:rPr>
          <w:rFonts w:ascii="Times New Roman" w:hAnsi="Times New Roman"/>
        </w:rPr>
        <w:t xml:space="preserve">, </w:t>
      </w:r>
      <w:r w:rsidR="00C46ABB">
        <w:rPr>
          <w:rFonts w:ascii="Times New Roman" w:hAnsi="Times New Roman"/>
        </w:rPr>
        <w:t>Theodore S. Robinson</w:t>
      </w:r>
      <w:r>
        <w:rPr>
          <w:rFonts w:ascii="Times New Roman" w:hAnsi="Times New Roman"/>
        </w:rPr>
        <w:t xml:space="preserve">, Esq.; on behalf of CAUSE-PA, </w:t>
      </w:r>
      <w:proofErr w:type="spellStart"/>
      <w:r w:rsidR="00510D3E">
        <w:rPr>
          <w:rFonts w:ascii="Times New Roman" w:hAnsi="Times New Roman"/>
        </w:rPr>
        <w:t>Joline</w:t>
      </w:r>
      <w:proofErr w:type="spellEnd"/>
      <w:r w:rsidR="00510D3E">
        <w:rPr>
          <w:rFonts w:ascii="Times New Roman" w:hAnsi="Times New Roman"/>
        </w:rPr>
        <w:t xml:space="preserve"> Price</w:t>
      </w:r>
      <w:r>
        <w:rPr>
          <w:rFonts w:ascii="Times New Roman" w:hAnsi="Times New Roman"/>
        </w:rPr>
        <w:t>, Esq.</w:t>
      </w:r>
      <w:r w:rsidR="00510D3E">
        <w:rPr>
          <w:rFonts w:ascii="Times New Roman" w:hAnsi="Times New Roman"/>
        </w:rPr>
        <w:t xml:space="preserve"> and Patrick Cicero, Esq.</w:t>
      </w:r>
      <w:r>
        <w:rPr>
          <w:rFonts w:ascii="Times New Roman" w:hAnsi="Times New Roman"/>
        </w:rPr>
        <w:t xml:space="preserve">; </w:t>
      </w:r>
      <w:r w:rsidR="00510D3E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on behalf of </w:t>
      </w:r>
      <w:r w:rsidR="00C46ABB">
        <w:rPr>
          <w:rFonts w:ascii="Times New Roman" w:hAnsi="Times New Roman"/>
        </w:rPr>
        <w:t>DII</w:t>
      </w:r>
      <w:r>
        <w:rPr>
          <w:rFonts w:ascii="Times New Roman" w:hAnsi="Times New Roman"/>
        </w:rPr>
        <w:t xml:space="preserve">, </w:t>
      </w:r>
      <w:r w:rsidR="00510D3E">
        <w:rPr>
          <w:rFonts w:ascii="Times New Roman" w:hAnsi="Times New Roman"/>
        </w:rPr>
        <w:t xml:space="preserve">Pamela </w:t>
      </w:r>
      <w:proofErr w:type="spellStart"/>
      <w:r w:rsidR="00510D3E">
        <w:rPr>
          <w:rFonts w:ascii="Times New Roman" w:hAnsi="Times New Roman"/>
        </w:rPr>
        <w:t>Polacek</w:t>
      </w:r>
      <w:proofErr w:type="spellEnd"/>
      <w:r w:rsidR="00510D3E">
        <w:rPr>
          <w:rFonts w:ascii="Times New Roman" w:hAnsi="Times New Roman"/>
        </w:rPr>
        <w:t xml:space="preserve">, Esq. and </w:t>
      </w:r>
      <w:proofErr w:type="spellStart"/>
      <w:r w:rsidR="00510D3E">
        <w:rPr>
          <w:rFonts w:ascii="Times New Roman" w:hAnsi="Times New Roman"/>
        </w:rPr>
        <w:t>Alye</w:t>
      </w:r>
      <w:proofErr w:type="spellEnd"/>
      <w:r w:rsidR="00510D3E">
        <w:rPr>
          <w:rFonts w:ascii="Times New Roman" w:hAnsi="Times New Roman"/>
        </w:rPr>
        <w:t xml:space="preserve"> </w:t>
      </w:r>
      <w:proofErr w:type="spellStart"/>
      <w:r w:rsidR="00510D3E">
        <w:rPr>
          <w:rFonts w:ascii="Times New Roman" w:hAnsi="Times New Roman"/>
        </w:rPr>
        <w:t>Hylander</w:t>
      </w:r>
      <w:proofErr w:type="spellEnd"/>
      <w:r w:rsidR="00510D3E">
        <w:rPr>
          <w:rFonts w:ascii="Times New Roman" w:hAnsi="Times New Roman"/>
        </w:rPr>
        <w:t>, Esq</w:t>
      </w:r>
      <w:r>
        <w:rPr>
          <w:rFonts w:ascii="Times New Roman" w:hAnsi="Times New Roman"/>
        </w:rPr>
        <w:t>.</w:t>
      </w:r>
    </w:p>
    <w:p w:rsidR="007964F9" w:rsidRDefault="007964F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parties agreed to shorten the discovery response time to </w:t>
      </w:r>
      <w:r w:rsidR="00510D3E">
        <w:rPr>
          <w:rFonts w:ascii="Times New Roman" w:hAnsi="Times New Roman"/>
        </w:rPr>
        <w:t xml:space="preserve">seven (7) calendar </w:t>
      </w:r>
      <w:r w:rsidR="004E36FE">
        <w:rPr>
          <w:rFonts w:ascii="Times New Roman" w:hAnsi="Times New Roman"/>
        </w:rPr>
        <w:t xml:space="preserve">days </w:t>
      </w:r>
      <w:r w:rsidR="00510D3E">
        <w:rPr>
          <w:rFonts w:ascii="Times New Roman" w:hAnsi="Times New Roman"/>
        </w:rPr>
        <w:t>for all discovery propounded after January 6, 2016</w:t>
      </w:r>
      <w:r>
        <w:rPr>
          <w:rFonts w:ascii="Times New Roman" w:hAnsi="Times New Roman"/>
        </w:rPr>
        <w:t xml:space="preserve">.  </w:t>
      </w:r>
      <w:r w:rsidR="00510D3E">
        <w:rPr>
          <w:rFonts w:ascii="Times New Roman" w:hAnsi="Times New Roman"/>
        </w:rPr>
        <w:t xml:space="preserve">In all other regards, the parties agreed to the other modifications suggested by Duquesne Light in its prehearing memorandum as listed in </w:t>
      </w:r>
      <w:r>
        <w:rPr>
          <w:rFonts w:ascii="Times New Roman" w:hAnsi="Times New Roman"/>
        </w:rPr>
        <w:t>the ordering paragraphs below.</w:t>
      </w:r>
    </w:p>
    <w:p w:rsidR="007964F9" w:rsidRDefault="007964F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parties agreed upon a litigation schedule, which is adopted in the ordering paragraphs below.  </w:t>
      </w:r>
      <w:r w:rsidR="00510D3E">
        <w:rPr>
          <w:rFonts w:ascii="Times New Roman" w:hAnsi="Times New Roman"/>
        </w:rPr>
        <w:t xml:space="preserve">The litigation schedule includes providing the parties with an opportunity to file briefs in this proceeding.  </w:t>
      </w:r>
      <w:r>
        <w:rPr>
          <w:rFonts w:ascii="Times New Roman" w:hAnsi="Times New Roman"/>
        </w:rPr>
        <w:t xml:space="preserve">While there is no requirement that the parties file briefs, those who do file briefs are required to follow </w:t>
      </w:r>
      <w:r w:rsidR="00510D3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common </w:t>
      </w:r>
      <w:r w:rsidR="00510D3E">
        <w:rPr>
          <w:rFonts w:ascii="Times New Roman" w:hAnsi="Times New Roman"/>
        </w:rPr>
        <w:t>briefing outline, attached to this Scheduling Order as Appendix A</w:t>
      </w:r>
      <w:r>
        <w:rPr>
          <w:rFonts w:ascii="Times New Roman" w:hAnsi="Times New Roman"/>
        </w:rPr>
        <w:t xml:space="preserve">.  Note that there is no requirement that all topics be addressed by all briefing parties, but the parties should adhere to the numbering in the common outline and indicate </w:t>
      </w:r>
      <w:r w:rsidR="00510D3E">
        <w:rPr>
          <w:rFonts w:ascii="Times New Roman" w:hAnsi="Times New Roman"/>
        </w:rPr>
        <w:t>when</w:t>
      </w:r>
      <w:r>
        <w:rPr>
          <w:rFonts w:ascii="Times New Roman" w:hAnsi="Times New Roman"/>
        </w:rPr>
        <w:t xml:space="preserve"> topics not addressed are skipped.</w:t>
      </w: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THEREFORE,</w:t>
      </w: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>IT IS ORDERED:</w:t>
      </w: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  That the petitions to intervene of the following parties are granted:  </w:t>
      </w:r>
      <w:r w:rsidR="00C46ABB">
        <w:rPr>
          <w:rFonts w:ascii="Times New Roman" w:hAnsi="Times New Roman"/>
        </w:rPr>
        <w:t>the Coalition for Affordable Utility Services and Energy Efficiency in Pennsylvania; Wal-Mart Stores East and Sam</w:t>
      </w:r>
      <w:r w:rsidR="00194F23">
        <w:rPr>
          <w:rFonts w:ascii="Times New Roman" w:hAnsi="Times New Roman"/>
        </w:rPr>
        <w:t>’</w:t>
      </w:r>
      <w:r w:rsidR="00C46ABB">
        <w:rPr>
          <w:rFonts w:ascii="Times New Roman" w:hAnsi="Times New Roman"/>
        </w:rPr>
        <w:t>s East, Inc.; Citizen Power, Inc. (CPI)</w:t>
      </w:r>
      <w:r w:rsidR="00510D3E">
        <w:rPr>
          <w:rFonts w:ascii="Times New Roman" w:hAnsi="Times New Roman"/>
        </w:rPr>
        <w:t xml:space="preserve"> and Duquesne Industrial Intervenors</w:t>
      </w:r>
      <w:r w:rsidR="00355847">
        <w:rPr>
          <w:rFonts w:ascii="Times New Roman" w:hAnsi="Times New Roman"/>
        </w:rPr>
        <w:t>.</w:t>
      </w:r>
    </w:p>
    <w:p w:rsidR="00355847" w:rsidRDefault="00355847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194F23" w:rsidRDefault="00194F23">
      <w:pPr>
        <w:autoSpaceDE/>
        <w:autoSpaceDN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5847" w:rsidRDefault="00355847" w:rsidP="00D10139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="00D10139">
        <w:rPr>
          <w:rFonts w:ascii="Times New Roman" w:hAnsi="Times New Roman"/>
        </w:rPr>
        <w:tab/>
      </w:r>
      <w:r>
        <w:rPr>
          <w:rFonts w:ascii="Times New Roman" w:hAnsi="Times New Roman"/>
        </w:rPr>
        <w:t>That the following litigation schedule is adopted:</w:t>
      </w:r>
    </w:p>
    <w:p w:rsidR="00355847" w:rsidRDefault="00355847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355847" w:rsidRPr="00297375" w:rsidRDefault="00355847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297375">
        <w:rPr>
          <w:rFonts w:ascii="Times New Roman" w:hAnsi="Times New Roman"/>
        </w:rPr>
        <w:tab/>
      </w:r>
      <w:r w:rsidRPr="00297375">
        <w:rPr>
          <w:rFonts w:ascii="Times New Roman" w:hAnsi="Times New Roman"/>
          <w:u w:val="single"/>
        </w:rPr>
        <w:t>Due Date</w:t>
      </w:r>
    </w:p>
    <w:p w:rsidR="00355847" w:rsidRPr="00510D3E" w:rsidRDefault="00297375" w:rsidP="00297375">
      <w:pPr>
        <w:tabs>
          <w:tab w:val="left" w:pos="2160"/>
          <w:tab w:val="left" w:pos="288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D3E" w:rsidRPr="00510D3E">
        <w:rPr>
          <w:rFonts w:ascii="Times New Roman" w:hAnsi="Times New Roman"/>
        </w:rPr>
        <w:t>Other parties</w:t>
      </w:r>
      <w:r>
        <w:rPr>
          <w:rFonts w:ascii="Times New Roman" w:hAnsi="Times New Roman"/>
        </w:rPr>
        <w:t>’</w:t>
      </w:r>
      <w:r w:rsidR="00510D3E" w:rsidRPr="00510D3E">
        <w:rPr>
          <w:rFonts w:ascii="Times New Roman" w:hAnsi="Times New Roman"/>
        </w:rPr>
        <w:t xml:space="preserve"> direct</w:t>
      </w:r>
      <w:r w:rsidR="00510D3E" w:rsidRPr="00510D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0D3E" w:rsidRPr="00510D3E">
        <w:rPr>
          <w:rFonts w:ascii="Times New Roman" w:hAnsi="Times New Roman"/>
        </w:rPr>
        <w:t>January 13</w:t>
      </w:r>
      <w:r w:rsidR="00355847" w:rsidRPr="00510D3E">
        <w:rPr>
          <w:rFonts w:ascii="Times New Roman" w:hAnsi="Times New Roman"/>
        </w:rPr>
        <w:t>, 2016</w:t>
      </w:r>
    </w:p>
    <w:p w:rsidR="00355847" w:rsidRPr="00510D3E" w:rsidRDefault="00297375" w:rsidP="00297375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D3E" w:rsidRPr="00510D3E">
        <w:rPr>
          <w:rFonts w:ascii="Times New Roman" w:hAnsi="Times New Roman"/>
        </w:rPr>
        <w:t>Rebuttal testimony</w:t>
      </w:r>
      <w:r w:rsidR="00510D3E" w:rsidRPr="00510D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0D3E" w:rsidRPr="00510D3E">
        <w:rPr>
          <w:rFonts w:ascii="Times New Roman" w:hAnsi="Times New Roman"/>
        </w:rPr>
        <w:t>January 21</w:t>
      </w:r>
      <w:r w:rsidR="00355847" w:rsidRPr="00510D3E">
        <w:rPr>
          <w:rFonts w:ascii="Times New Roman" w:hAnsi="Times New Roman"/>
        </w:rPr>
        <w:t>, 2016</w:t>
      </w:r>
    </w:p>
    <w:p w:rsidR="00355847" w:rsidRDefault="00297375" w:rsidP="00297375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D3E">
        <w:rPr>
          <w:rFonts w:ascii="Times New Roman" w:hAnsi="Times New Roman"/>
        </w:rPr>
        <w:t xml:space="preserve">Telephonic </w:t>
      </w:r>
      <w:r w:rsidR="00484610">
        <w:rPr>
          <w:rFonts w:ascii="Times New Roman" w:hAnsi="Times New Roman"/>
        </w:rPr>
        <w:t>Hearing</w:t>
      </w:r>
      <w:r w:rsidR="004846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610">
        <w:rPr>
          <w:rFonts w:ascii="Times New Roman" w:hAnsi="Times New Roman"/>
        </w:rPr>
        <w:t>January 26</w:t>
      </w:r>
      <w:r w:rsidR="00355847">
        <w:rPr>
          <w:rFonts w:ascii="Times New Roman" w:hAnsi="Times New Roman"/>
        </w:rPr>
        <w:t>, 2016</w:t>
      </w:r>
    </w:p>
    <w:p w:rsidR="00355847" w:rsidRDefault="00297375" w:rsidP="00297375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D3E">
        <w:rPr>
          <w:rFonts w:ascii="Times New Roman" w:hAnsi="Times New Roman"/>
        </w:rPr>
        <w:t>Main briefs</w:t>
      </w:r>
      <w:r w:rsidR="00510D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0D3E">
        <w:rPr>
          <w:rFonts w:ascii="Times New Roman" w:hAnsi="Times New Roman"/>
        </w:rPr>
        <w:t>February 5</w:t>
      </w:r>
      <w:r w:rsidR="00355847">
        <w:rPr>
          <w:rFonts w:ascii="Times New Roman" w:hAnsi="Times New Roman"/>
        </w:rPr>
        <w:t>, 2016</w:t>
      </w:r>
    </w:p>
    <w:p w:rsidR="00355847" w:rsidRDefault="00297375" w:rsidP="00297375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D3E">
        <w:rPr>
          <w:rFonts w:ascii="Times New Roman" w:hAnsi="Times New Roman"/>
        </w:rPr>
        <w:t>R</w:t>
      </w:r>
      <w:r w:rsidR="00484610">
        <w:rPr>
          <w:rFonts w:ascii="Times New Roman" w:hAnsi="Times New Roman"/>
        </w:rPr>
        <w:t>evised plan</w:t>
      </w:r>
      <w:r w:rsidR="00484610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484610">
        <w:rPr>
          <w:rFonts w:ascii="Times New Roman" w:hAnsi="Times New Roman"/>
        </w:rPr>
        <w:t>February 22</w:t>
      </w:r>
      <w:r w:rsidR="00355847">
        <w:rPr>
          <w:rFonts w:ascii="Times New Roman" w:hAnsi="Times New Roman"/>
        </w:rPr>
        <w:t>, 2016</w:t>
      </w:r>
    </w:p>
    <w:p w:rsidR="00355847" w:rsidRDefault="00297375" w:rsidP="00297375">
      <w:pPr>
        <w:tabs>
          <w:tab w:val="left" w:pos="2160"/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55847">
        <w:rPr>
          <w:rFonts w:ascii="Times New Roman" w:hAnsi="Times New Roman"/>
        </w:rPr>
        <w:t>Record ce</w:t>
      </w:r>
      <w:r w:rsidR="00484610">
        <w:rPr>
          <w:rFonts w:ascii="Times New Roman" w:hAnsi="Times New Roman"/>
        </w:rPr>
        <w:t>rtification</w:t>
      </w:r>
      <w:r w:rsidR="00484610">
        <w:rPr>
          <w:rFonts w:ascii="Times New Roman" w:hAnsi="Times New Roman"/>
        </w:rPr>
        <w:tab/>
      </w:r>
      <w:r w:rsidR="00510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84610">
        <w:rPr>
          <w:rFonts w:ascii="Times New Roman" w:hAnsi="Times New Roman"/>
        </w:rPr>
        <w:t>February 24</w:t>
      </w:r>
      <w:r w:rsidR="00355847">
        <w:rPr>
          <w:rFonts w:ascii="Times New Roman" w:hAnsi="Times New Roman"/>
        </w:rPr>
        <w:t>, 2016</w:t>
      </w:r>
    </w:p>
    <w:p w:rsidR="00355847" w:rsidRDefault="00355847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8D1C18" w:rsidRDefault="008D1C18" w:rsidP="00297375">
      <w:pPr>
        <w:ind w:firstLine="1440"/>
      </w:pPr>
      <w:r>
        <w:t>3.</w:t>
      </w:r>
      <w:r>
        <w:tab/>
        <w:t>That the Commission</w:t>
      </w:r>
      <w:r w:rsidR="00194F23">
        <w:t>’</w:t>
      </w:r>
      <w:r>
        <w:t>s regulations regarding discovery are modified as follows:</w:t>
      </w:r>
    </w:p>
    <w:p w:rsidR="008D1C18" w:rsidRDefault="008D1C18" w:rsidP="008D1C18"/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Answers </w:t>
      </w:r>
      <w:r w:rsidR="007D4C30">
        <w:t>to written interrogatories and r</w:t>
      </w:r>
      <w:r>
        <w:t xml:space="preserve">esponses to requests for production of documents must be served in-hand within 7 calendar days of service. </w:t>
      </w:r>
    </w:p>
    <w:p w:rsidR="007D4C30" w:rsidRDefault="007D4C30" w:rsidP="007D4C30">
      <w:pPr>
        <w:pStyle w:val="ListParagraph"/>
        <w:ind w:left="2220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>Objections to interrogatories must be communicated orally within 3 calendar days of service of the interrogatories.  Unresolved objections must be served within 5 calendar days of</w:t>
      </w:r>
      <w:r w:rsidR="007D4C30">
        <w:t xml:space="preserve"> service of the interrogatories.</w:t>
      </w:r>
    </w:p>
    <w:p w:rsidR="007D4C30" w:rsidRDefault="007D4C30" w:rsidP="007D4C30">
      <w:pPr>
        <w:spacing w:line="360" w:lineRule="auto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Motions to dismiss objections to interrogatories must be filed within 3 calendar days of service of the objections. </w:t>
      </w:r>
    </w:p>
    <w:p w:rsidR="007D4C30" w:rsidRDefault="007D4C30" w:rsidP="007D4C30">
      <w:pPr>
        <w:spacing w:line="360" w:lineRule="auto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Answers to motions to dismiss objections must be filed within 3 calendar days of service of the motion. </w:t>
      </w:r>
    </w:p>
    <w:p w:rsidR="007D4C30" w:rsidRDefault="007D4C30" w:rsidP="007D4C30">
      <w:pPr>
        <w:spacing w:line="360" w:lineRule="auto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Rulings on motions to dismiss objections will be issued, to the extent possible, within 7 calendar days of the filing of the motion. </w:t>
      </w:r>
    </w:p>
    <w:p w:rsidR="007D4C30" w:rsidRDefault="007D4C30" w:rsidP="007D4C30">
      <w:pPr>
        <w:spacing w:line="360" w:lineRule="auto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Any discovery requests served after 12:00 noon on a Friday will be deemed served on the following business day for purposes of calculating due dates. </w:t>
      </w:r>
    </w:p>
    <w:p w:rsidR="007D4C30" w:rsidRDefault="007D4C30" w:rsidP="007D4C30">
      <w:pPr>
        <w:spacing w:line="360" w:lineRule="auto"/>
      </w:pPr>
    </w:p>
    <w:p w:rsidR="00482E65" w:rsidRDefault="00482E65" w:rsidP="006E6756">
      <w:pPr>
        <w:pStyle w:val="ListParagraph"/>
        <w:numPr>
          <w:ilvl w:val="0"/>
          <w:numId w:val="4"/>
        </w:numPr>
        <w:ind w:left="2880" w:hanging="720"/>
      </w:pPr>
      <w:r>
        <w:t xml:space="preserve">All discovery due dates require “in-hand” service. </w:t>
      </w:r>
      <w:r w:rsidR="00194F23">
        <w:t xml:space="preserve"> </w:t>
      </w:r>
      <w:r>
        <w:t xml:space="preserve">Electronic service on the due date will satisfy the “in-hand” requirement, where such service is immediately followed by a hard copy sent via First Class U.S. Mail. </w:t>
      </w:r>
    </w:p>
    <w:p w:rsidR="006E6756" w:rsidRDefault="006E6756" w:rsidP="006E6756">
      <w:pPr>
        <w:pStyle w:val="ListParagraph"/>
        <w:ind w:left="2880"/>
      </w:pPr>
    </w:p>
    <w:p w:rsidR="00482E65" w:rsidRDefault="007D4C30" w:rsidP="006E6756">
      <w:pPr>
        <w:ind w:left="2880" w:hanging="720"/>
      </w:pPr>
      <w:r>
        <w:t>h</w:t>
      </w:r>
      <w:r w:rsidR="00482E65">
        <w:t>.</w:t>
      </w:r>
      <w:r w:rsidR="00482E65">
        <w:tab/>
        <w:t>Discovery-related pleadings, such as objections, motions, and answers to same, served on a Friday or any business day preceding a state holiday will be deemed served on the next business day.</w:t>
      </w:r>
    </w:p>
    <w:p w:rsidR="00355847" w:rsidRDefault="00355847" w:rsidP="00297375">
      <w:pPr>
        <w:spacing w:line="360" w:lineRule="auto"/>
      </w:pPr>
      <w:r>
        <w:tab/>
      </w:r>
    </w:p>
    <w:p w:rsidR="00355847" w:rsidRDefault="00355847" w:rsidP="008955CF">
      <w:pPr>
        <w:spacing w:line="360" w:lineRule="auto"/>
      </w:pPr>
      <w:r>
        <w:tab/>
      </w:r>
      <w:r>
        <w:tab/>
      </w:r>
      <w:r w:rsidR="006A05AD">
        <w:t>4</w:t>
      </w:r>
      <w:r>
        <w:t>.</w:t>
      </w:r>
      <w:r>
        <w:tab/>
        <w:t>That discovery disputes may be resolved via telephone conference with the presiding officer without need of a motion to compel, although the propounding party may choose to file a formal motion to compel.</w:t>
      </w:r>
    </w:p>
    <w:p w:rsidR="00355847" w:rsidRDefault="00355847" w:rsidP="008955CF">
      <w:pPr>
        <w:spacing w:line="360" w:lineRule="auto"/>
      </w:pPr>
    </w:p>
    <w:p w:rsidR="00355847" w:rsidRDefault="00355847" w:rsidP="008955CF">
      <w:pPr>
        <w:spacing w:line="360" w:lineRule="auto"/>
      </w:pPr>
      <w:r>
        <w:tab/>
      </w:r>
      <w:r>
        <w:tab/>
      </w:r>
      <w:r w:rsidR="006A05AD">
        <w:t>5</w:t>
      </w:r>
      <w:r>
        <w:t>.</w:t>
      </w:r>
      <w:r>
        <w:tab/>
        <w:t xml:space="preserve">Testimony shall be served but not filed.  </w:t>
      </w:r>
    </w:p>
    <w:p w:rsidR="00355847" w:rsidRDefault="00355847" w:rsidP="008955CF">
      <w:pPr>
        <w:spacing w:line="360" w:lineRule="auto"/>
        <w:ind w:left="720"/>
      </w:pPr>
    </w:p>
    <w:p w:rsidR="00355847" w:rsidRDefault="00355847" w:rsidP="008955CF">
      <w:pPr>
        <w:spacing w:line="360" w:lineRule="auto"/>
      </w:pPr>
      <w:r>
        <w:tab/>
      </w:r>
      <w:r>
        <w:tab/>
      </w:r>
      <w:r w:rsidR="006A05AD">
        <w:t>6</w:t>
      </w:r>
      <w:r>
        <w:t>.</w:t>
      </w:r>
      <w:r>
        <w:tab/>
      </w:r>
      <w:r w:rsidR="007D4C30">
        <w:t>On or before 9:00 a.m. on January 25, 2016</w:t>
      </w:r>
      <w:r>
        <w:t xml:space="preserve">, </w:t>
      </w:r>
      <w:r w:rsidR="00C46ABB">
        <w:t>Duquesne Light Company</w:t>
      </w:r>
      <w:r>
        <w:t xml:space="preserve"> shall provide a completed daily witness listing and cross-examination grid to the presiding officer.  Parties shall complete the daily witness listing and cross-examination grid as developed by </w:t>
      </w:r>
      <w:r w:rsidR="00C46ABB">
        <w:t>Petitioner</w:t>
      </w:r>
      <w:r>
        <w:t xml:space="preserve">.  </w:t>
      </w:r>
    </w:p>
    <w:p w:rsidR="008955CF" w:rsidRDefault="008955CF" w:rsidP="008955CF">
      <w:pPr>
        <w:spacing w:line="360" w:lineRule="auto"/>
      </w:pPr>
    </w:p>
    <w:p w:rsidR="008955CF" w:rsidRDefault="008955CF" w:rsidP="008955CF">
      <w:pPr>
        <w:spacing w:line="360" w:lineRule="auto"/>
      </w:pPr>
      <w:r>
        <w:tab/>
      </w:r>
      <w:r>
        <w:tab/>
      </w:r>
      <w:r w:rsidR="006A05AD">
        <w:t>7</w:t>
      </w:r>
      <w:r>
        <w:t>.</w:t>
      </w:r>
      <w:r>
        <w:tab/>
        <w:t xml:space="preserve">Briefs must comply with 52 </w:t>
      </w:r>
      <w:proofErr w:type="spellStart"/>
      <w:r>
        <w:t>Pa.Code</w:t>
      </w:r>
      <w:proofErr w:type="spellEnd"/>
      <w:r>
        <w:t xml:space="preserve"> §§ 5.501 and 5.502, and shall follow the common briefing outline, attached to this Scheduling Order as Appendix A.  The numb</w:t>
      </w:r>
      <w:r w:rsidR="00C46ABB">
        <w:t>ering for sections not addressed</w:t>
      </w:r>
      <w:r>
        <w:t xml:space="preserve"> by a party shall be included and marked as </w:t>
      </w:r>
      <w:r w:rsidR="00194F23">
        <w:t>“</w:t>
      </w:r>
      <w:r>
        <w:t>not addressed.</w:t>
      </w:r>
      <w:r w:rsidR="00194F23">
        <w:t xml:space="preserve">” </w:t>
      </w:r>
      <w:r>
        <w:t xml:space="preserve"> (For example:  </w:t>
      </w:r>
      <w:r w:rsidR="00194F23">
        <w:t>“</w:t>
      </w:r>
      <w:r>
        <w:t>V.A.2.  Not addressed.</w:t>
      </w:r>
      <w:r w:rsidR="00194F23">
        <w:t>”</w:t>
      </w:r>
      <w:r>
        <w:t>)</w:t>
      </w:r>
    </w:p>
    <w:p w:rsidR="008955CF" w:rsidRDefault="008955CF" w:rsidP="008955CF">
      <w:pPr>
        <w:spacing w:line="360" w:lineRule="auto"/>
      </w:pPr>
    </w:p>
    <w:p w:rsidR="008955CF" w:rsidRDefault="008955CF" w:rsidP="008955CF">
      <w:pPr>
        <w:spacing w:line="360" w:lineRule="auto"/>
      </w:pPr>
      <w:r>
        <w:tab/>
      </w:r>
      <w:r>
        <w:tab/>
      </w:r>
      <w:r w:rsidR="006A05AD">
        <w:t>8</w:t>
      </w:r>
      <w:r>
        <w:t>.</w:t>
      </w:r>
      <w:r>
        <w:tab/>
        <w:t xml:space="preserve">All parties are directed to comply with the provisions of 52 </w:t>
      </w:r>
      <w:proofErr w:type="spellStart"/>
      <w:r>
        <w:t>Pa.Code</w:t>
      </w:r>
      <w:proofErr w:type="spellEnd"/>
      <w:r>
        <w:t xml:space="preserve"> </w:t>
      </w:r>
    </w:p>
    <w:p w:rsidR="008955CF" w:rsidRDefault="008955CF" w:rsidP="008955CF">
      <w:pPr>
        <w:spacing w:line="360" w:lineRule="auto"/>
      </w:pPr>
      <w:r>
        <w:t>§ 5.243(e) which prohibits the introduction of evidence during rebuttal or surrebuttal which should have been included in the case-in-chief or which substantially varies from the case-in-chief, unless the evidence is introduced in support of a proposed settlement.</w:t>
      </w:r>
    </w:p>
    <w:p w:rsidR="008955CF" w:rsidRDefault="008955CF" w:rsidP="008955CF">
      <w:pPr>
        <w:spacing w:line="360" w:lineRule="auto"/>
      </w:pPr>
    </w:p>
    <w:p w:rsidR="00355847" w:rsidRDefault="008955CF" w:rsidP="008955CF">
      <w:pPr>
        <w:spacing w:line="360" w:lineRule="auto"/>
      </w:pPr>
      <w:r>
        <w:tab/>
      </w:r>
      <w:r>
        <w:tab/>
        <w:t xml:space="preserve"> </w:t>
      </w:r>
    </w:p>
    <w:p w:rsidR="00355847" w:rsidRDefault="00355847" w:rsidP="00355847">
      <w:pPr>
        <w:ind w:left="720"/>
      </w:pPr>
    </w:p>
    <w:p w:rsidR="00355847" w:rsidRDefault="00355847" w:rsidP="00355847">
      <w:r>
        <w:t>Date:</w:t>
      </w:r>
      <w:r w:rsidR="00297375">
        <w:t xml:space="preserve">  </w:t>
      </w:r>
      <w:r w:rsidR="00C46ABB">
        <w:rPr>
          <w:u w:val="single"/>
        </w:rPr>
        <w:t>January 7</w:t>
      </w:r>
      <w:r w:rsidR="008955CF">
        <w:rPr>
          <w:u w:val="single"/>
        </w:rPr>
        <w:t>, 2016</w:t>
      </w:r>
      <w:r>
        <w:tab/>
      </w:r>
      <w:r>
        <w:tab/>
      </w:r>
      <w:r>
        <w:tab/>
      </w:r>
      <w:r>
        <w:tab/>
        <w:t>__________________________________</w:t>
      </w:r>
    </w:p>
    <w:p w:rsidR="00355847" w:rsidRDefault="00355847" w:rsidP="0035584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ABB">
        <w:t>Katrina L. Dunderdale</w:t>
      </w:r>
    </w:p>
    <w:p w:rsidR="00355847" w:rsidRDefault="00355847" w:rsidP="00355847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355847" w:rsidRDefault="00355847" w:rsidP="00355847"/>
    <w:p w:rsidR="00355847" w:rsidRDefault="00355847" w:rsidP="007964F9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7964F9">
      <w:pPr>
        <w:tabs>
          <w:tab w:val="left" w:pos="468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B39B1" w:rsidRDefault="002B39B1" w:rsidP="002B39B1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b/>
        </w:rPr>
        <w:sectPr w:rsidR="002B39B1" w:rsidSect="008955CF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0782" w:rsidRDefault="00740782" w:rsidP="00740782">
      <w:pPr>
        <w:autoSpaceDE/>
        <w:autoSpaceDN/>
        <w:spacing w:line="360" w:lineRule="auto"/>
        <w:rPr>
          <w:rFonts w:ascii="Times New Roman" w:hAnsi="Times New Roman"/>
          <w:b/>
        </w:rPr>
      </w:pPr>
    </w:p>
    <w:p w:rsidR="007964F9" w:rsidRDefault="003E65AC" w:rsidP="002B39B1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APPENDIX A</w:t>
      </w:r>
    </w:p>
    <w:p w:rsidR="003E65AC" w:rsidRDefault="003E65AC" w:rsidP="003E65AC">
      <w:pPr>
        <w:tabs>
          <w:tab w:val="center" w:pos="4680"/>
        </w:tabs>
        <w:suppressAutoHyphens/>
        <w:spacing w:line="360" w:lineRule="auto"/>
        <w:ind w:firstLine="1440"/>
        <w:jc w:val="center"/>
        <w:rPr>
          <w:rFonts w:ascii="Times New Roman" w:hAnsi="Times New Roman"/>
          <w:b/>
        </w:rPr>
      </w:pPr>
    </w:p>
    <w:p w:rsidR="003E65AC" w:rsidRPr="00CA2023" w:rsidRDefault="003E65AC" w:rsidP="003E65AC">
      <w:pPr>
        <w:tabs>
          <w:tab w:val="left" w:pos="1440"/>
          <w:tab w:val="left" w:pos="4608"/>
        </w:tabs>
        <w:jc w:val="center"/>
        <w:rPr>
          <w:b/>
        </w:rPr>
      </w:pPr>
      <w:r w:rsidRPr="00CA2023">
        <w:rPr>
          <w:b/>
        </w:rPr>
        <w:t>Act 129</w:t>
      </w:r>
    </w:p>
    <w:p w:rsidR="003E65AC" w:rsidRPr="00CA2023" w:rsidRDefault="003E65AC" w:rsidP="003E65AC">
      <w:pPr>
        <w:tabs>
          <w:tab w:val="left" w:pos="1440"/>
          <w:tab w:val="left" w:pos="4608"/>
        </w:tabs>
        <w:jc w:val="center"/>
        <w:rPr>
          <w:b/>
          <w:u w:val="single"/>
        </w:rPr>
      </w:pPr>
      <w:r w:rsidRPr="00CA2023">
        <w:rPr>
          <w:b/>
          <w:u w:val="single"/>
        </w:rPr>
        <w:t>Generic Outline of Briefs</w:t>
      </w:r>
    </w:p>
    <w:p w:rsidR="003E65AC" w:rsidRDefault="003E65AC" w:rsidP="003E65AC">
      <w:pPr>
        <w:tabs>
          <w:tab w:val="left" w:pos="1440"/>
          <w:tab w:val="left" w:pos="4608"/>
        </w:tabs>
        <w:jc w:val="center"/>
        <w:rPr>
          <w:u w:val="single"/>
        </w:rPr>
      </w:pPr>
    </w:p>
    <w:p w:rsidR="003E65AC" w:rsidRPr="00CA2023" w:rsidRDefault="003E65AC" w:rsidP="003E65AC">
      <w:pPr>
        <w:tabs>
          <w:tab w:val="left" w:pos="1440"/>
          <w:tab w:val="left" w:pos="4608"/>
        </w:tabs>
        <w:jc w:val="center"/>
        <w:rPr>
          <w:b/>
        </w:rPr>
      </w:pPr>
    </w:p>
    <w:p w:rsidR="003E65AC" w:rsidRPr="00C367B3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rPr>
          <w:u w:val="single"/>
        </w:rPr>
      </w:pPr>
      <w:r>
        <w:t>Introduction</w:t>
      </w:r>
    </w:p>
    <w:p w:rsidR="003E65AC" w:rsidRDefault="003E65AC" w:rsidP="003E65AC">
      <w:pPr>
        <w:tabs>
          <w:tab w:val="left" w:pos="1440"/>
          <w:tab w:val="left" w:pos="4608"/>
        </w:tabs>
      </w:pPr>
    </w:p>
    <w:p w:rsidR="003E65AC" w:rsidRPr="00C367B3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rPr>
          <w:u w:val="single"/>
        </w:rPr>
      </w:pPr>
      <w:r>
        <w:t>Procedural History</w:t>
      </w:r>
    </w:p>
    <w:p w:rsidR="003E65AC" w:rsidRDefault="003E65AC" w:rsidP="003E65AC">
      <w:pPr>
        <w:tabs>
          <w:tab w:val="left" w:pos="1440"/>
          <w:tab w:val="left" w:pos="4608"/>
        </w:tabs>
        <w:rPr>
          <w:u w:val="single"/>
        </w:rPr>
      </w:pPr>
    </w:p>
    <w:p w:rsidR="003E65AC" w:rsidRPr="00C367B3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rPr>
          <w:u w:val="single"/>
        </w:rPr>
      </w:pPr>
      <w:r>
        <w:t>Description of EDC Plan</w:t>
      </w:r>
    </w:p>
    <w:p w:rsidR="003E65AC" w:rsidRDefault="003E65AC" w:rsidP="003E65AC">
      <w:pPr>
        <w:tabs>
          <w:tab w:val="left" w:pos="1440"/>
          <w:tab w:val="left" w:pos="4608"/>
        </w:tabs>
        <w:rPr>
          <w:u w:val="single"/>
        </w:rPr>
      </w:pPr>
    </w:p>
    <w:p w:rsidR="003E65AC" w:rsidRPr="003E65AC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spacing w:line="480" w:lineRule="auto"/>
        <w:ind w:left="734" w:hanging="187"/>
        <w:rPr>
          <w:u w:val="single"/>
        </w:rPr>
      </w:pPr>
      <w:r>
        <w:t>Legal Standards</w:t>
      </w:r>
    </w:p>
    <w:p w:rsidR="003E65AC" w:rsidRPr="00C367B3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spacing w:line="480" w:lineRule="auto"/>
        <w:ind w:left="734" w:hanging="187"/>
        <w:rPr>
          <w:u w:val="single"/>
        </w:rPr>
      </w:pPr>
      <w:r>
        <w:t>Summary of Argument</w:t>
      </w:r>
    </w:p>
    <w:p w:rsidR="003E65AC" w:rsidRDefault="003E65AC" w:rsidP="003E65AC">
      <w:pPr>
        <w:tabs>
          <w:tab w:val="left" w:pos="1440"/>
          <w:tab w:val="left" w:pos="4608"/>
        </w:tabs>
        <w:rPr>
          <w:u w:val="single"/>
        </w:rPr>
      </w:pPr>
    </w:p>
    <w:p w:rsidR="003E65AC" w:rsidRPr="00C367B3" w:rsidRDefault="003E65AC" w:rsidP="003E65AC">
      <w:pPr>
        <w:numPr>
          <w:ilvl w:val="0"/>
          <w:numId w:val="1"/>
        </w:numPr>
        <w:tabs>
          <w:tab w:val="left" w:pos="1440"/>
          <w:tab w:val="left" w:pos="4608"/>
        </w:tabs>
        <w:autoSpaceDE/>
        <w:autoSpaceDN/>
        <w:rPr>
          <w:u w:val="single"/>
        </w:rPr>
      </w:pPr>
      <w:r>
        <w:t>Argument</w:t>
      </w:r>
    </w:p>
    <w:p w:rsidR="003E65AC" w:rsidRDefault="003E65AC" w:rsidP="003E65AC">
      <w:pPr>
        <w:tabs>
          <w:tab w:val="left" w:pos="1440"/>
          <w:tab w:val="left" w:pos="4608"/>
        </w:tabs>
        <w:rPr>
          <w:u w:val="single"/>
        </w:rPr>
      </w:pPr>
    </w:p>
    <w:p w:rsidR="003E65AC" w:rsidRPr="00C367B3" w:rsidRDefault="003E65AC" w:rsidP="003E65AC">
      <w:pPr>
        <w:tabs>
          <w:tab w:val="left" w:pos="4608"/>
        </w:tabs>
        <w:ind w:left="900"/>
        <w:rPr>
          <w:u w:val="single"/>
        </w:rPr>
      </w:pPr>
      <w:r>
        <w:t>A. Act 129 Conservation and Demand Reduction Requirements</w:t>
      </w:r>
    </w:p>
    <w:p w:rsidR="003E65AC" w:rsidRDefault="003E65AC" w:rsidP="003E65AC">
      <w:pPr>
        <w:tabs>
          <w:tab w:val="left" w:pos="1440"/>
          <w:tab w:val="left" w:pos="4608"/>
        </w:tabs>
      </w:pPr>
    </w:p>
    <w:p w:rsidR="003E65AC" w:rsidRPr="00C367B3" w:rsidRDefault="003E65AC" w:rsidP="003E65AC">
      <w:pPr>
        <w:tabs>
          <w:tab w:val="left" w:pos="900"/>
          <w:tab w:val="left" w:pos="1440"/>
          <w:tab w:val="left" w:pos="4608"/>
        </w:tabs>
        <w:ind w:left="1170"/>
        <w:rPr>
          <w:u w:val="single"/>
        </w:rPr>
      </w:pPr>
      <w:r>
        <w:t>1.  Overall Conservation Requirements</w:t>
      </w:r>
    </w:p>
    <w:p w:rsidR="003E65AC" w:rsidRDefault="003E65AC" w:rsidP="003E65AC">
      <w:pPr>
        <w:tabs>
          <w:tab w:val="left" w:pos="1440"/>
          <w:tab w:val="left" w:pos="4608"/>
        </w:tabs>
      </w:pPr>
    </w:p>
    <w:p w:rsidR="003E65AC" w:rsidRDefault="003E65AC" w:rsidP="003E65AC">
      <w:pPr>
        <w:tabs>
          <w:tab w:val="left" w:pos="1170"/>
          <w:tab w:val="left" w:pos="4608"/>
        </w:tabs>
      </w:pPr>
      <w:r>
        <w:tab/>
        <w:t>2.  Overall Demand Reduction Requirements</w:t>
      </w:r>
    </w:p>
    <w:p w:rsidR="003E65AC" w:rsidRDefault="003E65AC" w:rsidP="003E65AC">
      <w:pPr>
        <w:tabs>
          <w:tab w:val="left" w:pos="1170"/>
          <w:tab w:val="left" w:pos="4608"/>
        </w:tabs>
      </w:pP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</w:pPr>
      <w:r>
        <w:t>Requirements for a Variety of Programs Equitably Distributed</w:t>
      </w:r>
    </w:p>
    <w:p w:rsidR="003E65AC" w:rsidRDefault="003E65AC" w:rsidP="003E65AC">
      <w:pPr>
        <w:tabs>
          <w:tab w:val="left" w:pos="1170"/>
          <w:tab w:val="left" w:pos="4608"/>
        </w:tabs>
      </w:pP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</w:pPr>
      <w:r>
        <w:t>Government/Non-Profit Requirement</w:t>
      </w:r>
    </w:p>
    <w:p w:rsidR="003E65AC" w:rsidRDefault="003E65AC" w:rsidP="003E65AC">
      <w:pPr>
        <w:tabs>
          <w:tab w:val="left" w:pos="1170"/>
          <w:tab w:val="left" w:pos="4608"/>
        </w:tabs>
      </w:pP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  <w:spacing w:line="480" w:lineRule="auto"/>
        <w:ind w:left="1526"/>
      </w:pPr>
      <w:r>
        <w:t>Low Income Program Requirements</w:t>
      </w: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  <w:spacing w:line="480" w:lineRule="auto"/>
        <w:ind w:left="1526"/>
      </w:pPr>
      <w:r>
        <w:t>Comprehensive Program Requirements</w:t>
      </w: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</w:pPr>
      <w:r>
        <w:t>Issues Relating to Individual Conservation and Demand Reduction Programs</w:t>
      </w:r>
    </w:p>
    <w:p w:rsidR="003E65AC" w:rsidRDefault="003E65AC" w:rsidP="003E65AC">
      <w:pPr>
        <w:tabs>
          <w:tab w:val="left" w:pos="1170"/>
          <w:tab w:val="left" w:pos="4608"/>
        </w:tabs>
      </w:pP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Residential</w:t>
      </w: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Commercial</w:t>
      </w: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Industrial</w:t>
      </w:r>
    </w:p>
    <w:p w:rsidR="003E65AC" w:rsidRDefault="003E65AC" w:rsidP="003E65AC">
      <w:pPr>
        <w:tabs>
          <w:tab w:val="left" w:pos="1170"/>
          <w:tab w:val="left" w:pos="4608"/>
        </w:tabs>
      </w:pPr>
    </w:p>
    <w:p w:rsidR="003E65AC" w:rsidRDefault="003E65AC" w:rsidP="003E65AC">
      <w:pPr>
        <w:numPr>
          <w:ilvl w:val="0"/>
          <w:numId w:val="2"/>
        </w:numPr>
        <w:tabs>
          <w:tab w:val="left" w:pos="1170"/>
          <w:tab w:val="left" w:pos="4608"/>
        </w:tabs>
        <w:autoSpaceDE/>
        <w:autoSpaceDN/>
      </w:pPr>
      <w:r>
        <w:t>Proposals for Improvement of EDC Plan</w:t>
      </w:r>
    </w:p>
    <w:p w:rsidR="003E65AC" w:rsidRDefault="003E65AC" w:rsidP="003E65AC">
      <w:pPr>
        <w:tabs>
          <w:tab w:val="left" w:pos="1170"/>
          <w:tab w:val="left" w:pos="4608"/>
        </w:tabs>
        <w:ind w:left="1170"/>
      </w:pP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Residential</w:t>
      </w: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Commercial</w:t>
      </w:r>
    </w:p>
    <w:p w:rsidR="003E65AC" w:rsidRDefault="003E65AC" w:rsidP="003E65AC">
      <w:pPr>
        <w:numPr>
          <w:ilvl w:val="1"/>
          <w:numId w:val="2"/>
        </w:numPr>
        <w:tabs>
          <w:tab w:val="left" w:pos="1170"/>
          <w:tab w:val="left" w:pos="1980"/>
          <w:tab w:val="left" w:pos="4608"/>
        </w:tabs>
        <w:autoSpaceDE/>
        <w:autoSpaceDN/>
        <w:ind w:hanging="630"/>
      </w:pPr>
      <w:r>
        <w:t>Industrial</w:t>
      </w:r>
    </w:p>
    <w:p w:rsidR="003E65AC" w:rsidRDefault="003E65AC" w:rsidP="003E65AC">
      <w:pPr>
        <w:numPr>
          <w:ilvl w:val="0"/>
          <w:numId w:val="3"/>
        </w:numPr>
        <w:tabs>
          <w:tab w:val="left" w:pos="900"/>
          <w:tab w:val="left" w:pos="1440"/>
          <w:tab w:val="left" w:pos="4608"/>
        </w:tabs>
        <w:autoSpaceDE/>
        <w:autoSpaceDN/>
      </w:pPr>
      <w:bookmarkStart w:id="0" w:name="_GoBack"/>
      <w:bookmarkEnd w:id="0"/>
      <w:r>
        <w:lastRenderedPageBreak/>
        <w:t>Cost Issues</w:t>
      </w:r>
    </w:p>
    <w:p w:rsidR="003E65AC" w:rsidRDefault="003E65AC" w:rsidP="003E65AC">
      <w:pPr>
        <w:tabs>
          <w:tab w:val="left" w:pos="900"/>
          <w:tab w:val="left" w:pos="1440"/>
          <w:tab w:val="left" w:pos="4608"/>
        </w:tabs>
      </w:pPr>
    </w:p>
    <w:p w:rsidR="003E65AC" w:rsidRDefault="003E65AC" w:rsidP="003E65AC">
      <w:pPr>
        <w:tabs>
          <w:tab w:val="left" w:pos="900"/>
          <w:tab w:val="left" w:pos="1440"/>
          <w:tab w:val="left" w:pos="1530"/>
          <w:tab w:val="left" w:pos="4608"/>
        </w:tabs>
        <w:ind w:left="1620" w:hanging="360"/>
      </w:pPr>
      <w:r>
        <w:t>1.  Plan Cost Issues</w:t>
      </w:r>
    </w:p>
    <w:p w:rsidR="003E65AC" w:rsidRDefault="003E65AC" w:rsidP="003E65AC">
      <w:pPr>
        <w:tabs>
          <w:tab w:val="left" w:pos="900"/>
          <w:tab w:val="left" w:pos="1440"/>
          <w:tab w:val="left" w:pos="1530"/>
          <w:tab w:val="left" w:pos="4608"/>
        </w:tabs>
      </w:pPr>
    </w:p>
    <w:p w:rsidR="003E65AC" w:rsidRDefault="003E65AC" w:rsidP="003E65AC">
      <w:pPr>
        <w:tabs>
          <w:tab w:val="left" w:pos="900"/>
          <w:tab w:val="left" w:pos="1260"/>
          <w:tab w:val="left" w:pos="4608"/>
        </w:tabs>
        <w:ind w:left="1260"/>
      </w:pPr>
      <w:r>
        <w:t>2.  Cost Effectiveness/Cost-Benefit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tabs>
          <w:tab w:val="left" w:pos="900"/>
          <w:tab w:val="left" w:pos="1530"/>
          <w:tab w:val="left" w:pos="4608"/>
        </w:tabs>
        <w:ind w:left="1620" w:hanging="360"/>
      </w:pPr>
      <w:r>
        <w:t>3.  Cost Allocation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  <w:ind w:hanging="360"/>
      </w:pPr>
    </w:p>
    <w:p w:rsidR="003E65AC" w:rsidRDefault="003E65AC" w:rsidP="003E65AC">
      <w:pPr>
        <w:tabs>
          <w:tab w:val="left" w:pos="900"/>
          <w:tab w:val="left" w:pos="1530"/>
          <w:tab w:val="left" w:pos="4608"/>
        </w:tabs>
        <w:ind w:left="1620" w:hanging="360"/>
      </w:pPr>
      <w:r>
        <w:t>4.  Cost Recovery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  <w:ind w:left="1620" w:hanging="360"/>
      </w:pPr>
    </w:p>
    <w:p w:rsidR="003E65AC" w:rsidRDefault="003E65AC" w:rsidP="003E65AC">
      <w:pPr>
        <w:numPr>
          <w:ilvl w:val="0"/>
          <w:numId w:val="3"/>
        </w:numPr>
        <w:tabs>
          <w:tab w:val="left" w:pos="900"/>
          <w:tab w:val="left" w:pos="1530"/>
          <w:tab w:val="left" w:pos="4608"/>
        </w:tabs>
        <w:autoSpaceDE/>
        <w:autoSpaceDN/>
      </w:pPr>
      <w:r>
        <w:t>CSP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0"/>
          <w:numId w:val="3"/>
        </w:numPr>
        <w:tabs>
          <w:tab w:val="left" w:pos="900"/>
          <w:tab w:val="left" w:pos="1530"/>
          <w:tab w:val="left" w:pos="4608"/>
        </w:tabs>
        <w:autoSpaceDE/>
        <w:autoSpaceDN/>
      </w:pPr>
      <w:r>
        <w:t>Implementation and Evaluation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1"/>
          <w:numId w:val="3"/>
        </w:numPr>
        <w:tabs>
          <w:tab w:val="left" w:pos="900"/>
          <w:tab w:val="left" w:pos="1530"/>
          <w:tab w:val="left" w:pos="4608"/>
        </w:tabs>
        <w:autoSpaceDE/>
        <w:autoSpaceDN/>
      </w:pPr>
      <w:r>
        <w:t>Implementation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1"/>
          <w:numId w:val="3"/>
        </w:numPr>
        <w:tabs>
          <w:tab w:val="left" w:pos="900"/>
          <w:tab w:val="left" w:pos="1260"/>
          <w:tab w:val="left" w:pos="1530"/>
          <w:tab w:val="left" w:pos="4608"/>
        </w:tabs>
        <w:autoSpaceDE/>
        <w:autoSpaceDN/>
        <w:spacing w:line="360" w:lineRule="auto"/>
      </w:pPr>
      <w:r>
        <w:t>QA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1"/>
          <w:numId w:val="3"/>
        </w:numPr>
        <w:tabs>
          <w:tab w:val="left" w:pos="900"/>
          <w:tab w:val="left" w:pos="1260"/>
          <w:tab w:val="left" w:pos="1530"/>
          <w:tab w:val="left" w:pos="4608"/>
        </w:tabs>
        <w:autoSpaceDE/>
        <w:autoSpaceDN/>
      </w:pPr>
      <w:r>
        <w:t>Monitoring and Reporting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1"/>
          <w:numId w:val="3"/>
        </w:numPr>
        <w:tabs>
          <w:tab w:val="left" w:pos="900"/>
          <w:tab w:val="left" w:pos="1260"/>
          <w:tab w:val="left" w:pos="1530"/>
          <w:tab w:val="left" w:pos="4608"/>
        </w:tabs>
        <w:autoSpaceDE/>
        <w:autoSpaceDN/>
      </w:pPr>
      <w:r>
        <w:t>Evaluation Issues</w:t>
      </w:r>
    </w:p>
    <w:p w:rsidR="003E65AC" w:rsidRDefault="003E65AC" w:rsidP="003E65AC">
      <w:pPr>
        <w:tabs>
          <w:tab w:val="left" w:pos="900"/>
          <w:tab w:val="left" w:pos="1530"/>
          <w:tab w:val="left" w:pos="4608"/>
        </w:tabs>
      </w:pPr>
    </w:p>
    <w:p w:rsidR="003E65AC" w:rsidRDefault="003E65AC" w:rsidP="003E65AC">
      <w:pPr>
        <w:numPr>
          <w:ilvl w:val="0"/>
          <w:numId w:val="3"/>
        </w:numPr>
        <w:tabs>
          <w:tab w:val="left" w:pos="900"/>
          <w:tab w:val="left" w:pos="1530"/>
          <w:tab w:val="left" w:pos="4608"/>
        </w:tabs>
        <w:autoSpaceDE/>
        <w:autoSpaceDN/>
      </w:pPr>
      <w:r>
        <w:t>Other Issues</w:t>
      </w:r>
    </w:p>
    <w:p w:rsidR="003E65AC" w:rsidRDefault="003E65AC" w:rsidP="003E65AC">
      <w:pPr>
        <w:tabs>
          <w:tab w:val="left" w:pos="900"/>
          <w:tab w:val="left" w:pos="1260"/>
          <w:tab w:val="left" w:pos="1530"/>
          <w:tab w:val="left" w:pos="4608"/>
        </w:tabs>
        <w:ind w:left="900"/>
      </w:pPr>
    </w:p>
    <w:p w:rsidR="003E65AC" w:rsidRDefault="003E65AC" w:rsidP="003E65AC">
      <w:pPr>
        <w:numPr>
          <w:ilvl w:val="0"/>
          <w:numId w:val="1"/>
        </w:numPr>
        <w:tabs>
          <w:tab w:val="left" w:pos="1260"/>
          <w:tab w:val="left" w:pos="1530"/>
          <w:tab w:val="left" w:pos="4608"/>
        </w:tabs>
        <w:autoSpaceDE/>
        <w:autoSpaceDN/>
      </w:pPr>
      <w:r>
        <w:t>Conclusion</w:t>
      </w:r>
    </w:p>
    <w:p w:rsidR="003E65AC" w:rsidRDefault="003E65AC" w:rsidP="003E65AC">
      <w:pPr>
        <w:tabs>
          <w:tab w:val="left" w:pos="720"/>
          <w:tab w:val="left" w:pos="1260"/>
          <w:tab w:val="left" w:pos="1530"/>
          <w:tab w:val="left" w:pos="4608"/>
        </w:tabs>
      </w:pPr>
    </w:p>
    <w:p w:rsidR="003E65AC" w:rsidRDefault="003E65AC" w:rsidP="003E65AC">
      <w:pPr>
        <w:numPr>
          <w:ilvl w:val="0"/>
          <w:numId w:val="1"/>
        </w:numPr>
        <w:tabs>
          <w:tab w:val="left" w:pos="1260"/>
          <w:tab w:val="left" w:pos="1530"/>
          <w:tab w:val="left" w:pos="4608"/>
        </w:tabs>
        <w:autoSpaceDE/>
        <w:autoSpaceDN/>
      </w:pPr>
      <w:r>
        <w:t xml:space="preserve"> Proposed Ordering Paragraphs</w:t>
      </w:r>
    </w:p>
    <w:p w:rsidR="003E65AC" w:rsidRDefault="003E65AC" w:rsidP="003E65AC">
      <w:pPr>
        <w:tabs>
          <w:tab w:val="left" w:pos="900"/>
          <w:tab w:val="left" w:pos="1260"/>
          <w:tab w:val="left" w:pos="1530"/>
          <w:tab w:val="left" w:pos="4608"/>
        </w:tabs>
      </w:pPr>
    </w:p>
    <w:p w:rsidR="003E65AC" w:rsidRDefault="003E65AC" w:rsidP="003E65AC"/>
    <w:p w:rsidR="003E65AC" w:rsidRPr="003E65AC" w:rsidRDefault="003E65AC" w:rsidP="003E65AC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7964F9" w:rsidRDefault="007964F9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7D7B" w:rsidRDefault="004D7D7B" w:rsidP="004D7D7B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77565" w:rsidRDefault="00B77565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B77565" w:rsidRPr="004E5432" w:rsidRDefault="00B77565" w:rsidP="008A5B08">
      <w:pPr>
        <w:tabs>
          <w:tab w:val="center" w:pos="4680"/>
        </w:tabs>
        <w:suppressAutoHyphens/>
        <w:spacing w:line="360" w:lineRule="auto"/>
        <w:ind w:firstLine="1440"/>
        <w:rPr>
          <w:rFonts w:ascii="Times New Roman" w:hAnsi="Times New Roman"/>
        </w:rPr>
      </w:pPr>
    </w:p>
    <w:p w:rsidR="00817D8E" w:rsidRDefault="008A5B08" w:rsidP="008A5B08">
      <w:pPr>
        <w:rPr>
          <w:rFonts w:ascii="Times New Roman" w:hAnsi="Times New Roman"/>
        </w:rPr>
      </w:pPr>
      <w:r w:rsidRPr="004E5432">
        <w:rPr>
          <w:rFonts w:ascii="Times New Roman" w:hAnsi="Times New Roman"/>
        </w:rPr>
        <w:t xml:space="preserve">  </w:t>
      </w:r>
    </w:p>
    <w:p w:rsidR="00817D8E" w:rsidRDefault="00817D8E">
      <w:pPr>
        <w:autoSpaceDE/>
        <w:autoSpaceDN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7D8E" w:rsidRDefault="00817D8E" w:rsidP="00817D8E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M-2015-2515375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PETITION OF DUQUESNE LIGHT</w:t>
      </w:r>
      <w:r w:rsidRPr="00DE1E36">
        <w:rPr>
          <w:rFonts w:ascii="Microsoft Sans Serif"/>
          <w:b/>
          <w:u w:val="single"/>
        </w:rPr>
        <w:t xml:space="preserve"> CO</w:t>
      </w:r>
      <w:r>
        <w:rPr>
          <w:rFonts w:ascii="Microsoft Sans Serif"/>
          <w:b/>
          <w:u w:val="single"/>
        </w:rPr>
        <w:t>MPANY</w:t>
      </w:r>
      <w:r w:rsidRPr="00DE1E36">
        <w:rPr>
          <w:rFonts w:ascii="Microsoft Sans Serif"/>
          <w:b/>
          <w:u w:val="single"/>
        </w:rPr>
        <w:t xml:space="preserve"> </w:t>
      </w:r>
      <w:r>
        <w:rPr>
          <w:rFonts w:ascii="Microsoft Sans Serif"/>
          <w:b/>
          <w:u w:val="single"/>
        </w:rPr>
        <w:t xml:space="preserve">- </w:t>
      </w:r>
      <w:r w:rsidRPr="00DE1E36">
        <w:rPr>
          <w:rFonts w:ascii="Microsoft Sans Serif"/>
          <w:b/>
          <w:u w:val="single"/>
        </w:rPr>
        <w:t xml:space="preserve">FOR APPROVAL OF ITS ACT 129 PHASE III ENERGY EFFICIENCY AND CONSERVATION PLAN </w:t>
      </w:r>
      <w:r>
        <w:rPr>
          <w:rFonts w:ascii="Microsoft Sans Serif"/>
          <w:b/>
          <w:u w:val="single"/>
        </w:rPr>
        <w:cr/>
      </w:r>
    </w:p>
    <w:p w:rsidR="00817D8E" w:rsidRPr="002D025B" w:rsidRDefault="00817D8E" w:rsidP="00817D8E">
      <w:pPr>
        <w:rPr>
          <w:rFonts w:ascii="Microsoft Sans Serif"/>
          <w:b/>
          <w:i/>
        </w:rPr>
      </w:pPr>
      <w:r w:rsidRPr="002D025B">
        <w:rPr>
          <w:rFonts w:ascii="Microsoft Sans Serif"/>
          <w:b/>
          <w:i/>
        </w:rPr>
        <w:t>(Revised 1/</w:t>
      </w:r>
      <w:r>
        <w:rPr>
          <w:rFonts w:ascii="Microsoft Sans Serif"/>
          <w:b/>
          <w:i/>
        </w:rPr>
        <w:t>7</w:t>
      </w:r>
      <w:r w:rsidRPr="002D025B">
        <w:rPr>
          <w:rFonts w:ascii="Microsoft Sans Serif"/>
          <w:b/>
          <w:i/>
        </w:rPr>
        <w:t>/1</w:t>
      </w:r>
      <w:r>
        <w:rPr>
          <w:rFonts w:ascii="Microsoft Sans Serif"/>
          <w:b/>
          <w:i/>
        </w:rPr>
        <w:t>6</w:t>
      </w:r>
      <w:r w:rsidRPr="002D025B">
        <w:rPr>
          <w:rFonts w:ascii="Microsoft Sans Serif"/>
          <w:b/>
          <w:i/>
        </w:rPr>
        <w:t>)</w:t>
      </w:r>
    </w:p>
    <w:p w:rsidR="00817D8E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  <w:sectPr w:rsidR="00817D8E" w:rsidSect="008955CF"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lastRenderedPageBreak/>
        <w:t>ROBERT HOAGLUND ESQUIRE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ADRIENNE KURTANICH ESQUIRE</w:t>
      </w:r>
    </w:p>
    <w:p w:rsidR="00817D8E" w:rsidRDefault="00817D8E" w:rsidP="00817D8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DUQUESNE LIGHT COMPANY</w:t>
      </w:r>
      <w:r>
        <w:rPr>
          <w:rFonts w:ascii="Microsoft Sans Serif"/>
        </w:rPr>
        <w:cr/>
        <w:t>411 SEVENTH AVE 16</w:t>
      </w:r>
      <w:r w:rsidRPr="00DE1E36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  <w:r>
        <w:rPr>
          <w:rFonts w:ascii="Microsoft Sans Serif"/>
        </w:rPr>
        <w:cr/>
        <w:t>PITTSBURGH PA  15228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412-393-1058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17D8E" w:rsidRPr="004D5763" w:rsidRDefault="00817D8E" w:rsidP="00817D8E">
      <w:pPr>
        <w:rPr>
          <w:rFonts w:ascii="Microsoft Sans Serif"/>
          <w:b/>
          <w:i/>
          <w:u w:val="single"/>
        </w:rPr>
      </w:pPr>
    </w:p>
    <w:p w:rsidR="00817D8E" w:rsidRDefault="00817D8E" w:rsidP="00817D8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LINDA R EVERS ESQUIRE</w:t>
      </w:r>
      <w:r>
        <w:rPr>
          <w:rFonts w:ascii="Microsoft Sans Serif"/>
        </w:rPr>
        <w:cr/>
        <w:t>STEVENS &amp; LEE PC</w:t>
      </w:r>
      <w:r>
        <w:rPr>
          <w:rFonts w:ascii="Microsoft Sans Serif"/>
        </w:rPr>
        <w:cr/>
        <w:t>111 N SIXTH STREET</w:t>
      </w:r>
      <w:r>
        <w:rPr>
          <w:rFonts w:ascii="Microsoft Sans Serif"/>
        </w:rPr>
        <w:cr/>
        <w:t>PO BOX 679</w:t>
      </w:r>
      <w:r>
        <w:rPr>
          <w:rFonts w:ascii="Microsoft Sans Serif"/>
        </w:rPr>
        <w:cr/>
        <w:t>READING PA  19603-0679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610-478-2175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17D8E" w:rsidRPr="004D5763" w:rsidRDefault="00817D8E" w:rsidP="00817D8E">
      <w:pPr>
        <w:rPr>
          <w:rFonts w:ascii="Microsoft Sans Serif"/>
          <w:b/>
          <w:i/>
          <w:u w:val="single"/>
        </w:r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MICHAEL A GRUIN ESQUIRE</w:t>
      </w:r>
      <w:r>
        <w:rPr>
          <w:rFonts w:ascii="Microsoft Sans Serif"/>
        </w:rPr>
        <w:cr/>
        <w:t>STEVENS &amp; LEE PC</w:t>
      </w:r>
    </w:p>
    <w:p w:rsidR="00817D8E" w:rsidRDefault="00817D8E" w:rsidP="00817D8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16</w:t>
      </w:r>
      <w:r w:rsidRPr="00DE1E36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FLOOR</w:t>
      </w:r>
      <w:r>
        <w:rPr>
          <w:rFonts w:ascii="Microsoft Sans Serif"/>
        </w:rPr>
        <w:cr/>
        <w:t xml:space="preserve">17 NORTH SECOND </w:t>
      </w:r>
      <w:proofErr w:type="gramStart"/>
      <w:r>
        <w:rPr>
          <w:rFonts w:ascii="Microsoft Sans Serif"/>
        </w:rPr>
        <w:t>STREET</w:t>
      </w:r>
      <w:proofErr w:type="gramEnd"/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717-255-7365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17D8E" w:rsidRPr="004D5763" w:rsidRDefault="00817D8E" w:rsidP="00817D8E">
      <w:pPr>
        <w:rPr>
          <w:rFonts w:ascii="Microsoft Sans Serif"/>
          <w:b/>
          <w:i/>
          <w:u w:val="single"/>
        </w:r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LAUREN M BURGE ESQUIRE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DARRYL A LAWRENCE ESQUIRE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OFFICE OF CONSUMER ADVOCATE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555 WALNUT STREET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5</w:t>
      </w:r>
      <w:r w:rsidRPr="003A06D3">
        <w:rPr>
          <w:rFonts w:ascii="Microsoft Sans Serif"/>
          <w:vertAlign w:val="superscript"/>
        </w:rPr>
        <w:t>TH</w:t>
      </w:r>
      <w:r w:rsidRPr="003A06D3">
        <w:rPr>
          <w:rFonts w:ascii="Microsoft Sans Serif"/>
        </w:rPr>
        <w:t xml:space="preserve"> FLOOR FORUM PLACE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HARRISBURG PA  17101-1932</w:t>
      </w:r>
    </w:p>
    <w:p w:rsidR="00817D8E" w:rsidRPr="003A06D3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 xml:space="preserve">ELIZABETH ROSE 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TRISCARI ESQUIRE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OFFICE OF SMALL BUSINESS ADVOCATE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300 NORTH 2</w:t>
      </w:r>
      <w:r w:rsidRPr="003A06D3">
        <w:rPr>
          <w:rFonts w:ascii="Microsoft Sans Serif"/>
          <w:vertAlign w:val="superscript"/>
        </w:rPr>
        <w:t>ND</w:t>
      </w:r>
      <w:r w:rsidRPr="003A06D3">
        <w:rPr>
          <w:rFonts w:ascii="Microsoft Sans Serif"/>
        </w:rPr>
        <w:t xml:space="preserve"> STREET SUITE 202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HARRISBURG PA  17101</w:t>
      </w:r>
    </w:p>
    <w:p w:rsidR="00817D8E" w:rsidRPr="003A06D3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lastRenderedPageBreak/>
        <w:t>PA PUBLIC UTILITY COMMISSION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BUREAU OF INVESTIGATION &amp; ENFORCEMENT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PO BOX 3265</w:t>
      </w:r>
    </w:p>
    <w:p w:rsidR="00817D8E" w:rsidRPr="003A06D3" w:rsidRDefault="00817D8E" w:rsidP="00817D8E">
      <w:pPr>
        <w:rPr>
          <w:rFonts w:ascii="Microsoft Sans Serif"/>
        </w:rPr>
      </w:pPr>
      <w:r w:rsidRPr="003A06D3">
        <w:rPr>
          <w:rFonts w:ascii="Microsoft Sans Serif"/>
        </w:rPr>
        <w:t>HARRISBURG PA  17105-3265</w:t>
      </w:r>
    </w:p>
    <w:p w:rsidR="00817D8E" w:rsidRDefault="00817D8E" w:rsidP="00817D8E">
      <w:pPr>
        <w:rPr>
          <w:rFonts w:ascii="Microsoft Sans Serif"/>
        </w:r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PATRICK CICERO ESQUIRE</w:t>
      </w:r>
      <w:r>
        <w:rPr>
          <w:rFonts w:ascii="Microsoft Sans Serif"/>
        </w:rPr>
        <w:cr/>
        <w:t>JOLINE PRICE ESQUIRE</w:t>
      </w:r>
    </w:p>
    <w:p w:rsidR="00817D8E" w:rsidRDefault="00817D8E" w:rsidP="00817D8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PA UTILITY LAW PROJECT</w:t>
      </w:r>
      <w:r>
        <w:rPr>
          <w:rFonts w:ascii="Microsoft Sans Serif"/>
        </w:rPr>
        <w:cr/>
        <w:t>118 LOCUST STREET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 w:rsidRPr="003A06D3">
        <w:rPr>
          <w:rFonts w:ascii="Microsoft Sans Serif"/>
          <w:b/>
        </w:rPr>
        <w:t>717-236-9486</w:t>
      </w:r>
      <w:r w:rsidRPr="003A06D3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17D8E" w:rsidRDefault="00817D8E" w:rsidP="00817D8E">
      <w:pPr>
        <w:rPr>
          <w:rFonts w:ascii="Microsoft Sans Serif"/>
          <w:b/>
          <w:i/>
          <w:u w:val="single"/>
        </w:rPr>
      </w:pPr>
    </w:p>
    <w:p w:rsidR="00817D8E" w:rsidRDefault="00817D8E" w:rsidP="00817D8E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THEODORE S ROBINSON ESQUIRE</w:t>
      </w:r>
      <w:r>
        <w:rPr>
          <w:rFonts w:ascii="Microsoft Sans Serif"/>
        </w:rPr>
        <w:cr/>
        <w:t>CITIZEN POWER</w:t>
      </w:r>
      <w:r>
        <w:rPr>
          <w:rFonts w:ascii="Microsoft Sans Serif"/>
        </w:rPr>
        <w:cr/>
        <w:t>2121 MURRAY AVENUE</w:t>
      </w:r>
      <w:r>
        <w:rPr>
          <w:rFonts w:ascii="Microsoft Sans Serif"/>
        </w:rPr>
        <w:cr/>
        <w:t>PITTSBURGH PA  15217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412-421-7029</w:t>
      </w:r>
      <w:r>
        <w:rPr>
          <w:rFonts w:ascii="Microsoft Sans Serif"/>
        </w:rPr>
        <w:cr/>
      </w:r>
      <w:r>
        <w:rPr>
          <w:rFonts w:ascii="Microsoft Sans Serif"/>
        </w:rPr>
        <w:cr/>
        <w:t>PAMELA C POLACEK ESQUIRE</w:t>
      </w:r>
      <w:r>
        <w:rPr>
          <w:rFonts w:ascii="Microsoft Sans Serif"/>
        </w:rPr>
        <w:cr/>
        <w:t>ALESSANDRA HYLANDER ESQUIRE</w:t>
      </w:r>
      <w:r>
        <w:rPr>
          <w:rFonts w:ascii="Microsoft Sans Serif"/>
        </w:rPr>
        <w:cr/>
        <w:t>MCNEES WALLACE &amp; NURICK</w:t>
      </w:r>
      <w:r>
        <w:rPr>
          <w:rFonts w:ascii="Microsoft Sans Serif"/>
        </w:rPr>
        <w:cr/>
        <w:t>100 PINE STREET</w:t>
      </w:r>
      <w:r>
        <w:rPr>
          <w:rFonts w:ascii="Microsoft Sans Serif"/>
        </w:rPr>
        <w:cr/>
        <w:t>PO BOX 1166</w:t>
      </w:r>
      <w:r>
        <w:rPr>
          <w:rFonts w:ascii="Microsoft Sans Serif"/>
        </w:rPr>
        <w:cr/>
        <w:t>HARRISBURG PA  17108-1166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717.237.5368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817D8E" w:rsidRDefault="00817D8E" w:rsidP="00817D8E">
      <w:pPr>
        <w:rPr>
          <w:rFonts w:ascii="Microsoft Sans Serif"/>
          <w:b/>
          <w:i/>
          <w:u w:val="single"/>
        </w:rPr>
      </w:pP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BARRY A NAUM ESQUIRE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SPILMAN THOMAS &amp; BATTLE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1100 BENT CREEK BLVD</w:t>
      </w:r>
    </w:p>
    <w:p w:rsidR="00817D8E" w:rsidRDefault="00817D8E" w:rsidP="00817D8E">
      <w:pPr>
        <w:rPr>
          <w:rFonts w:ascii="Microsoft Sans Serif"/>
        </w:rPr>
      </w:pPr>
      <w:r>
        <w:rPr>
          <w:rFonts w:ascii="Microsoft Sans Serif"/>
        </w:rPr>
        <w:t>SUITE 101</w:t>
      </w:r>
    </w:p>
    <w:p w:rsidR="00817D8E" w:rsidRPr="00DF6E91" w:rsidRDefault="00817D8E" w:rsidP="00817D8E">
      <w:pPr>
        <w:rPr>
          <w:rFonts w:ascii="Microsoft Sans Serif"/>
        </w:rPr>
      </w:pPr>
      <w:r>
        <w:rPr>
          <w:rFonts w:ascii="Microsoft Sans Serif"/>
        </w:rPr>
        <w:t>MECHANICSBURG PA  17050</w:t>
      </w:r>
    </w:p>
    <w:p w:rsidR="00C04960" w:rsidRDefault="00C04960" w:rsidP="008A5B08"/>
    <w:sectPr w:rsidR="00C04960" w:rsidSect="00817D8E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72" w:rsidRDefault="00386A72" w:rsidP="008955CF">
      <w:r>
        <w:separator/>
      </w:r>
    </w:p>
  </w:endnote>
  <w:endnote w:type="continuationSeparator" w:id="0">
    <w:p w:rsidR="00386A72" w:rsidRDefault="00386A72" w:rsidP="0089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43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5CF" w:rsidRDefault="00895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C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55CF" w:rsidRDefault="00895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B1" w:rsidRDefault="002B39B1">
    <w:pPr>
      <w:pStyle w:val="Footer"/>
      <w:jc w:val="center"/>
    </w:pPr>
  </w:p>
  <w:p w:rsidR="002B39B1" w:rsidRDefault="002B3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72" w:rsidRDefault="00386A72" w:rsidP="008955CF">
      <w:r>
        <w:separator/>
      </w:r>
    </w:p>
  </w:footnote>
  <w:footnote w:type="continuationSeparator" w:id="0">
    <w:p w:rsidR="00386A72" w:rsidRDefault="00386A72" w:rsidP="0089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D91"/>
    <w:multiLevelType w:val="hybridMultilevel"/>
    <w:tmpl w:val="061CC28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4AAC"/>
    <w:multiLevelType w:val="hybridMultilevel"/>
    <w:tmpl w:val="F0269608"/>
    <w:lvl w:ilvl="0" w:tplc="B8E4B17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288C4ED0"/>
    <w:multiLevelType w:val="hybridMultilevel"/>
    <w:tmpl w:val="2B32A0B6"/>
    <w:lvl w:ilvl="0" w:tplc="1D0CA95E">
      <w:start w:val="1"/>
      <w:numFmt w:val="lowerLetter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721A7"/>
    <w:multiLevelType w:val="hybridMultilevel"/>
    <w:tmpl w:val="D166BEB2"/>
    <w:lvl w:ilvl="0" w:tplc="43383226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08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85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5078"/>
    <w:rsid w:val="00055CC5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458C"/>
    <w:rsid w:val="00076092"/>
    <w:rsid w:val="000779CB"/>
    <w:rsid w:val="00082363"/>
    <w:rsid w:val="000852E5"/>
    <w:rsid w:val="00085A52"/>
    <w:rsid w:val="00086449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2192"/>
    <w:rsid w:val="000A4551"/>
    <w:rsid w:val="000A4E7A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4DEB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3B1B"/>
    <w:rsid w:val="001155EF"/>
    <w:rsid w:val="00115BB6"/>
    <w:rsid w:val="00116578"/>
    <w:rsid w:val="001170B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45AAD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4F23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C0410"/>
    <w:rsid w:val="001C054D"/>
    <w:rsid w:val="001C2234"/>
    <w:rsid w:val="001C537D"/>
    <w:rsid w:val="001C64B4"/>
    <w:rsid w:val="001C65C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1139"/>
    <w:rsid w:val="001F33A3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41D0"/>
    <w:rsid w:val="00224756"/>
    <w:rsid w:val="0022478F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523E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97375"/>
    <w:rsid w:val="002A05C6"/>
    <w:rsid w:val="002A1522"/>
    <w:rsid w:val="002A17F4"/>
    <w:rsid w:val="002A4E7E"/>
    <w:rsid w:val="002A5F4D"/>
    <w:rsid w:val="002A70E9"/>
    <w:rsid w:val="002A7A0A"/>
    <w:rsid w:val="002B0D61"/>
    <w:rsid w:val="002B2AF4"/>
    <w:rsid w:val="002B39B1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104D7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EEE"/>
    <w:rsid w:val="00326F3E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574"/>
    <w:rsid w:val="00354BD0"/>
    <w:rsid w:val="003550C3"/>
    <w:rsid w:val="00355847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86A72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1F46"/>
    <w:rsid w:val="003D41CF"/>
    <w:rsid w:val="003D5045"/>
    <w:rsid w:val="003E1442"/>
    <w:rsid w:val="003E2B14"/>
    <w:rsid w:val="003E2FDE"/>
    <w:rsid w:val="003E447A"/>
    <w:rsid w:val="003E5240"/>
    <w:rsid w:val="003E65AC"/>
    <w:rsid w:val="003E7E85"/>
    <w:rsid w:val="003F01A7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2739A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362D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238B"/>
    <w:rsid w:val="004625E8"/>
    <w:rsid w:val="00464B18"/>
    <w:rsid w:val="00465D71"/>
    <w:rsid w:val="00466D15"/>
    <w:rsid w:val="0047070D"/>
    <w:rsid w:val="00477A71"/>
    <w:rsid w:val="00481269"/>
    <w:rsid w:val="00482E65"/>
    <w:rsid w:val="004839FC"/>
    <w:rsid w:val="00483C70"/>
    <w:rsid w:val="00484589"/>
    <w:rsid w:val="00484610"/>
    <w:rsid w:val="00484BCE"/>
    <w:rsid w:val="00487E8F"/>
    <w:rsid w:val="00491F39"/>
    <w:rsid w:val="004938B5"/>
    <w:rsid w:val="00493AC3"/>
    <w:rsid w:val="0049422F"/>
    <w:rsid w:val="0049436C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4C79"/>
    <w:rsid w:val="004A5318"/>
    <w:rsid w:val="004A5D57"/>
    <w:rsid w:val="004A64F2"/>
    <w:rsid w:val="004A741E"/>
    <w:rsid w:val="004B0321"/>
    <w:rsid w:val="004B1ADE"/>
    <w:rsid w:val="004B2625"/>
    <w:rsid w:val="004B570B"/>
    <w:rsid w:val="004B652A"/>
    <w:rsid w:val="004B7DB2"/>
    <w:rsid w:val="004C015B"/>
    <w:rsid w:val="004C125D"/>
    <w:rsid w:val="004C1ABF"/>
    <w:rsid w:val="004C30D2"/>
    <w:rsid w:val="004C3AE2"/>
    <w:rsid w:val="004C4C1E"/>
    <w:rsid w:val="004C657C"/>
    <w:rsid w:val="004D0BE0"/>
    <w:rsid w:val="004D14F0"/>
    <w:rsid w:val="004D1505"/>
    <w:rsid w:val="004D17DF"/>
    <w:rsid w:val="004D32A1"/>
    <w:rsid w:val="004D38F8"/>
    <w:rsid w:val="004D4A68"/>
    <w:rsid w:val="004D5646"/>
    <w:rsid w:val="004D6D13"/>
    <w:rsid w:val="004D6DCE"/>
    <w:rsid w:val="004D7D7B"/>
    <w:rsid w:val="004E1B61"/>
    <w:rsid w:val="004E1FD5"/>
    <w:rsid w:val="004E23ED"/>
    <w:rsid w:val="004E36FE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500A53"/>
    <w:rsid w:val="00503634"/>
    <w:rsid w:val="00504F92"/>
    <w:rsid w:val="00505551"/>
    <w:rsid w:val="005078B3"/>
    <w:rsid w:val="00510A28"/>
    <w:rsid w:val="00510D3E"/>
    <w:rsid w:val="00511C54"/>
    <w:rsid w:val="0051292E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4B1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122B"/>
    <w:rsid w:val="00552915"/>
    <w:rsid w:val="005534B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F064D"/>
    <w:rsid w:val="005F49EA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4EB5"/>
    <w:rsid w:val="0063516D"/>
    <w:rsid w:val="00635AE1"/>
    <w:rsid w:val="00635DA6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05AD"/>
    <w:rsid w:val="006A177A"/>
    <w:rsid w:val="006A1A5D"/>
    <w:rsid w:val="006A3267"/>
    <w:rsid w:val="006A4533"/>
    <w:rsid w:val="006A5968"/>
    <w:rsid w:val="006A5F8B"/>
    <w:rsid w:val="006A600F"/>
    <w:rsid w:val="006B1A6D"/>
    <w:rsid w:val="006B2B00"/>
    <w:rsid w:val="006B2FA8"/>
    <w:rsid w:val="006B3210"/>
    <w:rsid w:val="006B3E08"/>
    <w:rsid w:val="006B49AE"/>
    <w:rsid w:val="006B529B"/>
    <w:rsid w:val="006C32DC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3BF0"/>
    <w:rsid w:val="006E4E29"/>
    <w:rsid w:val="006E5D2E"/>
    <w:rsid w:val="006E670A"/>
    <w:rsid w:val="006E6756"/>
    <w:rsid w:val="006E7C63"/>
    <w:rsid w:val="006F15E9"/>
    <w:rsid w:val="006F252A"/>
    <w:rsid w:val="006F27FC"/>
    <w:rsid w:val="006F3153"/>
    <w:rsid w:val="006F4B6F"/>
    <w:rsid w:val="006F4F6D"/>
    <w:rsid w:val="006F51B2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40782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669C5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4F9"/>
    <w:rsid w:val="007969E6"/>
    <w:rsid w:val="00796DA1"/>
    <w:rsid w:val="007A2C57"/>
    <w:rsid w:val="007A3440"/>
    <w:rsid w:val="007A34B3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19EC"/>
    <w:rsid w:val="007C342D"/>
    <w:rsid w:val="007C3C7F"/>
    <w:rsid w:val="007C51EB"/>
    <w:rsid w:val="007C60E2"/>
    <w:rsid w:val="007C7435"/>
    <w:rsid w:val="007D158A"/>
    <w:rsid w:val="007D4C30"/>
    <w:rsid w:val="007D5B1C"/>
    <w:rsid w:val="007D6D87"/>
    <w:rsid w:val="007D6FD6"/>
    <w:rsid w:val="007E0ADA"/>
    <w:rsid w:val="007E15CF"/>
    <w:rsid w:val="007E1DB4"/>
    <w:rsid w:val="007E5866"/>
    <w:rsid w:val="007F07AF"/>
    <w:rsid w:val="007F2A4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21D7"/>
    <w:rsid w:val="00812B80"/>
    <w:rsid w:val="008168A2"/>
    <w:rsid w:val="00817D8E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5047D"/>
    <w:rsid w:val="008524EA"/>
    <w:rsid w:val="0085263B"/>
    <w:rsid w:val="008530B9"/>
    <w:rsid w:val="0085347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55CF"/>
    <w:rsid w:val="0089667B"/>
    <w:rsid w:val="0089728F"/>
    <w:rsid w:val="008A0874"/>
    <w:rsid w:val="008A0FF6"/>
    <w:rsid w:val="008A28F5"/>
    <w:rsid w:val="008A51AD"/>
    <w:rsid w:val="008A5B08"/>
    <w:rsid w:val="008B2982"/>
    <w:rsid w:val="008B2F05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1C18"/>
    <w:rsid w:val="008D2DBA"/>
    <w:rsid w:val="008D530C"/>
    <w:rsid w:val="008D56D1"/>
    <w:rsid w:val="008D638B"/>
    <w:rsid w:val="008D7ECE"/>
    <w:rsid w:val="008E01A0"/>
    <w:rsid w:val="008E1BF6"/>
    <w:rsid w:val="008E44FF"/>
    <w:rsid w:val="008E5A58"/>
    <w:rsid w:val="008E5F96"/>
    <w:rsid w:val="008E6891"/>
    <w:rsid w:val="008E6FB7"/>
    <w:rsid w:val="008E7557"/>
    <w:rsid w:val="008E7FE5"/>
    <w:rsid w:val="008F1874"/>
    <w:rsid w:val="008F25DF"/>
    <w:rsid w:val="008F29E0"/>
    <w:rsid w:val="008F471B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539B"/>
    <w:rsid w:val="00966487"/>
    <w:rsid w:val="009669E3"/>
    <w:rsid w:val="009671DB"/>
    <w:rsid w:val="0096755D"/>
    <w:rsid w:val="00972738"/>
    <w:rsid w:val="009727FE"/>
    <w:rsid w:val="00974C35"/>
    <w:rsid w:val="00975A29"/>
    <w:rsid w:val="00976E81"/>
    <w:rsid w:val="009808B0"/>
    <w:rsid w:val="00980958"/>
    <w:rsid w:val="00983488"/>
    <w:rsid w:val="00983EDB"/>
    <w:rsid w:val="009849EF"/>
    <w:rsid w:val="00984E36"/>
    <w:rsid w:val="0098553B"/>
    <w:rsid w:val="00987014"/>
    <w:rsid w:val="009871AC"/>
    <w:rsid w:val="00990892"/>
    <w:rsid w:val="00997443"/>
    <w:rsid w:val="009A1BA1"/>
    <w:rsid w:val="009A2A81"/>
    <w:rsid w:val="009A2AFB"/>
    <w:rsid w:val="009A2DE2"/>
    <w:rsid w:val="009A3B62"/>
    <w:rsid w:val="009A3ED4"/>
    <w:rsid w:val="009A56EE"/>
    <w:rsid w:val="009A5C47"/>
    <w:rsid w:val="009A68E7"/>
    <w:rsid w:val="009A6BC5"/>
    <w:rsid w:val="009B0164"/>
    <w:rsid w:val="009B2B90"/>
    <w:rsid w:val="009B4A92"/>
    <w:rsid w:val="009B4B7B"/>
    <w:rsid w:val="009B4CB6"/>
    <w:rsid w:val="009B66C0"/>
    <w:rsid w:val="009B72A1"/>
    <w:rsid w:val="009B74A5"/>
    <w:rsid w:val="009C0E90"/>
    <w:rsid w:val="009C24F9"/>
    <w:rsid w:val="009C638A"/>
    <w:rsid w:val="009D3AAC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5615"/>
    <w:rsid w:val="00A1707A"/>
    <w:rsid w:val="00A215E2"/>
    <w:rsid w:val="00A2164F"/>
    <w:rsid w:val="00A23803"/>
    <w:rsid w:val="00A24305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4C84"/>
    <w:rsid w:val="00A9585F"/>
    <w:rsid w:val="00A963EA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CE6"/>
    <w:rsid w:val="00AB3E2B"/>
    <w:rsid w:val="00AB65C7"/>
    <w:rsid w:val="00AB671D"/>
    <w:rsid w:val="00AB6BFE"/>
    <w:rsid w:val="00AB7130"/>
    <w:rsid w:val="00AB7311"/>
    <w:rsid w:val="00AC0D42"/>
    <w:rsid w:val="00AC2C30"/>
    <w:rsid w:val="00AC350C"/>
    <w:rsid w:val="00AC3558"/>
    <w:rsid w:val="00AC3A1B"/>
    <w:rsid w:val="00AC46EE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9BE"/>
    <w:rsid w:val="00AD4CFD"/>
    <w:rsid w:val="00AD53F5"/>
    <w:rsid w:val="00AD5E7B"/>
    <w:rsid w:val="00AD7989"/>
    <w:rsid w:val="00AE0BFC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1C89"/>
    <w:rsid w:val="00B134C7"/>
    <w:rsid w:val="00B136CC"/>
    <w:rsid w:val="00B13BBF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5017"/>
    <w:rsid w:val="00B374E5"/>
    <w:rsid w:val="00B3764A"/>
    <w:rsid w:val="00B37AA5"/>
    <w:rsid w:val="00B41FA0"/>
    <w:rsid w:val="00B42826"/>
    <w:rsid w:val="00B430FA"/>
    <w:rsid w:val="00B43982"/>
    <w:rsid w:val="00B459AF"/>
    <w:rsid w:val="00B475B6"/>
    <w:rsid w:val="00B55869"/>
    <w:rsid w:val="00B567F1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565"/>
    <w:rsid w:val="00B778CB"/>
    <w:rsid w:val="00B809D9"/>
    <w:rsid w:val="00B8168B"/>
    <w:rsid w:val="00B824F8"/>
    <w:rsid w:val="00B8362D"/>
    <w:rsid w:val="00B8368B"/>
    <w:rsid w:val="00B83A9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635B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DBD"/>
    <w:rsid w:val="00C32633"/>
    <w:rsid w:val="00C3305D"/>
    <w:rsid w:val="00C3343C"/>
    <w:rsid w:val="00C3343E"/>
    <w:rsid w:val="00C3643C"/>
    <w:rsid w:val="00C36C29"/>
    <w:rsid w:val="00C41646"/>
    <w:rsid w:val="00C4383B"/>
    <w:rsid w:val="00C4601A"/>
    <w:rsid w:val="00C46ABB"/>
    <w:rsid w:val="00C478FE"/>
    <w:rsid w:val="00C502DD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5CCC"/>
    <w:rsid w:val="00C76F9B"/>
    <w:rsid w:val="00C77064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28AD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1659"/>
    <w:rsid w:val="00CC3092"/>
    <w:rsid w:val="00CC30C3"/>
    <w:rsid w:val="00CC363A"/>
    <w:rsid w:val="00CC3D4E"/>
    <w:rsid w:val="00CC4003"/>
    <w:rsid w:val="00CC74BD"/>
    <w:rsid w:val="00CD0768"/>
    <w:rsid w:val="00CD1FF9"/>
    <w:rsid w:val="00CD3CC4"/>
    <w:rsid w:val="00CD788F"/>
    <w:rsid w:val="00CE047D"/>
    <w:rsid w:val="00CE1017"/>
    <w:rsid w:val="00CE358A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16C"/>
    <w:rsid w:val="00CF73D7"/>
    <w:rsid w:val="00D00AAE"/>
    <w:rsid w:val="00D02D5A"/>
    <w:rsid w:val="00D03B9D"/>
    <w:rsid w:val="00D0498A"/>
    <w:rsid w:val="00D065E6"/>
    <w:rsid w:val="00D06F2D"/>
    <w:rsid w:val="00D10139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7EA0"/>
    <w:rsid w:val="00D31593"/>
    <w:rsid w:val="00D33231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A7B"/>
    <w:rsid w:val="00D47BB6"/>
    <w:rsid w:val="00D54C37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F86"/>
    <w:rsid w:val="00DD6047"/>
    <w:rsid w:val="00DD7205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D9F"/>
    <w:rsid w:val="00E12FAE"/>
    <w:rsid w:val="00E13468"/>
    <w:rsid w:val="00E1638A"/>
    <w:rsid w:val="00E24543"/>
    <w:rsid w:val="00E2457B"/>
    <w:rsid w:val="00E247DE"/>
    <w:rsid w:val="00E257AB"/>
    <w:rsid w:val="00E3212A"/>
    <w:rsid w:val="00E32221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1CE3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779AA"/>
    <w:rsid w:val="00E80333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0E8F"/>
    <w:rsid w:val="00EC33EA"/>
    <w:rsid w:val="00EC41C2"/>
    <w:rsid w:val="00EC4E71"/>
    <w:rsid w:val="00EC62F1"/>
    <w:rsid w:val="00EC6D41"/>
    <w:rsid w:val="00EC79CA"/>
    <w:rsid w:val="00ED0399"/>
    <w:rsid w:val="00ED03A3"/>
    <w:rsid w:val="00ED0AA7"/>
    <w:rsid w:val="00ED2F8A"/>
    <w:rsid w:val="00ED58AF"/>
    <w:rsid w:val="00ED7165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509A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5B6"/>
    <w:rsid w:val="00F26ED7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284"/>
    <w:rsid w:val="00F4680B"/>
    <w:rsid w:val="00F4734D"/>
    <w:rsid w:val="00F473D4"/>
    <w:rsid w:val="00F47445"/>
    <w:rsid w:val="00F5046F"/>
    <w:rsid w:val="00F5088C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E61"/>
    <w:rsid w:val="00F9058E"/>
    <w:rsid w:val="00F908E0"/>
    <w:rsid w:val="00F90B86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858"/>
    <w:rsid w:val="00FC110D"/>
    <w:rsid w:val="00FC3800"/>
    <w:rsid w:val="00FC4527"/>
    <w:rsid w:val="00FC5D6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08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5B08"/>
  </w:style>
  <w:style w:type="paragraph" w:styleId="Header">
    <w:name w:val="header"/>
    <w:basedOn w:val="Normal"/>
    <w:link w:val="HeaderChar"/>
    <w:uiPriority w:val="99"/>
    <w:unhideWhenUsed/>
    <w:rsid w:val="0089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CF"/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89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CF"/>
    <w:rPr>
      <w:rFonts w:ascii="CG Times" w:eastAsia="Times New Roman" w:hAnsi="CG Times" w:cs="CG Times"/>
    </w:rPr>
  </w:style>
  <w:style w:type="paragraph" w:styleId="ListParagraph">
    <w:name w:val="List Paragraph"/>
    <w:basedOn w:val="Normal"/>
    <w:uiPriority w:val="34"/>
    <w:qFormat/>
    <w:rsid w:val="007D4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08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A5B08"/>
  </w:style>
  <w:style w:type="paragraph" w:styleId="Header">
    <w:name w:val="header"/>
    <w:basedOn w:val="Normal"/>
    <w:link w:val="HeaderChar"/>
    <w:uiPriority w:val="99"/>
    <w:unhideWhenUsed/>
    <w:rsid w:val="0089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CF"/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89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CF"/>
    <w:rPr>
      <w:rFonts w:ascii="CG Times" w:eastAsia="Times New Roman" w:hAnsi="CG Times" w:cs="CG Times"/>
    </w:rPr>
  </w:style>
  <w:style w:type="paragraph" w:styleId="ListParagraph">
    <w:name w:val="List Paragraph"/>
    <w:basedOn w:val="Normal"/>
    <w:uiPriority w:val="34"/>
    <w:qFormat/>
    <w:rsid w:val="007D4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375E-5F01-4859-B28E-1A5ED98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sandra elizabeth oldynski</cp:lastModifiedBy>
  <cp:revision>43</cp:revision>
  <cp:lastPrinted>2016-01-06T20:18:00Z</cp:lastPrinted>
  <dcterms:created xsi:type="dcterms:W3CDTF">2016-01-06T19:10:00Z</dcterms:created>
  <dcterms:modified xsi:type="dcterms:W3CDTF">2016-01-06T20:23:00Z</dcterms:modified>
</cp:coreProperties>
</file>