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B" w:rsidRPr="008F4EED" w:rsidRDefault="00370F10" w:rsidP="004A443B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8F4EED">
        <w:rPr>
          <w:sz w:val="24"/>
        </w:rPr>
        <w:t>Testimony of Eric Ackerman</w:t>
      </w:r>
    </w:p>
    <w:p w:rsidR="00E12458" w:rsidRDefault="00E12458" w:rsidP="008F4EED">
      <w:pPr>
        <w:spacing w:after="0" w:line="360" w:lineRule="auto"/>
        <w:rPr>
          <w:sz w:val="24"/>
        </w:rPr>
      </w:pPr>
    </w:p>
    <w:p w:rsidR="00370F10" w:rsidRPr="008F4EED" w:rsidRDefault="00370F10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t>Good morning.  My name is Eric Ackerman. I am the Director of Alternative Regulation at the Edison Electric Institute</w:t>
      </w:r>
      <w:r w:rsidR="008F4EED">
        <w:rPr>
          <w:sz w:val="24"/>
        </w:rPr>
        <w:t>, and I t</w:t>
      </w:r>
      <w:r w:rsidRPr="008F4EED">
        <w:rPr>
          <w:sz w:val="24"/>
        </w:rPr>
        <w:t>hank y</w:t>
      </w:r>
      <w:r w:rsidR="004D642F" w:rsidRPr="008F4EED">
        <w:rPr>
          <w:sz w:val="24"/>
        </w:rPr>
        <w:t>ou for the opportunity to speak today.</w:t>
      </w:r>
    </w:p>
    <w:p w:rsidR="008F4EED" w:rsidRDefault="008F4EED" w:rsidP="008F4EED">
      <w:pPr>
        <w:spacing w:after="0" w:line="360" w:lineRule="auto"/>
        <w:rPr>
          <w:sz w:val="24"/>
        </w:rPr>
      </w:pPr>
    </w:p>
    <w:p w:rsidR="005C4DC5" w:rsidRDefault="005C4DC5" w:rsidP="00940C98">
      <w:pPr>
        <w:spacing w:after="0" w:line="360" w:lineRule="auto"/>
        <w:rPr>
          <w:sz w:val="24"/>
        </w:rPr>
      </w:pPr>
      <w:r>
        <w:rPr>
          <w:sz w:val="24"/>
        </w:rPr>
        <w:t xml:space="preserve">As you consider the appropriateness of alternative ratemaking methodologies, I urge you to be guided by the need to balance the desire </w:t>
      </w:r>
      <w:r w:rsidR="000E4447">
        <w:rPr>
          <w:sz w:val="24"/>
        </w:rPr>
        <w:t xml:space="preserve">for increased </w:t>
      </w:r>
      <w:r>
        <w:rPr>
          <w:sz w:val="24"/>
        </w:rPr>
        <w:t xml:space="preserve">innovation with </w:t>
      </w:r>
      <w:r w:rsidR="000E4447">
        <w:rPr>
          <w:sz w:val="24"/>
        </w:rPr>
        <w:t xml:space="preserve">the requirement to </w:t>
      </w:r>
      <w:r>
        <w:rPr>
          <w:sz w:val="24"/>
        </w:rPr>
        <w:t>recover capital investment</w:t>
      </w:r>
      <w:r w:rsidR="000E4447">
        <w:rPr>
          <w:sz w:val="24"/>
        </w:rPr>
        <w:t>s</w:t>
      </w:r>
      <w:r>
        <w:rPr>
          <w:sz w:val="24"/>
        </w:rPr>
        <w:t xml:space="preserve"> in a way that recognizes the value of the grid to all customers. </w:t>
      </w:r>
    </w:p>
    <w:p w:rsidR="005C4DC5" w:rsidRDefault="005C4DC5" w:rsidP="00940C98">
      <w:pPr>
        <w:spacing w:after="0" w:line="360" w:lineRule="auto"/>
        <w:rPr>
          <w:sz w:val="24"/>
        </w:rPr>
      </w:pPr>
    </w:p>
    <w:p w:rsidR="000013A4" w:rsidRDefault="00940C98" w:rsidP="00940C98">
      <w:pPr>
        <w:spacing w:after="0" w:line="360" w:lineRule="auto"/>
        <w:rPr>
          <w:sz w:val="24"/>
        </w:rPr>
      </w:pPr>
      <w:r w:rsidRPr="008F4EED">
        <w:rPr>
          <w:sz w:val="24"/>
        </w:rPr>
        <w:t>The term alternative regulation, or “</w:t>
      </w:r>
      <w:proofErr w:type="spellStart"/>
      <w:r w:rsidRPr="008F4EED">
        <w:rPr>
          <w:sz w:val="24"/>
        </w:rPr>
        <w:t>altreg</w:t>
      </w:r>
      <w:proofErr w:type="spellEnd"/>
      <w:r w:rsidRPr="008F4EED">
        <w:rPr>
          <w:sz w:val="24"/>
        </w:rPr>
        <w:t xml:space="preserve">,” connotes a set of innovative rate making policies and procedures which have evolved over the last 10-15 years in response to a paradigm shift in the investor-owned electric utility industry. Privately financed electric utilities are making capital investments in an environment of flat to declining sales.  </w:t>
      </w:r>
      <w:r>
        <w:rPr>
          <w:sz w:val="24"/>
        </w:rPr>
        <w:t xml:space="preserve">This is </w:t>
      </w:r>
      <w:r w:rsidRPr="008F4EED">
        <w:rPr>
          <w:sz w:val="24"/>
        </w:rPr>
        <w:t xml:space="preserve">a paradigm shift in the sense that for most of our history we made needed capital investments against a background of increasing sales volumes. Traditionally, increasing </w:t>
      </w:r>
      <w:proofErr w:type="gramStart"/>
      <w:r w:rsidRPr="008F4EED">
        <w:rPr>
          <w:sz w:val="24"/>
        </w:rPr>
        <w:t>kwh</w:t>
      </w:r>
      <w:proofErr w:type="gramEnd"/>
      <w:r w:rsidRPr="008F4EED">
        <w:rPr>
          <w:sz w:val="24"/>
        </w:rPr>
        <w:t xml:space="preserve"> use per customer produced incremental revenues that offset the need for new financing.  </w:t>
      </w:r>
      <w:r w:rsidR="00E3278E">
        <w:rPr>
          <w:sz w:val="24"/>
        </w:rPr>
        <w:t xml:space="preserve">Some would argue </w:t>
      </w:r>
      <w:r>
        <w:rPr>
          <w:sz w:val="24"/>
        </w:rPr>
        <w:t xml:space="preserve">that </w:t>
      </w:r>
      <w:r w:rsidRPr="008F4EED">
        <w:rPr>
          <w:sz w:val="24"/>
        </w:rPr>
        <w:t xml:space="preserve">sales growth and fixed cost recovery through volumetric (kWh) rates for residential and small business customers were </w:t>
      </w:r>
      <w:r>
        <w:rPr>
          <w:sz w:val="24"/>
        </w:rPr>
        <w:t xml:space="preserve">design features </w:t>
      </w:r>
      <w:r w:rsidRPr="008F4EED">
        <w:rPr>
          <w:sz w:val="24"/>
        </w:rPr>
        <w:t xml:space="preserve">of the original regulatory compact. </w:t>
      </w:r>
    </w:p>
    <w:p w:rsidR="000013A4" w:rsidRDefault="000013A4" w:rsidP="00940C98">
      <w:pPr>
        <w:spacing w:after="0" w:line="360" w:lineRule="auto"/>
        <w:rPr>
          <w:sz w:val="24"/>
        </w:rPr>
      </w:pPr>
    </w:p>
    <w:p w:rsidR="00940C98" w:rsidRPr="008F4EED" w:rsidRDefault="000013A4" w:rsidP="00940C98">
      <w:pPr>
        <w:spacing w:after="0" w:line="360" w:lineRule="auto"/>
        <w:rPr>
          <w:sz w:val="24"/>
        </w:rPr>
      </w:pPr>
      <w:r>
        <w:rPr>
          <w:sz w:val="24"/>
        </w:rPr>
        <w:t>W</w:t>
      </w:r>
      <w:r w:rsidR="00940C98" w:rsidRPr="008F4EED">
        <w:rPr>
          <w:sz w:val="24"/>
        </w:rPr>
        <w:t>e don’t have sales growth</w:t>
      </w:r>
      <w:r w:rsidR="00940C98">
        <w:rPr>
          <w:sz w:val="24"/>
        </w:rPr>
        <w:t xml:space="preserve"> today</w:t>
      </w:r>
      <w:r w:rsidR="00940C98" w:rsidRPr="008F4EED">
        <w:rPr>
          <w:sz w:val="24"/>
        </w:rPr>
        <w:t>, but we still have a need to make major capital investments in infrastructure of all kinds</w:t>
      </w:r>
      <w:r w:rsidR="00E3278E">
        <w:rPr>
          <w:sz w:val="24"/>
        </w:rPr>
        <w:t xml:space="preserve"> to ensure continued safe and reliable operations</w:t>
      </w:r>
      <w:r w:rsidR="00940C98" w:rsidRPr="008F4EED">
        <w:rPr>
          <w:sz w:val="24"/>
        </w:rPr>
        <w:t xml:space="preserve">.  As a result, our interest coverages and credit ratings are far more sensitive to the impact of any delay in recovering costs in rates. </w:t>
      </w:r>
      <w:r w:rsidR="00940C98">
        <w:rPr>
          <w:sz w:val="24"/>
        </w:rPr>
        <w:t xml:space="preserve">This is where </w:t>
      </w:r>
      <w:proofErr w:type="spellStart"/>
      <w:r w:rsidR="00940C98">
        <w:rPr>
          <w:sz w:val="24"/>
        </w:rPr>
        <w:t>altreg</w:t>
      </w:r>
      <w:proofErr w:type="spellEnd"/>
      <w:r w:rsidR="00940C98">
        <w:rPr>
          <w:sz w:val="24"/>
        </w:rPr>
        <w:t xml:space="preserve"> comes in. </w:t>
      </w:r>
      <w:proofErr w:type="spellStart"/>
      <w:r w:rsidR="00940C98" w:rsidRPr="008F4EED">
        <w:rPr>
          <w:sz w:val="24"/>
        </w:rPr>
        <w:t>Altreg</w:t>
      </w:r>
      <w:proofErr w:type="spellEnd"/>
      <w:r w:rsidR="00940C98" w:rsidRPr="008F4EED">
        <w:rPr>
          <w:sz w:val="24"/>
        </w:rPr>
        <w:t xml:space="preserve"> innovations such as forward-looking test years</w:t>
      </w:r>
      <w:r w:rsidR="00E3278E">
        <w:rPr>
          <w:sz w:val="24"/>
        </w:rPr>
        <w:t xml:space="preserve"> (e.g., Pennsylvania’s fully projected test year)</w:t>
      </w:r>
      <w:r w:rsidR="00940C98" w:rsidRPr="008F4EED">
        <w:rPr>
          <w:sz w:val="24"/>
        </w:rPr>
        <w:t xml:space="preserve">, capital trackers, decoupling, formula rates, and multi-year rate plans – all share the characteristic that they allow the utility to recover increased costs without going through a rate case. </w:t>
      </w:r>
      <w:proofErr w:type="spellStart"/>
      <w:r w:rsidR="00940C98">
        <w:rPr>
          <w:sz w:val="24"/>
        </w:rPr>
        <w:t>Altreg</w:t>
      </w:r>
      <w:proofErr w:type="spellEnd"/>
      <w:r w:rsidR="00940C98">
        <w:rPr>
          <w:sz w:val="24"/>
        </w:rPr>
        <w:t xml:space="preserve"> is adaptive regulation in action. </w:t>
      </w:r>
      <w:r w:rsidR="00E12458">
        <w:rPr>
          <w:sz w:val="24"/>
        </w:rPr>
        <w:t>T</w:t>
      </w:r>
      <w:r w:rsidR="00940C98">
        <w:rPr>
          <w:sz w:val="24"/>
        </w:rPr>
        <w:t>he</w:t>
      </w:r>
      <w:r w:rsidR="00940C98" w:rsidRPr="008F4EED">
        <w:rPr>
          <w:sz w:val="24"/>
        </w:rPr>
        <w:t xml:space="preserve"> </w:t>
      </w:r>
      <w:r w:rsidR="00940C98">
        <w:rPr>
          <w:sz w:val="24"/>
        </w:rPr>
        <w:t>D</w:t>
      </w:r>
      <w:r w:rsidR="00940C98" w:rsidRPr="008F4EED">
        <w:rPr>
          <w:sz w:val="24"/>
        </w:rPr>
        <w:t xml:space="preserve">istribution </w:t>
      </w:r>
      <w:r w:rsidR="00940C98">
        <w:rPr>
          <w:sz w:val="24"/>
        </w:rPr>
        <w:t>S</w:t>
      </w:r>
      <w:r w:rsidR="00940C98" w:rsidRPr="008F4EED">
        <w:rPr>
          <w:sz w:val="24"/>
        </w:rPr>
        <w:t xml:space="preserve">ystem </w:t>
      </w:r>
      <w:r w:rsidR="00940C98">
        <w:rPr>
          <w:sz w:val="24"/>
        </w:rPr>
        <w:t>I</w:t>
      </w:r>
      <w:r w:rsidR="00940C98" w:rsidRPr="008F4EED">
        <w:rPr>
          <w:sz w:val="24"/>
        </w:rPr>
        <w:t xml:space="preserve">mprovement </w:t>
      </w:r>
      <w:r w:rsidR="00940C98">
        <w:rPr>
          <w:sz w:val="24"/>
        </w:rPr>
        <w:t>C</w:t>
      </w:r>
      <w:r w:rsidR="00940C98" w:rsidRPr="008F4EED">
        <w:rPr>
          <w:sz w:val="24"/>
        </w:rPr>
        <w:t xml:space="preserve">harge (DSIC) is an example of </w:t>
      </w:r>
      <w:proofErr w:type="spellStart"/>
      <w:r w:rsidR="00940C98" w:rsidRPr="008F4EED">
        <w:rPr>
          <w:sz w:val="24"/>
        </w:rPr>
        <w:t>altreg</w:t>
      </w:r>
      <w:proofErr w:type="spellEnd"/>
      <w:r w:rsidR="00940C98" w:rsidRPr="008F4EED">
        <w:rPr>
          <w:sz w:val="24"/>
        </w:rPr>
        <w:t xml:space="preserve">. </w:t>
      </w:r>
    </w:p>
    <w:p w:rsidR="00C93D6B" w:rsidRPr="008F4EED" w:rsidRDefault="00C93D6B" w:rsidP="00C93D6B">
      <w:pPr>
        <w:spacing w:after="0" w:line="360" w:lineRule="auto"/>
        <w:rPr>
          <w:sz w:val="24"/>
        </w:rPr>
      </w:pPr>
    </w:p>
    <w:p w:rsidR="00370F10" w:rsidRPr="008F4EED" w:rsidRDefault="00A65F2E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t>In 200</w:t>
      </w:r>
      <w:r w:rsidR="003F62F9" w:rsidRPr="008F4EED">
        <w:rPr>
          <w:sz w:val="24"/>
        </w:rPr>
        <w:t>8</w:t>
      </w:r>
      <w:r w:rsidRPr="008F4EED">
        <w:rPr>
          <w:sz w:val="24"/>
        </w:rPr>
        <w:t xml:space="preserve">, and again in 2014, </w:t>
      </w:r>
      <w:r w:rsidR="00CB1A4F" w:rsidRPr="008F4EED">
        <w:rPr>
          <w:sz w:val="24"/>
        </w:rPr>
        <w:t xml:space="preserve">EEI joined with the Natural Resources Defense Council in </w:t>
      </w:r>
      <w:r w:rsidRPr="008F4EED">
        <w:rPr>
          <w:sz w:val="24"/>
        </w:rPr>
        <w:t xml:space="preserve">recognizing that </w:t>
      </w:r>
      <w:r w:rsidR="00735318">
        <w:rPr>
          <w:sz w:val="24"/>
        </w:rPr>
        <w:t>customer</w:t>
      </w:r>
      <w:r w:rsidR="00940C98">
        <w:rPr>
          <w:sz w:val="24"/>
        </w:rPr>
        <w:t xml:space="preserve">s </w:t>
      </w:r>
      <w:r w:rsidR="00735318">
        <w:rPr>
          <w:sz w:val="24"/>
        </w:rPr>
        <w:t>are using t</w:t>
      </w:r>
      <w:r w:rsidR="00735318" w:rsidRPr="008F4EED">
        <w:rPr>
          <w:sz w:val="24"/>
        </w:rPr>
        <w:t xml:space="preserve">he </w:t>
      </w:r>
      <w:r w:rsidRPr="008F4EED">
        <w:rPr>
          <w:sz w:val="24"/>
        </w:rPr>
        <w:t xml:space="preserve">grid </w:t>
      </w:r>
      <w:r w:rsidR="00735318">
        <w:rPr>
          <w:sz w:val="24"/>
        </w:rPr>
        <w:t>in new ways</w:t>
      </w:r>
      <w:r w:rsidR="006C5F25">
        <w:rPr>
          <w:sz w:val="24"/>
        </w:rPr>
        <w:t xml:space="preserve">, </w:t>
      </w:r>
      <w:r w:rsidRPr="008F4EED">
        <w:rPr>
          <w:sz w:val="24"/>
        </w:rPr>
        <w:t xml:space="preserve">and </w:t>
      </w:r>
      <w:r w:rsidR="00AA4FB0" w:rsidRPr="008F4EED">
        <w:rPr>
          <w:sz w:val="24"/>
        </w:rPr>
        <w:t xml:space="preserve">that </w:t>
      </w:r>
      <w:r w:rsidR="00E90739" w:rsidRPr="008F4EED">
        <w:rPr>
          <w:sz w:val="24"/>
        </w:rPr>
        <w:t>because of this</w:t>
      </w:r>
      <w:r w:rsidR="006C5F25">
        <w:rPr>
          <w:sz w:val="24"/>
        </w:rPr>
        <w:t>,</w:t>
      </w:r>
      <w:r w:rsidR="00E90739" w:rsidRPr="008F4EED">
        <w:rPr>
          <w:sz w:val="24"/>
        </w:rPr>
        <w:t xml:space="preserve"> </w:t>
      </w:r>
      <w:r w:rsidRPr="008F4EED">
        <w:rPr>
          <w:sz w:val="24"/>
        </w:rPr>
        <w:t xml:space="preserve">new </w:t>
      </w:r>
      <w:r w:rsidRPr="008F4EED">
        <w:rPr>
          <w:sz w:val="24"/>
        </w:rPr>
        <w:lastRenderedPageBreak/>
        <w:t xml:space="preserve">regulatory policies </w:t>
      </w:r>
      <w:r w:rsidR="00E90739" w:rsidRPr="008F4EED">
        <w:rPr>
          <w:sz w:val="24"/>
        </w:rPr>
        <w:t>are needed</w:t>
      </w:r>
      <w:r w:rsidR="006C5F25">
        <w:rPr>
          <w:sz w:val="24"/>
        </w:rPr>
        <w:t>.</w:t>
      </w:r>
      <w:r w:rsidR="00283585">
        <w:rPr>
          <w:sz w:val="24"/>
        </w:rPr>
        <w:t xml:space="preserve"> </w:t>
      </w:r>
      <w:r w:rsidR="006C5F25">
        <w:rPr>
          <w:sz w:val="24"/>
        </w:rPr>
        <w:t xml:space="preserve"> They are needed </w:t>
      </w:r>
      <w:r w:rsidRPr="008F4EED">
        <w:rPr>
          <w:sz w:val="24"/>
        </w:rPr>
        <w:t xml:space="preserve">to ensure the fair and adequate recovery of costs incurred </w:t>
      </w:r>
      <w:r w:rsidR="00233006" w:rsidRPr="008F4EED">
        <w:rPr>
          <w:sz w:val="24"/>
        </w:rPr>
        <w:t xml:space="preserve">to build and maintain the grid, </w:t>
      </w:r>
      <w:r w:rsidR="00940C98">
        <w:rPr>
          <w:sz w:val="24"/>
        </w:rPr>
        <w:t xml:space="preserve">and to </w:t>
      </w:r>
      <w:r w:rsidR="00233006" w:rsidRPr="008F4EED">
        <w:rPr>
          <w:sz w:val="24"/>
        </w:rPr>
        <w:t>provid</w:t>
      </w:r>
      <w:r w:rsidR="00940C98">
        <w:rPr>
          <w:sz w:val="24"/>
        </w:rPr>
        <w:t>e</w:t>
      </w:r>
      <w:r w:rsidR="00233006" w:rsidRPr="008F4EED">
        <w:rPr>
          <w:sz w:val="24"/>
        </w:rPr>
        <w:t xml:space="preserve"> utilities </w:t>
      </w:r>
      <w:r w:rsidR="006C5F25">
        <w:rPr>
          <w:sz w:val="24"/>
        </w:rPr>
        <w:t xml:space="preserve">increased </w:t>
      </w:r>
      <w:r w:rsidR="00233006" w:rsidRPr="008F4EED">
        <w:rPr>
          <w:sz w:val="24"/>
        </w:rPr>
        <w:t>flexibility to meet customers</w:t>
      </w:r>
      <w:r w:rsidR="00853EDA">
        <w:rPr>
          <w:sz w:val="24"/>
        </w:rPr>
        <w:t>’</w:t>
      </w:r>
      <w:r w:rsidR="00233006" w:rsidRPr="008F4EED">
        <w:rPr>
          <w:sz w:val="24"/>
        </w:rPr>
        <w:t xml:space="preserve"> changing </w:t>
      </w:r>
      <w:r w:rsidR="00735318">
        <w:rPr>
          <w:sz w:val="24"/>
        </w:rPr>
        <w:t xml:space="preserve">service </w:t>
      </w:r>
      <w:r w:rsidR="00233006" w:rsidRPr="008F4EED">
        <w:rPr>
          <w:sz w:val="24"/>
        </w:rPr>
        <w:t>needs.  In 2008 the focus of our concerns was the need for new policies to support a</w:t>
      </w:r>
      <w:r w:rsidR="00735318">
        <w:rPr>
          <w:sz w:val="24"/>
        </w:rPr>
        <w:t xml:space="preserve">n aggressive </w:t>
      </w:r>
      <w:r w:rsidR="00233006" w:rsidRPr="008F4EED">
        <w:rPr>
          <w:sz w:val="24"/>
        </w:rPr>
        <w:t xml:space="preserve">nationwide energy efficiency campaign. We recommended </w:t>
      </w:r>
      <w:r w:rsidR="0007500A" w:rsidRPr="008F4EED">
        <w:rPr>
          <w:sz w:val="24"/>
        </w:rPr>
        <w:t xml:space="preserve">(1) </w:t>
      </w:r>
      <w:r w:rsidR="00233006" w:rsidRPr="008F4EED">
        <w:rPr>
          <w:sz w:val="24"/>
        </w:rPr>
        <w:t xml:space="preserve">regulatory mechanisms that </w:t>
      </w:r>
      <w:r w:rsidR="0007500A" w:rsidRPr="008F4EED">
        <w:rPr>
          <w:sz w:val="24"/>
        </w:rPr>
        <w:t>provide cost recovery for prudent utility investments in energy efficiency between rate cases, (2) an earnings opportunity tied to verifiable success in deliver</w:t>
      </w:r>
      <w:r w:rsidR="00E3278E">
        <w:rPr>
          <w:sz w:val="24"/>
        </w:rPr>
        <w:t>ing</w:t>
      </w:r>
      <w:r w:rsidR="0007500A" w:rsidRPr="008F4EED">
        <w:rPr>
          <w:sz w:val="24"/>
        </w:rPr>
        <w:t xml:space="preserve"> cost-effective energy savings, and (3) mechanisms that allow utilities to recoup fixed costs as power sale volumes decline. These are the three legs of </w:t>
      </w:r>
      <w:r w:rsidR="00853EDA">
        <w:rPr>
          <w:sz w:val="24"/>
        </w:rPr>
        <w:t xml:space="preserve">a </w:t>
      </w:r>
      <w:r w:rsidR="0007500A" w:rsidRPr="008F4EED">
        <w:rPr>
          <w:sz w:val="24"/>
        </w:rPr>
        <w:t xml:space="preserve">regulatory </w:t>
      </w:r>
      <w:r w:rsidR="00155C3B">
        <w:rPr>
          <w:sz w:val="24"/>
        </w:rPr>
        <w:t>“</w:t>
      </w:r>
      <w:r w:rsidR="0007500A" w:rsidRPr="008F4EED">
        <w:rPr>
          <w:sz w:val="24"/>
        </w:rPr>
        <w:t>stool</w:t>
      </w:r>
      <w:r w:rsidR="00155C3B">
        <w:rPr>
          <w:sz w:val="24"/>
        </w:rPr>
        <w:t>”</w:t>
      </w:r>
      <w:r w:rsidR="0007500A" w:rsidRPr="008F4EED">
        <w:rPr>
          <w:sz w:val="24"/>
        </w:rPr>
        <w:t xml:space="preserve"> </w:t>
      </w:r>
      <w:r w:rsidR="006C5F25">
        <w:rPr>
          <w:sz w:val="24"/>
        </w:rPr>
        <w:t>t</w:t>
      </w:r>
      <w:r w:rsidR="00853EDA">
        <w:rPr>
          <w:sz w:val="24"/>
        </w:rPr>
        <w:t>hat</w:t>
      </w:r>
      <w:r w:rsidR="006C5F25">
        <w:rPr>
          <w:sz w:val="24"/>
        </w:rPr>
        <w:t xml:space="preserve"> support</w:t>
      </w:r>
      <w:r w:rsidR="00853EDA">
        <w:rPr>
          <w:sz w:val="24"/>
        </w:rPr>
        <w:t>s aggressive</w:t>
      </w:r>
      <w:r w:rsidR="006C5F25">
        <w:rPr>
          <w:sz w:val="24"/>
        </w:rPr>
        <w:t xml:space="preserve"> </w:t>
      </w:r>
      <w:r w:rsidR="0007500A" w:rsidRPr="008F4EED">
        <w:rPr>
          <w:sz w:val="24"/>
        </w:rPr>
        <w:t xml:space="preserve">energy efficiency, and we continue to support them. </w:t>
      </w:r>
      <w:r w:rsidR="00780DF1">
        <w:rPr>
          <w:sz w:val="24"/>
        </w:rPr>
        <w:t xml:space="preserve"> Increased energy efficiency remains the starting point for cost-effective strategies to reduce carbon </w:t>
      </w:r>
      <w:r w:rsidR="00853EDA">
        <w:rPr>
          <w:sz w:val="24"/>
        </w:rPr>
        <w:t>emissions</w:t>
      </w:r>
      <w:r w:rsidR="00940C98">
        <w:rPr>
          <w:sz w:val="24"/>
        </w:rPr>
        <w:t xml:space="preserve">, and these three legs of the stool allow utilities to incorporate energy efficiency into their core business models. </w:t>
      </w:r>
    </w:p>
    <w:p w:rsidR="0007500A" w:rsidRPr="008F4EED" w:rsidRDefault="0007500A" w:rsidP="008F4EED">
      <w:pPr>
        <w:spacing w:after="0" w:line="360" w:lineRule="auto"/>
        <w:rPr>
          <w:sz w:val="24"/>
        </w:rPr>
      </w:pPr>
    </w:p>
    <w:p w:rsidR="0007500A" w:rsidRPr="008F4EED" w:rsidRDefault="0007500A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t xml:space="preserve">By 2014 the scope of our concerns had broadened to include distributed energy resources. </w:t>
      </w:r>
      <w:r w:rsidR="002024CF" w:rsidRPr="008F4EED">
        <w:rPr>
          <w:sz w:val="24"/>
        </w:rPr>
        <w:t xml:space="preserve">We recognized that new </w:t>
      </w:r>
      <w:r w:rsidR="00301822">
        <w:rPr>
          <w:sz w:val="24"/>
        </w:rPr>
        <w:t xml:space="preserve">distributed </w:t>
      </w:r>
      <w:r w:rsidR="002024CF" w:rsidRPr="008F4EED">
        <w:rPr>
          <w:sz w:val="24"/>
        </w:rPr>
        <w:t xml:space="preserve">technologies are providing new opportunities for customers to use the grid more effectively and efficiently.  We urged regulators to view </w:t>
      </w:r>
      <w:r w:rsidR="00AA4FB0" w:rsidRPr="008F4EED">
        <w:rPr>
          <w:sz w:val="24"/>
        </w:rPr>
        <w:t>the retail electricity distribution business, not as a commodity business, dependent on growth in electricity usage</w:t>
      </w:r>
      <w:r w:rsidR="00301822">
        <w:rPr>
          <w:sz w:val="24"/>
        </w:rPr>
        <w:t>;</w:t>
      </w:r>
      <w:r w:rsidR="00AA4FB0" w:rsidRPr="008F4EED">
        <w:rPr>
          <w:sz w:val="24"/>
        </w:rPr>
        <w:t xml:space="preserve"> but as a network business that is meeting customers’ evolving energy service needs. </w:t>
      </w:r>
      <w:r w:rsidR="002024CF" w:rsidRPr="008F4EED">
        <w:rPr>
          <w:sz w:val="24"/>
        </w:rPr>
        <w:t xml:space="preserve"> We urged </w:t>
      </w:r>
      <w:r w:rsidR="00E3278E">
        <w:rPr>
          <w:sz w:val="24"/>
        </w:rPr>
        <w:t xml:space="preserve">regulators </w:t>
      </w:r>
      <w:r w:rsidR="002024CF" w:rsidRPr="008F4EED">
        <w:rPr>
          <w:sz w:val="24"/>
        </w:rPr>
        <w:t xml:space="preserve">to rethink how utility costs are </w:t>
      </w:r>
      <w:proofErr w:type="gramStart"/>
      <w:r w:rsidR="002024CF" w:rsidRPr="008F4EED">
        <w:rPr>
          <w:sz w:val="24"/>
        </w:rPr>
        <w:t>recovered</w:t>
      </w:r>
      <w:r w:rsidR="00AA4FB0" w:rsidRPr="008F4EED">
        <w:rPr>
          <w:sz w:val="24"/>
        </w:rPr>
        <w:t>,</w:t>
      </w:r>
      <w:proofErr w:type="gramEnd"/>
      <w:r w:rsidR="00AA4FB0" w:rsidRPr="008F4EED">
        <w:rPr>
          <w:sz w:val="24"/>
        </w:rPr>
        <w:t xml:space="preserve"> and to consider the need for new rate designs and new approaches that balance the desire for continued innovation with the need to recover the costs of the grid. </w:t>
      </w:r>
      <w:r w:rsidR="002024CF" w:rsidRPr="008F4EED">
        <w:rPr>
          <w:sz w:val="24"/>
        </w:rPr>
        <w:t>We affirmed that</w:t>
      </w:r>
      <w:r w:rsidR="00301822">
        <w:rPr>
          <w:sz w:val="24"/>
        </w:rPr>
        <w:t>,</w:t>
      </w:r>
      <w:r w:rsidR="002024CF" w:rsidRPr="008F4EED">
        <w:rPr>
          <w:sz w:val="24"/>
        </w:rPr>
        <w:t xml:space="preserve"> </w:t>
      </w:r>
      <w:r w:rsidR="00301822">
        <w:rPr>
          <w:sz w:val="24"/>
        </w:rPr>
        <w:t xml:space="preserve">consistent with principles of </w:t>
      </w:r>
      <w:r w:rsidR="00932B8B">
        <w:rPr>
          <w:sz w:val="24"/>
        </w:rPr>
        <w:t xml:space="preserve">rate design </w:t>
      </w:r>
      <w:r w:rsidR="00301822">
        <w:rPr>
          <w:sz w:val="24"/>
        </w:rPr>
        <w:t>espoused by</w:t>
      </w:r>
      <w:r w:rsidR="00932B8B">
        <w:rPr>
          <w:sz w:val="24"/>
        </w:rPr>
        <w:t xml:space="preserve"> Professor </w:t>
      </w:r>
      <w:proofErr w:type="spellStart"/>
      <w:r w:rsidR="00301822">
        <w:rPr>
          <w:sz w:val="24"/>
        </w:rPr>
        <w:t>Bonbright</w:t>
      </w:r>
      <w:proofErr w:type="spellEnd"/>
      <w:r w:rsidR="00301822">
        <w:rPr>
          <w:sz w:val="24"/>
        </w:rPr>
        <w:t xml:space="preserve">, </w:t>
      </w:r>
      <w:r w:rsidR="002024CF" w:rsidRPr="008F4EED">
        <w:rPr>
          <w:sz w:val="24"/>
        </w:rPr>
        <w:t>utilities deserve assurances</w:t>
      </w:r>
      <w:r w:rsidR="00AA4FB0" w:rsidRPr="008F4EED">
        <w:rPr>
          <w:sz w:val="24"/>
        </w:rPr>
        <w:t xml:space="preserve"> </w:t>
      </w:r>
      <w:r w:rsidR="00E3278E">
        <w:rPr>
          <w:sz w:val="24"/>
        </w:rPr>
        <w:t xml:space="preserve">that </w:t>
      </w:r>
      <w:r w:rsidR="00AA4FB0" w:rsidRPr="008F4EED">
        <w:rPr>
          <w:sz w:val="24"/>
        </w:rPr>
        <w:t>the recovery of their authorized non-fuel costs will not vary with fluctuation in electricity use</w:t>
      </w:r>
      <w:r w:rsidR="00940C98">
        <w:rPr>
          <w:sz w:val="24"/>
        </w:rPr>
        <w:t xml:space="preserve">; and equally, that </w:t>
      </w:r>
      <w:r w:rsidR="002024CF" w:rsidRPr="008F4EED">
        <w:rPr>
          <w:sz w:val="24"/>
        </w:rPr>
        <w:t>customers deserve assurances</w:t>
      </w:r>
      <w:r w:rsidR="00AA4FB0" w:rsidRPr="008F4EED">
        <w:rPr>
          <w:sz w:val="24"/>
        </w:rPr>
        <w:t xml:space="preserve"> that cost will not be shifted unreasonably to them from other customers.</w:t>
      </w:r>
      <w:r w:rsidR="00932B8B">
        <w:rPr>
          <w:rStyle w:val="FootnoteReference"/>
          <w:sz w:val="24"/>
        </w:rPr>
        <w:footnoteReference w:id="1"/>
      </w:r>
      <w:r w:rsidR="00AA4FB0" w:rsidRPr="008F4EED">
        <w:rPr>
          <w:sz w:val="24"/>
        </w:rPr>
        <w:t xml:space="preserve"> </w:t>
      </w:r>
      <w:r w:rsidR="002024CF" w:rsidRPr="008F4EED">
        <w:rPr>
          <w:sz w:val="24"/>
        </w:rPr>
        <w:t xml:space="preserve"> </w:t>
      </w:r>
    </w:p>
    <w:p w:rsidR="00233006" w:rsidRPr="008F4EED" w:rsidRDefault="00233006" w:rsidP="008F4EED">
      <w:pPr>
        <w:spacing w:after="0" w:line="360" w:lineRule="auto"/>
        <w:rPr>
          <w:sz w:val="24"/>
        </w:rPr>
      </w:pPr>
    </w:p>
    <w:p w:rsidR="005C1D2B" w:rsidRDefault="00184026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t>Against this background, let me address some of the specific questions posed in the commission’s notice of this hearing.</w:t>
      </w:r>
    </w:p>
    <w:p w:rsidR="007A265D" w:rsidRPr="008F4EED" w:rsidRDefault="00184026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lastRenderedPageBreak/>
        <w:t xml:space="preserve">  </w:t>
      </w:r>
    </w:p>
    <w:p w:rsidR="00184026" w:rsidRPr="008F4EED" w:rsidRDefault="00184026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>Whether revenue decoupling or other similar rate mechanisms encourage energy utilities to better implement energy effic</w:t>
      </w:r>
      <w:r w:rsidR="006C5F25">
        <w:rPr>
          <w:rFonts w:cs="Times New Roman"/>
          <w:b/>
          <w:sz w:val="24"/>
        </w:rPr>
        <w:t>iency and conservation programs.</w:t>
      </w:r>
    </w:p>
    <w:p w:rsidR="00184026" w:rsidRDefault="00E3278E" w:rsidP="008F4EE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In principle w</w:t>
      </w:r>
      <w:r w:rsidR="00184026" w:rsidRPr="008F4EED">
        <w:rPr>
          <w:rFonts w:cs="Times New Roman"/>
          <w:sz w:val="24"/>
        </w:rPr>
        <w:t>e believe they do</w:t>
      </w:r>
      <w:r w:rsidR="005C7C28">
        <w:rPr>
          <w:rFonts w:cs="Times New Roman"/>
          <w:sz w:val="24"/>
        </w:rPr>
        <w:t xml:space="preserve">, recognizing that whether revenue decoupling is needed in a given situation depends very much on the extent to which other similar rate mechanisms are in place. </w:t>
      </w:r>
    </w:p>
    <w:p w:rsidR="00E3278E" w:rsidRDefault="00A84321" w:rsidP="008F4EE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By assuring the recovery of costs incurred to build, operate, and modernize the grid, updated rate designs, supplemented with revenue decoupling</w:t>
      </w:r>
      <w:r w:rsidR="00853EDA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853EDA">
        <w:rPr>
          <w:rFonts w:cs="Times New Roman"/>
          <w:sz w:val="24"/>
        </w:rPr>
        <w:t>f</w:t>
      </w:r>
      <w:r>
        <w:rPr>
          <w:rFonts w:cs="Times New Roman"/>
          <w:sz w:val="24"/>
        </w:rPr>
        <w:t>ree utilities to pursue aggressive energy efficiency programs without worrying about the</w:t>
      </w:r>
      <w:r w:rsidR="00E3278E">
        <w:rPr>
          <w:rFonts w:cs="Times New Roman"/>
          <w:sz w:val="24"/>
        </w:rPr>
        <w:t xml:space="preserve"> impact on their credit rating, or the </w:t>
      </w:r>
      <w:r>
        <w:rPr>
          <w:rFonts w:cs="Times New Roman"/>
          <w:sz w:val="24"/>
        </w:rPr>
        <w:t>potential for inappropriate cost shifting among customers.</w:t>
      </w:r>
    </w:p>
    <w:p w:rsidR="00184026" w:rsidRPr="008F4EED" w:rsidRDefault="00184026" w:rsidP="008F4EED">
      <w:pPr>
        <w:pStyle w:val="ListParagraph"/>
        <w:spacing w:after="0" w:line="360" w:lineRule="auto"/>
        <w:rPr>
          <w:rFonts w:cs="Times New Roman"/>
          <w:sz w:val="24"/>
        </w:rPr>
      </w:pPr>
    </w:p>
    <w:p w:rsidR="00184026" w:rsidRPr="008F4EED" w:rsidRDefault="00184026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>Whether such rate mechanisms are just and reasonable and in the public interest</w:t>
      </w:r>
      <w:r w:rsidR="006C5F25">
        <w:rPr>
          <w:rFonts w:cs="Times New Roman"/>
          <w:b/>
          <w:sz w:val="24"/>
        </w:rPr>
        <w:t>.</w:t>
      </w:r>
    </w:p>
    <w:p w:rsidR="00F70C55" w:rsidRPr="00E3278E" w:rsidRDefault="00E3278E" w:rsidP="00E3278E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</w:rPr>
      </w:pPr>
      <w:r w:rsidRPr="00E3278E">
        <w:rPr>
          <w:rFonts w:cs="Times New Roman"/>
          <w:sz w:val="24"/>
        </w:rPr>
        <w:t>Properly implemented, w</w:t>
      </w:r>
      <w:r w:rsidR="00184026" w:rsidRPr="00E3278E">
        <w:rPr>
          <w:rFonts w:cs="Times New Roman"/>
          <w:sz w:val="24"/>
        </w:rPr>
        <w:t>e believe they are</w:t>
      </w:r>
      <w:r w:rsidR="005C1D2B" w:rsidRPr="00E3278E">
        <w:rPr>
          <w:rFonts w:cs="Times New Roman"/>
          <w:sz w:val="24"/>
        </w:rPr>
        <w:t>.</w:t>
      </w:r>
      <w:r w:rsidR="00F70C55" w:rsidRPr="00E3278E">
        <w:rPr>
          <w:rFonts w:cs="Times New Roman"/>
          <w:sz w:val="24"/>
        </w:rPr>
        <w:t xml:space="preserve"> </w:t>
      </w:r>
    </w:p>
    <w:p w:rsidR="00184026" w:rsidRPr="008F4EED" w:rsidRDefault="00184026" w:rsidP="008F4EED">
      <w:pPr>
        <w:pStyle w:val="ListParagraph"/>
        <w:spacing w:after="0" w:line="360" w:lineRule="auto"/>
        <w:rPr>
          <w:rFonts w:cs="Times New Roman"/>
          <w:sz w:val="24"/>
        </w:rPr>
      </w:pPr>
    </w:p>
    <w:p w:rsidR="00184026" w:rsidRPr="008F4EED" w:rsidRDefault="00184026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 xml:space="preserve">Whether the benefits of implementing such rate mechanisms outweigh any costs associated with implementing such mechanisms.  </w:t>
      </w:r>
    </w:p>
    <w:p w:rsidR="00184026" w:rsidRPr="008F4EED" w:rsidRDefault="00184026" w:rsidP="008F4EED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>We believe they can with appropriate oversight</w:t>
      </w:r>
      <w:r w:rsidR="00853EDA">
        <w:rPr>
          <w:rFonts w:cs="Times New Roman"/>
          <w:sz w:val="24"/>
        </w:rPr>
        <w:t xml:space="preserve">, as elaborated below. </w:t>
      </w:r>
    </w:p>
    <w:p w:rsidR="00184026" w:rsidRPr="008F4EED" w:rsidRDefault="00184026" w:rsidP="008F4EED">
      <w:pPr>
        <w:pStyle w:val="ListParagraph"/>
        <w:spacing w:after="0" w:line="360" w:lineRule="auto"/>
        <w:ind w:left="360"/>
        <w:rPr>
          <w:rFonts w:cs="Times New Roman"/>
          <w:b/>
          <w:sz w:val="24"/>
        </w:rPr>
      </w:pPr>
    </w:p>
    <w:p w:rsidR="00FA5A44" w:rsidRPr="008F4EED" w:rsidRDefault="00FA5A44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>Alignment of alternative rate mechanisms with utilities’ implementation of EE and conservation</w:t>
      </w:r>
      <w:r w:rsidR="006C5F25">
        <w:rPr>
          <w:rFonts w:cs="Times New Roman"/>
          <w:b/>
          <w:sz w:val="24"/>
        </w:rPr>
        <w:t>.</w:t>
      </w:r>
    </w:p>
    <w:p w:rsidR="00FA5A44" w:rsidRPr="008F4EED" w:rsidRDefault="00FA5A44" w:rsidP="008F4EED">
      <w:pPr>
        <w:pStyle w:val="ListParagraph"/>
        <w:spacing w:after="0" w:line="360" w:lineRule="auto"/>
        <w:ind w:left="360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In our view regulatory support for energy efficiency and conservation can best be accomplished via a three-legged stool consisting of: </w:t>
      </w:r>
    </w:p>
    <w:p w:rsidR="00FA5A44" w:rsidRPr="008F4EED" w:rsidRDefault="00FA5A44" w:rsidP="008F4EE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>Decoupling (and/or updated rate designs) to ensure recovery of allowed fixed costs</w:t>
      </w:r>
    </w:p>
    <w:p w:rsidR="00FA5A44" w:rsidRPr="008F4EED" w:rsidRDefault="00FA5A44" w:rsidP="008F4EE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EE program cost tracker – to keep up with </w:t>
      </w:r>
      <w:r w:rsidR="00B33A5A">
        <w:rPr>
          <w:rFonts w:cs="Times New Roman"/>
          <w:sz w:val="24"/>
        </w:rPr>
        <w:t xml:space="preserve">lost distribution revenue </w:t>
      </w:r>
      <w:r w:rsidRPr="008F4EED">
        <w:rPr>
          <w:rFonts w:cs="Times New Roman"/>
          <w:sz w:val="24"/>
        </w:rPr>
        <w:t>between rate cases</w:t>
      </w:r>
    </w:p>
    <w:p w:rsidR="00FA5A44" w:rsidRPr="008F4EED" w:rsidRDefault="00FA5A44" w:rsidP="008F4EED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Incentive mechanisms – to </w:t>
      </w:r>
      <w:r w:rsidR="00853EDA">
        <w:rPr>
          <w:rFonts w:cs="Times New Roman"/>
          <w:sz w:val="24"/>
        </w:rPr>
        <w:t xml:space="preserve">offer utilities </w:t>
      </w:r>
      <w:r w:rsidR="00B33A5A">
        <w:rPr>
          <w:rFonts w:cs="Times New Roman"/>
          <w:sz w:val="24"/>
        </w:rPr>
        <w:t xml:space="preserve">an earnings opportunity tied to verifiable success in delivering cost-effective </w:t>
      </w:r>
      <w:r w:rsidR="002864BB">
        <w:rPr>
          <w:rFonts w:cs="Times New Roman"/>
          <w:sz w:val="24"/>
        </w:rPr>
        <w:t xml:space="preserve">energy </w:t>
      </w:r>
      <w:r w:rsidR="00B33A5A">
        <w:rPr>
          <w:rFonts w:cs="Times New Roman"/>
          <w:sz w:val="24"/>
        </w:rPr>
        <w:t>savings</w:t>
      </w:r>
      <w:r w:rsidRPr="008F4EED">
        <w:rPr>
          <w:rFonts w:cs="Times New Roman"/>
          <w:sz w:val="24"/>
        </w:rPr>
        <w:t xml:space="preserve"> (e.g., </w:t>
      </w:r>
      <w:r w:rsidR="002864BB">
        <w:rPr>
          <w:rFonts w:cs="Times New Roman"/>
          <w:sz w:val="24"/>
        </w:rPr>
        <w:t xml:space="preserve">via </w:t>
      </w:r>
      <w:r w:rsidRPr="008F4EED">
        <w:rPr>
          <w:rFonts w:cs="Times New Roman"/>
          <w:sz w:val="24"/>
        </w:rPr>
        <w:t>shared savings, service fees, etc.)</w:t>
      </w:r>
      <w:r w:rsidR="002864BB">
        <w:rPr>
          <w:rFonts w:cs="Times New Roman"/>
          <w:sz w:val="24"/>
        </w:rPr>
        <w:t>.</w:t>
      </w:r>
    </w:p>
    <w:p w:rsidR="005B5BE9" w:rsidRPr="008F4EED" w:rsidRDefault="005B5BE9" w:rsidP="008F4EED">
      <w:pPr>
        <w:pStyle w:val="ListParagraph"/>
        <w:spacing w:after="0" w:line="360" w:lineRule="auto"/>
        <w:ind w:left="360"/>
        <w:rPr>
          <w:rFonts w:cs="Times New Roman"/>
          <w:b/>
          <w:sz w:val="24"/>
        </w:rPr>
      </w:pPr>
    </w:p>
    <w:p w:rsidR="00FA5A44" w:rsidRPr="008F4EED" w:rsidRDefault="00FA5A44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>Whether benefits of alternative rate mechanisms exceed associated costs</w:t>
      </w:r>
      <w:r w:rsidR="006C5F25">
        <w:rPr>
          <w:rFonts w:cs="Times New Roman"/>
          <w:b/>
          <w:sz w:val="24"/>
        </w:rPr>
        <w:t>.</w:t>
      </w:r>
    </w:p>
    <w:p w:rsidR="00FA5A44" w:rsidRPr="008F4EED" w:rsidRDefault="002864BB" w:rsidP="008F4EED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Assurance of a net benefit for customers s</w:t>
      </w:r>
      <w:r w:rsidR="00FA5A44" w:rsidRPr="008F4EED">
        <w:rPr>
          <w:rFonts w:cs="Times New Roman"/>
          <w:sz w:val="24"/>
        </w:rPr>
        <w:t xml:space="preserve">hould be a design criterion </w:t>
      </w:r>
      <w:r>
        <w:rPr>
          <w:rFonts w:cs="Times New Roman"/>
          <w:sz w:val="24"/>
        </w:rPr>
        <w:t xml:space="preserve">for </w:t>
      </w:r>
      <w:r w:rsidR="00FA5A44" w:rsidRPr="008F4EED">
        <w:rPr>
          <w:rFonts w:cs="Times New Roman"/>
          <w:sz w:val="24"/>
        </w:rPr>
        <w:t xml:space="preserve">performance incentive mechanisms. </w:t>
      </w:r>
      <w:r>
        <w:rPr>
          <w:rFonts w:cs="Times New Roman"/>
          <w:sz w:val="24"/>
        </w:rPr>
        <w:t>Incentives should be large enough to motivate utility performance, but not so large as to exceed to benefit customers would realize through strong performance.</w:t>
      </w:r>
      <w:r w:rsidR="00FA5A44" w:rsidRPr="008F4EED">
        <w:rPr>
          <w:rFonts w:cs="Times New Roman"/>
          <w:sz w:val="24"/>
        </w:rPr>
        <w:t xml:space="preserve"> </w:t>
      </w:r>
    </w:p>
    <w:p w:rsidR="00FA5A44" w:rsidRPr="008F4EED" w:rsidRDefault="00FA5A44" w:rsidP="008F4EED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For other </w:t>
      </w:r>
      <w:proofErr w:type="spellStart"/>
      <w:r w:rsidR="002864BB">
        <w:rPr>
          <w:rFonts w:cs="Times New Roman"/>
          <w:sz w:val="24"/>
        </w:rPr>
        <w:t>altreg</w:t>
      </w:r>
      <w:proofErr w:type="spellEnd"/>
      <w:r w:rsidR="002864BB">
        <w:rPr>
          <w:rFonts w:cs="Times New Roman"/>
          <w:sz w:val="24"/>
        </w:rPr>
        <w:t xml:space="preserve"> </w:t>
      </w:r>
      <w:r w:rsidRPr="008F4EED">
        <w:rPr>
          <w:rFonts w:cs="Times New Roman"/>
          <w:sz w:val="24"/>
        </w:rPr>
        <w:t xml:space="preserve">mechanisms, </w:t>
      </w:r>
      <w:r w:rsidR="002864BB">
        <w:rPr>
          <w:rFonts w:cs="Times New Roman"/>
          <w:sz w:val="24"/>
        </w:rPr>
        <w:t xml:space="preserve">the </w:t>
      </w:r>
      <w:r w:rsidRPr="008F4EED">
        <w:rPr>
          <w:rFonts w:cs="Times New Roman"/>
          <w:sz w:val="24"/>
        </w:rPr>
        <w:t xml:space="preserve">commission should monitor impacts in terms of parameters such as energy savings, peak load management, rate volatility, and possible cost-shifting - to ensure that benefits justify </w:t>
      </w:r>
      <w:r w:rsidR="002864BB">
        <w:rPr>
          <w:rFonts w:cs="Times New Roman"/>
          <w:sz w:val="24"/>
        </w:rPr>
        <w:t xml:space="preserve">any </w:t>
      </w:r>
      <w:r w:rsidRPr="008F4EED">
        <w:rPr>
          <w:rFonts w:cs="Times New Roman"/>
          <w:sz w:val="24"/>
        </w:rPr>
        <w:t>costs</w:t>
      </w:r>
      <w:r w:rsidR="006C5F25">
        <w:rPr>
          <w:rFonts w:cs="Times New Roman"/>
          <w:sz w:val="24"/>
        </w:rPr>
        <w:t>.</w:t>
      </w:r>
      <w:r w:rsidRPr="008F4EED">
        <w:rPr>
          <w:rFonts w:cs="Times New Roman"/>
          <w:sz w:val="24"/>
        </w:rPr>
        <w:t xml:space="preserve">   </w:t>
      </w:r>
    </w:p>
    <w:p w:rsidR="005B5BE9" w:rsidRPr="008F4EED" w:rsidRDefault="005B5BE9" w:rsidP="008F4EED">
      <w:pPr>
        <w:pStyle w:val="ListParagraph"/>
        <w:spacing w:after="0" w:line="360" w:lineRule="auto"/>
        <w:ind w:left="360"/>
        <w:rPr>
          <w:rFonts w:cs="Times New Roman"/>
          <w:b/>
          <w:sz w:val="24"/>
        </w:rPr>
      </w:pPr>
    </w:p>
    <w:p w:rsidR="00FA5A44" w:rsidRPr="008F4EED" w:rsidRDefault="00FA5A44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 xml:space="preserve">Whether there is an optimal </w:t>
      </w:r>
      <w:proofErr w:type="spellStart"/>
      <w:r w:rsidRPr="008F4EED">
        <w:rPr>
          <w:rFonts w:cs="Times New Roman"/>
          <w:b/>
          <w:sz w:val="24"/>
        </w:rPr>
        <w:t>altreg</w:t>
      </w:r>
      <w:proofErr w:type="spellEnd"/>
      <w:r w:rsidRPr="008F4EED">
        <w:rPr>
          <w:rFonts w:cs="Times New Roman"/>
          <w:b/>
          <w:sz w:val="24"/>
        </w:rPr>
        <w:t xml:space="preserve"> rate mechanism for EE and conservation</w:t>
      </w:r>
      <w:r w:rsidR="006C5F25">
        <w:rPr>
          <w:rFonts w:cs="Times New Roman"/>
          <w:b/>
          <w:sz w:val="24"/>
        </w:rPr>
        <w:t>.</w:t>
      </w:r>
    </w:p>
    <w:p w:rsidR="00FA5A44" w:rsidRPr="002864BB" w:rsidRDefault="00FA5A44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</w:rPr>
      </w:pPr>
      <w:r w:rsidRPr="002864BB">
        <w:rPr>
          <w:rFonts w:cs="Times New Roman"/>
          <w:sz w:val="24"/>
        </w:rPr>
        <w:t xml:space="preserve">No, </w:t>
      </w:r>
      <w:proofErr w:type="spellStart"/>
      <w:r w:rsidR="002864BB" w:rsidRPr="002864BB">
        <w:rPr>
          <w:rFonts w:cs="Times New Roman"/>
          <w:sz w:val="24"/>
        </w:rPr>
        <w:t>altreg</w:t>
      </w:r>
      <w:proofErr w:type="spellEnd"/>
      <w:r w:rsidR="002864BB" w:rsidRPr="002864BB">
        <w:rPr>
          <w:rFonts w:cs="Times New Roman"/>
          <w:sz w:val="24"/>
        </w:rPr>
        <w:t xml:space="preserve"> policies </w:t>
      </w:r>
      <w:r w:rsidR="002864BB">
        <w:rPr>
          <w:rFonts w:cs="Times New Roman"/>
          <w:sz w:val="24"/>
        </w:rPr>
        <w:t>need to fit</w:t>
      </w:r>
      <w:r w:rsidR="002864BB" w:rsidRPr="002864BB">
        <w:rPr>
          <w:rFonts w:cs="Times New Roman"/>
          <w:sz w:val="24"/>
        </w:rPr>
        <w:t xml:space="preserve"> the </w:t>
      </w:r>
      <w:r w:rsidRPr="002864BB">
        <w:rPr>
          <w:rFonts w:cs="Times New Roman"/>
          <w:sz w:val="24"/>
        </w:rPr>
        <w:t>circumstances of the utility and the service territory</w:t>
      </w:r>
      <w:r w:rsidR="005C7C28">
        <w:rPr>
          <w:rFonts w:cs="Times New Roman"/>
          <w:sz w:val="24"/>
        </w:rPr>
        <w:t>, as well as regulatory policies and preferences</w:t>
      </w:r>
      <w:r w:rsidR="002864BB">
        <w:rPr>
          <w:rFonts w:cs="Times New Roman"/>
          <w:sz w:val="24"/>
        </w:rPr>
        <w:t>.</w:t>
      </w:r>
      <w:r w:rsidRPr="002864BB">
        <w:rPr>
          <w:rFonts w:cs="Times New Roman"/>
          <w:sz w:val="24"/>
        </w:rPr>
        <w:t xml:space="preserve"> </w:t>
      </w:r>
    </w:p>
    <w:p w:rsidR="005B5BE9" w:rsidRPr="008F4EED" w:rsidRDefault="005B5BE9" w:rsidP="008F4EED">
      <w:pPr>
        <w:pStyle w:val="ListParagraph"/>
        <w:spacing w:after="0" w:line="360" w:lineRule="auto"/>
        <w:ind w:left="360"/>
        <w:rPr>
          <w:rFonts w:cs="Times New Roman"/>
          <w:b/>
          <w:sz w:val="24"/>
        </w:rPr>
      </w:pPr>
    </w:p>
    <w:p w:rsidR="00FA5A44" w:rsidRPr="008F4EED" w:rsidRDefault="00FA5A44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</w:rPr>
      </w:pPr>
      <w:r w:rsidRPr="008F4EED">
        <w:rPr>
          <w:rFonts w:cs="Times New Roman"/>
          <w:b/>
          <w:sz w:val="24"/>
        </w:rPr>
        <w:t>Identification of best practices in other jurisdictions</w:t>
      </w:r>
      <w:r w:rsidR="006C5F25">
        <w:rPr>
          <w:rFonts w:cs="Times New Roman"/>
          <w:b/>
          <w:sz w:val="24"/>
        </w:rPr>
        <w:t>.</w:t>
      </w:r>
    </w:p>
    <w:p w:rsidR="00FA5A44" w:rsidRPr="008F4EED" w:rsidRDefault="00FA5A44" w:rsidP="008F4EED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See </w:t>
      </w:r>
      <w:r w:rsidR="00AA1716">
        <w:rPr>
          <w:rFonts w:cs="Times New Roman"/>
          <w:sz w:val="24"/>
        </w:rPr>
        <w:t xml:space="preserve">the </w:t>
      </w:r>
      <w:r w:rsidRPr="008F4EED">
        <w:rPr>
          <w:rFonts w:cs="Times New Roman"/>
          <w:sz w:val="24"/>
        </w:rPr>
        <w:t xml:space="preserve">EEI </w:t>
      </w:r>
      <w:proofErr w:type="spellStart"/>
      <w:r w:rsidRPr="008F4EED">
        <w:rPr>
          <w:rFonts w:cs="Times New Roman"/>
          <w:sz w:val="24"/>
        </w:rPr>
        <w:t>Altreg</w:t>
      </w:r>
      <w:proofErr w:type="spellEnd"/>
      <w:r w:rsidRPr="008F4EED">
        <w:rPr>
          <w:rFonts w:cs="Times New Roman"/>
          <w:sz w:val="24"/>
        </w:rPr>
        <w:t xml:space="preserve"> survey, 2015 update</w:t>
      </w:r>
      <w:r w:rsidR="000C7804">
        <w:rPr>
          <w:rFonts w:cs="Times New Roman"/>
          <w:sz w:val="24"/>
        </w:rPr>
        <w:t xml:space="preserve">, a copy of which has been included. </w:t>
      </w:r>
    </w:p>
    <w:p w:rsidR="005B5BE9" w:rsidRPr="008F4EED" w:rsidRDefault="005B5BE9" w:rsidP="008F4EED">
      <w:pPr>
        <w:pStyle w:val="ListParagraph"/>
        <w:spacing w:after="0" w:line="360" w:lineRule="auto"/>
        <w:ind w:left="360"/>
        <w:rPr>
          <w:rFonts w:cs="Times New Roman"/>
          <w:b/>
          <w:noProof/>
          <w:sz w:val="24"/>
        </w:rPr>
      </w:pPr>
    </w:p>
    <w:p w:rsidR="00FA5A44" w:rsidRPr="008F4EED" w:rsidRDefault="00FA5A44" w:rsidP="008F4EED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noProof/>
          <w:sz w:val="24"/>
        </w:rPr>
      </w:pPr>
      <w:r w:rsidRPr="008F4EED">
        <w:rPr>
          <w:rFonts w:cs="Times New Roman"/>
          <w:b/>
          <w:noProof/>
          <w:sz w:val="24"/>
        </w:rPr>
        <w:t>Identification of cost of capital impacts</w:t>
      </w:r>
      <w:r w:rsidR="006C5F25">
        <w:rPr>
          <w:rFonts w:cs="Times New Roman"/>
          <w:b/>
          <w:noProof/>
          <w:sz w:val="24"/>
        </w:rPr>
        <w:t>.</w:t>
      </w:r>
    </w:p>
    <w:p w:rsidR="00FA5A44" w:rsidRPr="008F4EED" w:rsidRDefault="00E11811" w:rsidP="008F4EED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 xml:space="preserve">A number of highly qualified researchers have analyzed the possible relationship between </w:t>
      </w:r>
      <w:r w:rsidR="004B4402" w:rsidRPr="008F4EED">
        <w:rPr>
          <w:rFonts w:cs="Times New Roman"/>
          <w:sz w:val="24"/>
        </w:rPr>
        <w:t xml:space="preserve">decoupling and the market cost of equity, using a variety of methods, and found that decoupling has no discernable impact of the utility’s cost of equity capital. </w:t>
      </w:r>
      <w:r w:rsidRPr="008F4EED">
        <w:rPr>
          <w:rFonts w:cs="Times New Roman"/>
          <w:sz w:val="24"/>
        </w:rPr>
        <w:t xml:space="preserve"> </w:t>
      </w:r>
    </w:p>
    <w:p w:rsidR="00FA5A44" w:rsidRPr="008F4EED" w:rsidRDefault="004B4402" w:rsidP="008F4EED">
      <w:pPr>
        <w:pStyle w:val="ListParagraph"/>
        <w:numPr>
          <w:ilvl w:val="0"/>
          <w:numId w:val="4"/>
        </w:numPr>
        <w:spacing w:after="0" w:line="360" w:lineRule="auto"/>
        <w:rPr>
          <w:rFonts w:cs="Times New Roman"/>
          <w:sz w:val="24"/>
        </w:rPr>
      </w:pPr>
      <w:r w:rsidRPr="008F4EED">
        <w:rPr>
          <w:rFonts w:cs="Times New Roman"/>
          <w:sz w:val="24"/>
        </w:rPr>
        <w:t>I can provide references as requested.</w:t>
      </w:r>
    </w:p>
    <w:p w:rsidR="001F283A" w:rsidRPr="008F4EED" w:rsidRDefault="001F283A" w:rsidP="008F4EED">
      <w:pPr>
        <w:spacing w:after="0" w:line="360" w:lineRule="auto"/>
        <w:rPr>
          <w:sz w:val="24"/>
        </w:rPr>
      </w:pPr>
    </w:p>
    <w:p w:rsidR="00AA1716" w:rsidRDefault="001F283A" w:rsidP="008F4EED">
      <w:pPr>
        <w:spacing w:after="0" w:line="360" w:lineRule="auto"/>
        <w:rPr>
          <w:rFonts w:cs="Times New Roman"/>
          <w:sz w:val="24"/>
        </w:rPr>
      </w:pPr>
      <w:r w:rsidRPr="008F4EED">
        <w:rPr>
          <w:sz w:val="24"/>
        </w:rPr>
        <w:t>In conclusion</w:t>
      </w:r>
      <w:r w:rsidR="005C7C28">
        <w:rPr>
          <w:sz w:val="24"/>
        </w:rPr>
        <w:t xml:space="preserve">, </w:t>
      </w:r>
      <w:r w:rsidR="007D5C7F" w:rsidRPr="008F4EED">
        <w:rPr>
          <w:rFonts w:cs="Times New Roman"/>
          <w:sz w:val="24"/>
        </w:rPr>
        <w:t>P</w:t>
      </w:r>
      <w:r w:rsidR="00AA1716">
        <w:rPr>
          <w:rFonts w:cs="Times New Roman"/>
          <w:sz w:val="24"/>
        </w:rPr>
        <w:t xml:space="preserve">ennsylvania </w:t>
      </w:r>
      <w:r w:rsidR="006015FF">
        <w:rPr>
          <w:rFonts w:cs="Times New Roman"/>
          <w:sz w:val="24"/>
        </w:rPr>
        <w:t xml:space="preserve">already has </w:t>
      </w:r>
      <w:r w:rsidR="007D5C7F" w:rsidRPr="008F4EED">
        <w:rPr>
          <w:rFonts w:cs="Times New Roman"/>
          <w:sz w:val="24"/>
        </w:rPr>
        <w:t xml:space="preserve">done a lot </w:t>
      </w:r>
      <w:r w:rsidR="005C1D2B">
        <w:rPr>
          <w:rFonts w:cs="Times New Roman"/>
          <w:sz w:val="24"/>
        </w:rPr>
        <w:t xml:space="preserve">of the </w:t>
      </w:r>
      <w:r w:rsidR="007D5C7F" w:rsidRPr="008F4EED">
        <w:rPr>
          <w:rFonts w:cs="Times New Roman"/>
          <w:sz w:val="24"/>
        </w:rPr>
        <w:t>right</w:t>
      </w:r>
      <w:r w:rsidR="00AC7C36">
        <w:rPr>
          <w:rFonts w:cs="Times New Roman"/>
          <w:sz w:val="24"/>
        </w:rPr>
        <w:t xml:space="preserve"> </w:t>
      </w:r>
      <w:r w:rsidR="005C1D2B">
        <w:rPr>
          <w:rFonts w:cs="Times New Roman"/>
          <w:sz w:val="24"/>
        </w:rPr>
        <w:t xml:space="preserve">things </w:t>
      </w:r>
      <w:r w:rsidR="006015FF">
        <w:rPr>
          <w:rFonts w:cs="Times New Roman"/>
          <w:sz w:val="24"/>
        </w:rPr>
        <w:t xml:space="preserve">to preserve the </w:t>
      </w:r>
      <w:r w:rsidR="0084083D">
        <w:rPr>
          <w:rFonts w:cs="Times New Roman"/>
          <w:sz w:val="24"/>
        </w:rPr>
        <w:t xml:space="preserve">regulatory </w:t>
      </w:r>
      <w:r w:rsidR="006015FF">
        <w:rPr>
          <w:rFonts w:cs="Times New Roman"/>
          <w:sz w:val="24"/>
        </w:rPr>
        <w:t>compact in the face of changing customer needs</w:t>
      </w:r>
      <w:r w:rsidR="004B4402" w:rsidRPr="008F4EED">
        <w:rPr>
          <w:rFonts w:cs="Times New Roman"/>
          <w:sz w:val="24"/>
        </w:rPr>
        <w:t>. The use of a f</w:t>
      </w:r>
      <w:r w:rsidR="007D5C7F" w:rsidRPr="008F4EED">
        <w:rPr>
          <w:rFonts w:cs="Times New Roman"/>
          <w:sz w:val="24"/>
        </w:rPr>
        <w:t>ully forecasted test year</w:t>
      </w:r>
      <w:r w:rsidR="004B4402" w:rsidRPr="008F4EED">
        <w:rPr>
          <w:rFonts w:cs="Times New Roman"/>
          <w:sz w:val="24"/>
        </w:rPr>
        <w:t xml:space="preserve"> and capital cost trackers, including </w:t>
      </w:r>
      <w:r w:rsidR="005C7C28">
        <w:rPr>
          <w:rFonts w:cs="Times New Roman"/>
          <w:sz w:val="24"/>
        </w:rPr>
        <w:t>a D</w:t>
      </w:r>
      <w:r w:rsidR="007D5C7F" w:rsidRPr="008F4EED">
        <w:rPr>
          <w:rFonts w:cs="Times New Roman"/>
          <w:sz w:val="24"/>
        </w:rPr>
        <w:t xml:space="preserve">istribution </w:t>
      </w:r>
      <w:r w:rsidR="005C7C28">
        <w:rPr>
          <w:rFonts w:cs="Times New Roman"/>
          <w:sz w:val="24"/>
        </w:rPr>
        <w:t>S</w:t>
      </w:r>
      <w:r w:rsidR="007D5C7F" w:rsidRPr="008F4EED">
        <w:rPr>
          <w:rFonts w:cs="Times New Roman"/>
          <w:sz w:val="24"/>
        </w:rPr>
        <w:t xml:space="preserve">ystem </w:t>
      </w:r>
      <w:r w:rsidR="005C7C28">
        <w:rPr>
          <w:rFonts w:cs="Times New Roman"/>
          <w:sz w:val="24"/>
        </w:rPr>
        <w:t>I</w:t>
      </w:r>
      <w:r w:rsidR="007D5C7F" w:rsidRPr="008F4EED">
        <w:rPr>
          <w:rFonts w:cs="Times New Roman"/>
          <w:sz w:val="24"/>
        </w:rPr>
        <w:t xml:space="preserve">mprovement </w:t>
      </w:r>
      <w:r w:rsidR="005C7C28">
        <w:rPr>
          <w:rFonts w:cs="Times New Roman"/>
          <w:sz w:val="24"/>
        </w:rPr>
        <w:t>C</w:t>
      </w:r>
      <w:r w:rsidR="007D5C7F" w:rsidRPr="008F4EED">
        <w:rPr>
          <w:rFonts w:cs="Times New Roman"/>
          <w:sz w:val="24"/>
        </w:rPr>
        <w:t>harge</w:t>
      </w:r>
      <w:r w:rsidR="004B4402" w:rsidRPr="008F4EED">
        <w:rPr>
          <w:rFonts w:cs="Times New Roman"/>
          <w:sz w:val="24"/>
        </w:rPr>
        <w:t xml:space="preserve"> – </w:t>
      </w:r>
      <w:r w:rsidR="000E4447">
        <w:rPr>
          <w:rFonts w:cs="Times New Roman"/>
          <w:sz w:val="24"/>
        </w:rPr>
        <w:t xml:space="preserve">reflect </w:t>
      </w:r>
      <w:r w:rsidR="007B325E">
        <w:rPr>
          <w:rFonts w:cs="Times New Roman"/>
          <w:sz w:val="24"/>
        </w:rPr>
        <w:t xml:space="preserve">a recognition </w:t>
      </w:r>
      <w:r w:rsidR="009E5B62">
        <w:rPr>
          <w:rFonts w:cs="Times New Roman"/>
          <w:sz w:val="24"/>
        </w:rPr>
        <w:t xml:space="preserve">that the </w:t>
      </w:r>
      <w:r w:rsidR="007B325E">
        <w:rPr>
          <w:rFonts w:cs="Times New Roman"/>
          <w:sz w:val="24"/>
        </w:rPr>
        <w:t xml:space="preserve">distribution business </w:t>
      </w:r>
      <w:r w:rsidR="009E5B62">
        <w:rPr>
          <w:rFonts w:cs="Times New Roman"/>
          <w:sz w:val="24"/>
        </w:rPr>
        <w:t xml:space="preserve">is becoming </w:t>
      </w:r>
      <w:r w:rsidR="007B325E">
        <w:rPr>
          <w:rFonts w:cs="Times New Roman"/>
          <w:sz w:val="24"/>
        </w:rPr>
        <w:t>a service business</w:t>
      </w:r>
      <w:r w:rsidR="009E5B62">
        <w:rPr>
          <w:rFonts w:cs="Times New Roman"/>
          <w:sz w:val="24"/>
        </w:rPr>
        <w:t>,</w:t>
      </w:r>
      <w:r w:rsidR="007B325E">
        <w:rPr>
          <w:rFonts w:cs="Times New Roman"/>
          <w:sz w:val="24"/>
        </w:rPr>
        <w:t xml:space="preserve"> whose costs are incurred independent of power volume.  As customers’ service needs continue to evolve</w:t>
      </w:r>
      <w:r w:rsidR="009E5B62">
        <w:rPr>
          <w:rFonts w:cs="Times New Roman"/>
          <w:sz w:val="24"/>
        </w:rPr>
        <w:t>,</w:t>
      </w:r>
      <w:r w:rsidR="007B325E">
        <w:rPr>
          <w:rFonts w:cs="Times New Roman"/>
          <w:sz w:val="24"/>
        </w:rPr>
        <w:t xml:space="preserve"> </w:t>
      </w:r>
      <w:r w:rsidR="000E4447">
        <w:rPr>
          <w:rFonts w:cs="Times New Roman"/>
          <w:sz w:val="24"/>
        </w:rPr>
        <w:t>the Commission must continue to balance innovation with appropriate cost recovery. R</w:t>
      </w:r>
      <w:r w:rsidR="007B325E">
        <w:rPr>
          <w:rFonts w:cs="Times New Roman"/>
          <w:sz w:val="24"/>
        </w:rPr>
        <w:t>evenue decoupling, together with updat</w:t>
      </w:r>
      <w:r w:rsidR="005C1D2B">
        <w:rPr>
          <w:rFonts w:cs="Times New Roman"/>
          <w:sz w:val="24"/>
        </w:rPr>
        <w:t>ed</w:t>
      </w:r>
      <w:r w:rsidR="007B325E">
        <w:rPr>
          <w:rFonts w:cs="Times New Roman"/>
          <w:sz w:val="24"/>
        </w:rPr>
        <w:t xml:space="preserve"> rate designs, can </w:t>
      </w:r>
      <w:r w:rsidR="009E5B62">
        <w:rPr>
          <w:rFonts w:cs="Times New Roman"/>
          <w:sz w:val="24"/>
        </w:rPr>
        <w:t>give Pennsylvania utilities greater</w:t>
      </w:r>
      <w:r w:rsidR="00155C3B">
        <w:rPr>
          <w:rFonts w:cs="Times New Roman"/>
          <w:sz w:val="24"/>
        </w:rPr>
        <w:t xml:space="preserve"> flexibility to serve customers’ evolving needs. </w:t>
      </w:r>
      <w:r w:rsidR="000E4447">
        <w:rPr>
          <w:rFonts w:cs="Times New Roman"/>
          <w:sz w:val="24"/>
        </w:rPr>
        <w:t xml:space="preserve">It is very appropriate to give </w:t>
      </w:r>
      <w:r w:rsidR="005C7C28">
        <w:rPr>
          <w:rFonts w:cs="Times New Roman"/>
          <w:sz w:val="24"/>
        </w:rPr>
        <w:t>serious consideration</w:t>
      </w:r>
      <w:r w:rsidR="000E4447">
        <w:rPr>
          <w:rFonts w:cs="Times New Roman"/>
          <w:sz w:val="24"/>
        </w:rPr>
        <w:t xml:space="preserve"> to both.</w:t>
      </w:r>
      <w:r w:rsidR="005C7C28">
        <w:rPr>
          <w:rFonts w:cs="Times New Roman"/>
          <w:sz w:val="24"/>
        </w:rPr>
        <w:t xml:space="preserve"> </w:t>
      </w:r>
      <w:r w:rsidR="009E5B62">
        <w:rPr>
          <w:rFonts w:cs="Times New Roman"/>
          <w:sz w:val="24"/>
        </w:rPr>
        <w:t xml:space="preserve"> </w:t>
      </w:r>
    </w:p>
    <w:p w:rsidR="007B1D00" w:rsidRDefault="007B1D00" w:rsidP="008F4EED">
      <w:pPr>
        <w:spacing w:after="0" w:line="360" w:lineRule="auto"/>
        <w:rPr>
          <w:rFonts w:cs="Times New Roman"/>
          <w:sz w:val="24"/>
        </w:rPr>
      </w:pPr>
    </w:p>
    <w:p w:rsidR="007A265D" w:rsidRPr="008F4EED" w:rsidRDefault="007D5C7F" w:rsidP="008F4EED">
      <w:pPr>
        <w:spacing w:after="0" w:line="360" w:lineRule="auto"/>
        <w:rPr>
          <w:sz w:val="24"/>
        </w:rPr>
      </w:pPr>
      <w:r w:rsidRPr="008F4EED">
        <w:rPr>
          <w:sz w:val="24"/>
        </w:rPr>
        <w:t xml:space="preserve">Thank you. </w:t>
      </w:r>
      <w:r w:rsidR="001F283A" w:rsidRPr="008F4EED">
        <w:rPr>
          <w:sz w:val="24"/>
        </w:rPr>
        <w:tab/>
      </w:r>
    </w:p>
    <w:sectPr w:rsidR="007A265D" w:rsidRPr="008F4E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A4" w:rsidRDefault="00CD06A4" w:rsidP="00370F10">
      <w:pPr>
        <w:spacing w:after="0" w:line="240" w:lineRule="auto"/>
      </w:pPr>
      <w:r>
        <w:separator/>
      </w:r>
    </w:p>
  </w:endnote>
  <w:endnote w:type="continuationSeparator" w:id="0">
    <w:p w:rsidR="00CD06A4" w:rsidRDefault="00CD06A4" w:rsidP="0037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A4" w:rsidRDefault="00CD06A4" w:rsidP="00370F10">
      <w:pPr>
        <w:spacing w:after="0" w:line="240" w:lineRule="auto"/>
      </w:pPr>
      <w:r>
        <w:separator/>
      </w:r>
    </w:p>
  </w:footnote>
  <w:footnote w:type="continuationSeparator" w:id="0">
    <w:p w:rsidR="00CD06A4" w:rsidRDefault="00CD06A4" w:rsidP="00370F10">
      <w:pPr>
        <w:spacing w:after="0" w:line="240" w:lineRule="auto"/>
      </w:pPr>
      <w:r>
        <w:continuationSeparator/>
      </w:r>
    </w:p>
  </w:footnote>
  <w:footnote w:id="1">
    <w:p w:rsidR="00932B8B" w:rsidRDefault="00932B8B">
      <w:pPr>
        <w:pStyle w:val="FootnoteText"/>
      </w:pPr>
      <w:r>
        <w:rPr>
          <w:rStyle w:val="FootnoteReference"/>
        </w:rPr>
        <w:footnoteRef/>
      </w:r>
      <w:r>
        <w:t xml:space="preserve"> See James C. </w:t>
      </w:r>
      <w:proofErr w:type="spellStart"/>
      <w:r>
        <w:t>Bonbright</w:t>
      </w:r>
      <w:proofErr w:type="spellEnd"/>
      <w:r>
        <w:t xml:space="preserve">, Albert L. </w:t>
      </w:r>
      <w:proofErr w:type="spellStart"/>
      <w:r>
        <w:t>Danielsen</w:t>
      </w:r>
      <w:proofErr w:type="spellEnd"/>
      <w:r>
        <w:t xml:space="preserve"> and David R. </w:t>
      </w:r>
      <w:proofErr w:type="spellStart"/>
      <w:r>
        <w:t>Kamerschen</w:t>
      </w:r>
      <w:proofErr w:type="spellEnd"/>
      <w:r>
        <w:t>,</w:t>
      </w:r>
      <w:r w:rsidR="005C1D2B">
        <w:t xml:space="preserve"> “</w:t>
      </w:r>
      <w:r>
        <w:t>Principles of Publi</w:t>
      </w:r>
      <w:r w:rsidR="00940C98">
        <w:t>c</w:t>
      </w:r>
      <w:r>
        <w:t xml:space="preserve"> Utilit</w:t>
      </w:r>
      <w:r w:rsidR="00940C98">
        <w:t>y</w:t>
      </w:r>
      <w:r>
        <w:t xml:space="preserve"> Rates, 2</w:t>
      </w:r>
      <w:r w:rsidRPr="00940C98">
        <w:rPr>
          <w:vertAlign w:val="superscript"/>
        </w:rPr>
        <w:t>nd</w:t>
      </w:r>
      <w:r>
        <w:t xml:space="preserve"> Edition,</w:t>
      </w:r>
      <w:r w:rsidR="005C1D2B">
        <w:t>”</w:t>
      </w:r>
      <w:r>
        <w:t xml:space="preserve"> Public Utiliti</w:t>
      </w:r>
      <w:r w:rsidR="00940C98">
        <w:t>e</w:t>
      </w:r>
      <w:r>
        <w:t>s Report (March, 1988)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10" w:rsidRDefault="00370F10">
    <w:pPr>
      <w:pStyle w:val="Header"/>
      <w:rPr>
        <w:sz w:val="20"/>
      </w:rPr>
    </w:pPr>
    <w:r w:rsidRPr="00370F10">
      <w:rPr>
        <w:sz w:val="20"/>
      </w:rPr>
      <w:t xml:space="preserve">Re. </w:t>
    </w:r>
    <w:proofErr w:type="spellStart"/>
    <w:r w:rsidRPr="00370F10">
      <w:rPr>
        <w:i/>
        <w:sz w:val="20"/>
      </w:rPr>
      <w:t>En</w:t>
    </w:r>
    <w:proofErr w:type="spellEnd"/>
    <w:r w:rsidRPr="00370F10">
      <w:rPr>
        <w:i/>
        <w:sz w:val="20"/>
      </w:rPr>
      <w:t xml:space="preserve"> Banc</w:t>
    </w:r>
    <w:r w:rsidRPr="00370F10">
      <w:rPr>
        <w:sz w:val="20"/>
      </w:rPr>
      <w:t xml:space="preserve"> Hearing on Alternative Ratemaking Methodologies,</w:t>
    </w:r>
    <w:r w:rsidR="0084083D">
      <w:rPr>
        <w:sz w:val="20"/>
      </w:rPr>
      <w:t xml:space="preserve"> Pennsylvania Public Utility Commission,</w:t>
    </w:r>
    <w:r w:rsidRPr="00370F10">
      <w:rPr>
        <w:sz w:val="20"/>
      </w:rPr>
      <w:t xml:space="preserve"> Docket No. M-2015-2518883, March 3, 2016</w:t>
    </w:r>
  </w:p>
  <w:p w:rsidR="00370F10" w:rsidRPr="00370F10" w:rsidRDefault="00370F10">
    <w:pPr>
      <w:pStyle w:val="Header"/>
      <w:rPr>
        <w:sz w:val="20"/>
      </w:rPr>
    </w:pPr>
    <w:r>
      <w:rPr>
        <w:sz w:val="2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7A8"/>
    <w:multiLevelType w:val="hybridMultilevel"/>
    <w:tmpl w:val="3B1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10ED"/>
    <w:multiLevelType w:val="hybridMultilevel"/>
    <w:tmpl w:val="28886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51F6C"/>
    <w:multiLevelType w:val="hybridMultilevel"/>
    <w:tmpl w:val="1442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11331"/>
    <w:multiLevelType w:val="hybridMultilevel"/>
    <w:tmpl w:val="A776C782"/>
    <w:lvl w:ilvl="0" w:tplc="88DE1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949CD"/>
    <w:multiLevelType w:val="hybridMultilevel"/>
    <w:tmpl w:val="569E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4450"/>
    <w:multiLevelType w:val="hybridMultilevel"/>
    <w:tmpl w:val="EEA85584"/>
    <w:lvl w:ilvl="0" w:tplc="AF34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50439"/>
    <w:multiLevelType w:val="hybridMultilevel"/>
    <w:tmpl w:val="84E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0"/>
    <w:rsid w:val="000013A4"/>
    <w:rsid w:val="00023CB4"/>
    <w:rsid w:val="0007500A"/>
    <w:rsid w:val="000C1C69"/>
    <w:rsid w:val="000C7804"/>
    <w:rsid w:val="000E4447"/>
    <w:rsid w:val="00155C3B"/>
    <w:rsid w:val="00184026"/>
    <w:rsid w:val="001F283A"/>
    <w:rsid w:val="002024CF"/>
    <w:rsid w:val="00225028"/>
    <w:rsid w:val="00233006"/>
    <w:rsid w:val="00283585"/>
    <w:rsid w:val="002864BB"/>
    <w:rsid w:val="002A604D"/>
    <w:rsid w:val="00301822"/>
    <w:rsid w:val="003151C0"/>
    <w:rsid w:val="00370F10"/>
    <w:rsid w:val="003F62F9"/>
    <w:rsid w:val="004A443B"/>
    <w:rsid w:val="004B4402"/>
    <w:rsid w:val="004D642F"/>
    <w:rsid w:val="00576BB0"/>
    <w:rsid w:val="00582FB2"/>
    <w:rsid w:val="005B5BE9"/>
    <w:rsid w:val="005C1D2B"/>
    <w:rsid w:val="005C4DC5"/>
    <w:rsid w:val="005C7C28"/>
    <w:rsid w:val="006015FF"/>
    <w:rsid w:val="0067381C"/>
    <w:rsid w:val="006C5F25"/>
    <w:rsid w:val="00711FFB"/>
    <w:rsid w:val="00735318"/>
    <w:rsid w:val="00780DF1"/>
    <w:rsid w:val="007A265D"/>
    <w:rsid w:val="007B1D00"/>
    <w:rsid w:val="007B325E"/>
    <w:rsid w:val="007D5C7F"/>
    <w:rsid w:val="0084083D"/>
    <w:rsid w:val="008423B9"/>
    <w:rsid w:val="00853EDA"/>
    <w:rsid w:val="008F4EED"/>
    <w:rsid w:val="00932B8B"/>
    <w:rsid w:val="00940C98"/>
    <w:rsid w:val="009E5B62"/>
    <w:rsid w:val="00A65F2E"/>
    <w:rsid w:val="00A84321"/>
    <w:rsid w:val="00A9230E"/>
    <w:rsid w:val="00AA1716"/>
    <w:rsid w:val="00AA4FB0"/>
    <w:rsid w:val="00AC7C36"/>
    <w:rsid w:val="00B27115"/>
    <w:rsid w:val="00B32E0A"/>
    <w:rsid w:val="00B33A5A"/>
    <w:rsid w:val="00C73E7A"/>
    <w:rsid w:val="00C93D6B"/>
    <w:rsid w:val="00CB1A4F"/>
    <w:rsid w:val="00CB3BA8"/>
    <w:rsid w:val="00CD06A4"/>
    <w:rsid w:val="00CF5F9E"/>
    <w:rsid w:val="00D17C14"/>
    <w:rsid w:val="00DB403B"/>
    <w:rsid w:val="00DC63A7"/>
    <w:rsid w:val="00DD7685"/>
    <w:rsid w:val="00E0314A"/>
    <w:rsid w:val="00E11811"/>
    <w:rsid w:val="00E12458"/>
    <w:rsid w:val="00E3278E"/>
    <w:rsid w:val="00E42662"/>
    <w:rsid w:val="00E90739"/>
    <w:rsid w:val="00F11F80"/>
    <w:rsid w:val="00F4033B"/>
    <w:rsid w:val="00F70C55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10"/>
  </w:style>
  <w:style w:type="paragraph" w:styleId="Footer">
    <w:name w:val="footer"/>
    <w:basedOn w:val="Normal"/>
    <w:link w:val="FooterChar"/>
    <w:uiPriority w:val="99"/>
    <w:unhideWhenUsed/>
    <w:rsid w:val="003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10"/>
  </w:style>
  <w:style w:type="paragraph" w:styleId="ListParagraph">
    <w:name w:val="List Paragraph"/>
    <w:basedOn w:val="Normal"/>
    <w:uiPriority w:val="34"/>
    <w:qFormat/>
    <w:rsid w:val="00FA5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10"/>
  </w:style>
  <w:style w:type="paragraph" w:styleId="Footer">
    <w:name w:val="footer"/>
    <w:basedOn w:val="Normal"/>
    <w:link w:val="FooterChar"/>
    <w:uiPriority w:val="99"/>
    <w:unhideWhenUsed/>
    <w:rsid w:val="003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10"/>
  </w:style>
  <w:style w:type="paragraph" w:styleId="ListParagraph">
    <w:name w:val="List Paragraph"/>
    <w:basedOn w:val="Normal"/>
    <w:uiPriority w:val="34"/>
    <w:qFormat/>
    <w:rsid w:val="00FA5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1D8C-9CE9-4E41-8E40-3069502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Eric</dc:creator>
  <cp:lastModifiedBy>Ackerman, Eric</cp:lastModifiedBy>
  <cp:revision>2</cp:revision>
  <cp:lastPrinted>2016-02-24T22:01:00Z</cp:lastPrinted>
  <dcterms:created xsi:type="dcterms:W3CDTF">2016-02-24T22:03:00Z</dcterms:created>
  <dcterms:modified xsi:type="dcterms:W3CDTF">2016-02-24T22:03:00Z</dcterms:modified>
</cp:coreProperties>
</file>