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495CA" w14:textId="77777777" w:rsidR="00EC0726" w:rsidRPr="00EC0726" w:rsidRDefault="00EC0726" w:rsidP="00EC0726">
      <w:pPr>
        <w:spacing w:after="0"/>
        <w:jc w:val="center"/>
        <w:rPr>
          <w:rFonts w:ascii="Georgia" w:hAnsi="Georgia"/>
          <w:b/>
          <w:sz w:val="24"/>
          <w:szCs w:val="24"/>
        </w:rPr>
      </w:pPr>
      <w:r w:rsidRPr="00EC0726">
        <w:rPr>
          <w:rFonts w:ascii="Georgia" w:hAnsi="Georgia"/>
          <w:b/>
          <w:sz w:val="24"/>
          <w:szCs w:val="24"/>
        </w:rPr>
        <w:t xml:space="preserve">BEFORE THE </w:t>
      </w:r>
      <w:bookmarkStart w:id="0" w:name="_GoBack"/>
      <w:bookmarkEnd w:id="0"/>
    </w:p>
    <w:p w14:paraId="442365CC" w14:textId="77777777" w:rsidR="009B34A9" w:rsidRPr="00EC0726" w:rsidRDefault="00EC0726" w:rsidP="00EC0726">
      <w:pPr>
        <w:spacing w:after="0"/>
        <w:jc w:val="center"/>
        <w:rPr>
          <w:rFonts w:ascii="Georgia" w:hAnsi="Georgia"/>
          <w:b/>
          <w:sz w:val="24"/>
          <w:szCs w:val="24"/>
        </w:rPr>
      </w:pPr>
      <w:r w:rsidRPr="00EC0726">
        <w:rPr>
          <w:rFonts w:ascii="Georgia" w:hAnsi="Georgia"/>
          <w:b/>
          <w:sz w:val="24"/>
          <w:szCs w:val="24"/>
        </w:rPr>
        <w:t>PENNSYLVANIA PUBLIC UTILITY COMMISSION</w:t>
      </w:r>
    </w:p>
    <w:p w14:paraId="1D052BA3" w14:textId="77777777" w:rsidR="00EC0726" w:rsidRDefault="00EC0726" w:rsidP="00EC0726">
      <w:pPr>
        <w:spacing w:after="0"/>
        <w:jc w:val="center"/>
        <w:rPr>
          <w:rFonts w:ascii="Georgia" w:hAnsi="Georgia"/>
          <w:sz w:val="24"/>
          <w:szCs w:val="24"/>
        </w:rPr>
      </w:pPr>
    </w:p>
    <w:p w14:paraId="6A67CE99" w14:textId="56382538" w:rsidR="00EC0726" w:rsidRDefault="00EC0726" w:rsidP="00EC0726">
      <w:pPr>
        <w:spacing w:after="0"/>
        <w:rPr>
          <w:rFonts w:ascii="Georgia" w:hAnsi="Georgia"/>
          <w:sz w:val="24"/>
          <w:szCs w:val="24"/>
        </w:rPr>
      </w:pPr>
      <w:r>
        <w:rPr>
          <w:rFonts w:ascii="Georgia" w:hAnsi="Georgia"/>
          <w:i/>
          <w:sz w:val="24"/>
          <w:szCs w:val="24"/>
        </w:rPr>
        <w:t xml:space="preserve">En Banc </w:t>
      </w:r>
      <w:r>
        <w:rPr>
          <w:rFonts w:ascii="Georgia" w:hAnsi="Georgia"/>
          <w:sz w:val="24"/>
          <w:szCs w:val="24"/>
        </w:rPr>
        <w:t xml:space="preserve">Hearing on </w:t>
      </w:r>
      <w:r w:rsidR="00077504">
        <w:rPr>
          <w:rFonts w:ascii="Georgia" w:hAnsi="Georgia"/>
          <w:sz w:val="24"/>
          <w:szCs w:val="24"/>
        </w:rPr>
        <w:t xml:space="preserve">Alternative                </w:t>
      </w:r>
      <w:r>
        <w:rPr>
          <w:rFonts w:ascii="Georgia" w:hAnsi="Georgia"/>
          <w:sz w:val="24"/>
          <w:szCs w:val="24"/>
        </w:rPr>
        <w:t>:                   Docket No. M-2015-2518883</w:t>
      </w:r>
    </w:p>
    <w:p w14:paraId="2B6DC13D" w14:textId="42F8AAD6" w:rsidR="00EC0726" w:rsidRDefault="00EC0726" w:rsidP="00EC0726">
      <w:pPr>
        <w:spacing w:after="0"/>
        <w:rPr>
          <w:rFonts w:ascii="Georgia" w:hAnsi="Georgia"/>
          <w:sz w:val="24"/>
          <w:szCs w:val="24"/>
        </w:rPr>
      </w:pPr>
      <w:r>
        <w:rPr>
          <w:rFonts w:ascii="Georgia" w:hAnsi="Georgia"/>
          <w:sz w:val="24"/>
          <w:szCs w:val="24"/>
        </w:rPr>
        <w:t>Ratemaking Methodologies</w:t>
      </w:r>
      <w:r w:rsidR="00077504">
        <w:rPr>
          <w:rFonts w:ascii="Georgia" w:hAnsi="Georgia"/>
          <w:sz w:val="24"/>
          <w:szCs w:val="24"/>
        </w:rPr>
        <w:tab/>
      </w:r>
      <w:r w:rsidR="00077504">
        <w:rPr>
          <w:rFonts w:ascii="Georgia" w:hAnsi="Georgia"/>
          <w:sz w:val="24"/>
          <w:szCs w:val="24"/>
        </w:rPr>
        <w:tab/>
        <w:t>:</w:t>
      </w:r>
      <w:r w:rsidR="00077504">
        <w:rPr>
          <w:rFonts w:ascii="Georgia" w:hAnsi="Georgia"/>
          <w:sz w:val="24"/>
          <w:szCs w:val="24"/>
        </w:rPr>
        <w:tab/>
      </w:r>
      <w:r w:rsidR="00077504">
        <w:rPr>
          <w:rFonts w:ascii="Georgia" w:hAnsi="Georgia"/>
          <w:sz w:val="24"/>
          <w:szCs w:val="24"/>
        </w:rPr>
        <w:tab/>
      </w:r>
      <w:r w:rsidR="00077504">
        <w:rPr>
          <w:rFonts w:ascii="Georgia" w:hAnsi="Georgia"/>
          <w:sz w:val="24"/>
          <w:szCs w:val="24"/>
        </w:rPr>
        <w:tab/>
      </w:r>
    </w:p>
    <w:p w14:paraId="2C9B0C17" w14:textId="77777777" w:rsidR="00EC0726" w:rsidRDefault="00EC0726" w:rsidP="00EC0726">
      <w:pPr>
        <w:spacing w:after="0"/>
        <w:rPr>
          <w:rFonts w:ascii="Georgia" w:hAnsi="Georgia"/>
          <w:sz w:val="24"/>
          <w:szCs w:val="24"/>
        </w:rPr>
      </w:pPr>
    </w:p>
    <w:p w14:paraId="532B9A68" w14:textId="77777777" w:rsidR="00EC0726" w:rsidRDefault="00EC0726" w:rsidP="00EC0726">
      <w:pPr>
        <w:spacing w:after="0"/>
        <w:rPr>
          <w:rFonts w:ascii="Georgia" w:hAnsi="Georgia"/>
          <w:sz w:val="24"/>
          <w:szCs w:val="24"/>
        </w:rPr>
      </w:pPr>
    </w:p>
    <w:p w14:paraId="4ACF6FA2" w14:textId="09FCD248" w:rsidR="00EC0726" w:rsidRDefault="00EC0726" w:rsidP="00EC0726">
      <w:pPr>
        <w:spacing w:after="0"/>
        <w:jc w:val="center"/>
        <w:rPr>
          <w:rFonts w:ascii="Georgia" w:hAnsi="Georgia"/>
          <w:b/>
          <w:sz w:val="24"/>
          <w:szCs w:val="24"/>
        </w:rPr>
      </w:pPr>
      <w:r>
        <w:rPr>
          <w:rFonts w:ascii="Georgia" w:hAnsi="Georgia"/>
          <w:b/>
          <w:sz w:val="24"/>
          <w:szCs w:val="24"/>
        </w:rPr>
        <w:t xml:space="preserve">TESTIMONY OF PAULA </w:t>
      </w:r>
      <w:r w:rsidR="00CD0925">
        <w:rPr>
          <w:rFonts w:ascii="Georgia" w:hAnsi="Georgia"/>
          <w:b/>
          <w:sz w:val="24"/>
          <w:szCs w:val="24"/>
        </w:rPr>
        <w:t xml:space="preserve">A. </w:t>
      </w:r>
      <w:r>
        <w:rPr>
          <w:rFonts w:ascii="Georgia" w:hAnsi="Georgia"/>
          <w:b/>
          <w:sz w:val="24"/>
          <w:szCs w:val="24"/>
        </w:rPr>
        <w:t>STRAUSS</w:t>
      </w:r>
    </w:p>
    <w:p w14:paraId="12FA6A41" w14:textId="77777777" w:rsidR="00EC0726" w:rsidRDefault="00EC0726" w:rsidP="00EC0726">
      <w:pPr>
        <w:spacing w:after="0"/>
        <w:jc w:val="center"/>
        <w:rPr>
          <w:rFonts w:ascii="Georgia" w:hAnsi="Georgia"/>
          <w:b/>
          <w:sz w:val="24"/>
          <w:szCs w:val="24"/>
        </w:rPr>
      </w:pPr>
      <w:r>
        <w:rPr>
          <w:rFonts w:ascii="Georgia" w:hAnsi="Georgia"/>
          <w:b/>
          <w:sz w:val="24"/>
          <w:szCs w:val="24"/>
        </w:rPr>
        <w:t>ON BEHALF OF</w:t>
      </w:r>
    </w:p>
    <w:p w14:paraId="2BCAEF45" w14:textId="77777777" w:rsidR="00EC0726" w:rsidRDefault="00EC0726" w:rsidP="00EC0726">
      <w:pPr>
        <w:spacing w:after="0"/>
        <w:jc w:val="center"/>
        <w:rPr>
          <w:rFonts w:ascii="Georgia" w:hAnsi="Georgia"/>
          <w:b/>
          <w:sz w:val="24"/>
          <w:szCs w:val="24"/>
        </w:rPr>
      </w:pPr>
      <w:r>
        <w:rPr>
          <w:rFonts w:ascii="Georgia" w:hAnsi="Georgia"/>
          <w:b/>
          <w:sz w:val="24"/>
          <w:szCs w:val="24"/>
        </w:rPr>
        <w:t>COLUMBIA GAS OF PENNSYLVANIA</w:t>
      </w:r>
      <w:r w:rsidR="00CA6829">
        <w:rPr>
          <w:rFonts w:ascii="Georgia" w:hAnsi="Georgia"/>
          <w:b/>
          <w:sz w:val="24"/>
          <w:szCs w:val="24"/>
        </w:rPr>
        <w:t>, INC.</w:t>
      </w:r>
    </w:p>
    <w:p w14:paraId="2349F1A0" w14:textId="77777777" w:rsidR="00EC0726" w:rsidRDefault="00EC0726" w:rsidP="00EC0726">
      <w:pPr>
        <w:spacing w:after="0"/>
        <w:jc w:val="center"/>
        <w:rPr>
          <w:rFonts w:ascii="Georgia" w:hAnsi="Georgia"/>
          <w:b/>
          <w:sz w:val="24"/>
          <w:szCs w:val="24"/>
        </w:rPr>
      </w:pPr>
    </w:p>
    <w:p w14:paraId="06CEF8B6" w14:textId="77777777" w:rsidR="00EC0726" w:rsidRDefault="00EC0726" w:rsidP="00EC0726">
      <w:pPr>
        <w:spacing w:after="0"/>
        <w:jc w:val="center"/>
        <w:rPr>
          <w:rFonts w:ascii="Georgia" w:hAnsi="Georgia"/>
          <w:b/>
          <w:sz w:val="24"/>
          <w:szCs w:val="24"/>
        </w:rPr>
      </w:pPr>
    </w:p>
    <w:p w14:paraId="4BDFF4AA" w14:textId="42EC1A9D" w:rsidR="00D34D7F" w:rsidRDefault="00EC0726" w:rsidP="00A23626">
      <w:pPr>
        <w:spacing w:after="0" w:line="480" w:lineRule="auto"/>
        <w:ind w:firstLine="720"/>
        <w:jc w:val="both"/>
        <w:rPr>
          <w:rFonts w:ascii="Georgia" w:hAnsi="Georgia"/>
          <w:sz w:val="24"/>
          <w:szCs w:val="24"/>
        </w:rPr>
      </w:pPr>
      <w:r>
        <w:rPr>
          <w:rFonts w:ascii="Georgia" w:hAnsi="Georgia"/>
          <w:sz w:val="24"/>
          <w:szCs w:val="24"/>
        </w:rPr>
        <w:t>Chairman Brown, Vice Chairman Place, Commissioners Witmer, Coleman, and Powelson</w:t>
      </w:r>
      <w:r w:rsidR="009F3344">
        <w:rPr>
          <w:rFonts w:ascii="Georgia" w:hAnsi="Georgia"/>
          <w:sz w:val="24"/>
          <w:szCs w:val="24"/>
        </w:rPr>
        <w:t>:</w:t>
      </w:r>
      <w:r w:rsidR="00CA6829">
        <w:rPr>
          <w:rFonts w:ascii="Georgia" w:hAnsi="Georgia"/>
          <w:sz w:val="24"/>
          <w:szCs w:val="24"/>
        </w:rPr>
        <w:t xml:space="preserve">  </w:t>
      </w:r>
      <w:r w:rsidR="009F3344">
        <w:rPr>
          <w:rFonts w:ascii="Georgia" w:hAnsi="Georgia"/>
          <w:sz w:val="24"/>
          <w:szCs w:val="24"/>
        </w:rPr>
        <w:t>m</w:t>
      </w:r>
      <w:r w:rsidR="00CA6829">
        <w:rPr>
          <w:rFonts w:ascii="Georgia" w:hAnsi="Georgia"/>
          <w:sz w:val="24"/>
          <w:szCs w:val="24"/>
        </w:rPr>
        <w:t xml:space="preserve">y name is Paula </w:t>
      </w:r>
      <w:r w:rsidR="00D157E9">
        <w:rPr>
          <w:rFonts w:ascii="Georgia" w:hAnsi="Georgia"/>
          <w:sz w:val="24"/>
          <w:szCs w:val="24"/>
        </w:rPr>
        <w:t xml:space="preserve">A. </w:t>
      </w:r>
      <w:r w:rsidR="00CA6829">
        <w:rPr>
          <w:rFonts w:ascii="Georgia" w:hAnsi="Georgia"/>
          <w:sz w:val="24"/>
          <w:szCs w:val="24"/>
        </w:rPr>
        <w:t>Strauss, and I am the Director of Regulatory S</w:t>
      </w:r>
      <w:r w:rsidR="00434082">
        <w:rPr>
          <w:rFonts w:ascii="Georgia" w:hAnsi="Georgia"/>
          <w:sz w:val="24"/>
          <w:szCs w:val="24"/>
        </w:rPr>
        <w:t xml:space="preserve">trategy &amp; Support </w:t>
      </w:r>
      <w:r w:rsidR="00CA6829">
        <w:rPr>
          <w:rFonts w:ascii="Georgia" w:hAnsi="Georgia"/>
          <w:sz w:val="24"/>
          <w:szCs w:val="24"/>
        </w:rPr>
        <w:t xml:space="preserve">for </w:t>
      </w:r>
      <w:r w:rsidR="002D1351">
        <w:rPr>
          <w:rFonts w:ascii="Georgia" w:hAnsi="Georgia"/>
          <w:sz w:val="24"/>
          <w:szCs w:val="24"/>
        </w:rPr>
        <w:t>NiSource Corporate Services Company (“NCSC”)</w:t>
      </w:r>
      <w:r w:rsidR="00BF7632">
        <w:rPr>
          <w:rStyle w:val="FootnoteReference"/>
          <w:rFonts w:ascii="Georgia" w:hAnsi="Georgia"/>
          <w:sz w:val="24"/>
          <w:szCs w:val="24"/>
        </w:rPr>
        <w:footnoteReference w:id="1"/>
      </w:r>
      <w:r w:rsidR="002D1351">
        <w:rPr>
          <w:rFonts w:ascii="Georgia" w:hAnsi="Georgia"/>
          <w:sz w:val="24"/>
          <w:szCs w:val="24"/>
        </w:rPr>
        <w:t>, a management and services subsidiary of NiSource Inc.</w:t>
      </w:r>
      <w:r w:rsidR="00BF7632">
        <w:rPr>
          <w:rFonts w:ascii="Georgia" w:hAnsi="Georgia"/>
          <w:sz w:val="24"/>
          <w:szCs w:val="24"/>
        </w:rPr>
        <w:t>,</w:t>
      </w:r>
      <w:r w:rsidR="002D1351">
        <w:rPr>
          <w:rFonts w:ascii="Georgia" w:hAnsi="Georgia"/>
          <w:sz w:val="24"/>
          <w:szCs w:val="24"/>
        </w:rPr>
        <w:t xml:space="preserve"> (“Ni</w:t>
      </w:r>
      <w:r w:rsidR="00230134">
        <w:rPr>
          <w:rFonts w:ascii="Georgia" w:hAnsi="Georgia"/>
          <w:sz w:val="24"/>
          <w:szCs w:val="24"/>
        </w:rPr>
        <w:t>S</w:t>
      </w:r>
      <w:r w:rsidR="002D1351">
        <w:rPr>
          <w:rFonts w:ascii="Georgia" w:hAnsi="Georgia"/>
          <w:sz w:val="24"/>
          <w:szCs w:val="24"/>
        </w:rPr>
        <w:t>ource”)</w:t>
      </w:r>
      <w:r w:rsidR="00BF7632">
        <w:rPr>
          <w:rFonts w:ascii="Georgia" w:hAnsi="Georgia"/>
          <w:sz w:val="24"/>
          <w:szCs w:val="24"/>
        </w:rPr>
        <w:t xml:space="preserve"> which </w:t>
      </w:r>
      <w:r w:rsidR="00F54737">
        <w:rPr>
          <w:rFonts w:ascii="Georgia" w:hAnsi="Georgia"/>
          <w:sz w:val="24"/>
          <w:szCs w:val="24"/>
        </w:rPr>
        <w:t>is the ultimate parent company of</w:t>
      </w:r>
      <w:r w:rsidR="00BF7632">
        <w:rPr>
          <w:rFonts w:ascii="Georgia" w:hAnsi="Georgia"/>
          <w:sz w:val="24"/>
          <w:szCs w:val="24"/>
        </w:rPr>
        <w:t xml:space="preserve"> Columbia Gas of Pennsylvania, Inc.</w:t>
      </w:r>
      <w:r w:rsidR="001F53F8">
        <w:rPr>
          <w:rFonts w:ascii="Georgia" w:hAnsi="Georgia"/>
          <w:sz w:val="24"/>
          <w:szCs w:val="24"/>
        </w:rPr>
        <w:t xml:space="preserve"> (“Columbia”</w:t>
      </w:r>
      <w:r w:rsidR="00EC5556">
        <w:rPr>
          <w:rFonts w:ascii="Georgia" w:hAnsi="Georgia"/>
          <w:sz w:val="24"/>
          <w:szCs w:val="24"/>
        </w:rPr>
        <w:t xml:space="preserve"> or the “Company”</w:t>
      </w:r>
      <w:r w:rsidR="001F53F8">
        <w:rPr>
          <w:rFonts w:ascii="Georgia" w:hAnsi="Georgia"/>
          <w:sz w:val="24"/>
          <w:szCs w:val="24"/>
        </w:rPr>
        <w:t>).</w:t>
      </w:r>
      <w:r w:rsidR="00BF7632">
        <w:rPr>
          <w:rFonts w:ascii="Georgia" w:hAnsi="Georgia"/>
          <w:sz w:val="24"/>
          <w:szCs w:val="24"/>
        </w:rPr>
        <w:t xml:space="preserve"> </w:t>
      </w:r>
      <w:r w:rsidR="002D1351">
        <w:rPr>
          <w:rFonts w:ascii="Georgia" w:hAnsi="Georgia"/>
          <w:sz w:val="24"/>
          <w:szCs w:val="24"/>
        </w:rPr>
        <w:t xml:space="preserve"> </w:t>
      </w:r>
      <w:r w:rsidR="009F3344">
        <w:rPr>
          <w:rFonts w:ascii="Georgia" w:hAnsi="Georgia"/>
          <w:sz w:val="24"/>
          <w:szCs w:val="24"/>
        </w:rPr>
        <w:t xml:space="preserve">On behalf of Columbia, I would like to thank </w:t>
      </w:r>
      <w:r w:rsidR="00CA6829">
        <w:rPr>
          <w:rFonts w:ascii="Georgia" w:hAnsi="Georgia"/>
          <w:sz w:val="24"/>
          <w:szCs w:val="24"/>
        </w:rPr>
        <w:t xml:space="preserve">you for the opportunity to appear </w:t>
      </w:r>
      <w:r w:rsidR="00F54737">
        <w:rPr>
          <w:rFonts w:ascii="Georgia" w:hAnsi="Georgia"/>
          <w:sz w:val="24"/>
          <w:szCs w:val="24"/>
        </w:rPr>
        <w:t>before this Commission</w:t>
      </w:r>
      <w:r w:rsidR="00CA6829">
        <w:rPr>
          <w:rFonts w:ascii="Georgia" w:hAnsi="Georgia"/>
          <w:sz w:val="24"/>
          <w:szCs w:val="24"/>
        </w:rPr>
        <w:t xml:space="preserve"> </w:t>
      </w:r>
      <w:r w:rsidR="00D34D7F">
        <w:rPr>
          <w:rFonts w:ascii="Georgia" w:hAnsi="Georgia"/>
          <w:sz w:val="24"/>
          <w:szCs w:val="24"/>
        </w:rPr>
        <w:t xml:space="preserve">today </w:t>
      </w:r>
      <w:r w:rsidR="00CA6829">
        <w:rPr>
          <w:rFonts w:ascii="Georgia" w:hAnsi="Georgia"/>
          <w:sz w:val="24"/>
          <w:szCs w:val="24"/>
        </w:rPr>
        <w:t xml:space="preserve">and </w:t>
      </w:r>
      <w:r w:rsidR="00D34D7F">
        <w:rPr>
          <w:rFonts w:ascii="Georgia" w:hAnsi="Georgia"/>
          <w:sz w:val="24"/>
          <w:szCs w:val="24"/>
        </w:rPr>
        <w:t xml:space="preserve">to </w:t>
      </w:r>
      <w:r w:rsidR="00CA6829">
        <w:rPr>
          <w:rFonts w:ascii="Georgia" w:hAnsi="Georgia"/>
          <w:sz w:val="24"/>
          <w:szCs w:val="24"/>
        </w:rPr>
        <w:t>offer comments on Alternative Ratemaking Method</w:t>
      </w:r>
      <w:r w:rsidR="00077504">
        <w:rPr>
          <w:rFonts w:ascii="Georgia" w:hAnsi="Georgia"/>
          <w:sz w:val="24"/>
          <w:szCs w:val="24"/>
        </w:rPr>
        <w:t>ologie</w:t>
      </w:r>
      <w:r w:rsidR="00CA6829">
        <w:rPr>
          <w:rFonts w:ascii="Georgia" w:hAnsi="Georgia"/>
          <w:sz w:val="24"/>
          <w:szCs w:val="24"/>
        </w:rPr>
        <w:t>s.</w:t>
      </w:r>
      <w:r w:rsidR="00D34D7F">
        <w:rPr>
          <w:rFonts w:ascii="Georgia" w:hAnsi="Georgia"/>
          <w:sz w:val="24"/>
          <w:szCs w:val="24"/>
        </w:rPr>
        <w:t xml:space="preserve">  </w:t>
      </w:r>
    </w:p>
    <w:p w14:paraId="0BD116A7" w14:textId="77777777" w:rsidR="0007515A" w:rsidRDefault="00D34D7F" w:rsidP="00A23626">
      <w:pPr>
        <w:spacing w:after="0" w:line="480" w:lineRule="auto"/>
        <w:ind w:firstLine="720"/>
        <w:jc w:val="both"/>
        <w:rPr>
          <w:rFonts w:ascii="Georgia" w:hAnsi="Georgia"/>
          <w:sz w:val="24"/>
          <w:szCs w:val="24"/>
        </w:rPr>
        <w:sectPr w:rsidR="0007515A" w:rsidSect="0007515A">
          <w:headerReference w:type="default" r:id="rId8"/>
          <w:pgSz w:w="12240" w:h="15840"/>
          <w:pgMar w:top="1440" w:right="1440" w:bottom="1440" w:left="1440" w:header="720" w:footer="720" w:gutter="0"/>
          <w:cols w:space="720"/>
          <w:titlePg/>
          <w:docGrid w:linePitch="360"/>
        </w:sectPr>
      </w:pPr>
      <w:r w:rsidRPr="00D34D7F">
        <w:rPr>
          <w:rFonts w:ascii="Georgia" w:hAnsi="Georgia"/>
          <w:sz w:val="24"/>
          <w:szCs w:val="24"/>
        </w:rPr>
        <w:t xml:space="preserve">NiSource, headquartered in Merrillville, Indiana, is an energy holding company whose subsidiaries provide natural gas </w:t>
      </w:r>
      <w:r w:rsidR="002B366B">
        <w:rPr>
          <w:rFonts w:ascii="Georgia" w:hAnsi="Georgia"/>
          <w:sz w:val="24"/>
          <w:szCs w:val="24"/>
        </w:rPr>
        <w:t xml:space="preserve">and </w:t>
      </w:r>
      <w:r w:rsidRPr="00D34D7F">
        <w:rPr>
          <w:rFonts w:ascii="Georgia" w:hAnsi="Georgia"/>
          <w:sz w:val="24"/>
          <w:szCs w:val="24"/>
        </w:rPr>
        <w:t>electricity services to nearly 4 million customers across seven states.</w:t>
      </w:r>
      <w:r>
        <w:rPr>
          <w:rFonts w:ascii="Georgia" w:hAnsi="Georgia"/>
          <w:sz w:val="24"/>
          <w:szCs w:val="24"/>
        </w:rPr>
        <w:t xml:space="preserve">  </w:t>
      </w:r>
      <w:r w:rsidRPr="00D34D7F">
        <w:rPr>
          <w:rFonts w:ascii="Georgia" w:hAnsi="Georgia"/>
          <w:sz w:val="24"/>
          <w:szCs w:val="24"/>
        </w:rPr>
        <w:t xml:space="preserve">The NiSource core operating companies engage in natural gas distribution, as well as electric generation, transmission and distribution.  Its natural gas distribution operations, which operate under the Columbia Gas brand, serve at retail over 3 million residential, commercial and industrial customers with approximately 57,000 miles of pipeline in 7 states (Indiana, Kentucky, Maryland, Massachusetts, Ohio, Pennsylvania and Virginia).  The NiSource gas distribution </w:t>
      </w:r>
    </w:p>
    <w:p w14:paraId="2D9459F0" w14:textId="57A90FD4" w:rsidR="00E61296" w:rsidRDefault="00D34D7F" w:rsidP="0007515A">
      <w:pPr>
        <w:spacing w:after="0" w:line="480" w:lineRule="auto"/>
        <w:jc w:val="both"/>
        <w:rPr>
          <w:rFonts w:ascii="Georgia" w:hAnsi="Georgia"/>
          <w:sz w:val="24"/>
          <w:szCs w:val="24"/>
        </w:rPr>
      </w:pPr>
      <w:r w:rsidRPr="00D34D7F">
        <w:rPr>
          <w:rFonts w:ascii="Georgia" w:hAnsi="Georgia"/>
          <w:sz w:val="24"/>
          <w:szCs w:val="24"/>
        </w:rPr>
        <w:lastRenderedPageBreak/>
        <w:t>companies are now:  Bay State Gas Company dba Columbia Gas of Massachusetts, Columbia Gas of Kentucky, Inc., Columbia Gas of Maryland, Inc., Columbia Gas of Ohio, Inc., Columbia Gas of Pennsylvania, Inc., Columbia Gas of Virginia, Inc., and Northern Indiana Public Service Company.</w:t>
      </w:r>
      <w:r>
        <w:rPr>
          <w:rFonts w:ascii="Georgia" w:hAnsi="Georgia"/>
          <w:sz w:val="24"/>
          <w:szCs w:val="24"/>
        </w:rPr>
        <w:t xml:space="preserve">  NiSource and it</w:t>
      </w:r>
      <w:r w:rsidR="00EF3B0C">
        <w:rPr>
          <w:rFonts w:ascii="Georgia" w:hAnsi="Georgia"/>
          <w:sz w:val="24"/>
          <w:szCs w:val="24"/>
        </w:rPr>
        <w:t>s</w:t>
      </w:r>
      <w:r>
        <w:rPr>
          <w:rFonts w:ascii="Georgia" w:hAnsi="Georgia"/>
          <w:sz w:val="24"/>
          <w:szCs w:val="24"/>
        </w:rPr>
        <w:t xml:space="preserve"> natural gas distribution operating companies have determined that </w:t>
      </w:r>
      <w:r w:rsidR="00CA0DE8">
        <w:rPr>
          <w:rFonts w:ascii="Georgia" w:hAnsi="Georgia"/>
          <w:sz w:val="24"/>
          <w:szCs w:val="24"/>
        </w:rPr>
        <w:t xml:space="preserve">the use of certain </w:t>
      </w:r>
      <w:r>
        <w:rPr>
          <w:rFonts w:ascii="Georgia" w:hAnsi="Georgia"/>
          <w:sz w:val="24"/>
          <w:szCs w:val="24"/>
        </w:rPr>
        <w:t xml:space="preserve">Alternative Ratemaking Methodologies, </w:t>
      </w:r>
      <w:r w:rsidR="00CA0DE8">
        <w:rPr>
          <w:rFonts w:ascii="Georgia" w:hAnsi="Georgia"/>
          <w:sz w:val="24"/>
          <w:szCs w:val="24"/>
        </w:rPr>
        <w:t>which I describe below, are both appropriate and necessary rate designs to be used across the NiSource footprint.  However, NiSource and Columbia do not support a “one size fits all” strategy to rate design, as by its very nature, rate design i</w:t>
      </w:r>
      <w:r w:rsidR="00BE3200">
        <w:rPr>
          <w:rFonts w:ascii="Georgia" w:hAnsi="Georgia"/>
          <w:sz w:val="24"/>
          <w:szCs w:val="24"/>
        </w:rPr>
        <w:t>nvolves</w:t>
      </w:r>
      <w:r w:rsidR="00CA0DE8">
        <w:rPr>
          <w:rFonts w:ascii="Georgia" w:hAnsi="Georgia"/>
          <w:sz w:val="24"/>
          <w:szCs w:val="24"/>
        </w:rPr>
        <w:t xml:space="preserve"> art</w:t>
      </w:r>
      <w:r w:rsidR="00BE3200">
        <w:rPr>
          <w:rFonts w:ascii="Georgia" w:hAnsi="Georgia"/>
          <w:sz w:val="24"/>
          <w:szCs w:val="24"/>
        </w:rPr>
        <w:t xml:space="preserve"> and not just </w:t>
      </w:r>
      <w:r w:rsidR="00CA0DE8">
        <w:rPr>
          <w:rFonts w:ascii="Georgia" w:hAnsi="Georgia"/>
          <w:sz w:val="24"/>
          <w:szCs w:val="24"/>
        </w:rPr>
        <w:t xml:space="preserve">science. Therefore, it is important that each utility and its operations be reviewed separately to determine which rate design(s) may best serve the utility’s customers and its operations.  </w:t>
      </w:r>
    </w:p>
    <w:p w14:paraId="4D281DA8" w14:textId="1EC244DE" w:rsidR="00EC0726" w:rsidRDefault="00CA0DE8" w:rsidP="00A23626">
      <w:pPr>
        <w:spacing w:after="0" w:line="480" w:lineRule="auto"/>
        <w:ind w:firstLine="720"/>
        <w:jc w:val="both"/>
        <w:rPr>
          <w:rFonts w:ascii="Georgia" w:hAnsi="Georgia"/>
          <w:sz w:val="24"/>
          <w:szCs w:val="24"/>
        </w:rPr>
      </w:pPr>
      <w:r>
        <w:rPr>
          <w:rFonts w:ascii="Georgia" w:hAnsi="Georgia"/>
          <w:sz w:val="24"/>
          <w:szCs w:val="24"/>
        </w:rPr>
        <w:t xml:space="preserve">Again, </w:t>
      </w:r>
      <w:r w:rsidR="00E61296">
        <w:rPr>
          <w:rFonts w:ascii="Georgia" w:hAnsi="Georgia"/>
          <w:sz w:val="24"/>
          <w:szCs w:val="24"/>
        </w:rPr>
        <w:t xml:space="preserve">NiSource and Columbia have </w:t>
      </w:r>
      <w:r>
        <w:rPr>
          <w:rFonts w:ascii="Georgia" w:hAnsi="Georgia"/>
          <w:sz w:val="24"/>
          <w:szCs w:val="24"/>
        </w:rPr>
        <w:t xml:space="preserve">determined that </w:t>
      </w:r>
      <w:r w:rsidR="00E61296">
        <w:rPr>
          <w:rFonts w:ascii="Georgia" w:hAnsi="Georgia"/>
          <w:sz w:val="24"/>
          <w:szCs w:val="24"/>
        </w:rPr>
        <w:t>various alternative ratemaking method</w:t>
      </w:r>
      <w:r w:rsidR="006153DA">
        <w:rPr>
          <w:rFonts w:ascii="Georgia" w:hAnsi="Georgia"/>
          <w:sz w:val="24"/>
          <w:szCs w:val="24"/>
        </w:rPr>
        <w:t xml:space="preserve">ologies </w:t>
      </w:r>
      <w:r>
        <w:rPr>
          <w:rFonts w:ascii="Georgia" w:hAnsi="Georgia"/>
          <w:sz w:val="24"/>
          <w:szCs w:val="24"/>
        </w:rPr>
        <w:t xml:space="preserve">are appropriate for use in designing residential rates and </w:t>
      </w:r>
      <w:r w:rsidR="006153DA">
        <w:rPr>
          <w:rFonts w:ascii="Georgia" w:hAnsi="Georgia"/>
          <w:sz w:val="24"/>
          <w:szCs w:val="24"/>
        </w:rPr>
        <w:t xml:space="preserve">have requested and received </w:t>
      </w:r>
      <w:r>
        <w:rPr>
          <w:rFonts w:ascii="Georgia" w:hAnsi="Georgia"/>
          <w:sz w:val="24"/>
          <w:szCs w:val="24"/>
        </w:rPr>
        <w:t xml:space="preserve">approval </w:t>
      </w:r>
      <w:r w:rsidR="006153DA">
        <w:rPr>
          <w:rFonts w:ascii="Georgia" w:hAnsi="Georgia"/>
          <w:sz w:val="24"/>
          <w:szCs w:val="24"/>
        </w:rPr>
        <w:t xml:space="preserve">for these rates </w:t>
      </w:r>
      <w:r>
        <w:rPr>
          <w:rFonts w:ascii="Georgia" w:hAnsi="Georgia"/>
          <w:sz w:val="24"/>
          <w:szCs w:val="24"/>
        </w:rPr>
        <w:t xml:space="preserve">from this and other state commissions.  </w:t>
      </w:r>
      <w:r w:rsidR="00A75AEB">
        <w:rPr>
          <w:rFonts w:ascii="Georgia" w:hAnsi="Georgia"/>
          <w:sz w:val="24"/>
          <w:szCs w:val="24"/>
        </w:rPr>
        <w:t>As I will discuss</w:t>
      </w:r>
      <w:r w:rsidR="00E61296">
        <w:rPr>
          <w:rFonts w:ascii="Georgia" w:hAnsi="Georgia"/>
          <w:sz w:val="24"/>
          <w:szCs w:val="24"/>
        </w:rPr>
        <w:t xml:space="preserve">, since 2011 Columbia has requested approval of the following alternative ratemaking methodologies: (1) a Levelized Distribution Charge (“LDC”); (2) a Revenue Normalization Adjustment (“RNA”); and (3) a Weather Normalization Adjustment (“WNA”).  </w:t>
      </w:r>
      <w:r w:rsidR="005F4067">
        <w:rPr>
          <w:rFonts w:ascii="Georgia" w:hAnsi="Georgia"/>
          <w:sz w:val="24"/>
          <w:szCs w:val="24"/>
        </w:rPr>
        <w:t>Presently, Columbia has a WNA in operation on a pilot basis and</w:t>
      </w:r>
      <w:r w:rsidR="007B6EA7">
        <w:rPr>
          <w:rFonts w:ascii="Georgia" w:hAnsi="Georgia"/>
          <w:sz w:val="24"/>
          <w:szCs w:val="24"/>
        </w:rPr>
        <w:t>,</w:t>
      </w:r>
      <w:r w:rsidR="005F4067">
        <w:rPr>
          <w:rFonts w:ascii="Georgia" w:hAnsi="Georgia"/>
          <w:sz w:val="24"/>
          <w:szCs w:val="24"/>
        </w:rPr>
        <w:t xml:space="preserve"> as detailed below, the WNA is operating as expected by adjusting the temperature-sensitive portion of customers</w:t>
      </w:r>
      <w:r w:rsidR="00A75AEB">
        <w:rPr>
          <w:rFonts w:ascii="Georgia" w:hAnsi="Georgia"/>
          <w:sz w:val="24"/>
          <w:szCs w:val="24"/>
        </w:rPr>
        <w:t>’</w:t>
      </w:r>
      <w:r w:rsidR="005F4067">
        <w:rPr>
          <w:rFonts w:ascii="Georgia" w:hAnsi="Georgia"/>
          <w:sz w:val="24"/>
          <w:szCs w:val="24"/>
        </w:rPr>
        <w:t xml:space="preserve"> bills to mitigate the impact of weather.  </w:t>
      </w:r>
      <w:r w:rsidR="006153DA">
        <w:rPr>
          <w:rFonts w:ascii="Georgia" w:hAnsi="Georgia"/>
          <w:sz w:val="24"/>
          <w:szCs w:val="24"/>
        </w:rPr>
        <w:t>My testimony will review the various alternative rate methodologies that Columbia has proposed in Pennsylvania, as well as those in place across the NiSource footprint.</w:t>
      </w:r>
    </w:p>
    <w:p w14:paraId="7A83C33F" w14:textId="77777777" w:rsidR="00A75AEB" w:rsidRDefault="00A75AEB" w:rsidP="00A23626">
      <w:pPr>
        <w:spacing w:after="0" w:line="480" w:lineRule="auto"/>
        <w:ind w:firstLine="720"/>
        <w:jc w:val="both"/>
        <w:rPr>
          <w:rFonts w:ascii="Georgia" w:hAnsi="Georgia"/>
          <w:sz w:val="24"/>
          <w:szCs w:val="24"/>
        </w:rPr>
      </w:pPr>
    </w:p>
    <w:p w14:paraId="5C937FEF" w14:textId="77777777" w:rsidR="00BE3200" w:rsidRDefault="00BE3200" w:rsidP="00A23626">
      <w:pPr>
        <w:spacing w:after="0" w:line="480" w:lineRule="auto"/>
        <w:ind w:firstLine="720"/>
        <w:jc w:val="both"/>
        <w:rPr>
          <w:rFonts w:ascii="Georgia" w:hAnsi="Georgia"/>
          <w:sz w:val="24"/>
          <w:szCs w:val="24"/>
        </w:rPr>
      </w:pPr>
    </w:p>
    <w:p w14:paraId="71F82D9D" w14:textId="77777777" w:rsidR="00BF7632" w:rsidRDefault="00BF7632" w:rsidP="00A23626">
      <w:pPr>
        <w:spacing w:after="0" w:line="480" w:lineRule="auto"/>
        <w:jc w:val="both"/>
        <w:rPr>
          <w:rFonts w:ascii="Georgia" w:hAnsi="Georgia"/>
          <w:b/>
          <w:sz w:val="24"/>
          <w:szCs w:val="24"/>
          <w:u w:val="single"/>
        </w:rPr>
      </w:pPr>
      <w:r>
        <w:rPr>
          <w:rFonts w:ascii="Georgia" w:hAnsi="Georgia"/>
          <w:b/>
          <w:sz w:val="24"/>
          <w:szCs w:val="24"/>
          <w:u w:val="single"/>
        </w:rPr>
        <w:lastRenderedPageBreak/>
        <w:t>Introduction</w:t>
      </w:r>
    </w:p>
    <w:p w14:paraId="4B4A1FBB" w14:textId="1E7240BA" w:rsidR="00DF6EC2" w:rsidRDefault="00DF6EC2" w:rsidP="00A23626">
      <w:pPr>
        <w:spacing w:after="0" w:line="480" w:lineRule="auto"/>
        <w:ind w:firstLine="720"/>
        <w:jc w:val="both"/>
        <w:rPr>
          <w:rFonts w:ascii="Georgia" w:hAnsi="Georgia"/>
          <w:sz w:val="24"/>
          <w:szCs w:val="24"/>
        </w:rPr>
      </w:pPr>
      <w:r>
        <w:rPr>
          <w:rFonts w:ascii="Georgia" w:hAnsi="Georgia"/>
          <w:sz w:val="24"/>
          <w:szCs w:val="24"/>
        </w:rPr>
        <w:t>Before beginning a discussion concerning alternative ratemaking method</w:t>
      </w:r>
      <w:r w:rsidR="00077504">
        <w:rPr>
          <w:rFonts w:ascii="Georgia" w:hAnsi="Georgia"/>
          <w:sz w:val="24"/>
          <w:szCs w:val="24"/>
        </w:rPr>
        <w:t>ologie</w:t>
      </w:r>
      <w:r>
        <w:rPr>
          <w:rFonts w:ascii="Georgia" w:hAnsi="Georgia"/>
          <w:sz w:val="24"/>
          <w:szCs w:val="24"/>
        </w:rPr>
        <w:t>s, it is important to emphasize the traditional principles that guide the development of rate design.  These principles include: efficiency, simplicity, continuity, fairness</w:t>
      </w:r>
      <w:r w:rsidR="00077504">
        <w:rPr>
          <w:rFonts w:ascii="Georgia" w:hAnsi="Georgia"/>
          <w:sz w:val="24"/>
          <w:szCs w:val="24"/>
        </w:rPr>
        <w:t>,</w:t>
      </w:r>
      <w:r>
        <w:rPr>
          <w:rFonts w:ascii="Georgia" w:hAnsi="Georgia"/>
          <w:sz w:val="24"/>
          <w:szCs w:val="24"/>
        </w:rPr>
        <w:t xml:space="preserve"> and earnings stability.  An efficient rate design provides an accurate basis for consumers’ decisions and </w:t>
      </w:r>
      <w:r w:rsidR="007B6EA7">
        <w:rPr>
          <w:rFonts w:ascii="Georgia" w:hAnsi="Georgia"/>
          <w:sz w:val="24"/>
          <w:szCs w:val="24"/>
        </w:rPr>
        <w:t>affords</w:t>
      </w:r>
      <w:r>
        <w:rPr>
          <w:rFonts w:ascii="Georgia" w:hAnsi="Georgia"/>
          <w:sz w:val="24"/>
          <w:szCs w:val="24"/>
        </w:rPr>
        <w:t xml:space="preserve"> the Company</w:t>
      </w:r>
      <w:r w:rsidR="007B6EA7">
        <w:rPr>
          <w:rFonts w:ascii="Georgia" w:hAnsi="Georgia"/>
          <w:sz w:val="24"/>
          <w:szCs w:val="24"/>
        </w:rPr>
        <w:t xml:space="preserve"> a reasonable opportunity</w:t>
      </w:r>
      <w:r>
        <w:rPr>
          <w:rFonts w:ascii="Georgia" w:hAnsi="Georgia"/>
          <w:sz w:val="24"/>
          <w:szCs w:val="24"/>
        </w:rPr>
        <w:t xml:space="preserve"> to recover the cost</w:t>
      </w:r>
      <w:r w:rsidR="002A6577">
        <w:rPr>
          <w:rFonts w:ascii="Georgia" w:hAnsi="Georgia"/>
          <w:sz w:val="24"/>
          <w:szCs w:val="24"/>
        </w:rPr>
        <w:t>s</w:t>
      </w:r>
      <w:r>
        <w:rPr>
          <w:rFonts w:ascii="Georgia" w:hAnsi="Georgia"/>
          <w:sz w:val="24"/>
          <w:szCs w:val="24"/>
        </w:rPr>
        <w:t xml:space="preserve"> of providing distribution service.  A simple rate structure is understood by customers.  The goal of rate continuity implies that customers will have an adequate opportunity to adjust their consumption patterns, as needed, allowing the opportunity </w:t>
      </w:r>
      <w:r w:rsidR="007B6EA7">
        <w:rPr>
          <w:rFonts w:ascii="Georgia" w:hAnsi="Georgia"/>
          <w:sz w:val="24"/>
          <w:szCs w:val="24"/>
        </w:rPr>
        <w:t>to achieve</w:t>
      </w:r>
      <w:r>
        <w:rPr>
          <w:rFonts w:ascii="Georgia" w:hAnsi="Georgia"/>
          <w:sz w:val="24"/>
          <w:szCs w:val="24"/>
        </w:rPr>
        <w:t xml:space="preserve"> conservation and energy efficiency goals.  A fair rate design considers results of allocated cost of service studies in determining a customer class’ total revenue responsibility.  Finally, earnings stability means that the Company’s revenue result</w:t>
      </w:r>
      <w:r w:rsidR="00BE3200">
        <w:rPr>
          <w:rFonts w:ascii="Georgia" w:hAnsi="Georgia"/>
          <w:sz w:val="24"/>
          <w:szCs w:val="24"/>
        </w:rPr>
        <w:t>ing from</w:t>
      </w:r>
      <w:r>
        <w:rPr>
          <w:rFonts w:ascii="Georgia" w:hAnsi="Georgia"/>
          <w:sz w:val="24"/>
          <w:szCs w:val="24"/>
        </w:rPr>
        <w:t xml:space="preserve"> its rates should not vary significantly over the period of a few years.</w:t>
      </w:r>
    </w:p>
    <w:p w14:paraId="5D5382D9" w14:textId="2029E93A" w:rsidR="00A264C0" w:rsidRDefault="005709C7" w:rsidP="00A23626">
      <w:pPr>
        <w:spacing w:after="0" w:line="480" w:lineRule="auto"/>
        <w:ind w:firstLine="720"/>
        <w:jc w:val="both"/>
        <w:rPr>
          <w:rFonts w:ascii="Georgia" w:hAnsi="Georgia"/>
          <w:sz w:val="24"/>
          <w:szCs w:val="24"/>
        </w:rPr>
      </w:pPr>
      <w:r>
        <w:rPr>
          <w:rFonts w:ascii="Georgia" w:hAnsi="Georgia"/>
          <w:sz w:val="24"/>
          <w:szCs w:val="24"/>
        </w:rPr>
        <w:t>My testimony</w:t>
      </w:r>
      <w:r w:rsidR="00E8634C">
        <w:rPr>
          <w:rFonts w:ascii="Georgia" w:hAnsi="Georgia"/>
          <w:sz w:val="24"/>
          <w:szCs w:val="24"/>
        </w:rPr>
        <w:t xml:space="preserve"> addresses</w:t>
      </w:r>
      <w:r w:rsidR="00BF7632">
        <w:rPr>
          <w:rFonts w:ascii="Georgia" w:hAnsi="Georgia"/>
          <w:sz w:val="24"/>
          <w:szCs w:val="24"/>
        </w:rPr>
        <w:t xml:space="preserve"> several</w:t>
      </w:r>
      <w:r w:rsidR="00E8634C">
        <w:rPr>
          <w:rFonts w:ascii="Georgia" w:hAnsi="Georgia"/>
          <w:sz w:val="24"/>
          <w:szCs w:val="24"/>
        </w:rPr>
        <w:t xml:space="preserve"> of the</w:t>
      </w:r>
      <w:r w:rsidR="00BF7632">
        <w:rPr>
          <w:rFonts w:ascii="Georgia" w:hAnsi="Georgia"/>
          <w:sz w:val="24"/>
          <w:szCs w:val="24"/>
        </w:rPr>
        <w:t xml:space="preserve"> </w:t>
      </w:r>
      <w:r w:rsidR="00E8634C">
        <w:rPr>
          <w:rFonts w:ascii="Georgia" w:hAnsi="Georgia"/>
          <w:sz w:val="24"/>
          <w:szCs w:val="24"/>
        </w:rPr>
        <w:t>items</w:t>
      </w:r>
      <w:r w:rsidR="00B13238">
        <w:rPr>
          <w:rFonts w:ascii="Georgia" w:hAnsi="Georgia"/>
          <w:sz w:val="24"/>
          <w:szCs w:val="24"/>
        </w:rPr>
        <w:t xml:space="preserve"> </w:t>
      </w:r>
      <w:r w:rsidR="0056376B">
        <w:rPr>
          <w:rFonts w:ascii="Georgia" w:hAnsi="Georgia"/>
          <w:sz w:val="24"/>
          <w:szCs w:val="24"/>
        </w:rPr>
        <w:t>included within</w:t>
      </w:r>
      <w:r w:rsidR="00BF7632">
        <w:rPr>
          <w:rFonts w:ascii="Georgia" w:hAnsi="Georgia"/>
          <w:sz w:val="24"/>
          <w:szCs w:val="24"/>
        </w:rPr>
        <w:t xml:space="preserve"> </w:t>
      </w:r>
      <w:r w:rsidR="00087E66">
        <w:rPr>
          <w:rFonts w:ascii="Georgia" w:hAnsi="Georgia"/>
          <w:sz w:val="24"/>
          <w:szCs w:val="24"/>
        </w:rPr>
        <w:t>the “</w:t>
      </w:r>
      <w:r w:rsidR="00895B20">
        <w:rPr>
          <w:rFonts w:ascii="Georgia" w:hAnsi="Georgia"/>
          <w:sz w:val="24"/>
          <w:szCs w:val="24"/>
        </w:rPr>
        <w:t>Topics Designed to Guide the Discussion”</w:t>
      </w:r>
      <w:r w:rsidR="00BF7632">
        <w:rPr>
          <w:rFonts w:ascii="Georgia" w:hAnsi="Georgia"/>
          <w:sz w:val="24"/>
          <w:szCs w:val="24"/>
        </w:rPr>
        <w:t xml:space="preserve"> o</w:t>
      </w:r>
      <w:r w:rsidR="00895B20">
        <w:rPr>
          <w:rFonts w:ascii="Georgia" w:hAnsi="Georgia"/>
          <w:sz w:val="24"/>
          <w:szCs w:val="24"/>
        </w:rPr>
        <w:t xml:space="preserve">ffered by the Commission in its invitation to participate in this hearing.  </w:t>
      </w:r>
      <w:r>
        <w:rPr>
          <w:rFonts w:ascii="Georgia" w:hAnsi="Georgia"/>
          <w:sz w:val="24"/>
          <w:szCs w:val="24"/>
        </w:rPr>
        <w:t>At the outset, I will briefly detail</w:t>
      </w:r>
      <w:r w:rsidR="00895B20">
        <w:rPr>
          <w:rFonts w:ascii="Georgia" w:hAnsi="Georgia"/>
          <w:sz w:val="24"/>
          <w:szCs w:val="24"/>
        </w:rPr>
        <w:t xml:space="preserve"> </w:t>
      </w:r>
      <w:r w:rsidR="00E857B0">
        <w:rPr>
          <w:rFonts w:ascii="Georgia" w:hAnsi="Georgia"/>
          <w:sz w:val="24"/>
          <w:szCs w:val="24"/>
        </w:rPr>
        <w:t>Columbia’s history of propos</w:t>
      </w:r>
      <w:r w:rsidR="00E8634C">
        <w:rPr>
          <w:rFonts w:ascii="Georgia" w:hAnsi="Georgia"/>
          <w:sz w:val="24"/>
          <w:szCs w:val="24"/>
        </w:rPr>
        <w:t>ing</w:t>
      </w:r>
      <w:r w:rsidR="00E857B0">
        <w:rPr>
          <w:rFonts w:ascii="Georgia" w:hAnsi="Georgia"/>
          <w:sz w:val="24"/>
          <w:szCs w:val="24"/>
        </w:rPr>
        <w:t xml:space="preserve"> innovative alternative rate designs, </w:t>
      </w:r>
      <w:r w:rsidR="00E8634C">
        <w:rPr>
          <w:rFonts w:ascii="Georgia" w:hAnsi="Georgia"/>
          <w:sz w:val="24"/>
          <w:szCs w:val="24"/>
        </w:rPr>
        <w:t>including</w:t>
      </w:r>
      <w:r w:rsidR="003C77B4">
        <w:rPr>
          <w:rFonts w:ascii="Georgia" w:hAnsi="Georgia"/>
          <w:sz w:val="24"/>
          <w:szCs w:val="24"/>
        </w:rPr>
        <w:t xml:space="preserve"> </w:t>
      </w:r>
      <w:r w:rsidR="00E64A57">
        <w:rPr>
          <w:rFonts w:ascii="Georgia" w:hAnsi="Georgia"/>
          <w:sz w:val="24"/>
          <w:szCs w:val="24"/>
        </w:rPr>
        <w:t xml:space="preserve">the </w:t>
      </w:r>
      <w:r w:rsidR="00E942C3">
        <w:rPr>
          <w:rFonts w:ascii="Georgia" w:hAnsi="Georgia"/>
          <w:sz w:val="24"/>
          <w:szCs w:val="24"/>
        </w:rPr>
        <w:t>L</w:t>
      </w:r>
      <w:r w:rsidR="00767E9D">
        <w:rPr>
          <w:rFonts w:ascii="Georgia" w:hAnsi="Georgia"/>
          <w:sz w:val="24"/>
          <w:szCs w:val="24"/>
        </w:rPr>
        <w:t>DC</w:t>
      </w:r>
      <w:r w:rsidR="00895B20">
        <w:rPr>
          <w:rFonts w:ascii="Georgia" w:hAnsi="Georgia"/>
          <w:sz w:val="24"/>
          <w:szCs w:val="24"/>
        </w:rPr>
        <w:t xml:space="preserve"> </w:t>
      </w:r>
      <w:r w:rsidR="00783710">
        <w:rPr>
          <w:rFonts w:ascii="Georgia" w:hAnsi="Georgia"/>
          <w:sz w:val="24"/>
          <w:szCs w:val="24"/>
        </w:rPr>
        <w:t xml:space="preserve">that </w:t>
      </w:r>
      <w:r w:rsidR="00E8634C">
        <w:rPr>
          <w:rFonts w:ascii="Georgia" w:hAnsi="Georgia"/>
          <w:sz w:val="24"/>
          <w:szCs w:val="24"/>
        </w:rPr>
        <w:t>w</w:t>
      </w:r>
      <w:r w:rsidR="00783710">
        <w:rPr>
          <w:rFonts w:ascii="Georgia" w:hAnsi="Georgia"/>
          <w:sz w:val="24"/>
          <w:szCs w:val="24"/>
        </w:rPr>
        <w:t xml:space="preserve">as previously proposed </w:t>
      </w:r>
      <w:r w:rsidR="00895B20">
        <w:rPr>
          <w:rFonts w:ascii="Georgia" w:hAnsi="Georgia"/>
          <w:sz w:val="24"/>
          <w:szCs w:val="24"/>
        </w:rPr>
        <w:t>for</w:t>
      </w:r>
      <w:r w:rsidR="00783710">
        <w:rPr>
          <w:rFonts w:ascii="Georgia" w:hAnsi="Georgia"/>
          <w:sz w:val="24"/>
          <w:szCs w:val="24"/>
        </w:rPr>
        <w:t xml:space="preserve"> residential cu</w:t>
      </w:r>
      <w:r w:rsidR="00A21558">
        <w:rPr>
          <w:rFonts w:ascii="Georgia" w:hAnsi="Georgia"/>
          <w:sz w:val="24"/>
          <w:szCs w:val="24"/>
        </w:rPr>
        <w:t>s</w:t>
      </w:r>
      <w:r w:rsidR="00783710">
        <w:rPr>
          <w:rFonts w:ascii="Georgia" w:hAnsi="Georgia"/>
          <w:sz w:val="24"/>
          <w:szCs w:val="24"/>
        </w:rPr>
        <w:t>tomers</w:t>
      </w:r>
      <w:r w:rsidR="003C77B4">
        <w:rPr>
          <w:rFonts w:ascii="Georgia" w:hAnsi="Georgia"/>
          <w:sz w:val="24"/>
          <w:szCs w:val="24"/>
        </w:rPr>
        <w:t xml:space="preserve">, as well as </w:t>
      </w:r>
      <w:r w:rsidR="00DF6EC2">
        <w:rPr>
          <w:rFonts w:ascii="Georgia" w:hAnsi="Georgia"/>
          <w:sz w:val="24"/>
          <w:szCs w:val="24"/>
        </w:rPr>
        <w:t>RNA</w:t>
      </w:r>
      <w:r w:rsidR="003C77B4">
        <w:rPr>
          <w:rFonts w:ascii="Georgia" w:hAnsi="Georgia"/>
          <w:sz w:val="24"/>
          <w:szCs w:val="24"/>
        </w:rPr>
        <w:t xml:space="preserve"> and </w:t>
      </w:r>
      <w:r w:rsidR="00DF6EC2">
        <w:rPr>
          <w:rFonts w:ascii="Georgia" w:hAnsi="Georgia"/>
          <w:sz w:val="24"/>
          <w:szCs w:val="24"/>
        </w:rPr>
        <w:t>WNA</w:t>
      </w:r>
      <w:r w:rsidR="003C77B4">
        <w:rPr>
          <w:rFonts w:ascii="Georgia" w:hAnsi="Georgia"/>
          <w:sz w:val="24"/>
          <w:szCs w:val="24"/>
        </w:rPr>
        <w:t xml:space="preserve">.  </w:t>
      </w:r>
      <w:r w:rsidR="00563FAC">
        <w:rPr>
          <w:rFonts w:ascii="Georgia" w:hAnsi="Georgia"/>
          <w:sz w:val="24"/>
          <w:szCs w:val="24"/>
        </w:rPr>
        <w:t xml:space="preserve">Again, Columbia currently has a </w:t>
      </w:r>
      <w:r w:rsidR="007B6EA7">
        <w:rPr>
          <w:rFonts w:ascii="Georgia" w:hAnsi="Georgia"/>
          <w:sz w:val="24"/>
          <w:szCs w:val="24"/>
        </w:rPr>
        <w:t xml:space="preserve">pilot </w:t>
      </w:r>
      <w:r w:rsidR="00563FAC">
        <w:rPr>
          <w:rFonts w:ascii="Georgia" w:hAnsi="Georgia"/>
          <w:sz w:val="24"/>
          <w:szCs w:val="24"/>
        </w:rPr>
        <w:t xml:space="preserve">WNA in place.  However, as discussed below, </w:t>
      </w:r>
      <w:r w:rsidR="003F76A5">
        <w:rPr>
          <w:rFonts w:ascii="Georgia" w:hAnsi="Georgia"/>
          <w:sz w:val="24"/>
          <w:szCs w:val="24"/>
        </w:rPr>
        <w:t>the</w:t>
      </w:r>
      <w:r w:rsidR="00E942C3" w:rsidRPr="00E942C3">
        <w:rPr>
          <w:rFonts w:ascii="Georgia" w:hAnsi="Georgia"/>
          <w:sz w:val="24"/>
          <w:szCs w:val="24"/>
        </w:rPr>
        <w:t xml:space="preserve"> LDC </w:t>
      </w:r>
      <w:r w:rsidR="00563FAC">
        <w:rPr>
          <w:rFonts w:ascii="Georgia" w:hAnsi="Georgia"/>
          <w:sz w:val="24"/>
          <w:szCs w:val="24"/>
        </w:rPr>
        <w:t xml:space="preserve">remains  </w:t>
      </w:r>
      <w:r w:rsidR="00E942C3" w:rsidRPr="00E942C3">
        <w:rPr>
          <w:rFonts w:ascii="Georgia" w:hAnsi="Georgia"/>
          <w:sz w:val="24"/>
          <w:szCs w:val="24"/>
        </w:rPr>
        <w:t>Columbia’s preferred residential rate design</w:t>
      </w:r>
      <w:r w:rsidR="007B6EA7">
        <w:rPr>
          <w:rFonts w:ascii="Georgia" w:hAnsi="Georgia"/>
          <w:sz w:val="24"/>
          <w:szCs w:val="24"/>
        </w:rPr>
        <w:t xml:space="preserve"> and</w:t>
      </w:r>
      <w:r w:rsidR="00E942C3" w:rsidRPr="00E942C3">
        <w:rPr>
          <w:rFonts w:ascii="Georgia" w:hAnsi="Georgia"/>
          <w:sz w:val="24"/>
          <w:szCs w:val="24"/>
        </w:rPr>
        <w:t xml:space="preserve">, </w:t>
      </w:r>
      <w:r w:rsidR="00563FAC">
        <w:rPr>
          <w:rFonts w:ascii="Georgia" w:hAnsi="Georgia"/>
          <w:sz w:val="24"/>
          <w:szCs w:val="24"/>
        </w:rPr>
        <w:t xml:space="preserve">therefore, my testimony addresses </w:t>
      </w:r>
      <w:r w:rsidR="007109E9">
        <w:rPr>
          <w:rFonts w:ascii="Georgia" w:hAnsi="Georgia"/>
          <w:sz w:val="24"/>
          <w:szCs w:val="24"/>
        </w:rPr>
        <w:t xml:space="preserve">cost causation, stability and simplicity, along with other benefits of </w:t>
      </w:r>
      <w:r w:rsidR="00563FAC">
        <w:rPr>
          <w:rFonts w:ascii="Georgia" w:hAnsi="Georgia"/>
          <w:sz w:val="24"/>
          <w:szCs w:val="24"/>
        </w:rPr>
        <w:t xml:space="preserve">a </w:t>
      </w:r>
      <w:r w:rsidR="00A15D68">
        <w:rPr>
          <w:rFonts w:ascii="Georgia" w:hAnsi="Georgia"/>
          <w:sz w:val="24"/>
          <w:szCs w:val="24"/>
        </w:rPr>
        <w:t xml:space="preserve">residential </w:t>
      </w:r>
      <w:r w:rsidR="00E942C3" w:rsidRPr="00E942C3">
        <w:rPr>
          <w:rFonts w:ascii="Georgia" w:hAnsi="Georgia"/>
          <w:sz w:val="24"/>
          <w:szCs w:val="24"/>
        </w:rPr>
        <w:t>LDC</w:t>
      </w:r>
      <w:r w:rsidR="007109E9">
        <w:rPr>
          <w:rFonts w:ascii="Georgia" w:hAnsi="Georgia"/>
          <w:sz w:val="24"/>
          <w:szCs w:val="24"/>
        </w:rPr>
        <w:t xml:space="preserve">.  Lastly, I </w:t>
      </w:r>
      <w:r w:rsidR="00563FAC">
        <w:rPr>
          <w:rFonts w:ascii="Georgia" w:hAnsi="Georgia"/>
          <w:sz w:val="24"/>
          <w:szCs w:val="24"/>
        </w:rPr>
        <w:t xml:space="preserve">provide a brief </w:t>
      </w:r>
      <w:r w:rsidR="007109E9">
        <w:rPr>
          <w:rFonts w:ascii="Georgia" w:hAnsi="Georgia"/>
          <w:sz w:val="24"/>
          <w:szCs w:val="24"/>
        </w:rPr>
        <w:t>review</w:t>
      </w:r>
      <w:r w:rsidR="00E942C3">
        <w:rPr>
          <w:rFonts w:ascii="Georgia" w:hAnsi="Georgia"/>
          <w:sz w:val="24"/>
          <w:szCs w:val="24"/>
        </w:rPr>
        <w:t xml:space="preserve"> </w:t>
      </w:r>
      <w:r w:rsidR="00563FAC">
        <w:rPr>
          <w:rFonts w:ascii="Georgia" w:hAnsi="Georgia"/>
          <w:sz w:val="24"/>
          <w:szCs w:val="24"/>
        </w:rPr>
        <w:t xml:space="preserve">of </w:t>
      </w:r>
      <w:r w:rsidR="00E942C3">
        <w:rPr>
          <w:rFonts w:ascii="Georgia" w:hAnsi="Georgia"/>
          <w:sz w:val="24"/>
          <w:szCs w:val="24"/>
        </w:rPr>
        <w:t xml:space="preserve">jurisdictions within </w:t>
      </w:r>
      <w:r w:rsidR="00563FAC">
        <w:rPr>
          <w:rFonts w:ascii="Georgia" w:hAnsi="Georgia"/>
          <w:sz w:val="24"/>
          <w:szCs w:val="24"/>
        </w:rPr>
        <w:t xml:space="preserve">the </w:t>
      </w:r>
      <w:r w:rsidR="00E942C3">
        <w:rPr>
          <w:rFonts w:ascii="Georgia" w:hAnsi="Georgia"/>
          <w:sz w:val="24"/>
          <w:szCs w:val="24"/>
        </w:rPr>
        <w:t xml:space="preserve">NiSource </w:t>
      </w:r>
      <w:r w:rsidR="00563FAC">
        <w:rPr>
          <w:rFonts w:ascii="Georgia" w:hAnsi="Georgia"/>
          <w:sz w:val="24"/>
          <w:szCs w:val="24"/>
        </w:rPr>
        <w:t xml:space="preserve">footprint </w:t>
      </w:r>
      <w:r w:rsidR="00E942C3">
        <w:rPr>
          <w:rFonts w:ascii="Georgia" w:hAnsi="Georgia"/>
          <w:sz w:val="24"/>
          <w:szCs w:val="24"/>
        </w:rPr>
        <w:t>that utilize alternative rate designs</w:t>
      </w:r>
      <w:r w:rsidR="007B6EA7">
        <w:rPr>
          <w:rFonts w:ascii="Georgia" w:hAnsi="Georgia"/>
          <w:sz w:val="24"/>
          <w:szCs w:val="24"/>
        </w:rPr>
        <w:t xml:space="preserve"> that are</w:t>
      </w:r>
      <w:r w:rsidR="00E942C3">
        <w:rPr>
          <w:rFonts w:ascii="Georgia" w:hAnsi="Georgia"/>
          <w:sz w:val="24"/>
          <w:szCs w:val="24"/>
        </w:rPr>
        <w:t xml:space="preserve"> similar to Columbia’s recent </w:t>
      </w:r>
      <w:r w:rsidR="00E942C3" w:rsidRPr="00E942C3">
        <w:rPr>
          <w:rFonts w:ascii="Georgia" w:hAnsi="Georgia"/>
          <w:sz w:val="24"/>
          <w:szCs w:val="24"/>
        </w:rPr>
        <w:t>proposals</w:t>
      </w:r>
      <w:r w:rsidR="00E942C3">
        <w:rPr>
          <w:rFonts w:ascii="Georgia" w:hAnsi="Georgia"/>
          <w:sz w:val="24"/>
          <w:szCs w:val="24"/>
        </w:rPr>
        <w:t>.</w:t>
      </w:r>
      <w:r w:rsidR="00A264C0">
        <w:rPr>
          <w:rFonts w:ascii="Georgia" w:hAnsi="Georgia"/>
          <w:sz w:val="24"/>
          <w:szCs w:val="24"/>
        </w:rPr>
        <w:t xml:space="preserve"> </w:t>
      </w:r>
    </w:p>
    <w:p w14:paraId="62683846" w14:textId="77777777" w:rsidR="004430EB" w:rsidRDefault="004430EB" w:rsidP="00A23626">
      <w:pPr>
        <w:spacing w:after="0" w:line="480" w:lineRule="auto"/>
        <w:ind w:firstLine="720"/>
        <w:jc w:val="both"/>
        <w:rPr>
          <w:rFonts w:ascii="Georgia" w:hAnsi="Georgia"/>
          <w:sz w:val="24"/>
          <w:szCs w:val="24"/>
        </w:rPr>
      </w:pPr>
    </w:p>
    <w:p w14:paraId="1C923753" w14:textId="27C1213C" w:rsidR="00C308B7" w:rsidRPr="00476471" w:rsidRDefault="00BF7632" w:rsidP="00A23626">
      <w:pPr>
        <w:spacing w:after="0" w:line="480" w:lineRule="auto"/>
        <w:jc w:val="both"/>
        <w:rPr>
          <w:rFonts w:ascii="Georgia" w:hAnsi="Georgia"/>
          <w:b/>
          <w:sz w:val="24"/>
          <w:szCs w:val="24"/>
          <w:u w:val="single"/>
        </w:rPr>
      </w:pPr>
      <w:r>
        <w:rPr>
          <w:rFonts w:ascii="Georgia" w:hAnsi="Georgia"/>
          <w:b/>
          <w:sz w:val="24"/>
          <w:szCs w:val="24"/>
          <w:u w:val="single"/>
        </w:rPr>
        <w:lastRenderedPageBreak/>
        <w:t>Columbia’s History of Proposed Alternative Rate Designs</w:t>
      </w:r>
    </w:p>
    <w:p w14:paraId="50A48D22" w14:textId="770076DA" w:rsidR="001205F2" w:rsidRDefault="00783710" w:rsidP="00A23626">
      <w:pPr>
        <w:spacing w:after="0" w:line="480" w:lineRule="auto"/>
        <w:ind w:firstLine="720"/>
        <w:jc w:val="both"/>
        <w:rPr>
          <w:rFonts w:ascii="Georgia" w:hAnsi="Georgia"/>
          <w:sz w:val="24"/>
          <w:szCs w:val="24"/>
        </w:rPr>
      </w:pPr>
      <w:r>
        <w:rPr>
          <w:rFonts w:ascii="Georgia" w:hAnsi="Georgia"/>
          <w:sz w:val="24"/>
          <w:szCs w:val="24"/>
        </w:rPr>
        <w:t>In Pennsylvania</w:t>
      </w:r>
      <w:r w:rsidR="00CC3981">
        <w:rPr>
          <w:rFonts w:ascii="Georgia" w:hAnsi="Georgia"/>
          <w:sz w:val="24"/>
          <w:szCs w:val="24"/>
        </w:rPr>
        <w:t xml:space="preserve"> base rate cases, a utility’s recovery of fixed costs</w:t>
      </w:r>
      <w:r>
        <w:rPr>
          <w:rFonts w:ascii="Georgia" w:hAnsi="Georgia"/>
          <w:sz w:val="24"/>
          <w:szCs w:val="24"/>
        </w:rPr>
        <w:t xml:space="preserve"> typically involves</w:t>
      </w:r>
      <w:r w:rsidR="00563FAC">
        <w:rPr>
          <w:rFonts w:ascii="Georgia" w:hAnsi="Georgia"/>
          <w:sz w:val="24"/>
          <w:szCs w:val="24"/>
        </w:rPr>
        <w:t>, at most,</w:t>
      </w:r>
      <w:r>
        <w:rPr>
          <w:rFonts w:ascii="Georgia" w:hAnsi="Georgia"/>
          <w:sz w:val="24"/>
          <w:szCs w:val="24"/>
        </w:rPr>
        <w:t xml:space="preserve"> a modest increase in monthly customer charges for various rate classes</w:t>
      </w:r>
      <w:r w:rsidR="00563FAC">
        <w:rPr>
          <w:rFonts w:ascii="Georgia" w:hAnsi="Georgia"/>
          <w:sz w:val="24"/>
          <w:szCs w:val="24"/>
        </w:rPr>
        <w:t xml:space="preserve">.  </w:t>
      </w:r>
      <w:r w:rsidR="007B6EA7">
        <w:rPr>
          <w:rFonts w:ascii="Georgia" w:hAnsi="Georgia"/>
          <w:sz w:val="24"/>
          <w:szCs w:val="24"/>
        </w:rPr>
        <w:t>This leaves</w:t>
      </w:r>
      <w:r>
        <w:rPr>
          <w:rFonts w:ascii="Georgia" w:hAnsi="Georgia"/>
          <w:sz w:val="24"/>
          <w:szCs w:val="24"/>
        </w:rPr>
        <w:t xml:space="preserve"> the bulk of </w:t>
      </w:r>
      <w:r w:rsidR="00BD6AEE">
        <w:rPr>
          <w:rFonts w:ascii="Georgia" w:hAnsi="Georgia"/>
          <w:sz w:val="24"/>
          <w:szCs w:val="24"/>
        </w:rPr>
        <w:t xml:space="preserve">the revenue increase to be recovered through usage based </w:t>
      </w:r>
      <w:r w:rsidR="002F463D">
        <w:rPr>
          <w:rFonts w:ascii="Georgia" w:hAnsi="Georgia"/>
          <w:sz w:val="24"/>
          <w:szCs w:val="24"/>
        </w:rPr>
        <w:t xml:space="preserve">distribution </w:t>
      </w:r>
      <w:r w:rsidR="00BD6AEE">
        <w:rPr>
          <w:rFonts w:ascii="Georgia" w:hAnsi="Georgia"/>
          <w:sz w:val="24"/>
          <w:szCs w:val="24"/>
        </w:rPr>
        <w:t xml:space="preserve">rates.  </w:t>
      </w:r>
      <w:r w:rsidR="00E857B0">
        <w:rPr>
          <w:rFonts w:ascii="Georgia" w:hAnsi="Georgia"/>
          <w:sz w:val="24"/>
          <w:szCs w:val="24"/>
        </w:rPr>
        <w:t xml:space="preserve">Since 2008, Columbia has filed for </w:t>
      </w:r>
      <w:r w:rsidR="00DF6EC2">
        <w:rPr>
          <w:rFonts w:ascii="Georgia" w:hAnsi="Georgia"/>
          <w:sz w:val="24"/>
          <w:szCs w:val="24"/>
        </w:rPr>
        <w:t xml:space="preserve">six </w:t>
      </w:r>
      <w:r w:rsidR="00E64A57">
        <w:rPr>
          <w:rFonts w:ascii="Georgia" w:hAnsi="Georgia"/>
          <w:sz w:val="24"/>
          <w:szCs w:val="24"/>
        </w:rPr>
        <w:t xml:space="preserve">base </w:t>
      </w:r>
      <w:r w:rsidR="00E857B0">
        <w:rPr>
          <w:rFonts w:ascii="Georgia" w:hAnsi="Georgia"/>
          <w:sz w:val="24"/>
          <w:szCs w:val="24"/>
        </w:rPr>
        <w:t>rate increases</w:t>
      </w:r>
      <w:r>
        <w:rPr>
          <w:rFonts w:ascii="Georgia" w:hAnsi="Georgia"/>
          <w:sz w:val="24"/>
          <w:szCs w:val="24"/>
        </w:rPr>
        <w:t xml:space="preserve"> and, in </w:t>
      </w:r>
      <w:r w:rsidR="00BD6AEE">
        <w:rPr>
          <w:rFonts w:ascii="Georgia" w:hAnsi="Georgia"/>
          <w:sz w:val="24"/>
          <w:szCs w:val="24"/>
        </w:rPr>
        <w:t>two of those cases, the Company</w:t>
      </w:r>
      <w:r w:rsidR="00F44356">
        <w:rPr>
          <w:rFonts w:ascii="Georgia" w:hAnsi="Georgia"/>
          <w:sz w:val="24"/>
          <w:szCs w:val="24"/>
        </w:rPr>
        <w:t xml:space="preserve"> submitted </w:t>
      </w:r>
      <w:r w:rsidR="00BD6AEE">
        <w:rPr>
          <w:rFonts w:ascii="Georgia" w:hAnsi="Georgia"/>
          <w:sz w:val="24"/>
          <w:szCs w:val="24"/>
        </w:rPr>
        <w:t xml:space="preserve">residential rate design </w:t>
      </w:r>
      <w:r>
        <w:rPr>
          <w:rFonts w:ascii="Georgia" w:hAnsi="Georgia"/>
          <w:sz w:val="24"/>
          <w:szCs w:val="24"/>
        </w:rPr>
        <w:t>proposals</w:t>
      </w:r>
      <w:r w:rsidR="00F44356">
        <w:rPr>
          <w:rFonts w:ascii="Georgia" w:hAnsi="Georgia"/>
          <w:sz w:val="24"/>
          <w:szCs w:val="24"/>
        </w:rPr>
        <w:t xml:space="preserve"> that</w:t>
      </w:r>
      <w:r>
        <w:rPr>
          <w:rFonts w:ascii="Georgia" w:hAnsi="Georgia"/>
          <w:sz w:val="24"/>
          <w:szCs w:val="24"/>
        </w:rPr>
        <w:t xml:space="preserve"> </w:t>
      </w:r>
      <w:r w:rsidR="00BD6AEE">
        <w:rPr>
          <w:rFonts w:ascii="Georgia" w:hAnsi="Georgia"/>
          <w:sz w:val="24"/>
          <w:szCs w:val="24"/>
        </w:rPr>
        <w:t>sought to depart from traditional methods</w:t>
      </w:r>
      <w:r w:rsidR="00E857B0">
        <w:rPr>
          <w:rFonts w:ascii="Georgia" w:hAnsi="Georgia"/>
          <w:sz w:val="24"/>
          <w:szCs w:val="24"/>
        </w:rPr>
        <w:t>.</w:t>
      </w:r>
      <w:r w:rsidR="00BD6AEE">
        <w:rPr>
          <w:rFonts w:ascii="Georgia" w:hAnsi="Georgia"/>
          <w:sz w:val="24"/>
          <w:szCs w:val="24"/>
        </w:rPr>
        <w:t xml:space="preserve">  First, i</w:t>
      </w:r>
      <w:r w:rsidR="00E857B0">
        <w:rPr>
          <w:rFonts w:ascii="Georgia" w:hAnsi="Georgia"/>
          <w:sz w:val="24"/>
          <w:szCs w:val="24"/>
        </w:rPr>
        <w:t>n 201</w:t>
      </w:r>
      <w:r w:rsidR="00F44356">
        <w:rPr>
          <w:rFonts w:ascii="Georgia" w:hAnsi="Georgia"/>
          <w:sz w:val="24"/>
          <w:szCs w:val="24"/>
        </w:rPr>
        <w:t>1</w:t>
      </w:r>
      <w:r w:rsidR="00E857B0">
        <w:rPr>
          <w:rFonts w:ascii="Georgia" w:hAnsi="Georgia"/>
          <w:sz w:val="24"/>
          <w:szCs w:val="24"/>
        </w:rPr>
        <w:t xml:space="preserve">, </w:t>
      </w:r>
      <w:r w:rsidR="00087E66">
        <w:rPr>
          <w:rFonts w:ascii="Georgia" w:hAnsi="Georgia"/>
          <w:sz w:val="24"/>
          <w:szCs w:val="24"/>
        </w:rPr>
        <w:t>Columbia</w:t>
      </w:r>
      <w:r w:rsidR="006E303E">
        <w:rPr>
          <w:rFonts w:ascii="Georgia" w:hAnsi="Georgia"/>
          <w:sz w:val="24"/>
          <w:szCs w:val="24"/>
        </w:rPr>
        <w:t xml:space="preserve"> </w:t>
      </w:r>
      <w:r w:rsidR="00E857B0">
        <w:rPr>
          <w:rFonts w:ascii="Georgia" w:hAnsi="Georgia"/>
          <w:sz w:val="24"/>
          <w:szCs w:val="24"/>
        </w:rPr>
        <w:t>proposed the establishment of a monthly</w:t>
      </w:r>
      <w:r w:rsidR="00AD4A00">
        <w:rPr>
          <w:rFonts w:ascii="Georgia" w:hAnsi="Georgia"/>
          <w:sz w:val="24"/>
          <w:szCs w:val="24"/>
        </w:rPr>
        <w:t xml:space="preserve"> </w:t>
      </w:r>
      <w:r w:rsidR="00DF6EC2">
        <w:rPr>
          <w:rFonts w:ascii="Georgia" w:hAnsi="Georgia"/>
          <w:sz w:val="24"/>
          <w:szCs w:val="24"/>
        </w:rPr>
        <w:t>LDC</w:t>
      </w:r>
      <w:r w:rsidR="00BD6AEE">
        <w:rPr>
          <w:rFonts w:ascii="Georgia" w:hAnsi="Georgia"/>
          <w:sz w:val="24"/>
          <w:szCs w:val="24"/>
        </w:rPr>
        <w:t xml:space="preserve"> </w:t>
      </w:r>
      <w:r w:rsidR="00E857B0">
        <w:rPr>
          <w:rFonts w:ascii="Georgia" w:hAnsi="Georgia"/>
          <w:sz w:val="24"/>
          <w:szCs w:val="24"/>
        </w:rPr>
        <w:t xml:space="preserve">for </w:t>
      </w:r>
      <w:r w:rsidR="00BD6AEE">
        <w:rPr>
          <w:rFonts w:ascii="Georgia" w:hAnsi="Georgia"/>
          <w:sz w:val="24"/>
          <w:szCs w:val="24"/>
        </w:rPr>
        <w:t xml:space="preserve">its </w:t>
      </w:r>
      <w:r w:rsidR="00E857B0">
        <w:rPr>
          <w:rFonts w:ascii="Georgia" w:hAnsi="Georgia"/>
          <w:sz w:val="24"/>
          <w:szCs w:val="24"/>
        </w:rPr>
        <w:t>residential customer</w:t>
      </w:r>
      <w:r w:rsidR="00F44356">
        <w:rPr>
          <w:rFonts w:ascii="Georgia" w:hAnsi="Georgia"/>
          <w:sz w:val="24"/>
          <w:szCs w:val="24"/>
        </w:rPr>
        <w:t xml:space="preserve"> class</w:t>
      </w:r>
      <w:r w:rsidR="00BD6AEE">
        <w:rPr>
          <w:rFonts w:ascii="Georgia" w:hAnsi="Georgia"/>
          <w:sz w:val="24"/>
          <w:szCs w:val="24"/>
        </w:rPr>
        <w:t xml:space="preserve">.  </w:t>
      </w:r>
      <w:r w:rsidR="00DF6EC2">
        <w:rPr>
          <w:rFonts w:ascii="Georgia" w:hAnsi="Georgia"/>
          <w:sz w:val="24"/>
          <w:szCs w:val="24"/>
        </w:rPr>
        <w:t xml:space="preserve">The LDC, as proposed, would have </w:t>
      </w:r>
      <w:r w:rsidR="00437E2F">
        <w:rPr>
          <w:rFonts w:ascii="Georgia" w:hAnsi="Georgia"/>
          <w:sz w:val="24"/>
          <w:szCs w:val="24"/>
        </w:rPr>
        <w:t xml:space="preserve">permitted Columbia to recover fixed costs through a higher monthly customer charge, </w:t>
      </w:r>
      <w:r w:rsidR="00190CB1">
        <w:rPr>
          <w:rFonts w:ascii="Georgia" w:hAnsi="Georgia"/>
          <w:sz w:val="24"/>
          <w:szCs w:val="24"/>
        </w:rPr>
        <w:t xml:space="preserve">while </w:t>
      </w:r>
      <w:r w:rsidR="00EF3B0C">
        <w:rPr>
          <w:rFonts w:ascii="Georgia" w:hAnsi="Georgia"/>
          <w:sz w:val="24"/>
          <w:szCs w:val="24"/>
        </w:rPr>
        <w:t>us</w:t>
      </w:r>
      <w:r w:rsidR="00190CB1">
        <w:rPr>
          <w:rFonts w:ascii="Georgia" w:hAnsi="Georgia"/>
          <w:sz w:val="24"/>
          <w:szCs w:val="24"/>
        </w:rPr>
        <w:t>ing</w:t>
      </w:r>
      <w:r w:rsidR="00EF3B0C">
        <w:rPr>
          <w:rFonts w:ascii="Georgia" w:hAnsi="Georgia"/>
          <w:sz w:val="24"/>
          <w:szCs w:val="24"/>
        </w:rPr>
        <w:t xml:space="preserve"> volumetric rates to recover</w:t>
      </w:r>
      <w:r w:rsidR="00437E2F">
        <w:rPr>
          <w:rFonts w:ascii="Georgia" w:hAnsi="Georgia"/>
          <w:sz w:val="24"/>
          <w:szCs w:val="24"/>
        </w:rPr>
        <w:t xml:space="preserve"> variable costs</w:t>
      </w:r>
      <w:r w:rsidR="00FD3746">
        <w:rPr>
          <w:rFonts w:ascii="Georgia" w:hAnsi="Georgia"/>
          <w:sz w:val="24"/>
          <w:szCs w:val="24"/>
        </w:rPr>
        <w:t>,</w:t>
      </w:r>
      <w:r w:rsidR="00437E2F">
        <w:rPr>
          <w:rFonts w:ascii="Georgia" w:hAnsi="Georgia"/>
          <w:sz w:val="24"/>
          <w:szCs w:val="24"/>
        </w:rPr>
        <w:t xml:space="preserve"> </w:t>
      </w:r>
      <w:r w:rsidR="00EF3B0C">
        <w:rPr>
          <w:rFonts w:ascii="Georgia" w:hAnsi="Georgia"/>
          <w:sz w:val="24"/>
          <w:szCs w:val="24"/>
        </w:rPr>
        <w:t>such as</w:t>
      </w:r>
      <w:r w:rsidR="00437E2F">
        <w:rPr>
          <w:rFonts w:ascii="Georgia" w:hAnsi="Georgia"/>
          <w:sz w:val="24"/>
          <w:szCs w:val="24"/>
        </w:rPr>
        <w:t xml:space="preserve"> gas costs and certain riders. </w:t>
      </w:r>
      <w:r w:rsidR="00DF6EC2">
        <w:rPr>
          <w:rFonts w:ascii="Georgia" w:hAnsi="Georgia"/>
          <w:sz w:val="24"/>
          <w:szCs w:val="24"/>
        </w:rPr>
        <w:t xml:space="preserve"> </w:t>
      </w:r>
      <w:r w:rsidR="00437E2F">
        <w:rPr>
          <w:rFonts w:ascii="Georgia" w:hAnsi="Georgia"/>
          <w:sz w:val="24"/>
          <w:szCs w:val="24"/>
        </w:rPr>
        <w:t>However, s</w:t>
      </w:r>
      <w:r w:rsidR="00C15BDD">
        <w:rPr>
          <w:rFonts w:ascii="Georgia" w:hAnsi="Georgia"/>
          <w:sz w:val="24"/>
          <w:szCs w:val="24"/>
        </w:rPr>
        <w:t xml:space="preserve">ince the LDC was not approved by the Commission, Columbia considered other </w:t>
      </w:r>
      <w:r w:rsidR="001205F2">
        <w:rPr>
          <w:rFonts w:ascii="Georgia" w:hAnsi="Georgia"/>
          <w:sz w:val="24"/>
          <w:szCs w:val="24"/>
        </w:rPr>
        <w:t>residential rate de</w:t>
      </w:r>
      <w:r w:rsidR="001F60D3">
        <w:rPr>
          <w:rFonts w:ascii="Georgia" w:hAnsi="Georgia"/>
          <w:sz w:val="24"/>
          <w:szCs w:val="24"/>
        </w:rPr>
        <w:t>s</w:t>
      </w:r>
      <w:r w:rsidR="001205F2">
        <w:rPr>
          <w:rFonts w:ascii="Georgia" w:hAnsi="Georgia"/>
          <w:sz w:val="24"/>
          <w:szCs w:val="24"/>
        </w:rPr>
        <w:t xml:space="preserve">ign </w:t>
      </w:r>
      <w:r w:rsidR="00C15BDD">
        <w:rPr>
          <w:rFonts w:ascii="Georgia" w:hAnsi="Georgia"/>
          <w:sz w:val="24"/>
          <w:szCs w:val="24"/>
        </w:rPr>
        <w:t xml:space="preserve">options in its next base rate proceeding.  </w:t>
      </w:r>
    </w:p>
    <w:p w14:paraId="35F2E6B2" w14:textId="3DBFFD96" w:rsidR="00C15BDD" w:rsidRPr="00C15BDD" w:rsidRDefault="00E332A3" w:rsidP="00A23626">
      <w:pPr>
        <w:spacing w:after="0" w:line="480" w:lineRule="auto"/>
        <w:ind w:firstLine="720"/>
        <w:jc w:val="both"/>
        <w:rPr>
          <w:rFonts w:ascii="Georgia" w:hAnsi="Georgia"/>
          <w:sz w:val="24"/>
          <w:szCs w:val="24"/>
        </w:rPr>
      </w:pPr>
      <w:r w:rsidRPr="00C15BDD">
        <w:rPr>
          <w:rFonts w:ascii="Georgia" w:hAnsi="Georgia"/>
          <w:sz w:val="24"/>
          <w:szCs w:val="24"/>
        </w:rPr>
        <w:t xml:space="preserve">In its 2012 base rate case, Columbia expanded its alternative rate design </w:t>
      </w:r>
      <w:r w:rsidR="003E6C47" w:rsidRPr="00C15BDD">
        <w:rPr>
          <w:rFonts w:ascii="Georgia" w:hAnsi="Georgia"/>
          <w:sz w:val="24"/>
          <w:szCs w:val="24"/>
        </w:rPr>
        <w:t>option</w:t>
      </w:r>
      <w:r w:rsidRPr="00C15BDD">
        <w:rPr>
          <w:rFonts w:ascii="Georgia" w:hAnsi="Georgia"/>
          <w:sz w:val="24"/>
          <w:szCs w:val="24"/>
        </w:rPr>
        <w:t xml:space="preserve">s to include proposals to implement </w:t>
      </w:r>
      <w:r w:rsidR="00563FAC">
        <w:rPr>
          <w:rFonts w:ascii="Georgia" w:hAnsi="Georgia"/>
          <w:sz w:val="24"/>
          <w:szCs w:val="24"/>
        </w:rPr>
        <w:t>a</w:t>
      </w:r>
      <w:r w:rsidR="00A15D68">
        <w:rPr>
          <w:rFonts w:ascii="Georgia" w:hAnsi="Georgia"/>
          <w:sz w:val="24"/>
          <w:szCs w:val="24"/>
        </w:rPr>
        <w:t xml:space="preserve"> residential </w:t>
      </w:r>
      <w:r w:rsidRPr="00C15BDD">
        <w:rPr>
          <w:rFonts w:ascii="Georgia" w:hAnsi="Georgia"/>
          <w:sz w:val="24"/>
          <w:szCs w:val="24"/>
        </w:rPr>
        <w:t>RNA</w:t>
      </w:r>
      <w:r w:rsidR="003F76A5">
        <w:rPr>
          <w:rFonts w:ascii="Georgia" w:hAnsi="Georgia"/>
          <w:sz w:val="24"/>
          <w:szCs w:val="24"/>
        </w:rPr>
        <w:t xml:space="preserve"> and</w:t>
      </w:r>
      <w:r w:rsidR="00563FAC">
        <w:rPr>
          <w:rFonts w:ascii="Georgia" w:hAnsi="Georgia"/>
          <w:sz w:val="24"/>
          <w:szCs w:val="24"/>
        </w:rPr>
        <w:t xml:space="preserve"> </w:t>
      </w:r>
      <w:r w:rsidRPr="00C15BDD">
        <w:rPr>
          <w:rFonts w:ascii="Georgia" w:hAnsi="Georgia"/>
          <w:sz w:val="24"/>
          <w:szCs w:val="24"/>
        </w:rPr>
        <w:t>WNA, as well as the LDC that it had first proposed in 2011.</w:t>
      </w:r>
      <w:r w:rsidR="00C013C9">
        <w:rPr>
          <w:rFonts w:ascii="Georgia" w:hAnsi="Georgia"/>
          <w:sz w:val="24"/>
          <w:szCs w:val="24"/>
        </w:rPr>
        <w:t xml:space="preserve">  In the next few sections</w:t>
      </w:r>
      <w:r w:rsidR="00500B0F">
        <w:rPr>
          <w:rFonts w:ascii="Georgia" w:hAnsi="Georgia"/>
          <w:sz w:val="24"/>
          <w:szCs w:val="24"/>
        </w:rPr>
        <w:t xml:space="preserve"> of this testimony</w:t>
      </w:r>
      <w:r w:rsidR="00C013C9">
        <w:rPr>
          <w:rFonts w:ascii="Georgia" w:hAnsi="Georgia"/>
          <w:sz w:val="24"/>
          <w:szCs w:val="24"/>
        </w:rPr>
        <w:t xml:space="preserve">, I describe each of these rate design mechanisms and </w:t>
      </w:r>
      <w:r w:rsidR="00563FAC">
        <w:rPr>
          <w:rFonts w:ascii="Georgia" w:hAnsi="Georgia"/>
          <w:sz w:val="24"/>
          <w:szCs w:val="24"/>
        </w:rPr>
        <w:t xml:space="preserve">explain the reasons </w:t>
      </w:r>
      <w:r w:rsidR="00C013C9">
        <w:rPr>
          <w:rFonts w:ascii="Georgia" w:hAnsi="Georgia"/>
          <w:sz w:val="24"/>
          <w:szCs w:val="24"/>
        </w:rPr>
        <w:t xml:space="preserve">that </w:t>
      </w:r>
      <w:r w:rsidR="00563FAC">
        <w:rPr>
          <w:rFonts w:ascii="Georgia" w:hAnsi="Georgia"/>
          <w:sz w:val="24"/>
          <w:szCs w:val="24"/>
        </w:rPr>
        <w:t xml:space="preserve">Columbia has determined that </w:t>
      </w:r>
      <w:r w:rsidR="00476471">
        <w:rPr>
          <w:rFonts w:ascii="Georgia" w:hAnsi="Georgia"/>
          <w:sz w:val="24"/>
          <w:szCs w:val="24"/>
        </w:rPr>
        <w:t>LDC</w:t>
      </w:r>
      <w:r w:rsidR="00C013C9">
        <w:rPr>
          <w:rFonts w:ascii="Georgia" w:hAnsi="Georgia"/>
          <w:sz w:val="24"/>
          <w:szCs w:val="24"/>
        </w:rPr>
        <w:t xml:space="preserve"> is </w:t>
      </w:r>
      <w:r w:rsidR="00563FAC">
        <w:rPr>
          <w:rFonts w:ascii="Georgia" w:hAnsi="Georgia"/>
          <w:sz w:val="24"/>
          <w:szCs w:val="24"/>
        </w:rPr>
        <w:t xml:space="preserve">the </w:t>
      </w:r>
      <w:r w:rsidR="00C013C9">
        <w:rPr>
          <w:rFonts w:ascii="Georgia" w:hAnsi="Georgia"/>
          <w:sz w:val="24"/>
          <w:szCs w:val="24"/>
        </w:rPr>
        <w:t>preferred rate design for</w:t>
      </w:r>
      <w:r w:rsidR="001205F2">
        <w:rPr>
          <w:rFonts w:ascii="Georgia" w:hAnsi="Georgia"/>
          <w:sz w:val="24"/>
          <w:szCs w:val="24"/>
        </w:rPr>
        <w:t xml:space="preserve"> its</w:t>
      </w:r>
      <w:r w:rsidR="00C013C9">
        <w:rPr>
          <w:rFonts w:ascii="Georgia" w:hAnsi="Georgia"/>
          <w:sz w:val="24"/>
          <w:szCs w:val="24"/>
        </w:rPr>
        <w:t xml:space="preserve"> residential customers.</w:t>
      </w:r>
    </w:p>
    <w:p w14:paraId="03B1704D" w14:textId="49F948D3" w:rsidR="004F0D40" w:rsidRPr="009F7C92" w:rsidRDefault="00C308B7" w:rsidP="00A23626">
      <w:pPr>
        <w:spacing w:after="0" w:line="480" w:lineRule="auto"/>
        <w:jc w:val="both"/>
        <w:rPr>
          <w:rFonts w:ascii="Georgia" w:hAnsi="Georgia"/>
          <w:b/>
          <w:sz w:val="24"/>
          <w:szCs w:val="24"/>
          <w:u w:val="single"/>
        </w:rPr>
      </w:pPr>
      <w:r w:rsidRPr="009F7C92">
        <w:rPr>
          <w:rFonts w:ascii="Georgia" w:hAnsi="Georgia"/>
          <w:b/>
          <w:sz w:val="24"/>
          <w:szCs w:val="24"/>
          <w:u w:val="single"/>
        </w:rPr>
        <w:t>Levelized Distribution Charge</w:t>
      </w:r>
      <w:r w:rsidR="00476471" w:rsidRPr="009F7C92">
        <w:rPr>
          <w:rFonts w:ascii="Georgia" w:hAnsi="Georgia"/>
          <w:b/>
          <w:sz w:val="24"/>
          <w:szCs w:val="24"/>
          <w:u w:val="single"/>
        </w:rPr>
        <w:t xml:space="preserve"> </w:t>
      </w:r>
    </w:p>
    <w:p w14:paraId="3F911942" w14:textId="7886BC01" w:rsidR="00A94E0F" w:rsidRDefault="00437E2F" w:rsidP="00A23626">
      <w:pPr>
        <w:spacing w:after="0" w:line="480" w:lineRule="auto"/>
        <w:ind w:firstLine="720"/>
        <w:jc w:val="both"/>
        <w:rPr>
          <w:rFonts w:ascii="Georgia" w:hAnsi="Georgia"/>
          <w:sz w:val="24"/>
          <w:szCs w:val="24"/>
        </w:rPr>
      </w:pPr>
      <w:r>
        <w:rPr>
          <w:rFonts w:ascii="Georgia" w:hAnsi="Georgia"/>
          <w:sz w:val="24"/>
          <w:szCs w:val="24"/>
        </w:rPr>
        <w:t>LDC</w:t>
      </w:r>
      <w:r w:rsidR="00500B0F">
        <w:rPr>
          <w:rFonts w:ascii="Georgia" w:hAnsi="Georgia"/>
          <w:sz w:val="24"/>
          <w:szCs w:val="24"/>
        </w:rPr>
        <w:t xml:space="preserve"> is essentially a straight fixed variable </w:t>
      </w:r>
      <w:r w:rsidR="009F7C92">
        <w:rPr>
          <w:rFonts w:ascii="Georgia" w:hAnsi="Georgia"/>
          <w:sz w:val="24"/>
          <w:szCs w:val="24"/>
        </w:rPr>
        <w:t>rate design</w:t>
      </w:r>
      <w:r w:rsidR="00EC5556">
        <w:rPr>
          <w:rFonts w:ascii="Georgia" w:hAnsi="Georgia"/>
          <w:sz w:val="24"/>
          <w:szCs w:val="24"/>
        </w:rPr>
        <w:t>,</w:t>
      </w:r>
      <w:r w:rsidR="009F7C92">
        <w:rPr>
          <w:rFonts w:ascii="Georgia" w:hAnsi="Georgia"/>
          <w:sz w:val="24"/>
          <w:szCs w:val="24"/>
        </w:rPr>
        <w:t xml:space="preserve"> </w:t>
      </w:r>
      <w:r w:rsidR="00500B0F">
        <w:rPr>
          <w:rFonts w:ascii="Georgia" w:hAnsi="Georgia"/>
          <w:sz w:val="24"/>
          <w:szCs w:val="24"/>
        </w:rPr>
        <w:t xml:space="preserve">which features </w:t>
      </w:r>
      <w:r w:rsidR="00A94E0F" w:rsidRPr="00476471">
        <w:rPr>
          <w:rFonts w:ascii="Georgia" w:hAnsi="Georgia"/>
          <w:sz w:val="24"/>
          <w:szCs w:val="24"/>
        </w:rPr>
        <w:t>a flat monthly fee</w:t>
      </w:r>
      <w:r w:rsidR="009F7C92">
        <w:rPr>
          <w:rFonts w:ascii="Georgia" w:hAnsi="Georgia"/>
          <w:sz w:val="24"/>
          <w:szCs w:val="24"/>
        </w:rPr>
        <w:t xml:space="preserve"> for distribution service</w:t>
      </w:r>
      <w:r w:rsidR="00A94E0F" w:rsidRPr="00476471">
        <w:rPr>
          <w:rFonts w:ascii="Georgia" w:hAnsi="Georgia"/>
          <w:sz w:val="24"/>
          <w:szCs w:val="24"/>
        </w:rPr>
        <w:t xml:space="preserve"> coupled with a separate volumetric charge for the gas commodity.  </w:t>
      </w:r>
      <w:r>
        <w:rPr>
          <w:rFonts w:ascii="Georgia" w:hAnsi="Georgia"/>
          <w:sz w:val="24"/>
          <w:szCs w:val="24"/>
        </w:rPr>
        <w:t xml:space="preserve">Under the LDC proposed by Columbia, the gas cost portion of customers’ bills </w:t>
      </w:r>
      <w:r w:rsidR="00EC5556">
        <w:rPr>
          <w:rFonts w:ascii="Georgia" w:hAnsi="Georgia"/>
          <w:sz w:val="24"/>
          <w:szCs w:val="24"/>
        </w:rPr>
        <w:t xml:space="preserve">would </w:t>
      </w:r>
      <w:r>
        <w:rPr>
          <w:rFonts w:ascii="Georgia" w:hAnsi="Georgia"/>
          <w:sz w:val="24"/>
          <w:szCs w:val="24"/>
        </w:rPr>
        <w:t>remain subject to usage based rates.  However, fixed costs – which are not impacted by customer usage – woul</w:t>
      </w:r>
      <w:r w:rsidRPr="00E00C6F">
        <w:rPr>
          <w:rFonts w:ascii="Georgia" w:hAnsi="Georgia"/>
          <w:sz w:val="24"/>
          <w:szCs w:val="24"/>
        </w:rPr>
        <w:t xml:space="preserve">d </w:t>
      </w:r>
      <w:r>
        <w:rPr>
          <w:rFonts w:ascii="Georgia" w:hAnsi="Georgia"/>
          <w:sz w:val="24"/>
          <w:szCs w:val="24"/>
        </w:rPr>
        <w:t xml:space="preserve">be </w:t>
      </w:r>
      <w:r w:rsidRPr="00C15BDD">
        <w:rPr>
          <w:rFonts w:ascii="Georgia" w:hAnsi="Georgia"/>
          <w:sz w:val="24"/>
          <w:szCs w:val="24"/>
        </w:rPr>
        <w:t xml:space="preserve">recovered through </w:t>
      </w:r>
      <w:r>
        <w:rPr>
          <w:rFonts w:ascii="Georgia" w:hAnsi="Georgia"/>
          <w:sz w:val="24"/>
          <w:szCs w:val="24"/>
        </w:rPr>
        <w:t xml:space="preserve">a </w:t>
      </w:r>
      <w:r w:rsidRPr="00C15BDD">
        <w:rPr>
          <w:rFonts w:ascii="Georgia" w:hAnsi="Georgia"/>
          <w:sz w:val="24"/>
          <w:szCs w:val="24"/>
        </w:rPr>
        <w:t xml:space="preserve">fixed charge.  </w:t>
      </w:r>
      <w:r>
        <w:rPr>
          <w:rFonts w:ascii="Georgia" w:hAnsi="Georgia"/>
          <w:sz w:val="24"/>
          <w:szCs w:val="24"/>
        </w:rPr>
        <w:lastRenderedPageBreak/>
        <w:t>Thus, t</w:t>
      </w:r>
      <w:r w:rsidR="00A94E0F" w:rsidRPr="00476471">
        <w:rPr>
          <w:rFonts w:ascii="Georgia" w:hAnsi="Georgia"/>
          <w:sz w:val="24"/>
          <w:szCs w:val="24"/>
        </w:rPr>
        <w:t xml:space="preserve">he flat fee </w:t>
      </w:r>
      <w:r w:rsidR="009F7C92">
        <w:rPr>
          <w:rFonts w:ascii="Georgia" w:hAnsi="Georgia"/>
          <w:sz w:val="24"/>
          <w:szCs w:val="24"/>
        </w:rPr>
        <w:t>re</w:t>
      </w:r>
      <w:r w:rsidR="00A94E0F" w:rsidRPr="00476471">
        <w:rPr>
          <w:rFonts w:ascii="Georgia" w:hAnsi="Georgia"/>
          <w:sz w:val="24"/>
          <w:szCs w:val="24"/>
        </w:rPr>
        <w:t>place</w:t>
      </w:r>
      <w:r w:rsidR="00757CF8">
        <w:rPr>
          <w:rFonts w:ascii="Georgia" w:hAnsi="Georgia"/>
          <w:sz w:val="24"/>
          <w:szCs w:val="24"/>
        </w:rPr>
        <w:t>s</w:t>
      </w:r>
      <w:r w:rsidR="00A94E0F" w:rsidRPr="00476471">
        <w:rPr>
          <w:rFonts w:ascii="Georgia" w:hAnsi="Georgia"/>
          <w:sz w:val="24"/>
          <w:szCs w:val="24"/>
        </w:rPr>
        <w:t xml:space="preserve"> </w:t>
      </w:r>
      <w:r w:rsidR="009F7C92">
        <w:rPr>
          <w:rFonts w:ascii="Georgia" w:hAnsi="Georgia"/>
          <w:sz w:val="24"/>
          <w:szCs w:val="24"/>
        </w:rPr>
        <w:t>both the</w:t>
      </w:r>
      <w:r w:rsidR="00A94E0F" w:rsidRPr="00476471">
        <w:rPr>
          <w:rFonts w:ascii="Georgia" w:hAnsi="Georgia"/>
          <w:sz w:val="24"/>
          <w:szCs w:val="24"/>
        </w:rPr>
        <w:t xml:space="preserve"> </w:t>
      </w:r>
      <w:r w:rsidR="009F7C92">
        <w:rPr>
          <w:rFonts w:ascii="Georgia" w:hAnsi="Georgia"/>
          <w:sz w:val="24"/>
          <w:szCs w:val="24"/>
        </w:rPr>
        <w:t xml:space="preserve">“traditional” </w:t>
      </w:r>
      <w:r w:rsidR="00A94E0F" w:rsidRPr="00476471">
        <w:rPr>
          <w:rFonts w:ascii="Georgia" w:hAnsi="Georgia"/>
          <w:sz w:val="24"/>
          <w:szCs w:val="24"/>
        </w:rPr>
        <w:t xml:space="preserve">customer charge and </w:t>
      </w:r>
      <w:r w:rsidR="009F7C92">
        <w:rPr>
          <w:rFonts w:ascii="Georgia" w:hAnsi="Georgia"/>
          <w:sz w:val="24"/>
          <w:szCs w:val="24"/>
        </w:rPr>
        <w:t xml:space="preserve">the </w:t>
      </w:r>
      <w:r w:rsidR="00500B0F">
        <w:rPr>
          <w:rFonts w:ascii="Georgia" w:hAnsi="Georgia"/>
          <w:sz w:val="24"/>
          <w:szCs w:val="24"/>
        </w:rPr>
        <w:t>usage-</w:t>
      </w:r>
      <w:r w:rsidR="009F7C92">
        <w:rPr>
          <w:rFonts w:ascii="Georgia" w:hAnsi="Georgia"/>
          <w:sz w:val="24"/>
          <w:szCs w:val="24"/>
        </w:rPr>
        <w:t>base</w:t>
      </w:r>
      <w:r w:rsidR="00500B0F">
        <w:rPr>
          <w:rFonts w:ascii="Georgia" w:hAnsi="Georgia"/>
          <w:sz w:val="24"/>
          <w:szCs w:val="24"/>
        </w:rPr>
        <w:t>d</w:t>
      </w:r>
      <w:r w:rsidR="009F7C92">
        <w:rPr>
          <w:rFonts w:ascii="Georgia" w:hAnsi="Georgia"/>
          <w:sz w:val="24"/>
          <w:szCs w:val="24"/>
        </w:rPr>
        <w:t xml:space="preserve"> </w:t>
      </w:r>
      <w:r w:rsidR="00500B0F">
        <w:rPr>
          <w:rFonts w:ascii="Georgia" w:hAnsi="Georgia"/>
          <w:sz w:val="24"/>
          <w:szCs w:val="24"/>
        </w:rPr>
        <w:t xml:space="preserve">distribution </w:t>
      </w:r>
      <w:r w:rsidR="009F7C92">
        <w:rPr>
          <w:rFonts w:ascii="Georgia" w:hAnsi="Georgia"/>
          <w:sz w:val="24"/>
          <w:szCs w:val="24"/>
        </w:rPr>
        <w:t>rate</w:t>
      </w:r>
      <w:r w:rsidR="00A94E0F" w:rsidRPr="00476471">
        <w:rPr>
          <w:rFonts w:ascii="Georgia" w:hAnsi="Georgia"/>
          <w:sz w:val="24"/>
          <w:szCs w:val="24"/>
        </w:rPr>
        <w:t xml:space="preserve"> and allows the utility to have a steady revenue stream that is linked to customer count </w:t>
      </w:r>
      <w:r w:rsidR="00CD3BAF">
        <w:rPr>
          <w:rFonts w:ascii="Georgia" w:hAnsi="Georgia"/>
          <w:sz w:val="24"/>
          <w:szCs w:val="24"/>
        </w:rPr>
        <w:t>instead of</w:t>
      </w:r>
      <w:r w:rsidR="00A94E0F" w:rsidRPr="00476471">
        <w:rPr>
          <w:rFonts w:ascii="Georgia" w:hAnsi="Georgia"/>
          <w:sz w:val="24"/>
          <w:szCs w:val="24"/>
        </w:rPr>
        <w:t xml:space="preserve"> gas throughput.  Likewise</w:t>
      </w:r>
      <w:r w:rsidR="00757CF8">
        <w:rPr>
          <w:rFonts w:ascii="Georgia" w:hAnsi="Georgia"/>
          <w:sz w:val="24"/>
          <w:szCs w:val="24"/>
        </w:rPr>
        <w:t>,</w:t>
      </w:r>
      <w:r w:rsidR="00A94E0F" w:rsidRPr="00476471">
        <w:rPr>
          <w:rFonts w:ascii="Georgia" w:hAnsi="Georgia"/>
          <w:sz w:val="24"/>
          <w:szCs w:val="24"/>
        </w:rPr>
        <w:t xml:space="preserve"> the customer pays the same </w:t>
      </w:r>
      <w:r w:rsidR="00CD3BAF">
        <w:rPr>
          <w:rFonts w:ascii="Georgia" w:hAnsi="Georgia"/>
          <w:sz w:val="24"/>
          <w:szCs w:val="24"/>
        </w:rPr>
        <w:t xml:space="preserve">fixed </w:t>
      </w:r>
      <w:r w:rsidR="00A94E0F" w:rsidRPr="00476471">
        <w:rPr>
          <w:rFonts w:ascii="Georgia" w:hAnsi="Georgia"/>
          <w:sz w:val="24"/>
          <w:szCs w:val="24"/>
        </w:rPr>
        <w:t xml:space="preserve">amount </w:t>
      </w:r>
      <w:r w:rsidR="00500B0F">
        <w:rPr>
          <w:rFonts w:ascii="Georgia" w:hAnsi="Georgia"/>
          <w:sz w:val="24"/>
          <w:szCs w:val="24"/>
        </w:rPr>
        <w:t xml:space="preserve">for distribution service </w:t>
      </w:r>
      <w:r w:rsidR="00A94E0F" w:rsidRPr="00476471">
        <w:rPr>
          <w:rFonts w:ascii="Georgia" w:hAnsi="Georgia"/>
          <w:sz w:val="24"/>
          <w:szCs w:val="24"/>
        </w:rPr>
        <w:t xml:space="preserve">each month.  </w:t>
      </w:r>
    </w:p>
    <w:p w14:paraId="48271486" w14:textId="0F134E51" w:rsidR="00AE2AC6" w:rsidRPr="003B091E" w:rsidRDefault="003B091E" w:rsidP="00A23626">
      <w:pPr>
        <w:spacing w:after="0" w:line="480" w:lineRule="auto"/>
        <w:ind w:firstLine="720"/>
        <w:jc w:val="both"/>
        <w:rPr>
          <w:rFonts w:ascii="Georgia" w:hAnsi="Georgia"/>
          <w:sz w:val="24"/>
          <w:szCs w:val="24"/>
        </w:rPr>
      </w:pPr>
      <w:r>
        <w:rPr>
          <w:rFonts w:ascii="Georgia" w:hAnsi="Georgia"/>
          <w:sz w:val="24"/>
          <w:szCs w:val="24"/>
        </w:rPr>
        <w:t xml:space="preserve">As stated above, </w:t>
      </w:r>
      <w:r w:rsidR="007B6EA7">
        <w:rPr>
          <w:rFonts w:ascii="Georgia" w:hAnsi="Georgia"/>
          <w:sz w:val="24"/>
          <w:szCs w:val="24"/>
        </w:rPr>
        <w:t xml:space="preserve">under the LDC </w:t>
      </w:r>
      <w:r>
        <w:rPr>
          <w:rFonts w:ascii="Georgia" w:hAnsi="Georgia"/>
          <w:sz w:val="24"/>
          <w:szCs w:val="24"/>
        </w:rPr>
        <w:t>g</w:t>
      </w:r>
      <w:r w:rsidRPr="003645FE">
        <w:rPr>
          <w:rFonts w:ascii="Georgia" w:hAnsi="Georgia"/>
          <w:sz w:val="24"/>
          <w:szCs w:val="24"/>
        </w:rPr>
        <w:t xml:space="preserve">as costs would continue to be charged on the basis of commodity usage, as would the unbundled uncollectibles cost that relates to gas cost charges.  In addition, Columbia’s Rider USP – Universal Service Plan would continue to be charged on a </w:t>
      </w:r>
      <w:r>
        <w:rPr>
          <w:rFonts w:ascii="Georgia" w:hAnsi="Georgia"/>
          <w:sz w:val="24"/>
          <w:szCs w:val="24"/>
        </w:rPr>
        <w:t>volumetric</w:t>
      </w:r>
      <w:r w:rsidRPr="003645FE">
        <w:rPr>
          <w:rFonts w:ascii="Georgia" w:hAnsi="Georgia"/>
          <w:sz w:val="24"/>
          <w:szCs w:val="24"/>
        </w:rPr>
        <w:t xml:space="preserve"> basis.</w:t>
      </w:r>
      <w:r>
        <w:rPr>
          <w:rFonts w:ascii="Georgia" w:hAnsi="Georgia"/>
          <w:sz w:val="24"/>
          <w:szCs w:val="24"/>
        </w:rPr>
        <w:t xml:space="preserve">  </w:t>
      </w:r>
      <w:r w:rsidRPr="003B091E">
        <w:rPr>
          <w:rFonts w:ascii="Georgia" w:hAnsi="Georgia"/>
          <w:sz w:val="24"/>
          <w:szCs w:val="24"/>
        </w:rPr>
        <w:t>L</w:t>
      </w:r>
      <w:r w:rsidR="00757CF8" w:rsidRPr="003B091E">
        <w:rPr>
          <w:rFonts w:ascii="Georgia" w:hAnsi="Georgia"/>
          <w:sz w:val="24"/>
          <w:szCs w:val="24"/>
        </w:rPr>
        <w:t xml:space="preserve">ow income customers served under Columbia’s Rate CAP – Customer Assistance Program (“CAP”) would continue to be billed based upon their CAP payment.  </w:t>
      </w:r>
      <w:r w:rsidR="00757CF8" w:rsidRPr="00655294">
        <w:rPr>
          <w:rFonts w:ascii="Georgia" w:hAnsi="Georgia"/>
          <w:sz w:val="24"/>
          <w:szCs w:val="24"/>
        </w:rPr>
        <w:t xml:space="preserve">However, the current </w:t>
      </w:r>
      <w:r w:rsidR="007B6EA7">
        <w:rPr>
          <w:rFonts w:ascii="Georgia" w:hAnsi="Georgia"/>
          <w:sz w:val="24"/>
          <w:szCs w:val="24"/>
        </w:rPr>
        <w:t>CAP</w:t>
      </w:r>
      <w:r w:rsidR="00757CF8" w:rsidRPr="00655294">
        <w:rPr>
          <w:rFonts w:ascii="Georgia" w:hAnsi="Georgia"/>
          <w:sz w:val="24"/>
          <w:szCs w:val="24"/>
        </w:rPr>
        <w:t xml:space="preserve"> shortfall </w:t>
      </w:r>
      <w:r w:rsidR="007B6EA7">
        <w:rPr>
          <w:rFonts w:ascii="Georgia" w:hAnsi="Georgia"/>
          <w:sz w:val="24"/>
          <w:szCs w:val="24"/>
        </w:rPr>
        <w:t xml:space="preserve">that is </w:t>
      </w:r>
      <w:r w:rsidR="00757CF8" w:rsidRPr="00655294">
        <w:rPr>
          <w:rFonts w:ascii="Georgia" w:hAnsi="Georgia"/>
          <w:sz w:val="24"/>
          <w:szCs w:val="24"/>
        </w:rPr>
        <w:t>recovered under Columbia’s Rid</w:t>
      </w:r>
      <w:r w:rsidR="00CD3BAF">
        <w:rPr>
          <w:rFonts w:ascii="Georgia" w:hAnsi="Georgia"/>
          <w:sz w:val="24"/>
          <w:szCs w:val="24"/>
        </w:rPr>
        <w:t xml:space="preserve">er USP </w:t>
      </w:r>
      <w:r w:rsidR="00757CF8" w:rsidRPr="00655294">
        <w:rPr>
          <w:rFonts w:ascii="Georgia" w:hAnsi="Georgia"/>
          <w:sz w:val="24"/>
          <w:szCs w:val="24"/>
        </w:rPr>
        <w:t xml:space="preserve">would </w:t>
      </w:r>
      <w:r w:rsidR="00655294" w:rsidRPr="00655294">
        <w:rPr>
          <w:rFonts w:ascii="Georgia" w:hAnsi="Georgia"/>
          <w:sz w:val="24"/>
          <w:szCs w:val="24"/>
        </w:rPr>
        <w:t>likely be</w:t>
      </w:r>
      <w:r w:rsidR="00757CF8" w:rsidRPr="00655294">
        <w:rPr>
          <w:rFonts w:ascii="Georgia" w:hAnsi="Georgia"/>
          <w:sz w:val="24"/>
          <w:szCs w:val="24"/>
        </w:rPr>
        <w:t xml:space="preserve"> reduced </w:t>
      </w:r>
      <w:r w:rsidR="00CD3BAF">
        <w:rPr>
          <w:rFonts w:ascii="Georgia" w:hAnsi="Georgia"/>
          <w:sz w:val="24"/>
          <w:szCs w:val="24"/>
        </w:rPr>
        <w:t>with</w:t>
      </w:r>
      <w:r w:rsidR="00757CF8" w:rsidRPr="00655294">
        <w:rPr>
          <w:rFonts w:ascii="Georgia" w:hAnsi="Georgia"/>
          <w:sz w:val="24"/>
          <w:szCs w:val="24"/>
        </w:rPr>
        <w:t xml:space="preserve"> </w:t>
      </w:r>
      <w:r w:rsidR="00EC5556">
        <w:rPr>
          <w:rFonts w:ascii="Georgia" w:hAnsi="Georgia"/>
          <w:sz w:val="24"/>
          <w:szCs w:val="24"/>
        </w:rPr>
        <w:t>a</w:t>
      </w:r>
      <w:r w:rsidR="00A15D68">
        <w:rPr>
          <w:rFonts w:ascii="Georgia" w:hAnsi="Georgia"/>
          <w:sz w:val="24"/>
          <w:szCs w:val="24"/>
        </w:rPr>
        <w:t xml:space="preserve"> residential</w:t>
      </w:r>
      <w:r w:rsidR="00EC5556" w:rsidRPr="00655294">
        <w:rPr>
          <w:rFonts w:ascii="Georgia" w:hAnsi="Georgia"/>
          <w:sz w:val="24"/>
          <w:szCs w:val="24"/>
        </w:rPr>
        <w:t xml:space="preserve"> </w:t>
      </w:r>
      <w:r w:rsidR="00757CF8" w:rsidRPr="00655294">
        <w:rPr>
          <w:rFonts w:ascii="Georgia" w:hAnsi="Georgia"/>
          <w:sz w:val="24"/>
          <w:szCs w:val="24"/>
        </w:rPr>
        <w:t>LDC because</w:t>
      </w:r>
      <w:r w:rsidR="00655294" w:rsidRPr="00655294">
        <w:rPr>
          <w:rFonts w:ascii="Georgia" w:hAnsi="Georgia"/>
          <w:sz w:val="24"/>
          <w:szCs w:val="24"/>
        </w:rPr>
        <w:t xml:space="preserve"> </w:t>
      </w:r>
      <w:r w:rsidR="00CD3BAF">
        <w:rPr>
          <w:rFonts w:ascii="Georgia" w:hAnsi="Georgia"/>
          <w:sz w:val="24"/>
          <w:szCs w:val="24"/>
        </w:rPr>
        <w:t xml:space="preserve">historic usage patterns have </w:t>
      </w:r>
      <w:r w:rsidR="007B6EA7" w:rsidRPr="00655294">
        <w:rPr>
          <w:rFonts w:ascii="Georgia" w:hAnsi="Georgia"/>
          <w:sz w:val="24"/>
          <w:szCs w:val="24"/>
        </w:rPr>
        <w:t>generally</w:t>
      </w:r>
      <w:r w:rsidR="007B6EA7">
        <w:rPr>
          <w:rFonts w:ascii="Georgia" w:hAnsi="Georgia"/>
          <w:sz w:val="24"/>
          <w:szCs w:val="24"/>
        </w:rPr>
        <w:t xml:space="preserve"> </w:t>
      </w:r>
      <w:r w:rsidR="00CD3BAF">
        <w:rPr>
          <w:rFonts w:ascii="Georgia" w:hAnsi="Georgia"/>
          <w:sz w:val="24"/>
          <w:szCs w:val="24"/>
        </w:rPr>
        <w:t xml:space="preserve">shown that </w:t>
      </w:r>
      <w:r w:rsidR="00757CF8" w:rsidRPr="00655294">
        <w:rPr>
          <w:rFonts w:ascii="Georgia" w:hAnsi="Georgia"/>
          <w:sz w:val="24"/>
          <w:szCs w:val="24"/>
        </w:rPr>
        <w:t>CAP customers</w:t>
      </w:r>
      <w:r w:rsidR="00CD3BAF">
        <w:rPr>
          <w:rFonts w:ascii="Georgia" w:hAnsi="Georgia"/>
          <w:sz w:val="24"/>
          <w:szCs w:val="24"/>
        </w:rPr>
        <w:t>,</w:t>
      </w:r>
      <w:r w:rsidR="00757CF8" w:rsidRPr="00655294">
        <w:rPr>
          <w:rFonts w:ascii="Georgia" w:hAnsi="Georgia"/>
          <w:sz w:val="24"/>
          <w:szCs w:val="24"/>
        </w:rPr>
        <w:t xml:space="preserve"> </w:t>
      </w:r>
      <w:r w:rsidR="00655294" w:rsidRPr="00655294">
        <w:rPr>
          <w:rFonts w:ascii="Georgia" w:hAnsi="Georgia"/>
          <w:sz w:val="24"/>
          <w:szCs w:val="24"/>
        </w:rPr>
        <w:t>as a group</w:t>
      </w:r>
      <w:r w:rsidR="00CD3BAF">
        <w:rPr>
          <w:rFonts w:ascii="Georgia" w:hAnsi="Georgia"/>
          <w:sz w:val="24"/>
          <w:szCs w:val="24"/>
        </w:rPr>
        <w:t>,</w:t>
      </w:r>
      <w:r w:rsidR="00655294" w:rsidRPr="00655294">
        <w:rPr>
          <w:rFonts w:ascii="Georgia" w:hAnsi="Georgia"/>
          <w:sz w:val="24"/>
          <w:szCs w:val="24"/>
        </w:rPr>
        <w:t xml:space="preserve"> </w:t>
      </w:r>
      <w:r w:rsidR="00757CF8" w:rsidRPr="00655294">
        <w:rPr>
          <w:rFonts w:ascii="Georgia" w:hAnsi="Georgia"/>
          <w:sz w:val="24"/>
          <w:szCs w:val="24"/>
        </w:rPr>
        <w:t xml:space="preserve">use more gas than average </w:t>
      </w:r>
      <w:r w:rsidR="00D24704">
        <w:rPr>
          <w:rFonts w:ascii="Georgia" w:hAnsi="Georgia"/>
          <w:sz w:val="24"/>
          <w:szCs w:val="24"/>
        </w:rPr>
        <w:t>n</w:t>
      </w:r>
      <w:r w:rsidR="00655294" w:rsidRPr="00655294">
        <w:rPr>
          <w:rFonts w:ascii="Georgia" w:hAnsi="Georgia"/>
          <w:sz w:val="24"/>
          <w:szCs w:val="24"/>
        </w:rPr>
        <w:t xml:space="preserve">on-CAP </w:t>
      </w:r>
      <w:r w:rsidR="00757CF8" w:rsidRPr="00655294">
        <w:rPr>
          <w:rFonts w:ascii="Georgia" w:hAnsi="Georgia"/>
          <w:sz w:val="24"/>
          <w:szCs w:val="24"/>
        </w:rPr>
        <w:t>residential customers.</w:t>
      </w:r>
      <w:r w:rsidR="00655294">
        <w:rPr>
          <w:rFonts w:ascii="Georgia" w:hAnsi="Georgia"/>
          <w:sz w:val="24"/>
          <w:szCs w:val="24"/>
        </w:rPr>
        <w:t xml:space="preserve">  For example, during the 12</w:t>
      </w:r>
      <w:r w:rsidR="00567536">
        <w:rPr>
          <w:rFonts w:ascii="Georgia" w:hAnsi="Georgia"/>
          <w:sz w:val="24"/>
          <w:szCs w:val="24"/>
        </w:rPr>
        <w:t>-</w:t>
      </w:r>
      <w:r w:rsidR="00655294">
        <w:rPr>
          <w:rFonts w:ascii="Georgia" w:hAnsi="Georgia"/>
          <w:sz w:val="24"/>
          <w:szCs w:val="24"/>
        </w:rPr>
        <w:t xml:space="preserve">month period ended November 2015, the average CAP customer </w:t>
      </w:r>
      <w:r w:rsidR="00EC5556">
        <w:rPr>
          <w:rFonts w:ascii="Georgia" w:hAnsi="Georgia"/>
          <w:sz w:val="24"/>
          <w:szCs w:val="24"/>
        </w:rPr>
        <w:t xml:space="preserve">on Columbia’s system </w:t>
      </w:r>
      <w:r w:rsidR="00655294">
        <w:rPr>
          <w:rFonts w:ascii="Georgia" w:hAnsi="Georgia"/>
          <w:sz w:val="24"/>
          <w:szCs w:val="24"/>
        </w:rPr>
        <w:t>consumed approximately 980 therms, while the average non-CAP residential customer used about 720 therms.</w:t>
      </w:r>
    </w:p>
    <w:p w14:paraId="227D887A" w14:textId="2342F6FD" w:rsidR="00FB6ED5" w:rsidRDefault="00891D1D" w:rsidP="00A23626">
      <w:pPr>
        <w:pStyle w:val="BodyText2"/>
        <w:rPr>
          <w:rFonts w:ascii="Georgia" w:hAnsi="Georgia"/>
        </w:rPr>
      </w:pPr>
      <w:r w:rsidRPr="003B091E">
        <w:rPr>
          <w:rFonts w:ascii="Georgia" w:hAnsi="Georgia"/>
        </w:rPr>
        <w:t>Columbia recognizes that</w:t>
      </w:r>
      <w:r w:rsidRPr="003645FE">
        <w:rPr>
          <w:rFonts w:ascii="Georgia" w:hAnsi="Georgia"/>
        </w:rPr>
        <w:t xml:space="preserve"> </w:t>
      </w:r>
      <w:r w:rsidR="00EC5556">
        <w:rPr>
          <w:rFonts w:ascii="Georgia" w:hAnsi="Georgia"/>
        </w:rPr>
        <w:t xml:space="preserve">a </w:t>
      </w:r>
      <w:r w:rsidR="00A15D68">
        <w:rPr>
          <w:rFonts w:ascii="Georgia" w:hAnsi="Georgia"/>
        </w:rPr>
        <w:t xml:space="preserve">residential </w:t>
      </w:r>
      <w:r w:rsidR="00476471">
        <w:rPr>
          <w:rFonts w:ascii="Georgia" w:hAnsi="Georgia"/>
        </w:rPr>
        <w:t>LDC</w:t>
      </w:r>
      <w:r w:rsidRPr="003645FE">
        <w:rPr>
          <w:rFonts w:ascii="Georgia" w:hAnsi="Georgia"/>
        </w:rPr>
        <w:t xml:space="preserve"> represents a substantial departure from the customer charge</w:t>
      </w:r>
      <w:r w:rsidR="002F1CA6">
        <w:rPr>
          <w:rFonts w:ascii="Georgia" w:hAnsi="Georgia"/>
        </w:rPr>
        <w:t xml:space="preserve"> and </w:t>
      </w:r>
      <w:r w:rsidR="00905138">
        <w:rPr>
          <w:rFonts w:ascii="Georgia" w:hAnsi="Georgia"/>
        </w:rPr>
        <w:t>volumetric base</w:t>
      </w:r>
      <w:r w:rsidRPr="003645FE">
        <w:rPr>
          <w:rFonts w:ascii="Georgia" w:hAnsi="Georgia"/>
        </w:rPr>
        <w:t xml:space="preserve"> rate structure that Pennsylvania gas utilities traditionally have used for residential rate design.  However, the Company respectfully submits that </w:t>
      </w:r>
      <w:r w:rsidR="00905138">
        <w:rPr>
          <w:rFonts w:ascii="Georgia" w:hAnsi="Georgia"/>
        </w:rPr>
        <w:t>there are</w:t>
      </w:r>
      <w:r w:rsidRPr="003645FE">
        <w:rPr>
          <w:rFonts w:ascii="Georgia" w:hAnsi="Georgia"/>
        </w:rPr>
        <w:t xml:space="preserve"> a number of sound reasons</w:t>
      </w:r>
      <w:r w:rsidR="00567536">
        <w:rPr>
          <w:rFonts w:ascii="Georgia" w:hAnsi="Georgia"/>
        </w:rPr>
        <w:t xml:space="preserve"> associated with </w:t>
      </w:r>
      <w:r w:rsidRPr="003645FE">
        <w:rPr>
          <w:rFonts w:ascii="Georgia" w:hAnsi="Georgia"/>
        </w:rPr>
        <w:t xml:space="preserve">favoring a new approach for residential rate design.  </w:t>
      </w:r>
      <w:r w:rsidR="00FB6ED5" w:rsidRPr="001F53F8">
        <w:rPr>
          <w:rFonts w:ascii="Georgia" w:hAnsi="Georgia"/>
        </w:rPr>
        <w:t>The sections below</w:t>
      </w:r>
      <w:r w:rsidR="00905138">
        <w:rPr>
          <w:rFonts w:ascii="Georgia" w:hAnsi="Georgia"/>
        </w:rPr>
        <w:t xml:space="preserve"> focus on </w:t>
      </w:r>
      <w:r w:rsidR="00455264">
        <w:rPr>
          <w:rFonts w:ascii="Georgia" w:hAnsi="Georgia"/>
        </w:rPr>
        <w:t xml:space="preserve">the </w:t>
      </w:r>
      <w:r w:rsidR="00905138">
        <w:rPr>
          <w:rFonts w:ascii="Georgia" w:hAnsi="Georgia"/>
        </w:rPr>
        <w:t>LDC and</w:t>
      </w:r>
      <w:r w:rsidR="00FB6ED5" w:rsidRPr="001F53F8">
        <w:rPr>
          <w:rFonts w:ascii="Georgia" w:hAnsi="Georgia"/>
        </w:rPr>
        <w:t xml:space="preserve"> address several of the </w:t>
      </w:r>
      <w:r w:rsidR="001F53F8" w:rsidRPr="001F53F8">
        <w:rPr>
          <w:rFonts w:ascii="Georgia" w:hAnsi="Georgia"/>
        </w:rPr>
        <w:t>“Topics Designed to Guide the Discussion” offered by the Commission</w:t>
      </w:r>
      <w:r w:rsidR="00FB6ED5" w:rsidRPr="001F53F8">
        <w:rPr>
          <w:rFonts w:ascii="Georgia" w:hAnsi="Georgia"/>
        </w:rPr>
        <w:t>:</w:t>
      </w:r>
    </w:p>
    <w:p w14:paraId="5A66DB1B" w14:textId="77777777" w:rsidR="00BE3200" w:rsidRDefault="00BE3200" w:rsidP="00075099">
      <w:pPr>
        <w:spacing w:after="0" w:line="480" w:lineRule="auto"/>
        <w:ind w:left="720"/>
        <w:jc w:val="both"/>
        <w:rPr>
          <w:rFonts w:ascii="Georgia" w:eastAsia="Times New Roman" w:hAnsi="Georgia" w:cs="Arial"/>
          <w:b/>
          <w:sz w:val="24"/>
          <w:szCs w:val="24"/>
          <w:u w:val="single"/>
        </w:rPr>
      </w:pPr>
    </w:p>
    <w:p w14:paraId="23F41B0F" w14:textId="630CAA87" w:rsidR="006C73F3" w:rsidRPr="00684482" w:rsidRDefault="005D5424" w:rsidP="00075099">
      <w:pPr>
        <w:spacing w:after="0" w:line="480" w:lineRule="auto"/>
        <w:ind w:left="720"/>
        <w:jc w:val="both"/>
        <w:rPr>
          <w:rFonts w:ascii="Georgia" w:eastAsia="Times New Roman" w:hAnsi="Georgia" w:cs="Arial"/>
          <w:b/>
          <w:sz w:val="24"/>
          <w:szCs w:val="24"/>
        </w:rPr>
      </w:pPr>
      <w:r>
        <w:rPr>
          <w:rFonts w:ascii="Georgia" w:eastAsia="Times New Roman" w:hAnsi="Georgia" w:cs="Arial"/>
          <w:b/>
          <w:sz w:val="24"/>
          <w:szCs w:val="24"/>
          <w:u w:val="single"/>
        </w:rPr>
        <w:lastRenderedPageBreak/>
        <w:t>LDC Accurately Reflects Cost Causation</w:t>
      </w:r>
      <w:r w:rsidR="00505E17">
        <w:rPr>
          <w:rFonts w:ascii="Georgia" w:eastAsia="Times New Roman" w:hAnsi="Georgia" w:cs="Arial"/>
          <w:b/>
          <w:sz w:val="24"/>
          <w:szCs w:val="24"/>
          <w:u w:val="single"/>
        </w:rPr>
        <w:t xml:space="preserve"> and Sends Proper Price Signals</w:t>
      </w:r>
    </w:p>
    <w:p w14:paraId="1AE9CBA4" w14:textId="02D7E98D" w:rsidR="00F725CC" w:rsidRDefault="00CD3BAF" w:rsidP="00B271FA">
      <w:pPr>
        <w:pStyle w:val="BodyText2"/>
        <w:rPr>
          <w:rFonts w:ascii="Georgia" w:hAnsi="Georgia"/>
        </w:rPr>
      </w:pPr>
      <w:r>
        <w:rPr>
          <w:rFonts w:ascii="Georgia" w:hAnsi="Georgia"/>
        </w:rPr>
        <w:t>One of t</w:t>
      </w:r>
      <w:r w:rsidR="00563AD6">
        <w:rPr>
          <w:rFonts w:ascii="Georgia" w:hAnsi="Georgia"/>
        </w:rPr>
        <w:t>h</w:t>
      </w:r>
      <w:r w:rsidR="00891D1D" w:rsidRPr="003645FE">
        <w:rPr>
          <w:rFonts w:ascii="Georgia" w:hAnsi="Georgia"/>
        </w:rPr>
        <w:t xml:space="preserve">e </w:t>
      </w:r>
      <w:r>
        <w:rPr>
          <w:rFonts w:ascii="Georgia" w:hAnsi="Georgia"/>
        </w:rPr>
        <w:t>fundamental</w:t>
      </w:r>
      <w:r w:rsidR="00891D1D" w:rsidRPr="003645FE">
        <w:rPr>
          <w:rFonts w:ascii="Georgia" w:hAnsi="Georgia"/>
        </w:rPr>
        <w:t xml:space="preserve"> reason</w:t>
      </w:r>
      <w:r>
        <w:rPr>
          <w:rFonts w:ascii="Georgia" w:hAnsi="Georgia"/>
        </w:rPr>
        <w:t>s</w:t>
      </w:r>
      <w:r w:rsidR="00891D1D" w:rsidRPr="003645FE">
        <w:rPr>
          <w:rFonts w:ascii="Georgia" w:hAnsi="Georgia"/>
        </w:rPr>
        <w:t xml:space="preserve"> </w:t>
      </w:r>
      <w:r w:rsidR="00563AD6">
        <w:rPr>
          <w:rFonts w:ascii="Georgia" w:hAnsi="Georgia"/>
        </w:rPr>
        <w:t xml:space="preserve">for </w:t>
      </w:r>
      <w:r w:rsidR="00891D1D" w:rsidRPr="003645FE">
        <w:rPr>
          <w:rFonts w:ascii="Georgia" w:hAnsi="Georgia"/>
        </w:rPr>
        <w:t>favoring the adoption of the LDC for residential customers is that it most accurately reflects cost</w:t>
      </w:r>
      <w:r>
        <w:rPr>
          <w:rFonts w:ascii="Georgia" w:hAnsi="Georgia"/>
        </w:rPr>
        <w:t xml:space="preserve"> causation</w:t>
      </w:r>
      <w:r w:rsidR="00891D1D" w:rsidRPr="003645FE">
        <w:rPr>
          <w:rFonts w:ascii="Georgia" w:hAnsi="Georgia"/>
        </w:rPr>
        <w:t>.  Simply stated, Columbia</w:t>
      </w:r>
      <w:r w:rsidR="00455264">
        <w:rPr>
          <w:rFonts w:ascii="Georgia" w:hAnsi="Georgia"/>
        </w:rPr>
        <w:t xml:space="preserve"> incurs</w:t>
      </w:r>
      <w:r w:rsidR="00891D1D" w:rsidRPr="003645FE">
        <w:rPr>
          <w:rFonts w:ascii="Georgia" w:hAnsi="Georgia"/>
        </w:rPr>
        <w:t xml:space="preserve"> costs to</w:t>
      </w:r>
      <w:r w:rsidR="00455264">
        <w:rPr>
          <w:rFonts w:ascii="Georgia" w:hAnsi="Georgia"/>
        </w:rPr>
        <w:t xml:space="preserve"> provide distribution</w:t>
      </w:r>
      <w:r w:rsidR="00891D1D" w:rsidRPr="003645FE">
        <w:rPr>
          <w:rFonts w:ascii="Georgia" w:hAnsi="Georgia"/>
        </w:rPr>
        <w:t xml:space="preserve"> </w:t>
      </w:r>
      <w:r w:rsidR="00455264">
        <w:rPr>
          <w:rFonts w:ascii="Georgia" w:hAnsi="Georgia"/>
        </w:rPr>
        <w:t>service to</w:t>
      </w:r>
      <w:r w:rsidR="00891D1D" w:rsidRPr="003645FE">
        <w:rPr>
          <w:rFonts w:ascii="Georgia" w:hAnsi="Georgia"/>
        </w:rPr>
        <w:t xml:space="preserve"> residential customers</w:t>
      </w:r>
      <w:r w:rsidR="00455264">
        <w:rPr>
          <w:rFonts w:ascii="Georgia" w:hAnsi="Georgia"/>
        </w:rPr>
        <w:t xml:space="preserve"> that</w:t>
      </w:r>
      <w:r w:rsidR="00891D1D" w:rsidRPr="003645FE">
        <w:rPr>
          <w:rFonts w:ascii="Georgia" w:hAnsi="Georgia"/>
        </w:rPr>
        <w:t xml:space="preserve"> do not vary with customer usage.</w:t>
      </w:r>
      <w:r w:rsidR="00D23840">
        <w:rPr>
          <w:rFonts w:ascii="Georgia" w:hAnsi="Georgia"/>
        </w:rPr>
        <w:t xml:space="preserve">  A</w:t>
      </w:r>
      <w:r w:rsidR="00D23840" w:rsidRPr="003645FE">
        <w:rPr>
          <w:rFonts w:ascii="Georgia" w:hAnsi="Georgia"/>
        </w:rPr>
        <w:t xml:space="preserve"> gas utility designs and installs a distribution system to meet customers’ design day requirements.  These distribution facilities include mains, regulators, services and meters.  </w:t>
      </w:r>
      <w:r w:rsidR="00BF39F2">
        <w:rPr>
          <w:rFonts w:ascii="Georgia" w:hAnsi="Georgia"/>
        </w:rPr>
        <w:t>T</w:t>
      </w:r>
      <w:r w:rsidR="00D23840" w:rsidRPr="003645FE">
        <w:rPr>
          <w:rFonts w:ascii="Georgia" w:hAnsi="Georgia"/>
        </w:rPr>
        <w:t>he</w:t>
      </w:r>
      <w:r w:rsidR="00BF39F2">
        <w:rPr>
          <w:rFonts w:ascii="Georgia" w:hAnsi="Georgia"/>
        </w:rPr>
        <w:t>se</w:t>
      </w:r>
      <w:r w:rsidR="00D23840" w:rsidRPr="003645FE">
        <w:rPr>
          <w:rFonts w:ascii="Georgia" w:hAnsi="Georgia"/>
        </w:rPr>
        <w:t xml:space="preserve"> costs are fixed and do not vary with the amount of gas consumed.</w:t>
      </w:r>
      <w:r w:rsidR="00D23840">
        <w:rPr>
          <w:rFonts w:ascii="Georgia" w:hAnsi="Georgia"/>
        </w:rPr>
        <w:t xml:space="preserve">  </w:t>
      </w:r>
      <w:r w:rsidR="00891D1D" w:rsidRPr="003645FE">
        <w:rPr>
          <w:rFonts w:ascii="Georgia" w:hAnsi="Georgia"/>
        </w:rPr>
        <w:t>A rate design should follow costs.</w:t>
      </w:r>
      <w:r w:rsidR="00D23840">
        <w:rPr>
          <w:rFonts w:ascii="Georgia" w:hAnsi="Georgia"/>
        </w:rPr>
        <w:t xml:space="preserve">  </w:t>
      </w:r>
      <w:r w:rsidR="00891D1D" w:rsidRPr="003645FE">
        <w:rPr>
          <w:rFonts w:ascii="Georgia" w:hAnsi="Georgia"/>
        </w:rPr>
        <w:t xml:space="preserve">Columbia </w:t>
      </w:r>
      <w:r w:rsidR="00D23840">
        <w:rPr>
          <w:rFonts w:ascii="Georgia" w:hAnsi="Georgia"/>
        </w:rPr>
        <w:t>submits that</w:t>
      </w:r>
      <w:r w:rsidR="00891D1D" w:rsidRPr="003645FE">
        <w:rPr>
          <w:rFonts w:ascii="Georgia" w:hAnsi="Georgia"/>
        </w:rPr>
        <w:t xml:space="preserve"> recover</w:t>
      </w:r>
      <w:r w:rsidR="00D23840">
        <w:rPr>
          <w:rFonts w:ascii="Georgia" w:hAnsi="Georgia"/>
        </w:rPr>
        <w:t>y of</w:t>
      </w:r>
      <w:r w:rsidR="00891D1D" w:rsidRPr="003645FE">
        <w:rPr>
          <w:rFonts w:ascii="Georgia" w:hAnsi="Georgia"/>
        </w:rPr>
        <w:t xml:space="preserve"> the same level of distribution costs from all residential customers</w:t>
      </w:r>
      <w:r w:rsidR="00EC5556">
        <w:rPr>
          <w:rFonts w:ascii="Georgia" w:hAnsi="Georgia"/>
        </w:rPr>
        <w:t>,</w:t>
      </w:r>
      <w:r w:rsidR="00891D1D" w:rsidRPr="003645FE">
        <w:rPr>
          <w:rFonts w:ascii="Georgia" w:hAnsi="Georgia"/>
        </w:rPr>
        <w:t xml:space="preserve"> regardless of their levels of consumption</w:t>
      </w:r>
      <w:r w:rsidR="00EC5556">
        <w:rPr>
          <w:rFonts w:ascii="Georgia" w:hAnsi="Georgia"/>
        </w:rPr>
        <w:t>,</w:t>
      </w:r>
      <w:r w:rsidR="00D23840">
        <w:rPr>
          <w:rFonts w:ascii="Georgia" w:hAnsi="Georgia"/>
        </w:rPr>
        <w:t xml:space="preserve"> i</w:t>
      </w:r>
      <w:r w:rsidR="00AD4A00">
        <w:rPr>
          <w:rFonts w:ascii="Georgia" w:hAnsi="Georgia"/>
        </w:rPr>
        <w:t>s</w:t>
      </w:r>
      <w:r w:rsidR="00D23840">
        <w:rPr>
          <w:rFonts w:ascii="Georgia" w:hAnsi="Georgia"/>
        </w:rPr>
        <w:t xml:space="preserve"> consistent with that rate design principle</w:t>
      </w:r>
      <w:r w:rsidR="00891D1D" w:rsidRPr="003645FE">
        <w:rPr>
          <w:rFonts w:ascii="Georgia" w:hAnsi="Georgia"/>
        </w:rPr>
        <w:t xml:space="preserve">.  </w:t>
      </w:r>
      <w:r w:rsidR="00D23840">
        <w:rPr>
          <w:rFonts w:ascii="Georgia" w:hAnsi="Georgia"/>
        </w:rPr>
        <w:t>Traditional u</w:t>
      </w:r>
      <w:r w:rsidR="00891D1D" w:rsidRPr="003645FE">
        <w:rPr>
          <w:rFonts w:ascii="Georgia" w:hAnsi="Georgia"/>
        </w:rPr>
        <w:t>sage-based recovery of fixed costs improperly causes lower use customer</w:t>
      </w:r>
      <w:r w:rsidR="00667B3F">
        <w:rPr>
          <w:rFonts w:ascii="Georgia" w:hAnsi="Georgia"/>
        </w:rPr>
        <w:t>s</w:t>
      </w:r>
      <w:r w:rsidR="00891D1D" w:rsidRPr="003645FE">
        <w:rPr>
          <w:rFonts w:ascii="Georgia" w:hAnsi="Georgia"/>
        </w:rPr>
        <w:t xml:space="preserve"> to be subsidized by higher than average use </w:t>
      </w:r>
      <w:r w:rsidR="00891D1D" w:rsidRPr="001F53F8">
        <w:rPr>
          <w:rFonts w:ascii="Georgia" w:hAnsi="Georgia"/>
        </w:rPr>
        <w:t>customer</w:t>
      </w:r>
      <w:r w:rsidR="00667B3F" w:rsidRPr="001F53F8">
        <w:rPr>
          <w:rFonts w:ascii="Georgia" w:hAnsi="Georgia"/>
        </w:rPr>
        <w:t>s</w:t>
      </w:r>
      <w:r w:rsidR="00D23840" w:rsidRPr="001F53F8">
        <w:rPr>
          <w:rFonts w:ascii="Georgia" w:hAnsi="Georgia"/>
        </w:rPr>
        <w:t xml:space="preserve"> and, as such, is out of step with </w:t>
      </w:r>
      <w:r w:rsidR="00C345A5">
        <w:rPr>
          <w:rFonts w:ascii="Georgia" w:hAnsi="Georgia"/>
        </w:rPr>
        <w:t>cost</w:t>
      </w:r>
      <w:r w:rsidR="00D23840" w:rsidRPr="001F53F8">
        <w:rPr>
          <w:rFonts w:ascii="Georgia" w:hAnsi="Georgia"/>
        </w:rPr>
        <w:t xml:space="preserve"> </w:t>
      </w:r>
      <w:r w:rsidR="00C345A5">
        <w:rPr>
          <w:rFonts w:ascii="Georgia" w:hAnsi="Georgia"/>
        </w:rPr>
        <w:t>causation</w:t>
      </w:r>
      <w:r w:rsidR="00891D1D" w:rsidRPr="001F53F8">
        <w:rPr>
          <w:rFonts w:ascii="Georgia" w:hAnsi="Georgia"/>
        </w:rPr>
        <w:t>.</w:t>
      </w:r>
      <w:r w:rsidR="00B271FA">
        <w:rPr>
          <w:rFonts w:ascii="Georgia" w:hAnsi="Georgia"/>
        </w:rPr>
        <w:t xml:space="preserve">  </w:t>
      </w:r>
      <w:r w:rsidR="0095269A">
        <w:rPr>
          <w:rFonts w:ascii="Georgia" w:hAnsi="Georgia"/>
        </w:rPr>
        <w:t>In sum</w:t>
      </w:r>
      <w:r w:rsidR="00767E9D">
        <w:rPr>
          <w:rFonts w:ascii="Georgia" w:hAnsi="Georgia"/>
        </w:rPr>
        <w:t>mary</w:t>
      </w:r>
      <w:r w:rsidR="0095269A">
        <w:rPr>
          <w:rFonts w:ascii="Georgia" w:hAnsi="Georgia"/>
        </w:rPr>
        <w:t>, a</w:t>
      </w:r>
      <w:r w:rsidR="00F725CC" w:rsidRPr="003645FE">
        <w:rPr>
          <w:rFonts w:ascii="Georgia" w:hAnsi="Georgia"/>
        </w:rPr>
        <w:t xml:space="preserve"> residential LDC </w:t>
      </w:r>
      <w:r w:rsidR="00667B3F">
        <w:rPr>
          <w:rFonts w:ascii="Georgia" w:hAnsi="Georgia"/>
        </w:rPr>
        <w:t>remov</w:t>
      </w:r>
      <w:r w:rsidR="00F725CC" w:rsidRPr="003645FE">
        <w:rPr>
          <w:rFonts w:ascii="Georgia" w:hAnsi="Georgia"/>
        </w:rPr>
        <w:t xml:space="preserve">es existing intra-class cross subsidies that result from charging distribution costs on a </w:t>
      </w:r>
      <w:r w:rsidR="004430EB">
        <w:rPr>
          <w:rFonts w:ascii="Georgia" w:hAnsi="Georgia"/>
        </w:rPr>
        <w:t>volumetric</w:t>
      </w:r>
      <w:r w:rsidR="00F725CC" w:rsidRPr="003645FE">
        <w:rPr>
          <w:rFonts w:ascii="Georgia" w:hAnsi="Georgia"/>
        </w:rPr>
        <w:t xml:space="preserve"> basis</w:t>
      </w:r>
      <w:r w:rsidR="00F725CC" w:rsidRPr="00F725CC">
        <w:rPr>
          <w:rFonts w:ascii="Georgia" w:hAnsi="Georgia"/>
        </w:rPr>
        <w:t xml:space="preserve">. </w:t>
      </w:r>
      <w:r w:rsidR="00B271FA">
        <w:rPr>
          <w:rFonts w:ascii="Georgia" w:hAnsi="Georgia"/>
        </w:rPr>
        <w:t xml:space="preserve"> </w:t>
      </w:r>
    </w:p>
    <w:p w14:paraId="25402E9B" w14:textId="5B0A04FA" w:rsidR="00505E17" w:rsidRDefault="00D24704" w:rsidP="0016409D">
      <w:pPr>
        <w:pStyle w:val="BodyText2"/>
        <w:rPr>
          <w:rFonts w:ascii="Georgia" w:hAnsi="Georgia"/>
        </w:rPr>
      </w:pPr>
      <w:r>
        <w:rPr>
          <w:rFonts w:ascii="Georgia" w:hAnsi="Georgia"/>
        </w:rPr>
        <w:t>Further, a</w:t>
      </w:r>
      <w:r w:rsidR="00275CC5">
        <w:rPr>
          <w:rFonts w:ascii="Georgia" w:hAnsi="Georgia"/>
        </w:rPr>
        <w:t xml:space="preserve"> proper price signal result</w:t>
      </w:r>
      <w:r>
        <w:rPr>
          <w:rFonts w:ascii="Georgia" w:hAnsi="Georgia"/>
        </w:rPr>
        <w:t>ing</w:t>
      </w:r>
      <w:r w:rsidR="00275CC5">
        <w:rPr>
          <w:rFonts w:ascii="Georgia" w:hAnsi="Georgia"/>
        </w:rPr>
        <w:t xml:space="preserve"> from the use of a residential LDC may help to provide clarity to customers shopping for CHOICE service.  Currently, customers’ bills include volumetric charges for gas and distribution service, along with Rider USP.  Charging distribution service as a fixed fee would eliminate one of the variable charges that appears on a customer’s bill.</w:t>
      </w:r>
      <w:r w:rsidR="0020378B">
        <w:rPr>
          <w:rFonts w:ascii="Georgia" w:hAnsi="Georgia"/>
        </w:rPr>
        <w:t xml:space="preserve">  As described in the next section, accurate price signals for distribution service are also important for customers considering energy efficiency and conservations measures.</w:t>
      </w:r>
    </w:p>
    <w:p w14:paraId="5343C8AB" w14:textId="77777777" w:rsidR="004430EB" w:rsidRDefault="004430EB" w:rsidP="0020378B">
      <w:pPr>
        <w:spacing w:after="0" w:line="480" w:lineRule="auto"/>
        <w:ind w:firstLine="720"/>
        <w:jc w:val="both"/>
        <w:rPr>
          <w:rFonts w:ascii="Georgia" w:hAnsi="Georgia" w:cs="Arial"/>
          <w:b/>
          <w:sz w:val="24"/>
          <w:szCs w:val="24"/>
          <w:u w:val="single"/>
        </w:rPr>
      </w:pPr>
    </w:p>
    <w:p w14:paraId="65729FF0" w14:textId="77777777" w:rsidR="004430EB" w:rsidRDefault="004430EB" w:rsidP="0020378B">
      <w:pPr>
        <w:spacing w:after="0" w:line="480" w:lineRule="auto"/>
        <w:ind w:firstLine="720"/>
        <w:jc w:val="both"/>
        <w:rPr>
          <w:rFonts w:ascii="Georgia" w:hAnsi="Georgia" w:cs="Arial"/>
          <w:b/>
          <w:sz w:val="24"/>
          <w:szCs w:val="24"/>
          <w:u w:val="single"/>
        </w:rPr>
      </w:pPr>
    </w:p>
    <w:p w14:paraId="4F3C7034" w14:textId="77777777" w:rsidR="0020378B" w:rsidRPr="0054262F" w:rsidRDefault="0020378B" w:rsidP="0020378B">
      <w:pPr>
        <w:spacing w:after="0" w:line="480" w:lineRule="auto"/>
        <w:ind w:firstLine="720"/>
        <w:jc w:val="both"/>
        <w:rPr>
          <w:rFonts w:ascii="Georgia" w:hAnsi="Georgia" w:cs="Arial"/>
          <w:b/>
          <w:sz w:val="24"/>
          <w:szCs w:val="24"/>
          <w:u w:val="single"/>
        </w:rPr>
      </w:pPr>
      <w:r w:rsidRPr="0054262F">
        <w:rPr>
          <w:rFonts w:ascii="Georgia" w:hAnsi="Georgia" w:cs="Arial"/>
          <w:b/>
          <w:sz w:val="24"/>
          <w:szCs w:val="24"/>
          <w:u w:val="single"/>
        </w:rPr>
        <w:lastRenderedPageBreak/>
        <w:t xml:space="preserve">Alignment of </w:t>
      </w:r>
      <w:r>
        <w:rPr>
          <w:rFonts w:ascii="Georgia" w:hAnsi="Georgia" w:cs="Arial"/>
          <w:b/>
          <w:sz w:val="24"/>
          <w:szCs w:val="24"/>
          <w:u w:val="single"/>
        </w:rPr>
        <w:t>LDC with</w:t>
      </w:r>
      <w:r w:rsidRPr="0054262F">
        <w:rPr>
          <w:rFonts w:ascii="Georgia" w:hAnsi="Georgia" w:cs="Arial"/>
          <w:b/>
          <w:sz w:val="24"/>
          <w:szCs w:val="24"/>
          <w:u w:val="single"/>
        </w:rPr>
        <w:t xml:space="preserve"> </w:t>
      </w:r>
      <w:r>
        <w:rPr>
          <w:rFonts w:ascii="Georgia" w:hAnsi="Georgia" w:cs="Arial"/>
          <w:b/>
          <w:sz w:val="24"/>
          <w:szCs w:val="24"/>
          <w:u w:val="single"/>
        </w:rPr>
        <w:t>E</w:t>
      </w:r>
      <w:r w:rsidRPr="0054262F">
        <w:rPr>
          <w:rFonts w:ascii="Georgia" w:hAnsi="Georgia" w:cs="Arial"/>
          <w:b/>
          <w:sz w:val="24"/>
          <w:szCs w:val="24"/>
          <w:u w:val="single"/>
        </w:rPr>
        <w:t xml:space="preserve">nergy </w:t>
      </w:r>
      <w:r>
        <w:rPr>
          <w:rFonts w:ascii="Georgia" w:hAnsi="Georgia" w:cs="Arial"/>
          <w:b/>
          <w:sz w:val="24"/>
          <w:szCs w:val="24"/>
          <w:u w:val="single"/>
        </w:rPr>
        <w:t>E</w:t>
      </w:r>
      <w:r w:rsidRPr="0054262F">
        <w:rPr>
          <w:rFonts w:ascii="Georgia" w:hAnsi="Georgia" w:cs="Arial"/>
          <w:b/>
          <w:sz w:val="24"/>
          <w:szCs w:val="24"/>
          <w:u w:val="single"/>
        </w:rPr>
        <w:t xml:space="preserve">fficiency and </w:t>
      </w:r>
      <w:r>
        <w:rPr>
          <w:rFonts w:ascii="Georgia" w:hAnsi="Georgia" w:cs="Arial"/>
          <w:b/>
          <w:sz w:val="24"/>
          <w:szCs w:val="24"/>
          <w:u w:val="single"/>
        </w:rPr>
        <w:t>C</w:t>
      </w:r>
      <w:r w:rsidRPr="0054262F">
        <w:rPr>
          <w:rFonts w:ascii="Georgia" w:hAnsi="Georgia" w:cs="Arial"/>
          <w:b/>
          <w:sz w:val="24"/>
          <w:szCs w:val="24"/>
          <w:u w:val="single"/>
        </w:rPr>
        <w:t>onservation</w:t>
      </w:r>
    </w:p>
    <w:p w14:paraId="5CA96D01" w14:textId="2A6DC616" w:rsidR="0020378B" w:rsidRDefault="0020378B" w:rsidP="0020378B">
      <w:pPr>
        <w:pStyle w:val="BodyText2"/>
        <w:rPr>
          <w:rFonts w:ascii="Georgia" w:hAnsi="Georgia"/>
        </w:rPr>
      </w:pPr>
      <w:r w:rsidRPr="00BA798B">
        <w:rPr>
          <w:rFonts w:ascii="Georgia" w:hAnsi="Georgia"/>
        </w:rPr>
        <w:t xml:space="preserve">Opponents of </w:t>
      </w:r>
      <w:r w:rsidR="00EC5556">
        <w:rPr>
          <w:rFonts w:ascii="Georgia" w:hAnsi="Georgia"/>
        </w:rPr>
        <w:t xml:space="preserve">the </w:t>
      </w:r>
      <w:r>
        <w:rPr>
          <w:rFonts w:ascii="Georgia" w:hAnsi="Georgia"/>
        </w:rPr>
        <w:t>LDC</w:t>
      </w:r>
      <w:r w:rsidRPr="00BA798B">
        <w:rPr>
          <w:rFonts w:ascii="Georgia" w:hAnsi="Georgia"/>
        </w:rPr>
        <w:t xml:space="preserve"> may suggest that such a rate design will discourage customer conservation.  However, Columbia submits that current usage-based pricing of fixed distribution costs gives false price signals to customers.  When fixed costs are recovered on a usage basis, a customer’s perceived conservation “savings” are distorted because the customer receives a bill reduction when there is no matching reduction to Columbia’s distribution costs.  As a result, a regulated entity like Columbia will under recover its costs, contributing to the need to file for a rate increase.  This results in a cycle of potentially inefficient conservation activities and</w:t>
      </w:r>
      <w:r w:rsidR="00A15D68">
        <w:rPr>
          <w:rFonts w:ascii="Georgia" w:hAnsi="Georgia"/>
        </w:rPr>
        <w:t xml:space="preserve"> possibly</w:t>
      </w:r>
      <w:r w:rsidRPr="00BA798B">
        <w:rPr>
          <w:rFonts w:ascii="Georgia" w:hAnsi="Georgia"/>
        </w:rPr>
        <w:t xml:space="preserve"> </w:t>
      </w:r>
      <w:r w:rsidR="00EC5556">
        <w:rPr>
          <w:rFonts w:ascii="Georgia" w:hAnsi="Georgia"/>
        </w:rPr>
        <w:t xml:space="preserve">the need for more frequent </w:t>
      </w:r>
      <w:r w:rsidRPr="00BA798B">
        <w:rPr>
          <w:rFonts w:ascii="Georgia" w:hAnsi="Georgia"/>
        </w:rPr>
        <w:t xml:space="preserve">rate cases.  </w:t>
      </w:r>
    </w:p>
    <w:p w14:paraId="6AC7B1B4" w14:textId="77777777" w:rsidR="0020378B" w:rsidRDefault="0020378B" w:rsidP="0020378B">
      <w:pPr>
        <w:pStyle w:val="BodyText2"/>
        <w:rPr>
          <w:rFonts w:ascii="Georgia" w:hAnsi="Georgia"/>
        </w:rPr>
      </w:pPr>
      <w:r w:rsidRPr="00BA798B">
        <w:rPr>
          <w:rFonts w:ascii="Georgia" w:hAnsi="Georgia"/>
        </w:rPr>
        <w:t>Under volumetric rates, customers who invest in conservation see their expected benefits eroded by subsequent rate cases, where dollars are added to the commodity rates to offset the loss of fixed cost recovery resulting from reduced gas usage</w:t>
      </w:r>
      <w:r w:rsidRPr="003645FE">
        <w:rPr>
          <w:rFonts w:ascii="Georgia" w:hAnsi="Georgia"/>
        </w:rPr>
        <w:t>.  This may encourage other customers to adopt conservation, but discourage additional conservation from early adopters.  However, the cycle will continue as new investment in conservation is again eroded by subsequent rate cases</w:t>
      </w:r>
      <w:r>
        <w:rPr>
          <w:rFonts w:ascii="Georgia" w:hAnsi="Georgia"/>
        </w:rPr>
        <w:t xml:space="preserve">.  </w:t>
      </w:r>
      <w:r w:rsidRPr="003645FE">
        <w:rPr>
          <w:rFonts w:ascii="Georgia" w:hAnsi="Georgia"/>
        </w:rPr>
        <w:t xml:space="preserve">This </w:t>
      </w:r>
      <w:r>
        <w:rPr>
          <w:rFonts w:ascii="Georgia" w:hAnsi="Georgia"/>
        </w:rPr>
        <w:t xml:space="preserve">can </w:t>
      </w:r>
      <w:r w:rsidRPr="003645FE">
        <w:rPr>
          <w:rFonts w:ascii="Georgia" w:hAnsi="Georgia"/>
        </w:rPr>
        <w:t xml:space="preserve">lead to customer confusion and complaints, when, in future rate cases, the Company informs customers that one of the causes of the rate filing is reduced revenues </w:t>
      </w:r>
      <w:r>
        <w:rPr>
          <w:rFonts w:ascii="Georgia" w:hAnsi="Georgia"/>
        </w:rPr>
        <w:t>due to lower</w:t>
      </w:r>
      <w:r w:rsidRPr="003645FE">
        <w:rPr>
          <w:rFonts w:ascii="Georgia" w:hAnsi="Georgia"/>
        </w:rPr>
        <w:t xml:space="preserve"> customer consumption.  Customers may conclude that conservation efforts serve no purpose if their efforts just lead to further rate increases.</w:t>
      </w:r>
      <w:r>
        <w:rPr>
          <w:rFonts w:ascii="Georgia" w:hAnsi="Georgia"/>
        </w:rPr>
        <w:t xml:space="preserve">  On the other hand, </w:t>
      </w:r>
      <w:r w:rsidRPr="003645FE">
        <w:rPr>
          <w:rFonts w:ascii="Georgia" w:hAnsi="Georgia"/>
        </w:rPr>
        <w:t>efficient price signals, which measure a customer’s true gas commodity cost savings, will produce the most cost-effective energy efficiency improvements.</w:t>
      </w:r>
    </w:p>
    <w:p w14:paraId="796EAC4D" w14:textId="77777777" w:rsidR="004430EB" w:rsidRDefault="004430EB" w:rsidP="00075099">
      <w:pPr>
        <w:spacing w:after="0" w:line="480" w:lineRule="auto"/>
        <w:ind w:firstLine="720"/>
        <w:jc w:val="both"/>
        <w:rPr>
          <w:rFonts w:ascii="Georgia" w:eastAsia="Times New Roman" w:hAnsi="Georgia" w:cs="Arial"/>
          <w:b/>
          <w:sz w:val="24"/>
          <w:szCs w:val="24"/>
          <w:u w:val="single"/>
        </w:rPr>
      </w:pPr>
    </w:p>
    <w:p w14:paraId="25D4F851" w14:textId="77777777" w:rsidR="004430EB" w:rsidRDefault="004430EB" w:rsidP="00075099">
      <w:pPr>
        <w:spacing w:after="0" w:line="480" w:lineRule="auto"/>
        <w:ind w:firstLine="720"/>
        <w:jc w:val="both"/>
        <w:rPr>
          <w:rFonts w:ascii="Georgia" w:eastAsia="Times New Roman" w:hAnsi="Georgia" w:cs="Arial"/>
          <w:b/>
          <w:sz w:val="24"/>
          <w:szCs w:val="24"/>
          <w:u w:val="single"/>
        </w:rPr>
      </w:pPr>
    </w:p>
    <w:p w14:paraId="007B4EE6" w14:textId="4A2CFA5B" w:rsidR="00454A1F" w:rsidRPr="00684482" w:rsidRDefault="005D5424" w:rsidP="00075099">
      <w:pPr>
        <w:spacing w:after="0" w:line="480" w:lineRule="auto"/>
        <w:ind w:firstLine="720"/>
        <w:jc w:val="both"/>
        <w:rPr>
          <w:rFonts w:ascii="Georgia" w:eastAsia="Times New Roman" w:hAnsi="Georgia" w:cs="Arial"/>
          <w:b/>
          <w:sz w:val="24"/>
          <w:szCs w:val="24"/>
          <w:u w:val="single"/>
        </w:rPr>
      </w:pPr>
      <w:r>
        <w:rPr>
          <w:rFonts w:ascii="Georgia" w:eastAsia="Times New Roman" w:hAnsi="Georgia" w:cs="Arial"/>
          <w:b/>
          <w:sz w:val="24"/>
          <w:szCs w:val="24"/>
          <w:u w:val="single"/>
        </w:rPr>
        <w:lastRenderedPageBreak/>
        <w:t>LDC Decreases</w:t>
      </w:r>
      <w:r w:rsidR="00563AD6" w:rsidRPr="00684482">
        <w:rPr>
          <w:rFonts w:ascii="Georgia" w:eastAsia="Times New Roman" w:hAnsi="Georgia" w:cs="Arial"/>
          <w:b/>
          <w:sz w:val="24"/>
          <w:szCs w:val="24"/>
          <w:u w:val="single"/>
        </w:rPr>
        <w:t xml:space="preserve"> </w:t>
      </w:r>
      <w:r>
        <w:rPr>
          <w:rFonts w:ascii="Georgia" w:eastAsia="Times New Roman" w:hAnsi="Georgia" w:cs="Arial"/>
          <w:b/>
          <w:sz w:val="24"/>
          <w:szCs w:val="24"/>
          <w:u w:val="single"/>
        </w:rPr>
        <w:t>B</w:t>
      </w:r>
      <w:r w:rsidR="00563AD6" w:rsidRPr="00684482">
        <w:rPr>
          <w:rFonts w:ascii="Georgia" w:eastAsia="Times New Roman" w:hAnsi="Georgia" w:cs="Arial"/>
          <w:b/>
          <w:sz w:val="24"/>
          <w:szCs w:val="24"/>
          <w:u w:val="single"/>
        </w:rPr>
        <w:t xml:space="preserve">ill </w:t>
      </w:r>
      <w:r>
        <w:rPr>
          <w:rFonts w:ascii="Georgia" w:eastAsia="Times New Roman" w:hAnsi="Georgia" w:cs="Arial"/>
          <w:b/>
          <w:sz w:val="24"/>
          <w:szCs w:val="24"/>
          <w:u w:val="single"/>
        </w:rPr>
        <w:t>V</w:t>
      </w:r>
      <w:r w:rsidR="00563AD6" w:rsidRPr="00684482">
        <w:rPr>
          <w:rFonts w:ascii="Georgia" w:eastAsia="Times New Roman" w:hAnsi="Georgia" w:cs="Arial"/>
          <w:b/>
          <w:sz w:val="24"/>
          <w:szCs w:val="24"/>
          <w:u w:val="single"/>
        </w:rPr>
        <w:t>olatility</w:t>
      </w:r>
      <w:r w:rsidR="0016409D">
        <w:rPr>
          <w:rFonts w:ascii="Georgia" w:eastAsia="Times New Roman" w:hAnsi="Georgia" w:cs="Arial"/>
          <w:b/>
          <w:sz w:val="24"/>
          <w:szCs w:val="24"/>
          <w:u w:val="single"/>
        </w:rPr>
        <w:t xml:space="preserve"> and Provide</w:t>
      </w:r>
      <w:r w:rsidR="00B348B8">
        <w:rPr>
          <w:rFonts w:ascii="Georgia" w:eastAsia="Times New Roman" w:hAnsi="Georgia" w:cs="Arial"/>
          <w:b/>
          <w:sz w:val="24"/>
          <w:szCs w:val="24"/>
          <w:u w:val="single"/>
        </w:rPr>
        <w:t>s</w:t>
      </w:r>
      <w:r w:rsidR="0016409D">
        <w:rPr>
          <w:rFonts w:ascii="Georgia" w:eastAsia="Times New Roman" w:hAnsi="Georgia" w:cs="Arial"/>
          <w:b/>
          <w:sz w:val="24"/>
          <w:szCs w:val="24"/>
          <w:u w:val="single"/>
        </w:rPr>
        <w:t xml:space="preserve"> Revenue Stability</w:t>
      </w:r>
    </w:p>
    <w:p w14:paraId="0FDE9ADD" w14:textId="1F48FC14" w:rsidR="00B82859" w:rsidRDefault="00437E2F" w:rsidP="001E4A61">
      <w:pPr>
        <w:pStyle w:val="Quote"/>
        <w:spacing w:after="0" w:line="480" w:lineRule="auto"/>
        <w:ind w:left="0" w:right="0" w:firstLine="720"/>
        <w:rPr>
          <w:rFonts w:ascii="Georgia" w:hAnsi="Georgia"/>
        </w:rPr>
      </w:pPr>
      <w:r>
        <w:rPr>
          <w:rFonts w:ascii="Georgia" w:hAnsi="Georgia" w:cs="Arial"/>
        </w:rPr>
        <w:t xml:space="preserve">As I noted above, under the LDC, the </w:t>
      </w:r>
      <w:r w:rsidR="0020378B">
        <w:rPr>
          <w:rFonts w:ascii="Georgia" w:hAnsi="Georgia" w:cs="Arial"/>
        </w:rPr>
        <w:t xml:space="preserve">primary </w:t>
      </w:r>
      <w:r>
        <w:rPr>
          <w:rFonts w:ascii="Georgia" w:hAnsi="Georgia" w:cs="Arial"/>
        </w:rPr>
        <w:t>variable components</w:t>
      </w:r>
      <w:r w:rsidR="0020378B">
        <w:rPr>
          <w:rFonts w:ascii="Georgia" w:hAnsi="Georgia" w:cs="Arial"/>
        </w:rPr>
        <w:t xml:space="preserve"> of </w:t>
      </w:r>
      <w:r w:rsidR="00D726B7">
        <w:rPr>
          <w:rFonts w:ascii="Georgia" w:hAnsi="Georgia" w:cs="Arial"/>
        </w:rPr>
        <w:t xml:space="preserve">residential </w:t>
      </w:r>
      <w:r w:rsidR="0020378B">
        <w:rPr>
          <w:rFonts w:ascii="Georgia" w:hAnsi="Georgia" w:cs="Arial"/>
        </w:rPr>
        <w:t>customers’ bills</w:t>
      </w:r>
      <w:r>
        <w:rPr>
          <w:rFonts w:ascii="Georgia" w:hAnsi="Georgia" w:cs="Arial"/>
        </w:rPr>
        <w:t xml:space="preserve"> would be gas costs and Rider USP.  </w:t>
      </w:r>
      <w:r w:rsidR="0020378B">
        <w:rPr>
          <w:rFonts w:ascii="Georgia" w:hAnsi="Georgia" w:cs="Arial"/>
        </w:rPr>
        <w:t>Since a</w:t>
      </w:r>
      <w:r>
        <w:rPr>
          <w:rFonts w:ascii="Georgia" w:hAnsi="Georgia" w:cs="Arial"/>
        </w:rPr>
        <w:t xml:space="preserve">ll </w:t>
      </w:r>
      <w:r w:rsidR="0020378B">
        <w:rPr>
          <w:rFonts w:ascii="Georgia" w:hAnsi="Georgia" w:cs="Arial"/>
        </w:rPr>
        <w:t>distribution</w:t>
      </w:r>
      <w:r>
        <w:rPr>
          <w:rFonts w:ascii="Georgia" w:hAnsi="Georgia" w:cs="Arial"/>
        </w:rPr>
        <w:t xml:space="preserve"> costs would be recovered</w:t>
      </w:r>
      <w:r w:rsidR="0020378B">
        <w:rPr>
          <w:rFonts w:ascii="Georgia" w:hAnsi="Georgia" w:cs="Arial"/>
        </w:rPr>
        <w:t xml:space="preserve"> through</w:t>
      </w:r>
      <w:r>
        <w:rPr>
          <w:rFonts w:ascii="Georgia" w:hAnsi="Georgia" w:cs="Arial"/>
        </w:rPr>
        <w:t xml:space="preserve"> </w:t>
      </w:r>
      <w:r w:rsidR="0020378B">
        <w:rPr>
          <w:rFonts w:ascii="Georgia" w:hAnsi="Georgia" w:cs="Arial"/>
        </w:rPr>
        <w:t>a</w:t>
      </w:r>
      <w:r>
        <w:rPr>
          <w:rFonts w:ascii="Georgia" w:hAnsi="Georgia" w:cs="Arial"/>
        </w:rPr>
        <w:t xml:space="preserve"> f</w:t>
      </w:r>
      <w:r w:rsidR="00190CB1">
        <w:rPr>
          <w:rFonts w:ascii="Georgia" w:hAnsi="Georgia" w:cs="Arial"/>
        </w:rPr>
        <w:t xml:space="preserve">ixed </w:t>
      </w:r>
      <w:r>
        <w:rPr>
          <w:rFonts w:ascii="Georgia" w:hAnsi="Georgia" w:cs="Arial"/>
        </w:rPr>
        <w:t>charge</w:t>
      </w:r>
      <w:r w:rsidR="0020378B">
        <w:rPr>
          <w:rFonts w:ascii="Georgia" w:hAnsi="Georgia" w:cs="Arial"/>
        </w:rPr>
        <w:t xml:space="preserve">, </w:t>
      </w:r>
      <w:r>
        <w:rPr>
          <w:rFonts w:ascii="Georgia" w:hAnsi="Georgia" w:cs="Arial"/>
        </w:rPr>
        <w:t>the LDC would result in reduc</w:t>
      </w:r>
      <w:r w:rsidR="00190CB1">
        <w:rPr>
          <w:rFonts w:ascii="Georgia" w:hAnsi="Georgia" w:cs="Arial"/>
        </w:rPr>
        <w:t>ed</w:t>
      </w:r>
      <w:r>
        <w:rPr>
          <w:rFonts w:ascii="Georgia" w:hAnsi="Georgia" w:cs="Arial"/>
        </w:rPr>
        <w:t xml:space="preserve"> bill </w:t>
      </w:r>
      <w:r w:rsidR="0095269A">
        <w:rPr>
          <w:rFonts w:ascii="Georgia" w:hAnsi="Georgia" w:cs="Arial"/>
        </w:rPr>
        <w:t>volatility for residential customers</w:t>
      </w:r>
      <w:r>
        <w:rPr>
          <w:rFonts w:ascii="Georgia" w:hAnsi="Georgia" w:cs="Arial"/>
        </w:rPr>
        <w:t>.</w:t>
      </w:r>
      <w:r w:rsidR="0095269A">
        <w:rPr>
          <w:rFonts w:ascii="Georgia" w:hAnsi="Georgia" w:cs="Arial"/>
        </w:rPr>
        <w:t xml:space="preserve">  In fact, LDC</w:t>
      </w:r>
      <w:r w:rsidR="00B82859">
        <w:rPr>
          <w:rFonts w:ascii="Georgia" w:hAnsi="Georgia"/>
        </w:rPr>
        <w:t xml:space="preserve"> provides bill certainty for the base rate portion of a </w:t>
      </w:r>
      <w:r w:rsidR="0095269A">
        <w:rPr>
          <w:rFonts w:ascii="Georgia" w:hAnsi="Georgia"/>
        </w:rPr>
        <w:t>residential customer’s bill</w:t>
      </w:r>
      <w:r w:rsidR="00B82859">
        <w:rPr>
          <w:rFonts w:ascii="Georgia" w:hAnsi="Georgia"/>
        </w:rPr>
        <w:t>.</w:t>
      </w:r>
      <w:r w:rsidR="0095269A">
        <w:rPr>
          <w:rFonts w:ascii="Georgia" w:hAnsi="Georgia"/>
        </w:rPr>
        <w:t xml:space="preserve">  </w:t>
      </w:r>
    </w:p>
    <w:p w14:paraId="1E628C99" w14:textId="7522F9DE" w:rsidR="00D726B7" w:rsidRDefault="00D726B7" w:rsidP="00D726B7">
      <w:pPr>
        <w:pStyle w:val="Quote"/>
        <w:spacing w:after="0" w:line="480" w:lineRule="auto"/>
        <w:ind w:left="0" w:right="0" w:firstLine="720"/>
        <w:rPr>
          <w:rFonts w:ascii="Georgia" w:hAnsi="Georgia"/>
        </w:rPr>
      </w:pPr>
      <w:r>
        <w:rPr>
          <w:rFonts w:ascii="Georgia" w:hAnsi="Georgia"/>
        </w:rPr>
        <w:t xml:space="preserve">Bill certainty for customers implies revenue stability for Columbia.  One possible benefit associated with increased revenue stability is the simplification of an economic analysis performed to determine the feasibility of adding new load.  </w:t>
      </w:r>
      <w:r w:rsidR="00D24704">
        <w:rPr>
          <w:rFonts w:ascii="Georgia" w:hAnsi="Georgia"/>
        </w:rPr>
        <w:t>Since</w:t>
      </w:r>
      <w:r w:rsidR="00BB2FE2">
        <w:rPr>
          <w:rFonts w:ascii="Georgia" w:hAnsi="Georgia"/>
        </w:rPr>
        <w:t xml:space="preserve"> recovery of</w:t>
      </w:r>
      <w:r w:rsidR="00D24704">
        <w:rPr>
          <w:rFonts w:ascii="Georgia" w:hAnsi="Georgia"/>
        </w:rPr>
        <w:t xml:space="preserve"> any</w:t>
      </w:r>
      <w:r w:rsidR="00BB2FE2">
        <w:rPr>
          <w:rFonts w:ascii="Georgia" w:hAnsi="Georgia"/>
        </w:rPr>
        <w:t xml:space="preserve"> incremental revenue requirement is foundational to an economic analysis concerning a line extension</w:t>
      </w:r>
      <w:r w:rsidR="00D24704">
        <w:rPr>
          <w:rFonts w:ascii="Georgia" w:hAnsi="Georgia"/>
        </w:rPr>
        <w:t>,</w:t>
      </w:r>
      <w:r w:rsidR="00BB2FE2">
        <w:rPr>
          <w:rFonts w:ascii="Georgia" w:hAnsi="Georgia"/>
        </w:rPr>
        <w:t xml:space="preserve"> implementing</w:t>
      </w:r>
      <w:r w:rsidR="00D24704">
        <w:rPr>
          <w:rFonts w:ascii="Georgia" w:hAnsi="Georgia"/>
        </w:rPr>
        <w:t xml:space="preserve"> a residential</w:t>
      </w:r>
      <w:r w:rsidR="00BB2FE2">
        <w:rPr>
          <w:rFonts w:ascii="Georgia" w:hAnsi="Georgia"/>
        </w:rPr>
        <w:t xml:space="preserve"> LDC would assist Columbia with determining if a project is economic</w:t>
      </w:r>
      <w:r w:rsidR="007B6EA7">
        <w:rPr>
          <w:rFonts w:ascii="Georgia" w:hAnsi="Georgia"/>
        </w:rPr>
        <w:t>ally justified</w:t>
      </w:r>
      <w:r w:rsidR="00BB2FE2">
        <w:rPr>
          <w:rFonts w:ascii="Georgia" w:hAnsi="Georgia"/>
        </w:rPr>
        <w:t xml:space="preserve">.  Currently, Columbia must rely on accurate usage projections to establish the viability of a line extension.  </w:t>
      </w:r>
      <w:r w:rsidR="00DE13A9">
        <w:rPr>
          <w:rFonts w:ascii="Georgia" w:hAnsi="Georgia"/>
        </w:rPr>
        <w:t>The LDC would enable Columbia to rely on expected revenues from a fixed monthly charge and r</w:t>
      </w:r>
      <w:r w:rsidR="00BB2FE2">
        <w:rPr>
          <w:rFonts w:ascii="Georgia" w:hAnsi="Georgia"/>
        </w:rPr>
        <w:t>emov</w:t>
      </w:r>
      <w:r w:rsidR="00DE13A9">
        <w:rPr>
          <w:rFonts w:ascii="Georgia" w:hAnsi="Georgia"/>
        </w:rPr>
        <w:t>e</w:t>
      </w:r>
      <w:r w:rsidR="00BB2FE2">
        <w:rPr>
          <w:rFonts w:ascii="Georgia" w:hAnsi="Georgia"/>
        </w:rPr>
        <w:t xml:space="preserve"> volumetric forecasts from this equation</w:t>
      </w:r>
      <w:r w:rsidR="00DE13A9">
        <w:rPr>
          <w:rFonts w:ascii="Georgia" w:hAnsi="Georgia"/>
        </w:rPr>
        <w:t>.  This</w:t>
      </w:r>
      <w:r w:rsidR="00BB2FE2">
        <w:rPr>
          <w:rFonts w:ascii="Georgia" w:hAnsi="Georgia"/>
        </w:rPr>
        <w:t xml:space="preserve"> would </w:t>
      </w:r>
      <w:r w:rsidR="00DE13A9">
        <w:rPr>
          <w:rFonts w:ascii="Georgia" w:hAnsi="Georgia"/>
        </w:rPr>
        <w:t xml:space="preserve">simplify the Company’s existing economic analysis and improve the </w:t>
      </w:r>
      <w:r w:rsidR="00BB2FE2">
        <w:rPr>
          <w:rFonts w:ascii="Georgia" w:hAnsi="Georgia"/>
        </w:rPr>
        <w:t xml:space="preserve">decision process </w:t>
      </w:r>
      <w:r w:rsidR="00A15D68">
        <w:rPr>
          <w:rFonts w:ascii="Georgia" w:hAnsi="Georgia"/>
        </w:rPr>
        <w:t>concer</w:t>
      </w:r>
      <w:r w:rsidR="004A5145">
        <w:rPr>
          <w:rFonts w:ascii="Georgia" w:hAnsi="Georgia"/>
        </w:rPr>
        <w:t>n</w:t>
      </w:r>
      <w:r w:rsidR="00A15D68">
        <w:rPr>
          <w:rFonts w:ascii="Georgia" w:hAnsi="Georgia"/>
        </w:rPr>
        <w:t>ing</w:t>
      </w:r>
      <w:r w:rsidR="00DE13A9">
        <w:rPr>
          <w:rFonts w:ascii="Georgia" w:hAnsi="Georgia"/>
        </w:rPr>
        <w:t xml:space="preserve"> whether a requested line extension will result in</w:t>
      </w:r>
      <w:r w:rsidR="00A15D68">
        <w:rPr>
          <w:rFonts w:ascii="Georgia" w:hAnsi="Georgia"/>
        </w:rPr>
        <w:t xml:space="preserve"> </w:t>
      </w:r>
      <w:r w:rsidR="004A5145">
        <w:rPr>
          <w:rFonts w:ascii="Georgia" w:hAnsi="Georgia"/>
        </w:rPr>
        <w:t>benefits for</w:t>
      </w:r>
      <w:r w:rsidR="00BB2FE2">
        <w:rPr>
          <w:rFonts w:ascii="Georgia" w:hAnsi="Georgia"/>
        </w:rPr>
        <w:t xml:space="preserve"> the system and other customers.</w:t>
      </w:r>
    </w:p>
    <w:p w14:paraId="717B823D" w14:textId="465132D0" w:rsidR="00B348B8" w:rsidRDefault="00D726B7" w:rsidP="00D726B7">
      <w:pPr>
        <w:pStyle w:val="Quote"/>
        <w:spacing w:after="0" w:line="480" w:lineRule="auto"/>
        <w:ind w:left="0" w:right="0" w:firstLine="720"/>
        <w:rPr>
          <w:rFonts w:ascii="Georgia" w:hAnsi="Georgia"/>
        </w:rPr>
      </w:pPr>
      <w:r>
        <w:rPr>
          <w:rFonts w:ascii="Georgia" w:hAnsi="Georgia"/>
        </w:rPr>
        <w:t xml:space="preserve">Another possible </w:t>
      </w:r>
      <w:r w:rsidR="00BB2FE2">
        <w:rPr>
          <w:rFonts w:ascii="Georgia" w:hAnsi="Georgia"/>
        </w:rPr>
        <w:t>advantage of LDC</w:t>
      </w:r>
      <w:r>
        <w:rPr>
          <w:rFonts w:ascii="Georgia" w:hAnsi="Georgia"/>
        </w:rPr>
        <w:t xml:space="preserve"> concerns Columbia’s use of the Distribution System Improvement Charge (“</w:t>
      </w:r>
      <w:r w:rsidRPr="004F3808">
        <w:rPr>
          <w:rFonts w:ascii="Georgia" w:hAnsi="Georgia"/>
        </w:rPr>
        <w:t>DSIC</w:t>
      </w:r>
      <w:r>
        <w:rPr>
          <w:rFonts w:ascii="Georgia" w:hAnsi="Georgia"/>
        </w:rPr>
        <w:t xml:space="preserve">”).  </w:t>
      </w:r>
      <w:r w:rsidR="00B348B8">
        <w:rPr>
          <w:rFonts w:ascii="Georgia" w:hAnsi="Georgia"/>
        </w:rPr>
        <w:t xml:space="preserve">The </w:t>
      </w:r>
      <w:r w:rsidR="00B348B8" w:rsidRPr="004F3808">
        <w:rPr>
          <w:rFonts w:ascii="Georgia" w:hAnsi="Georgia"/>
        </w:rPr>
        <w:t>LDC</w:t>
      </w:r>
      <w:r w:rsidR="00DE13A9">
        <w:rPr>
          <w:rFonts w:ascii="Georgia" w:hAnsi="Georgia"/>
        </w:rPr>
        <w:t>,</w:t>
      </w:r>
      <w:r w:rsidR="00B348B8">
        <w:rPr>
          <w:rFonts w:ascii="Georgia" w:hAnsi="Georgia"/>
        </w:rPr>
        <w:t xml:space="preserve"> coupled with the</w:t>
      </w:r>
      <w:r>
        <w:rPr>
          <w:rFonts w:ascii="Georgia" w:hAnsi="Georgia"/>
        </w:rPr>
        <w:t xml:space="preserve"> DSIC</w:t>
      </w:r>
      <w:r w:rsidR="00DE13A9">
        <w:rPr>
          <w:rFonts w:ascii="Georgia" w:hAnsi="Georgia"/>
        </w:rPr>
        <w:t>,</w:t>
      </w:r>
      <w:r w:rsidR="00B348B8">
        <w:rPr>
          <w:rFonts w:ascii="Georgia" w:hAnsi="Georgia"/>
        </w:rPr>
        <w:t xml:space="preserve"> may provide </w:t>
      </w:r>
      <w:r w:rsidR="00B348B8" w:rsidRPr="004F3808">
        <w:rPr>
          <w:rFonts w:ascii="Georgia" w:hAnsi="Georgia"/>
        </w:rPr>
        <w:t>C</w:t>
      </w:r>
      <w:r w:rsidR="00B348B8">
        <w:rPr>
          <w:rFonts w:ascii="Georgia" w:hAnsi="Georgia"/>
        </w:rPr>
        <w:t>olumbia</w:t>
      </w:r>
      <w:r w:rsidR="00B348B8" w:rsidRPr="004F3808">
        <w:rPr>
          <w:rFonts w:ascii="Georgia" w:hAnsi="Georgia"/>
        </w:rPr>
        <w:t xml:space="preserve"> </w:t>
      </w:r>
      <w:r w:rsidR="00B348B8">
        <w:rPr>
          <w:rFonts w:ascii="Georgia" w:hAnsi="Georgia"/>
        </w:rPr>
        <w:t xml:space="preserve">with the best opportunity to remain out of a </w:t>
      </w:r>
      <w:r w:rsidR="0017751F">
        <w:rPr>
          <w:rFonts w:ascii="Georgia" w:hAnsi="Georgia"/>
        </w:rPr>
        <w:t>r</w:t>
      </w:r>
      <w:r w:rsidR="00B348B8">
        <w:rPr>
          <w:rFonts w:ascii="Georgia" w:hAnsi="Georgia"/>
        </w:rPr>
        <w:t xml:space="preserve">ate </w:t>
      </w:r>
      <w:r w:rsidR="0017751F">
        <w:rPr>
          <w:rFonts w:ascii="Georgia" w:hAnsi="Georgia"/>
        </w:rPr>
        <w:t>c</w:t>
      </w:r>
      <w:r w:rsidR="00B348B8">
        <w:rPr>
          <w:rFonts w:ascii="Georgia" w:hAnsi="Georgia"/>
        </w:rPr>
        <w:t xml:space="preserve">ase.  </w:t>
      </w:r>
      <w:r w:rsidR="00DE13A9">
        <w:rPr>
          <w:rFonts w:ascii="Georgia" w:hAnsi="Georgia"/>
        </w:rPr>
        <w:t xml:space="preserve">Columbia’s </w:t>
      </w:r>
      <w:r w:rsidR="00B348B8">
        <w:rPr>
          <w:rFonts w:ascii="Georgia" w:hAnsi="Georgia"/>
        </w:rPr>
        <w:t>current residential rate design includes a pilot WNA program</w:t>
      </w:r>
      <w:r w:rsidR="00DE13A9">
        <w:rPr>
          <w:rFonts w:ascii="Georgia" w:hAnsi="Georgia"/>
        </w:rPr>
        <w:t>, which I describe later in my testimony.  T</w:t>
      </w:r>
      <w:r w:rsidR="00B348B8">
        <w:rPr>
          <w:rFonts w:ascii="Georgia" w:hAnsi="Georgia"/>
        </w:rPr>
        <w:t>his rate design represents a positive step towards revenue and bill certainty</w:t>
      </w:r>
      <w:r w:rsidR="00DE13A9">
        <w:rPr>
          <w:rFonts w:ascii="Georgia" w:hAnsi="Georgia"/>
        </w:rPr>
        <w:t xml:space="preserve"> because it addresses the impact of weather</w:t>
      </w:r>
      <w:r w:rsidR="00B348B8">
        <w:rPr>
          <w:rFonts w:ascii="Georgia" w:hAnsi="Georgia"/>
        </w:rPr>
        <w:t xml:space="preserve">.  </w:t>
      </w:r>
      <w:r w:rsidR="0017751F">
        <w:rPr>
          <w:rFonts w:ascii="Georgia" w:hAnsi="Georgia"/>
        </w:rPr>
        <w:t>However, i</w:t>
      </w:r>
      <w:r w:rsidR="00B348B8">
        <w:rPr>
          <w:rFonts w:ascii="Georgia" w:hAnsi="Georgia"/>
        </w:rPr>
        <w:t xml:space="preserve">n comparison to the WNA, the LDC would </w:t>
      </w:r>
      <w:r w:rsidR="00F3017D">
        <w:rPr>
          <w:rFonts w:ascii="Georgia" w:hAnsi="Georgia"/>
        </w:rPr>
        <w:t>improve</w:t>
      </w:r>
      <w:r w:rsidR="00B348B8">
        <w:rPr>
          <w:rFonts w:ascii="Georgia" w:hAnsi="Georgia"/>
        </w:rPr>
        <w:t xml:space="preserve"> revenue and bill stability for the Company and its customers</w:t>
      </w:r>
      <w:r w:rsidR="00DE13A9">
        <w:rPr>
          <w:rFonts w:ascii="Georgia" w:hAnsi="Georgia"/>
        </w:rPr>
        <w:t xml:space="preserve"> due to </w:t>
      </w:r>
      <w:r w:rsidR="00DE13A9">
        <w:rPr>
          <w:rFonts w:ascii="Georgia" w:hAnsi="Georgia"/>
        </w:rPr>
        <w:lastRenderedPageBreak/>
        <w:t>the recovery of fixed costs through a flat monthly charge</w:t>
      </w:r>
      <w:r w:rsidR="00B348B8">
        <w:rPr>
          <w:rFonts w:ascii="Georgia" w:hAnsi="Georgia"/>
        </w:rPr>
        <w:t xml:space="preserve">.  Enhanced revenue stability may influence Columbia’s decision to utilize the DSIC and recover capital using a historic time period, instead of filing a rate case, which permits the Company to utilize a </w:t>
      </w:r>
      <w:r w:rsidR="00F3017D">
        <w:rPr>
          <w:rFonts w:ascii="Georgia" w:hAnsi="Georgia"/>
        </w:rPr>
        <w:t>f</w:t>
      </w:r>
      <w:r w:rsidR="00B348B8">
        <w:rPr>
          <w:rFonts w:ascii="Georgia" w:hAnsi="Georgia"/>
        </w:rPr>
        <w:t xml:space="preserve">ully </w:t>
      </w:r>
      <w:r w:rsidR="00F3017D">
        <w:rPr>
          <w:rFonts w:ascii="Georgia" w:hAnsi="Georgia"/>
        </w:rPr>
        <w:t>f</w:t>
      </w:r>
      <w:r w:rsidR="00B348B8">
        <w:rPr>
          <w:rFonts w:ascii="Georgia" w:hAnsi="Georgia"/>
        </w:rPr>
        <w:t xml:space="preserve">orecasted </w:t>
      </w:r>
      <w:r w:rsidR="00F3017D">
        <w:rPr>
          <w:rFonts w:ascii="Georgia" w:hAnsi="Georgia"/>
        </w:rPr>
        <w:t>r</w:t>
      </w:r>
      <w:r w:rsidR="00B348B8">
        <w:rPr>
          <w:rFonts w:ascii="Georgia" w:hAnsi="Georgia"/>
        </w:rPr>
        <w:t xml:space="preserve">ate </w:t>
      </w:r>
      <w:r w:rsidR="00F3017D">
        <w:rPr>
          <w:rFonts w:ascii="Georgia" w:hAnsi="Georgia"/>
        </w:rPr>
        <w:t>y</w:t>
      </w:r>
      <w:r w:rsidR="00B348B8">
        <w:rPr>
          <w:rFonts w:ascii="Georgia" w:hAnsi="Georgia"/>
        </w:rPr>
        <w:t>ear.</w:t>
      </w:r>
    </w:p>
    <w:p w14:paraId="6C491562" w14:textId="4C226670" w:rsidR="001F5978" w:rsidRPr="005D5424" w:rsidRDefault="005D5424" w:rsidP="00075099">
      <w:pPr>
        <w:spacing w:after="0" w:line="480" w:lineRule="auto"/>
        <w:ind w:left="360" w:firstLine="360"/>
        <w:jc w:val="both"/>
        <w:rPr>
          <w:rFonts w:ascii="Georgia" w:eastAsia="Times New Roman" w:hAnsi="Georgia" w:cs="Arial"/>
          <w:b/>
          <w:sz w:val="24"/>
          <w:szCs w:val="24"/>
          <w:u w:val="single"/>
        </w:rPr>
      </w:pPr>
      <w:r w:rsidRPr="005D5424">
        <w:rPr>
          <w:rFonts w:ascii="Georgia" w:eastAsia="Times New Roman" w:hAnsi="Georgia" w:cs="Arial"/>
          <w:b/>
          <w:sz w:val="24"/>
          <w:szCs w:val="24"/>
          <w:u w:val="single"/>
        </w:rPr>
        <w:t>R</w:t>
      </w:r>
      <w:r w:rsidR="001F5978" w:rsidRPr="005D5424">
        <w:rPr>
          <w:rFonts w:ascii="Georgia" w:hAnsi="Georgia"/>
          <w:b/>
          <w:sz w:val="24"/>
          <w:szCs w:val="24"/>
          <w:u w:val="single"/>
        </w:rPr>
        <w:t xml:space="preserve">esidential LDC </w:t>
      </w:r>
      <w:r>
        <w:rPr>
          <w:rFonts w:ascii="Georgia" w:hAnsi="Georgia"/>
          <w:b/>
          <w:sz w:val="24"/>
          <w:szCs w:val="24"/>
          <w:u w:val="single"/>
        </w:rPr>
        <w:t>A</w:t>
      </w:r>
      <w:r w:rsidR="001F5978" w:rsidRPr="005D5424">
        <w:rPr>
          <w:rFonts w:ascii="Georgia" w:hAnsi="Georgia"/>
          <w:b/>
          <w:sz w:val="24"/>
          <w:szCs w:val="24"/>
          <w:u w:val="single"/>
        </w:rPr>
        <w:t xml:space="preserve">chieves </w:t>
      </w:r>
      <w:r>
        <w:rPr>
          <w:rFonts w:ascii="Georgia" w:hAnsi="Georgia"/>
          <w:b/>
          <w:sz w:val="24"/>
          <w:szCs w:val="24"/>
          <w:u w:val="single"/>
        </w:rPr>
        <w:t>B</w:t>
      </w:r>
      <w:r w:rsidR="001F5978" w:rsidRPr="005D5424">
        <w:rPr>
          <w:rFonts w:ascii="Georgia" w:hAnsi="Georgia"/>
          <w:b/>
          <w:sz w:val="24"/>
          <w:szCs w:val="24"/>
          <w:u w:val="single"/>
        </w:rPr>
        <w:t xml:space="preserve">ill </w:t>
      </w:r>
      <w:r>
        <w:rPr>
          <w:rFonts w:ascii="Georgia" w:hAnsi="Georgia"/>
          <w:b/>
          <w:sz w:val="24"/>
          <w:szCs w:val="24"/>
          <w:u w:val="single"/>
        </w:rPr>
        <w:t>S</w:t>
      </w:r>
      <w:r w:rsidR="001F5978" w:rsidRPr="005D5424">
        <w:rPr>
          <w:rFonts w:ascii="Georgia" w:hAnsi="Georgia"/>
          <w:b/>
          <w:sz w:val="24"/>
          <w:szCs w:val="24"/>
          <w:u w:val="single"/>
        </w:rPr>
        <w:t>implicity</w:t>
      </w:r>
    </w:p>
    <w:p w14:paraId="52DEC3DE" w14:textId="1F022306" w:rsidR="002047B3" w:rsidRDefault="00B82859" w:rsidP="00A23626">
      <w:pPr>
        <w:pStyle w:val="Quote"/>
        <w:spacing w:after="0" w:line="480" w:lineRule="auto"/>
        <w:ind w:left="0" w:right="0" w:firstLine="720"/>
        <w:rPr>
          <w:rFonts w:ascii="Georgia" w:hAnsi="Georgia"/>
        </w:rPr>
      </w:pPr>
      <w:r>
        <w:rPr>
          <w:rFonts w:ascii="Georgia" w:hAnsi="Georgia"/>
        </w:rPr>
        <w:t>T</w:t>
      </w:r>
      <w:r w:rsidR="00F725CC" w:rsidRPr="002B7081">
        <w:rPr>
          <w:rFonts w:ascii="Georgia" w:hAnsi="Georgia"/>
        </w:rPr>
        <w:t>he residential</w:t>
      </w:r>
      <w:r w:rsidR="00F725CC" w:rsidRPr="003645FE">
        <w:rPr>
          <w:rFonts w:ascii="Georgia" w:hAnsi="Georgia"/>
        </w:rPr>
        <w:t xml:space="preserve"> </w:t>
      </w:r>
      <w:r w:rsidR="00A72BA4">
        <w:rPr>
          <w:rFonts w:ascii="Georgia" w:hAnsi="Georgia"/>
        </w:rPr>
        <w:t>LDC</w:t>
      </w:r>
      <w:r w:rsidR="00F725CC" w:rsidRPr="003645FE">
        <w:rPr>
          <w:rFonts w:ascii="Georgia" w:hAnsi="Georgia"/>
        </w:rPr>
        <w:t xml:space="preserve"> achieves bill simplicity and promotes understandability of the true cost to serve</w:t>
      </w:r>
      <w:r w:rsidR="00AE6F1B">
        <w:rPr>
          <w:rFonts w:ascii="Georgia" w:hAnsi="Georgia"/>
        </w:rPr>
        <w:t xml:space="preserve"> a residential customer</w:t>
      </w:r>
      <w:r w:rsidR="00F725CC" w:rsidRPr="003645FE">
        <w:rPr>
          <w:rFonts w:ascii="Georgia" w:hAnsi="Georgia"/>
        </w:rPr>
        <w:t>.  The</w:t>
      </w:r>
      <w:r w:rsidR="002047B3">
        <w:rPr>
          <w:rFonts w:ascii="Georgia" w:hAnsi="Georgia"/>
        </w:rPr>
        <w:t xml:space="preserve"> current</w:t>
      </w:r>
      <w:r w:rsidR="00F725CC" w:rsidRPr="003645FE">
        <w:rPr>
          <w:rFonts w:ascii="Georgia" w:hAnsi="Georgia"/>
        </w:rPr>
        <w:t xml:space="preserve"> volumetric distribution charge suggests that the utility’s costs to provide distribution service increase as customer</w:t>
      </w:r>
      <w:r w:rsidR="00973F13">
        <w:rPr>
          <w:rFonts w:ascii="Georgia" w:hAnsi="Georgia"/>
        </w:rPr>
        <w:t>s</w:t>
      </w:r>
      <w:r w:rsidR="00F725CC" w:rsidRPr="003645FE">
        <w:rPr>
          <w:rFonts w:ascii="Georgia" w:hAnsi="Georgia"/>
        </w:rPr>
        <w:t xml:space="preserve"> use more gas, but that is simply not </w:t>
      </w:r>
      <w:r w:rsidR="006D0993">
        <w:rPr>
          <w:rFonts w:ascii="Georgia" w:hAnsi="Georgia"/>
        </w:rPr>
        <w:t xml:space="preserve">the </w:t>
      </w:r>
      <w:r w:rsidR="006D0993" w:rsidRPr="004C6D58">
        <w:rPr>
          <w:rFonts w:ascii="Georgia" w:hAnsi="Georgia"/>
        </w:rPr>
        <w:t>case</w:t>
      </w:r>
      <w:r w:rsidR="00F725CC" w:rsidRPr="004C6D58">
        <w:rPr>
          <w:rFonts w:ascii="Georgia" w:hAnsi="Georgia"/>
        </w:rPr>
        <w:t>.  With the exception of the cost for gas odorant</w:t>
      </w:r>
      <w:r w:rsidR="006D0993" w:rsidRPr="004C6D58">
        <w:rPr>
          <w:rFonts w:ascii="Georgia" w:hAnsi="Georgia"/>
        </w:rPr>
        <w:t>,</w:t>
      </w:r>
      <w:r w:rsidR="00F725CC" w:rsidRPr="004C6D58">
        <w:rPr>
          <w:rFonts w:ascii="Georgia" w:hAnsi="Georgia"/>
        </w:rPr>
        <w:t xml:space="preserve"> which increases </w:t>
      </w:r>
      <w:r w:rsidR="00973F13" w:rsidRPr="004C6D58">
        <w:rPr>
          <w:rFonts w:ascii="Georgia" w:hAnsi="Georgia"/>
        </w:rPr>
        <w:t xml:space="preserve">with the </w:t>
      </w:r>
      <w:r w:rsidR="00F725CC" w:rsidRPr="004C6D58">
        <w:rPr>
          <w:rFonts w:ascii="Georgia" w:hAnsi="Georgia"/>
        </w:rPr>
        <w:t>consum</w:t>
      </w:r>
      <w:r w:rsidR="00973F13" w:rsidRPr="004C6D58">
        <w:rPr>
          <w:rFonts w:ascii="Georgia" w:hAnsi="Georgia"/>
        </w:rPr>
        <w:t xml:space="preserve">ption of </w:t>
      </w:r>
      <w:r w:rsidR="00F725CC" w:rsidRPr="004C6D58">
        <w:rPr>
          <w:rFonts w:ascii="Georgia" w:hAnsi="Georgia"/>
        </w:rPr>
        <w:t>gas, none of the Company’s distribution-related costs increase as customers consume more gas.  While</w:t>
      </w:r>
      <w:r w:rsidR="00F725CC" w:rsidRPr="003645FE">
        <w:rPr>
          <w:rFonts w:ascii="Georgia" w:hAnsi="Georgia"/>
        </w:rPr>
        <w:t xml:space="preserve"> this has always been the case, the volumetric distribution charge has</w:t>
      </w:r>
      <w:r w:rsidR="00973F13">
        <w:rPr>
          <w:rFonts w:ascii="Georgia" w:hAnsi="Georgia"/>
        </w:rPr>
        <w:t xml:space="preserve"> sent </w:t>
      </w:r>
      <w:r w:rsidR="00F725CC" w:rsidRPr="003645FE">
        <w:rPr>
          <w:rFonts w:ascii="Georgia" w:hAnsi="Georgia"/>
        </w:rPr>
        <w:t>mislead</w:t>
      </w:r>
      <w:r w:rsidR="00973F13">
        <w:rPr>
          <w:rFonts w:ascii="Georgia" w:hAnsi="Georgia"/>
        </w:rPr>
        <w:t>ing price signals to</w:t>
      </w:r>
      <w:r w:rsidR="00F725CC" w:rsidRPr="003645FE">
        <w:rPr>
          <w:rFonts w:ascii="Georgia" w:hAnsi="Georgia"/>
        </w:rPr>
        <w:t xml:space="preserve"> customers over the years</w:t>
      </w:r>
      <w:r w:rsidR="00973F13">
        <w:rPr>
          <w:rFonts w:ascii="Georgia" w:hAnsi="Georgia"/>
        </w:rPr>
        <w:t xml:space="preserve">.  Now, </w:t>
      </w:r>
      <w:r w:rsidR="00F725CC" w:rsidRPr="003645FE">
        <w:rPr>
          <w:rFonts w:ascii="Georgia" w:hAnsi="Georgia"/>
        </w:rPr>
        <w:t>customers believe a gas utility’s costs increase as the</w:t>
      </w:r>
      <w:r w:rsidR="00973F13">
        <w:rPr>
          <w:rFonts w:ascii="Georgia" w:hAnsi="Georgia"/>
        </w:rPr>
        <w:t>y</w:t>
      </w:r>
      <w:r w:rsidR="00F725CC" w:rsidRPr="003645FE">
        <w:rPr>
          <w:rFonts w:ascii="Georgia" w:hAnsi="Georgia"/>
        </w:rPr>
        <w:t xml:space="preserve"> </w:t>
      </w:r>
      <w:r w:rsidR="00973F13">
        <w:rPr>
          <w:rFonts w:ascii="Georgia" w:hAnsi="Georgia"/>
        </w:rPr>
        <w:t>consume</w:t>
      </w:r>
      <w:r w:rsidR="00F725CC" w:rsidRPr="003645FE">
        <w:rPr>
          <w:rFonts w:ascii="Georgia" w:hAnsi="Georgia"/>
        </w:rPr>
        <w:t xml:space="preserve"> more gas.  </w:t>
      </w:r>
      <w:r w:rsidR="00973F13">
        <w:rPr>
          <w:rFonts w:ascii="Georgia" w:hAnsi="Georgia"/>
        </w:rPr>
        <w:t>W</w:t>
      </w:r>
      <w:r w:rsidR="00F725CC">
        <w:rPr>
          <w:rFonts w:ascii="Georgia" w:hAnsi="Georgia"/>
        </w:rPr>
        <w:t xml:space="preserve">hile </w:t>
      </w:r>
      <w:r w:rsidR="00AE6F1B">
        <w:rPr>
          <w:rFonts w:ascii="Georgia" w:hAnsi="Georgia"/>
        </w:rPr>
        <w:t>some</w:t>
      </w:r>
      <w:r w:rsidR="00F725CC">
        <w:rPr>
          <w:rFonts w:ascii="Georgia" w:hAnsi="Georgia"/>
        </w:rPr>
        <w:t xml:space="preserve"> cu</w:t>
      </w:r>
      <w:r w:rsidR="00F725CC" w:rsidRPr="003645FE">
        <w:rPr>
          <w:rFonts w:ascii="Georgia" w:hAnsi="Georgia"/>
        </w:rPr>
        <w:t>stomer</w:t>
      </w:r>
      <w:r w:rsidR="00AE6F1B">
        <w:rPr>
          <w:rFonts w:ascii="Georgia" w:hAnsi="Georgia"/>
        </w:rPr>
        <w:t>s</w:t>
      </w:r>
      <w:r w:rsidR="00F725CC" w:rsidRPr="003645FE">
        <w:rPr>
          <w:rFonts w:ascii="Georgia" w:hAnsi="Georgia"/>
        </w:rPr>
        <w:t xml:space="preserve"> may not care about how a utility recovers its costs, customers</w:t>
      </w:r>
      <w:r w:rsidR="00F725CC">
        <w:rPr>
          <w:rFonts w:ascii="Georgia" w:hAnsi="Georgia"/>
        </w:rPr>
        <w:t xml:space="preserve"> </w:t>
      </w:r>
      <w:r w:rsidR="006D0993">
        <w:rPr>
          <w:rFonts w:ascii="Georgia" w:hAnsi="Georgia"/>
        </w:rPr>
        <w:t xml:space="preserve">do care that about their </w:t>
      </w:r>
      <w:r w:rsidR="00F725CC" w:rsidRPr="003645FE">
        <w:rPr>
          <w:rFonts w:ascii="Georgia" w:hAnsi="Georgia"/>
        </w:rPr>
        <w:t xml:space="preserve">bills </w:t>
      </w:r>
      <w:r w:rsidR="006D0993">
        <w:rPr>
          <w:rFonts w:ascii="Georgia" w:hAnsi="Georgia"/>
        </w:rPr>
        <w:t>being</w:t>
      </w:r>
      <w:r w:rsidR="00F725CC" w:rsidRPr="003645FE">
        <w:rPr>
          <w:rFonts w:ascii="Georgia" w:hAnsi="Georgia"/>
        </w:rPr>
        <w:t xml:space="preserve"> easy to understand.  </w:t>
      </w:r>
    </w:p>
    <w:p w14:paraId="37284D4E" w14:textId="78827DCA" w:rsidR="00613217" w:rsidRDefault="00F725CC" w:rsidP="00A23626">
      <w:pPr>
        <w:pStyle w:val="Quote"/>
        <w:spacing w:after="0" w:line="480" w:lineRule="auto"/>
        <w:ind w:left="0" w:right="0" w:firstLine="720"/>
        <w:rPr>
          <w:rFonts w:ascii="Georgia" w:hAnsi="Georgia"/>
        </w:rPr>
      </w:pPr>
      <w:r w:rsidRPr="003645FE">
        <w:rPr>
          <w:rFonts w:ascii="Georgia" w:hAnsi="Georgia"/>
        </w:rPr>
        <w:t xml:space="preserve">Moving to a structure in which virtually all of the utility’s costs are recovered through a flat monthly fee will simplify </w:t>
      </w:r>
      <w:r w:rsidR="00AE6F1B">
        <w:rPr>
          <w:rFonts w:ascii="Georgia" w:hAnsi="Georgia"/>
        </w:rPr>
        <w:t>a</w:t>
      </w:r>
      <w:r w:rsidRPr="003645FE">
        <w:rPr>
          <w:rFonts w:ascii="Georgia" w:hAnsi="Georgia"/>
        </w:rPr>
        <w:t xml:space="preserve"> bill by splitting it into two primary components:  </w:t>
      </w:r>
      <w:r w:rsidR="00C423AF">
        <w:rPr>
          <w:rFonts w:ascii="Georgia" w:hAnsi="Georgia"/>
        </w:rPr>
        <w:t>o</w:t>
      </w:r>
      <w:r w:rsidRPr="003645FE">
        <w:rPr>
          <w:rFonts w:ascii="Georgia" w:hAnsi="Georgia"/>
        </w:rPr>
        <w:t xml:space="preserve">ne to recover the </w:t>
      </w:r>
      <w:r w:rsidR="00D17593">
        <w:rPr>
          <w:rFonts w:ascii="Georgia" w:hAnsi="Georgia"/>
        </w:rPr>
        <w:t>C</w:t>
      </w:r>
      <w:r w:rsidRPr="003645FE">
        <w:rPr>
          <w:rFonts w:ascii="Georgia" w:hAnsi="Georgia"/>
        </w:rPr>
        <w:t>ompany’s costs of distribution service and the other to recover the cost of the gas consumed.</w:t>
      </w:r>
      <w:r>
        <w:rPr>
          <w:rFonts w:ascii="Georgia" w:hAnsi="Georgia"/>
        </w:rPr>
        <w:t xml:space="preserve">  </w:t>
      </w:r>
      <w:r w:rsidRPr="003645FE">
        <w:rPr>
          <w:rFonts w:ascii="Georgia" w:hAnsi="Georgia"/>
        </w:rPr>
        <w:t xml:space="preserve">With a fixed monthly charge for distribution service, customers </w:t>
      </w:r>
      <w:r w:rsidR="00C423AF">
        <w:rPr>
          <w:rFonts w:ascii="Georgia" w:hAnsi="Georgia"/>
        </w:rPr>
        <w:t>would</w:t>
      </w:r>
      <w:r w:rsidRPr="003645FE">
        <w:rPr>
          <w:rFonts w:ascii="Georgia" w:hAnsi="Georgia"/>
        </w:rPr>
        <w:t xml:space="preserve"> be given a correct price signal regarding the </w:t>
      </w:r>
      <w:r w:rsidR="00973AFB">
        <w:rPr>
          <w:rFonts w:ascii="Georgia" w:hAnsi="Georgia"/>
        </w:rPr>
        <w:t>C</w:t>
      </w:r>
      <w:r w:rsidRPr="003645FE">
        <w:rPr>
          <w:rFonts w:ascii="Georgia" w:hAnsi="Georgia"/>
        </w:rPr>
        <w:t>ompany’s cost of providing distribution service</w:t>
      </w:r>
      <w:r w:rsidR="006D0993">
        <w:rPr>
          <w:rFonts w:ascii="Georgia" w:hAnsi="Georgia"/>
        </w:rPr>
        <w:t>,</w:t>
      </w:r>
      <w:r w:rsidRPr="003645FE">
        <w:rPr>
          <w:rFonts w:ascii="Georgia" w:hAnsi="Georgia"/>
        </w:rPr>
        <w:t xml:space="preserve"> and customers </w:t>
      </w:r>
      <w:r w:rsidR="00C423AF">
        <w:rPr>
          <w:rFonts w:ascii="Georgia" w:hAnsi="Georgia"/>
        </w:rPr>
        <w:t>would</w:t>
      </w:r>
      <w:r w:rsidRPr="003645FE">
        <w:rPr>
          <w:rFonts w:ascii="Georgia" w:hAnsi="Georgia"/>
        </w:rPr>
        <w:t xml:space="preserve"> clearly see how much the gas commodity costs them each month.  </w:t>
      </w:r>
    </w:p>
    <w:p w14:paraId="5F1211E9" w14:textId="3E411BB8" w:rsidR="00F725CC" w:rsidRDefault="00F725CC" w:rsidP="00A23626">
      <w:pPr>
        <w:pStyle w:val="BodyText2"/>
        <w:rPr>
          <w:rFonts w:ascii="Georgia" w:hAnsi="Georgia"/>
        </w:rPr>
      </w:pPr>
      <w:r>
        <w:rPr>
          <w:rFonts w:ascii="Georgia" w:hAnsi="Georgia"/>
        </w:rPr>
        <w:t>A</w:t>
      </w:r>
      <w:r w:rsidRPr="003645FE">
        <w:rPr>
          <w:rFonts w:ascii="Georgia" w:hAnsi="Georgia"/>
        </w:rPr>
        <w:t xml:space="preserve"> change from usage-based to flat rate billing of distribution costs should not be viewed as confusing</w:t>
      </w:r>
      <w:r w:rsidR="00464764">
        <w:rPr>
          <w:rFonts w:ascii="Georgia" w:hAnsi="Georgia"/>
        </w:rPr>
        <w:t xml:space="preserve"> for customers</w:t>
      </w:r>
      <w:r w:rsidRPr="003645FE">
        <w:rPr>
          <w:rFonts w:ascii="Georgia" w:hAnsi="Georgia"/>
        </w:rPr>
        <w:t xml:space="preserve">.  Residential customers already are accustomed to </w:t>
      </w:r>
      <w:r w:rsidRPr="003645FE">
        <w:rPr>
          <w:rFonts w:ascii="Georgia" w:hAnsi="Georgia"/>
        </w:rPr>
        <w:lastRenderedPageBreak/>
        <w:t>paying for many basic consumer services on a fixe</w:t>
      </w:r>
      <w:r w:rsidRPr="00F725CC">
        <w:rPr>
          <w:rFonts w:ascii="Georgia" w:hAnsi="Georgia"/>
        </w:rPr>
        <w:t xml:space="preserve">d monthly basis.  These include </w:t>
      </w:r>
      <w:r>
        <w:rPr>
          <w:rFonts w:ascii="Georgia" w:hAnsi="Georgia"/>
        </w:rPr>
        <w:t>l</w:t>
      </w:r>
      <w:r w:rsidRPr="003645FE">
        <w:rPr>
          <w:rFonts w:ascii="Georgia" w:hAnsi="Georgia"/>
        </w:rPr>
        <w:t>ocal and long distance telephone service</w:t>
      </w:r>
      <w:r>
        <w:rPr>
          <w:rFonts w:ascii="Georgia" w:hAnsi="Georgia"/>
        </w:rPr>
        <w:t>, c</w:t>
      </w:r>
      <w:r w:rsidRPr="003645FE">
        <w:rPr>
          <w:rFonts w:ascii="Georgia" w:hAnsi="Georgia"/>
        </w:rPr>
        <w:t>ellular telephone service</w:t>
      </w:r>
      <w:r>
        <w:rPr>
          <w:rFonts w:ascii="Georgia" w:hAnsi="Georgia"/>
        </w:rPr>
        <w:t>, c</w:t>
      </w:r>
      <w:r w:rsidRPr="003645FE">
        <w:rPr>
          <w:rFonts w:ascii="Georgia" w:hAnsi="Georgia"/>
        </w:rPr>
        <w:t>able and satellite service</w:t>
      </w:r>
      <w:r>
        <w:rPr>
          <w:rFonts w:ascii="Georgia" w:hAnsi="Georgia"/>
        </w:rPr>
        <w:t>, i</w:t>
      </w:r>
      <w:r w:rsidRPr="003645FE">
        <w:rPr>
          <w:rFonts w:ascii="Georgia" w:hAnsi="Georgia"/>
        </w:rPr>
        <w:t>nternet access</w:t>
      </w:r>
      <w:r>
        <w:rPr>
          <w:rFonts w:ascii="Georgia" w:hAnsi="Georgia"/>
        </w:rPr>
        <w:t>, h</w:t>
      </w:r>
      <w:r w:rsidRPr="003645FE">
        <w:rPr>
          <w:rFonts w:ascii="Georgia" w:hAnsi="Georgia"/>
        </w:rPr>
        <w:t>ome security</w:t>
      </w:r>
      <w:r>
        <w:rPr>
          <w:rFonts w:ascii="Georgia" w:hAnsi="Georgia"/>
        </w:rPr>
        <w:t xml:space="preserve"> and t</w:t>
      </w:r>
      <w:r w:rsidRPr="003645FE">
        <w:rPr>
          <w:rFonts w:ascii="Georgia" w:hAnsi="Georgia"/>
        </w:rPr>
        <w:t>rash removal</w:t>
      </w:r>
      <w:r>
        <w:rPr>
          <w:rFonts w:ascii="Georgia" w:hAnsi="Georgia"/>
        </w:rPr>
        <w:t>.  Moreover,</w:t>
      </w:r>
      <w:r w:rsidRPr="003645FE">
        <w:rPr>
          <w:rFonts w:ascii="Georgia" w:hAnsi="Georgia"/>
        </w:rPr>
        <w:t xml:space="preserve"> many customers already are </w:t>
      </w:r>
      <w:r w:rsidR="00AE6F1B">
        <w:rPr>
          <w:rFonts w:ascii="Georgia" w:hAnsi="Georgia"/>
        </w:rPr>
        <w:t>familiar with</w:t>
      </w:r>
      <w:r w:rsidRPr="003645FE">
        <w:rPr>
          <w:rFonts w:ascii="Georgia" w:hAnsi="Georgia"/>
        </w:rPr>
        <w:t xml:space="preserve"> levelized monthly billing for utility services, </w:t>
      </w:r>
      <w:r w:rsidR="006D0993">
        <w:rPr>
          <w:rFonts w:ascii="Georgia" w:hAnsi="Georgia"/>
        </w:rPr>
        <w:t>as</w:t>
      </w:r>
      <w:r w:rsidR="006D0993" w:rsidRPr="003645FE">
        <w:rPr>
          <w:rFonts w:ascii="Georgia" w:hAnsi="Georgia"/>
        </w:rPr>
        <w:t xml:space="preserve"> </w:t>
      </w:r>
      <w:r w:rsidRPr="003645FE">
        <w:rPr>
          <w:rFonts w:ascii="Georgia" w:hAnsi="Georgia"/>
        </w:rPr>
        <w:t>Columbia offer</w:t>
      </w:r>
      <w:r w:rsidR="006D0993">
        <w:rPr>
          <w:rFonts w:ascii="Georgia" w:hAnsi="Georgia"/>
        </w:rPr>
        <w:t>s</w:t>
      </w:r>
      <w:r w:rsidRPr="003645FE">
        <w:rPr>
          <w:rFonts w:ascii="Georgia" w:hAnsi="Georgia"/>
        </w:rPr>
        <w:t xml:space="preserve"> budget billing </w:t>
      </w:r>
      <w:r w:rsidR="006D0993">
        <w:rPr>
          <w:rFonts w:ascii="Georgia" w:hAnsi="Georgia"/>
        </w:rPr>
        <w:t xml:space="preserve">consistent with </w:t>
      </w:r>
      <w:r w:rsidRPr="003645FE">
        <w:rPr>
          <w:rFonts w:ascii="Georgia" w:hAnsi="Georgia"/>
        </w:rPr>
        <w:t xml:space="preserve">the Commission’s regulations.  52 Pa. Code § 56.12(7).  </w:t>
      </w:r>
      <w:r w:rsidR="006D0993">
        <w:rPr>
          <w:rFonts w:ascii="Georgia" w:hAnsi="Georgia"/>
        </w:rPr>
        <w:t>Indeed, Columbia’s customers</w:t>
      </w:r>
      <w:r w:rsidR="006D0993" w:rsidRPr="003645FE">
        <w:rPr>
          <w:rFonts w:ascii="Georgia" w:hAnsi="Georgia"/>
        </w:rPr>
        <w:t xml:space="preserve"> </w:t>
      </w:r>
      <w:r w:rsidR="006D0993">
        <w:rPr>
          <w:rFonts w:ascii="Georgia" w:hAnsi="Georgia"/>
        </w:rPr>
        <w:t xml:space="preserve">are </w:t>
      </w:r>
      <w:r w:rsidRPr="003645FE">
        <w:rPr>
          <w:rFonts w:ascii="Georgia" w:hAnsi="Georgia"/>
        </w:rPr>
        <w:t>encourage</w:t>
      </w:r>
      <w:r w:rsidR="00AE6F1B">
        <w:rPr>
          <w:rFonts w:ascii="Georgia" w:hAnsi="Georgia"/>
        </w:rPr>
        <w:t>d</w:t>
      </w:r>
      <w:r w:rsidRPr="003645FE">
        <w:rPr>
          <w:rFonts w:ascii="Georgia" w:hAnsi="Georgia"/>
        </w:rPr>
        <w:t xml:space="preserve"> to consider budget billing as a way to </w:t>
      </w:r>
      <w:r w:rsidR="00AE6F1B">
        <w:rPr>
          <w:rFonts w:ascii="Georgia" w:hAnsi="Georgia"/>
        </w:rPr>
        <w:t>even</w:t>
      </w:r>
      <w:r w:rsidRPr="003645FE">
        <w:rPr>
          <w:rFonts w:ascii="Georgia" w:hAnsi="Georgia"/>
        </w:rPr>
        <w:t xml:space="preserve"> out monthly charges.  Thus, adopting a fixed charge for residential distribution services should not be considered as outside the norm</w:t>
      </w:r>
      <w:r>
        <w:rPr>
          <w:rFonts w:ascii="Georgia" w:hAnsi="Georgia"/>
        </w:rPr>
        <w:t>.</w:t>
      </w:r>
    </w:p>
    <w:p w14:paraId="17A3404C" w14:textId="59BE6493" w:rsidR="00A75292" w:rsidRPr="00BD0176" w:rsidRDefault="00A75292" w:rsidP="00075099">
      <w:pPr>
        <w:spacing w:after="0" w:line="480" w:lineRule="auto"/>
        <w:ind w:left="360" w:firstLine="360"/>
        <w:jc w:val="both"/>
        <w:rPr>
          <w:rFonts w:ascii="Georgia" w:eastAsia="Times New Roman" w:hAnsi="Georgia" w:cs="Arial"/>
          <w:b/>
          <w:sz w:val="24"/>
          <w:szCs w:val="24"/>
          <w:u w:val="single"/>
        </w:rPr>
      </w:pPr>
      <w:r>
        <w:rPr>
          <w:rFonts w:ascii="Georgia" w:eastAsia="Times New Roman" w:hAnsi="Georgia" w:cs="Arial"/>
          <w:b/>
          <w:sz w:val="24"/>
          <w:szCs w:val="24"/>
          <w:u w:val="single"/>
        </w:rPr>
        <w:t xml:space="preserve">Other </w:t>
      </w:r>
      <w:r w:rsidR="00BD0176">
        <w:rPr>
          <w:rFonts w:ascii="Georgia" w:eastAsia="Times New Roman" w:hAnsi="Georgia" w:cs="Arial"/>
          <w:b/>
          <w:sz w:val="24"/>
          <w:szCs w:val="24"/>
          <w:u w:val="single"/>
        </w:rPr>
        <w:t>Benefits</w:t>
      </w:r>
      <w:r>
        <w:rPr>
          <w:rFonts w:ascii="Georgia" w:eastAsia="Times New Roman" w:hAnsi="Georgia" w:cs="Arial"/>
          <w:b/>
          <w:sz w:val="24"/>
          <w:szCs w:val="24"/>
          <w:u w:val="single"/>
        </w:rPr>
        <w:t xml:space="preserve"> Provided by</w:t>
      </w:r>
      <w:r w:rsidR="00BD0176">
        <w:rPr>
          <w:rFonts w:ascii="Georgia" w:eastAsia="Times New Roman" w:hAnsi="Georgia" w:cs="Arial"/>
          <w:b/>
          <w:sz w:val="24"/>
          <w:szCs w:val="24"/>
          <w:u w:val="single"/>
        </w:rPr>
        <w:t xml:space="preserve"> Residential</w:t>
      </w:r>
      <w:r>
        <w:rPr>
          <w:rFonts w:ascii="Georgia" w:eastAsia="Times New Roman" w:hAnsi="Georgia" w:cs="Arial"/>
          <w:b/>
          <w:sz w:val="24"/>
          <w:szCs w:val="24"/>
          <w:u w:val="single"/>
        </w:rPr>
        <w:t xml:space="preserve"> LDC</w:t>
      </w:r>
    </w:p>
    <w:p w14:paraId="7D09578A" w14:textId="72B024A8" w:rsidR="009D3E17" w:rsidRDefault="009D3E17" w:rsidP="009D3E17">
      <w:pPr>
        <w:spacing w:after="0" w:line="480" w:lineRule="auto"/>
        <w:ind w:firstLine="720"/>
        <w:jc w:val="both"/>
        <w:rPr>
          <w:rFonts w:ascii="Georgia" w:hAnsi="Georgia"/>
          <w:sz w:val="24"/>
          <w:szCs w:val="24"/>
        </w:rPr>
      </w:pPr>
      <w:r>
        <w:rPr>
          <w:rFonts w:ascii="Georgia" w:eastAsia="Times New Roman" w:hAnsi="Georgia" w:cs="Arial"/>
          <w:sz w:val="24"/>
          <w:szCs w:val="24"/>
        </w:rPr>
        <w:t xml:space="preserve">Along with </w:t>
      </w:r>
      <w:r w:rsidR="00BD0176">
        <w:rPr>
          <w:rFonts w:ascii="Georgia" w:eastAsia="Times New Roman" w:hAnsi="Georgia" w:cs="Arial"/>
          <w:sz w:val="24"/>
          <w:szCs w:val="24"/>
        </w:rPr>
        <w:t xml:space="preserve">increasing the understandability of customers’ bills, </w:t>
      </w:r>
      <w:r w:rsidR="00237860">
        <w:rPr>
          <w:rFonts w:ascii="Georgia" w:eastAsia="Times New Roman" w:hAnsi="Georgia" w:cs="Arial"/>
          <w:sz w:val="24"/>
          <w:szCs w:val="24"/>
        </w:rPr>
        <w:t xml:space="preserve">a </w:t>
      </w:r>
      <w:r w:rsidR="00BD0176">
        <w:rPr>
          <w:rFonts w:ascii="Georgia" w:eastAsia="Times New Roman" w:hAnsi="Georgia" w:cs="Arial"/>
          <w:sz w:val="24"/>
          <w:szCs w:val="24"/>
        </w:rPr>
        <w:t>LDC provides many other benefits, including</w:t>
      </w:r>
      <w:r w:rsidR="00237860">
        <w:rPr>
          <w:rFonts w:ascii="Georgia" w:eastAsia="Times New Roman" w:hAnsi="Georgia" w:cs="Arial"/>
          <w:sz w:val="24"/>
          <w:szCs w:val="24"/>
        </w:rPr>
        <w:t>: (1)</w:t>
      </w:r>
      <w:r w:rsidR="00BD0176">
        <w:rPr>
          <w:rFonts w:ascii="Georgia" w:eastAsia="Times New Roman" w:hAnsi="Georgia" w:cs="Arial"/>
          <w:sz w:val="24"/>
          <w:szCs w:val="24"/>
        </w:rPr>
        <w:t xml:space="preserve"> low implementation costs</w:t>
      </w:r>
      <w:r w:rsidR="00237860">
        <w:rPr>
          <w:rFonts w:ascii="Georgia" w:eastAsia="Times New Roman" w:hAnsi="Georgia" w:cs="Arial"/>
          <w:sz w:val="24"/>
          <w:szCs w:val="24"/>
        </w:rPr>
        <w:t>; (2)</w:t>
      </w:r>
      <w:r w:rsidR="00BD0176">
        <w:rPr>
          <w:rFonts w:ascii="Georgia" w:eastAsia="Times New Roman" w:hAnsi="Georgia" w:cs="Arial"/>
          <w:sz w:val="24"/>
          <w:szCs w:val="24"/>
        </w:rPr>
        <w:t xml:space="preserve"> no need for </w:t>
      </w:r>
      <w:r w:rsidR="00AB1C72">
        <w:rPr>
          <w:rFonts w:ascii="Georgia" w:eastAsia="Times New Roman" w:hAnsi="Georgia" w:cs="Arial"/>
          <w:sz w:val="24"/>
          <w:szCs w:val="24"/>
        </w:rPr>
        <w:t xml:space="preserve">rate </w:t>
      </w:r>
      <w:r w:rsidR="00BD0176">
        <w:rPr>
          <w:rFonts w:ascii="Georgia" w:eastAsia="Times New Roman" w:hAnsi="Georgia" w:cs="Arial"/>
          <w:sz w:val="24"/>
          <w:szCs w:val="24"/>
        </w:rPr>
        <w:t xml:space="preserve">adjustments </w:t>
      </w:r>
      <w:r w:rsidR="00237860">
        <w:rPr>
          <w:rFonts w:ascii="Georgia" w:eastAsia="Times New Roman" w:hAnsi="Georgia" w:cs="Arial"/>
          <w:sz w:val="24"/>
          <w:szCs w:val="24"/>
        </w:rPr>
        <w:t xml:space="preserve">or </w:t>
      </w:r>
      <w:r w:rsidR="00BD0176">
        <w:rPr>
          <w:rFonts w:ascii="Georgia" w:eastAsia="Times New Roman" w:hAnsi="Georgia" w:cs="Arial"/>
          <w:sz w:val="24"/>
          <w:szCs w:val="24"/>
        </w:rPr>
        <w:t>caps</w:t>
      </w:r>
      <w:r w:rsidR="00237860">
        <w:rPr>
          <w:rFonts w:ascii="Georgia" w:eastAsia="Times New Roman" w:hAnsi="Georgia" w:cs="Arial"/>
          <w:sz w:val="24"/>
          <w:szCs w:val="24"/>
        </w:rPr>
        <w:t>; (3)</w:t>
      </w:r>
      <w:r w:rsidR="00EA7325">
        <w:rPr>
          <w:rFonts w:ascii="Georgia" w:eastAsia="Times New Roman" w:hAnsi="Georgia" w:cs="Arial"/>
          <w:sz w:val="24"/>
          <w:szCs w:val="24"/>
        </w:rPr>
        <w:t xml:space="preserve"> consistent treatment of existing and new customers</w:t>
      </w:r>
      <w:r w:rsidR="004A1221">
        <w:rPr>
          <w:rFonts w:ascii="Georgia" w:eastAsia="Times New Roman" w:hAnsi="Georgia" w:cs="Arial"/>
          <w:sz w:val="24"/>
          <w:szCs w:val="24"/>
        </w:rPr>
        <w:t>;</w:t>
      </w:r>
      <w:r w:rsidR="00EA7325">
        <w:rPr>
          <w:rFonts w:ascii="Georgia" w:eastAsia="Times New Roman" w:hAnsi="Georgia" w:cs="Arial"/>
          <w:sz w:val="24"/>
          <w:szCs w:val="24"/>
        </w:rPr>
        <w:t xml:space="preserve"> and </w:t>
      </w:r>
      <w:r w:rsidR="00237860">
        <w:rPr>
          <w:rFonts w:ascii="Georgia" w:eastAsia="Times New Roman" w:hAnsi="Georgia" w:cs="Arial"/>
          <w:sz w:val="24"/>
          <w:szCs w:val="24"/>
        </w:rPr>
        <w:t xml:space="preserve">(4) </w:t>
      </w:r>
      <w:r w:rsidR="00EA7325">
        <w:rPr>
          <w:rFonts w:ascii="Georgia" w:eastAsia="Times New Roman" w:hAnsi="Georgia" w:cs="Arial"/>
          <w:sz w:val="24"/>
          <w:szCs w:val="24"/>
        </w:rPr>
        <w:t xml:space="preserve">no </w:t>
      </w:r>
      <w:r w:rsidR="00AB1C72">
        <w:rPr>
          <w:rFonts w:ascii="Georgia" w:eastAsia="Times New Roman" w:hAnsi="Georgia" w:cs="Arial"/>
          <w:sz w:val="24"/>
          <w:szCs w:val="24"/>
        </w:rPr>
        <w:t>requirement</w:t>
      </w:r>
      <w:r w:rsidR="00EA7325">
        <w:rPr>
          <w:rFonts w:ascii="Georgia" w:eastAsia="Times New Roman" w:hAnsi="Georgia" w:cs="Arial"/>
          <w:sz w:val="24"/>
          <w:szCs w:val="24"/>
        </w:rPr>
        <w:t xml:space="preserve"> to have periodic proceeding</w:t>
      </w:r>
      <w:r w:rsidR="00AB1C72">
        <w:rPr>
          <w:rFonts w:ascii="Georgia" w:eastAsia="Times New Roman" w:hAnsi="Georgia" w:cs="Arial"/>
          <w:sz w:val="24"/>
          <w:szCs w:val="24"/>
        </w:rPr>
        <w:t>s</w:t>
      </w:r>
      <w:r w:rsidR="00EA7325">
        <w:rPr>
          <w:rFonts w:ascii="Georgia" w:eastAsia="Times New Roman" w:hAnsi="Georgia" w:cs="Arial"/>
          <w:sz w:val="24"/>
          <w:szCs w:val="24"/>
        </w:rPr>
        <w:t xml:space="preserve"> to “re-link” revenue with other rate making inputs.</w:t>
      </w:r>
      <w:r w:rsidRPr="009D3E17">
        <w:rPr>
          <w:rFonts w:ascii="Georgia" w:hAnsi="Georgia"/>
          <w:sz w:val="24"/>
          <w:szCs w:val="24"/>
        </w:rPr>
        <w:t xml:space="preserve"> </w:t>
      </w:r>
      <w:r w:rsidR="007B6EA7">
        <w:rPr>
          <w:rFonts w:ascii="Georgia" w:hAnsi="Georgia"/>
          <w:sz w:val="24"/>
          <w:szCs w:val="24"/>
        </w:rPr>
        <w:t xml:space="preserve"> </w:t>
      </w:r>
      <w:r>
        <w:rPr>
          <w:rFonts w:ascii="Georgia" w:hAnsi="Georgia"/>
          <w:sz w:val="24"/>
          <w:szCs w:val="24"/>
        </w:rPr>
        <w:t>Additionally, b</w:t>
      </w:r>
      <w:r w:rsidRPr="009D3E17">
        <w:rPr>
          <w:rFonts w:ascii="Georgia" w:hAnsi="Georgia"/>
          <w:sz w:val="24"/>
          <w:szCs w:val="24"/>
        </w:rPr>
        <w:t xml:space="preserve">y using a customer-based fixed charge to align rates with the cost </w:t>
      </w:r>
      <w:r>
        <w:rPr>
          <w:rFonts w:ascii="Georgia" w:hAnsi="Georgia"/>
          <w:sz w:val="24"/>
          <w:szCs w:val="24"/>
        </w:rPr>
        <w:t>of</w:t>
      </w:r>
      <w:r w:rsidRPr="009D3E17">
        <w:rPr>
          <w:rFonts w:ascii="Georgia" w:hAnsi="Georgia"/>
          <w:sz w:val="24"/>
          <w:szCs w:val="24"/>
        </w:rPr>
        <w:t xml:space="preserve"> serv</w:t>
      </w:r>
      <w:r>
        <w:rPr>
          <w:rFonts w:ascii="Georgia" w:hAnsi="Georgia"/>
          <w:sz w:val="24"/>
          <w:szCs w:val="24"/>
        </w:rPr>
        <w:t>ice</w:t>
      </w:r>
      <w:r w:rsidRPr="009D3E17">
        <w:rPr>
          <w:rFonts w:ascii="Georgia" w:hAnsi="Georgia"/>
          <w:sz w:val="24"/>
          <w:szCs w:val="24"/>
        </w:rPr>
        <w:t>, rate cases w</w:t>
      </w:r>
      <w:r>
        <w:rPr>
          <w:rFonts w:ascii="Georgia" w:hAnsi="Georgia"/>
          <w:sz w:val="24"/>
          <w:szCs w:val="24"/>
        </w:rPr>
        <w:t>ould</w:t>
      </w:r>
      <w:r w:rsidRPr="009D3E17">
        <w:rPr>
          <w:rFonts w:ascii="Georgia" w:hAnsi="Georgia"/>
          <w:sz w:val="24"/>
          <w:szCs w:val="24"/>
        </w:rPr>
        <w:t xml:space="preserve"> be simplified as issues such as weather normalization and volume forecasting </w:t>
      </w:r>
      <w:r w:rsidR="007B6EA7">
        <w:rPr>
          <w:rFonts w:ascii="Georgia" w:hAnsi="Georgia"/>
          <w:sz w:val="24"/>
          <w:szCs w:val="24"/>
        </w:rPr>
        <w:t>would be</w:t>
      </w:r>
      <w:r w:rsidRPr="009D3E17">
        <w:rPr>
          <w:rFonts w:ascii="Georgia" w:hAnsi="Georgia"/>
          <w:sz w:val="24"/>
          <w:szCs w:val="24"/>
        </w:rPr>
        <w:t xml:space="preserve"> eliminated for the residential class.  </w:t>
      </w:r>
    </w:p>
    <w:p w14:paraId="4625460E" w14:textId="6026BA7F" w:rsidR="00237860" w:rsidRPr="004A5145" w:rsidRDefault="00237860" w:rsidP="004A5145">
      <w:pPr>
        <w:pStyle w:val="ListParagraph"/>
        <w:numPr>
          <w:ilvl w:val="0"/>
          <w:numId w:val="19"/>
        </w:numPr>
        <w:spacing w:after="0" w:line="480" w:lineRule="auto"/>
        <w:jc w:val="both"/>
        <w:rPr>
          <w:rFonts w:ascii="Georgia" w:eastAsia="Times New Roman" w:hAnsi="Georgia" w:cs="Arial"/>
          <w:sz w:val="24"/>
          <w:szCs w:val="24"/>
          <w:u w:val="single"/>
        </w:rPr>
      </w:pPr>
      <w:r w:rsidRPr="004A5145">
        <w:rPr>
          <w:rFonts w:ascii="Georgia" w:eastAsia="Times New Roman" w:hAnsi="Georgia" w:cs="Arial"/>
          <w:sz w:val="24"/>
          <w:szCs w:val="24"/>
          <w:u w:val="single"/>
        </w:rPr>
        <w:t>Low Implementation Costs</w:t>
      </w:r>
    </w:p>
    <w:p w14:paraId="53EF4FD9" w14:textId="6A7B39D0" w:rsidR="00BD0176" w:rsidRDefault="00BD0176" w:rsidP="00BD0176">
      <w:pPr>
        <w:spacing w:after="0" w:line="480" w:lineRule="auto"/>
        <w:ind w:firstLine="720"/>
        <w:jc w:val="both"/>
        <w:rPr>
          <w:rFonts w:ascii="Georgia" w:eastAsia="Times New Roman" w:hAnsi="Georgia" w:cs="Arial"/>
          <w:sz w:val="24"/>
          <w:szCs w:val="24"/>
        </w:rPr>
      </w:pPr>
      <w:r>
        <w:rPr>
          <w:rFonts w:ascii="Georgia" w:eastAsia="Times New Roman" w:hAnsi="Georgia" w:cs="Arial"/>
          <w:sz w:val="24"/>
          <w:szCs w:val="24"/>
        </w:rPr>
        <w:t xml:space="preserve">The Information Technology (“IT”) costs associated with implementing a residential LDC </w:t>
      </w:r>
      <w:r w:rsidR="007B6EA7">
        <w:rPr>
          <w:rFonts w:ascii="Georgia" w:eastAsia="Times New Roman" w:hAnsi="Georgia" w:cs="Arial"/>
          <w:sz w:val="24"/>
          <w:szCs w:val="24"/>
        </w:rPr>
        <w:t>would be</w:t>
      </w:r>
      <w:r>
        <w:rPr>
          <w:rFonts w:ascii="Georgia" w:eastAsia="Times New Roman" w:hAnsi="Georgia" w:cs="Arial"/>
          <w:sz w:val="24"/>
          <w:szCs w:val="24"/>
        </w:rPr>
        <w:t xml:space="preserve"> minimal, since residential customers would be billed only a fixed fee for distribution service.  Columbia already bills a fixed monthly customer charge.   Residential customers’ bills would be revised and would no longer display a volumetric component for distribution service.   After </w:t>
      </w:r>
      <w:r w:rsidR="00B11D2D">
        <w:rPr>
          <w:rFonts w:ascii="Georgia" w:eastAsia="Times New Roman" w:hAnsi="Georgia" w:cs="Arial"/>
          <w:sz w:val="24"/>
          <w:szCs w:val="24"/>
        </w:rPr>
        <w:t>an</w:t>
      </w:r>
      <w:r>
        <w:rPr>
          <w:rFonts w:ascii="Georgia" w:eastAsia="Times New Roman" w:hAnsi="Georgia" w:cs="Arial"/>
          <w:sz w:val="24"/>
          <w:szCs w:val="24"/>
        </w:rPr>
        <w:t xml:space="preserve"> initial one-time billing change, ongoing IT costs </w:t>
      </w:r>
      <w:r w:rsidR="00237860">
        <w:rPr>
          <w:rFonts w:ascii="Georgia" w:eastAsia="Times New Roman" w:hAnsi="Georgia" w:cs="Arial"/>
          <w:sz w:val="24"/>
          <w:szCs w:val="24"/>
        </w:rPr>
        <w:t>would likely be</w:t>
      </w:r>
      <w:r>
        <w:rPr>
          <w:rFonts w:ascii="Georgia" w:eastAsia="Times New Roman" w:hAnsi="Georgia" w:cs="Arial"/>
          <w:sz w:val="24"/>
          <w:szCs w:val="24"/>
        </w:rPr>
        <w:t xml:space="preserve"> comparable to the costs that the Company incurs to </w:t>
      </w:r>
      <w:r>
        <w:rPr>
          <w:rFonts w:ascii="Georgia" w:eastAsia="Times New Roman" w:hAnsi="Georgia" w:cs="Arial"/>
          <w:sz w:val="24"/>
          <w:szCs w:val="24"/>
        </w:rPr>
        <w:lastRenderedPageBreak/>
        <w:t xml:space="preserve">issue bills under the current rate structure.  The benefits of </w:t>
      </w:r>
      <w:r w:rsidR="00CC5C6E">
        <w:rPr>
          <w:rFonts w:ascii="Georgia" w:eastAsia="Times New Roman" w:hAnsi="Georgia" w:cs="Arial"/>
          <w:sz w:val="24"/>
          <w:szCs w:val="24"/>
        </w:rPr>
        <w:t>a residential</w:t>
      </w:r>
      <w:r>
        <w:rPr>
          <w:rFonts w:ascii="Georgia" w:eastAsia="Times New Roman" w:hAnsi="Georgia" w:cs="Arial"/>
          <w:sz w:val="24"/>
          <w:szCs w:val="24"/>
        </w:rPr>
        <w:t xml:space="preserve"> LDC would outweigh the</w:t>
      </w:r>
      <w:r w:rsidR="00B11D2D">
        <w:rPr>
          <w:rFonts w:ascii="Georgia" w:eastAsia="Times New Roman" w:hAnsi="Georgia" w:cs="Arial"/>
          <w:sz w:val="24"/>
          <w:szCs w:val="24"/>
        </w:rPr>
        <w:t xml:space="preserve"> related IT</w:t>
      </w:r>
      <w:r>
        <w:rPr>
          <w:rFonts w:ascii="Georgia" w:eastAsia="Times New Roman" w:hAnsi="Georgia" w:cs="Arial"/>
          <w:sz w:val="24"/>
          <w:szCs w:val="24"/>
        </w:rPr>
        <w:t xml:space="preserve"> costs.</w:t>
      </w:r>
    </w:p>
    <w:p w14:paraId="3BCDC528" w14:textId="029E2B62" w:rsidR="00BD0176" w:rsidRPr="00BD0176" w:rsidRDefault="00BD0176" w:rsidP="00BD0176">
      <w:pPr>
        <w:spacing w:after="0" w:line="480" w:lineRule="auto"/>
        <w:ind w:firstLine="720"/>
        <w:jc w:val="both"/>
        <w:rPr>
          <w:rFonts w:ascii="Georgia" w:eastAsia="Times New Roman" w:hAnsi="Georgia" w:cs="Arial"/>
          <w:sz w:val="24"/>
          <w:szCs w:val="24"/>
        </w:rPr>
      </w:pPr>
      <w:r>
        <w:rPr>
          <w:rFonts w:ascii="Georgia" w:eastAsia="Times New Roman" w:hAnsi="Georgia" w:cs="Arial"/>
          <w:sz w:val="24"/>
          <w:szCs w:val="24"/>
        </w:rPr>
        <w:t xml:space="preserve">Implementing other alternative rate mechanisms, such as </w:t>
      </w:r>
      <w:r w:rsidR="00B11D2D">
        <w:rPr>
          <w:rFonts w:ascii="Georgia" w:eastAsia="Times New Roman" w:hAnsi="Georgia" w:cs="Arial"/>
          <w:sz w:val="24"/>
          <w:szCs w:val="24"/>
        </w:rPr>
        <w:t>R</w:t>
      </w:r>
      <w:r>
        <w:rPr>
          <w:rFonts w:ascii="Georgia" w:eastAsia="Times New Roman" w:hAnsi="Georgia" w:cs="Arial"/>
          <w:sz w:val="24"/>
          <w:szCs w:val="24"/>
        </w:rPr>
        <w:t>NA would cause the Company to incur ongoing implementation costs associated with addition</w:t>
      </w:r>
      <w:r w:rsidR="00B11D2D">
        <w:rPr>
          <w:rFonts w:ascii="Georgia" w:eastAsia="Times New Roman" w:hAnsi="Georgia" w:cs="Arial"/>
          <w:sz w:val="24"/>
          <w:szCs w:val="24"/>
        </w:rPr>
        <w:t>al</w:t>
      </w:r>
      <w:r>
        <w:rPr>
          <w:rFonts w:ascii="Georgia" w:eastAsia="Times New Roman" w:hAnsi="Georgia" w:cs="Arial"/>
          <w:sz w:val="24"/>
          <w:szCs w:val="24"/>
        </w:rPr>
        <w:t xml:space="preserve"> filings, IT programming changes and possibly other items</w:t>
      </w:r>
      <w:r w:rsidR="00B11D2D">
        <w:rPr>
          <w:rFonts w:ascii="Georgia" w:eastAsia="Times New Roman" w:hAnsi="Georgia" w:cs="Arial"/>
          <w:sz w:val="24"/>
          <w:szCs w:val="24"/>
        </w:rPr>
        <w:t>, such as reporting</w:t>
      </w:r>
      <w:r>
        <w:rPr>
          <w:rFonts w:ascii="Georgia" w:eastAsia="Times New Roman" w:hAnsi="Georgia" w:cs="Arial"/>
          <w:sz w:val="24"/>
          <w:szCs w:val="24"/>
        </w:rPr>
        <w:t xml:space="preserve">.  Of course, implementing any new rate mechanism would cause the Company to incur costs to educate call center employees and customers.  </w:t>
      </w:r>
    </w:p>
    <w:p w14:paraId="4E0E74D5" w14:textId="0BF8F109" w:rsidR="00237860" w:rsidRPr="004A5145" w:rsidRDefault="00237860" w:rsidP="004A5145">
      <w:pPr>
        <w:pStyle w:val="ListParagraph"/>
        <w:numPr>
          <w:ilvl w:val="0"/>
          <w:numId w:val="19"/>
        </w:numPr>
        <w:spacing w:after="0" w:line="480" w:lineRule="auto"/>
        <w:jc w:val="both"/>
        <w:rPr>
          <w:rFonts w:ascii="Georgia" w:eastAsia="Times New Roman" w:hAnsi="Georgia" w:cs="Arial"/>
          <w:sz w:val="24"/>
          <w:szCs w:val="24"/>
        </w:rPr>
      </w:pPr>
      <w:r>
        <w:rPr>
          <w:rFonts w:ascii="Georgia" w:eastAsia="Times New Roman" w:hAnsi="Georgia" w:cs="Arial"/>
          <w:sz w:val="24"/>
          <w:szCs w:val="24"/>
          <w:u w:val="single"/>
        </w:rPr>
        <w:t>Adjustments and Caps Not Required</w:t>
      </w:r>
    </w:p>
    <w:p w14:paraId="0185F020" w14:textId="3748B223" w:rsidR="00BD0176" w:rsidRDefault="00BD0176" w:rsidP="00BD0176">
      <w:pPr>
        <w:spacing w:after="0" w:line="480" w:lineRule="auto"/>
        <w:ind w:firstLine="720"/>
        <w:jc w:val="both"/>
        <w:rPr>
          <w:rFonts w:ascii="Georgia" w:eastAsia="Times New Roman" w:hAnsi="Georgia" w:cs="Arial"/>
          <w:sz w:val="24"/>
          <w:szCs w:val="24"/>
        </w:rPr>
      </w:pPr>
      <w:r>
        <w:rPr>
          <w:rFonts w:ascii="Georgia" w:eastAsia="Times New Roman" w:hAnsi="Georgia" w:cs="Arial"/>
          <w:sz w:val="24"/>
          <w:szCs w:val="24"/>
        </w:rPr>
        <w:t xml:space="preserve">A residential LDC mechanism would not include any adjustments, so a cap would not be </w:t>
      </w:r>
      <w:r w:rsidR="00237860">
        <w:rPr>
          <w:rFonts w:ascii="Georgia" w:eastAsia="Times New Roman" w:hAnsi="Georgia" w:cs="Arial"/>
          <w:sz w:val="24"/>
          <w:szCs w:val="24"/>
        </w:rPr>
        <w:t>necessary</w:t>
      </w:r>
      <w:r>
        <w:rPr>
          <w:rFonts w:ascii="Georgia" w:eastAsia="Times New Roman" w:hAnsi="Georgia" w:cs="Arial"/>
          <w:sz w:val="24"/>
          <w:szCs w:val="24"/>
        </w:rPr>
        <w:t>.  C</w:t>
      </w:r>
      <w:r w:rsidR="00B11D2D">
        <w:rPr>
          <w:rFonts w:ascii="Georgia" w:eastAsia="Times New Roman" w:hAnsi="Georgia" w:cs="Arial"/>
          <w:sz w:val="24"/>
          <w:szCs w:val="24"/>
        </w:rPr>
        <w:t>olumbia’s c</w:t>
      </w:r>
      <w:r>
        <w:rPr>
          <w:rFonts w:ascii="Georgia" w:eastAsia="Times New Roman" w:hAnsi="Georgia" w:cs="Arial"/>
          <w:sz w:val="24"/>
          <w:szCs w:val="24"/>
        </w:rPr>
        <w:t>ustomers would pay the same distribution charge each month, along with gas cost rates and Rider USP.  On the other hand</w:t>
      </w:r>
      <w:r w:rsidRPr="00B11D2D">
        <w:rPr>
          <w:rFonts w:ascii="Georgia" w:eastAsia="Times New Roman" w:hAnsi="Georgia" w:cs="Arial"/>
          <w:sz w:val="24"/>
          <w:szCs w:val="24"/>
        </w:rPr>
        <w:t>, WNA and</w:t>
      </w:r>
      <w:r w:rsidR="00B11D2D" w:rsidRPr="00B11D2D">
        <w:rPr>
          <w:rFonts w:ascii="Georgia" w:eastAsia="Times New Roman" w:hAnsi="Georgia" w:cs="Arial"/>
          <w:sz w:val="24"/>
          <w:szCs w:val="24"/>
        </w:rPr>
        <w:t xml:space="preserve"> RNA </w:t>
      </w:r>
      <w:r w:rsidR="00B11D2D">
        <w:rPr>
          <w:rFonts w:ascii="Georgia" w:eastAsia="Times New Roman" w:hAnsi="Georgia" w:cs="Arial"/>
          <w:sz w:val="24"/>
          <w:szCs w:val="24"/>
        </w:rPr>
        <w:t>include adjustments based on weather or benchmark revenues.  While these rate mechanisms may be beneficial for both customers and the Company, they are more complex to implement and maintain.</w:t>
      </w:r>
    </w:p>
    <w:p w14:paraId="67BFB700" w14:textId="37105370" w:rsidR="00237860" w:rsidRPr="004A5145" w:rsidRDefault="00237860" w:rsidP="004A5145">
      <w:pPr>
        <w:pStyle w:val="ListParagraph"/>
        <w:numPr>
          <w:ilvl w:val="0"/>
          <w:numId w:val="19"/>
        </w:numPr>
        <w:spacing w:after="0" w:line="480" w:lineRule="auto"/>
        <w:jc w:val="both"/>
        <w:rPr>
          <w:rFonts w:ascii="Georgia" w:eastAsia="Times New Roman" w:hAnsi="Georgia" w:cs="Arial"/>
          <w:sz w:val="24"/>
          <w:szCs w:val="24"/>
        </w:rPr>
      </w:pPr>
      <w:r>
        <w:rPr>
          <w:rFonts w:ascii="Georgia" w:eastAsia="Times New Roman" w:hAnsi="Georgia" w:cs="Arial"/>
          <w:sz w:val="24"/>
          <w:szCs w:val="24"/>
          <w:u w:val="single"/>
        </w:rPr>
        <w:t>Consistent Treatment of New and Existing Customers</w:t>
      </w:r>
    </w:p>
    <w:p w14:paraId="085DCB2E" w14:textId="5C8328CD" w:rsidR="00237860" w:rsidRDefault="00BD0176" w:rsidP="00BD0176">
      <w:pPr>
        <w:spacing w:after="0" w:line="480" w:lineRule="auto"/>
        <w:ind w:firstLine="720"/>
        <w:jc w:val="both"/>
        <w:rPr>
          <w:rFonts w:ascii="Georgia" w:eastAsia="Times New Roman" w:hAnsi="Georgia" w:cs="Arial"/>
          <w:sz w:val="24"/>
          <w:szCs w:val="24"/>
        </w:rPr>
      </w:pPr>
      <w:r>
        <w:rPr>
          <w:rFonts w:ascii="Georgia" w:eastAsia="Times New Roman" w:hAnsi="Georgia" w:cs="Arial"/>
          <w:sz w:val="24"/>
          <w:szCs w:val="24"/>
        </w:rPr>
        <w:t>A residential LDC would not have a disparate impact on new customers versus existing customers</w:t>
      </w:r>
      <w:r w:rsidR="00237860">
        <w:rPr>
          <w:rFonts w:ascii="Georgia" w:eastAsia="Times New Roman" w:hAnsi="Georgia" w:cs="Arial"/>
          <w:sz w:val="24"/>
          <w:szCs w:val="24"/>
        </w:rPr>
        <w:t xml:space="preserve">.  As detailed above, </w:t>
      </w:r>
      <w:r w:rsidR="004A1221">
        <w:rPr>
          <w:rFonts w:ascii="Georgia" w:eastAsia="Times New Roman" w:hAnsi="Georgia" w:cs="Arial"/>
          <w:sz w:val="24"/>
          <w:szCs w:val="24"/>
        </w:rPr>
        <w:t>the</w:t>
      </w:r>
      <w:r w:rsidR="00237860">
        <w:rPr>
          <w:rFonts w:ascii="Georgia" w:eastAsia="Times New Roman" w:hAnsi="Georgia" w:cs="Arial"/>
          <w:sz w:val="24"/>
          <w:szCs w:val="24"/>
        </w:rPr>
        <w:t xml:space="preserve"> LDC results in the setting of a flat monthly charge to recover a utility’s fixed costs to provide </w:t>
      </w:r>
      <w:r w:rsidR="004A1221">
        <w:rPr>
          <w:rFonts w:ascii="Georgia" w:eastAsia="Times New Roman" w:hAnsi="Georgia" w:cs="Arial"/>
          <w:sz w:val="24"/>
          <w:szCs w:val="24"/>
        </w:rPr>
        <w:t>distribution</w:t>
      </w:r>
      <w:r w:rsidR="00237860">
        <w:rPr>
          <w:rFonts w:ascii="Georgia" w:eastAsia="Times New Roman" w:hAnsi="Georgia" w:cs="Arial"/>
          <w:sz w:val="24"/>
          <w:szCs w:val="24"/>
        </w:rPr>
        <w:t xml:space="preserve"> service.  This results in limiting variable costs to the </w:t>
      </w:r>
      <w:r w:rsidR="004A1221">
        <w:rPr>
          <w:rFonts w:ascii="Georgia" w:eastAsia="Times New Roman" w:hAnsi="Georgia" w:cs="Arial"/>
          <w:sz w:val="24"/>
          <w:szCs w:val="24"/>
        </w:rPr>
        <w:t xml:space="preserve">gas </w:t>
      </w:r>
      <w:r w:rsidR="00237860">
        <w:rPr>
          <w:rFonts w:ascii="Georgia" w:eastAsia="Times New Roman" w:hAnsi="Georgia" w:cs="Arial"/>
          <w:sz w:val="24"/>
          <w:szCs w:val="24"/>
        </w:rPr>
        <w:t xml:space="preserve">commodity and other limited variable charges.  Therefore, </w:t>
      </w:r>
      <w:r>
        <w:rPr>
          <w:rFonts w:ascii="Georgia" w:eastAsia="Times New Roman" w:hAnsi="Georgia" w:cs="Arial"/>
          <w:sz w:val="24"/>
          <w:szCs w:val="24"/>
        </w:rPr>
        <w:t>all non-CAP residential customers</w:t>
      </w:r>
      <w:r w:rsidR="00237860">
        <w:rPr>
          <w:rFonts w:ascii="Georgia" w:eastAsia="Times New Roman" w:hAnsi="Georgia" w:cs="Arial"/>
          <w:sz w:val="24"/>
          <w:szCs w:val="24"/>
        </w:rPr>
        <w:t>, regardless of the time when they came onto the utility’s system,</w:t>
      </w:r>
      <w:r>
        <w:rPr>
          <w:rFonts w:ascii="Georgia" w:eastAsia="Times New Roman" w:hAnsi="Georgia" w:cs="Arial"/>
          <w:sz w:val="24"/>
          <w:szCs w:val="24"/>
        </w:rPr>
        <w:t xml:space="preserve"> would pay the same fixed distribution charge.</w:t>
      </w:r>
      <w:r w:rsidR="0027691A">
        <w:rPr>
          <w:rFonts w:ascii="Georgia" w:eastAsia="Times New Roman" w:hAnsi="Georgia" w:cs="Arial"/>
          <w:sz w:val="24"/>
          <w:szCs w:val="24"/>
        </w:rPr>
        <w:t xml:space="preserve"> </w:t>
      </w:r>
      <w:r>
        <w:rPr>
          <w:rFonts w:ascii="Georgia" w:eastAsia="Times New Roman" w:hAnsi="Georgia" w:cs="Arial"/>
          <w:sz w:val="24"/>
          <w:szCs w:val="24"/>
        </w:rPr>
        <w:t xml:space="preserve"> </w:t>
      </w:r>
    </w:p>
    <w:p w14:paraId="1E068C78" w14:textId="215E0140" w:rsidR="00237860" w:rsidRPr="004A5145" w:rsidRDefault="00237860" w:rsidP="004A5145">
      <w:pPr>
        <w:pStyle w:val="ListParagraph"/>
        <w:numPr>
          <w:ilvl w:val="0"/>
          <w:numId w:val="19"/>
        </w:numPr>
        <w:spacing w:after="0" w:line="480" w:lineRule="auto"/>
        <w:jc w:val="both"/>
        <w:rPr>
          <w:rFonts w:ascii="Georgia" w:eastAsia="Times New Roman" w:hAnsi="Georgia" w:cs="Arial"/>
          <w:sz w:val="24"/>
          <w:szCs w:val="24"/>
        </w:rPr>
      </w:pPr>
      <w:r>
        <w:rPr>
          <w:rFonts w:ascii="Georgia" w:eastAsia="Times New Roman" w:hAnsi="Georgia" w:cs="Arial"/>
          <w:sz w:val="24"/>
          <w:szCs w:val="24"/>
          <w:u w:val="single"/>
        </w:rPr>
        <w:t>No Need to Re-link Revenue</w:t>
      </w:r>
    </w:p>
    <w:p w14:paraId="44BB3DBF" w14:textId="224D1DCF" w:rsidR="00BD0176" w:rsidRDefault="0027691A" w:rsidP="00BD0176">
      <w:pPr>
        <w:spacing w:after="0" w:line="480" w:lineRule="auto"/>
        <w:ind w:firstLine="720"/>
        <w:jc w:val="both"/>
        <w:rPr>
          <w:rFonts w:ascii="Georgia" w:eastAsia="Times New Roman" w:hAnsi="Georgia" w:cs="Arial"/>
          <w:sz w:val="24"/>
          <w:szCs w:val="24"/>
        </w:rPr>
      </w:pPr>
      <w:r>
        <w:rPr>
          <w:rFonts w:ascii="Georgia" w:eastAsia="Times New Roman" w:hAnsi="Georgia" w:cs="Arial"/>
          <w:sz w:val="24"/>
          <w:szCs w:val="24"/>
        </w:rPr>
        <w:t>R</w:t>
      </w:r>
      <w:r w:rsidR="00BD0176">
        <w:rPr>
          <w:rFonts w:ascii="Georgia" w:eastAsia="Times New Roman" w:hAnsi="Georgia" w:cs="Arial"/>
          <w:sz w:val="24"/>
          <w:szCs w:val="24"/>
        </w:rPr>
        <w:t>ate proceeding</w:t>
      </w:r>
      <w:r>
        <w:rPr>
          <w:rFonts w:ascii="Georgia" w:eastAsia="Times New Roman" w:hAnsi="Georgia" w:cs="Arial"/>
          <w:sz w:val="24"/>
          <w:szCs w:val="24"/>
        </w:rPr>
        <w:t>s</w:t>
      </w:r>
      <w:r w:rsidR="00BD0176">
        <w:rPr>
          <w:rFonts w:ascii="Georgia" w:eastAsia="Times New Roman" w:hAnsi="Georgia" w:cs="Arial"/>
          <w:sz w:val="24"/>
          <w:szCs w:val="24"/>
        </w:rPr>
        <w:t xml:space="preserve"> to “re-link” revenue with other ratemaking inputs would not be necessary with a residential LDC.  </w:t>
      </w:r>
      <w:r w:rsidR="00237860">
        <w:rPr>
          <w:rFonts w:ascii="Georgia" w:eastAsia="Times New Roman" w:hAnsi="Georgia" w:cs="Arial"/>
          <w:sz w:val="24"/>
          <w:szCs w:val="24"/>
        </w:rPr>
        <w:t xml:space="preserve">Columbia’s affiliate, Columbia Gas of Ohio, Inc. </w:t>
      </w:r>
      <w:r w:rsidR="00237860">
        <w:rPr>
          <w:rFonts w:ascii="Georgia" w:eastAsia="Times New Roman" w:hAnsi="Georgia" w:cs="Arial"/>
          <w:sz w:val="24"/>
          <w:szCs w:val="24"/>
        </w:rPr>
        <w:lastRenderedPageBreak/>
        <w:t>(“</w:t>
      </w:r>
      <w:r w:rsidR="00BD0176">
        <w:rPr>
          <w:rFonts w:ascii="Georgia" w:eastAsia="Times New Roman" w:hAnsi="Georgia" w:cs="Arial"/>
          <w:sz w:val="24"/>
          <w:szCs w:val="24"/>
        </w:rPr>
        <w:t>COH</w:t>
      </w:r>
      <w:r w:rsidR="00237860">
        <w:rPr>
          <w:rFonts w:ascii="Georgia" w:eastAsia="Times New Roman" w:hAnsi="Georgia" w:cs="Arial"/>
          <w:sz w:val="24"/>
          <w:szCs w:val="24"/>
        </w:rPr>
        <w:t>”)</w:t>
      </w:r>
      <w:r w:rsidR="00BD0176">
        <w:rPr>
          <w:rFonts w:ascii="Georgia" w:eastAsia="Times New Roman" w:hAnsi="Georgia" w:cs="Arial"/>
          <w:sz w:val="24"/>
          <w:szCs w:val="24"/>
        </w:rPr>
        <w:t xml:space="preserve"> provides a solid example of how </w:t>
      </w:r>
      <w:r w:rsidR="004A1221">
        <w:rPr>
          <w:rFonts w:ascii="Georgia" w:eastAsia="Times New Roman" w:hAnsi="Georgia" w:cs="Arial"/>
          <w:sz w:val="24"/>
          <w:szCs w:val="24"/>
        </w:rPr>
        <w:t>the</w:t>
      </w:r>
      <w:r w:rsidR="00BD0176">
        <w:rPr>
          <w:rFonts w:ascii="Georgia" w:eastAsia="Times New Roman" w:hAnsi="Georgia" w:cs="Arial"/>
          <w:sz w:val="24"/>
          <w:szCs w:val="24"/>
        </w:rPr>
        <w:t xml:space="preserve"> LDC </w:t>
      </w:r>
      <w:r w:rsidR="00EF445D">
        <w:rPr>
          <w:rFonts w:ascii="Georgia" w:eastAsia="Times New Roman" w:hAnsi="Georgia" w:cs="Arial"/>
          <w:sz w:val="24"/>
          <w:szCs w:val="24"/>
        </w:rPr>
        <w:t xml:space="preserve">can </w:t>
      </w:r>
      <w:r w:rsidR="00BD0176">
        <w:rPr>
          <w:rFonts w:ascii="Georgia" w:eastAsia="Times New Roman" w:hAnsi="Georgia" w:cs="Arial"/>
          <w:sz w:val="24"/>
          <w:szCs w:val="24"/>
        </w:rPr>
        <w:t xml:space="preserve">be established during a base rate case with no re-linking needed for a number of years.   COH’s LDC was phased in with </w:t>
      </w:r>
      <w:r w:rsidR="007B6EA7">
        <w:rPr>
          <w:rFonts w:ascii="Georgia" w:eastAsia="Times New Roman" w:hAnsi="Georgia" w:cs="Arial"/>
          <w:sz w:val="24"/>
          <w:szCs w:val="24"/>
        </w:rPr>
        <w:t>an</w:t>
      </w:r>
      <w:r w:rsidR="00BD0176">
        <w:rPr>
          <w:rFonts w:ascii="Georgia" w:eastAsia="Times New Roman" w:hAnsi="Georgia" w:cs="Arial"/>
          <w:sz w:val="24"/>
          <w:szCs w:val="24"/>
        </w:rPr>
        <w:t xml:space="preserve"> initial rate change occurring on December 3, 2008.  The first rate change included a higher fixed charge and a reduced volumetric rate.  The second change became effective on December 3, 2009 and the LDC has remained constant</w:t>
      </w:r>
      <w:r>
        <w:rPr>
          <w:rFonts w:ascii="Georgia" w:eastAsia="Times New Roman" w:hAnsi="Georgia" w:cs="Arial"/>
          <w:sz w:val="24"/>
          <w:szCs w:val="24"/>
        </w:rPr>
        <w:t xml:space="preserve"> for new and existing customers</w:t>
      </w:r>
      <w:r w:rsidR="00BD0176">
        <w:rPr>
          <w:rFonts w:ascii="Georgia" w:eastAsia="Times New Roman" w:hAnsi="Georgia" w:cs="Arial"/>
          <w:sz w:val="24"/>
          <w:szCs w:val="24"/>
        </w:rPr>
        <w:t xml:space="preserve"> since that date.</w:t>
      </w:r>
    </w:p>
    <w:p w14:paraId="47A710CE" w14:textId="7B9D03A2" w:rsidR="009E7DDC" w:rsidRPr="005D5424" w:rsidRDefault="005D5424" w:rsidP="00075099">
      <w:pPr>
        <w:spacing w:after="0" w:line="480" w:lineRule="auto"/>
        <w:ind w:left="360" w:firstLine="360"/>
        <w:jc w:val="both"/>
        <w:rPr>
          <w:rFonts w:ascii="Georgia" w:eastAsia="Times New Roman" w:hAnsi="Georgia" w:cs="Arial"/>
          <w:b/>
          <w:sz w:val="24"/>
          <w:szCs w:val="24"/>
          <w:u w:val="single"/>
        </w:rPr>
      </w:pPr>
      <w:r w:rsidRPr="005D5424">
        <w:rPr>
          <w:rFonts w:ascii="Georgia" w:eastAsia="Times New Roman" w:hAnsi="Georgia" w:cs="Arial"/>
          <w:b/>
          <w:sz w:val="24"/>
          <w:szCs w:val="24"/>
          <w:u w:val="single"/>
        </w:rPr>
        <w:t>L</w:t>
      </w:r>
      <w:r w:rsidR="001F5978" w:rsidRPr="005D5424">
        <w:rPr>
          <w:rFonts w:ascii="Georgia" w:hAnsi="Georgia"/>
          <w:b/>
          <w:sz w:val="24"/>
          <w:szCs w:val="24"/>
          <w:u w:val="single"/>
        </w:rPr>
        <w:t>ow</w:t>
      </w:r>
      <w:r w:rsidRPr="005D5424">
        <w:rPr>
          <w:rFonts w:ascii="Georgia" w:hAnsi="Georgia"/>
          <w:b/>
          <w:sz w:val="24"/>
          <w:szCs w:val="24"/>
          <w:u w:val="single"/>
        </w:rPr>
        <w:t xml:space="preserve"> I</w:t>
      </w:r>
      <w:r w:rsidR="001F5978" w:rsidRPr="005D5424">
        <w:rPr>
          <w:rFonts w:ascii="Georgia" w:hAnsi="Georgia"/>
          <w:b/>
          <w:sz w:val="24"/>
          <w:szCs w:val="24"/>
          <w:u w:val="single"/>
        </w:rPr>
        <w:t xml:space="preserve">ncome </w:t>
      </w:r>
      <w:r w:rsidRPr="005D5424">
        <w:rPr>
          <w:rFonts w:ascii="Georgia" w:hAnsi="Georgia"/>
          <w:b/>
          <w:sz w:val="24"/>
          <w:szCs w:val="24"/>
          <w:u w:val="single"/>
        </w:rPr>
        <w:t>R</w:t>
      </w:r>
      <w:r w:rsidR="001F5978" w:rsidRPr="005D5424">
        <w:rPr>
          <w:rFonts w:ascii="Georgia" w:hAnsi="Georgia"/>
          <w:b/>
          <w:sz w:val="24"/>
          <w:szCs w:val="24"/>
          <w:u w:val="single"/>
        </w:rPr>
        <w:t xml:space="preserve">esidential </w:t>
      </w:r>
      <w:r w:rsidRPr="005D5424">
        <w:rPr>
          <w:rFonts w:ascii="Georgia" w:hAnsi="Georgia"/>
          <w:b/>
          <w:sz w:val="24"/>
          <w:szCs w:val="24"/>
          <w:u w:val="single"/>
        </w:rPr>
        <w:t>C</w:t>
      </w:r>
      <w:r w:rsidR="001F5978" w:rsidRPr="005D5424">
        <w:rPr>
          <w:rFonts w:ascii="Georgia" w:hAnsi="Georgia"/>
          <w:b/>
          <w:sz w:val="24"/>
          <w:szCs w:val="24"/>
          <w:u w:val="single"/>
        </w:rPr>
        <w:t xml:space="preserve">ustomers are </w:t>
      </w:r>
      <w:r w:rsidRPr="005D5424">
        <w:rPr>
          <w:rFonts w:ascii="Georgia" w:hAnsi="Georgia"/>
          <w:b/>
          <w:sz w:val="24"/>
          <w:szCs w:val="24"/>
          <w:u w:val="single"/>
        </w:rPr>
        <w:t>N</w:t>
      </w:r>
      <w:r w:rsidR="001F5978" w:rsidRPr="005D5424">
        <w:rPr>
          <w:rFonts w:ascii="Georgia" w:hAnsi="Georgia"/>
          <w:b/>
          <w:sz w:val="24"/>
          <w:szCs w:val="24"/>
          <w:u w:val="single"/>
        </w:rPr>
        <w:t xml:space="preserve">ot </w:t>
      </w:r>
      <w:r w:rsidRPr="005D5424">
        <w:rPr>
          <w:rFonts w:ascii="Georgia" w:hAnsi="Georgia"/>
          <w:b/>
          <w:sz w:val="24"/>
          <w:szCs w:val="24"/>
          <w:u w:val="single"/>
        </w:rPr>
        <w:t>D</w:t>
      </w:r>
      <w:r w:rsidR="001F5978" w:rsidRPr="005D5424">
        <w:rPr>
          <w:rFonts w:ascii="Georgia" w:hAnsi="Georgia"/>
          <w:b/>
          <w:sz w:val="24"/>
          <w:szCs w:val="24"/>
          <w:u w:val="single"/>
        </w:rPr>
        <w:t>isadvantaged by LDC</w:t>
      </w:r>
    </w:p>
    <w:p w14:paraId="5DEDAED1" w14:textId="59D6615E" w:rsidR="00AE6F1B" w:rsidRDefault="0012716D" w:rsidP="00A23626">
      <w:pPr>
        <w:pStyle w:val="BodyText2"/>
        <w:rPr>
          <w:rFonts w:ascii="Georgia" w:hAnsi="Georgia"/>
        </w:rPr>
      </w:pPr>
      <w:r>
        <w:rPr>
          <w:rFonts w:ascii="Georgia" w:hAnsi="Georgia"/>
        </w:rPr>
        <w:t>Critics</w:t>
      </w:r>
      <w:r w:rsidR="00B82859">
        <w:rPr>
          <w:rFonts w:ascii="Georgia" w:hAnsi="Georgia"/>
        </w:rPr>
        <w:t xml:space="preserve"> </w:t>
      </w:r>
      <w:r>
        <w:rPr>
          <w:rFonts w:ascii="Georgia" w:hAnsi="Georgia"/>
        </w:rPr>
        <w:t>of</w:t>
      </w:r>
      <w:r w:rsidR="00B82859">
        <w:rPr>
          <w:rFonts w:ascii="Georgia" w:hAnsi="Georgia"/>
        </w:rPr>
        <w:t xml:space="preserve"> the </w:t>
      </w:r>
      <w:r w:rsidR="00A72BA4">
        <w:rPr>
          <w:rFonts w:ascii="Georgia" w:hAnsi="Georgia"/>
        </w:rPr>
        <w:t>LDC</w:t>
      </w:r>
      <w:r w:rsidR="00B82859">
        <w:rPr>
          <w:rFonts w:ascii="Georgia" w:hAnsi="Georgia"/>
        </w:rPr>
        <w:t xml:space="preserve"> are apt to argue that it has a</w:t>
      </w:r>
      <w:r w:rsidR="00C279CC">
        <w:rPr>
          <w:rFonts w:ascii="Georgia" w:hAnsi="Georgia"/>
        </w:rPr>
        <w:t>n</w:t>
      </w:r>
      <w:r w:rsidR="00B82859">
        <w:rPr>
          <w:rFonts w:ascii="Georgia" w:hAnsi="Georgia"/>
        </w:rPr>
        <w:t xml:space="preserve"> </w:t>
      </w:r>
      <w:r w:rsidR="00C279CC">
        <w:rPr>
          <w:rFonts w:ascii="Georgia" w:hAnsi="Georgia"/>
        </w:rPr>
        <w:t>unequal</w:t>
      </w:r>
      <w:r w:rsidR="00B82859">
        <w:rPr>
          <w:rFonts w:ascii="Georgia" w:hAnsi="Georgia"/>
        </w:rPr>
        <w:t xml:space="preserve"> impact on low</w:t>
      </w:r>
      <w:r w:rsidR="00CC5C6E">
        <w:rPr>
          <w:rFonts w:ascii="Georgia" w:hAnsi="Georgia"/>
        </w:rPr>
        <w:t xml:space="preserve"> </w:t>
      </w:r>
      <w:r w:rsidR="00B82859">
        <w:rPr>
          <w:rFonts w:ascii="Georgia" w:hAnsi="Georgia"/>
        </w:rPr>
        <w:t xml:space="preserve">income customers.  However, in its 2011 rate case, </w:t>
      </w:r>
      <w:r w:rsidR="00B82859" w:rsidRPr="003645FE">
        <w:rPr>
          <w:rFonts w:ascii="Georgia" w:hAnsi="Georgia"/>
        </w:rPr>
        <w:t xml:space="preserve">Columbia presented data on the average usage of residential customers participating in its various energy assistance programs.  This data demonstrated that the average annual usage of Columbia’s energy assistance program participants exceeded the average annual usage of a typical Columbia residential customer. </w:t>
      </w:r>
    </w:p>
    <w:p w14:paraId="36AE2984" w14:textId="73145E6C" w:rsidR="00085159" w:rsidRPr="00D12C45" w:rsidRDefault="00AD31F8" w:rsidP="00A23626">
      <w:pPr>
        <w:pStyle w:val="BodyText2"/>
        <w:rPr>
          <w:rFonts w:ascii="Georgia" w:hAnsi="Georgia"/>
        </w:rPr>
      </w:pPr>
      <w:r>
        <w:rPr>
          <w:rFonts w:ascii="Georgia" w:hAnsi="Georgia"/>
        </w:rPr>
        <w:t xml:space="preserve">In preparing this testimony, </w:t>
      </w:r>
      <w:r w:rsidR="004568C5">
        <w:rPr>
          <w:rFonts w:ascii="Georgia" w:hAnsi="Georgia"/>
        </w:rPr>
        <w:t xml:space="preserve">Columbia has </w:t>
      </w:r>
      <w:r w:rsidR="00C12754">
        <w:rPr>
          <w:rFonts w:ascii="Georgia" w:hAnsi="Georgia"/>
        </w:rPr>
        <w:t>considered</w:t>
      </w:r>
      <w:r w:rsidR="004568C5">
        <w:rPr>
          <w:rFonts w:ascii="Georgia" w:hAnsi="Georgia"/>
        </w:rPr>
        <w:t xml:space="preserve"> m</w:t>
      </w:r>
      <w:r w:rsidR="00AE6F1B">
        <w:rPr>
          <w:rFonts w:ascii="Georgia" w:hAnsi="Georgia"/>
        </w:rPr>
        <w:t>ore current</w:t>
      </w:r>
      <w:r w:rsidR="004568C5">
        <w:rPr>
          <w:rFonts w:ascii="Georgia" w:hAnsi="Georgia"/>
        </w:rPr>
        <w:t xml:space="preserve"> residential income and consumption data.  </w:t>
      </w:r>
      <w:r w:rsidR="00C12754">
        <w:rPr>
          <w:rFonts w:ascii="Georgia" w:hAnsi="Georgia"/>
        </w:rPr>
        <w:t xml:space="preserve">As stated previously, for the 12-month period ended November 2015, the average CAP customer consumed approximately 980 therms, while the average non-CAP residential customer used about 720 therms.  Additionally, other information analyzed by Columbia </w:t>
      </w:r>
      <w:r w:rsidR="004568C5">
        <w:rPr>
          <w:rFonts w:ascii="Georgia" w:hAnsi="Georgia"/>
        </w:rPr>
        <w:t>re</w:t>
      </w:r>
      <w:r w:rsidR="00B82859" w:rsidRPr="003645FE">
        <w:rPr>
          <w:rFonts w:ascii="Georgia" w:hAnsi="Georgia"/>
        </w:rPr>
        <w:t>inforces that lower</w:t>
      </w:r>
      <w:r w:rsidR="00AE6F1B">
        <w:rPr>
          <w:rFonts w:ascii="Georgia" w:hAnsi="Georgia"/>
        </w:rPr>
        <w:t>-</w:t>
      </w:r>
      <w:r w:rsidR="00B82859" w:rsidRPr="003645FE">
        <w:rPr>
          <w:rFonts w:ascii="Georgia" w:hAnsi="Georgia"/>
        </w:rPr>
        <w:t>income residential customers on Columbia’s system</w:t>
      </w:r>
      <w:r w:rsidR="00AE6F1B">
        <w:rPr>
          <w:rFonts w:ascii="Georgia" w:hAnsi="Georgia"/>
        </w:rPr>
        <w:t xml:space="preserve"> are not necessarily lower-use residential customers</w:t>
      </w:r>
      <w:r w:rsidR="00B82859" w:rsidRPr="003645FE">
        <w:rPr>
          <w:rFonts w:ascii="Georgia" w:hAnsi="Georgia"/>
        </w:rPr>
        <w:t xml:space="preserve">. </w:t>
      </w:r>
      <w:r w:rsidR="004568C5">
        <w:rPr>
          <w:rFonts w:ascii="Georgia" w:hAnsi="Georgia"/>
        </w:rPr>
        <w:t xml:space="preserve"> </w:t>
      </w:r>
      <w:r w:rsidR="00C12754">
        <w:rPr>
          <w:rFonts w:ascii="Georgia" w:hAnsi="Georgia"/>
        </w:rPr>
        <w:t xml:space="preserve">Generally, Columbia </w:t>
      </w:r>
      <w:r>
        <w:rPr>
          <w:rFonts w:ascii="Georgia" w:hAnsi="Georgia"/>
        </w:rPr>
        <w:t xml:space="preserve">has </w:t>
      </w:r>
      <w:r w:rsidR="00C12754">
        <w:rPr>
          <w:rFonts w:ascii="Georgia" w:hAnsi="Georgia"/>
        </w:rPr>
        <w:t>observed that</w:t>
      </w:r>
      <w:r w:rsidR="00312DE7" w:rsidRPr="00395E7B">
        <w:rPr>
          <w:rFonts w:ascii="Georgia" w:hAnsi="Georgia"/>
        </w:rPr>
        <w:t xml:space="preserve"> </w:t>
      </w:r>
      <w:r w:rsidR="00395E7B" w:rsidRPr="00395E7B">
        <w:rPr>
          <w:rFonts w:ascii="Georgia" w:hAnsi="Georgia"/>
        </w:rPr>
        <w:t>c</w:t>
      </w:r>
      <w:r w:rsidR="00312DE7" w:rsidRPr="00395E7B">
        <w:rPr>
          <w:rFonts w:ascii="Georgia" w:hAnsi="Georgia"/>
        </w:rPr>
        <w:t xml:space="preserve">ustomers in all categories of income are scattered </w:t>
      </w:r>
      <w:r w:rsidR="00395E7B" w:rsidRPr="00395E7B">
        <w:rPr>
          <w:rFonts w:ascii="Georgia" w:hAnsi="Georgia"/>
        </w:rPr>
        <w:t>above and below the a</w:t>
      </w:r>
      <w:r w:rsidR="00312DE7" w:rsidRPr="00395E7B">
        <w:rPr>
          <w:rFonts w:ascii="Georgia" w:hAnsi="Georgia"/>
        </w:rPr>
        <w:t>verage monthly</w:t>
      </w:r>
      <w:r w:rsidR="00C12754">
        <w:rPr>
          <w:rFonts w:ascii="Georgia" w:hAnsi="Georgia"/>
        </w:rPr>
        <w:t xml:space="preserve"> residential</w:t>
      </w:r>
      <w:r w:rsidR="00312DE7" w:rsidRPr="00395E7B">
        <w:rPr>
          <w:rFonts w:ascii="Georgia" w:hAnsi="Georgia"/>
        </w:rPr>
        <w:t xml:space="preserve"> usage</w:t>
      </w:r>
      <w:r w:rsidR="00C12754">
        <w:rPr>
          <w:rFonts w:ascii="Georgia" w:hAnsi="Georgia"/>
        </w:rPr>
        <w:t xml:space="preserve"> level</w:t>
      </w:r>
      <w:r w:rsidR="00312DE7" w:rsidRPr="00395E7B">
        <w:rPr>
          <w:rFonts w:ascii="Georgia" w:hAnsi="Georgia"/>
        </w:rPr>
        <w:t>.</w:t>
      </w:r>
      <w:r w:rsidR="00DD0B82">
        <w:rPr>
          <w:rFonts w:ascii="Georgia" w:hAnsi="Georgia"/>
        </w:rPr>
        <w:t xml:space="preserve"> </w:t>
      </w:r>
      <w:r w:rsidR="002D4469" w:rsidRPr="00395E7B">
        <w:rPr>
          <w:rFonts w:ascii="Georgia" w:hAnsi="Georgia"/>
        </w:rPr>
        <w:t xml:space="preserve"> In fact, many low-income customers have above average gas consumption and would benefit from a residential LDC.</w:t>
      </w:r>
      <w:r w:rsidR="002D4469" w:rsidRPr="00D12C45">
        <w:rPr>
          <w:rFonts w:ascii="Georgia" w:hAnsi="Georgia"/>
        </w:rPr>
        <w:t xml:space="preserve">   </w:t>
      </w:r>
    </w:p>
    <w:p w14:paraId="26E99668" w14:textId="089B89D1" w:rsidR="00D12C45" w:rsidRPr="00D12C45" w:rsidRDefault="00DD476B" w:rsidP="00C15439">
      <w:pPr>
        <w:pStyle w:val="BodyText2"/>
        <w:rPr>
          <w:rFonts w:ascii="Georgia" w:hAnsi="Georgia"/>
        </w:rPr>
      </w:pPr>
      <w:r w:rsidRPr="00D12C45">
        <w:rPr>
          <w:rFonts w:ascii="Georgia" w:hAnsi="Georgia"/>
        </w:rPr>
        <w:lastRenderedPageBreak/>
        <w:t>Further</w:t>
      </w:r>
      <w:r w:rsidR="00B82859" w:rsidRPr="00D12C45">
        <w:rPr>
          <w:rFonts w:ascii="Georgia" w:hAnsi="Georgia"/>
        </w:rPr>
        <w:t xml:space="preserve">, the affordability of </w:t>
      </w:r>
      <w:r w:rsidR="00F017A3">
        <w:rPr>
          <w:rFonts w:ascii="Georgia" w:hAnsi="Georgia"/>
        </w:rPr>
        <w:t>a</w:t>
      </w:r>
      <w:r w:rsidR="00B82859" w:rsidRPr="00D12C45">
        <w:rPr>
          <w:rFonts w:ascii="Georgia" w:hAnsi="Georgia"/>
        </w:rPr>
        <w:t xml:space="preserve"> rate to a specific residential customer, or a subset of customers defined by income and usage in combination, should not factor into the decision of proper rate design.  If there are low income customers who would find their bills unaffordable under the LDC, the</w:t>
      </w:r>
      <w:r w:rsidRPr="00D12C45">
        <w:rPr>
          <w:rFonts w:ascii="Georgia" w:hAnsi="Georgia"/>
        </w:rPr>
        <w:t>n the</w:t>
      </w:r>
      <w:r w:rsidR="00B82859" w:rsidRPr="00D12C45">
        <w:rPr>
          <w:rFonts w:ascii="Georgia" w:hAnsi="Georgia"/>
        </w:rPr>
        <w:t xml:space="preserve"> proper approach would be to address these customers through energy assistance programs.</w:t>
      </w:r>
      <w:r w:rsidRPr="00D12C45">
        <w:rPr>
          <w:rFonts w:ascii="Georgia" w:hAnsi="Georgia"/>
        </w:rPr>
        <w:t xml:space="preserve">  A variety of assistance programs are available to low</w:t>
      </w:r>
      <w:r w:rsidR="00DD0B82">
        <w:rPr>
          <w:rFonts w:ascii="Georgia" w:hAnsi="Georgia"/>
        </w:rPr>
        <w:t xml:space="preserve"> </w:t>
      </w:r>
      <w:r w:rsidRPr="00D12C45">
        <w:rPr>
          <w:rFonts w:ascii="Georgia" w:hAnsi="Georgia"/>
        </w:rPr>
        <w:t>income customers</w:t>
      </w:r>
      <w:r w:rsidR="00B57BB3" w:rsidRPr="00D12C45">
        <w:rPr>
          <w:rFonts w:ascii="Georgia" w:hAnsi="Georgia"/>
        </w:rPr>
        <w:t>.  These programs include</w:t>
      </w:r>
      <w:r w:rsidR="00C15439">
        <w:rPr>
          <w:rFonts w:ascii="Georgia" w:hAnsi="Georgia"/>
        </w:rPr>
        <w:t xml:space="preserve"> </w:t>
      </w:r>
      <w:r w:rsidR="00D12C45" w:rsidRPr="00C15439">
        <w:rPr>
          <w:rFonts w:ascii="Georgia" w:hAnsi="Georgia"/>
        </w:rPr>
        <w:t>CAP</w:t>
      </w:r>
      <w:r w:rsidR="00C15439">
        <w:rPr>
          <w:rFonts w:ascii="Georgia" w:hAnsi="Georgia"/>
        </w:rPr>
        <w:t>, which o</w:t>
      </w:r>
      <w:r w:rsidR="00D12C45" w:rsidRPr="00D12C45">
        <w:rPr>
          <w:rFonts w:ascii="Georgia" w:hAnsi="Georgia"/>
        </w:rPr>
        <w:t>ffers affordable payment plans for customers with low income and long-term bill payment problems</w:t>
      </w:r>
      <w:r w:rsidR="00C15439">
        <w:rPr>
          <w:rFonts w:ascii="Georgia" w:hAnsi="Georgia"/>
        </w:rPr>
        <w:t xml:space="preserve"> and </w:t>
      </w:r>
      <w:r w:rsidR="00D12C45" w:rsidRPr="00C15439">
        <w:rPr>
          <w:rFonts w:ascii="Georgia" w:hAnsi="Georgia"/>
        </w:rPr>
        <w:t>WarmWise Low Income Usage Reduction Program (LIURP)</w:t>
      </w:r>
      <w:r w:rsidR="00C15439">
        <w:rPr>
          <w:rFonts w:ascii="Georgia" w:hAnsi="Georgia"/>
        </w:rPr>
        <w:t>, which is a f</w:t>
      </w:r>
      <w:r w:rsidR="00D12C45" w:rsidRPr="00D12C45">
        <w:rPr>
          <w:rFonts w:ascii="Georgia" w:hAnsi="Georgia"/>
        </w:rPr>
        <w:t>ree weatherization program</w:t>
      </w:r>
      <w:r w:rsidR="00DD0B82">
        <w:rPr>
          <w:rFonts w:ascii="Georgia" w:hAnsi="Georgia"/>
        </w:rPr>
        <w:t>.  O</w:t>
      </w:r>
      <w:r w:rsidR="00C15439">
        <w:rPr>
          <w:rFonts w:ascii="Georgia" w:hAnsi="Georgia"/>
        </w:rPr>
        <w:t>ther low income</w:t>
      </w:r>
      <w:r w:rsidR="00DD0B82">
        <w:rPr>
          <w:rFonts w:ascii="Georgia" w:hAnsi="Georgia"/>
        </w:rPr>
        <w:t xml:space="preserve"> assistance programs are also available in Columbia’s service territory.</w:t>
      </w:r>
    </w:p>
    <w:p w14:paraId="1D5F6781" w14:textId="63EAD58C" w:rsidR="00286BCD" w:rsidRDefault="00C15439" w:rsidP="00075099">
      <w:pPr>
        <w:spacing w:after="0" w:line="480" w:lineRule="auto"/>
        <w:ind w:left="720"/>
        <w:jc w:val="both"/>
        <w:rPr>
          <w:rFonts w:ascii="Georgia" w:eastAsia="Times New Roman" w:hAnsi="Georgia" w:cs="Arial"/>
          <w:b/>
          <w:sz w:val="24"/>
          <w:szCs w:val="24"/>
          <w:u w:val="single"/>
        </w:rPr>
      </w:pPr>
      <w:r>
        <w:rPr>
          <w:rFonts w:ascii="Georgia" w:eastAsia="Times New Roman" w:hAnsi="Georgia" w:cs="Arial"/>
          <w:b/>
          <w:sz w:val="24"/>
          <w:szCs w:val="24"/>
          <w:u w:val="single"/>
        </w:rPr>
        <w:t>L</w:t>
      </w:r>
      <w:r w:rsidR="00286BCD" w:rsidRPr="00684482">
        <w:rPr>
          <w:rFonts w:ascii="Georgia" w:eastAsia="Times New Roman" w:hAnsi="Georgia" w:cs="Arial"/>
          <w:b/>
          <w:sz w:val="24"/>
          <w:szCs w:val="24"/>
          <w:u w:val="single"/>
        </w:rPr>
        <w:t xml:space="preserve">arge </w:t>
      </w:r>
      <w:r>
        <w:rPr>
          <w:rFonts w:ascii="Georgia" w:eastAsia="Times New Roman" w:hAnsi="Georgia" w:cs="Arial"/>
          <w:b/>
          <w:sz w:val="24"/>
          <w:szCs w:val="24"/>
          <w:u w:val="single"/>
        </w:rPr>
        <w:t>V</w:t>
      </w:r>
      <w:r w:rsidR="00286BCD" w:rsidRPr="00684482">
        <w:rPr>
          <w:rFonts w:ascii="Georgia" w:eastAsia="Times New Roman" w:hAnsi="Georgia" w:cs="Arial"/>
          <w:b/>
          <w:sz w:val="24"/>
          <w:szCs w:val="24"/>
          <w:u w:val="single"/>
        </w:rPr>
        <w:t xml:space="preserve">olume </w:t>
      </w:r>
      <w:r w:rsidR="005D3E4D">
        <w:rPr>
          <w:rFonts w:ascii="Georgia" w:eastAsia="Times New Roman" w:hAnsi="Georgia" w:cs="Arial"/>
          <w:b/>
          <w:sz w:val="24"/>
          <w:szCs w:val="24"/>
          <w:u w:val="single"/>
        </w:rPr>
        <w:t xml:space="preserve">Customers </w:t>
      </w:r>
      <w:r w:rsidR="00B348B8">
        <w:rPr>
          <w:rFonts w:ascii="Georgia" w:eastAsia="Times New Roman" w:hAnsi="Georgia" w:cs="Arial"/>
          <w:b/>
          <w:sz w:val="24"/>
          <w:szCs w:val="24"/>
          <w:u w:val="single"/>
        </w:rPr>
        <w:t>Have</w:t>
      </w:r>
      <w:r w:rsidR="005D3E4D">
        <w:rPr>
          <w:rFonts w:ascii="Georgia" w:eastAsia="Times New Roman" w:hAnsi="Georgia" w:cs="Arial"/>
          <w:b/>
          <w:sz w:val="24"/>
          <w:szCs w:val="24"/>
          <w:u w:val="single"/>
        </w:rPr>
        <w:t xml:space="preserve"> Not</w:t>
      </w:r>
      <w:r w:rsidR="00B348B8">
        <w:rPr>
          <w:rFonts w:ascii="Georgia" w:eastAsia="Times New Roman" w:hAnsi="Georgia" w:cs="Arial"/>
          <w:b/>
          <w:sz w:val="24"/>
          <w:szCs w:val="24"/>
          <w:u w:val="single"/>
        </w:rPr>
        <w:t xml:space="preserve"> Been</w:t>
      </w:r>
      <w:r w:rsidR="005D3E4D">
        <w:rPr>
          <w:rFonts w:ascii="Georgia" w:eastAsia="Times New Roman" w:hAnsi="Georgia" w:cs="Arial"/>
          <w:b/>
          <w:sz w:val="24"/>
          <w:szCs w:val="24"/>
          <w:u w:val="single"/>
        </w:rPr>
        <w:t xml:space="preserve"> Included in Columbia’</w:t>
      </w:r>
      <w:r w:rsidR="00075099">
        <w:rPr>
          <w:rFonts w:ascii="Georgia" w:eastAsia="Times New Roman" w:hAnsi="Georgia" w:cs="Arial"/>
          <w:b/>
          <w:sz w:val="24"/>
          <w:szCs w:val="24"/>
          <w:u w:val="single"/>
        </w:rPr>
        <w:t>s LDC</w:t>
      </w:r>
    </w:p>
    <w:p w14:paraId="74B1515D" w14:textId="52210BCF" w:rsidR="00F725CC" w:rsidRDefault="00F725CC" w:rsidP="00A23626">
      <w:pPr>
        <w:pStyle w:val="BodyText2"/>
        <w:rPr>
          <w:rFonts w:ascii="Georgia" w:hAnsi="Georgia"/>
        </w:rPr>
      </w:pPr>
      <w:r w:rsidRPr="003645FE">
        <w:rPr>
          <w:rFonts w:ascii="Georgia" w:hAnsi="Georgia"/>
        </w:rPr>
        <w:t xml:space="preserve">Columbia </w:t>
      </w:r>
      <w:r w:rsidR="0024225C">
        <w:rPr>
          <w:rFonts w:ascii="Georgia" w:hAnsi="Georgia"/>
        </w:rPr>
        <w:t>ha</w:t>
      </w:r>
      <w:r w:rsidRPr="003645FE">
        <w:rPr>
          <w:rFonts w:ascii="Georgia" w:hAnsi="Georgia"/>
        </w:rPr>
        <w:t>s propos</w:t>
      </w:r>
      <w:r>
        <w:rPr>
          <w:rFonts w:ascii="Georgia" w:hAnsi="Georgia"/>
        </w:rPr>
        <w:t>ed</w:t>
      </w:r>
      <w:r w:rsidRPr="003645FE">
        <w:rPr>
          <w:rFonts w:ascii="Georgia" w:hAnsi="Georgia"/>
        </w:rPr>
        <w:t xml:space="preserve"> </w:t>
      </w:r>
      <w:r w:rsidR="002A2C64">
        <w:rPr>
          <w:rFonts w:ascii="Georgia" w:hAnsi="Georgia"/>
        </w:rPr>
        <w:t xml:space="preserve">the </w:t>
      </w:r>
      <w:r w:rsidRPr="003645FE">
        <w:rPr>
          <w:rFonts w:ascii="Georgia" w:hAnsi="Georgia"/>
        </w:rPr>
        <w:t>LDC only for residential customers because</w:t>
      </w:r>
      <w:r>
        <w:rPr>
          <w:rFonts w:ascii="Georgia" w:hAnsi="Georgia"/>
        </w:rPr>
        <w:t xml:space="preserve"> </w:t>
      </w:r>
      <w:r w:rsidRPr="003645FE">
        <w:rPr>
          <w:rFonts w:ascii="Georgia" w:hAnsi="Georgia"/>
        </w:rPr>
        <w:t>th</w:t>
      </w:r>
      <w:r w:rsidR="00AD3358">
        <w:rPr>
          <w:rFonts w:ascii="Georgia" w:hAnsi="Georgia"/>
        </w:rPr>
        <w:t>is</w:t>
      </w:r>
      <w:r w:rsidRPr="003645FE">
        <w:rPr>
          <w:rFonts w:ascii="Georgia" w:hAnsi="Georgia"/>
        </w:rPr>
        <w:t xml:space="preserve"> class</w:t>
      </w:r>
      <w:r w:rsidR="00AD3358">
        <w:rPr>
          <w:rFonts w:ascii="Georgia" w:hAnsi="Georgia"/>
        </w:rPr>
        <w:t xml:space="preserve"> of customers</w:t>
      </w:r>
      <w:r w:rsidRPr="003645FE">
        <w:rPr>
          <w:rFonts w:ascii="Georgia" w:hAnsi="Georgia"/>
        </w:rPr>
        <w:t xml:space="preserve"> is relatively homogenous</w:t>
      </w:r>
      <w:r w:rsidR="00AD3358">
        <w:rPr>
          <w:rFonts w:ascii="Georgia" w:hAnsi="Georgia"/>
        </w:rPr>
        <w:t xml:space="preserve">.  This means that </w:t>
      </w:r>
      <w:r w:rsidRPr="003645FE">
        <w:rPr>
          <w:rFonts w:ascii="Georgia" w:hAnsi="Georgia"/>
        </w:rPr>
        <w:t xml:space="preserve">individual customer size has no effect on </w:t>
      </w:r>
      <w:r w:rsidR="003B482C">
        <w:rPr>
          <w:rFonts w:ascii="Georgia" w:hAnsi="Georgia"/>
        </w:rPr>
        <w:t xml:space="preserve">the </w:t>
      </w:r>
      <w:r w:rsidR="00AD3358">
        <w:rPr>
          <w:rFonts w:ascii="Georgia" w:hAnsi="Georgia"/>
        </w:rPr>
        <w:t xml:space="preserve">distribution cost </w:t>
      </w:r>
      <w:r w:rsidRPr="003645FE">
        <w:rPr>
          <w:rFonts w:ascii="Georgia" w:hAnsi="Georgia"/>
        </w:rPr>
        <w:t>o</w:t>
      </w:r>
      <w:r w:rsidR="00AD3358">
        <w:rPr>
          <w:rFonts w:ascii="Georgia" w:hAnsi="Georgia"/>
        </w:rPr>
        <w:t>f</w:t>
      </w:r>
      <w:r w:rsidRPr="003645FE">
        <w:rPr>
          <w:rFonts w:ascii="Georgia" w:hAnsi="Georgia"/>
        </w:rPr>
        <w:t xml:space="preserve"> serv</w:t>
      </w:r>
      <w:r w:rsidR="00767E9D">
        <w:rPr>
          <w:rFonts w:ascii="Georgia" w:hAnsi="Georgia"/>
        </w:rPr>
        <w:t>ic</w:t>
      </w:r>
      <w:r w:rsidRPr="003645FE">
        <w:rPr>
          <w:rFonts w:ascii="Georgia" w:hAnsi="Georgia"/>
        </w:rPr>
        <w:t>e</w:t>
      </w:r>
      <w:r w:rsidR="00AD3358">
        <w:rPr>
          <w:rFonts w:ascii="Georgia" w:hAnsi="Georgia"/>
        </w:rPr>
        <w:t xml:space="preserve"> for residential customers</w:t>
      </w:r>
      <w:r w:rsidRPr="003645FE">
        <w:rPr>
          <w:rFonts w:ascii="Georgia" w:hAnsi="Georgia"/>
        </w:rPr>
        <w:t xml:space="preserve">.  </w:t>
      </w:r>
      <w:r>
        <w:rPr>
          <w:rFonts w:ascii="Georgia" w:hAnsi="Georgia"/>
        </w:rPr>
        <w:t>Columbia has not proposed t</w:t>
      </w:r>
      <w:r w:rsidR="00F44F67">
        <w:rPr>
          <w:rFonts w:ascii="Georgia" w:hAnsi="Georgia"/>
        </w:rPr>
        <w:t>he LD</w:t>
      </w:r>
      <w:r w:rsidRPr="003645FE">
        <w:rPr>
          <w:rFonts w:ascii="Georgia" w:hAnsi="Georgia"/>
        </w:rPr>
        <w:t xml:space="preserve">C </w:t>
      </w:r>
      <w:r w:rsidR="0024225C">
        <w:rPr>
          <w:rFonts w:ascii="Georgia" w:hAnsi="Georgia"/>
        </w:rPr>
        <w:t xml:space="preserve">for </w:t>
      </w:r>
      <w:r w:rsidRPr="003645FE">
        <w:rPr>
          <w:rFonts w:ascii="Georgia" w:hAnsi="Georgia"/>
        </w:rPr>
        <w:t xml:space="preserve">commercial and industrial </w:t>
      </w:r>
      <w:r w:rsidR="00AD3358">
        <w:rPr>
          <w:rFonts w:ascii="Georgia" w:hAnsi="Georgia"/>
        </w:rPr>
        <w:t xml:space="preserve">customer </w:t>
      </w:r>
      <w:r w:rsidRPr="003645FE">
        <w:rPr>
          <w:rFonts w:ascii="Georgia" w:hAnsi="Georgia"/>
        </w:rPr>
        <w:t xml:space="preserve">classes because there is less homogeneity of </w:t>
      </w:r>
      <w:r w:rsidR="0024225C">
        <w:rPr>
          <w:rFonts w:ascii="Georgia" w:hAnsi="Georgia"/>
        </w:rPr>
        <w:t>usage characteristics</w:t>
      </w:r>
      <w:r w:rsidR="003B482C">
        <w:rPr>
          <w:rFonts w:ascii="Georgia" w:hAnsi="Georgia"/>
        </w:rPr>
        <w:t>.  C</w:t>
      </w:r>
      <w:r w:rsidRPr="003645FE">
        <w:rPr>
          <w:rFonts w:ascii="Georgia" w:hAnsi="Georgia"/>
        </w:rPr>
        <w:t>ommercial and industrial customer demands can vary substantially</w:t>
      </w:r>
      <w:r w:rsidR="003B482C">
        <w:rPr>
          <w:rFonts w:ascii="Georgia" w:hAnsi="Georgia"/>
        </w:rPr>
        <w:t xml:space="preserve"> and</w:t>
      </w:r>
      <w:r w:rsidRPr="003645FE">
        <w:rPr>
          <w:rFonts w:ascii="Georgia" w:hAnsi="Georgia"/>
        </w:rPr>
        <w:t xml:space="preserve"> this can </w:t>
      </w:r>
      <w:r w:rsidR="003B482C">
        <w:rPr>
          <w:rFonts w:ascii="Georgia" w:hAnsi="Georgia"/>
        </w:rPr>
        <w:t>impact</w:t>
      </w:r>
      <w:r w:rsidRPr="003645FE">
        <w:rPr>
          <w:rFonts w:ascii="Georgia" w:hAnsi="Georgia"/>
        </w:rPr>
        <w:t xml:space="preserve"> distribution costs </w:t>
      </w:r>
      <w:r w:rsidR="003B482C">
        <w:rPr>
          <w:rFonts w:ascii="Georgia" w:hAnsi="Georgia"/>
        </w:rPr>
        <w:t>of</w:t>
      </w:r>
      <w:r w:rsidRPr="003645FE">
        <w:rPr>
          <w:rFonts w:ascii="Georgia" w:hAnsi="Georgia"/>
        </w:rPr>
        <w:t xml:space="preserve"> serv</w:t>
      </w:r>
      <w:r w:rsidR="003B482C">
        <w:rPr>
          <w:rFonts w:ascii="Georgia" w:hAnsi="Georgia"/>
        </w:rPr>
        <w:t>ice</w:t>
      </w:r>
      <w:r w:rsidRPr="003645FE">
        <w:rPr>
          <w:rFonts w:ascii="Georgia" w:hAnsi="Georgia"/>
        </w:rPr>
        <w:t xml:space="preserve"> due to</w:t>
      </w:r>
      <w:r w:rsidR="00540426">
        <w:rPr>
          <w:rFonts w:ascii="Georgia" w:hAnsi="Georgia"/>
        </w:rPr>
        <w:t xml:space="preserve"> the</w:t>
      </w:r>
      <w:r w:rsidRPr="003645FE">
        <w:rPr>
          <w:rFonts w:ascii="Georgia" w:hAnsi="Georgia"/>
        </w:rPr>
        <w:t xml:space="preserve"> variability in</w:t>
      </w:r>
      <w:r w:rsidR="00540426">
        <w:rPr>
          <w:rFonts w:ascii="Georgia" w:hAnsi="Georgia"/>
        </w:rPr>
        <w:t xml:space="preserve"> the</w:t>
      </w:r>
      <w:r w:rsidRPr="003645FE">
        <w:rPr>
          <w:rFonts w:ascii="Georgia" w:hAnsi="Georgia"/>
        </w:rPr>
        <w:t xml:space="preserve"> investments </w:t>
      </w:r>
      <w:r w:rsidR="00540426">
        <w:rPr>
          <w:rFonts w:ascii="Georgia" w:hAnsi="Georgia"/>
        </w:rPr>
        <w:t>required for</w:t>
      </w:r>
      <w:r w:rsidRPr="003645FE">
        <w:rPr>
          <w:rFonts w:ascii="Georgia" w:hAnsi="Georgia"/>
        </w:rPr>
        <w:t xml:space="preserve"> meters and s</w:t>
      </w:r>
      <w:r w:rsidR="0024225C">
        <w:rPr>
          <w:rFonts w:ascii="Georgia" w:hAnsi="Georgia"/>
        </w:rPr>
        <w:t>ervices</w:t>
      </w:r>
      <w:r w:rsidR="00540426">
        <w:rPr>
          <w:rFonts w:ascii="Georgia" w:hAnsi="Georgia"/>
        </w:rPr>
        <w:t xml:space="preserve"> for these customers</w:t>
      </w:r>
      <w:r w:rsidRPr="003645FE">
        <w:rPr>
          <w:rFonts w:ascii="Georgia" w:hAnsi="Georgia"/>
        </w:rPr>
        <w:t xml:space="preserve">.  It may be appropriate to consider demand-based or other innovative rate structures for commercial and industrial classes in the future, but Columbia </w:t>
      </w:r>
      <w:r w:rsidR="00AE2AC6">
        <w:rPr>
          <w:rFonts w:ascii="Georgia" w:hAnsi="Georgia"/>
        </w:rPr>
        <w:t>has</w:t>
      </w:r>
      <w:r w:rsidRPr="003645FE">
        <w:rPr>
          <w:rFonts w:ascii="Georgia" w:hAnsi="Georgia"/>
        </w:rPr>
        <w:t xml:space="preserve"> not</w:t>
      </w:r>
      <w:r w:rsidR="00AE2AC6">
        <w:rPr>
          <w:rFonts w:ascii="Georgia" w:hAnsi="Georgia"/>
        </w:rPr>
        <w:t xml:space="preserve"> yet</w:t>
      </w:r>
      <w:r w:rsidRPr="003645FE">
        <w:rPr>
          <w:rFonts w:ascii="Georgia" w:hAnsi="Georgia"/>
        </w:rPr>
        <w:t xml:space="preserve"> undertake</w:t>
      </w:r>
      <w:r w:rsidR="00AE2AC6">
        <w:rPr>
          <w:rFonts w:ascii="Georgia" w:hAnsi="Georgia"/>
        </w:rPr>
        <w:t>n</w:t>
      </w:r>
      <w:r w:rsidRPr="003645FE">
        <w:rPr>
          <w:rFonts w:ascii="Georgia" w:hAnsi="Georgia"/>
        </w:rPr>
        <w:t xml:space="preserve"> an examination of rate design changes </w:t>
      </w:r>
      <w:r w:rsidRPr="00BA798B">
        <w:rPr>
          <w:rFonts w:ascii="Georgia" w:hAnsi="Georgia"/>
        </w:rPr>
        <w:t xml:space="preserve">for these </w:t>
      </w:r>
      <w:r w:rsidR="00AD3358">
        <w:rPr>
          <w:rFonts w:ascii="Georgia" w:hAnsi="Georgia"/>
        </w:rPr>
        <w:t xml:space="preserve">customer </w:t>
      </w:r>
      <w:r w:rsidRPr="00BA798B">
        <w:rPr>
          <w:rFonts w:ascii="Georgia" w:hAnsi="Georgia"/>
        </w:rPr>
        <w:t>classes.</w:t>
      </w:r>
    </w:p>
    <w:p w14:paraId="49482F85" w14:textId="77777777" w:rsidR="00DD0B82" w:rsidRDefault="00DD0B82" w:rsidP="00963F36">
      <w:pPr>
        <w:spacing w:after="0" w:line="480" w:lineRule="auto"/>
        <w:rPr>
          <w:rFonts w:ascii="Georgia" w:hAnsi="Georgia"/>
          <w:b/>
          <w:sz w:val="24"/>
          <w:szCs w:val="24"/>
          <w:u w:val="single"/>
        </w:rPr>
      </w:pPr>
    </w:p>
    <w:p w14:paraId="7646F617" w14:textId="77777777" w:rsidR="004430EB" w:rsidRDefault="004430EB" w:rsidP="00963F36">
      <w:pPr>
        <w:spacing w:after="0" w:line="480" w:lineRule="auto"/>
        <w:rPr>
          <w:rFonts w:ascii="Georgia" w:hAnsi="Georgia"/>
          <w:b/>
          <w:sz w:val="24"/>
          <w:szCs w:val="24"/>
          <w:u w:val="single"/>
        </w:rPr>
      </w:pPr>
    </w:p>
    <w:p w14:paraId="1B5BD92D" w14:textId="77777777" w:rsidR="004430EB" w:rsidRDefault="004430EB" w:rsidP="00963F36">
      <w:pPr>
        <w:spacing w:after="0" w:line="480" w:lineRule="auto"/>
        <w:rPr>
          <w:rFonts w:ascii="Georgia" w:hAnsi="Georgia"/>
          <w:b/>
          <w:sz w:val="24"/>
          <w:szCs w:val="24"/>
          <w:u w:val="single"/>
        </w:rPr>
      </w:pPr>
    </w:p>
    <w:p w14:paraId="11FE868A" w14:textId="2F33E94A" w:rsidR="00700E2C" w:rsidRDefault="00C308B7" w:rsidP="00963F36">
      <w:pPr>
        <w:spacing w:after="0" w:line="480" w:lineRule="auto"/>
        <w:rPr>
          <w:rFonts w:ascii="Georgia" w:hAnsi="Georgia"/>
          <w:b/>
          <w:sz w:val="24"/>
          <w:szCs w:val="24"/>
          <w:u w:val="single"/>
        </w:rPr>
      </w:pPr>
      <w:r w:rsidRPr="00963F36">
        <w:rPr>
          <w:rFonts w:ascii="Georgia" w:hAnsi="Georgia"/>
          <w:b/>
          <w:sz w:val="24"/>
          <w:szCs w:val="24"/>
          <w:u w:val="single"/>
        </w:rPr>
        <w:lastRenderedPageBreak/>
        <w:t>Revenue Normalization Adjustment Charge</w:t>
      </w:r>
    </w:p>
    <w:p w14:paraId="70C86A50" w14:textId="1C8E13C0" w:rsidR="00C308B7" w:rsidRDefault="00A72BA4" w:rsidP="008018DB">
      <w:pPr>
        <w:spacing w:after="0" w:line="480" w:lineRule="auto"/>
        <w:ind w:firstLine="720"/>
        <w:jc w:val="both"/>
        <w:rPr>
          <w:rFonts w:ascii="Georgia" w:hAnsi="Georgia"/>
          <w:sz w:val="24"/>
          <w:szCs w:val="24"/>
        </w:rPr>
      </w:pPr>
      <w:r>
        <w:rPr>
          <w:rFonts w:ascii="Georgia" w:hAnsi="Georgia"/>
          <w:sz w:val="24"/>
          <w:szCs w:val="24"/>
        </w:rPr>
        <w:t>RNA</w:t>
      </w:r>
      <w:r w:rsidR="00E11D49">
        <w:rPr>
          <w:rFonts w:ascii="Georgia" w:hAnsi="Georgia"/>
          <w:sz w:val="24"/>
          <w:szCs w:val="24"/>
        </w:rPr>
        <w:t xml:space="preserve"> </w:t>
      </w:r>
      <w:r w:rsidR="004F0D40" w:rsidRPr="00361B9A">
        <w:rPr>
          <w:rFonts w:ascii="Georgia" w:hAnsi="Georgia"/>
          <w:sz w:val="24"/>
          <w:szCs w:val="24"/>
        </w:rPr>
        <w:t>provide</w:t>
      </w:r>
      <w:r w:rsidR="00E11D49">
        <w:rPr>
          <w:rFonts w:ascii="Georgia" w:hAnsi="Georgia"/>
          <w:sz w:val="24"/>
          <w:szCs w:val="24"/>
        </w:rPr>
        <w:t>s</w:t>
      </w:r>
      <w:r w:rsidR="004F0D40" w:rsidRPr="00361B9A">
        <w:rPr>
          <w:rFonts w:ascii="Georgia" w:hAnsi="Georgia"/>
          <w:sz w:val="24"/>
          <w:szCs w:val="24"/>
        </w:rPr>
        <w:t xml:space="preserve"> benchmark </w:t>
      </w:r>
      <w:r w:rsidR="00465062">
        <w:rPr>
          <w:rFonts w:ascii="Georgia" w:hAnsi="Georgia"/>
          <w:sz w:val="24"/>
          <w:szCs w:val="24"/>
        </w:rPr>
        <w:t xml:space="preserve">distribution </w:t>
      </w:r>
      <w:r w:rsidR="00652AF8">
        <w:rPr>
          <w:rFonts w:ascii="Georgia" w:hAnsi="Georgia"/>
          <w:sz w:val="24"/>
          <w:szCs w:val="24"/>
        </w:rPr>
        <w:t xml:space="preserve">revenue </w:t>
      </w:r>
      <w:r w:rsidR="004F0D40" w:rsidRPr="00361B9A">
        <w:rPr>
          <w:rFonts w:ascii="Georgia" w:hAnsi="Georgia"/>
          <w:sz w:val="24"/>
          <w:szCs w:val="24"/>
        </w:rPr>
        <w:t xml:space="preserve">levels regardless of changes in customers’ actual usage levels.  </w:t>
      </w:r>
      <w:r w:rsidR="003645FE">
        <w:rPr>
          <w:rFonts w:ascii="Georgia" w:hAnsi="Georgia"/>
          <w:sz w:val="24"/>
          <w:szCs w:val="24"/>
        </w:rPr>
        <w:t>As proposed</w:t>
      </w:r>
      <w:r w:rsidR="00C15BDD">
        <w:rPr>
          <w:rFonts w:ascii="Georgia" w:hAnsi="Georgia"/>
          <w:sz w:val="24"/>
          <w:szCs w:val="24"/>
        </w:rPr>
        <w:t xml:space="preserve"> by Columbia</w:t>
      </w:r>
      <w:r w:rsidR="00E11D49">
        <w:rPr>
          <w:rFonts w:ascii="Georgia" w:hAnsi="Georgia"/>
          <w:sz w:val="24"/>
          <w:szCs w:val="24"/>
        </w:rPr>
        <w:t xml:space="preserve"> in its 2012 base rate case</w:t>
      </w:r>
      <w:r w:rsidR="003645FE">
        <w:rPr>
          <w:rFonts w:ascii="Georgia" w:hAnsi="Georgia"/>
          <w:sz w:val="24"/>
          <w:szCs w:val="24"/>
        </w:rPr>
        <w:t xml:space="preserve">, </w:t>
      </w:r>
      <w:r w:rsidR="008A45F6">
        <w:rPr>
          <w:rFonts w:ascii="Georgia" w:hAnsi="Georgia"/>
          <w:sz w:val="24"/>
          <w:szCs w:val="24"/>
        </w:rPr>
        <w:t xml:space="preserve">RNA </w:t>
      </w:r>
      <w:r w:rsidR="003645FE">
        <w:rPr>
          <w:rFonts w:ascii="Georgia" w:hAnsi="Georgia"/>
          <w:sz w:val="24"/>
          <w:szCs w:val="24"/>
        </w:rPr>
        <w:t xml:space="preserve">would </w:t>
      </w:r>
      <w:r w:rsidR="008A45F6">
        <w:rPr>
          <w:rFonts w:ascii="Georgia" w:hAnsi="Georgia"/>
          <w:sz w:val="24"/>
          <w:szCs w:val="24"/>
        </w:rPr>
        <w:t xml:space="preserve">adjust actual non-gas distribution revenue to recover the </w:t>
      </w:r>
      <w:r w:rsidR="003645FE">
        <w:rPr>
          <w:rFonts w:ascii="Georgia" w:hAnsi="Georgia"/>
          <w:sz w:val="24"/>
          <w:szCs w:val="24"/>
        </w:rPr>
        <w:t>Commission-approved</w:t>
      </w:r>
      <w:r w:rsidR="008A45F6">
        <w:rPr>
          <w:rFonts w:ascii="Georgia" w:hAnsi="Georgia"/>
          <w:sz w:val="24"/>
          <w:szCs w:val="24"/>
        </w:rPr>
        <w:t xml:space="preserve"> non-gas distribution revenue for the non-CAP</w:t>
      </w:r>
      <w:r w:rsidR="003645FE">
        <w:rPr>
          <w:rFonts w:ascii="Georgia" w:hAnsi="Georgia"/>
          <w:sz w:val="24"/>
          <w:szCs w:val="24"/>
        </w:rPr>
        <w:t xml:space="preserve"> </w:t>
      </w:r>
      <w:r w:rsidR="008A45F6">
        <w:rPr>
          <w:rFonts w:ascii="Georgia" w:hAnsi="Georgia"/>
          <w:sz w:val="24"/>
          <w:szCs w:val="24"/>
        </w:rPr>
        <w:t xml:space="preserve">residential customer class.  </w:t>
      </w:r>
      <w:r w:rsidR="003645FE">
        <w:rPr>
          <w:rFonts w:ascii="Georgia" w:hAnsi="Georgia"/>
          <w:sz w:val="24"/>
          <w:szCs w:val="24"/>
        </w:rPr>
        <w:t xml:space="preserve">Columbia’s proposed </w:t>
      </w:r>
      <w:r w:rsidR="008A45F6">
        <w:rPr>
          <w:rFonts w:ascii="Georgia" w:hAnsi="Georgia"/>
          <w:sz w:val="24"/>
          <w:szCs w:val="24"/>
        </w:rPr>
        <w:t xml:space="preserve">RNA </w:t>
      </w:r>
      <w:r w:rsidR="003645FE">
        <w:rPr>
          <w:rFonts w:ascii="Georgia" w:hAnsi="Georgia"/>
          <w:sz w:val="24"/>
          <w:szCs w:val="24"/>
        </w:rPr>
        <w:t>was</w:t>
      </w:r>
      <w:r w:rsidR="008A45F6">
        <w:rPr>
          <w:rFonts w:ascii="Georgia" w:hAnsi="Georgia"/>
          <w:sz w:val="24"/>
          <w:szCs w:val="24"/>
        </w:rPr>
        <w:t xml:space="preserve"> designed to “break the link” between residential non-gas revenue received by the Company and gas consumed by residential customers.  The adjustment </w:t>
      </w:r>
      <w:r w:rsidR="003645FE">
        <w:rPr>
          <w:rFonts w:ascii="Georgia" w:hAnsi="Georgia"/>
          <w:sz w:val="24"/>
          <w:szCs w:val="24"/>
        </w:rPr>
        <w:t>was</w:t>
      </w:r>
      <w:r w:rsidR="008A45F6">
        <w:rPr>
          <w:rFonts w:ascii="Georgia" w:hAnsi="Georgia"/>
          <w:sz w:val="24"/>
          <w:szCs w:val="24"/>
        </w:rPr>
        <w:t xml:space="preserve"> to be calculated every six months based upon a comparison of benchmark distribution revenue to the actual billed revenue.  Benchmark distribution revenues </w:t>
      </w:r>
      <w:r w:rsidR="005409F7">
        <w:rPr>
          <w:rFonts w:ascii="Georgia" w:hAnsi="Georgia"/>
          <w:sz w:val="24"/>
          <w:szCs w:val="24"/>
        </w:rPr>
        <w:t>would</w:t>
      </w:r>
      <w:r w:rsidR="008A45F6">
        <w:rPr>
          <w:rFonts w:ascii="Georgia" w:hAnsi="Georgia"/>
          <w:sz w:val="24"/>
          <w:szCs w:val="24"/>
        </w:rPr>
        <w:t xml:space="preserve"> be established for non-CAP residential customers</w:t>
      </w:r>
      <w:r w:rsidR="005409F7">
        <w:rPr>
          <w:rFonts w:ascii="Georgia" w:hAnsi="Georgia"/>
          <w:sz w:val="24"/>
          <w:szCs w:val="24"/>
        </w:rPr>
        <w:t xml:space="preserve">, whose bills would be adjusted on </w:t>
      </w:r>
      <w:r w:rsidR="008A45F6">
        <w:rPr>
          <w:rFonts w:ascii="Georgia" w:hAnsi="Georgia"/>
          <w:sz w:val="24"/>
          <w:szCs w:val="24"/>
        </w:rPr>
        <w:t xml:space="preserve">per therm </w:t>
      </w:r>
      <w:r w:rsidR="005409F7">
        <w:rPr>
          <w:rFonts w:ascii="Georgia" w:hAnsi="Georgia"/>
          <w:sz w:val="24"/>
          <w:szCs w:val="24"/>
        </w:rPr>
        <w:t>basis</w:t>
      </w:r>
      <w:r w:rsidR="008A45F6">
        <w:rPr>
          <w:rFonts w:ascii="Georgia" w:hAnsi="Georgia"/>
          <w:sz w:val="24"/>
          <w:szCs w:val="24"/>
        </w:rPr>
        <w:t xml:space="preserve">.  </w:t>
      </w:r>
      <w:r w:rsidR="001620EF">
        <w:rPr>
          <w:rFonts w:ascii="Georgia" w:hAnsi="Georgia"/>
          <w:sz w:val="24"/>
          <w:szCs w:val="24"/>
        </w:rPr>
        <w:t>It is important to note that residential customer</w:t>
      </w:r>
      <w:r w:rsidR="00465062">
        <w:rPr>
          <w:rFonts w:ascii="Georgia" w:hAnsi="Georgia"/>
          <w:sz w:val="24"/>
          <w:szCs w:val="24"/>
        </w:rPr>
        <w:t>s’</w:t>
      </w:r>
      <w:r w:rsidR="001620EF">
        <w:rPr>
          <w:rFonts w:ascii="Georgia" w:hAnsi="Georgia"/>
          <w:sz w:val="24"/>
          <w:szCs w:val="24"/>
        </w:rPr>
        <w:t xml:space="preserve"> bills </w:t>
      </w:r>
      <w:r w:rsidR="005409F7">
        <w:rPr>
          <w:rFonts w:ascii="Georgia" w:hAnsi="Georgia"/>
          <w:sz w:val="24"/>
          <w:szCs w:val="24"/>
        </w:rPr>
        <w:t>would</w:t>
      </w:r>
      <w:r w:rsidR="001620EF">
        <w:rPr>
          <w:rFonts w:ascii="Georgia" w:hAnsi="Georgia"/>
          <w:sz w:val="24"/>
          <w:szCs w:val="24"/>
        </w:rPr>
        <w:t xml:space="preserve"> still vary with the RNA approach.  </w:t>
      </w:r>
      <w:r w:rsidR="00BB38AC">
        <w:rPr>
          <w:rFonts w:ascii="Georgia" w:hAnsi="Georgia"/>
          <w:sz w:val="24"/>
          <w:szCs w:val="24"/>
        </w:rPr>
        <w:t>However, l</w:t>
      </w:r>
      <w:r w:rsidR="005409F7">
        <w:rPr>
          <w:rFonts w:ascii="Georgia" w:hAnsi="Georgia"/>
          <w:sz w:val="24"/>
          <w:szCs w:val="24"/>
        </w:rPr>
        <w:t xml:space="preserve">ike the LDC, under </w:t>
      </w:r>
      <w:r w:rsidR="00927634">
        <w:rPr>
          <w:rFonts w:ascii="Georgia" w:hAnsi="Georgia"/>
          <w:sz w:val="24"/>
          <w:szCs w:val="24"/>
        </w:rPr>
        <w:t>the</w:t>
      </w:r>
      <w:r w:rsidR="005409F7">
        <w:rPr>
          <w:rFonts w:ascii="Georgia" w:hAnsi="Georgia"/>
          <w:sz w:val="24"/>
          <w:szCs w:val="24"/>
        </w:rPr>
        <w:t xml:space="preserve"> RNA, gas cost recovery would still be subject to fluctuation</w:t>
      </w:r>
      <w:r w:rsidR="00444660">
        <w:rPr>
          <w:rFonts w:ascii="Georgia" w:hAnsi="Georgia"/>
          <w:sz w:val="24"/>
          <w:szCs w:val="24"/>
        </w:rPr>
        <w:t>s</w:t>
      </w:r>
      <w:r w:rsidR="005409F7">
        <w:rPr>
          <w:rFonts w:ascii="Georgia" w:hAnsi="Georgia"/>
          <w:sz w:val="24"/>
          <w:szCs w:val="24"/>
        </w:rPr>
        <w:t xml:space="preserve"> </w:t>
      </w:r>
      <w:r w:rsidR="00444660">
        <w:rPr>
          <w:rFonts w:ascii="Georgia" w:hAnsi="Georgia"/>
          <w:sz w:val="24"/>
          <w:szCs w:val="24"/>
        </w:rPr>
        <w:t>and</w:t>
      </w:r>
      <w:r w:rsidR="005409F7">
        <w:rPr>
          <w:rFonts w:ascii="Georgia" w:hAnsi="Georgia"/>
          <w:sz w:val="24"/>
          <w:szCs w:val="24"/>
        </w:rPr>
        <w:t xml:space="preserve"> influenced by weather and customer behaviors.</w:t>
      </w:r>
    </w:p>
    <w:p w14:paraId="3FAFC3F9" w14:textId="3D7609EA" w:rsidR="008A45F6" w:rsidRDefault="00767E9D" w:rsidP="008018DB">
      <w:pPr>
        <w:spacing w:after="0" w:line="480" w:lineRule="auto"/>
        <w:ind w:firstLine="720"/>
        <w:jc w:val="both"/>
        <w:rPr>
          <w:rFonts w:ascii="Georgia" w:hAnsi="Georgia"/>
          <w:sz w:val="24"/>
          <w:szCs w:val="24"/>
        </w:rPr>
      </w:pPr>
      <w:r>
        <w:rPr>
          <w:rFonts w:ascii="Georgia" w:hAnsi="Georgia"/>
          <w:sz w:val="24"/>
          <w:szCs w:val="24"/>
        </w:rPr>
        <w:t xml:space="preserve">The </w:t>
      </w:r>
      <w:r w:rsidR="007C38C9">
        <w:rPr>
          <w:rFonts w:ascii="Georgia" w:hAnsi="Georgia"/>
          <w:sz w:val="24"/>
          <w:szCs w:val="24"/>
        </w:rPr>
        <w:t xml:space="preserve">RNA promotes revenue stabilization because the RNA relies on revenue per customer, not usage per customer.  Once a revenue requirement is set through a </w:t>
      </w:r>
      <w:r w:rsidR="00444660">
        <w:rPr>
          <w:rFonts w:ascii="Georgia" w:hAnsi="Georgia"/>
          <w:sz w:val="24"/>
          <w:szCs w:val="24"/>
        </w:rPr>
        <w:t xml:space="preserve">base </w:t>
      </w:r>
      <w:r w:rsidR="007C38C9">
        <w:rPr>
          <w:rFonts w:ascii="Georgia" w:hAnsi="Georgia"/>
          <w:sz w:val="24"/>
          <w:szCs w:val="24"/>
        </w:rPr>
        <w:t>rate case proceeding, then a baseline revenue per customer is established.  The Company w</w:t>
      </w:r>
      <w:r w:rsidR="00444660">
        <w:rPr>
          <w:rFonts w:ascii="Georgia" w:hAnsi="Georgia"/>
          <w:sz w:val="24"/>
          <w:szCs w:val="24"/>
        </w:rPr>
        <w:t>ould</w:t>
      </w:r>
      <w:r w:rsidR="007C38C9">
        <w:rPr>
          <w:rFonts w:ascii="Georgia" w:hAnsi="Georgia"/>
          <w:sz w:val="24"/>
          <w:szCs w:val="24"/>
        </w:rPr>
        <w:t xml:space="preserve"> refund any amount over the baseline revenue per customer and w</w:t>
      </w:r>
      <w:r w:rsidR="00444660">
        <w:rPr>
          <w:rFonts w:ascii="Georgia" w:hAnsi="Georgia"/>
          <w:sz w:val="24"/>
          <w:szCs w:val="24"/>
        </w:rPr>
        <w:t>ould</w:t>
      </w:r>
      <w:r w:rsidR="007C38C9">
        <w:rPr>
          <w:rFonts w:ascii="Georgia" w:hAnsi="Georgia"/>
          <w:sz w:val="24"/>
          <w:szCs w:val="24"/>
        </w:rPr>
        <w:t xml:space="preserve"> be allowed to collect any amount below the baseline revenue per customer.  Hence</w:t>
      </w:r>
      <w:r w:rsidR="00444660">
        <w:rPr>
          <w:rFonts w:ascii="Georgia" w:hAnsi="Georgia"/>
          <w:sz w:val="24"/>
          <w:szCs w:val="24"/>
        </w:rPr>
        <w:t>,</w:t>
      </w:r>
      <w:r w:rsidR="007C38C9">
        <w:rPr>
          <w:rFonts w:ascii="Georgia" w:hAnsi="Georgia"/>
          <w:sz w:val="24"/>
          <w:szCs w:val="24"/>
        </w:rPr>
        <w:t xml:space="preserve"> the RNA is both fair and reasonable for the customer and the Company.  </w:t>
      </w:r>
      <w:r w:rsidR="00EB3FA6">
        <w:rPr>
          <w:rFonts w:ascii="Georgia" w:hAnsi="Georgia"/>
          <w:sz w:val="24"/>
          <w:szCs w:val="24"/>
        </w:rPr>
        <w:t xml:space="preserve">However, </w:t>
      </w:r>
      <w:r w:rsidR="007264C9">
        <w:rPr>
          <w:rFonts w:ascii="Georgia" w:hAnsi="Georgia"/>
          <w:sz w:val="24"/>
          <w:szCs w:val="24"/>
        </w:rPr>
        <w:t xml:space="preserve">for the reasons identified earlier in my testimony, the </w:t>
      </w:r>
      <w:r w:rsidR="00EB3FA6">
        <w:rPr>
          <w:rFonts w:ascii="Georgia" w:hAnsi="Georgia"/>
          <w:sz w:val="24"/>
          <w:szCs w:val="24"/>
        </w:rPr>
        <w:t>LDC remains the Company’s preferred option for residential rate design.</w:t>
      </w:r>
    </w:p>
    <w:p w14:paraId="69C1E068" w14:textId="38B7DD99" w:rsidR="00545DAB" w:rsidRDefault="00C308B7" w:rsidP="00963F36">
      <w:pPr>
        <w:spacing w:after="0" w:line="480" w:lineRule="auto"/>
        <w:rPr>
          <w:rFonts w:ascii="Georgia" w:hAnsi="Georgia"/>
          <w:b/>
          <w:sz w:val="24"/>
          <w:szCs w:val="24"/>
          <w:u w:val="single"/>
        </w:rPr>
      </w:pPr>
      <w:r w:rsidRPr="00963F36">
        <w:rPr>
          <w:rFonts w:ascii="Georgia" w:hAnsi="Georgia"/>
          <w:b/>
          <w:sz w:val="24"/>
          <w:szCs w:val="24"/>
          <w:u w:val="single"/>
        </w:rPr>
        <w:t>Weather Normalization Adjustment Charge</w:t>
      </w:r>
    </w:p>
    <w:p w14:paraId="79410749" w14:textId="6916319B" w:rsidR="001B30D4" w:rsidRDefault="00565CBD" w:rsidP="00A23626">
      <w:pPr>
        <w:spacing w:after="0" w:line="480" w:lineRule="auto"/>
        <w:jc w:val="both"/>
        <w:rPr>
          <w:rFonts w:ascii="Georgia" w:hAnsi="Georgia"/>
          <w:sz w:val="24"/>
          <w:szCs w:val="24"/>
        </w:rPr>
      </w:pPr>
      <w:r>
        <w:rPr>
          <w:rFonts w:ascii="Georgia" w:hAnsi="Georgia"/>
          <w:sz w:val="24"/>
          <w:szCs w:val="24"/>
        </w:rPr>
        <w:tab/>
      </w:r>
      <w:r w:rsidR="00E857B0">
        <w:rPr>
          <w:rFonts w:ascii="Georgia" w:hAnsi="Georgia"/>
          <w:sz w:val="24"/>
          <w:szCs w:val="24"/>
        </w:rPr>
        <w:t xml:space="preserve">In </w:t>
      </w:r>
      <w:r w:rsidR="00545DAB">
        <w:rPr>
          <w:rFonts w:ascii="Georgia" w:hAnsi="Georgia"/>
          <w:sz w:val="24"/>
          <w:szCs w:val="24"/>
        </w:rPr>
        <w:t>the 2012 base rate proceeding</w:t>
      </w:r>
      <w:r w:rsidR="00E857B0">
        <w:rPr>
          <w:rFonts w:ascii="Georgia" w:hAnsi="Georgia"/>
          <w:sz w:val="24"/>
          <w:szCs w:val="24"/>
        </w:rPr>
        <w:t xml:space="preserve">, the </w:t>
      </w:r>
      <w:r w:rsidR="00545DAB">
        <w:rPr>
          <w:rFonts w:ascii="Georgia" w:hAnsi="Georgia"/>
          <w:sz w:val="24"/>
          <w:szCs w:val="24"/>
        </w:rPr>
        <w:t>Commission</w:t>
      </w:r>
      <w:r w:rsidR="00E857B0">
        <w:rPr>
          <w:rFonts w:ascii="Georgia" w:hAnsi="Georgia"/>
          <w:sz w:val="24"/>
          <w:szCs w:val="24"/>
        </w:rPr>
        <w:t xml:space="preserve"> approved the establishment of </w:t>
      </w:r>
      <w:r w:rsidR="00927634">
        <w:rPr>
          <w:rFonts w:ascii="Georgia" w:hAnsi="Georgia"/>
          <w:sz w:val="24"/>
          <w:szCs w:val="24"/>
        </w:rPr>
        <w:t xml:space="preserve">a </w:t>
      </w:r>
      <w:r w:rsidR="00E857B0">
        <w:rPr>
          <w:rFonts w:ascii="Georgia" w:hAnsi="Georgia"/>
          <w:sz w:val="24"/>
          <w:szCs w:val="24"/>
        </w:rPr>
        <w:t xml:space="preserve">pilot </w:t>
      </w:r>
      <w:r w:rsidR="004A1221">
        <w:rPr>
          <w:rFonts w:ascii="Georgia" w:hAnsi="Georgia"/>
          <w:sz w:val="24"/>
          <w:szCs w:val="24"/>
        </w:rPr>
        <w:t xml:space="preserve">WNA </w:t>
      </w:r>
      <w:r w:rsidR="00E857B0">
        <w:rPr>
          <w:rFonts w:ascii="Georgia" w:hAnsi="Georgia"/>
          <w:sz w:val="24"/>
          <w:szCs w:val="24"/>
        </w:rPr>
        <w:t>program</w:t>
      </w:r>
      <w:r w:rsidR="00700E2C">
        <w:rPr>
          <w:rFonts w:ascii="Georgia" w:hAnsi="Georgia"/>
          <w:sz w:val="24"/>
          <w:szCs w:val="24"/>
        </w:rPr>
        <w:t xml:space="preserve">.  The WNA design </w:t>
      </w:r>
      <w:r w:rsidR="00E857B0">
        <w:rPr>
          <w:rFonts w:ascii="Georgia" w:hAnsi="Georgia"/>
          <w:sz w:val="24"/>
          <w:szCs w:val="24"/>
        </w:rPr>
        <w:t xml:space="preserve">adjusts a customer’s monthly revenue based on </w:t>
      </w:r>
      <w:r w:rsidR="00E857B0">
        <w:rPr>
          <w:rFonts w:ascii="Georgia" w:hAnsi="Georgia"/>
          <w:sz w:val="24"/>
          <w:szCs w:val="24"/>
        </w:rPr>
        <w:lastRenderedPageBreak/>
        <w:t>the actual temperature experienced during the month</w:t>
      </w:r>
      <w:r w:rsidR="00700E2C">
        <w:rPr>
          <w:rFonts w:ascii="Georgia" w:hAnsi="Georgia"/>
          <w:sz w:val="24"/>
          <w:szCs w:val="24"/>
        </w:rPr>
        <w:t xml:space="preserve">.  </w:t>
      </w:r>
      <w:r w:rsidR="001B30D4">
        <w:rPr>
          <w:rFonts w:ascii="Georgia" w:hAnsi="Georgia"/>
          <w:sz w:val="24"/>
          <w:szCs w:val="24"/>
        </w:rPr>
        <w:t>Under the WNA, the Company and customer</w:t>
      </w:r>
      <w:r w:rsidR="00BB38AC">
        <w:rPr>
          <w:rFonts w:ascii="Georgia" w:hAnsi="Georgia"/>
          <w:sz w:val="24"/>
          <w:szCs w:val="24"/>
        </w:rPr>
        <w:t>s</w:t>
      </w:r>
      <w:r w:rsidR="001B30D4">
        <w:rPr>
          <w:rFonts w:ascii="Georgia" w:hAnsi="Georgia"/>
          <w:sz w:val="24"/>
          <w:szCs w:val="24"/>
        </w:rPr>
        <w:t xml:space="preserve"> are only protected from variations due to weather.  </w:t>
      </w:r>
      <w:r w:rsidR="008B31B7">
        <w:rPr>
          <w:rFonts w:ascii="Georgia" w:hAnsi="Georgia"/>
          <w:sz w:val="24"/>
          <w:szCs w:val="24"/>
        </w:rPr>
        <w:t>The WNA adjusts only the temperature-sensitive portion of customers’ bills to reflect normal weather levels</w:t>
      </w:r>
      <w:r w:rsidR="00444660">
        <w:rPr>
          <w:rFonts w:ascii="Georgia" w:hAnsi="Georgia"/>
          <w:sz w:val="24"/>
          <w:szCs w:val="24"/>
        </w:rPr>
        <w:t xml:space="preserve">. </w:t>
      </w:r>
      <w:r w:rsidR="008B31B7">
        <w:rPr>
          <w:rFonts w:ascii="Georgia" w:hAnsi="Georgia"/>
          <w:sz w:val="24"/>
          <w:szCs w:val="24"/>
        </w:rPr>
        <w:t xml:space="preserve"> By distinguishing between base load and temperature-sensitive load, each customer’s bill is calculated to mitigate the undesirable impacts of warmer than normal </w:t>
      </w:r>
      <w:r w:rsidR="00395E7B">
        <w:rPr>
          <w:rFonts w:ascii="Georgia" w:hAnsi="Georgia"/>
          <w:sz w:val="24"/>
          <w:szCs w:val="24"/>
        </w:rPr>
        <w:t xml:space="preserve">or colder than normal weather. </w:t>
      </w:r>
    </w:p>
    <w:p w14:paraId="01FC16A3" w14:textId="732E7AF6" w:rsidR="00901350" w:rsidRDefault="001B30D4" w:rsidP="00A23626">
      <w:pPr>
        <w:spacing w:after="0" w:line="480" w:lineRule="auto"/>
        <w:ind w:firstLine="720"/>
        <w:jc w:val="both"/>
        <w:rPr>
          <w:rFonts w:ascii="Georgia" w:hAnsi="Georgia"/>
          <w:sz w:val="24"/>
          <w:szCs w:val="24"/>
        </w:rPr>
      </w:pPr>
      <w:r>
        <w:rPr>
          <w:rFonts w:ascii="Georgia" w:hAnsi="Georgia"/>
          <w:sz w:val="24"/>
          <w:szCs w:val="24"/>
        </w:rPr>
        <w:t xml:space="preserve">Columbia acknowledges that while WNA was a </w:t>
      </w:r>
      <w:r w:rsidR="008B31B7">
        <w:rPr>
          <w:rFonts w:ascii="Georgia" w:hAnsi="Georgia"/>
          <w:sz w:val="24"/>
          <w:szCs w:val="24"/>
        </w:rPr>
        <w:t>step</w:t>
      </w:r>
      <w:r w:rsidR="00927634">
        <w:rPr>
          <w:rFonts w:ascii="Georgia" w:hAnsi="Georgia"/>
          <w:sz w:val="24"/>
          <w:szCs w:val="24"/>
        </w:rPr>
        <w:t xml:space="preserve"> in the right direction</w:t>
      </w:r>
      <w:r>
        <w:rPr>
          <w:rFonts w:ascii="Georgia" w:hAnsi="Georgia"/>
          <w:sz w:val="24"/>
          <w:szCs w:val="24"/>
        </w:rPr>
        <w:t xml:space="preserve">, WNA does not </w:t>
      </w:r>
      <w:r w:rsidR="00927634">
        <w:rPr>
          <w:rFonts w:ascii="Georgia" w:hAnsi="Georgia"/>
          <w:sz w:val="24"/>
          <w:szCs w:val="24"/>
        </w:rPr>
        <w:t>fully stabilize distribution</w:t>
      </w:r>
      <w:r w:rsidR="00820D6F">
        <w:rPr>
          <w:rFonts w:ascii="Georgia" w:hAnsi="Georgia"/>
          <w:sz w:val="24"/>
          <w:szCs w:val="24"/>
        </w:rPr>
        <w:t xml:space="preserve"> r</w:t>
      </w:r>
      <w:r w:rsidR="00927634">
        <w:rPr>
          <w:rFonts w:ascii="Georgia" w:hAnsi="Georgia"/>
          <w:sz w:val="24"/>
          <w:szCs w:val="24"/>
        </w:rPr>
        <w:t>evenues</w:t>
      </w:r>
      <w:r>
        <w:rPr>
          <w:rFonts w:ascii="Georgia" w:hAnsi="Georgia"/>
          <w:sz w:val="24"/>
          <w:szCs w:val="24"/>
        </w:rPr>
        <w:t>, as WNA only targets weather-related varia</w:t>
      </w:r>
      <w:r w:rsidR="00820D6F">
        <w:rPr>
          <w:rFonts w:ascii="Georgia" w:hAnsi="Georgia"/>
          <w:sz w:val="24"/>
          <w:szCs w:val="24"/>
        </w:rPr>
        <w:t>nces</w:t>
      </w:r>
      <w:r>
        <w:rPr>
          <w:rFonts w:ascii="Georgia" w:hAnsi="Georgia"/>
          <w:sz w:val="24"/>
          <w:szCs w:val="24"/>
        </w:rPr>
        <w:t xml:space="preserve">.  </w:t>
      </w:r>
      <w:r w:rsidR="00901350">
        <w:rPr>
          <w:rFonts w:ascii="Georgia" w:hAnsi="Georgia"/>
          <w:sz w:val="24"/>
          <w:szCs w:val="24"/>
        </w:rPr>
        <w:t xml:space="preserve">The Company’s current </w:t>
      </w:r>
      <w:r w:rsidR="00820D6F">
        <w:rPr>
          <w:rFonts w:ascii="Georgia" w:hAnsi="Georgia"/>
          <w:sz w:val="24"/>
          <w:szCs w:val="24"/>
        </w:rPr>
        <w:t>residential</w:t>
      </w:r>
      <w:r w:rsidR="00901350">
        <w:rPr>
          <w:rFonts w:ascii="Georgia" w:hAnsi="Georgia"/>
          <w:sz w:val="24"/>
          <w:szCs w:val="24"/>
        </w:rPr>
        <w:t xml:space="preserve"> rate design, even </w:t>
      </w:r>
      <w:r w:rsidR="00E658EE">
        <w:rPr>
          <w:rFonts w:ascii="Georgia" w:hAnsi="Georgia"/>
          <w:sz w:val="24"/>
          <w:szCs w:val="24"/>
        </w:rPr>
        <w:t xml:space="preserve">with </w:t>
      </w:r>
      <w:r w:rsidR="00901350">
        <w:rPr>
          <w:rFonts w:ascii="Georgia" w:hAnsi="Georgia"/>
          <w:sz w:val="24"/>
          <w:szCs w:val="24"/>
        </w:rPr>
        <w:t xml:space="preserve">WNA, is </w:t>
      </w:r>
      <w:r w:rsidR="00820D6F">
        <w:rPr>
          <w:rFonts w:ascii="Georgia" w:hAnsi="Georgia"/>
          <w:sz w:val="24"/>
          <w:szCs w:val="24"/>
        </w:rPr>
        <w:t>not optimal</w:t>
      </w:r>
      <w:r w:rsidR="00901350">
        <w:rPr>
          <w:rFonts w:ascii="Georgia" w:hAnsi="Georgia"/>
          <w:sz w:val="24"/>
          <w:szCs w:val="24"/>
        </w:rPr>
        <w:t xml:space="preserve"> because it does</w:t>
      </w:r>
      <w:r w:rsidR="00C013C9">
        <w:rPr>
          <w:rFonts w:ascii="Georgia" w:hAnsi="Georgia"/>
          <w:sz w:val="24"/>
          <w:szCs w:val="24"/>
        </w:rPr>
        <w:t xml:space="preserve"> not </w:t>
      </w:r>
      <w:r w:rsidR="00901350">
        <w:rPr>
          <w:rFonts w:ascii="Georgia" w:hAnsi="Georgia"/>
          <w:sz w:val="24"/>
          <w:szCs w:val="24"/>
        </w:rPr>
        <w:t xml:space="preserve">align the revenue recovered by the </w:t>
      </w:r>
      <w:r w:rsidR="00DD0B82">
        <w:rPr>
          <w:rFonts w:ascii="Georgia" w:hAnsi="Georgia"/>
          <w:sz w:val="24"/>
          <w:szCs w:val="24"/>
        </w:rPr>
        <w:t>C</w:t>
      </w:r>
      <w:r w:rsidR="00901350">
        <w:rPr>
          <w:rFonts w:ascii="Georgia" w:hAnsi="Georgia"/>
          <w:sz w:val="24"/>
          <w:szCs w:val="24"/>
        </w:rPr>
        <w:t xml:space="preserve">ompany for providing gas delivery service with the costs incurred to provide that service.  </w:t>
      </w:r>
      <w:r w:rsidR="00927634">
        <w:rPr>
          <w:rFonts w:ascii="Georgia" w:hAnsi="Georgia"/>
          <w:sz w:val="24"/>
          <w:szCs w:val="24"/>
        </w:rPr>
        <w:t>Further, v</w:t>
      </w:r>
      <w:r>
        <w:rPr>
          <w:rFonts w:ascii="Georgia" w:hAnsi="Georgia"/>
          <w:sz w:val="24"/>
          <w:szCs w:val="24"/>
        </w:rPr>
        <w:t xml:space="preserve">ariations in energy usage due to other factors, such as the economy and end-use energy efficiency may still occur and are not normalized through WNA.  Consequently, the WNA does not provide the same </w:t>
      </w:r>
      <w:r w:rsidR="00927634">
        <w:rPr>
          <w:rFonts w:ascii="Georgia" w:hAnsi="Georgia"/>
          <w:sz w:val="24"/>
          <w:szCs w:val="24"/>
        </w:rPr>
        <w:t xml:space="preserve">bill and revenue </w:t>
      </w:r>
      <w:r>
        <w:rPr>
          <w:rFonts w:ascii="Georgia" w:hAnsi="Georgia"/>
          <w:sz w:val="24"/>
          <w:szCs w:val="24"/>
        </w:rPr>
        <w:t>stability offered through the RNA</w:t>
      </w:r>
      <w:r w:rsidR="00C013C9">
        <w:rPr>
          <w:rFonts w:ascii="Georgia" w:hAnsi="Georgia"/>
          <w:sz w:val="24"/>
          <w:szCs w:val="24"/>
        </w:rPr>
        <w:t xml:space="preserve"> or </w:t>
      </w:r>
      <w:r w:rsidR="007264C9">
        <w:rPr>
          <w:rFonts w:ascii="Georgia" w:hAnsi="Georgia"/>
          <w:sz w:val="24"/>
          <w:szCs w:val="24"/>
        </w:rPr>
        <w:t xml:space="preserve">the </w:t>
      </w:r>
      <w:r w:rsidR="00BF329A">
        <w:rPr>
          <w:rFonts w:ascii="Georgia" w:hAnsi="Georgia"/>
          <w:sz w:val="24"/>
          <w:szCs w:val="24"/>
        </w:rPr>
        <w:t>LDC</w:t>
      </w:r>
      <w:r>
        <w:rPr>
          <w:rFonts w:ascii="Georgia" w:hAnsi="Georgia"/>
          <w:sz w:val="24"/>
          <w:szCs w:val="24"/>
        </w:rPr>
        <w:t xml:space="preserve">.  </w:t>
      </w:r>
      <w:r w:rsidR="00395E7B">
        <w:rPr>
          <w:rFonts w:ascii="Georgia" w:hAnsi="Georgia"/>
          <w:sz w:val="24"/>
          <w:szCs w:val="24"/>
        </w:rPr>
        <w:t xml:space="preserve"> Additionally, Columbia’s WNA includes a 5% dead band, which means that a billing adjustment will only occur if the variation of actual heating degree days </w:t>
      </w:r>
      <w:r w:rsidR="00732A8B">
        <w:rPr>
          <w:rFonts w:ascii="Georgia" w:hAnsi="Georgia"/>
          <w:sz w:val="24"/>
          <w:szCs w:val="24"/>
        </w:rPr>
        <w:t>is lower than 95% or higher than 105% of the normal heating degree days for an individual billing cycle.</w:t>
      </w:r>
    </w:p>
    <w:p w14:paraId="6202FDE4" w14:textId="05826C36" w:rsidR="00BF329A" w:rsidRPr="00D830E6" w:rsidRDefault="00D830E6" w:rsidP="00A23626">
      <w:pPr>
        <w:spacing w:after="0" w:line="480" w:lineRule="auto"/>
        <w:jc w:val="both"/>
        <w:rPr>
          <w:rFonts w:ascii="Georgia" w:hAnsi="Georgia"/>
          <w:sz w:val="24"/>
          <w:szCs w:val="24"/>
        </w:rPr>
      </w:pPr>
      <w:r>
        <w:rPr>
          <w:rFonts w:ascii="Georgia" w:hAnsi="Georgia"/>
          <w:b/>
          <w:sz w:val="24"/>
          <w:szCs w:val="24"/>
        </w:rPr>
        <w:tab/>
      </w:r>
      <w:r w:rsidRPr="00D830E6">
        <w:rPr>
          <w:rFonts w:ascii="Georgia" w:hAnsi="Georgia"/>
          <w:sz w:val="24"/>
          <w:szCs w:val="24"/>
        </w:rPr>
        <w:t>Pursuant</w:t>
      </w:r>
      <w:r>
        <w:rPr>
          <w:rFonts w:ascii="Georgia" w:hAnsi="Georgia"/>
          <w:sz w:val="24"/>
          <w:szCs w:val="24"/>
        </w:rPr>
        <w:t xml:space="preserve"> to Paragraph 41(b) of the Joint Petition for Settlement approved b</w:t>
      </w:r>
      <w:r w:rsidR="00927634">
        <w:rPr>
          <w:rFonts w:ascii="Georgia" w:hAnsi="Georgia"/>
          <w:sz w:val="24"/>
          <w:szCs w:val="24"/>
        </w:rPr>
        <w:t>y</w:t>
      </w:r>
      <w:r>
        <w:rPr>
          <w:rFonts w:ascii="Georgia" w:hAnsi="Georgia"/>
          <w:sz w:val="24"/>
          <w:szCs w:val="24"/>
        </w:rPr>
        <w:t xml:space="preserve"> </w:t>
      </w:r>
      <w:r w:rsidR="00927634">
        <w:rPr>
          <w:rFonts w:ascii="Georgia" w:hAnsi="Georgia"/>
          <w:sz w:val="24"/>
          <w:szCs w:val="24"/>
        </w:rPr>
        <w:t xml:space="preserve">the </w:t>
      </w:r>
      <w:r>
        <w:rPr>
          <w:rFonts w:ascii="Georgia" w:hAnsi="Georgia"/>
          <w:sz w:val="24"/>
          <w:szCs w:val="24"/>
        </w:rPr>
        <w:t>Commission Order entered on May 23, 2013 at Docket No. R-2012-2321748, Columbia has filed report</w:t>
      </w:r>
      <w:r w:rsidR="00927634">
        <w:rPr>
          <w:rFonts w:ascii="Georgia" w:hAnsi="Georgia"/>
          <w:sz w:val="24"/>
          <w:szCs w:val="24"/>
        </w:rPr>
        <w:t>s</w:t>
      </w:r>
      <w:r>
        <w:rPr>
          <w:rFonts w:ascii="Georgia" w:hAnsi="Georgia"/>
          <w:sz w:val="24"/>
          <w:szCs w:val="24"/>
        </w:rPr>
        <w:t xml:space="preserve"> </w:t>
      </w:r>
      <w:r w:rsidR="00927634">
        <w:rPr>
          <w:rFonts w:ascii="Georgia" w:hAnsi="Georgia"/>
          <w:sz w:val="24"/>
          <w:szCs w:val="24"/>
        </w:rPr>
        <w:t>c</w:t>
      </w:r>
      <w:r>
        <w:rPr>
          <w:rFonts w:ascii="Georgia" w:hAnsi="Georgia"/>
          <w:sz w:val="24"/>
          <w:szCs w:val="24"/>
        </w:rPr>
        <w:t>on</w:t>
      </w:r>
      <w:r w:rsidR="00927634">
        <w:rPr>
          <w:rFonts w:ascii="Georgia" w:hAnsi="Georgia"/>
          <w:sz w:val="24"/>
          <w:szCs w:val="24"/>
        </w:rPr>
        <w:t>cerning</w:t>
      </w:r>
      <w:r>
        <w:rPr>
          <w:rFonts w:ascii="Georgia" w:hAnsi="Georgia"/>
          <w:sz w:val="24"/>
          <w:szCs w:val="24"/>
        </w:rPr>
        <w:t xml:space="preserve"> the operation of the WNA for the 2013/2014 and 2014/2015 heating seasons.  The</w:t>
      </w:r>
      <w:r w:rsidR="00927634">
        <w:rPr>
          <w:rFonts w:ascii="Georgia" w:hAnsi="Georgia"/>
          <w:sz w:val="24"/>
          <w:szCs w:val="24"/>
        </w:rPr>
        <w:t>se</w:t>
      </w:r>
      <w:r>
        <w:rPr>
          <w:rFonts w:ascii="Georgia" w:hAnsi="Georgia"/>
          <w:sz w:val="24"/>
          <w:szCs w:val="24"/>
        </w:rPr>
        <w:t xml:space="preserve"> report</w:t>
      </w:r>
      <w:r w:rsidR="00927634">
        <w:rPr>
          <w:rFonts w:ascii="Georgia" w:hAnsi="Georgia"/>
          <w:sz w:val="24"/>
          <w:szCs w:val="24"/>
        </w:rPr>
        <w:t>s</w:t>
      </w:r>
      <w:r>
        <w:rPr>
          <w:rFonts w:ascii="Georgia" w:hAnsi="Georgia"/>
          <w:sz w:val="24"/>
          <w:szCs w:val="24"/>
        </w:rPr>
        <w:t xml:space="preserve"> include the monthly computation and supporting data of the WNA.  Both of </w:t>
      </w:r>
      <w:r w:rsidR="007B6EA7">
        <w:rPr>
          <w:rFonts w:ascii="Georgia" w:hAnsi="Georgia"/>
          <w:sz w:val="24"/>
          <w:szCs w:val="24"/>
        </w:rPr>
        <w:t xml:space="preserve">those </w:t>
      </w:r>
      <w:r>
        <w:rPr>
          <w:rFonts w:ascii="Georgia" w:hAnsi="Georgia"/>
          <w:sz w:val="24"/>
          <w:szCs w:val="24"/>
        </w:rPr>
        <w:t>heating seasons were colder than normal and</w:t>
      </w:r>
      <w:r w:rsidR="007B6EA7">
        <w:rPr>
          <w:rFonts w:ascii="Georgia" w:hAnsi="Georgia"/>
          <w:sz w:val="24"/>
          <w:szCs w:val="24"/>
        </w:rPr>
        <w:t>,</w:t>
      </w:r>
      <w:r>
        <w:rPr>
          <w:rFonts w:ascii="Georgia" w:hAnsi="Georgia"/>
          <w:sz w:val="24"/>
          <w:szCs w:val="24"/>
        </w:rPr>
        <w:t xml:space="preserve"> as a result, the Company billed less to residential customers than it would have </w:t>
      </w:r>
      <w:r w:rsidR="00927634">
        <w:rPr>
          <w:rFonts w:ascii="Georgia" w:hAnsi="Georgia"/>
          <w:sz w:val="24"/>
          <w:szCs w:val="24"/>
        </w:rPr>
        <w:lastRenderedPageBreak/>
        <w:t xml:space="preserve">billed </w:t>
      </w:r>
      <w:r>
        <w:rPr>
          <w:rFonts w:ascii="Georgia" w:hAnsi="Georgia"/>
          <w:sz w:val="24"/>
          <w:szCs w:val="24"/>
        </w:rPr>
        <w:t>without the WNA mechanism.  For the 2013/2014 season, WNA revenue</w:t>
      </w:r>
      <w:r w:rsidR="007B6EA7">
        <w:rPr>
          <w:rFonts w:ascii="Georgia" w:hAnsi="Georgia"/>
          <w:sz w:val="24"/>
          <w:szCs w:val="24"/>
        </w:rPr>
        <w:t xml:space="preserve"> adjustment</w:t>
      </w:r>
      <w:r>
        <w:rPr>
          <w:rFonts w:ascii="Georgia" w:hAnsi="Georgia"/>
          <w:sz w:val="24"/>
          <w:szCs w:val="24"/>
        </w:rPr>
        <w:t xml:space="preserve"> was ($9.36M), and for the 2014/2015 season, WNA revenue</w:t>
      </w:r>
      <w:r w:rsidR="007B6EA7">
        <w:rPr>
          <w:rFonts w:ascii="Georgia" w:hAnsi="Georgia"/>
          <w:sz w:val="24"/>
          <w:szCs w:val="24"/>
        </w:rPr>
        <w:t xml:space="preserve"> adjustment</w:t>
      </w:r>
      <w:r>
        <w:rPr>
          <w:rFonts w:ascii="Georgia" w:hAnsi="Georgia"/>
          <w:sz w:val="24"/>
          <w:szCs w:val="24"/>
        </w:rPr>
        <w:t xml:space="preserve"> was ($10.98M).</w:t>
      </w:r>
      <w:r w:rsidR="00A66A42">
        <w:rPr>
          <w:rFonts w:ascii="Georgia" w:hAnsi="Georgia"/>
          <w:sz w:val="24"/>
          <w:szCs w:val="24"/>
        </w:rPr>
        <w:t xml:space="preserve">  </w:t>
      </w:r>
      <w:r w:rsidR="007B6EA7">
        <w:rPr>
          <w:rFonts w:ascii="Georgia" w:hAnsi="Georgia"/>
          <w:sz w:val="24"/>
          <w:szCs w:val="24"/>
        </w:rPr>
        <w:t>So far, t</w:t>
      </w:r>
      <w:r w:rsidR="00B865B3">
        <w:rPr>
          <w:rFonts w:ascii="Georgia" w:hAnsi="Georgia"/>
          <w:sz w:val="24"/>
          <w:szCs w:val="24"/>
        </w:rPr>
        <w:t>he 2015/2016</w:t>
      </w:r>
      <w:r w:rsidR="007B6EA7">
        <w:rPr>
          <w:rFonts w:ascii="Georgia" w:hAnsi="Georgia"/>
          <w:sz w:val="24"/>
          <w:szCs w:val="24"/>
        </w:rPr>
        <w:t xml:space="preserve"> heating season has been warmer than normal, and</w:t>
      </w:r>
      <w:r w:rsidR="00B865B3">
        <w:rPr>
          <w:rFonts w:ascii="Georgia" w:hAnsi="Georgia"/>
          <w:sz w:val="24"/>
          <w:szCs w:val="24"/>
        </w:rPr>
        <w:t xml:space="preserve"> information for October through January shows WNA revenue</w:t>
      </w:r>
      <w:r w:rsidR="007B6EA7">
        <w:rPr>
          <w:rFonts w:ascii="Georgia" w:hAnsi="Georgia"/>
          <w:sz w:val="24"/>
          <w:szCs w:val="24"/>
        </w:rPr>
        <w:t xml:space="preserve"> adjustment</w:t>
      </w:r>
      <w:r w:rsidR="00B865B3">
        <w:rPr>
          <w:rFonts w:ascii="Georgia" w:hAnsi="Georgia"/>
          <w:sz w:val="24"/>
          <w:szCs w:val="24"/>
        </w:rPr>
        <w:t xml:space="preserve"> of $8.49M.  This amount will change after the completion of February and March 2016.</w:t>
      </w:r>
    </w:p>
    <w:p w14:paraId="27B498E2" w14:textId="722E5549" w:rsidR="00CB2C8B" w:rsidRDefault="00CB2C8B" w:rsidP="00A23626">
      <w:pPr>
        <w:spacing w:after="0" w:line="480" w:lineRule="auto"/>
        <w:jc w:val="both"/>
        <w:rPr>
          <w:rFonts w:ascii="Georgia" w:hAnsi="Georgia"/>
          <w:b/>
          <w:sz w:val="24"/>
          <w:szCs w:val="24"/>
          <w:u w:val="single"/>
        </w:rPr>
      </w:pPr>
      <w:r w:rsidRPr="0058516B">
        <w:rPr>
          <w:rFonts w:ascii="Georgia" w:hAnsi="Georgia"/>
          <w:b/>
          <w:sz w:val="24"/>
          <w:szCs w:val="24"/>
          <w:u w:val="single"/>
        </w:rPr>
        <w:t>Alternative Rate Design</w:t>
      </w:r>
      <w:r w:rsidR="00AD1365">
        <w:rPr>
          <w:rFonts w:ascii="Georgia" w:hAnsi="Georgia"/>
          <w:b/>
          <w:sz w:val="24"/>
          <w:szCs w:val="24"/>
          <w:u w:val="single"/>
        </w:rPr>
        <w:t>s</w:t>
      </w:r>
      <w:r w:rsidRPr="0058516B">
        <w:rPr>
          <w:rFonts w:ascii="Georgia" w:hAnsi="Georgia"/>
          <w:b/>
          <w:sz w:val="24"/>
          <w:szCs w:val="24"/>
          <w:u w:val="single"/>
        </w:rPr>
        <w:t xml:space="preserve"> in Other</w:t>
      </w:r>
      <w:r w:rsidR="00AD1365">
        <w:rPr>
          <w:rFonts w:ascii="Georgia" w:hAnsi="Georgia"/>
          <w:b/>
          <w:sz w:val="24"/>
          <w:szCs w:val="24"/>
          <w:u w:val="single"/>
        </w:rPr>
        <w:t xml:space="preserve"> Columbia</w:t>
      </w:r>
      <w:r w:rsidRPr="0058516B">
        <w:rPr>
          <w:rFonts w:ascii="Georgia" w:hAnsi="Georgia"/>
          <w:b/>
          <w:sz w:val="24"/>
          <w:szCs w:val="24"/>
          <w:u w:val="single"/>
        </w:rPr>
        <w:t xml:space="preserve"> Jurisdictions</w:t>
      </w:r>
      <w:r w:rsidR="00565CBD">
        <w:rPr>
          <w:rFonts w:ascii="Georgia" w:hAnsi="Georgia"/>
          <w:b/>
          <w:sz w:val="24"/>
          <w:szCs w:val="24"/>
          <w:u w:val="single"/>
        </w:rPr>
        <w:t xml:space="preserve"> </w:t>
      </w:r>
    </w:p>
    <w:p w14:paraId="61299AC6" w14:textId="14F4E04B" w:rsidR="00CB2C8B" w:rsidRDefault="00255422" w:rsidP="00A23626">
      <w:pPr>
        <w:spacing w:after="0" w:line="480" w:lineRule="auto"/>
        <w:ind w:firstLine="720"/>
        <w:jc w:val="both"/>
        <w:rPr>
          <w:rFonts w:ascii="Georgia" w:hAnsi="Georgia"/>
          <w:sz w:val="24"/>
          <w:szCs w:val="24"/>
        </w:rPr>
      </w:pPr>
      <w:r w:rsidRPr="009B742C">
        <w:rPr>
          <w:rFonts w:ascii="Georgia" w:hAnsi="Georgia"/>
          <w:sz w:val="24"/>
          <w:szCs w:val="24"/>
        </w:rPr>
        <w:t>As stated in the Commission</w:t>
      </w:r>
      <w:r w:rsidR="005F6992">
        <w:rPr>
          <w:rFonts w:ascii="Georgia" w:hAnsi="Georgia"/>
          <w:sz w:val="24"/>
          <w:szCs w:val="24"/>
        </w:rPr>
        <w:t>’s</w:t>
      </w:r>
      <w:r w:rsidRPr="009B742C">
        <w:rPr>
          <w:rFonts w:ascii="Georgia" w:hAnsi="Georgia"/>
          <w:sz w:val="24"/>
          <w:szCs w:val="24"/>
        </w:rPr>
        <w:t xml:space="preserve"> invitation to discuss Alternative Ratemaking Methodologies, a</w:t>
      </w:r>
      <w:r w:rsidR="008D3665">
        <w:rPr>
          <w:rFonts w:ascii="Georgia" w:hAnsi="Georgia"/>
          <w:sz w:val="24"/>
          <w:szCs w:val="24"/>
        </w:rPr>
        <w:t>n examination</w:t>
      </w:r>
      <w:r w:rsidRPr="009B742C">
        <w:rPr>
          <w:rFonts w:ascii="Georgia" w:hAnsi="Georgia"/>
          <w:sz w:val="24"/>
          <w:szCs w:val="24"/>
        </w:rPr>
        <w:t xml:space="preserve"> of other jurisdictional rate designs is appropriate for this discussion.  In his testimony for Columbia’s 2012 rate base proceeding, </w:t>
      </w:r>
      <w:r w:rsidR="00E11D49">
        <w:rPr>
          <w:rFonts w:ascii="Georgia" w:hAnsi="Georgia"/>
          <w:sz w:val="24"/>
          <w:szCs w:val="24"/>
        </w:rPr>
        <w:t>Columbia’s President,</w:t>
      </w:r>
      <w:r w:rsidRPr="009B742C">
        <w:rPr>
          <w:rFonts w:ascii="Georgia" w:hAnsi="Georgia"/>
          <w:sz w:val="24"/>
          <w:szCs w:val="24"/>
        </w:rPr>
        <w:t xml:space="preserve"> Mark Kempic</w:t>
      </w:r>
      <w:r w:rsidR="00E11D49">
        <w:rPr>
          <w:rFonts w:ascii="Georgia" w:hAnsi="Georgia"/>
          <w:sz w:val="24"/>
          <w:szCs w:val="24"/>
        </w:rPr>
        <w:t>,</w:t>
      </w:r>
      <w:r w:rsidRPr="009B742C">
        <w:rPr>
          <w:rFonts w:ascii="Georgia" w:hAnsi="Georgia"/>
          <w:sz w:val="24"/>
          <w:szCs w:val="24"/>
        </w:rPr>
        <w:t xml:space="preserve"> outlined rate design approaches in Columbia</w:t>
      </w:r>
      <w:r w:rsidR="005D3E4D">
        <w:rPr>
          <w:rFonts w:ascii="Georgia" w:hAnsi="Georgia"/>
          <w:sz w:val="24"/>
          <w:szCs w:val="24"/>
        </w:rPr>
        <w:t>’s</w:t>
      </w:r>
      <w:r w:rsidRPr="009B742C">
        <w:rPr>
          <w:rFonts w:ascii="Georgia" w:hAnsi="Georgia"/>
          <w:sz w:val="24"/>
          <w:szCs w:val="24"/>
        </w:rPr>
        <w:t xml:space="preserve"> sister companies.</w:t>
      </w:r>
    </w:p>
    <w:p w14:paraId="00B0DA92" w14:textId="6247C88A" w:rsidR="005D3E4D" w:rsidRPr="00BA798B" w:rsidRDefault="005D3E4D" w:rsidP="005D3E4D">
      <w:pPr>
        <w:spacing w:after="0" w:line="480" w:lineRule="auto"/>
        <w:ind w:firstLine="720"/>
        <w:jc w:val="both"/>
        <w:rPr>
          <w:rFonts w:ascii="Georgia" w:hAnsi="Georgia"/>
          <w:sz w:val="24"/>
          <w:szCs w:val="24"/>
        </w:rPr>
      </w:pPr>
      <w:r w:rsidRPr="005D3E4D">
        <w:rPr>
          <w:rFonts w:ascii="Georgia" w:hAnsi="Georgia"/>
          <w:sz w:val="24"/>
          <w:szCs w:val="24"/>
        </w:rPr>
        <w:t>Columbia’s affiliated company, Columbia Gas of Ohio, Inc. (“COH”) received approval from the Public Utilities Commission of Ohio for LDC.</w:t>
      </w:r>
      <w:r w:rsidRPr="005D3E4D">
        <w:rPr>
          <w:rStyle w:val="FootnoteReference"/>
          <w:rFonts w:ascii="Georgia" w:hAnsi="Georgia"/>
          <w:sz w:val="24"/>
          <w:szCs w:val="24"/>
        </w:rPr>
        <w:footnoteReference w:id="2"/>
      </w:r>
      <w:r w:rsidRPr="005D3E4D">
        <w:rPr>
          <w:rFonts w:ascii="Georgia" w:hAnsi="Georgia"/>
          <w:sz w:val="24"/>
          <w:szCs w:val="24"/>
        </w:rPr>
        <w:t xml:space="preserve">  This rate design has provided more certainty that the utility will recover its revenue requirement and residential customers’ bills will remain stable, since weather is not a factor influencing COH’s recovery of revenue from residential customers.  The LDC rate was also upheld in an Ohio Supreme Court case for gas utilities in 2010.</w:t>
      </w:r>
      <w:r w:rsidRPr="005D3E4D">
        <w:rPr>
          <w:rStyle w:val="FootnoteReference"/>
          <w:rFonts w:ascii="Georgia" w:hAnsi="Georgia"/>
          <w:sz w:val="24"/>
          <w:szCs w:val="24"/>
        </w:rPr>
        <w:footnoteReference w:id="3"/>
      </w:r>
      <w:r w:rsidRPr="005D3E4D">
        <w:rPr>
          <w:rFonts w:ascii="Georgia" w:hAnsi="Georgia"/>
          <w:sz w:val="24"/>
          <w:szCs w:val="24"/>
        </w:rPr>
        <w:t xml:space="preserve">  The Court found that the Ohio Commission had the discretion to approve such a rate design, and that the rate design would, on average, benefit low-income customers, since low-income customers are, on average, high use customers.</w:t>
      </w:r>
      <w:r w:rsidRPr="005D3E4D">
        <w:rPr>
          <w:rStyle w:val="FootnoteReference"/>
          <w:rFonts w:ascii="Georgia" w:hAnsi="Georgia"/>
          <w:sz w:val="24"/>
          <w:szCs w:val="24"/>
        </w:rPr>
        <w:footnoteReference w:id="4"/>
      </w:r>
      <w:r w:rsidRPr="005D3E4D">
        <w:rPr>
          <w:rFonts w:ascii="Georgia" w:hAnsi="Georgia"/>
          <w:sz w:val="24"/>
          <w:szCs w:val="24"/>
        </w:rPr>
        <w:t xml:space="preserve">  Both the Ohio Commission and the Ohio Supreme Court </w:t>
      </w:r>
      <w:r w:rsidR="007B6EA7">
        <w:rPr>
          <w:rFonts w:ascii="Georgia" w:hAnsi="Georgia"/>
          <w:sz w:val="24"/>
          <w:szCs w:val="24"/>
        </w:rPr>
        <w:lastRenderedPageBreak/>
        <w:t>approval</w:t>
      </w:r>
      <w:r w:rsidR="00876DA8">
        <w:rPr>
          <w:rFonts w:ascii="Georgia" w:hAnsi="Georgia"/>
          <w:sz w:val="24"/>
          <w:szCs w:val="24"/>
        </w:rPr>
        <w:t>s</w:t>
      </w:r>
      <w:r w:rsidR="007B6EA7">
        <w:rPr>
          <w:rFonts w:ascii="Georgia" w:hAnsi="Georgia"/>
          <w:sz w:val="24"/>
          <w:szCs w:val="24"/>
        </w:rPr>
        <w:t xml:space="preserve"> of</w:t>
      </w:r>
      <w:r w:rsidRPr="005D3E4D">
        <w:rPr>
          <w:rFonts w:ascii="Georgia" w:hAnsi="Georgia"/>
          <w:sz w:val="24"/>
          <w:szCs w:val="24"/>
        </w:rPr>
        <w:t xml:space="preserve"> COH’s LDC </w:t>
      </w:r>
      <w:r w:rsidR="007264C9">
        <w:rPr>
          <w:rFonts w:ascii="Georgia" w:hAnsi="Georgia"/>
          <w:sz w:val="24"/>
          <w:szCs w:val="24"/>
        </w:rPr>
        <w:t xml:space="preserve">demonstrates that </w:t>
      </w:r>
      <w:r w:rsidRPr="005D3E4D">
        <w:rPr>
          <w:rFonts w:ascii="Georgia" w:hAnsi="Georgia"/>
          <w:sz w:val="24"/>
          <w:szCs w:val="24"/>
        </w:rPr>
        <w:t xml:space="preserve">other states have </w:t>
      </w:r>
      <w:r w:rsidR="009610B2">
        <w:rPr>
          <w:rFonts w:ascii="Georgia" w:hAnsi="Georgia"/>
          <w:sz w:val="24"/>
          <w:szCs w:val="24"/>
        </w:rPr>
        <w:t xml:space="preserve">thoroughly evaluated and </w:t>
      </w:r>
      <w:r w:rsidRPr="005D3E4D">
        <w:rPr>
          <w:rFonts w:ascii="Georgia" w:hAnsi="Georgia"/>
          <w:sz w:val="24"/>
          <w:szCs w:val="24"/>
        </w:rPr>
        <w:t>adopted innovative rate mechanisms, similar to those proposed by Columbia.</w:t>
      </w:r>
      <w:r w:rsidRPr="00BA798B">
        <w:rPr>
          <w:rFonts w:ascii="Georgia" w:hAnsi="Georgia"/>
          <w:sz w:val="24"/>
          <w:szCs w:val="24"/>
        </w:rPr>
        <w:t xml:space="preserve">  </w:t>
      </w:r>
    </w:p>
    <w:p w14:paraId="2618E414" w14:textId="206B2316" w:rsidR="00255422" w:rsidRPr="009B742C" w:rsidRDefault="006E5270" w:rsidP="00A23626">
      <w:pPr>
        <w:spacing w:after="0" w:line="480" w:lineRule="auto"/>
        <w:ind w:firstLine="720"/>
        <w:jc w:val="both"/>
        <w:rPr>
          <w:rFonts w:ascii="Georgia" w:hAnsi="Georgia"/>
          <w:sz w:val="24"/>
          <w:szCs w:val="24"/>
        </w:rPr>
      </w:pPr>
      <w:r>
        <w:rPr>
          <w:rFonts w:ascii="Georgia" w:hAnsi="Georgia"/>
          <w:sz w:val="24"/>
          <w:szCs w:val="24"/>
        </w:rPr>
        <w:t>A</w:t>
      </w:r>
      <w:r w:rsidR="00255422" w:rsidRPr="009B742C">
        <w:rPr>
          <w:rFonts w:ascii="Georgia" w:hAnsi="Georgia"/>
          <w:sz w:val="24"/>
          <w:szCs w:val="24"/>
        </w:rPr>
        <w:t xml:space="preserve">nother </w:t>
      </w:r>
      <w:r w:rsidR="005F6992">
        <w:rPr>
          <w:rFonts w:ascii="Georgia" w:hAnsi="Georgia"/>
          <w:sz w:val="24"/>
          <w:szCs w:val="24"/>
        </w:rPr>
        <w:t xml:space="preserve">state with an alternative rate design </w:t>
      </w:r>
      <w:r w:rsidR="00255422" w:rsidRPr="009B742C">
        <w:rPr>
          <w:rFonts w:ascii="Georgia" w:hAnsi="Georgia"/>
          <w:sz w:val="24"/>
          <w:szCs w:val="24"/>
        </w:rPr>
        <w:t xml:space="preserve">is Massachusetts, where the Department of Public </w:t>
      </w:r>
      <w:r w:rsidR="009B742C" w:rsidRPr="009B742C">
        <w:rPr>
          <w:rFonts w:ascii="Georgia" w:hAnsi="Georgia"/>
          <w:sz w:val="24"/>
          <w:szCs w:val="24"/>
        </w:rPr>
        <w:t>Utilities</w:t>
      </w:r>
      <w:r w:rsidR="00255422" w:rsidRPr="009B742C">
        <w:rPr>
          <w:rFonts w:ascii="Georgia" w:hAnsi="Georgia"/>
          <w:sz w:val="24"/>
          <w:szCs w:val="24"/>
        </w:rPr>
        <w:t xml:space="preserve"> (“the Department”) approved decoupling for Columbia’s affiliate, Columbia Gas of Massachusetts (“CMA”)</w:t>
      </w:r>
      <w:r w:rsidR="009610B2">
        <w:rPr>
          <w:rFonts w:ascii="Georgia" w:hAnsi="Georgia"/>
          <w:sz w:val="24"/>
          <w:szCs w:val="24"/>
        </w:rPr>
        <w:t>.</w:t>
      </w:r>
      <w:r w:rsidR="00255422" w:rsidRPr="009B742C">
        <w:rPr>
          <w:rStyle w:val="FootnoteReference"/>
          <w:rFonts w:ascii="Georgia" w:hAnsi="Georgia"/>
          <w:sz w:val="24"/>
          <w:szCs w:val="24"/>
        </w:rPr>
        <w:footnoteReference w:id="5"/>
      </w:r>
      <w:r w:rsidR="00255422" w:rsidRPr="009B742C">
        <w:rPr>
          <w:rFonts w:ascii="Georgia" w:hAnsi="Georgia"/>
          <w:sz w:val="24"/>
          <w:szCs w:val="24"/>
        </w:rPr>
        <w:t xml:space="preserve"> The Depar</w:t>
      </w:r>
      <w:r w:rsidR="0000103C" w:rsidRPr="009B742C">
        <w:rPr>
          <w:rFonts w:ascii="Georgia" w:hAnsi="Georgia"/>
          <w:sz w:val="24"/>
          <w:szCs w:val="24"/>
        </w:rPr>
        <w:t xml:space="preserve">tment approved CMA’s revenue decoupling mechanism structured as a “revenue per customer” approach for all customer classes.  Under this approach, CMA adjusts its </w:t>
      </w:r>
      <w:r w:rsidR="00DB2A8B">
        <w:rPr>
          <w:rFonts w:ascii="Georgia" w:hAnsi="Georgia"/>
          <w:sz w:val="24"/>
          <w:szCs w:val="24"/>
        </w:rPr>
        <w:t xml:space="preserve">base </w:t>
      </w:r>
      <w:r w:rsidR="0000103C" w:rsidRPr="009B742C">
        <w:rPr>
          <w:rFonts w:ascii="Georgia" w:hAnsi="Georgia"/>
          <w:sz w:val="24"/>
          <w:szCs w:val="24"/>
        </w:rPr>
        <w:t xml:space="preserve">rates semi-annually for all firm service </w:t>
      </w:r>
      <w:r w:rsidR="009610B2">
        <w:rPr>
          <w:rFonts w:ascii="Georgia" w:hAnsi="Georgia"/>
          <w:sz w:val="24"/>
          <w:szCs w:val="24"/>
        </w:rPr>
        <w:t xml:space="preserve">customers </w:t>
      </w:r>
      <w:r w:rsidR="0000103C" w:rsidRPr="009B742C">
        <w:rPr>
          <w:rFonts w:ascii="Georgia" w:hAnsi="Georgia"/>
          <w:sz w:val="24"/>
          <w:szCs w:val="24"/>
        </w:rPr>
        <w:t xml:space="preserve">in order to reconcile actual base revenue recoveries with </w:t>
      </w:r>
      <w:r w:rsidR="00DB2A8B">
        <w:rPr>
          <w:rFonts w:ascii="Georgia" w:hAnsi="Georgia"/>
          <w:sz w:val="24"/>
          <w:szCs w:val="24"/>
        </w:rPr>
        <w:t>b</w:t>
      </w:r>
      <w:r w:rsidR="0000103C" w:rsidRPr="009B742C">
        <w:rPr>
          <w:rFonts w:ascii="Georgia" w:hAnsi="Georgia"/>
          <w:sz w:val="24"/>
          <w:szCs w:val="24"/>
        </w:rPr>
        <w:t xml:space="preserve">enchmark base revenues.  Benchmark base revenues are calculated for each customer group for the peak and off-peak seasons, reflective of CMA’s </w:t>
      </w:r>
      <w:r w:rsidR="0000103C" w:rsidRPr="00F2027E">
        <w:rPr>
          <w:rFonts w:ascii="Georgia" w:hAnsi="Georgia"/>
          <w:sz w:val="24"/>
          <w:szCs w:val="24"/>
        </w:rPr>
        <w:t>most recent base proceeding</w:t>
      </w:r>
      <w:r w:rsidR="009610B2">
        <w:rPr>
          <w:rFonts w:ascii="Georgia" w:hAnsi="Georgia"/>
          <w:sz w:val="24"/>
          <w:szCs w:val="24"/>
        </w:rPr>
        <w:t>.</w:t>
      </w:r>
      <w:r w:rsidR="0000103C" w:rsidRPr="00F2027E">
        <w:rPr>
          <w:rStyle w:val="FootnoteReference"/>
          <w:rFonts w:ascii="Georgia" w:hAnsi="Georgia"/>
          <w:sz w:val="24"/>
          <w:szCs w:val="24"/>
        </w:rPr>
        <w:footnoteReference w:id="6"/>
      </w:r>
      <w:r w:rsidR="0000103C" w:rsidRPr="009B742C">
        <w:rPr>
          <w:rFonts w:ascii="Georgia" w:hAnsi="Georgia"/>
          <w:sz w:val="24"/>
          <w:szCs w:val="24"/>
        </w:rPr>
        <w:t xml:space="preserve">  This mechanism serves to eliminate the link between customer volumes and CMA’s earnings, thereby aligning the interests of CMA and its customers with respect to lowering customer usage.  </w:t>
      </w:r>
    </w:p>
    <w:p w14:paraId="5D158171" w14:textId="56D4D6EC" w:rsidR="00C23A1D" w:rsidRDefault="0000103C" w:rsidP="00A23626">
      <w:pPr>
        <w:spacing w:after="0" w:line="480" w:lineRule="auto"/>
        <w:jc w:val="both"/>
        <w:rPr>
          <w:rFonts w:ascii="Georgia" w:hAnsi="Georgia"/>
          <w:sz w:val="24"/>
          <w:szCs w:val="24"/>
        </w:rPr>
      </w:pPr>
      <w:r w:rsidRPr="009B742C">
        <w:rPr>
          <w:rFonts w:ascii="Georgia" w:hAnsi="Georgia"/>
          <w:sz w:val="24"/>
          <w:szCs w:val="24"/>
        </w:rPr>
        <w:tab/>
        <w:t>A third example is in Virginia, in which the State Corporation Commission (“SCC”) approved decoupling for Columbia Gas of Virginia, Inc. (“CVA”)</w:t>
      </w:r>
      <w:r w:rsidR="009610B2">
        <w:rPr>
          <w:rFonts w:ascii="Georgia" w:hAnsi="Georgia"/>
          <w:sz w:val="24"/>
          <w:szCs w:val="24"/>
        </w:rPr>
        <w:t>.</w:t>
      </w:r>
      <w:r w:rsidRPr="009B742C">
        <w:rPr>
          <w:rStyle w:val="FootnoteReference"/>
          <w:rFonts w:ascii="Georgia" w:hAnsi="Georgia"/>
          <w:sz w:val="24"/>
          <w:szCs w:val="24"/>
        </w:rPr>
        <w:footnoteReference w:id="7"/>
      </w:r>
      <w:r w:rsidRPr="009B742C">
        <w:rPr>
          <w:rFonts w:ascii="Georgia" w:hAnsi="Georgia"/>
          <w:sz w:val="24"/>
          <w:szCs w:val="24"/>
        </w:rPr>
        <w:t xml:space="preserve">  Under the terms of that Order, CVA has </w:t>
      </w:r>
      <w:r w:rsidR="009610B2">
        <w:rPr>
          <w:rFonts w:ascii="Georgia" w:hAnsi="Georgia"/>
          <w:sz w:val="24"/>
          <w:szCs w:val="24"/>
        </w:rPr>
        <w:t>implemented</w:t>
      </w:r>
      <w:r w:rsidR="009610B2" w:rsidRPr="009B742C">
        <w:rPr>
          <w:rFonts w:ascii="Georgia" w:hAnsi="Georgia"/>
          <w:sz w:val="24"/>
          <w:szCs w:val="24"/>
        </w:rPr>
        <w:t xml:space="preserve"> </w:t>
      </w:r>
      <w:r w:rsidRPr="009B742C">
        <w:rPr>
          <w:rFonts w:ascii="Georgia" w:hAnsi="Georgia"/>
          <w:sz w:val="24"/>
          <w:szCs w:val="24"/>
        </w:rPr>
        <w:t>a R</w:t>
      </w:r>
      <w:r w:rsidR="007E0CB3">
        <w:rPr>
          <w:rFonts w:ascii="Georgia" w:hAnsi="Georgia"/>
          <w:sz w:val="24"/>
          <w:szCs w:val="24"/>
        </w:rPr>
        <w:t xml:space="preserve">evenue </w:t>
      </w:r>
      <w:r w:rsidRPr="009B742C">
        <w:rPr>
          <w:rFonts w:ascii="Georgia" w:hAnsi="Georgia"/>
          <w:sz w:val="24"/>
          <w:szCs w:val="24"/>
        </w:rPr>
        <w:t>N</w:t>
      </w:r>
      <w:r w:rsidR="007E0CB3">
        <w:rPr>
          <w:rFonts w:ascii="Georgia" w:hAnsi="Georgia"/>
          <w:sz w:val="24"/>
          <w:szCs w:val="24"/>
        </w:rPr>
        <w:t xml:space="preserve">ormalization </w:t>
      </w:r>
      <w:r w:rsidRPr="009B742C">
        <w:rPr>
          <w:rFonts w:ascii="Georgia" w:hAnsi="Georgia"/>
          <w:sz w:val="24"/>
          <w:szCs w:val="24"/>
        </w:rPr>
        <w:t>A</w:t>
      </w:r>
      <w:r w:rsidR="007E0CB3">
        <w:rPr>
          <w:rFonts w:ascii="Georgia" w:hAnsi="Georgia"/>
          <w:sz w:val="24"/>
          <w:szCs w:val="24"/>
        </w:rPr>
        <w:t>djustment</w:t>
      </w:r>
      <w:r w:rsidRPr="009B742C">
        <w:rPr>
          <w:rFonts w:ascii="Georgia" w:hAnsi="Georgia"/>
          <w:sz w:val="24"/>
          <w:szCs w:val="24"/>
        </w:rPr>
        <w:t xml:space="preserve"> designed to reconcile weather-normalized non-gas-distribution revenues per customer to allowed distribution revenues per customer.  The RNA serves to mitigate the impact of decreasing sales on CVA’s ability to recover its costs.  In addition, on December 17, 2010, the SCC granted CVA a rate increase in which it increased fixed customer charges for all classes of customers and also approved a </w:t>
      </w:r>
      <w:r w:rsidR="007B6EA7">
        <w:rPr>
          <w:rFonts w:ascii="Georgia" w:hAnsi="Georgia"/>
          <w:sz w:val="24"/>
          <w:szCs w:val="24"/>
        </w:rPr>
        <w:t>WNA</w:t>
      </w:r>
      <w:r w:rsidRPr="009B742C">
        <w:rPr>
          <w:rFonts w:ascii="Georgia" w:hAnsi="Georgia"/>
          <w:sz w:val="24"/>
          <w:szCs w:val="24"/>
        </w:rPr>
        <w:t xml:space="preserve">, both of which </w:t>
      </w:r>
      <w:r w:rsidR="009610B2">
        <w:rPr>
          <w:rFonts w:ascii="Georgia" w:hAnsi="Georgia"/>
          <w:sz w:val="24"/>
          <w:szCs w:val="24"/>
        </w:rPr>
        <w:t>serve</w:t>
      </w:r>
      <w:r w:rsidR="009610B2" w:rsidRPr="009B742C">
        <w:rPr>
          <w:rFonts w:ascii="Georgia" w:hAnsi="Georgia"/>
          <w:sz w:val="24"/>
          <w:szCs w:val="24"/>
        </w:rPr>
        <w:t xml:space="preserve"> </w:t>
      </w:r>
      <w:r w:rsidRPr="009B742C">
        <w:rPr>
          <w:rFonts w:ascii="Georgia" w:hAnsi="Georgia"/>
          <w:sz w:val="24"/>
          <w:szCs w:val="24"/>
        </w:rPr>
        <w:t xml:space="preserve">to mitigate </w:t>
      </w:r>
      <w:r w:rsidRPr="009B742C">
        <w:rPr>
          <w:rFonts w:ascii="Georgia" w:hAnsi="Georgia"/>
          <w:sz w:val="24"/>
          <w:szCs w:val="24"/>
        </w:rPr>
        <w:lastRenderedPageBreak/>
        <w:t xml:space="preserve">the impact of weather on CVA’s revenues and </w:t>
      </w:r>
      <w:r w:rsidR="00C12990">
        <w:rPr>
          <w:rFonts w:ascii="Georgia" w:hAnsi="Georgia"/>
          <w:sz w:val="24"/>
          <w:szCs w:val="24"/>
        </w:rPr>
        <w:t>customers’ bills</w:t>
      </w:r>
      <w:r w:rsidRPr="009B742C">
        <w:rPr>
          <w:rFonts w:ascii="Georgia" w:hAnsi="Georgia"/>
          <w:sz w:val="24"/>
          <w:szCs w:val="24"/>
        </w:rPr>
        <w:t xml:space="preserve">.  </w:t>
      </w:r>
      <w:r w:rsidR="00525C87">
        <w:rPr>
          <w:rFonts w:ascii="Georgia" w:hAnsi="Georgia"/>
          <w:sz w:val="24"/>
          <w:szCs w:val="24"/>
        </w:rPr>
        <w:t>CVA’s</w:t>
      </w:r>
      <w:r w:rsidR="00B46791">
        <w:rPr>
          <w:rFonts w:ascii="Georgia" w:hAnsi="Georgia"/>
          <w:sz w:val="24"/>
          <w:szCs w:val="24"/>
        </w:rPr>
        <w:t xml:space="preserve"> RNA applies to residential and commercial small general service customers, but does not apply to industrial small general service customers</w:t>
      </w:r>
      <w:r w:rsidR="009610B2">
        <w:rPr>
          <w:rFonts w:ascii="Georgia" w:hAnsi="Georgia"/>
          <w:sz w:val="24"/>
          <w:szCs w:val="24"/>
        </w:rPr>
        <w:t>.</w:t>
      </w:r>
      <w:r w:rsidR="00B46791">
        <w:rPr>
          <w:rStyle w:val="FootnoteReference"/>
          <w:rFonts w:ascii="Georgia" w:hAnsi="Georgia"/>
          <w:sz w:val="24"/>
          <w:szCs w:val="24"/>
        </w:rPr>
        <w:footnoteReference w:id="8"/>
      </w:r>
      <w:r w:rsidR="006E5270">
        <w:rPr>
          <w:rFonts w:ascii="Georgia" w:hAnsi="Georgia"/>
          <w:sz w:val="24"/>
          <w:szCs w:val="24"/>
        </w:rPr>
        <w:t xml:space="preserve">  </w:t>
      </w:r>
    </w:p>
    <w:p w14:paraId="54DA6F88" w14:textId="6F2EB626" w:rsidR="006E5270" w:rsidRDefault="006E5270" w:rsidP="00C23A1D">
      <w:pPr>
        <w:spacing w:after="0" w:line="480" w:lineRule="auto"/>
        <w:ind w:firstLine="720"/>
        <w:jc w:val="both"/>
        <w:rPr>
          <w:rFonts w:ascii="Georgia" w:hAnsi="Georgia"/>
          <w:sz w:val="24"/>
          <w:szCs w:val="24"/>
        </w:rPr>
      </w:pPr>
      <w:r>
        <w:rPr>
          <w:rFonts w:ascii="Georgia" w:hAnsi="Georgia"/>
          <w:sz w:val="24"/>
          <w:szCs w:val="24"/>
        </w:rPr>
        <w:t>Columbia Gas of Maryland, Inc. (“CMD”) and Columbia Gas of Kentucky, Inc. (“CKY”) have WNA mechanisms with no dead band</w:t>
      </w:r>
      <w:r w:rsidR="00C23A1D">
        <w:rPr>
          <w:rFonts w:ascii="Georgia" w:hAnsi="Georgia"/>
          <w:sz w:val="24"/>
          <w:szCs w:val="24"/>
        </w:rPr>
        <w:t>s</w:t>
      </w:r>
      <w:r>
        <w:rPr>
          <w:rFonts w:ascii="Georgia" w:hAnsi="Georgia"/>
          <w:sz w:val="24"/>
          <w:szCs w:val="24"/>
        </w:rPr>
        <w:t xml:space="preserve"> for adjustments</w:t>
      </w:r>
      <w:r w:rsidR="00C23A1D">
        <w:rPr>
          <w:rFonts w:ascii="Georgia" w:hAnsi="Georgia"/>
          <w:sz w:val="24"/>
          <w:szCs w:val="24"/>
        </w:rPr>
        <w:t>.  The</w:t>
      </w:r>
      <w:r w:rsidR="004C6D58">
        <w:rPr>
          <w:rFonts w:ascii="Georgia" w:hAnsi="Georgia"/>
          <w:sz w:val="24"/>
          <w:szCs w:val="24"/>
        </w:rPr>
        <w:t>se</w:t>
      </w:r>
      <w:r w:rsidR="00C23A1D">
        <w:rPr>
          <w:rFonts w:ascii="Georgia" w:hAnsi="Georgia"/>
          <w:sz w:val="24"/>
          <w:szCs w:val="24"/>
        </w:rPr>
        <w:t xml:space="preserve"> WNA </w:t>
      </w:r>
      <w:r w:rsidR="00525C87">
        <w:rPr>
          <w:rFonts w:ascii="Georgia" w:hAnsi="Georgia"/>
          <w:sz w:val="24"/>
          <w:szCs w:val="24"/>
        </w:rPr>
        <w:t>mechanism</w:t>
      </w:r>
      <w:r w:rsidR="004C6D58">
        <w:rPr>
          <w:rFonts w:ascii="Georgia" w:hAnsi="Georgia"/>
          <w:sz w:val="24"/>
          <w:szCs w:val="24"/>
        </w:rPr>
        <w:t>s</w:t>
      </w:r>
      <w:r w:rsidR="00525C87">
        <w:rPr>
          <w:rFonts w:ascii="Georgia" w:hAnsi="Georgia"/>
          <w:sz w:val="24"/>
          <w:szCs w:val="24"/>
        </w:rPr>
        <w:t xml:space="preserve"> </w:t>
      </w:r>
      <w:r w:rsidR="004C6D58">
        <w:rPr>
          <w:rFonts w:ascii="Georgia" w:hAnsi="Georgia"/>
          <w:sz w:val="24"/>
          <w:szCs w:val="24"/>
        </w:rPr>
        <w:t>are</w:t>
      </w:r>
      <w:r w:rsidR="00C23A1D">
        <w:rPr>
          <w:rFonts w:ascii="Georgia" w:hAnsi="Georgia"/>
          <w:sz w:val="24"/>
          <w:szCs w:val="24"/>
        </w:rPr>
        <w:t xml:space="preserve"> applied to residential and small commercial customers and </w:t>
      </w:r>
      <w:r w:rsidR="006A607E">
        <w:rPr>
          <w:rFonts w:ascii="Georgia" w:hAnsi="Georgia"/>
          <w:sz w:val="24"/>
          <w:szCs w:val="24"/>
        </w:rPr>
        <w:t>are</w:t>
      </w:r>
      <w:r w:rsidR="00C23A1D">
        <w:rPr>
          <w:rFonts w:ascii="Georgia" w:hAnsi="Georgia"/>
          <w:sz w:val="24"/>
          <w:szCs w:val="24"/>
        </w:rPr>
        <w:t xml:space="preserve"> effective for the months of December through April.  </w:t>
      </w:r>
      <w:r>
        <w:rPr>
          <w:rFonts w:ascii="Georgia" w:hAnsi="Georgia"/>
          <w:sz w:val="24"/>
          <w:szCs w:val="24"/>
        </w:rPr>
        <w:t>CMD also has a monthly</w:t>
      </w:r>
      <w:r w:rsidR="00C23A1D">
        <w:rPr>
          <w:rFonts w:ascii="Georgia" w:hAnsi="Georgia"/>
          <w:sz w:val="24"/>
          <w:szCs w:val="24"/>
        </w:rPr>
        <w:t xml:space="preserve"> RNA adjustment</w:t>
      </w:r>
      <w:r>
        <w:rPr>
          <w:rFonts w:ascii="Georgia" w:hAnsi="Georgia"/>
          <w:sz w:val="24"/>
          <w:szCs w:val="24"/>
        </w:rPr>
        <w:t xml:space="preserve"> for residential customers.</w:t>
      </w:r>
      <w:r w:rsidR="00C23A1D">
        <w:rPr>
          <w:rFonts w:ascii="Georgia" w:hAnsi="Georgia"/>
          <w:sz w:val="24"/>
          <w:szCs w:val="24"/>
        </w:rPr>
        <w:t xml:space="preserve">  </w:t>
      </w:r>
    </w:p>
    <w:p w14:paraId="430F3879" w14:textId="6BDFCDD4" w:rsidR="00B348B8" w:rsidRDefault="00B348B8" w:rsidP="00A23626">
      <w:pPr>
        <w:spacing w:after="0" w:line="480" w:lineRule="auto"/>
        <w:jc w:val="both"/>
        <w:rPr>
          <w:rFonts w:ascii="Georgia" w:hAnsi="Georgia"/>
          <w:sz w:val="24"/>
          <w:szCs w:val="24"/>
        </w:rPr>
      </w:pPr>
      <w:r w:rsidRPr="00B348B8">
        <w:rPr>
          <w:rFonts w:ascii="Georgia" w:hAnsi="Georgia"/>
          <w:b/>
          <w:sz w:val="24"/>
          <w:szCs w:val="24"/>
          <w:u w:val="single"/>
        </w:rPr>
        <w:t>Conclusion</w:t>
      </w:r>
    </w:p>
    <w:p w14:paraId="37252B5F" w14:textId="601B41CD" w:rsidR="00B348B8" w:rsidRDefault="00AA58F4" w:rsidP="00A23626">
      <w:pPr>
        <w:spacing w:after="0" w:line="480" w:lineRule="auto"/>
        <w:jc w:val="both"/>
        <w:rPr>
          <w:rFonts w:ascii="Georgia" w:hAnsi="Georgia"/>
          <w:sz w:val="24"/>
          <w:szCs w:val="24"/>
        </w:rPr>
      </w:pPr>
      <w:r>
        <w:rPr>
          <w:rFonts w:ascii="Georgia" w:hAnsi="Georgia"/>
          <w:sz w:val="24"/>
          <w:szCs w:val="24"/>
        </w:rPr>
        <w:tab/>
      </w:r>
      <w:r w:rsidR="009610B2">
        <w:rPr>
          <w:rFonts w:ascii="Georgia" w:hAnsi="Georgia"/>
          <w:sz w:val="24"/>
          <w:szCs w:val="24"/>
        </w:rPr>
        <w:t xml:space="preserve">In closing, </w:t>
      </w:r>
      <w:r>
        <w:rPr>
          <w:rFonts w:ascii="Georgia" w:hAnsi="Georgia"/>
          <w:sz w:val="24"/>
          <w:szCs w:val="24"/>
        </w:rPr>
        <w:t>Columbia</w:t>
      </w:r>
      <w:r w:rsidR="009610B2">
        <w:rPr>
          <w:rFonts w:ascii="Georgia" w:hAnsi="Georgia"/>
          <w:sz w:val="24"/>
          <w:szCs w:val="24"/>
        </w:rPr>
        <w:t>, and its affiliated gas companies in Maryland, Virginia, Kentucky, Massachusetts, and Ohio</w:t>
      </w:r>
      <w:r>
        <w:rPr>
          <w:rFonts w:ascii="Georgia" w:hAnsi="Georgia"/>
          <w:sz w:val="24"/>
          <w:szCs w:val="24"/>
        </w:rPr>
        <w:t xml:space="preserve"> ha</w:t>
      </w:r>
      <w:r w:rsidR="009610B2">
        <w:rPr>
          <w:rFonts w:ascii="Georgia" w:hAnsi="Georgia"/>
          <w:sz w:val="24"/>
          <w:szCs w:val="24"/>
        </w:rPr>
        <w:t>ve</w:t>
      </w:r>
      <w:r>
        <w:rPr>
          <w:rFonts w:ascii="Georgia" w:hAnsi="Georgia"/>
          <w:sz w:val="24"/>
          <w:szCs w:val="24"/>
        </w:rPr>
        <w:t xml:space="preserve"> determined that the use of alternative rate designs is appropriate</w:t>
      </w:r>
      <w:r w:rsidR="009610B2">
        <w:rPr>
          <w:rFonts w:ascii="Georgia" w:hAnsi="Georgia"/>
          <w:sz w:val="24"/>
          <w:szCs w:val="24"/>
        </w:rPr>
        <w:t xml:space="preserve"> and beneficial for use on their systems.  Indeed, each of the gas companies providing natural gas distribution service under the Columbia Gas brand in these states </w:t>
      </w:r>
      <w:r>
        <w:rPr>
          <w:rFonts w:ascii="Georgia" w:hAnsi="Georgia"/>
          <w:sz w:val="24"/>
          <w:szCs w:val="24"/>
        </w:rPr>
        <w:t xml:space="preserve">has requested and received approval of various mechanisms.  </w:t>
      </w:r>
      <w:r w:rsidR="00525C87">
        <w:rPr>
          <w:rFonts w:ascii="Georgia" w:hAnsi="Georgia"/>
          <w:sz w:val="24"/>
          <w:szCs w:val="24"/>
        </w:rPr>
        <w:t>As with the Columbia companies, e</w:t>
      </w:r>
      <w:r>
        <w:rPr>
          <w:rFonts w:ascii="Georgia" w:hAnsi="Georgia"/>
          <w:sz w:val="24"/>
          <w:szCs w:val="24"/>
        </w:rPr>
        <w:t xml:space="preserve">ach utilities’ rate design options should be carefully analyzed, since there is not a single rate design applicable in all circumstances.  For the reasons described in this testimony, Columbia Gas of Pennsylvania’s </w:t>
      </w:r>
      <w:r w:rsidR="009610B2">
        <w:rPr>
          <w:rFonts w:ascii="Georgia" w:hAnsi="Georgia"/>
          <w:sz w:val="24"/>
          <w:szCs w:val="24"/>
        </w:rPr>
        <w:t xml:space="preserve">continues to maintain that the </w:t>
      </w:r>
      <w:r>
        <w:rPr>
          <w:rFonts w:ascii="Georgia" w:hAnsi="Georgia"/>
          <w:sz w:val="24"/>
          <w:szCs w:val="24"/>
        </w:rPr>
        <w:t xml:space="preserve">preferred rate design option for its residential customers is </w:t>
      </w:r>
      <w:r w:rsidR="009610B2">
        <w:rPr>
          <w:rFonts w:ascii="Georgia" w:hAnsi="Georgia"/>
          <w:sz w:val="24"/>
          <w:szCs w:val="24"/>
        </w:rPr>
        <w:t xml:space="preserve">a </w:t>
      </w:r>
      <w:r>
        <w:rPr>
          <w:rFonts w:ascii="Georgia" w:hAnsi="Georgia"/>
          <w:sz w:val="24"/>
          <w:szCs w:val="24"/>
        </w:rPr>
        <w:t>L</w:t>
      </w:r>
      <w:r w:rsidR="009610B2">
        <w:rPr>
          <w:rFonts w:ascii="Georgia" w:hAnsi="Georgia"/>
          <w:sz w:val="24"/>
          <w:szCs w:val="24"/>
        </w:rPr>
        <w:t xml:space="preserve">evelized </w:t>
      </w:r>
      <w:r>
        <w:rPr>
          <w:rFonts w:ascii="Georgia" w:hAnsi="Georgia"/>
          <w:sz w:val="24"/>
          <w:szCs w:val="24"/>
        </w:rPr>
        <w:t>D</w:t>
      </w:r>
      <w:r w:rsidR="009610B2">
        <w:rPr>
          <w:rFonts w:ascii="Georgia" w:hAnsi="Georgia"/>
          <w:sz w:val="24"/>
          <w:szCs w:val="24"/>
        </w:rPr>
        <w:t xml:space="preserve">istribution </w:t>
      </w:r>
      <w:r>
        <w:rPr>
          <w:rFonts w:ascii="Georgia" w:hAnsi="Georgia"/>
          <w:sz w:val="24"/>
          <w:szCs w:val="24"/>
        </w:rPr>
        <w:t>C</w:t>
      </w:r>
      <w:r w:rsidR="009610B2">
        <w:rPr>
          <w:rFonts w:ascii="Georgia" w:hAnsi="Georgia"/>
          <w:sz w:val="24"/>
          <w:szCs w:val="24"/>
        </w:rPr>
        <w:t>harge</w:t>
      </w:r>
      <w:r>
        <w:rPr>
          <w:rFonts w:ascii="Georgia" w:hAnsi="Georgia"/>
          <w:sz w:val="24"/>
          <w:szCs w:val="24"/>
        </w:rPr>
        <w:t>.</w:t>
      </w:r>
    </w:p>
    <w:p w14:paraId="4FBBC8C2" w14:textId="77777777" w:rsidR="00C17FDC" w:rsidRDefault="00C17FDC" w:rsidP="00A23626">
      <w:pPr>
        <w:spacing w:after="0" w:line="480" w:lineRule="auto"/>
        <w:jc w:val="both"/>
        <w:rPr>
          <w:rFonts w:ascii="Georgia" w:hAnsi="Georgia"/>
          <w:sz w:val="24"/>
          <w:szCs w:val="24"/>
        </w:rPr>
      </w:pPr>
    </w:p>
    <w:p w14:paraId="7211986F" w14:textId="2811D1FD" w:rsidR="00C17FDC" w:rsidRPr="00B348B8" w:rsidRDefault="00C17FDC" w:rsidP="00A23626">
      <w:pPr>
        <w:spacing w:after="0" w:line="480" w:lineRule="auto"/>
        <w:jc w:val="both"/>
        <w:rPr>
          <w:rFonts w:ascii="Georgia" w:hAnsi="Georgia"/>
          <w:sz w:val="24"/>
          <w:szCs w:val="24"/>
        </w:rPr>
      </w:pPr>
      <w:r>
        <w:rPr>
          <w:rFonts w:ascii="Georgia" w:hAnsi="Georgia"/>
          <w:sz w:val="24"/>
          <w:szCs w:val="24"/>
        </w:rPr>
        <w:t>Presented on March 3, 2016.</w:t>
      </w:r>
    </w:p>
    <w:sectPr w:rsidR="00C17FDC" w:rsidRPr="00B348B8" w:rsidSect="0007515A">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2C7DA" w14:textId="77777777" w:rsidR="00F44090" w:rsidRDefault="00F44090" w:rsidP="00CA6829">
      <w:pPr>
        <w:spacing w:after="0" w:line="240" w:lineRule="auto"/>
      </w:pPr>
      <w:r>
        <w:separator/>
      </w:r>
    </w:p>
  </w:endnote>
  <w:endnote w:type="continuationSeparator" w:id="0">
    <w:p w14:paraId="3AF661CC" w14:textId="77777777" w:rsidR="00F44090" w:rsidRDefault="00F44090" w:rsidP="00CA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26266" w14:textId="77777777" w:rsidR="00F44090" w:rsidRDefault="00F44090" w:rsidP="00CA6829">
      <w:pPr>
        <w:spacing w:after="0" w:line="240" w:lineRule="auto"/>
      </w:pPr>
      <w:r>
        <w:separator/>
      </w:r>
    </w:p>
  </w:footnote>
  <w:footnote w:type="continuationSeparator" w:id="0">
    <w:p w14:paraId="0666B547" w14:textId="77777777" w:rsidR="00F44090" w:rsidRDefault="00F44090" w:rsidP="00CA6829">
      <w:pPr>
        <w:spacing w:after="0" w:line="240" w:lineRule="auto"/>
      </w:pPr>
      <w:r>
        <w:continuationSeparator/>
      </w:r>
    </w:p>
  </w:footnote>
  <w:footnote w:id="1">
    <w:p w14:paraId="6273276D" w14:textId="69CF73B1" w:rsidR="00BF7632" w:rsidRPr="004F7A44" w:rsidRDefault="00BF7632" w:rsidP="00A23626">
      <w:pPr>
        <w:pStyle w:val="FootnoteText"/>
        <w:jc w:val="both"/>
        <w:rPr>
          <w:rFonts w:ascii="Georgia" w:hAnsi="Georgia"/>
        </w:rPr>
      </w:pPr>
      <w:r w:rsidRPr="004F7A44">
        <w:rPr>
          <w:rStyle w:val="FootnoteReference"/>
          <w:rFonts w:ascii="Georgia" w:hAnsi="Georgia"/>
        </w:rPr>
        <w:footnoteRef/>
      </w:r>
      <w:r w:rsidRPr="004F7A44">
        <w:rPr>
          <w:rFonts w:ascii="Georgia" w:hAnsi="Georgia"/>
        </w:rPr>
        <w:t xml:space="preserve"> As Director of Regulatory Strategy and Support, my principal responsibilities include all regulatory activities for Columbia Gas of Pennsylvania, Inc.  I oversee and prepare regulatory compliance filings and provide base rate case support.  </w:t>
      </w:r>
      <w:r w:rsidR="001F53F8" w:rsidRPr="004F7A44">
        <w:rPr>
          <w:rFonts w:ascii="Georgia" w:hAnsi="Georgia"/>
        </w:rPr>
        <w:t>I served as Columbia’s Rate Design Witness in Docket R-2012-2321748</w:t>
      </w:r>
      <w:r w:rsidR="00F54737">
        <w:rPr>
          <w:rFonts w:ascii="Georgia" w:hAnsi="Georgia"/>
        </w:rPr>
        <w:t>, where I presented proposals for three residential alternative rate designs, as discussed in this testimony</w:t>
      </w:r>
      <w:r w:rsidR="001F53F8" w:rsidRPr="004F7A44">
        <w:rPr>
          <w:rFonts w:ascii="Georgia" w:hAnsi="Georgia"/>
        </w:rPr>
        <w:t>.</w:t>
      </w:r>
    </w:p>
  </w:footnote>
  <w:footnote w:id="2">
    <w:p w14:paraId="1BBDC70B" w14:textId="77777777" w:rsidR="005D3E4D" w:rsidRPr="004F7A44" w:rsidRDefault="005D3E4D" w:rsidP="005D3E4D">
      <w:pPr>
        <w:pStyle w:val="FootnoteText"/>
        <w:jc w:val="both"/>
        <w:rPr>
          <w:rFonts w:ascii="Georgia" w:hAnsi="Georgia"/>
        </w:rPr>
      </w:pPr>
      <w:r w:rsidRPr="004F7A44">
        <w:rPr>
          <w:rStyle w:val="FootnoteReference"/>
          <w:rFonts w:ascii="Georgia" w:hAnsi="Georgia"/>
        </w:rPr>
        <w:footnoteRef/>
      </w:r>
      <w:r w:rsidRPr="004F7A44">
        <w:rPr>
          <w:rFonts w:ascii="Georgia" w:hAnsi="Georgia"/>
        </w:rPr>
        <w:t xml:space="preserve"> Order dated Dec. 3, 2008 at Case Nos. 08-0072-GA-AIR, 08-0073-GA-ALT, 08-0074-GA-AAM and 08-0075-GA-AAM</w:t>
      </w:r>
    </w:p>
  </w:footnote>
  <w:footnote w:id="3">
    <w:p w14:paraId="5A89A6B8" w14:textId="77777777" w:rsidR="005D3E4D" w:rsidRPr="004F7A44" w:rsidRDefault="005D3E4D" w:rsidP="005D3E4D">
      <w:pPr>
        <w:pStyle w:val="FootnoteText"/>
        <w:jc w:val="both"/>
        <w:rPr>
          <w:rFonts w:ascii="Georgia" w:hAnsi="Georgia"/>
        </w:rPr>
      </w:pPr>
      <w:r w:rsidRPr="004F7A44">
        <w:rPr>
          <w:rStyle w:val="FootnoteReference"/>
          <w:rFonts w:ascii="Georgia" w:hAnsi="Georgia"/>
        </w:rPr>
        <w:footnoteRef/>
      </w:r>
      <w:r w:rsidRPr="004F7A44">
        <w:rPr>
          <w:rFonts w:ascii="Georgia" w:hAnsi="Georgia"/>
        </w:rPr>
        <w:t xml:space="preserve"> </w:t>
      </w:r>
      <w:r w:rsidRPr="004F7A44">
        <w:rPr>
          <w:rFonts w:ascii="Georgia" w:hAnsi="Georgia"/>
          <w:i/>
        </w:rPr>
        <w:t xml:space="preserve">Ohio Consumers’ Council v. Pub. Util. Comm., </w:t>
      </w:r>
      <w:r w:rsidRPr="004F7A44">
        <w:rPr>
          <w:rFonts w:ascii="Georgia" w:hAnsi="Georgia"/>
        </w:rPr>
        <w:t>Slip Opinion No. 2010-Ohio-6329 (Dec. 23, 2010)</w:t>
      </w:r>
    </w:p>
  </w:footnote>
  <w:footnote w:id="4">
    <w:p w14:paraId="6DCDCF40" w14:textId="77777777" w:rsidR="005D3E4D" w:rsidRPr="004F7A44" w:rsidRDefault="005D3E4D" w:rsidP="005D3E4D">
      <w:pPr>
        <w:pStyle w:val="FootnoteText"/>
        <w:rPr>
          <w:rFonts w:ascii="Georgia" w:hAnsi="Georgia"/>
        </w:rPr>
      </w:pPr>
      <w:r w:rsidRPr="004F7A44">
        <w:rPr>
          <w:rStyle w:val="FootnoteReference"/>
          <w:rFonts w:ascii="Georgia" w:hAnsi="Georgia"/>
        </w:rPr>
        <w:footnoteRef/>
      </w:r>
      <w:r w:rsidRPr="004F7A44">
        <w:rPr>
          <w:rFonts w:ascii="Georgia" w:hAnsi="Georgia"/>
        </w:rPr>
        <w:t xml:space="preserve"> </w:t>
      </w:r>
      <w:r w:rsidRPr="004F7A44">
        <w:rPr>
          <w:rFonts w:ascii="Georgia" w:hAnsi="Georgia"/>
          <w:i/>
        </w:rPr>
        <w:t>Id.</w:t>
      </w:r>
    </w:p>
  </w:footnote>
  <w:footnote w:id="5">
    <w:p w14:paraId="46EA8D05" w14:textId="7E575BCB" w:rsidR="00255422" w:rsidRPr="004F7A44" w:rsidRDefault="00255422" w:rsidP="00A23626">
      <w:pPr>
        <w:pStyle w:val="FootnoteText"/>
        <w:jc w:val="both"/>
        <w:rPr>
          <w:rFonts w:ascii="Georgia" w:hAnsi="Georgia"/>
        </w:rPr>
      </w:pPr>
      <w:r w:rsidRPr="004F7A44">
        <w:rPr>
          <w:rStyle w:val="FootnoteReference"/>
          <w:rFonts w:ascii="Georgia" w:hAnsi="Georgia"/>
        </w:rPr>
        <w:footnoteRef/>
      </w:r>
      <w:r w:rsidRPr="004F7A44">
        <w:rPr>
          <w:rFonts w:ascii="Georgia" w:hAnsi="Georgia"/>
        </w:rPr>
        <w:t xml:space="preserve"> Bay State Gas Company d/b/a Columbia Gas of Massachusetts; Order dated Oct. 30, 2009 at Docket No. D.P.U. 09-30.</w:t>
      </w:r>
    </w:p>
  </w:footnote>
  <w:footnote w:id="6">
    <w:p w14:paraId="0DAAD251" w14:textId="58482E8A" w:rsidR="0000103C" w:rsidRPr="004F7A44" w:rsidRDefault="0000103C" w:rsidP="00A23626">
      <w:pPr>
        <w:pStyle w:val="FootnoteText"/>
        <w:jc w:val="both"/>
        <w:rPr>
          <w:rFonts w:ascii="Georgia" w:hAnsi="Georgia"/>
        </w:rPr>
      </w:pPr>
      <w:r w:rsidRPr="00F2027E">
        <w:rPr>
          <w:rStyle w:val="FootnoteReference"/>
          <w:rFonts w:ascii="Georgia" w:hAnsi="Georgia"/>
        </w:rPr>
        <w:footnoteRef/>
      </w:r>
      <w:r w:rsidRPr="00F2027E">
        <w:rPr>
          <w:rFonts w:ascii="Georgia" w:hAnsi="Georgia"/>
        </w:rPr>
        <w:t xml:space="preserve"> </w:t>
      </w:r>
      <w:r w:rsidR="00F2027E">
        <w:rPr>
          <w:rFonts w:ascii="Georgia" w:hAnsi="Georgia"/>
        </w:rPr>
        <w:t>Columbia Gas of Massachusetts; Order date Oct. 7, 2015 at Docket No. D.P.U 15-50</w:t>
      </w:r>
    </w:p>
  </w:footnote>
  <w:footnote w:id="7">
    <w:p w14:paraId="4C3581E6" w14:textId="21E5014F" w:rsidR="0000103C" w:rsidRPr="004F7A44" w:rsidRDefault="0000103C" w:rsidP="00A23626">
      <w:pPr>
        <w:pStyle w:val="FootnoteText"/>
        <w:jc w:val="both"/>
        <w:rPr>
          <w:rFonts w:ascii="Georgia" w:hAnsi="Georgia"/>
        </w:rPr>
      </w:pPr>
      <w:r w:rsidRPr="004F7A44">
        <w:rPr>
          <w:rStyle w:val="FootnoteReference"/>
          <w:rFonts w:ascii="Georgia" w:hAnsi="Georgia"/>
        </w:rPr>
        <w:footnoteRef/>
      </w:r>
      <w:r w:rsidRPr="004F7A44">
        <w:rPr>
          <w:rFonts w:ascii="Georgia" w:hAnsi="Georgia"/>
        </w:rPr>
        <w:t xml:space="preserve"> Order dated October 28, 2009 at Case No. PUE-2009-0051.  </w:t>
      </w:r>
    </w:p>
  </w:footnote>
  <w:footnote w:id="8">
    <w:p w14:paraId="4E4B641C" w14:textId="26A3A516" w:rsidR="00B46791" w:rsidRPr="004F7A44" w:rsidRDefault="00B46791">
      <w:pPr>
        <w:pStyle w:val="FootnoteText"/>
        <w:rPr>
          <w:rFonts w:ascii="Georgia" w:hAnsi="Georgia"/>
        </w:rPr>
      </w:pPr>
      <w:r w:rsidRPr="004F7A44">
        <w:rPr>
          <w:rStyle w:val="FootnoteReference"/>
          <w:rFonts w:ascii="Georgia" w:hAnsi="Georgia"/>
        </w:rPr>
        <w:footnoteRef/>
      </w:r>
      <w:r w:rsidRPr="004F7A44">
        <w:rPr>
          <w:rFonts w:ascii="Georgia" w:hAnsi="Georgia"/>
        </w:rPr>
        <w:t xml:space="preserve"> Case No. PUE-2010-000017 (Dec. 17,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40E2" w14:textId="59417D83" w:rsidR="0007515A" w:rsidRPr="0007515A" w:rsidRDefault="0007515A" w:rsidP="0007515A">
    <w:pPr>
      <w:pStyle w:val="Header"/>
      <w:jc w:val="right"/>
      <w:rPr>
        <w:rFonts w:ascii="Georgia" w:hAnsi="Georgia"/>
        <w:sz w:val="24"/>
        <w:szCs w:val="24"/>
      </w:rPr>
    </w:pPr>
    <w:r w:rsidRPr="0007515A">
      <w:rPr>
        <w:rFonts w:ascii="Georgia" w:hAnsi="Georgia"/>
        <w:sz w:val="24"/>
        <w:szCs w:val="24"/>
      </w:rPr>
      <w:t>P. Strauss</w:t>
    </w:r>
  </w:p>
  <w:p w14:paraId="33D9AE38" w14:textId="3891DA6B" w:rsidR="0007515A" w:rsidRPr="0007515A" w:rsidRDefault="0007515A" w:rsidP="0007515A">
    <w:pPr>
      <w:pStyle w:val="Header"/>
      <w:jc w:val="right"/>
      <w:rPr>
        <w:rFonts w:ascii="Georgia" w:hAnsi="Georgia"/>
        <w:sz w:val="24"/>
        <w:szCs w:val="24"/>
      </w:rPr>
    </w:pPr>
    <w:r w:rsidRPr="0007515A">
      <w:rPr>
        <w:rFonts w:ascii="Georgia" w:hAnsi="Georgia"/>
        <w:sz w:val="24"/>
        <w:szCs w:val="24"/>
      </w:rPr>
      <w:t xml:space="preserve">Page </w:t>
    </w:r>
    <w:r w:rsidRPr="0007515A">
      <w:rPr>
        <w:rFonts w:ascii="Georgia" w:hAnsi="Georgia"/>
        <w:bCs/>
        <w:sz w:val="24"/>
        <w:szCs w:val="24"/>
      </w:rPr>
      <w:fldChar w:fldCharType="begin"/>
    </w:r>
    <w:r w:rsidRPr="0007515A">
      <w:rPr>
        <w:rFonts w:ascii="Georgia" w:hAnsi="Georgia"/>
        <w:bCs/>
        <w:sz w:val="24"/>
        <w:szCs w:val="24"/>
      </w:rPr>
      <w:instrText xml:space="preserve"> PAGE  \* Arabic  \* MERGEFORMAT </w:instrText>
    </w:r>
    <w:r w:rsidRPr="0007515A">
      <w:rPr>
        <w:rFonts w:ascii="Georgia" w:hAnsi="Georgia"/>
        <w:bCs/>
        <w:sz w:val="24"/>
        <w:szCs w:val="24"/>
      </w:rPr>
      <w:fldChar w:fldCharType="separate"/>
    </w:r>
    <w:r>
      <w:rPr>
        <w:rFonts w:ascii="Georgia" w:hAnsi="Georgia"/>
        <w:bCs/>
        <w:noProof/>
        <w:sz w:val="24"/>
        <w:szCs w:val="24"/>
      </w:rPr>
      <w:t>2</w:t>
    </w:r>
    <w:r w:rsidRPr="0007515A">
      <w:rPr>
        <w:rFonts w:ascii="Georgia" w:hAnsi="Georgia"/>
        <w:bCs/>
        <w:sz w:val="24"/>
        <w:szCs w:val="24"/>
      </w:rPr>
      <w:fldChar w:fldCharType="end"/>
    </w:r>
    <w:r w:rsidRPr="0007515A">
      <w:rPr>
        <w:rFonts w:ascii="Georgia" w:hAnsi="Georgia"/>
        <w:sz w:val="24"/>
        <w:szCs w:val="24"/>
      </w:rPr>
      <w:t xml:space="preserve"> of </w:t>
    </w:r>
    <w:r w:rsidRPr="0007515A">
      <w:rPr>
        <w:rFonts w:ascii="Georgia" w:hAnsi="Georgia"/>
        <w:bCs/>
        <w:sz w:val="24"/>
        <w:szCs w:val="24"/>
      </w:rPr>
      <w:fldChar w:fldCharType="begin"/>
    </w:r>
    <w:r w:rsidRPr="0007515A">
      <w:rPr>
        <w:rFonts w:ascii="Georgia" w:hAnsi="Georgia"/>
        <w:bCs/>
        <w:sz w:val="24"/>
        <w:szCs w:val="24"/>
      </w:rPr>
      <w:instrText xml:space="preserve"> NUMPAGES  \* Arabic  \* MERGEFORMAT </w:instrText>
    </w:r>
    <w:r w:rsidRPr="0007515A">
      <w:rPr>
        <w:rFonts w:ascii="Georgia" w:hAnsi="Georgia"/>
        <w:bCs/>
        <w:sz w:val="24"/>
        <w:szCs w:val="24"/>
      </w:rPr>
      <w:fldChar w:fldCharType="separate"/>
    </w:r>
    <w:r>
      <w:rPr>
        <w:rFonts w:ascii="Georgia" w:hAnsi="Georgia"/>
        <w:bCs/>
        <w:noProof/>
        <w:sz w:val="24"/>
        <w:szCs w:val="24"/>
      </w:rPr>
      <w:t>18</w:t>
    </w:r>
    <w:r w:rsidRPr="0007515A">
      <w:rPr>
        <w:rFonts w:ascii="Georgia" w:hAnsi="Georgia"/>
        <w:bCs/>
        <w:sz w:val="24"/>
        <w:szCs w:val="24"/>
      </w:rPr>
      <w:fldChar w:fldCharType="end"/>
    </w:r>
  </w:p>
  <w:p w14:paraId="29D5BBF9" w14:textId="77777777" w:rsidR="0007515A" w:rsidRDefault="00075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1" w15:restartNumberingAfterBreak="0">
    <w:nsid w:val="0159653C"/>
    <w:multiLevelType w:val="hybridMultilevel"/>
    <w:tmpl w:val="1112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A4409"/>
    <w:multiLevelType w:val="hybridMultilevel"/>
    <w:tmpl w:val="C372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3108B"/>
    <w:multiLevelType w:val="hybridMultilevel"/>
    <w:tmpl w:val="D2189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E6637"/>
    <w:multiLevelType w:val="hybridMultilevel"/>
    <w:tmpl w:val="76701C46"/>
    <w:lvl w:ilvl="0" w:tplc="A9B28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20A55"/>
    <w:multiLevelType w:val="hybridMultilevel"/>
    <w:tmpl w:val="46AEFC6E"/>
    <w:lvl w:ilvl="0" w:tplc="C3A67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A343D"/>
    <w:multiLevelType w:val="hybridMultilevel"/>
    <w:tmpl w:val="70D63824"/>
    <w:lvl w:ilvl="0" w:tplc="C7106A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B52C9E"/>
    <w:multiLevelType w:val="hybridMultilevel"/>
    <w:tmpl w:val="0D9C6FFE"/>
    <w:lvl w:ilvl="0" w:tplc="C4E2A86E">
      <w:start w:val="1"/>
      <w:numFmt w:val="decimal"/>
      <w:lvlText w:val="%1."/>
      <w:lvlJc w:val="left"/>
      <w:pPr>
        <w:ind w:left="3330" w:hanging="360"/>
      </w:pPr>
      <w:rPr>
        <w:rFonts w:cs="Times New Roman" w:hint="default"/>
        <w:sz w:val="24"/>
        <w:szCs w:val="24"/>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64964EC"/>
    <w:multiLevelType w:val="hybridMultilevel"/>
    <w:tmpl w:val="E87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86B76"/>
    <w:multiLevelType w:val="multilevel"/>
    <w:tmpl w:val="E704203A"/>
    <w:lvl w:ilvl="0">
      <w:start w:val="1"/>
      <w:numFmt w:val="upperRoman"/>
      <w:lvlRestart w:val="0"/>
      <w:pStyle w:val="Heading1"/>
      <w:lvlText w:val="%1."/>
      <w:lvlJc w:val="left"/>
      <w:pPr>
        <w:tabs>
          <w:tab w:val="num" w:pos="0"/>
        </w:tabs>
        <w:ind w:left="720" w:hanging="720"/>
      </w:pPr>
      <w:rPr>
        <w:rFonts w:ascii="(normal text)" w:hAnsi="(normal text)" w:cs="Times New Roman" w:hint="default"/>
        <w:b/>
        <w:i w:val="0"/>
        <w:caps/>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1440" w:hanging="72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2160" w:hanging="72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880" w:hanging="72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lowerRoman"/>
      <w:pStyle w:val="Heading5"/>
      <w:lvlText w:val="%5."/>
      <w:lvlJc w:val="left"/>
      <w:pPr>
        <w:tabs>
          <w:tab w:val="num" w:pos="0"/>
        </w:tabs>
        <w:ind w:left="3586" w:hanging="706"/>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upperLetter"/>
      <w:pStyle w:val="Heading6"/>
      <w:lvlText w:val="(%6)"/>
      <w:lvlJc w:val="left"/>
      <w:pPr>
        <w:tabs>
          <w:tab w:val="num" w:pos="0"/>
        </w:tabs>
        <w:ind w:left="4306"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pStyle w:val="Heading7"/>
      <w:lvlText w:val="(%7)"/>
      <w:lvlJc w:val="left"/>
      <w:pPr>
        <w:tabs>
          <w:tab w:val="num" w:pos="0"/>
        </w:tabs>
        <w:ind w:left="5026"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0"/>
        </w:tabs>
        <w:ind w:left="5746"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0"/>
        </w:tabs>
        <w:ind w:left="6466"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0" w15:restartNumberingAfterBreak="0">
    <w:nsid w:val="5C737122"/>
    <w:multiLevelType w:val="hybridMultilevel"/>
    <w:tmpl w:val="092A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35CE0"/>
    <w:multiLevelType w:val="hybridMultilevel"/>
    <w:tmpl w:val="8D5A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A7E5A"/>
    <w:multiLevelType w:val="hybridMultilevel"/>
    <w:tmpl w:val="4C0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362AE"/>
    <w:multiLevelType w:val="hybridMultilevel"/>
    <w:tmpl w:val="E1B0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D10BC"/>
    <w:multiLevelType w:val="hybridMultilevel"/>
    <w:tmpl w:val="75E0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C6C45"/>
    <w:multiLevelType w:val="hybridMultilevel"/>
    <w:tmpl w:val="F88CB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C54866"/>
    <w:multiLevelType w:val="hybridMultilevel"/>
    <w:tmpl w:val="548C105C"/>
    <w:lvl w:ilvl="0" w:tplc="C7106A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A9865BB"/>
    <w:multiLevelType w:val="hybridMultilevel"/>
    <w:tmpl w:val="4D2A9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949"/>
    <w:multiLevelType w:val="hybridMultilevel"/>
    <w:tmpl w:val="68F28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7"/>
  </w:num>
  <w:num w:numId="4">
    <w:abstractNumId w:val="16"/>
  </w:num>
  <w:num w:numId="5">
    <w:abstractNumId w:val="5"/>
  </w:num>
  <w:num w:numId="6">
    <w:abstractNumId w:val="9"/>
  </w:num>
  <w:num w:numId="7">
    <w:abstractNumId w:val="6"/>
  </w:num>
  <w:num w:numId="8">
    <w:abstractNumId w:val="0"/>
  </w:num>
  <w:num w:numId="9">
    <w:abstractNumId w:val="7"/>
  </w:num>
  <w:num w:numId="10">
    <w:abstractNumId w:val="4"/>
  </w:num>
  <w:num w:numId="11">
    <w:abstractNumId w:val="3"/>
  </w:num>
  <w:num w:numId="12">
    <w:abstractNumId w:val="8"/>
  </w:num>
  <w:num w:numId="13">
    <w:abstractNumId w:val="10"/>
  </w:num>
  <w:num w:numId="14">
    <w:abstractNumId w:val="2"/>
  </w:num>
  <w:num w:numId="15">
    <w:abstractNumId w:val="11"/>
  </w:num>
  <w:num w:numId="16">
    <w:abstractNumId w:val="13"/>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26"/>
    <w:rsid w:val="0000103C"/>
    <w:rsid w:val="000053A3"/>
    <w:rsid w:val="000257B7"/>
    <w:rsid w:val="00030ABE"/>
    <w:rsid w:val="00070BFF"/>
    <w:rsid w:val="00075099"/>
    <w:rsid w:val="0007515A"/>
    <w:rsid w:val="00077504"/>
    <w:rsid w:val="00085159"/>
    <w:rsid w:val="00087E66"/>
    <w:rsid w:val="000A0B23"/>
    <w:rsid w:val="000B4205"/>
    <w:rsid w:val="000D380F"/>
    <w:rsid w:val="000D3F6E"/>
    <w:rsid w:val="000E17A0"/>
    <w:rsid w:val="000F7295"/>
    <w:rsid w:val="0011266A"/>
    <w:rsid w:val="001178B5"/>
    <w:rsid w:val="001205F2"/>
    <w:rsid w:val="00124CB9"/>
    <w:rsid w:val="00125FFF"/>
    <w:rsid w:val="0012716D"/>
    <w:rsid w:val="00131047"/>
    <w:rsid w:val="001434E4"/>
    <w:rsid w:val="0015245C"/>
    <w:rsid w:val="0015271F"/>
    <w:rsid w:val="00153FD2"/>
    <w:rsid w:val="001620EF"/>
    <w:rsid w:val="0016409D"/>
    <w:rsid w:val="0017261E"/>
    <w:rsid w:val="0017751F"/>
    <w:rsid w:val="00190CB1"/>
    <w:rsid w:val="001945B3"/>
    <w:rsid w:val="0019562B"/>
    <w:rsid w:val="001A3F97"/>
    <w:rsid w:val="001B30D4"/>
    <w:rsid w:val="001C1EF5"/>
    <w:rsid w:val="001D6F95"/>
    <w:rsid w:val="001E19CC"/>
    <w:rsid w:val="001E4A61"/>
    <w:rsid w:val="001E6FF2"/>
    <w:rsid w:val="001E7A64"/>
    <w:rsid w:val="001F53F8"/>
    <w:rsid w:val="001F5978"/>
    <w:rsid w:val="001F60D3"/>
    <w:rsid w:val="0020378B"/>
    <w:rsid w:val="002047B3"/>
    <w:rsid w:val="0021106F"/>
    <w:rsid w:val="00230134"/>
    <w:rsid w:val="00237860"/>
    <w:rsid w:val="0024225C"/>
    <w:rsid w:val="00243485"/>
    <w:rsid w:val="00250372"/>
    <w:rsid w:val="00250D2E"/>
    <w:rsid w:val="00255422"/>
    <w:rsid w:val="00260776"/>
    <w:rsid w:val="00265978"/>
    <w:rsid w:val="00275CC5"/>
    <w:rsid w:val="0027691A"/>
    <w:rsid w:val="0027797D"/>
    <w:rsid w:val="00281335"/>
    <w:rsid w:val="00286BCD"/>
    <w:rsid w:val="002A0E7E"/>
    <w:rsid w:val="002A2C64"/>
    <w:rsid w:val="002A60BC"/>
    <w:rsid w:val="002A6577"/>
    <w:rsid w:val="002B189C"/>
    <w:rsid w:val="002B366B"/>
    <w:rsid w:val="002B7081"/>
    <w:rsid w:val="002C4A5D"/>
    <w:rsid w:val="002D1351"/>
    <w:rsid w:val="002D4469"/>
    <w:rsid w:val="002E2145"/>
    <w:rsid w:val="002F1CA6"/>
    <w:rsid w:val="002F463D"/>
    <w:rsid w:val="002F769B"/>
    <w:rsid w:val="00312DE7"/>
    <w:rsid w:val="00313B9E"/>
    <w:rsid w:val="00325D1D"/>
    <w:rsid w:val="00335B68"/>
    <w:rsid w:val="00360C25"/>
    <w:rsid w:val="00361B9A"/>
    <w:rsid w:val="003645FE"/>
    <w:rsid w:val="00372C70"/>
    <w:rsid w:val="003920F1"/>
    <w:rsid w:val="00395E7B"/>
    <w:rsid w:val="003976B5"/>
    <w:rsid w:val="003A43DF"/>
    <w:rsid w:val="003B091E"/>
    <w:rsid w:val="003B423D"/>
    <w:rsid w:val="003B482C"/>
    <w:rsid w:val="003C77B4"/>
    <w:rsid w:val="003D1EAA"/>
    <w:rsid w:val="003E0998"/>
    <w:rsid w:val="003E6C47"/>
    <w:rsid w:val="003F2F1E"/>
    <w:rsid w:val="003F59C3"/>
    <w:rsid w:val="003F76A5"/>
    <w:rsid w:val="00434082"/>
    <w:rsid w:val="00437E2F"/>
    <w:rsid w:val="004430EB"/>
    <w:rsid w:val="00444660"/>
    <w:rsid w:val="00454A1F"/>
    <w:rsid w:val="00455264"/>
    <w:rsid w:val="00455C88"/>
    <w:rsid w:val="004568C5"/>
    <w:rsid w:val="0046168C"/>
    <w:rsid w:val="00463A9F"/>
    <w:rsid w:val="00464764"/>
    <w:rsid w:val="00465062"/>
    <w:rsid w:val="00471572"/>
    <w:rsid w:val="0047221D"/>
    <w:rsid w:val="00474C44"/>
    <w:rsid w:val="00476471"/>
    <w:rsid w:val="00480147"/>
    <w:rsid w:val="00495AFC"/>
    <w:rsid w:val="004A00E4"/>
    <w:rsid w:val="004A1221"/>
    <w:rsid w:val="004A5145"/>
    <w:rsid w:val="004C6D58"/>
    <w:rsid w:val="004D5C66"/>
    <w:rsid w:val="004F0D40"/>
    <w:rsid w:val="004F3808"/>
    <w:rsid w:val="004F7A44"/>
    <w:rsid w:val="00500B0F"/>
    <w:rsid w:val="00505E17"/>
    <w:rsid w:val="00524BF7"/>
    <w:rsid w:val="00525C87"/>
    <w:rsid w:val="00530780"/>
    <w:rsid w:val="00540426"/>
    <w:rsid w:val="005409F7"/>
    <w:rsid w:val="0054262F"/>
    <w:rsid w:val="00545DAB"/>
    <w:rsid w:val="0056376B"/>
    <w:rsid w:val="00563AD6"/>
    <w:rsid w:val="00563FAC"/>
    <w:rsid w:val="00565CBD"/>
    <w:rsid w:val="00566116"/>
    <w:rsid w:val="00566EE0"/>
    <w:rsid w:val="00567536"/>
    <w:rsid w:val="005709C7"/>
    <w:rsid w:val="00570A66"/>
    <w:rsid w:val="005747F9"/>
    <w:rsid w:val="0058516B"/>
    <w:rsid w:val="0059019A"/>
    <w:rsid w:val="005A02F0"/>
    <w:rsid w:val="005A0CED"/>
    <w:rsid w:val="005A2EA1"/>
    <w:rsid w:val="005A59AF"/>
    <w:rsid w:val="005B1A4E"/>
    <w:rsid w:val="005C45EF"/>
    <w:rsid w:val="005D370F"/>
    <w:rsid w:val="005D3E4D"/>
    <w:rsid w:val="005D5424"/>
    <w:rsid w:val="005F4067"/>
    <w:rsid w:val="005F46B6"/>
    <w:rsid w:val="005F6992"/>
    <w:rsid w:val="00605F94"/>
    <w:rsid w:val="00613217"/>
    <w:rsid w:val="006153DA"/>
    <w:rsid w:val="00626B3C"/>
    <w:rsid w:val="00643826"/>
    <w:rsid w:val="00651F8A"/>
    <w:rsid w:val="00652AF8"/>
    <w:rsid w:val="00655294"/>
    <w:rsid w:val="006623CD"/>
    <w:rsid w:val="00667B3F"/>
    <w:rsid w:val="00672CAF"/>
    <w:rsid w:val="006765CF"/>
    <w:rsid w:val="00681C81"/>
    <w:rsid w:val="0068339C"/>
    <w:rsid w:val="00684482"/>
    <w:rsid w:val="006A13E8"/>
    <w:rsid w:val="006A607E"/>
    <w:rsid w:val="006B65C8"/>
    <w:rsid w:val="006C6D7A"/>
    <w:rsid w:val="006C73F3"/>
    <w:rsid w:val="006D0993"/>
    <w:rsid w:val="006E0407"/>
    <w:rsid w:val="006E303E"/>
    <w:rsid w:val="006E5270"/>
    <w:rsid w:val="006E56CB"/>
    <w:rsid w:val="006F3FDB"/>
    <w:rsid w:val="00700E2C"/>
    <w:rsid w:val="007109E9"/>
    <w:rsid w:val="00722D9D"/>
    <w:rsid w:val="0072541F"/>
    <w:rsid w:val="0072545A"/>
    <w:rsid w:val="007264C9"/>
    <w:rsid w:val="00732A8B"/>
    <w:rsid w:val="00750C8B"/>
    <w:rsid w:val="00753EC1"/>
    <w:rsid w:val="00757CF8"/>
    <w:rsid w:val="00767E9D"/>
    <w:rsid w:val="00783710"/>
    <w:rsid w:val="007A2EF1"/>
    <w:rsid w:val="007B20B0"/>
    <w:rsid w:val="007B6EA7"/>
    <w:rsid w:val="007C1977"/>
    <w:rsid w:val="007C38C9"/>
    <w:rsid w:val="007D1FEF"/>
    <w:rsid w:val="007D24F2"/>
    <w:rsid w:val="007E0CB3"/>
    <w:rsid w:val="0080087E"/>
    <w:rsid w:val="008018DB"/>
    <w:rsid w:val="00814F20"/>
    <w:rsid w:val="00820D6F"/>
    <w:rsid w:val="00822941"/>
    <w:rsid w:val="008500B7"/>
    <w:rsid w:val="008554C7"/>
    <w:rsid w:val="00860DC0"/>
    <w:rsid w:val="00876DA8"/>
    <w:rsid w:val="00885217"/>
    <w:rsid w:val="00891D1D"/>
    <w:rsid w:val="00895B20"/>
    <w:rsid w:val="00897666"/>
    <w:rsid w:val="0089795E"/>
    <w:rsid w:val="008A12B4"/>
    <w:rsid w:val="008A45F6"/>
    <w:rsid w:val="008A6536"/>
    <w:rsid w:val="008B31B7"/>
    <w:rsid w:val="008D3665"/>
    <w:rsid w:val="008F0A1F"/>
    <w:rsid w:val="00901350"/>
    <w:rsid w:val="00905138"/>
    <w:rsid w:val="0091451B"/>
    <w:rsid w:val="00916B04"/>
    <w:rsid w:val="009206B5"/>
    <w:rsid w:val="00925946"/>
    <w:rsid w:val="00926785"/>
    <w:rsid w:val="00927634"/>
    <w:rsid w:val="00933F0D"/>
    <w:rsid w:val="00951D34"/>
    <w:rsid w:val="0095269A"/>
    <w:rsid w:val="009530AC"/>
    <w:rsid w:val="009610B2"/>
    <w:rsid w:val="00963F36"/>
    <w:rsid w:val="00971E90"/>
    <w:rsid w:val="00973AFB"/>
    <w:rsid w:val="00973F13"/>
    <w:rsid w:val="00986D6B"/>
    <w:rsid w:val="00991C35"/>
    <w:rsid w:val="00996575"/>
    <w:rsid w:val="009A33D1"/>
    <w:rsid w:val="009B34A9"/>
    <w:rsid w:val="009B742C"/>
    <w:rsid w:val="009D1033"/>
    <w:rsid w:val="009D3E17"/>
    <w:rsid w:val="009D449F"/>
    <w:rsid w:val="009E16CB"/>
    <w:rsid w:val="009E7DDC"/>
    <w:rsid w:val="009F3344"/>
    <w:rsid w:val="009F4DD9"/>
    <w:rsid w:val="009F7C92"/>
    <w:rsid w:val="00A15D68"/>
    <w:rsid w:val="00A21558"/>
    <w:rsid w:val="00A23626"/>
    <w:rsid w:val="00A264C0"/>
    <w:rsid w:val="00A344BB"/>
    <w:rsid w:val="00A45594"/>
    <w:rsid w:val="00A560E7"/>
    <w:rsid w:val="00A624E0"/>
    <w:rsid w:val="00A66A42"/>
    <w:rsid w:val="00A72BA4"/>
    <w:rsid w:val="00A75292"/>
    <w:rsid w:val="00A75AEB"/>
    <w:rsid w:val="00A859B5"/>
    <w:rsid w:val="00A911FF"/>
    <w:rsid w:val="00A91CED"/>
    <w:rsid w:val="00A94E0F"/>
    <w:rsid w:val="00AA23F5"/>
    <w:rsid w:val="00AA2BEE"/>
    <w:rsid w:val="00AA58F4"/>
    <w:rsid w:val="00AB1C72"/>
    <w:rsid w:val="00AB334F"/>
    <w:rsid w:val="00AD1365"/>
    <w:rsid w:val="00AD31F8"/>
    <w:rsid w:val="00AD3358"/>
    <w:rsid w:val="00AD3BBA"/>
    <w:rsid w:val="00AD4A00"/>
    <w:rsid w:val="00AE2AC6"/>
    <w:rsid w:val="00AE6F1B"/>
    <w:rsid w:val="00AE7DF6"/>
    <w:rsid w:val="00AF122C"/>
    <w:rsid w:val="00AF74DB"/>
    <w:rsid w:val="00B06CA8"/>
    <w:rsid w:val="00B11D2D"/>
    <w:rsid w:val="00B13238"/>
    <w:rsid w:val="00B271FA"/>
    <w:rsid w:val="00B313AA"/>
    <w:rsid w:val="00B348B8"/>
    <w:rsid w:val="00B40FD2"/>
    <w:rsid w:val="00B4294D"/>
    <w:rsid w:val="00B46791"/>
    <w:rsid w:val="00B559C8"/>
    <w:rsid w:val="00B57BB3"/>
    <w:rsid w:val="00B74EB7"/>
    <w:rsid w:val="00B76D1D"/>
    <w:rsid w:val="00B76FE0"/>
    <w:rsid w:val="00B77343"/>
    <w:rsid w:val="00B82859"/>
    <w:rsid w:val="00B865B3"/>
    <w:rsid w:val="00B94635"/>
    <w:rsid w:val="00B94DEB"/>
    <w:rsid w:val="00B9608F"/>
    <w:rsid w:val="00BA0956"/>
    <w:rsid w:val="00BA798B"/>
    <w:rsid w:val="00BB2FE2"/>
    <w:rsid w:val="00BB38AC"/>
    <w:rsid w:val="00BD0176"/>
    <w:rsid w:val="00BD29FE"/>
    <w:rsid w:val="00BD4039"/>
    <w:rsid w:val="00BD6AEE"/>
    <w:rsid w:val="00BE3200"/>
    <w:rsid w:val="00BE4827"/>
    <w:rsid w:val="00BF1D68"/>
    <w:rsid w:val="00BF329A"/>
    <w:rsid w:val="00BF39F2"/>
    <w:rsid w:val="00BF7632"/>
    <w:rsid w:val="00C013C9"/>
    <w:rsid w:val="00C12754"/>
    <w:rsid w:val="00C12990"/>
    <w:rsid w:val="00C14FBB"/>
    <w:rsid w:val="00C15096"/>
    <w:rsid w:val="00C15439"/>
    <w:rsid w:val="00C15BDD"/>
    <w:rsid w:val="00C17FDC"/>
    <w:rsid w:val="00C23A1D"/>
    <w:rsid w:val="00C279CC"/>
    <w:rsid w:val="00C308B7"/>
    <w:rsid w:val="00C316DF"/>
    <w:rsid w:val="00C345A5"/>
    <w:rsid w:val="00C402BF"/>
    <w:rsid w:val="00C423AF"/>
    <w:rsid w:val="00C4591E"/>
    <w:rsid w:val="00C47F6A"/>
    <w:rsid w:val="00C70307"/>
    <w:rsid w:val="00C704A0"/>
    <w:rsid w:val="00C72412"/>
    <w:rsid w:val="00C87271"/>
    <w:rsid w:val="00C925E1"/>
    <w:rsid w:val="00CA0DE8"/>
    <w:rsid w:val="00CA3D8A"/>
    <w:rsid w:val="00CA6829"/>
    <w:rsid w:val="00CB2C8B"/>
    <w:rsid w:val="00CC3981"/>
    <w:rsid w:val="00CC5C6E"/>
    <w:rsid w:val="00CD0925"/>
    <w:rsid w:val="00CD3BAF"/>
    <w:rsid w:val="00CE2812"/>
    <w:rsid w:val="00CE32B5"/>
    <w:rsid w:val="00D12C45"/>
    <w:rsid w:val="00D157E9"/>
    <w:rsid w:val="00D17593"/>
    <w:rsid w:val="00D17F50"/>
    <w:rsid w:val="00D23140"/>
    <w:rsid w:val="00D236C4"/>
    <w:rsid w:val="00D23840"/>
    <w:rsid w:val="00D24704"/>
    <w:rsid w:val="00D34D7F"/>
    <w:rsid w:val="00D420E2"/>
    <w:rsid w:val="00D42911"/>
    <w:rsid w:val="00D526A4"/>
    <w:rsid w:val="00D55C9B"/>
    <w:rsid w:val="00D56198"/>
    <w:rsid w:val="00D57C1A"/>
    <w:rsid w:val="00D63AE5"/>
    <w:rsid w:val="00D726B7"/>
    <w:rsid w:val="00D830E6"/>
    <w:rsid w:val="00D84068"/>
    <w:rsid w:val="00D94DC0"/>
    <w:rsid w:val="00D97377"/>
    <w:rsid w:val="00DB2A8B"/>
    <w:rsid w:val="00DC64D4"/>
    <w:rsid w:val="00DD0B82"/>
    <w:rsid w:val="00DD476B"/>
    <w:rsid w:val="00DD6734"/>
    <w:rsid w:val="00DE12C6"/>
    <w:rsid w:val="00DE13A9"/>
    <w:rsid w:val="00DF1007"/>
    <w:rsid w:val="00DF616A"/>
    <w:rsid w:val="00DF6EC2"/>
    <w:rsid w:val="00E00C6F"/>
    <w:rsid w:val="00E02041"/>
    <w:rsid w:val="00E03CB5"/>
    <w:rsid w:val="00E11D49"/>
    <w:rsid w:val="00E14A5E"/>
    <w:rsid w:val="00E27FA8"/>
    <w:rsid w:val="00E30919"/>
    <w:rsid w:val="00E332A3"/>
    <w:rsid w:val="00E55F63"/>
    <w:rsid w:val="00E57171"/>
    <w:rsid w:val="00E61296"/>
    <w:rsid w:val="00E64A57"/>
    <w:rsid w:val="00E65583"/>
    <w:rsid w:val="00E658EE"/>
    <w:rsid w:val="00E6685A"/>
    <w:rsid w:val="00E730E6"/>
    <w:rsid w:val="00E755BF"/>
    <w:rsid w:val="00E77CF2"/>
    <w:rsid w:val="00E857B0"/>
    <w:rsid w:val="00E8634C"/>
    <w:rsid w:val="00E942C3"/>
    <w:rsid w:val="00EA18A3"/>
    <w:rsid w:val="00EA7325"/>
    <w:rsid w:val="00EB3FA6"/>
    <w:rsid w:val="00EC0726"/>
    <w:rsid w:val="00EC5556"/>
    <w:rsid w:val="00ED06E6"/>
    <w:rsid w:val="00EE4E62"/>
    <w:rsid w:val="00EE7580"/>
    <w:rsid w:val="00EE7BB9"/>
    <w:rsid w:val="00EF3B0C"/>
    <w:rsid w:val="00EF445D"/>
    <w:rsid w:val="00F017A3"/>
    <w:rsid w:val="00F03421"/>
    <w:rsid w:val="00F2027E"/>
    <w:rsid w:val="00F221B2"/>
    <w:rsid w:val="00F3017D"/>
    <w:rsid w:val="00F37F69"/>
    <w:rsid w:val="00F44090"/>
    <w:rsid w:val="00F44356"/>
    <w:rsid w:val="00F44F67"/>
    <w:rsid w:val="00F54737"/>
    <w:rsid w:val="00F6636A"/>
    <w:rsid w:val="00F725CC"/>
    <w:rsid w:val="00F83B1C"/>
    <w:rsid w:val="00F94A35"/>
    <w:rsid w:val="00FA6ABA"/>
    <w:rsid w:val="00FA6E6F"/>
    <w:rsid w:val="00FB043B"/>
    <w:rsid w:val="00FB3F9E"/>
    <w:rsid w:val="00FB6ED5"/>
    <w:rsid w:val="00FB7045"/>
    <w:rsid w:val="00FC2714"/>
    <w:rsid w:val="00FD0A0B"/>
    <w:rsid w:val="00FD0A2F"/>
    <w:rsid w:val="00FD0D6B"/>
    <w:rsid w:val="00FD3746"/>
    <w:rsid w:val="00FE3822"/>
    <w:rsid w:val="00FF642D"/>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DB037"/>
  <w15:docId w15:val="{911DEEF0-FFF5-43B1-AFF6-B95293A1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2"/>
    <w:link w:val="Heading1Char"/>
    <w:qFormat/>
    <w:rsid w:val="00335B68"/>
    <w:pPr>
      <w:keepLines/>
      <w:widowControl w:val="0"/>
      <w:numPr>
        <w:numId w:val="6"/>
      </w:numPr>
      <w:spacing w:after="240" w:line="240" w:lineRule="auto"/>
      <w:outlineLvl w:val="0"/>
    </w:pPr>
    <w:rPr>
      <w:rFonts w:ascii="Times New Roman Bold" w:eastAsia="Times New Roman" w:hAnsi="Times New Roman Bold" w:cs="Arial"/>
      <w:b/>
      <w:bCs/>
      <w:caps/>
      <w:sz w:val="24"/>
      <w:szCs w:val="32"/>
    </w:rPr>
  </w:style>
  <w:style w:type="paragraph" w:styleId="Heading2">
    <w:name w:val="heading 2"/>
    <w:basedOn w:val="Normal"/>
    <w:next w:val="BodyText2"/>
    <w:link w:val="Heading2Char"/>
    <w:qFormat/>
    <w:rsid w:val="00335B68"/>
    <w:pPr>
      <w:widowControl w:val="0"/>
      <w:numPr>
        <w:ilvl w:val="1"/>
        <w:numId w:val="6"/>
      </w:numPr>
      <w:spacing w:after="240" w:line="240" w:lineRule="auto"/>
      <w:outlineLvl w:val="1"/>
    </w:pPr>
    <w:rPr>
      <w:rFonts w:ascii="Times New Roman Bold" w:eastAsia="Times New Roman" w:hAnsi="Times New Roman Bold" w:cs="Arial"/>
      <w:b/>
      <w:bCs/>
      <w:iCs/>
      <w:sz w:val="24"/>
      <w:szCs w:val="28"/>
    </w:rPr>
  </w:style>
  <w:style w:type="paragraph" w:styleId="Heading3">
    <w:name w:val="heading 3"/>
    <w:basedOn w:val="Normal"/>
    <w:next w:val="BodyText2"/>
    <w:link w:val="Heading3Char"/>
    <w:qFormat/>
    <w:rsid w:val="00335B68"/>
    <w:pPr>
      <w:widowControl w:val="0"/>
      <w:numPr>
        <w:ilvl w:val="2"/>
        <w:numId w:val="6"/>
      </w:numPr>
      <w:spacing w:after="240" w:line="240" w:lineRule="auto"/>
      <w:outlineLvl w:val="2"/>
    </w:pPr>
    <w:rPr>
      <w:rFonts w:ascii="Times New Roman" w:eastAsia="Times New Roman" w:hAnsi="Times New Roman" w:cs="Times New Roman"/>
      <w:bCs/>
      <w:sz w:val="24"/>
      <w:szCs w:val="26"/>
    </w:rPr>
  </w:style>
  <w:style w:type="paragraph" w:styleId="Heading4">
    <w:name w:val="heading 4"/>
    <w:basedOn w:val="Normal"/>
    <w:next w:val="BodyText2"/>
    <w:link w:val="Heading4Char"/>
    <w:qFormat/>
    <w:rsid w:val="00335B68"/>
    <w:pPr>
      <w:widowControl w:val="0"/>
      <w:numPr>
        <w:ilvl w:val="3"/>
        <w:numId w:val="6"/>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BodyText2"/>
    <w:link w:val="Heading5Char"/>
    <w:qFormat/>
    <w:rsid w:val="00335B68"/>
    <w:pPr>
      <w:widowControl w:val="0"/>
      <w:numPr>
        <w:ilvl w:val="4"/>
        <w:numId w:val="6"/>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BodyText2"/>
    <w:link w:val="Heading6Char"/>
    <w:qFormat/>
    <w:rsid w:val="00335B68"/>
    <w:pPr>
      <w:widowControl w:val="0"/>
      <w:numPr>
        <w:ilvl w:val="5"/>
        <w:numId w:val="6"/>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BodyText2"/>
    <w:link w:val="Heading7Char"/>
    <w:qFormat/>
    <w:rsid w:val="00335B68"/>
    <w:pPr>
      <w:widowControl w:val="0"/>
      <w:numPr>
        <w:ilvl w:val="6"/>
        <w:numId w:val="6"/>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2"/>
    <w:link w:val="Heading8Char"/>
    <w:qFormat/>
    <w:rsid w:val="00335B68"/>
    <w:pPr>
      <w:widowControl w:val="0"/>
      <w:numPr>
        <w:ilvl w:val="7"/>
        <w:numId w:val="6"/>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BodyText2"/>
    <w:link w:val="Heading9Char"/>
    <w:qFormat/>
    <w:rsid w:val="00335B68"/>
    <w:pPr>
      <w:widowControl w:val="0"/>
      <w:numPr>
        <w:ilvl w:val="8"/>
        <w:numId w:val="6"/>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A6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829"/>
    <w:rPr>
      <w:sz w:val="20"/>
      <w:szCs w:val="20"/>
    </w:rPr>
  </w:style>
  <w:style w:type="character" w:styleId="FootnoteReference">
    <w:name w:val="footnote reference"/>
    <w:basedOn w:val="DefaultParagraphFont"/>
    <w:semiHidden/>
    <w:unhideWhenUsed/>
    <w:rsid w:val="00CA6829"/>
    <w:rPr>
      <w:vertAlign w:val="superscript"/>
    </w:rPr>
  </w:style>
  <w:style w:type="paragraph" w:styleId="ListParagraph">
    <w:name w:val="List Paragraph"/>
    <w:basedOn w:val="Normal"/>
    <w:uiPriority w:val="34"/>
    <w:qFormat/>
    <w:rsid w:val="00C308B7"/>
    <w:pPr>
      <w:ind w:left="720"/>
      <w:contextualSpacing/>
    </w:pPr>
  </w:style>
  <w:style w:type="paragraph" w:styleId="BalloonText">
    <w:name w:val="Balloon Text"/>
    <w:basedOn w:val="Normal"/>
    <w:link w:val="BalloonTextChar"/>
    <w:uiPriority w:val="99"/>
    <w:semiHidden/>
    <w:unhideWhenUsed/>
    <w:rsid w:val="00A26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C0"/>
    <w:rPr>
      <w:rFonts w:ascii="Segoe UI" w:hAnsi="Segoe UI" w:cs="Segoe UI"/>
      <w:sz w:val="18"/>
      <w:szCs w:val="18"/>
    </w:rPr>
  </w:style>
  <w:style w:type="character" w:styleId="CommentReference">
    <w:name w:val="annotation reference"/>
    <w:basedOn w:val="DefaultParagraphFont"/>
    <w:uiPriority w:val="99"/>
    <w:semiHidden/>
    <w:unhideWhenUsed/>
    <w:rsid w:val="001B30D4"/>
    <w:rPr>
      <w:sz w:val="16"/>
      <w:szCs w:val="16"/>
    </w:rPr>
  </w:style>
  <w:style w:type="paragraph" w:styleId="CommentText">
    <w:name w:val="annotation text"/>
    <w:basedOn w:val="Normal"/>
    <w:link w:val="CommentTextChar"/>
    <w:uiPriority w:val="99"/>
    <w:semiHidden/>
    <w:unhideWhenUsed/>
    <w:rsid w:val="001B30D4"/>
    <w:pPr>
      <w:spacing w:line="240" w:lineRule="auto"/>
    </w:pPr>
    <w:rPr>
      <w:sz w:val="20"/>
      <w:szCs w:val="20"/>
    </w:rPr>
  </w:style>
  <w:style w:type="character" w:customStyle="1" w:styleId="CommentTextChar">
    <w:name w:val="Comment Text Char"/>
    <w:basedOn w:val="DefaultParagraphFont"/>
    <w:link w:val="CommentText"/>
    <w:uiPriority w:val="99"/>
    <w:semiHidden/>
    <w:rsid w:val="001B30D4"/>
    <w:rPr>
      <w:sz w:val="20"/>
      <w:szCs w:val="20"/>
    </w:rPr>
  </w:style>
  <w:style w:type="paragraph" w:styleId="CommentSubject">
    <w:name w:val="annotation subject"/>
    <w:basedOn w:val="CommentText"/>
    <w:next w:val="CommentText"/>
    <w:link w:val="CommentSubjectChar"/>
    <w:uiPriority w:val="99"/>
    <w:semiHidden/>
    <w:unhideWhenUsed/>
    <w:rsid w:val="001B30D4"/>
    <w:rPr>
      <w:b/>
      <w:bCs/>
    </w:rPr>
  </w:style>
  <w:style w:type="character" w:customStyle="1" w:styleId="CommentSubjectChar">
    <w:name w:val="Comment Subject Char"/>
    <w:basedOn w:val="CommentTextChar"/>
    <w:link w:val="CommentSubject"/>
    <w:uiPriority w:val="99"/>
    <w:semiHidden/>
    <w:rsid w:val="001B30D4"/>
    <w:rPr>
      <w:b/>
      <w:bCs/>
      <w:sz w:val="20"/>
      <w:szCs w:val="20"/>
    </w:rPr>
  </w:style>
  <w:style w:type="paragraph" w:styleId="BodyText2">
    <w:name w:val="Body Text 2"/>
    <w:basedOn w:val="Normal"/>
    <w:link w:val="BodyText2Char"/>
    <w:rsid w:val="00891D1D"/>
    <w:pPr>
      <w:spacing w:after="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91D1D"/>
    <w:rPr>
      <w:rFonts w:ascii="Times New Roman" w:eastAsia="Times New Roman" w:hAnsi="Times New Roman" w:cs="Times New Roman"/>
      <w:sz w:val="24"/>
      <w:szCs w:val="24"/>
    </w:rPr>
  </w:style>
  <w:style w:type="paragraph" w:styleId="Quote">
    <w:name w:val="Quote"/>
    <w:basedOn w:val="Normal"/>
    <w:link w:val="QuoteChar"/>
    <w:qFormat/>
    <w:rsid w:val="00FD0A2F"/>
    <w:pPr>
      <w:spacing w:after="240" w:line="240" w:lineRule="auto"/>
      <w:ind w:left="2160" w:right="720" w:hanging="720"/>
      <w:jc w:val="both"/>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FD0A2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35B68"/>
    <w:rPr>
      <w:rFonts w:ascii="Times New Roman Bold" w:eastAsia="Times New Roman" w:hAnsi="Times New Roman Bold" w:cs="Arial"/>
      <w:b/>
      <w:bCs/>
      <w:caps/>
      <w:sz w:val="24"/>
      <w:szCs w:val="32"/>
    </w:rPr>
  </w:style>
  <w:style w:type="character" w:customStyle="1" w:styleId="Heading2Char">
    <w:name w:val="Heading 2 Char"/>
    <w:basedOn w:val="DefaultParagraphFont"/>
    <w:link w:val="Heading2"/>
    <w:rsid w:val="00335B68"/>
    <w:rPr>
      <w:rFonts w:ascii="Times New Roman Bold" w:eastAsia="Times New Roman" w:hAnsi="Times New Roman Bold" w:cs="Arial"/>
      <w:b/>
      <w:bCs/>
      <w:iCs/>
      <w:sz w:val="24"/>
      <w:szCs w:val="28"/>
    </w:rPr>
  </w:style>
  <w:style w:type="character" w:customStyle="1" w:styleId="Heading3Char">
    <w:name w:val="Heading 3 Char"/>
    <w:basedOn w:val="DefaultParagraphFont"/>
    <w:link w:val="Heading3"/>
    <w:rsid w:val="00335B68"/>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335B68"/>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335B68"/>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335B68"/>
    <w:rPr>
      <w:rFonts w:ascii="Times New Roman" w:eastAsia="Times New Roman" w:hAnsi="Times New Roman" w:cs="Times New Roman"/>
      <w:bCs/>
      <w:sz w:val="24"/>
    </w:rPr>
  </w:style>
  <w:style w:type="character" w:customStyle="1" w:styleId="Heading7Char">
    <w:name w:val="Heading 7 Char"/>
    <w:basedOn w:val="DefaultParagraphFont"/>
    <w:link w:val="Heading7"/>
    <w:rsid w:val="00335B6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35B6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335B68"/>
    <w:rPr>
      <w:rFonts w:ascii="Times New Roman" w:eastAsia="Times New Roman" w:hAnsi="Times New Roman" w:cs="Times New Roman"/>
      <w:sz w:val="24"/>
    </w:rPr>
  </w:style>
  <w:style w:type="paragraph" w:styleId="ListBullet2">
    <w:name w:val="List Bullet 2"/>
    <w:aliases w:val="b2"/>
    <w:basedOn w:val="Normal"/>
    <w:semiHidden/>
    <w:rsid w:val="001E19CC"/>
    <w:pPr>
      <w:numPr>
        <w:numId w:val="8"/>
      </w:numPr>
      <w:spacing w:after="240" w:line="24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A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BA"/>
  </w:style>
  <w:style w:type="paragraph" w:styleId="Footer">
    <w:name w:val="footer"/>
    <w:basedOn w:val="Normal"/>
    <w:link w:val="FooterChar"/>
    <w:uiPriority w:val="99"/>
    <w:unhideWhenUsed/>
    <w:rsid w:val="00FA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B5D4-4C64-4D3F-8CBD-10A07FBF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18</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31200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Bielanin \ Meagan \ M</dc:creator>
  <cp:lastModifiedBy>Keuper \ Krista \ Anne</cp:lastModifiedBy>
  <cp:revision>185</cp:revision>
  <cp:lastPrinted>2016-02-25T15:47:00Z</cp:lastPrinted>
  <dcterms:created xsi:type="dcterms:W3CDTF">2016-02-14T01:30:00Z</dcterms:created>
  <dcterms:modified xsi:type="dcterms:W3CDTF">2016-02-25T18:42:00Z</dcterms:modified>
</cp:coreProperties>
</file>