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9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C264E3" w:rsidRDefault="00BA008E" w:rsidP="00BA008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March 29, 2016</w:t>
      </w:r>
    </w:p>
    <w:p w:rsidR="009F6DE0" w:rsidRPr="002A0E00" w:rsidRDefault="009F6DE0" w:rsidP="009F6DE0">
      <w:pPr>
        <w:ind w:left="720" w:hanging="720"/>
        <w:jc w:val="right"/>
        <w:rPr>
          <w:sz w:val="24"/>
          <w:szCs w:val="24"/>
        </w:rPr>
      </w:pPr>
      <w:r w:rsidRPr="002A0E00">
        <w:rPr>
          <w:sz w:val="24"/>
          <w:szCs w:val="24"/>
        </w:rPr>
        <w:t>A-</w:t>
      </w:r>
      <w:r w:rsidR="0072320F">
        <w:rPr>
          <w:sz w:val="24"/>
          <w:szCs w:val="24"/>
        </w:rPr>
        <w:t>2015-2471438</w:t>
      </w:r>
    </w:p>
    <w:p w:rsidR="00390F23" w:rsidRDefault="00390F23">
      <w:pPr>
        <w:rPr>
          <w:sz w:val="24"/>
        </w:rPr>
      </w:pPr>
    </w:p>
    <w:p w:rsidR="00570341" w:rsidRDefault="00570341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</w:t>
      </w:r>
      <w:smartTag w:uri="urn:schemas-microsoft-com:office:smarttags" w:element="stockticker">
        <w:r>
          <w:rPr>
            <w:sz w:val="24"/>
          </w:rPr>
          <w:t>ALL</w:t>
        </w:r>
      </w:smartTag>
      <w:r>
        <w:rPr>
          <w:sz w:val="24"/>
        </w:rPr>
        <w:t xml:space="preserve"> PARTIES</w:t>
      </w:r>
    </w:p>
    <w:p w:rsidR="000948AE" w:rsidRDefault="000948AE">
      <w:pPr>
        <w:rPr>
          <w:sz w:val="24"/>
        </w:rPr>
      </w:pPr>
    </w:p>
    <w:p w:rsidR="00570341" w:rsidRDefault="00570341">
      <w:pPr>
        <w:rPr>
          <w:sz w:val="24"/>
        </w:rPr>
      </w:pPr>
    </w:p>
    <w:p w:rsidR="00570341" w:rsidRDefault="00570341">
      <w:pPr>
        <w:rPr>
          <w:sz w:val="24"/>
        </w:rPr>
      </w:pPr>
    </w:p>
    <w:p w:rsidR="00953EA9" w:rsidRDefault="00953EA9" w:rsidP="00502D85">
      <w:pPr>
        <w:ind w:left="1440" w:right="1440"/>
        <w:rPr>
          <w:sz w:val="24"/>
          <w:szCs w:val="24"/>
        </w:rPr>
      </w:pPr>
    </w:p>
    <w:p w:rsidR="000669E1" w:rsidRPr="000669E1" w:rsidRDefault="0072320F" w:rsidP="0072320F">
      <w:pPr>
        <w:tabs>
          <w:tab w:val="left" w:pos="0"/>
        </w:tabs>
        <w:ind w:left="1440" w:right="1440"/>
        <w:jc w:val="both"/>
        <w:rPr>
          <w:sz w:val="24"/>
          <w:szCs w:val="24"/>
        </w:rPr>
      </w:pPr>
      <w:r w:rsidRPr="0072320F">
        <w:rPr>
          <w:sz w:val="24"/>
          <w:szCs w:val="24"/>
        </w:rPr>
        <w:t xml:space="preserve">Application of the Commonwealth of Pennsylvania, Department of Transportation, for approval to alter the public at-grade crossing by: (1) upgrading the existing </w:t>
      </w:r>
      <w:proofErr w:type="spellStart"/>
      <w:r w:rsidRPr="0072320F">
        <w:rPr>
          <w:sz w:val="24"/>
          <w:szCs w:val="24"/>
        </w:rPr>
        <w:t>crossbucks</w:t>
      </w:r>
      <w:proofErr w:type="spellEnd"/>
      <w:r w:rsidRPr="0072320F">
        <w:rPr>
          <w:sz w:val="24"/>
          <w:szCs w:val="24"/>
        </w:rPr>
        <w:t xml:space="preserve"> to 12" LED flashing lights, and (2) installing automatic gates, where Township Road T-451 (Main Street) crosses the single track of the Buffalo and Pittsburgh Railroad, </w:t>
      </w:r>
      <w:proofErr w:type="spellStart"/>
      <w:r w:rsidRPr="0072320F">
        <w:rPr>
          <w:sz w:val="24"/>
          <w:szCs w:val="24"/>
        </w:rPr>
        <w:t>Inc</w:t>
      </w:r>
      <w:proofErr w:type="spellEnd"/>
      <w:r w:rsidRPr="0072320F">
        <w:rPr>
          <w:sz w:val="24"/>
          <w:szCs w:val="24"/>
        </w:rPr>
        <w:t xml:space="preserve"> (DOT No. 145 784 G) in Penn Township, Butler County; all in accordance with the Federal Grade Crossing Program; and the allocation of costs incident thereto.</w:t>
      </w:r>
    </w:p>
    <w:p w:rsidR="00373939" w:rsidRDefault="00373939" w:rsidP="00373939">
      <w:pPr>
        <w:tabs>
          <w:tab w:val="left" w:pos="0"/>
        </w:tabs>
        <w:ind w:left="1440" w:right="1440" w:hanging="720"/>
        <w:jc w:val="both"/>
        <w:rPr>
          <w:sz w:val="24"/>
          <w:szCs w:val="24"/>
        </w:rPr>
      </w:pPr>
    </w:p>
    <w:p w:rsidR="00570341" w:rsidRDefault="00570341" w:rsidP="00373939">
      <w:pPr>
        <w:tabs>
          <w:tab w:val="left" w:pos="0"/>
        </w:tabs>
        <w:ind w:left="1440" w:right="1440" w:hanging="720"/>
        <w:jc w:val="both"/>
        <w:rPr>
          <w:sz w:val="24"/>
          <w:szCs w:val="24"/>
        </w:rPr>
      </w:pPr>
    </w:p>
    <w:p w:rsidR="00570341" w:rsidRPr="00373939" w:rsidRDefault="00570341" w:rsidP="00373939">
      <w:pPr>
        <w:tabs>
          <w:tab w:val="left" w:pos="0"/>
        </w:tabs>
        <w:ind w:left="1440" w:right="1440" w:hanging="720"/>
        <w:jc w:val="both"/>
        <w:rPr>
          <w:sz w:val="24"/>
          <w:szCs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 xml:space="preserve">To Whom </w:t>
      </w:r>
      <w:r w:rsidR="006F4C13">
        <w:rPr>
          <w:sz w:val="24"/>
        </w:rPr>
        <w:t>It May</w:t>
      </w:r>
      <w:r>
        <w:rPr>
          <w:sz w:val="24"/>
        </w:rPr>
        <w:t xml:space="preserve"> Concern:</w:t>
      </w:r>
    </w:p>
    <w:p w:rsidR="00390F23" w:rsidRDefault="00390F23">
      <w:pPr>
        <w:rPr>
          <w:sz w:val="24"/>
        </w:rPr>
      </w:pPr>
    </w:p>
    <w:p w:rsidR="00390F23" w:rsidRPr="00D152F7" w:rsidRDefault="004B4F92" w:rsidP="00D152F7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D0364" w:rsidRPr="00D152F7">
        <w:rPr>
          <w:sz w:val="24"/>
          <w:szCs w:val="24"/>
        </w:rPr>
        <w:t>A final inspection conducted by a Commission staff engineer on</w:t>
      </w:r>
      <w:r w:rsidR="00D152F7" w:rsidRPr="00D152F7">
        <w:rPr>
          <w:sz w:val="24"/>
          <w:szCs w:val="24"/>
        </w:rPr>
        <w:t xml:space="preserve"> </w:t>
      </w:r>
      <w:r w:rsidR="00B41F32">
        <w:rPr>
          <w:sz w:val="24"/>
          <w:szCs w:val="24"/>
        </w:rPr>
        <w:t xml:space="preserve">March </w:t>
      </w:r>
      <w:r w:rsidR="0072320F">
        <w:rPr>
          <w:sz w:val="24"/>
          <w:szCs w:val="24"/>
        </w:rPr>
        <w:t>10</w:t>
      </w:r>
      <w:r w:rsidR="00B41F32">
        <w:rPr>
          <w:sz w:val="24"/>
          <w:szCs w:val="24"/>
        </w:rPr>
        <w:t>, 2016</w:t>
      </w:r>
      <w:r w:rsidR="00502D85">
        <w:rPr>
          <w:sz w:val="24"/>
          <w:szCs w:val="24"/>
        </w:rPr>
        <w:t xml:space="preserve"> </w:t>
      </w:r>
      <w:r w:rsidR="00B43D0B" w:rsidRPr="00D152F7">
        <w:rPr>
          <w:sz w:val="24"/>
          <w:szCs w:val="24"/>
        </w:rPr>
        <w:t>r</w:t>
      </w:r>
      <w:r w:rsidR="004D0364" w:rsidRPr="00D152F7">
        <w:rPr>
          <w:sz w:val="24"/>
          <w:szCs w:val="24"/>
        </w:rPr>
        <w:t>e</w:t>
      </w:r>
      <w:r w:rsidR="00B43D0B" w:rsidRPr="00D152F7">
        <w:rPr>
          <w:sz w:val="24"/>
          <w:szCs w:val="24"/>
        </w:rPr>
        <w:t>ve</w:t>
      </w:r>
      <w:r w:rsidR="004D0364" w:rsidRPr="00D152F7">
        <w:rPr>
          <w:sz w:val="24"/>
          <w:szCs w:val="24"/>
        </w:rPr>
        <w:t xml:space="preserve">aled that all work has been completed in accordance with our </w:t>
      </w:r>
      <w:r w:rsidR="00B9283A">
        <w:rPr>
          <w:sz w:val="24"/>
          <w:szCs w:val="24"/>
        </w:rPr>
        <w:t>Secretarial Letter</w:t>
      </w:r>
      <w:r w:rsidR="00043F9C" w:rsidRPr="00043F9C">
        <w:rPr>
          <w:sz w:val="24"/>
          <w:szCs w:val="24"/>
        </w:rPr>
        <w:t xml:space="preserve"> </w:t>
      </w:r>
      <w:r w:rsidR="00AB62F7">
        <w:rPr>
          <w:sz w:val="24"/>
          <w:szCs w:val="24"/>
        </w:rPr>
        <w:t xml:space="preserve">entered </w:t>
      </w:r>
      <w:r w:rsidR="0072320F">
        <w:rPr>
          <w:sz w:val="24"/>
          <w:szCs w:val="24"/>
        </w:rPr>
        <w:t>May</w:t>
      </w:r>
      <w:r w:rsidR="00D854B3">
        <w:rPr>
          <w:sz w:val="24"/>
          <w:szCs w:val="24"/>
        </w:rPr>
        <w:t xml:space="preserve"> </w:t>
      </w:r>
      <w:r w:rsidR="00E65C23">
        <w:rPr>
          <w:sz w:val="24"/>
          <w:szCs w:val="24"/>
        </w:rPr>
        <w:t>2</w:t>
      </w:r>
      <w:r w:rsidR="0072320F">
        <w:rPr>
          <w:sz w:val="24"/>
          <w:szCs w:val="24"/>
        </w:rPr>
        <w:t>0, 2015</w:t>
      </w:r>
      <w:r w:rsidR="009B1789">
        <w:rPr>
          <w:sz w:val="24"/>
          <w:szCs w:val="24"/>
        </w:rPr>
        <w:t>,</w:t>
      </w:r>
      <w:r w:rsidR="004D0364" w:rsidRPr="00D152F7">
        <w:rPr>
          <w:sz w:val="24"/>
          <w:szCs w:val="24"/>
        </w:rPr>
        <w:t xml:space="preserve"> and that all outstanding matters have been satisfied.</w:t>
      </w:r>
      <w:r w:rsidR="004D0364" w:rsidRPr="00D152F7">
        <w:rPr>
          <w:sz w:val="24"/>
          <w:szCs w:val="24"/>
        </w:rPr>
        <w:tab/>
      </w:r>
      <w:r w:rsidR="004D0364" w:rsidRPr="00D152F7">
        <w:rPr>
          <w:sz w:val="24"/>
          <w:szCs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390F23" w:rsidRDefault="00390F23">
      <w:pPr>
        <w:rPr>
          <w:sz w:val="24"/>
        </w:rPr>
      </w:pPr>
    </w:p>
    <w:p w:rsidR="00570341" w:rsidRPr="00570341" w:rsidRDefault="00390F23" w:rsidP="00570341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570341" w:rsidRPr="00570341">
        <w:rPr>
          <w:sz w:val="24"/>
          <w:szCs w:val="24"/>
        </w:rPr>
        <w:t>The Parties are reminded that failure to comply with this or any Order or Secretarial Letter in this proceeding may result in an enforcement action seeking civil penalties and/or other sanctions pursuant to 66 Pa. C.S. § 3301.</w:t>
      </w:r>
    </w:p>
    <w:p w:rsidR="00570341" w:rsidRPr="00570341" w:rsidRDefault="00570341" w:rsidP="00570341">
      <w:pPr>
        <w:rPr>
          <w:sz w:val="24"/>
          <w:szCs w:val="24"/>
        </w:rPr>
      </w:pPr>
    </w:p>
    <w:p w:rsid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570341" w:rsidRPr="00570341" w:rsidRDefault="00570341" w:rsidP="00570341">
      <w:pPr>
        <w:ind w:firstLine="1440"/>
        <w:rPr>
          <w:sz w:val="24"/>
          <w:szCs w:val="24"/>
        </w:rPr>
      </w:pPr>
    </w:p>
    <w:p w:rsidR="00570341" w:rsidRPr="00570341" w:rsidRDefault="00570341" w:rsidP="00570341">
      <w:pPr>
        <w:rPr>
          <w:sz w:val="24"/>
          <w:szCs w:val="24"/>
        </w:rPr>
      </w:pPr>
    </w:p>
    <w:p w:rsidR="00570341" w:rsidRDefault="00570341" w:rsidP="00570341">
      <w:pPr>
        <w:ind w:firstLine="1440"/>
        <w:rPr>
          <w:sz w:val="24"/>
          <w:szCs w:val="24"/>
        </w:rPr>
      </w:pPr>
    </w:p>
    <w:p w:rsidR="00570341" w:rsidRDefault="00570341" w:rsidP="00570341">
      <w:pPr>
        <w:ind w:firstLine="1440"/>
        <w:rPr>
          <w:sz w:val="24"/>
          <w:szCs w:val="24"/>
        </w:rPr>
      </w:pPr>
    </w:p>
    <w:p w:rsidR="00570341" w:rsidRDefault="00570341" w:rsidP="00570341">
      <w:pPr>
        <w:ind w:firstLine="1440"/>
        <w:rPr>
          <w:sz w:val="24"/>
          <w:szCs w:val="24"/>
        </w:rPr>
      </w:pPr>
    </w:p>
    <w:p w:rsidR="00570341" w:rsidRPr="00570341" w:rsidRDefault="00570341" w:rsidP="00570341">
      <w:pPr>
        <w:ind w:firstLine="1440"/>
        <w:rPr>
          <w:sz w:val="24"/>
          <w:szCs w:val="24"/>
        </w:rPr>
      </w:pPr>
      <w:r w:rsidRPr="00570341">
        <w:rPr>
          <w:sz w:val="24"/>
          <w:szCs w:val="24"/>
        </w:rPr>
        <w:lastRenderedPageBreak/>
        <w:t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</w:t>
      </w: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BA008E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B8BFEB0" wp14:editId="44B6A3AB">
            <wp:simplePos x="0" y="0"/>
            <wp:positionH relativeFrom="column">
              <wp:posOffset>2828925</wp:posOffset>
            </wp:positionH>
            <wp:positionV relativeFrom="paragraph">
              <wp:posOffset>32385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</w:r>
      <w:r w:rsidR="00390F23">
        <w:rPr>
          <w:sz w:val="24"/>
        </w:rPr>
        <w:tab/>
        <w:t>Very truly yours,</w:t>
      </w:r>
    </w:p>
    <w:p w:rsidR="00BA008E" w:rsidRDefault="00BA008E"/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A0CB3">
        <w:rPr>
          <w:sz w:val="24"/>
        </w:rPr>
        <w:t>Rosemary Chiavetta</w:t>
      </w:r>
    </w:p>
    <w:p w:rsidR="00390F23" w:rsidRDefault="00390F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sectPr w:rsidR="00390F23" w:rsidSect="00B41F32">
      <w:footerReference w:type="even" r:id="rId11"/>
      <w:footerReference w:type="default" r:id="rId12"/>
      <w:type w:val="continuous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D49" w:rsidRDefault="002B2D49">
      <w:r>
        <w:separator/>
      </w:r>
    </w:p>
  </w:endnote>
  <w:endnote w:type="continuationSeparator" w:id="0">
    <w:p w:rsidR="002B2D49" w:rsidRDefault="002B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D49" w:rsidRDefault="002B2D49">
      <w:r>
        <w:separator/>
      </w:r>
    </w:p>
  </w:footnote>
  <w:footnote w:type="continuationSeparator" w:id="0">
    <w:p w:rsidR="002B2D49" w:rsidRDefault="002B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5DA2"/>
    <w:rsid w:val="00013250"/>
    <w:rsid w:val="00013A91"/>
    <w:rsid w:val="000174A8"/>
    <w:rsid w:val="00035892"/>
    <w:rsid w:val="000415F8"/>
    <w:rsid w:val="00043F9C"/>
    <w:rsid w:val="00065CCE"/>
    <w:rsid w:val="000669E1"/>
    <w:rsid w:val="000720B7"/>
    <w:rsid w:val="0008045A"/>
    <w:rsid w:val="000948AE"/>
    <w:rsid w:val="0009503E"/>
    <w:rsid w:val="000951D5"/>
    <w:rsid w:val="000A3F30"/>
    <w:rsid w:val="000C14E8"/>
    <w:rsid w:val="000D7C40"/>
    <w:rsid w:val="000E0488"/>
    <w:rsid w:val="000F1336"/>
    <w:rsid w:val="00130A83"/>
    <w:rsid w:val="00135E78"/>
    <w:rsid w:val="001502F2"/>
    <w:rsid w:val="00151E5F"/>
    <w:rsid w:val="00152678"/>
    <w:rsid w:val="00155F00"/>
    <w:rsid w:val="001847DF"/>
    <w:rsid w:val="00193441"/>
    <w:rsid w:val="001A27AD"/>
    <w:rsid w:val="001B7137"/>
    <w:rsid w:val="001D6B11"/>
    <w:rsid w:val="001E6349"/>
    <w:rsid w:val="00205184"/>
    <w:rsid w:val="0022040C"/>
    <w:rsid w:val="00225FB9"/>
    <w:rsid w:val="00264899"/>
    <w:rsid w:val="0029680D"/>
    <w:rsid w:val="002A03BE"/>
    <w:rsid w:val="002B2D49"/>
    <w:rsid w:val="002C2D03"/>
    <w:rsid w:val="002C4F30"/>
    <w:rsid w:val="002D0A93"/>
    <w:rsid w:val="002E5CCE"/>
    <w:rsid w:val="002F7B43"/>
    <w:rsid w:val="00300EB9"/>
    <w:rsid w:val="003024EC"/>
    <w:rsid w:val="003354FE"/>
    <w:rsid w:val="00340F46"/>
    <w:rsid w:val="00365A3D"/>
    <w:rsid w:val="0037209A"/>
    <w:rsid w:val="00373939"/>
    <w:rsid w:val="003878C6"/>
    <w:rsid w:val="00390F23"/>
    <w:rsid w:val="003964A0"/>
    <w:rsid w:val="00396766"/>
    <w:rsid w:val="003C299D"/>
    <w:rsid w:val="004045C9"/>
    <w:rsid w:val="004140C6"/>
    <w:rsid w:val="00427548"/>
    <w:rsid w:val="004363E1"/>
    <w:rsid w:val="00451839"/>
    <w:rsid w:val="0046013E"/>
    <w:rsid w:val="00492C84"/>
    <w:rsid w:val="004A3429"/>
    <w:rsid w:val="004B2754"/>
    <w:rsid w:val="004B4F92"/>
    <w:rsid w:val="004D0364"/>
    <w:rsid w:val="004E1F84"/>
    <w:rsid w:val="004E2A4D"/>
    <w:rsid w:val="004F3A16"/>
    <w:rsid w:val="00502D85"/>
    <w:rsid w:val="0051015C"/>
    <w:rsid w:val="00524625"/>
    <w:rsid w:val="0052768C"/>
    <w:rsid w:val="00547349"/>
    <w:rsid w:val="00563170"/>
    <w:rsid w:val="00567A2B"/>
    <w:rsid w:val="00567D60"/>
    <w:rsid w:val="00570341"/>
    <w:rsid w:val="005746BB"/>
    <w:rsid w:val="005844AD"/>
    <w:rsid w:val="00586EEA"/>
    <w:rsid w:val="005B6230"/>
    <w:rsid w:val="005D2705"/>
    <w:rsid w:val="005E2C54"/>
    <w:rsid w:val="00614B15"/>
    <w:rsid w:val="006234A7"/>
    <w:rsid w:val="00684655"/>
    <w:rsid w:val="006A0CB3"/>
    <w:rsid w:val="006B46DE"/>
    <w:rsid w:val="006C41B8"/>
    <w:rsid w:val="006E441E"/>
    <w:rsid w:val="006F4C13"/>
    <w:rsid w:val="0072320F"/>
    <w:rsid w:val="00726D0E"/>
    <w:rsid w:val="00727493"/>
    <w:rsid w:val="00743041"/>
    <w:rsid w:val="007616ED"/>
    <w:rsid w:val="00765B01"/>
    <w:rsid w:val="007B4591"/>
    <w:rsid w:val="007B76DB"/>
    <w:rsid w:val="007D4441"/>
    <w:rsid w:val="00821D1F"/>
    <w:rsid w:val="0082493D"/>
    <w:rsid w:val="0084775E"/>
    <w:rsid w:val="008500B7"/>
    <w:rsid w:val="00850811"/>
    <w:rsid w:val="0087620C"/>
    <w:rsid w:val="008820CB"/>
    <w:rsid w:val="00882783"/>
    <w:rsid w:val="00891CD3"/>
    <w:rsid w:val="00891F28"/>
    <w:rsid w:val="008D031E"/>
    <w:rsid w:val="008D3575"/>
    <w:rsid w:val="008D6960"/>
    <w:rsid w:val="008D7ECD"/>
    <w:rsid w:val="008F7B2F"/>
    <w:rsid w:val="009002CF"/>
    <w:rsid w:val="009005D3"/>
    <w:rsid w:val="00904312"/>
    <w:rsid w:val="009114FB"/>
    <w:rsid w:val="009319DF"/>
    <w:rsid w:val="00932C84"/>
    <w:rsid w:val="00953EA9"/>
    <w:rsid w:val="00966D4A"/>
    <w:rsid w:val="00985840"/>
    <w:rsid w:val="009B05D0"/>
    <w:rsid w:val="009B1789"/>
    <w:rsid w:val="009C73BB"/>
    <w:rsid w:val="009F6DE0"/>
    <w:rsid w:val="00A03516"/>
    <w:rsid w:val="00A10B98"/>
    <w:rsid w:val="00A15428"/>
    <w:rsid w:val="00A21252"/>
    <w:rsid w:val="00A35741"/>
    <w:rsid w:val="00A964E0"/>
    <w:rsid w:val="00A965C8"/>
    <w:rsid w:val="00A97345"/>
    <w:rsid w:val="00AB62F7"/>
    <w:rsid w:val="00AE16F4"/>
    <w:rsid w:val="00AE2CB7"/>
    <w:rsid w:val="00B13356"/>
    <w:rsid w:val="00B40BED"/>
    <w:rsid w:val="00B41F32"/>
    <w:rsid w:val="00B43D0B"/>
    <w:rsid w:val="00B704E0"/>
    <w:rsid w:val="00B717E9"/>
    <w:rsid w:val="00B8165B"/>
    <w:rsid w:val="00B9283A"/>
    <w:rsid w:val="00BA008E"/>
    <w:rsid w:val="00BC42B8"/>
    <w:rsid w:val="00BE105C"/>
    <w:rsid w:val="00BE68DB"/>
    <w:rsid w:val="00C03D85"/>
    <w:rsid w:val="00C2143C"/>
    <w:rsid w:val="00C264E3"/>
    <w:rsid w:val="00C4197F"/>
    <w:rsid w:val="00C43033"/>
    <w:rsid w:val="00C44CA8"/>
    <w:rsid w:val="00C468AF"/>
    <w:rsid w:val="00C6125B"/>
    <w:rsid w:val="00C6364F"/>
    <w:rsid w:val="00C71755"/>
    <w:rsid w:val="00C763B2"/>
    <w:rsid w:val="00CA2440"/>
    <w:rsid w:val="00CC330A"/>
    <w:rsid w:val="00CC5892"/>
    <w:rsid w:val="00CE17B0"/>
    <w:rsid w:val="00CE4FEC"/>
    <w:rsid w:val="00D1232C"/>
    <w:rsid w:val="00D152F7"/>
    <w:rsid w:val="00D21D85"/>
    <w:rsid w:val="00D25A64"/>
    <w:rsid w:val="00D43779"/>
    <w:rsid w:val="00D64D7A"/>
    <w:rsid w:val="00D66404"/>
    <w:rsid w:val="00D81B11"/>
    <w:rsid w:val="00D854B3"/>
    <w:rsid w:val="00DA46DF"/>
    <w:rsid w:val="00DB2728"/>
    <w:rsid w:val="00DC6A99"/>
    <w:rsid w:val="00DE14CB"/>
    <w:rsid w:val="00E558E8"/>
    <w:rsid w:val="00E65C23"/>
    <w:rsid w:val="00E768F2"/>
    <w:rsid w:val="00E81DD7"/>
    <w:rsid w:val="00E94919"/>
    <w:rsid w:val="00E96174"/>
    <w:rsid w:val="00EA0CD2"/>
    <w:rsid w:val="00EA0D80"/>
    <w:rsid w:val="00EA4F5A"/>
    <w:rsid w:val="00ED04E4"/>
    <w:rsid w:val="00F14A70"/>
    <w:rsid w:val="00F21778"/>
    <w:rsid w:val="00F47824"/>
    <w:rsid w:val="00F74AAB"/>
    <w:rsid w:val="00FA54CE"/>
    <w:rsid w:val="00FC52B5"/>
    <w:rsid w:val="00FD0958"/>
    <w:rsid w:val="00FD4940"/>
    <w:rsid w:val="00FE0BC2"/>
    <w:rsid w:val="00FE311A"/>
    <w:rsid w:val="00FF5865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8EBA-0363-4CFC-A54F-7916DAD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Helfrich, Daniel</dc:creator>
  <cp:lastModifiedBy>Reynolds, Doris</cp:lastModifiedBy>
  <cp:revision>2</cp:revision>
  <cp:lastPrinted>2016-03-29T12:28:00Z</cp:lastPrinted>
  <dcterms:created xsi:type="dcterms:W3CDTF">2016-03-29T12:28:00Z</dcterms:created>
  <dcterms:modified xsi:type="dcterms:W3CDTF">2016-03-29T12:28:00Z</dcterms:modified>
</cp:coreProperties>
</file>