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6072" w14:textId="77777777" w:rsidR="00F514FB" w:rsidRPr="002915C6" w:rsidRDefault="00F514FB" w:rsidP="0012768D">
      <w:pPr>
        <w:widowControl/>
        <w:tabs>
          <w:tab w:val="left" w:pos="2250"/>
          <w:tab w:val="center" w:pos="4680"/>
        </w:tabs>
        <w:suppressAutoHyphens/>
        <w:jc w:val="center"/>
        <w:rPr>
          <w:b/>
          <w:sz w:val="26"/>
          <w:szCs w:val="26"/>
        </w:rPr>
      </w:pPr>
      <w:r w:rsidRPr="002915C6">
        <w:rPr>
          <w:b/>
          <w:sz w:val="26"/>
          <w:szCs w:val="26"/>
        </w:rPr>
        <w:t>PENNSYLVANIA</w:t>
      </w:r>
    </w:p>
    <w:p w14:paraId="2D1DF0AC" w14:textId="77777777" w:rsidR="00F514FB" w:rsidRPr="002915C6" w:rsidRDefault="00F514FB" w:rsidP="0012768D">
      <w:pPr>
        <w:widowControl/>
        <w:tabs>
          <w:tab w:val="center" w:pos="4680"/>
        </w:tabs>
        <w:suppressAutoHyphens/>
        <w:jc w:val="center"/>
        <w:rPr>
          <w:sz w:val="26"/>
          <w:szCs w:val="26"/>
        </w:rPr>
      </w:pPr>
      <w:r w:rsidRPr="002915C6">
        <w:rPr>
          <w:b/>
          <w:sz w:val="26"/>
          <w:szCs w:val="26"/>
        </w:rPr>
        <w:t>PUBLIC UTILITY COMMISSION</w:t>
      </w:r>
    </w:p>
    <w:p w14:paraId="70A6C8AE" w14:textId="77777777" w:rsidR="00F514FB" w:rsidRPr="002915C6" w:rsidRDefault="00F514FB" w:rsidP="0012768D">
      <w:pPr>
        <w:widowControl/>
        <w:tabs>
          <w:tab w:val="center" w:pos="4680"/>
        </w:tabs>
        <w:suppressAutoHyphens/>
        <w:jc w:val="center"/>
        <w:rPr>
          <w:sz w:val="26"/>
          <w:szCs w:val="26"/>
        </w:rPr>
      </w:pPr>
      <w:r w:rsidRPr="002915C6">
        <w:rPr>
          <w:b/>
          <w:sz w:val="26"/>
          <w:szCs w:val="26"/>
        </w:rPr>
        <w:t>Harrisburg, PA 17105-3265</w:t>
      </w:r>
    </w:p>
    <w:p w14:paraId="496D9F04" w14:textId="77777777" w:rsidR="00F514FB" w:rsidRPr="002915C6" w:rsidRDefault="00F514FB" w:rsidP="0012768D">
      <w:pPr>
        <w:widowControl/>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379"/>
      </w:tblGrid>
      <w:tr w:rsidR="00F514FB" w:rsidRPr="002915C6" w14:paraId="0A3B409A" w14:textId="77777777" w:rsidTr="00DE25AC">
        <w:tc>
          <w:tcPr>
            <w:tcW w:w="5058" w:type="dxa"/>
          </w:tcPr>
          <w:p w14:paraId="0D7A3433" w14:textId="77777777" w:rsidR="00F514FB" w:rsidRPr="002915C6" w:rsidRDefault="00F514FB" w:rsidP="0012768D">
            <w:pPr>
              <w:widowControl/>
              <w:jc w:val="right"/>
              <w:rPr>
                <w:sz w:val="26"/>
                <w:szCs w:val="26"/>
              </w:rPr>
            </w:pPr>
          </w:p>
        </w:tc>
        <w:tc>
          <w:tcPr>
            <w:tcW w:w="4428" w:type="dxa"/>
          </w:tcPr>
          <w:p w14:paraId="2431308B" w14:textId="77777777" w:rsidR="00F514FB" w:rsidRPr="002915C6" w:rsidRDefault="00180E5D" w:rsidP="0012768D">
            <w:pPr>
              <w:widowControl/>
              <w:ind w:hanging="738"/>
              <w:jc w:val="right"/>
              <w:rPr>
                <w:sz w:val="26"/>
                <w:szCs w:val="26"/>
              </w:rPr>
            </w:pPr>
            <w:r w:rsidRPr="002915C6">
              <w:rPr>
                <w:sz w:val="26"/>
                <w:szCs w:val="26"/>
              </w:rPr>
              <w:t xml:space="preserve"> </w:t>
            </w:r>
            <w:r w:rsidR="002850F7" w:rsidRPr="002915C6">
              <w:rPr>
                <w:sz w:val="26"/>
                <w:szCs w:val="26"/>
              </w:rPr>
              <w:t xml:space="preserve"> </w:t>
            </w:r>
          </w:p>
          <w:p w14:paraId="0E1FF7D3" w14:textId="77777777" w:rsidR="00F514FB" w:rsidRPr="002915C6" w:rsidRDefault="00F514FB" w:rsidP="0012768D">
            <w:pPr>
              <w:widowControl/>
              <w:rPr>
                <w:sz w:val="26"/>
                <w:szCs w:val="26"/>
              </w:rPr>
            </w:pPr>
          </w:p>
          <w:p w14:paraId="7B731D62" w14:textId="77777777" w:rsidR="00F514FB" w:rsidRPr="002915C6" w:rsidRDefault="00753415" w:rsidP="0012768D">
            <w:pPr>
              <w:widowControl/>
              <w:jc w:val="right"/>
              <w:rPr>
                <w:sz w:val="26"/>
                <w:szCs w:val="26"/>
              </w:rPr>
            </w:pPr>
            <w:r w:rsidRPr="002915C6">
              <w:rPr>
                <w:sz w:val="26"/>
                <w:szCs w:val="26"/>
              </w:rPr>
              <w:t xml:space="preserve">Public Meeting held </w:t>
            </w:r>
            <w:r w:rsidR="0092732E" w:rsidRPr="002915C6">
              <w:rPr>
                <w:sz w:val="26"/>
                <w:szCs w:val="26"/>
              </w:rPr>
              <w:t>November 8</w:t>
            </w:r>
            <w:r w:rsidR="00BC6E34" w:rsidRPr="002915C6">
              <w:rPr>
                <w:sz w:val="26"/>
                <w:szCs w:val="26"/>
              </w:rPr>
              <w:t>, 2017</w:t>
            </w:r>
          </w:p>
        </w:tc>
      </w:tr>
      <w:tr w:rsidR="004B6DC1" w:rsidRPr="002915C6" w14:paraId="69C55880" w14:textId="77777777" w:rsidTr="00BC6E34">
        <w:tc>
          <w:tcPr>
            <w:tcW w:w="9486" w:type="dxa"/>
            <w:gridSpan w:val="2"/>
          </w:tcPr>
          <w:p w14:paraId="1E29FB23" w14:textId="77777777" w:rsidR="004B6DC1" w:rsidRPr="002915C6" w:rsidRDefault="004B6DC1" w:rsidP="0012768D">
            <w:pPr>
              <w:widowControl/>
              <w:rPr>
                <w:sz w:val="26"/>
                <w:szCs w:val="26"/>
              </w:rPr>
            </w:pPr>
            <w:r w:rsidRPr="002915C6">
              <w:rPr>
                <w:sz w:val="26"/>
                <w:szCs w:val="26"/>
              </w:rPr>
              <w:t>Commissioners Present:</w:t>
            </w:r>
          </w:p>
          <w:p w14:paraId="4B94211E" w14:textId="77777777" w:rsidR="004B6DC1" w:rsidRPr="002915C6" w:rsidRDefault="004B6DC1" w:rsidP="0012768D">
            <w:pPr>
              <w:widowControl/>
              <w:rPr>
                <w:sz w:val="26"/>
                <w:szCs w:val="26"/>
              </w:rPr>
            </w:pPr>
          </w:p>
          <w:p w14:paraId="0CC7469B" w14:textId="77777777" w:rsidR="004B6DC1" w:rsidRPr="002915C6" w:rsidRDefault="004B6DC1" w:rsidP="0012768D">
            <w:pPr>
              <w:widowControl/>
              <w:ind w:left="720"/>
              <w:rPr>
                <w:sz w:val="26"/>
                <w:szCs w:val="26"/>
              </w:rPr>
            </w:pPr>
            <w:r w:rsidRPr="002915C6">
              <w:rPr>
                <w:sz w:val="26"/>
                <w:szCs w:val="26"/>
              </w:rPr>
              <w:t>Gladys M. Brown, Chairman</w:t>
            </w:r>
          </w:p>
          <w:p w14:paraId="53EC5F74" w14:textId="6DC5E4FD" w:rsidR="004B6DC1" w:rsidRPr="002915C6" w:rsidRDefault="004B6DC1" w:rsidP="0012768D">
            <w:pPr>
              <w:widowControl/>
              <w:ind w:left="720"/>
              <w:rPr>
                <w:sz w:val="26"/>
                <w:szCs w:val="26"/>
              </w:rPr>
            </w:pPr>
            <w:r w:rsidRPr="002915C6">
              <w:rPr>
                <w:sz w:val="26"/>
                <w:szCs w:val="26"/>
              </w:rPr>
              <w:t>Andrew G. Place, Vice Chairman</w:t>
            </w:r>
            <w:r w:rsidR="006A4622">
              <w:rPr>
                <w:sz w:val="26"/>
                <w:szCs w:val="26"/>
              </w:rPr>
              <w:t>, Statement, dissenting</w:t>
            </w:r>
          </w:p>
          <w:p w14:paraId="2E16D95B" w14:textId="77777777" w:rsidR="004B6DC1" w:rsidRPr="002915C6" w:rsidRDefault="004B6DC1" w:rsidP="0012768D">
            <w:pPr>
              <w:widowControl/>
              <w:ind w:left="720"/>
              <w:rPr>
                <w:sz w:val="26"/>
                <w:szCs w:val="26"/>
              </w:rPr>
            </w:pPr>
            <w:r w:rsidRPr="002915C6">
              <w:rPr>
                <w:sz w:val="26"/>
                <w:szCs w:val="26"/>
              </w:rPr>
              <w:t>David W. Sweet</w:t>
            </w:r>
          </w:p>
          <w:p w14:paraId="3D9D4755" w14:textId="284AF909" w:rsidR="0092732E" w:rsidRPr="002915C6" w:rsidRDefault="0092732E" w:rsidP="0012768D">
            <w:pPr>
              <w:widowControl/>
              <w:ind w:left="720"/>
              <w:rPr>
                <w:sz w:val="26"/>
                <w:szCs w:val="26"/>
              </w:rPr>
            </w:pPr>
            <w:r w:rsidRPr="002915C6">
              <w:rPr>
                <w:sz w:val="26"/>
                <w:szCs w:val="26"/>
              </w:rPr>
              <w:t>John F. Coleman, Jr.</w:t>
            </w:r>
            <w:r w:rsidR="006A4622">
              <w:rPr>
                <w:sz w:val="26"/>
                <w:szCs w:val="26"/>
              </w:rPr>
              <w:t>, Statement</w:t>
            </w:r>
          </w:p>
          <w:p w14:paraId="55C66876" w14:textId="77777777" w:rsidR="004B6DC1" w:rsidRPr="002915C6" w:rsidRDefault="004B6DC1" w:rsidP="0012768D">
            <w:pPr>
              <w:widowControl/>
              <w:jc w:val="right"/>
              <w:rPr>
                <w:sz w:val="26"/>
                <w:szCs w:val="26"/>
              </w:rPr>
            </w:pPr>
          </w:p>
          <w:p w14:paraId="37A255E1" w14:textId="77777777" w:rsidR="004B6DC1" w:rsidRPr="002915C6" w:rsidRDefault="004B6DC1" w:rsidP="0012768D">
            <w:pPr>
              <w:widowControl/>
              <w:jc w:val="right"/>
              <w:rPr>
                <w:sz w:val="26"/>
                <w:szCs w:val="26"/>
              </w:rPr>
            </w:pPr>
          </w:p>
        </w:tc>
      </w:tr>
      <w:tr w:rsidR="003B7430" w:rsidRPr="002915C6" w14:paraId="0CCB11EE" w14:textId="77777777" w:rsidTr="00BC6E34">
        <w:tc>
          <w:tcPr>
            <w:tcW w:w="9486" w:type="dxa"/>
            <w:gridSpan w:val="2"/>
          </w:tcPr>
          <w:p w14:paraId="52E11671" w14:textId="77777777" w:rsidR="003B7430" w:rsidRDefault="003B7430" w:rsidP="0012768D">
            <w:pPr>
              <w:widowControl/>
              <w:rPr>
                <w:sz w:val="26"/>
                <w:szCs w:val="26"/>
              </w:rPr>
            </w:pPr>
          </w:p>
          <w:p w14:paraId="2026D521" w14:textId="77777777" w:rsidR="003B7430" w:rsidRPr="002915C6" w:rsidRDefault="003B7430" w:rsidP="0012768D">
            <w:pPr>
              <w:widowControl/>
              <w:rPr>
                <w:sz w:val="26"/>
                <w:szCs w:val="26"/>
              </w:rPr>
            </w:pPr>
          </w:p>
        </w:tc>
      </w:tr>
    </w:tbl>
    <w:p w14:paraId="657BA11D" w14:textId="77777777" w:rsidR="00DD2BFD" w:rsidRPr="002915C6" w:rsidRDefault="00DD2BFD" w:rsidP="0012768D">
      <w:pPr>
        <w:widowControl/>
        <w:adjustRightInd w:val="0"/>
        <w:rPr>
          <w:sz w:val="26"/>
          <w:szCs w:val="26"/>
        </w:rPr>
      </w:pPr>
      <w:r w:rsidRPr="002915C6">
        <w:rPr>
          <w:sz w:val="26"/>
          <w:szCs w:val="26"/>
        </w:rPr>
        <w:t xml:space="preserve">Application of Aqua Pennsylvania Wastewater, Inc. </w:t>
      </w:r>
      <w:r w:rsidR="0092732E" w:rsidRPr="002915C6">
        <w:rPr>
          <w:sz w:val="26"/>
          <w:szCs w:val="26"/>
        </w:rPr>
        <w:tab/>
      </w:r>
      <w:r w:rsidR="0092732E" w:rsidRPr="002915C6">
        <w:rPr>
          <w:sz w:val="26"/>
          <w:szCs w:val="26"/>
        </w:rPr>
        <w:tab/>
      </w:r>
      <w:r w:rsidR="0092732E" w:rsidRPr="002915C6">
        <w:rPr>
          <w:sz w:val="26"/>
          <w:szCs w:val="26"/>
        </w:rPr>
        <w:tab/>
        <w:t xml:space="preserve">     A-2017</w:t>
      </w:r>
      <w:r w:rsidRPr="002915C6">
        <w:rPr>
          <w:sz w:val="26"/>
          <w:szCs w:val="26"/>
        </w:rPr>
        <w:t>-2</w:t>
      </w:r>
      <w:r w:rsidR="0092732E" w:rsidRPr="002915C6">
        <w:rPr>
          <w:sz w:val="26"/>
          <w:szCs w:val="26"/>
        </w:rPr>
        <w:t>605434</w:t>
      </w:r>
    </w:p>
    <w:p w14:paraId="52E0C494" w14:textId="77777777" w:rsidR="00DD2BFD" w:rsidRPr="002915C6" w:rsidRDefault="00DD2BFD" w:rsidP="0012768D">
      <w:pPr>
        <w:widowControl/>
        <w:adjustRightInd w:val="0"/>
        <w:rPr>
          <w:sz w:val="26"/>
          <w:szCs w:val="26"/>
        </w:rPr>
      </w:pPr>
      <w:r w:rsidRPr="002915C6">
        <w:rPr>
          <w:sz w:val="26"/>
          <w:szCs w:val="26"/>
        </w:rPr>
        <w:t xml:space="preserve">Pursuant to Sections 1102 and 1329 of the </w:t>
      </w:r>
    </w:p>
    <w:p w14:paraId="13E242F3" w14:textId="77777777" w:rsidR="00DD2BFD" w:rsidRPr="002915C6" w:rsidRDefault="00DD2BFD" w:rsidP="0012768D">
      <w:pPr>
        <w:widowControl/>
        <w:adjustRightInd w:val="0"/>
        <w:rPr>
          <w:sz w:val="26"/>
          <w:szCs w:val="26"/>
        </w:rPr>
      </w:pPr>
      <w:r w:rsidRPr="002915C6">
        <w:rPr>
          <w:sz w:val="26"/>
          <w:szCs w:val="26"/>
        </w:rPr>
        <w:t xml:space="preserve">Public Utility Code for Approval of its Acquisition </w:t>
      </w:r>
    </w:p>
    <w:p w14:paraId="6A2F2E4E" w14:textId="77777777" w:rsidR="00180E31" w:rsidRPr="002915C6" w:rsidRDefault="00DD2BFD" w:rsidP="0012768D">
      <w:pPr>
        <w:widowControl/>
        <w:adjustRightInd w:val="0"/>
        <w:rPr>
          <w:bCs/>
          <w:color w:val="000000"/>
          <w:sz w:val="26"/>
          <w:szCs w:val="26"/>
        </w:rPr>
      </w:pPr>
      <w:r w:rsidRPr="002915C6">
        <w:rPr>
          <w:sz w:val="26"/>
          <w:szCs w:val="26"/>
        </w:rPr>
        <w:t xml:space="preserve">of the Wastewater System Assets of </w:t>
      </w:r>
      <w:r w:rsidR="0092732E" w:rsidRPr="002915C6">
        <w:rPr>
          <w:sz w:val="26"/>
          <w:szCs w:val="26"/>
        </w:rPr>
        <w:t>Limerick Township</w:t>
      </w:r>
    </w:p>
    <w:p w14:paraId="2F1051DC" w14:textId="77777777" w:rsidR="00F514FB" w:rsidRPr="002915C6" w:rsidRDefault="00F514FB" w:rsidP="0012768D">
      <w:pPr>
        <w:widowControl/>
        <w:rPr>
          <w:sz w:val="26"/>
          <w:szCs w:val="26"/>
        </w:rPr>
      </w:pPr>
    </w:p>
    <w:p w14:paraId="20213180" w14:textId="77777777" w:rsidR="003614C7" w:rsidRDefault="003614C7" w:rsidP="0012768D">
      <w:pPr>
        <w:widowControl/>
        <w:spacing w:after="200" w:line="276" w:lineRule="auto"/>
        <w:rPr>
          <w:b/>
          <w:sz w:val="26"/>
          <w:szCs w:val="26"/>
        </w:rPr>
      </w:pPr>
    </w:p>
    <w:p w14:paraId="3474C767" w14:textId="77777777" w:rsidR="003B7430" w:rsidRDefault="003B7430" w:rsidP="0012768D">
      <w:pPr>
        <w:widowControl/>
        <w:spacing w:after="200" w:line="276" w:lineRule="auto"/>
        <w:rPr>
          <w:b/>
          <w:sz w:val="26"/>
          <w:szCs w:val="26"/>
        </w:rPr>
      </w:pPr>
    </w:p>
    <w:p w14:paraId="7F129454" w14:textId="77777777" w:rsidR="003B7430" w:rsidRDefault="003B7430" w:rsidP="0012768D">
      <w:pPr>
        <w:widowControl/>
        <w:spacing w:after="200" w:line="276" w:lineRule="auto"/>
        <w:rPr>
          <w:b/>
          <w:sz w:val="26"/>
          <w:szCs w:val="26"/>
        </w:rPr>
      </w:pPr>
    </w:p>
    <w:p w14:paraId="06D15986" w14:textId="77777777" w:rsidR="003B7430" w:rsidRDefault="003B7430" w:rsidP="0012768D">
      <w:pPr>
        <w:widowControl/>
        <w:spacing w:after="200" w:line="276" w:lineRule="auto"/>
        <w:rPr>
          <w:b/>
          <w:sz w:val="26"/>
          <w:szCs w:val="26"/>
        </w:rPr>
      </w:pPr>
    </w:p>
    <w:p w14:paraId="286418A9" w14:textId="77777777" w:rsidR="003B7430" w:rsidRDefault="003B7430" w:rsidP="0012768D">
      <w:pPr>
        <w:widowControl/>
        <w:spacing w:after="200" w:line="276" w:lineRule="auto"/>
        <w:rPr>
          <w:b/>
          <w:sz w:val="26"/>
          <w:szCs w:val="26"/>
        </w:rPr>
      </w:pPr>
    </w:p>
    <w:p w14:paraId="2312E0F7" w14:textId="77777777" w:rsidR="003B7430" w:rsidRDefault="003B7430" w:rsidP="0012768D">
      <w:pPr>
        <w:widowControl/>
        <w:spacing w:after="200" w:line="276" w:lineRule="auto"/>
        <w:rPr>
          <w:b/>
          <w:sz w:val="26"/>
          <w:szCs w:val="26"/>
        </w:rPr>
      </w:pPr>
    </w:p>
    <w:p w14:paraId="264D27D8" w14:textId="77777777" w:rsidR="003B7430" w:rsidRDefault="003B7430" w:rsidP="0012768D">
      <w:pPr>
        <w:widowControl/>
        <w:spacing w:after="200" w:line="276" w:lineRule="auto"/>
        <w:rPr>
          <w:b/>
          <w:sz w:val="26"/>
          <w:szCs w:val="26"/>
        </w:rPr>
      </w:pPr>
    </w:p>
    <w:p w14:paraId="78FE4136" w14:textId="77777777" w:rsidR="003B7430" w:rsidRDefault="003B7430" w:rsidP="00BE5FF4">
      <w:pPr>
        <w:widowControl/>
        <w:spacing w:after="200" w:line="276" w:lineRule="auto"/>
        <w:jc w:val="center"/>
        <w:rPr>
          <w:b/>
          <w:sz w:val="26"/>
          <w:szCs w:val="26"/>
        </w:rPr>
      </w:pPr>
      <w:r w:rsidRPr="002915C6">
        <w:rPr>
          <w:b/>
          <w:sz w:val="26"/>
          <w:szCs w:val="26"/>
        </w:rPr>
        <w:t>OPINION AND ORDER</w:t>
      </w:r>
    </w:p>
    <w:p w14:paraId="4D18BA37" w14:textId="77777777" w:rsidR="003B7430" w:rsidRDefault="003B7430" w:rsidP="00BE5FF4">
      <w:pPr>
        <w:widowControl/>
        <w:spacing w:after="200" w:line="276" w:lineRule="auto"/>
        <w:rPr>
          <w:b/>
          <w:sz w:val="26"/>
          <w:szCs w:val="26"/>
        </w:rPr>
      </w:pPr>
    </w:p>
    <w:p w14:paraId="48ACA4B9" w14:textId="77777777" w:rsidR="003B7430" w:rsidRDefault="003B7430" w:rsidP="0012768D">
      <w:pPr>
        <w:widowControl/>
        <w:spacing w:after="200" w:line="276" w:lineRule="auto"/>
        <w:rPr>
          <w:b/>
          <w:sz w:val="26"/>
          <w:szCs w:val="26"/>
        </w:rPr>
      </w:pPr>
    </w:p>
    <w:p w14:paraId="223837C2" w14:textId="77777777" w:rsidR="003B7430" w:rsidRDefault="003B7430" w:rsidP="0012768D">
      <w:pPr>
        <w:widowControl/>
        <w:spacing w:after="200" w:line="276" w:lineRule="auto"/>
        <w:rPr>
          <w:b/>
          <w:sz w:val="26"/>
          <w:szCs w:val="26"/>
        </w:rPr>
      </w:pPr>
    </w:p>
    <w:p w14:paraId="61BFCC31" w14:textId="77777777" w:rsidR="003B7430" w:rsidRDefault="003B7430" w:rsidP="0012768D">
      <w:pPr>
        <w:widowControl/>
        <w:spacing w:after="200" w:line="276" w:lineRule="auto"/>
        <w:rPr>
          <w:b/>
          <w:sz w:val="26"/>
          <w:szCs w:val="26"/>
        </w:rPr>
      </w:pPr>
    </w:p>
    <w:p w14:paraId="16094EEB" w14:textId="77777777" w:rsidR="003B7430" w:rsidRPr="002915C6" w:rsidRDefault="003B7430" w:rsidP="0012768D">
      <w:pPr>
        <w:widowControl/>
        <w:spacing w:after="200" w:line="276" w:lineRule="auto"/>
        <w:rPr>
          <w:b/>
          <w:sz w:val="26"/>
          <w:szCs w:val="26"/>
        </w:rPr>
        <w:sectPr w:rsidR="003B7430" w:rsidRPr="002915C6" w:rsidSect="001C3449">
          <w:footerReference w:type="default" r:id="rId8"/>
          <w:pgSz w:w="12240" w:h="15840"/>
          <w:pgMar w:top="1440" w:right="1440" w:bottom="1440" w:left="1440" w:header="720" w:footer="720" w:gutter="0"/>
          <w:cols w:space="720"/>
          <w:titlePg/>
          <w:docGrid w:linePitch="360"/>
        </w:sectPr>
      </w:pPr>
    </w:p>
    <w:p w14:paraId="7E253C0C" w14:textId="77777777" w:rsidR="003614C7" w:rsidRPr="002915C6" w:rsidRDefault="003614C7" w:rsidP="0012768D">
      <w:pPr>
        <w:pStyle w:val="TOCHeading"/>
        <w:keepNext w:val="0"/>
        <w:keepLines w:val="0"/>
        <w:tabs>
          <w:tab w:val="center" w:pos="4680"/>
        </w:tabs>
        <w:rPr>
          <w:b w:val="0"/>
          <w:sz w:val="26"/>
          <w:szCs w:val="26"/>
        </w:rPr>
      </w:pPr>
      <w:r w:rsidRPr="002915C6">
        <w:rPr>
          <w:b w:val="0"/>
          <w:sz w:val="26"/>
          <w:szCs w:val="26"/>
        </w:rPr>
        <w:lastRenderedPageBreak/>
        <w:tab/>
      </w:r>
    </w:p>
    <w:sdt>
      <w:sdtPr>
        <w:rPr>
          <w:b/>
          <w:bCs/>
          <w:sz w:val="26"/>
          <w:szCs w:val="26"/>
        </w:rPr>
        <w:id w:val="234597158"/>
        <w:docPartObj>
          <w:docPartGallery w:val="Table of Contents"/>
          <w:docPartUnique/>
        </w:docPartObj>
      </w:sdtPr>
      <w:sdtEndPr>
        <w:rPr>
          <w:b w:val="0"/>
          <w:bCs w:val="0"/>
          <w:noProof/>
        </w:rPr>
      </w:sdtEndPr>
      <w:sdtContent>
        <w:p w14:paraId="757D9EC7" w14:textId="77777777" w:rsidR="00770260" w:rsidRPr="00234CE8" w:rsidRDefault="00770260" w:rsidP="0012768D">
          <w:pPr>
            <w:widowControl/>
            <w:spacing w:after="200" w:line="276" w:lineRule="auto"/>
            <w:jc w:val="center"/>
            <w:rPr>
              <w:sz w:val="26"/>
              <w:szCs w:val="26"/>
              <w:u w:val="single"/>
            </w:rPr>
          </w:pPr>
          <w:r w:rsidRPr="00234CE8">
            <w:rPr>
              <w:sz w:val="26"/>
              <w:szCs w:val="26"/>
              <w:u w:val="single"/>
            </w:rPr>
            <w:t>Table of Contents</w:t>
          </w:r>
        </w:p>
        <w:p w14:paraId="6F413366" w14:textId="3F6712B9" w:rsidR="00E73167" w:rsidRPr="00E73167" w:rsidRDefault="00770260">
          <w:pPr>
            <w:pStyle w:val="TOC1"/>
            <w:tabs>
              <w:tab w:val="left" w:pos="660"/>
            </w:tabs>
            <w:rPr>
              <w:rFonts w:asciiTheme="minorHAnsi" w:eastAsiaTheme="minorEastAsia" w:hAnsiTheme="minorHAnsi" w:cstheme="minorBidi"/>
            </w:rPr>
          </w:pPr>
          <w:r w:rsidRPr="00234CE8">
            <w:fldChar w:fldCharType="begin"/>
          </w:r>
          <w:r w:rsidRPr="00234CE8">
            <w:instrText xml:space="preserve"> TOC \o "1-3" \h \z \u </w:instrText>
          </w:r>
          <w:r w:rsidRPr="00234CE8">
            <w:fldChar w:fldCharType="separate"/>
          </w:r>
          <w:hyperlink w:anchor="_Toc499121821" w:history="1">
            <w:r w:rsidR="00E73167" w:rsidRPr="00E73167">
              <w:rPr>
                <w:rStyle w:val="Hyperlink"/>
              </w:rPr>
              <w:t xml:space="preserve">I. </w:t>
            </w:r>
            <w:r w:rsidR="00E73167" w:rsidRPr="00E73167">
              <w:rPr>
                <w:rFonts w:asciiTheme="minorHAnsi" w:eastAsiaTheme="minorEastAsia" w:hAnsiTheme="minorHAnsi" w:cstheme="minorBidi"/>
              </w:rPr>
              <w:tab/>
            </w:r>
            <w:r w:rsidR="00E73167" w:rsidRPr="00E73167">
              <w:rPr>
                <w:rStyle w:val="Hyperlink"/>
              </w:rPr>
              <w:t>History of the Proceeding</w:t>
            </w:r>
            <w:r w:rsidR="00E73167" w:rsidRPr="00E73167">
              <w:rPr>
                <w:webHidden/>
              </w:rPr>
              <w:tab/>
            </w:r>
            <w:r w:rsidR="00E73167" w:rsidRPr="00E73167">
              <w:rPr>
                <w:webHidden/>
              </w:rPr>
              <w:fldChar w:fldCharType="begin"/>
            </w:r>
            <w:r w:rsidR="00E73167" w:rsidRPr="00E73167">
              <w:rPr>
                <w:webHidden/>
              </w:rPr>
              <w:instrText xml:space="preserve"> PAGEREF _Toc499121821 \h </w:instrText>
            </w:r>
            <w:r w:rsidR="00E73167" w:rsidRPr="00E73167">
              <w:rPr>
                <w:webHidden/>
              </w:rPr>
            </w:r>
            <w:r w:rsidR="00E73167" w:rsidRPr="00E73167">
              <w:rPr>
                <w:webHidden/>
              </w:rPr>
              <w:fldChar w:fldCharType="separate"/>
            </w:r>
            <w:r w:rsidR="006A4622">
              <w:rPr>
                <w:webHidden/>
              </w:rPr>
              <w:t>2</w:t>
            </w:r>
            <w:r w:rsidR="00E73167" w:rsidRPr="00E73167">
              <w:rPr>
                <w:webHidden/>
              </w:rPr>
              <w:fldChar w:fldCharType="end"/>
            </w:r>
          </w:hyperlink>
        </w:p>
        <w:p w14:paraId="335DBAAE" w14:textId="193E613D" w:rsidR="00E73167" w:rsidRPr="00E73167" w:rsidRDefault="00A75279">
          <w:pPr>
            <w:pStyle w:val="TOC1"/>
            <w:tabs>
              <w:tab w:val="left" w:pos="660"/>
            </w:tabs>
            <w:rPr>
              <w:rFonts w:asciiTheme="minorHAnsi" w:eastAsiaTheme="minorEastAsia" w:hAnsiTheme="minorHAnsi" w:cstheme="minorBidi"/>
            </w:rPr>
          </w:pPr>
          <w:hyperlink w:anchor="_Toc499121822" w:history="1">
            <w:r w:rsidR="00E73167" w:rsidRPr="00E73167">
              <w:rPr>
                <w:rStyle w:val="Hyperlink"/>
              </w:rPr>
              <w:t xml:space="preserve">II. </w:t>
            </w:r>
            <w:r w:rsidR="00E73167" w:rsidRPr="00E73167">
              <w:rPr>
                <w:rFonts w:asciiTheme="minorHAnsi" w:eastAsiaTheme="minorEastAsia" w:hAnsiTheme="minorHAnsi" w:cstheme="minorBidi"/>
              </w:rPr>
              <w:tab/>
            </w:r>
            <w:r w:rsidR="00E73167" w:rsidRPr="00E73167">
              <w:rPr>
                <w:rStyle w:val="Hyperlink"/>
              </w:rPr>
              <w:t>Background</w:t>
            </w:r>
            <w:r w:rsidR="00E73167" w:rsidRPr="00E73167">
              <w:rPr>
                <w:webHidden/>
              </w:rPr>
              <w:tab/>
            </w:r>
            <w:r w:rsidR="00E73167" w:rsidRPr="00E73167">
              <w:rPr>
                <w:webHidden/>
              </w:rPr>
              <w:fldChar w:fldCharType="begin"/>
            </w:r>
            <w:r w:rsidR="00E73167" w:rsidRPr="00E73167">
              <w:rPr>
                <w:webHidden/>
              </w:rPr>
              <w:instrText xml:space="preserve"> PAGEREF _Toc499121822 \h </w:instrText>
            </w:r>
            <w:r w:rsidR="00E73167" w:rsidRPr="00E73167">
              <w:rPr>
                <w:webHidden/>
              </w:rPr>
            </w:r>
            <w:r w:rsidR="00E73167" w:rsidRPr="00E73167">
              <w:rPr>
                <w:webHidden/>
              </w:rPr>
              <w:fldChar w:fldCharType="separate"/>
            </w:r>
            <w:r w:rsidR="006A4622">
              <w:rPr>
                <w:webHidden/>
              </w:rPr>
              <w:t>4</w:t>
            </w:r>
            <w:r w:rsidR="00E73167" w:rsidRPr="00E73167">
              <w:rPr>
                <w:webHidden/>
              </w:rPr>
              <w:fldChar w:fldCharType="end"/>
            </w:r>
          </w:hyperlink>
        </w:p>
        <w:p w14:paraId="2DCF6AF8" w14:textId="732A4E1E" w:rsidR="00E73167" w:rsidRPr="00E73167" w:rsidRDefault="00A75279">
          <w:pPr>
            <w:pStyle w:val="TOC2"/>
            <w:rPr>
              <w:rFonts w:asciiTheme="minorHAnsi" w:eastAsiaTheme="minorEastAsia" w:hAnsiTheme="minorHAnsi" w:cstheme="minorBidi"/>
              <w:noProof/>
              <w:sz w:val="26"/>
              <w:szCs w:val="26"/>
            </w:rPr>
          </w:pPr>
          <w:hyperlink w:anchor="_Toc499121823" w:history="1">
            <w:r w:rsidR="00E73167" w:rsidRPr="00E73167">
              <w:rPr>
                <w:rStyle w:val="Hyperlink"/>
                <w:noProof/>
                <w:sz w:val="26"/>
                <w:szCs w:val="26"/>
              </w:rPr>
              <w:t>A.</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rPr>
              <w:t>Section 1329 and Valuation of Assets</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_Toc499121823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4</w:t>
            </w:r>
            <w:r w:rsidR="00E73167" w:rsidRPr="00E73167">
              <w:rPr>
                <w:noProof/>
                <w:webHidden/>
                <w:sz w:val="26"/>
                <w:szCs w:val="26"/>
              </w:rPr>
              <w:fldChar w:fldCharType="end"/>
            </w:r>
          </w:hyperlink>
        </w:p>
        <w:p w14:paraId="09478A0F" w14:textId="63FECD96" w:rsidR="00E73167" w:rsidRPr="00E73167" w:rsidRDefault="00A75279">
          <w:pPr>
            <w:pStyle w:val="TOC2"/>
            <w:rPr>
              <w:rFonts w:asciiTheme="minorHAnsi" w:eastAsiaTheme="minorEastAsia" w:hAnsiTheme="minorHAnsi" w:cstheme="minorBidi"/>
              <w:noProof/>
              <w:sz w:val="26"/>
              <w:szCs w:val="26"/>
            </w:rPr>
          </w:pPr>
          <w:hyperlink w:anchor="_Toc499121824" w:history="1">
            <w:r w:rsidR="00E73167" w:rsidRPr="00E73167">
              <w:rPr>
                <w:rStyle w:val="Hyperlink"/>
                <w:noProof/>
                <w:sz w:val="26"/>
                <w:szCs w:val="26"/>
              </w:rPr>
              <w:t>B.</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rPr>
              <w:t>Transaction Overview</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_Toc499121824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6</w:t>
            </w:r>
            <w:r w:rsidR="00E73167" w:rsidRPr="00E73167">
              <w:rPr>
                <w:noProof/>
                <w:webHidden/>
                <w:sz w:val="26"/>
                <w:szCs w:val="26"/>
              </w:rPr>
              <w:fldChar w:fldCharType="end"/>
            </w:r>
          </w:hyperlink>
        </w:p>
        <w:p w14:paraId="18880C63" w14:textId="4AE2CFA0" w:rsidR="00E73167" w:rsidRPr="00E73167" w:rsidRDefault="00A75279">
          <w:pPr>
            <w:pStyle w:val="TOC1"/>
            <w:tabs>
              <w:tab w:val="left" w:pos="660"/>
            </w:tabs>
            <w:rPr>
              <w:rFonts w:asciiTheme="minorHAnsi" w:eastAsiaTheme="minorEastAsia" w:hAnsiTheme="minorHAnsi" w:cstheme="minorBidi"/>
            </w:rPr>
          </w:pPr>
          <w:hyperlink w:anchor="_Toc499121825" w:history="1">
            <w:r w:rsidR="00E73167" w:rsidRPr="00E73167">
              <w:rPr>
                <w:rStyle w:val="Hyperlink"/>
              </w:rPr>
              <w:t>III.</w:t>
            </w:r>
            <w:r w:rsidR="00E73167" w:rsidRPr="00E73167">
              <w:rPr>
                <w:rFonts w:asciiTheme="minorHAnsi" w:eastAsiaTheme="minorEastAsia" w:hAnsiTheme="minorHAnsi" w:cstheme="minorBidi"/>
              </w:rPr>
              <w:tab/>
            </w:r>
            <w:r w:rsidR="00E73167" w:rsidRPr="00E73167">
              <w:rPr>
                <w:rStyle w:val="Hyperlink"/>
              </w:rPr>
              <w:t>Discussion</w:t>
            </w:r>
            <w:r w:rsidR="00E73167" w:rsidRPr="00E73167">
              <w:rPr>
                <w:webHidden/>
              </w:rPr>
              <w:tab/>
            </w:r>
            <w:r w:rsidR="00E73167" w:rsidRPr="00E73167">
              <w:rPr>
                <w:webHidden/>
              </w:rPr>
              <w:fldChar w:fldCharType="begin"/>
            </w:r>
            <w:r w:rsidR="00E73167" w:rsidRPr="00E73167">
              <w:rPr>
                <w:webHidden/>
              </w:rPr>
              <w:instrText xml:space="preserve"> PAGEREF _Toc499121825 \h </w:instrText>
            </w:r>
            <w:r w:rsidR="00E73167" w:rsidRPr="00E73167">
              <w:rPr>
                <w:webHidden/>
              </w:rPr>
            </w:r>
            <w:r w:rsidR="00E73167" w:rsidRPr="00E73167">
              <w:rPr>
                <w:webHidden/>
              </w:rPr>
              <w:fldChar w:fldCharType="separate"/>
            </w:r>
            <w:r w:rsidR="006A4622">
              <w:rPr>
                <w:webHidden/>
              </w:rPr>
              <w:t>9</w:t>
            </w:r>
            <w:r w:rsidR="00E73167" w:rsidRPr="00E73167">
              <w:rPr>
                <w:webHidden/>
              </w:rPr>
              <w:fldChar w:fldCharType="end"/>
            </w:r>
          </w:hyperlink>
        </w:p>
        <w:p w14:paraId="364FE883" w14:textId="1F759BC6" w:rsidR="00E73167" w:rsidRPr="00E73167" w:rsidRDefault="00A75279">
          <w:pPr>
            <w:pStyle w:val="TOC2"/>
            <w:rPr>
              <w:rFonts w:asciiTheme="minorHAnsi" w:eastAsiaTheme="minorEastAsia" w:hAnsiTheme="minorHAnsi" w:cstheme="minorBidi"/>
              <w:noProof/>
              <w:sz w:val="26"/>
              <w:szCs w:val="26"/>
            </w:rPr>
          </w:pPr>
          <w:hyperlink w:anchor="_Toc499121826" w:history="1">
            <w:r w:rsidR="00E73167" w:rsidRPr="00E73167">
              <w:rPr>
                <w:rStyle w:val="Hyperlink"/>
                <w:noProof/>
                <w:sz w:val="26"/>
                <w:szCs w:val="26"/>
              </w:rPr>
              <w:t xml:space="preserve">A. </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rPr>
              <w:t>Legal Standards</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_Toc499121826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9</w:t>
            </w:r>
            <w:r w:rsidR="00E73167" w:rsidRPr="00E73167">
              <w:rPr>
                <w:noProof/>
                <w:webHidden/>
                <w:sz w:val="26"/>
                <w:szCs w:val="26"/>
              </w:rPr>
              <w:fldChar w:fldCharType="end"/>
            </w:r>
          </w:hyperlink>
        </w:p>
        <w:p w14:paraId="3297CC6C" w14:textId="7320B241" w:rsidR="00E73167" w:rsidRPr="00E73167" w:rsidRDefault="00A75279">
          <w:pPr>
            <w:pStyle w:val="TOC2"/>
            <w:rPr>
              <w:rFonts w:asciiTheme="minorHAnsi" w:eastAsiaTheme="minorEastAsia" w:hAnsiTheme="minorHAnsi" w:cstheme="minorBidi"/>
              <w:noProof/>
              <w:sz w:val="26"/>
              <w:szCs w:val="26"/>
            </w:rPr>
          </w:pPr>
          <w:hyperlink w:anchor="_Toc499121827" w:history="1">
            <w:r w:rsidR="00E73167" w:rsidRPr="00E73167">
              <w:rPr>
                <w:rStyle w:val="Hyperlink"/>
                <w:noProof/>
                <w:sz w:val="26"/>
                <w:szCs w:val="26"/>
              </w:rPr>
              <w:t xml:space="preserve">B. </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rPr>
              <w:t>Recommended Decision</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_Toc499121827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12</w:t>
            </w:r>
            <w:r w:rsidR="00E73167" w:rsidRPr="00E73167">
              <w:rPr>
                <w:noProof/>
                <w:webHidden/>
                <w:sz w:val="26"/>
                <w:szCs w:val="26"/>
              </w:rPr>
              <w:fldChar w:fldCharType="end"/>
            </w:r>
          </w:hyperlink>
        </w:p>
        <w:p w14:paraId="048A151E" w14:textId="2933876F" w:rsidR="00E73167" w:rsidRPr="00E73167" w:rsidRDefault="00A75279">
          <w:pPr>
            <w:pStyle w:val="TOC3"/>
            <w:tabs>
              <w:tab w:val="left" w:pos="880"/>
              <w:tab w:val="right" w:leader="dot" w:pos="9350"/>
            </w:tabs>
            <w:rPr>
              <w:rFonts w:asciiTheme="minorHAnsi" w:eastAsiaTheme="minorEastAsia" w:hAnsiTheme="minorHAnsi" w:cstheme="minorBidi"/>
              <w:noProof/>
              <w:sz w:val="26"/>
              <w:szCs w:val="26"/>
            </w:rPr>
          </w:pPr>
          <w:hyperlink w:anchor="_Toc499121828" w:history="1">
            <w:r w:rsidR="00E73167" w:rsidRPr="00E73167">
              <w:rPr>
                <w:rStyle w:val="Hyperlink"/>
                <w:noProof/>
                <w:sz w:val="26"/>
                <w:szCs w:val="26"/>
              </w:rPr>
              <w:t>1.</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rPr>
              <w:t>Applicant’s Fitness</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_Toc499121828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12</w:t>
            </w:r>
            <w:r w:rsidR="00E73167" w:rsidRPr="00E73167">
              <w:rPr>
                <w:noProof/>
                <w:webHidden/>
                <w:sz w:val="26"/>
                <w:szCs w:val="26"/>
              </w:rPr>
              <w:fldChar w:fldCharType="end"/>
            </w:r>
          </w:hyperlink>
        </w:p>
        <w:p w14:paraId="4058D71F" w14:textId="6D747FED" w:rsidR="00E73167" w:rsidRPr="00E73167" w:rsidRDefault="00A75279">
          <w:pPr>
            <w:pStyle w:val="TOC3"/>
            <w:tabs>
              <w:tab w:val="left" w:pos="880"/>
              <w:tab w:val="right" w:leader="dot" w:pos="9350"/>
            </w:tabs>
            <w:rPr>
              <w:rFonts w:asciiTheme="minorHAnsi" w:eastAsiaTheme="minorEastAsia" w:hAnsiTheme="minorHAnsi" w:cstheme="minorBidi"/>
              <w:noProof/>
              <w:sz w:val="26"/>
              <w:szCs w:val="26"/>
            </w:rPr>
          </w:pPr>
          <w:hyperlink w:anchor="_Toc499121829" w:history="1">
            <w:r w:rsidR="00E73167" w:rsidRPr="00E73167">
              <w:rPr>
                <w:rStyle w:val="Hyperlink"/>
                <w:noProof/>
                <w:sz w:val="26"/>
                <w:szCs w:val="26"/>
              </w:rPr>
              <w:t>2.</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rPr>
              <w:t>Rate Stabilization Plan</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_Toc499121829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13</w:t>
            </w:r>
            <w:r w:rsidR="00E73167" w:rsidRPr="00E73167">
              <w:rPr>
                <w:noProof/>
                <w:webHidden/>
                <w:sz w:val="26"/>
                <w:szCs w:val="26"/>
              </w:rPr>
              <w:fldChar w:fldCharType="end"/>
            </w:r>
          </w:hyperlink>
        </w:p>
        <w:p w14:paraId="2B419515" w14:textId="5FAE079F" w:rsidR="00E73167" w:rsidRPr="00E73167" w:rsidRDefault="00A75279">
          <w:pPr>
            <w:pStyle w:val="TOC3"/>
            <w:tabs>
              <w:tab w:val="left" w:pos="880"/>
              <w:tab w:val="right" w:leader="dot" w:pos="9350"/>
            </w:tabs>
            <w:rPr>
              <w:rFonts w:asciiTheme="minorHAnsi" w:eastAsiaTheme="minorEastAsia" w:hAnsiTheme="minorHAnsi" w:cstheme="minorBidi"/>
              <w:noProof/>
              <w:sz w:val="26"/>
              <w:szCs w:val="26"/>
            </w:rPr>
          </w:pPr>
          <w:hyperlink w:anchor="_Toc499121830" w:history="1">
            <w:r w:rsidR="00E73167" w:rsidRPr="00E73167">
              <w:rPr>
                <w:rStyle w:val="Hyperlink"/>
                <w:noProof/>
                <w:sz w:val="26"/>
                <w:szCs w:val="26"/>
              </w:rPr>
              <w:t>3.</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rPr>
              <w:t>Regulatory Asset Treatment</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_Toc499121830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16</w:t>
            </w:r>
            <w:r w:rsidR="00E73167" w:rsidRPr="00E73167">
              <w:rPr>
                <w:noProof/>
                <w:webHidden/>
                <w:sz w:val="26"/>
                <w:szCs w:val="26"/>
              </w:rPr>
              <w:fldChar w:fldCharType="end"/>
            </w:r>
          </w:hyperlink>
        </w:p>
        <w:p w14:paraId="0E0111C9" w14:textId="3F23C466" w:rsidR="00E73167" w:rsidRPr="00E73167" w:rsidRDefault="00A75279">
          <w:pPr>
            <w:pStyle w:val="TOC3"/>
            <w:tabs>
              <w:tab w:val="left" w:pos="880"/>
              <w:tab w:val="right" w:leader="dot" w:pos="9350"/>
            </w:tabs>
            <w:rPr>
              <w:rFonts w:asciiTheme="minorHAnsi" w:eastAsiaTheme="minorEastAsia" w:hAnsiTheme="minorHAnsi" w:cstheme="minorBidi"/>
              <w:noProof/>
              <w:sz w:val="26"/>
              <w:szCs w:val="26"/>
            </w:rPr>
          </w:pPr>
          <w:hyperlink w:anchor="_Toc499121831" w:history="1">
            <w:r w:rsidR="00E73167" w:rsidRPr="00E73167">
              <w:rPr>
                <w:rStyle w:val="Hyperlink"/>
                <w:noProof/>
                <w:sz w:val="26"/>
                <w:szCs w:val="26"/>
              </w:rPr>
              <w:t>4.</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rPr>
              <w:t>Ability to Challenge Fair Market Value Appraisals</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_Toc499121831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18</w:t>
            </w:r>
            <w:r w:rsidR="00E73167" w:rsidRPr="00E73167">
              <w:rPr>
                <w:noProof/>
                <w:webHidden/>
                <w:sz w:val="26"/>
                <w:szCs w:val="26"/>
              </w:rPr>
              <w:fldChar w:fldCharType="end"/>
            </w:r>
          </w:hyperlink>
        </w:p>
        <w:p w14:paraId="5A14069D" w14:textId="5878BE25" w:rsidR="00E73167" w:rsidRPr="00E73167" w:rsidRDefault="00A75279">
          <w:pPr>
            <w:pStyle w:val="TOC3"/>
            <w:tabs>
              <w:tab w:val="left" w:pos="880"/>
              <w:tab w:val="right" w:leader="dot" w:pos="9350"/>
            </w:tabs>
            <w:rPr>
              <w:rFonts w:asciiTheme="minorHAnsi" w:eastAsiaTheme="minorEastAsia" w:hAnsiTheme="minorHAnsi" w:cstheme="minorBidi"/>
              <w:noProof/>
              <w:sz w:val="26"/>
              <w:szCs w:val="26"/>
            </w:rPr>
          </w:pPr>
          <w:hyperlink w:anchor="_Toc499121832" w:history="1">
            <w:r w:rsidR="00E73167" w:rsidRPr="00E73167">
              <w:rPr>
                <w:rStyle w:val="Hyperlink"/>
                <w:noProof/>
                <w:sz w:val="26"/>
                <w:szCs w:val="26"/>
              </w:rPr>
              <w:t>5.</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rPr>
              <w:t>Rate Base Value</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_Toc499121832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19</w:t>
            </w:r>
            <w:r w:rsidR="00E73167" w:rsidRPr="00E73167">
              <w:rPr>
                <w:noProof/>
                <w:webHidden/>
                <w:sz w:val="26"/>
                <w:szCs w:val="26"/>
              </w:rPr>
              <w:fldChar w:fldCharType="end"/>
            </w:r>
          </w:hyperlink>
        </w:p>
        <w:p w14:paraId="4D4E9086" w14:textId="0D0D6A56" w:rsidR="00E73167" w:rsidRPr="00E73167" w:rsidRDefault="00A75279">
          <w:pPr>
            <w:pStyle w:val="TOC3"/>
            <w:tabs>
              <w:tab w:val="left" w:pos="880"/>
              <w:tab w:val="right" w:leader="dot" w:pos="9350"/>
            </w:tabs>
            <w:rPr>
              <w:rFonts w:asciiTheme="minorHAnsi" w:eastAsiaTheme="minorEastAsia" w:hAnsiTheme="minorHAnsi" w:cstheme="minorBidi"/>
              <w:noProof/>
              <w:sz w:val="26"/>
              <w:szCs w:val="26"/>
            </w:rPr>
          </w:pPr>
          <w:hyperlink w:anchor="_Toc499121833" w:history="1">
            <w:r w:rsidR="00E73167" w:rsidRPr="00E73167">
              <w:rPr>
                <w:rStyle w:val="Hyperlink"/>
                <w:noProof/>
                <w:sz w:val="26"/>
                <w:szCs w:val="26"/>
              </w:rPr>
              <w:t>6.</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rPr>
              <w:t>Public Interest / Affirmative Public Benefit</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_Toc499121833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23</w:t>
            </w:r>
            <w:r w:rsidR="00E73167" w:rsidRPr="00E73167">
              <w:rPr>
                <w:noProof/>
                <w:webHidden/>
                <w:sz w:val="26"/>
                <w:szCs w:val="26"/>
              </w:rPr>
              <w:fldChar w:fldCharType="end"/>
            </w:r>
          </w:hyperlink>
        </w:p>
        <w:p w14:paraId="5A0B3633" w14:textId="7AD0100A" w:rsidR="00E73167" w:rsidRPr="00E73167" w:rsidRDefault="00A75279">
          <w:pPr>
            <w:pStyle w:val="TOC3"/>
            <w:tabs>
              <w:tab w:val="left" w:pos="880"/>
              <w:tab w:val="right" w:leader="dot" w:pos="9350"/>
            </w:tabs>
            <w:rPr>
              <w:rFonts w:asciiTheme="minorHAnsi" w:eastAsiaTheme="minorEastAsia" w:hAnsiTheme="minorHAnsi" w:cstheme="minorBidi"/>
              <w:noProof/>
              <w:sz w:val="26"/>
              <w:szCs w:val="26"/>
            </w:rPr>
          </w:pPr>
          <w:hyperlink w:anchor="_Toc499121834" w:history="1">
            <w:r w:rsidR="00E73167" w:rsidRPr="00E73167">
              <w:rPr>
                <w:rStyle w:val="Hyperlink"/>
                <w:noProof/>
                <w:sz w:val="26"/>
                <w:szCs w:val="26"/>
              </w:rPr>
              <w:t>7.</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rPr>
              <w:t>Imposition of 6-Month Statutory Deadline</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_Toc499121834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23</w:t>
            </w:r>
            <w:r w:rsidR="00E73167" w:rsidRPr="00E73167">
              <w:rPr>
                <w:noProof/>
                <w:webHidden/>
                <w:sz w:val="26"/>
                <w:szCs w:val="26"/>
              </w:rPr>
              <w:fldChar w:fldCharType="end"/>
            </w:r>
          </w:hyperlink>
        </w:p>
        <w:p w14:paraId="7B2B3457" w14:textId="10AB28BB" w:rsidR="00E73167" w:rsidRPr="00E73167" w:rsidRDefault="00A75279">
          <w:pPr>
            <w:pStyle w:val="TOC3"/>
            <w:tabs>
              <w:tab w:val="left" w:pos="880"/>
              <w:tab w:val="right" w:leader="dot" w:pos="9350"/>
            </w:tabs>
            <w:rPr>
              <w:rFonts w:asciiTheme="minorHAnsi" w:eastAsiaTheme="minorEastAsia" w:hAnsiTheme="minorHAnsi" w:cstheme="minorBidi"/>
              <w:noProof/>
              <w:sz w:val="26"/>
              <w:szCs w:val="26"/>
            </w:rPr>
          </w:pPr>
          <w:hyperlink w:anchor="_Toc499121835" w:history="1">
            <w:r w:rsidR="00E73167" w:rsidRPr="00E73167">
              <w:rPr>
                <w:rStyle w:val="Hyperlink"/>
                <w:noProof/>
                <w:sz w:val="26"/>
                <w:szCs w:val="26"/>
              </w:rPr>
              <w:t>8.</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rPr>
              <w:t>Revised DSIC Tariff and LTIIP</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_Toc499121835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24</w:t>
            </w:r>
            <w:r w:rsidR="00E73167" w:rsidRPr="00E73167">
              <w:rPr>
                <w:noProof/>
                <w:webHidden/>
                <w:sz w:val="26"/>
                <w:szCs w:val="26"/>
              </w:rPr>
              <w:fldChar w:fldCharType="end"/>
            </w:r>
          </w:hyperlink>
        </w:p>
        <w:p w14:paraId="4383EA70" w14:textId="4E765442" w:rsidR="00E73167" w:rsidRPr="00E73167" w:rsidRDefault="00A75279">
          <w:pPr>
            <w:pStyle w:val="TOC3"/>
            <w:tabs>
              <w:tab w:val="left" w:pos="880"/>
              <w:tab w:val="right" w:leader="dot" w:pos="9350"/>
            </w:tabs>
            <w:rPr>
              <w:rFonts w:asciiTheme="minorHAnsi" w:eastAsiaTheme="minorEastAsia" w:hAnsiTheme="minorHAnsi" w:cstheme="minorBidi"/>
              <w:noProof/>
              <w:sz w:val="26"/>
              <w:szCs w:val="26"/>
            </w:rPr>
          </w:pPr>
          <w:hyperlink w:anchor="_Toc499121836" w:history="1">
            <w:r w:rsidR="00E73167" w:rsidRPr="00E73167">
              <w:rPr>
                <w:rStyle w:val="Hyperlink"/>
                <w:noProof/>
                <w:sz w:val="26"/>
                <w:szCs w:val="26"/>
              </w:rPr>
              <w:t>9.</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rPr>
              <w:t>66 Pa. C.S. § 507 Approvals</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_Toc499121836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24</w:t>
            </w:r>
            <w:r w:rsidR="00E73167" w:rsidRPr="00E73167">
              <w:rPr>
                <w:noProof/>
                <w:webHidden/>
                <w:sz w:val="26"/>
                <w:szCs w:val="26"/>
              </w:rPr>
              <w:fldChar w:fldCharType="end"/>
            </w:r>
          </w:hyperlink>
        </w:p>
        <w:p w14:paraId="36C595D7" w14:textId="746EABD9" w:rsidR="00E73167" w:rsidRPr="00E73167" w:rsidRDefault="00A75279">
          <w:pPr>
            <w:pStyle w:val="TOC3"/>
            <w:tabs>
              <w:tab w:val="left" w:pos="880"/>
              <w:tab w:val="right" w:leader="dot" w:pos="9350"/>
            </w:tabs>
            <w:rPr>
              <w:rFonts w:asciiTheme="minorHAnsi" w:eastAsiaTheme="minorEastAsia" w:hAnsiTheme="minorHAnsi" w:cstheme="minorBidi"/>
              <w:noProof/>
              <w:sz w:val="26"/>
              <w:szCs w:val="26"/>
            </w:rPr>
          </w:pPr>
          <w:hyperlink w:anchor="_Toc499121837" w:history="1">
            <w:r w:rsidR="00E73167" w:rsidRPr="00E73167">
              <w:rPr>
                <w:rStyle w:val="Hyperlink"/>
                <w:noProof/>
                <w:sz w:val="26"/>
                <w:szCs w:val="26"/>
              </w:rPr>
              <w:t>10.</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rPr>
              <w:t>Separate Cost of Service Study</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_Toc499121837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25</w:t>
            </w:r>
            <w:r w:rsidR="00E73167" w:rsidRPr="00E73167">
              <w:rPr>
                <w:noProof/>
                <w:webHidden/>
                <w:sz w:val="26"/>
                <w:szCs w:val="26"/>
              </w:rPr>
              <w:fldChar w:fldCharType="end"/>
            </w:r>
          </w:hyperlink>
        </w:p>
        <w:p w14:paraId="55123A10" w14:textId="6CA48B30" w:rsidR="00E73167" w:rsidRPr="00E73167" w:rsidRDefault="00A75279">
          <w:pPr>
            <w:pStyle w:val="TOC2"/>
            <w:rPr>
              <w:rFonts w:asciiTheme="minorHAnsi" w:eastAsiaTheme="minorEastAsia" w:hAnsiTheme="minorHAnsi" w:cstheme="minorBidi"/>
              <w:noProof/>
              <w:sz w:val="26"/>
              <w:szCs w:val="26"/>
            </w:rPr>
          </w:pPr>
          <w:hyperlink w:anchor="_Toc499121838" w:history="1">
            <w:r w:rsidR="00E73167" w:rsidRPr="00E73167">
              <w:rPr>
                <w:rStyle w:val="Hyperlink"/>
                <w:noProof/>
                <w:sz w:val="26"/>
                <w:szCs w:val="26"/>
              </w:rPr>
              <w:t xml:space="preserve">C. </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lang w:val="en"/>
              </w:rPr>
              <w:t>Rate Stabilization Plan</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_Toc499121838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25</w:t>
            </w:r>
            <w:r w:rsidR="00E73167" w:rsidRPr="00E73167">
              <w:rPr>
                <w:noProof/>
                <w:webHidden/>
                <w:sz w:val="26"/>
                <w:szCs w:val="26"/>
              </w:rPr>
              <w:fldChar w:fldCharType="end"/>
            </w:r>
          </w:hyperlink>
        </w:p>
        <w:p w14:paraId="374A534D" w14:textId="6D777690" w:rsidR="00E73167" w:rsidRPr="00E73167" w:rsidRDefault="00A75279">
          <w:pPr>
            <w:pStyle w:val="TOC3"/>
            <w:tabs>
              <w:tab w:val="left" w:pos="880"/>
              <w:tab w:val="right" w:leader="dot" w:pos="9350"/>
            </w:tabs>
            <w:rPr>
              <w:rFonts w:asciiTheme="minorHAnsi" w:eastAsiaTheme="minorEastAsia" w:hAnsiTheme="minorHAnsi" w:cstheme="minorBidi"/>
              <w:noProof/>
              <w:sz w:val="26"/>
              <w:szCs w:val="26"/>
            </w:rPr>
          </w:pPr>
          <w:hyperlink w:anchor="_Toc499121839" w:history="1">
            <w:r w:rsidR="00E73167" w:rsidRPr="00E73167">
              <w:rPr>
                <w:rStyle w:val="Hyperlink"/>
                <w:noProof/>
                <w:sz w:val="26"/>
                <w:szCs w:val="26"/>
                <w:lang w:val="en"/>
              </w:rPr>
              <w:t>1.</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lang w:val="en"/>
              </w:rPr>
              <w:t>Rate Stabilization Plan – Rate Freeze</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_Toc499121839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25</w:t>
            </w:r>
            <w:r w:rsidR="00E73167" w:rsidRPr="00E73167">
              <w:rPr>
                <w:noProof/>
                <w:webHidden/>
                <w:sz w:val="26"/>
                <w:szCs w:val="26"/>
              </w:rPr>
              <w:fldChar w:fldCharType="end"/>
            </w:r>
          </w:hyperlink>
        </w:p>
        <w:p w14:paraId="396A827F" w14:textId="43A9B0B5" w:rsidR="00E73167" w:rsidRPr="00E73167" w:rsidRDefault="00A75279">
          <w:pPr>
            <w:pStyle w:val="TOC3"/>
            <w:tabs>
              <w:tab w:val="left" w:pos="880"/>
              <w:tab w:val="right" w:leader="dot" w:pos="9350"/>
            </w:tabs>
            <w:rPr>
              <w:rFonts w:asciiTheme="minorHAnsi" w:eastAsiaTheme="minorEastAsia" w:hAnsiTheme="minorHAnsi" w:cstheme="minorBidi"/>
              <w:noProof/>
              <w:sz w:val="26"/>
              <w:szCs w:val="26"/>
            </w:rPr>
          </w:pPr>
          <w:hyperlink w:anchor="_Toc499121840" w:history="1">
            <w:r w:rsidR="00E73167" w:rsidRPr="00E73167">
              <w:rPr>
                <w:rStyle w:val="Hyperlink"/>
                <w:noProof/>
                <w:sz w:val="26"/>
                <w:szCs w:val="26"/>
                <w:lang w:val="en"/>
              </w:rPr>
              <w:t>2.</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lang w:val="en"/>
              </w:rPr>
              <w:t>Rate Stabilization – Regulatory Asset Treatment</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_Toc499121840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31</w:t>
            </w:r>
            <w:r w:rsidR="00E73167" w:rsidRPr="00E73167">
              <w:rPr>
                <w:noProof/>
                <w:webHidden/>
                <w:sz w:val="26"/>
                <w:szCs w:val="26"/>
              </w:rPr>
              <w:fldChar w:fldCharType="end"/>
            </w:r>
          </w:hyperlink>
        </w:p>
        <w:p w14:paraId="461D0D97" w14:textId="1C37FB82" w:rsidR="00E73167" w:rsidRPr="00E73167" w:rsidRDefault="00A75279">
          <w:pPr>
            <w:pStyle w:val="TOC2"/>
            <w:rPr>
              <w:rFonts w:asciiTheme="minorHAnsi" w:eastAsiaTheme="minorEastAsia" w:hAnsiTheme="minorHAnsi" w:cstheme="minorBidi"/>
              <w:noProof/>
              <w:sz w:val="26"/>
              <w:szCs w:val="26"/>
            </w:rPr>
          </w:pPr>
          <w:hyperlink w:anchor="_Toc499121841" w:history="1">
            <w:r w:rsidR="00E73167" w:rsidRPr="00E73167">
              <w:rPr>
                <w:rStyle w:val="Hyperlink"/>
                <w:noProof/>
                <w:sz w:val="26"/>
                <w:szCs w:val="26"/>
              </w:rPr>
              <w:t xml:space="preserve">D. </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lang w:val="en"/>
              </w:rPr>
              <w:t>Approval of Rate Base Value</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_Toc499121841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35</w:t>
            </w:r>
            <w:r w:rsidR="00E73167" w:rsidRPr="00E73167">
              <w:rPr>
                <w:noProof/>
                <w:webHidden/>
                <w:sz w:val="26"/>
                <w:szCs w:val="26"/>
              </w:rPr>
              <w:fldChar w:fldCharType="end"/>
            </w:r>
          </w:hyperlink>
        </w:p>
        <w:p w14:paraId="639F3052" w14:textId="0150CD24" w:rsidR="00E73167" w:rsidRPr="00E73167" w:rsidRDefault="00A75279">
          <w:pPr>
            <w:pStyle w:val="TOC3"/>
            <w:tabs>
              <w:tab w:val="left" w:pos="880"/>
              <w:tab w:val="right" w:leader="dot" w:pos="9350"/>
            </w:tabs>
            <w:rPr>
              <w:rFonts w:asciiTheme="minorHAnsi" w:eastAsiaTheme="minorEastAsia" w:hAnsiTheme="minorHAnsi" w:cstheme="minorBidi"/>
              <w:noProof/>
              <w:sz w:val="26"/>
              <w:szCs w:val="26"/>
            </w:rPr>
          </w:pPr>
          <w:hyperlink w:anchor="_Toc499121842" w:history="1">
            <w:r w:rsidR="00E73167" w:rsidRPr="00E73167">
              <w:rPr>
                <w:rStyle w:val="Hyperlink"/>
                <w:noProof/>
                <w:sz w:val="26"/>
                <w:szCs w:val="26"/>
                <w:lang w:val="en"/>
              </w:rPr>
              <w:t>1.</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lang w:val="en"/>
              </w:rPr>
              <w:t>Ability to Challenge Fair Market Value Appraisals</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_Toc499121842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35</w:t>
            </w:r>
            <w:r w:rsidR="00E73167" w:rsidRPr="00E73167">
              <w:rPr>
                <w:noProof/>
                <w:webHidden/>
                <w:sz w:val="26"/>
                <w:szCs w:val="26"/>
              </w:rPr>
              <w:fldChar w:fldCharType="end"/>
            </w:r>
          </w:hyperlink>
        </w:p>
        <w:p w14:paraId="6D0DAB27" w14:textId="4111FD26" w:rsidR="00E73167" w:rsidRPr="00E73167" w:rsidRDefault="00A75279">
          <w:pPr>
            <w:pStyle w:val="TOC3"/>
            <w:tabs>
              <w:tab w:val="left" w:pos="880"/>
              <w:tab w:val="right" w:leader="dot" w:pos="9350"/>
            </w:tabs>
            <w:rPr>
              <w:rFonts w:asciiTheme="minorHAnsi" w:eastAsiaTheme="minorEastAsia" w:hAnsiTheme="minorHAnsi" w:cstheme="minorBidi"/>
              <w:noProof/>
              <w:sz w:val="26"/>
              <w:szCs w:val="26"/>
            </w:rPr>
          </w:pPr>
          <w:hyperlink w:anchor="_Toc499121843" w:history="1">
            <w:r w:rsidR="00E73167" w:rsidRPr="00E73167">
              <w:rPr>
                <w:rStyle w:val="Hyperlink"/>
                <w:noProof/>
                <w:sz w:val="26"/>
                <w:szCs w:val="26"/>
                <w:lang w:val="en"/>
              </w:rPr>
              <w:t>2.</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lang w:val="en"/>
              </w:rPr>
              <w:t>Rate Base Valuation</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_Toc499121843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37</w:t>
            </w:r>
            <w:r w:rsidR="00E73167" w:rsidRPr="00E73167">
              <w:rPr>
                <w:noProof/>
                <w:webHidden/>
                <w:sz w:val="26"/>
                <w:szCs w:val="26"/>
              </w:rPr>
              <w:fldChar w:fldCharType="end"/>
            </w:r>
          </w:hyperlink>
        </w:p>
        <w:p w14:paraId="406BF08D" w14:textId="5528CB98" w:rsidR="00E73167" w:rsidRPr="00E73167" w:rsidRDefault="00A75279">
          <w:pPr>
            <w:pStyle w:val="TOC2"/>
            <w:rPr>
              <w:rFonts w:asciiTheme="minorHAnsi" w:eastAsiaTheme="minorEastAsia" w:hAnsiTheme="minorHAnsi" w:cstheme="minorBidi"/>
              <w:noProof/>
              <w:sz w:val="26"/>
              <w:szCs w:val="26"/>
            </w:rPr>
          </w:pPr>
          <w:hyperlink w:anchor="_Toc499121844" w:history="1">
            <w:r w:rsidR="00E73167" w:rsidRPr="00E73167">
              <w:rPr>
                <w:rStyle w:val="Hyperlink"/>
                <w:noProof/>
                <w:sz w:val="26"/>
                <w:szCs w:val="26"/>
                <w:lang w:val="en"/>
              </w:rPr>
              <w:t>E.</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lang w:val="en"/>
              </w:rPr>
              <w:t>Public Interest and Affirmative Public Benefits</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_Toc499121844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67</w:t>
            </w:r>
            <w:r w:rsidR="00E73167" w:rsidRPr="00E73167">
              <w:rPr>
                <w:noProof/>
                <w:webHidden/>
                <w:sz w:val="26"/>
                <w:szCs w:val="26"/>
              </w:rPr>
              <w:fldChar w:fldCharType="end"/>
            </w:r>
          </w:hyperlink>
        </w:p>
        <w:p w14:paraId="07F834F5" w14:textId="32879D35" w:rsidR="00E73167" w:rsidRPr="00E73167" w:rsidRDefault="00A75279">
          <w:pPr>
            <w:pStyle w:val="TOC2"/>
            <w:rPr>
              <w:rFonts w:asciiTheme="minorHAnsi" w:eastAsiaTheme="minorEastAsia" w:hAnsiTheme="minorHAnsi" w:cstheme="minorBidi"/>
              <w:noProof/>
              <w:sz w:val="26"/>
              <w:szCs w:val="26"/>
            </w:rPr>
          </w:pPr>
          <w:hyperlink w:anchor="_Toc499121845" w:history="1">
            <w:r w:rsidR="00E73167" w:rsidRPr="00E73167">
              <w:rPr>
                <w:rStyle w:val="Hyperlink"/>
                <w:noProof/>
                <w:sz w:val="26"/>
                <w:szCs w:val="26"/>
                <w:lang w:val="en"/>
              </w:rPr>
              <w:t>F.</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lang w:val="en"/>
              </w:rPr>
              <w:t>Imposition of 6-Month Statute of Limitations</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_Toc499121845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69</w:t>
            </w:r>
            <w:r w:rsidR="00E73167" w:rsidRPr="00E73167">
              <w:rPr>
                <w:noProof/>
                <w:webHidden/>
                <w:sz w:val="26"/>
                <w:szCs w:val="26"/>
              </w:rPr>
              <w:fldChar w:fldCharType="end"/>
            </w:r>
          </w:hyperlink>
        </w:p>
        <w:p w14:paraId="5814456A" w14:textId="72F3131E" w:rsidR="00E73167" w:rsidRPr="00E73167" w:rsidRDefault="00A75279">
          <w:pPr>
            <w:pStyle w:val="TOC2"/>
            <w:rPr>
              <w:rFonts w:asciiTheme="minorHAnsi" w:eastAsiaTheme="minorEastAsia" w:hAnsiTheme="minorHAnsi" w:cstheme="minorBidi"/>
              <w:noProof/>
              <w:sz w:val="26"/>
              <w:szCs w:val="26"/>
            </w:rPr>
          </w:pPr>
          <w:hyperlink w:anchor="_Toc499121846" w:history="1">
            <w:r w:rsidR="00E73167" w:rsidRPr="00E73167">
              <w:rPr>
                <w:rStyle w:val="Hyperlink"/>
                <w:noProof/>
                <w:sz w:val="26"/>
                <w:szCs w:val="26"/>
                <w:lang w:val="en"/>
              </w:rPr>
              <w:t>G.</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lang w:val="en"/>
              </w:rPr>
              <w:t xml:space="preserve">66 Pa. C.S. </w:t>
            </w:r>
            <w:r w:rsidR="00E73167" w:rsidRPr="00E73167">
              <w:rPr>
                <w:rStyle w:val="Hyperlink"/>
                <w:noProof/>
                <w:sz w:val="26"/>
                <w:szCs w:val="26"/>
              </w:rPr>
              <w:t>§ 507 – Contracts between Public Utilities and Municipalities</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_Toc499121846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70</w:t>
            </w:r>
            <w:r w:rsidR="00E73167" w:rsidRPr="00E73167">
              <w:rPr>
                <w:noProof/>
                <w:webHidden/>
                <w:sz w:val="26"/>
                <w:szCs w:val="26"/>
              </w:rPr>
              <w:fldChar w:fldCharType="end"/>
            </w:r>
          </w:hyperlink>
        </w:p>
        <w:p w14:paraId="1CB7C602" w14:textId="6941268E" w:rsidR="00E73167" w:rsidRPr="00E73167" w:rsidRDefault="00A75279">
          <w:pPr>
            <w:pStyle w:val="TOC2"/>
            <w:rPr>
              <w:rFonts w:asciiTheme="minorHAnsi" w:eastAsiaTheme="minorEastAsia" w:hAnsiTheme="minorHAnsi" w:cstheme="minorBidi"/>
              <w:noProof/>
              <w:sz w:val="26"/>
              <w:szCs w:val="26"/>
            </w:rPr>
          </w:pPr>
          <w:hyperlink w:anchor="_Toc499121847" w:history="1">
            <w:r w:rsidR="00E73167" w:rsidRPr="00E73167">
              <w:rPr>
                <w:rStyle w:val="Hyperlink"/>
                <w:noProof/>
                <w:sz w:val="26"/>
                <w:szCs w:val="26"/>
                <w:lang w:val="en"/>
              </w:rPr>
              <w:t>H.</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lang w:val="en"/>
              </w:rPr>
              <w:t>Separate Cost of Service Study</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_Toc499121847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77</w:t>
            </w:r>
            <w:r w:rsidR="00E73167" w:rsidRPr="00E73167">
              <w:rPr>
                <w:noProof/>
                <w:webHidden/>
                <w:sz w:val="26"/>
                <w:szCs w:val="26"/>
              </w:rPr>
              <w:fldChar w:fldCharType="end"/>
            </w:r>
          </w:hyperlink>
        </w:p>
        <w:p w14:paraId="5133EDAD" w14:textId="23B6FF8F" w:rsidR="00E73167" w:rsidRPr="00E73167" w:rsidRDefault="00A75279">
          <w:pPr>
            <w:pStyle w:val="TOC2"/>
            <w:rPr>
              <w:rFonts w:asciiTheme="minorHAnsi" w:eastAsiaTheme="minorEastAsia" w:hAnsiTheme="minorHAnsi" w:cstheme="minorBidi"/>
              <w:noProof/>
              <w:sz w:val="26"/>
              <w:szCs w:val="26"/>
            </w:rPr>
          </w:pPr>
          <w:hyperlink w:anchor="_Toc499121848" w:history="1">
            <w:r w:rsidR="00E73167" w:rsidRPr="00E73167">
              <w:rPr>
                <w:rStyle w:val="Hyperlink"/>
                <w:noProof/>
                <w:sz w:val="26"/>
                <w:szCs w:val="26"/>
                <w:lang w:val="en"/>
              </w:rPr>
              <w:t>I.</w:t>
            </w:r>
            <w:r w:rsidR="00E73167" w:rsidRPr="00E73167">
              <w:rPr>
                <w:rFonts w:asciiTheme="minorHAnsi" w:eastAsiaTheme="minorEastAsia" w:hAnsiTheme="minorHAnsi" w:cstheme="minorBidi"/>
                <w:noProof/>
                <w:sz w:val="26"/>
                <w:szCs w:val="26"/>
              </w:rPr>
              <w:tab/>
            </w:r>
            <w:r w:rsidR="00E73167" w:rsidRPr="00E73167">
              <w:rPr>
                <w:rStyle w:val="Hyperlink"/>
                <w:noProof/>
                <w:sz w:val="26"/>
                <w:szCs w:val="26"/>
                <w:lang w:val="en"/>
              </w:rPr>
              <w:t>Revised DSIC Tariff and LTIIP</w:t>
            </w:r>
            <w:r w:rsidR="00E73167" w:rsidRPr="00E73167">
              <w:rPr>
                <w:noProof/>
                <w:webHidden/>
                <w:sz w:val="26"/>
                <w:szCs w:val="26"/>
              </w:rPr>
              <w:tab/>
            </w:r>
            <w:r w:rsidR="00E73167" w:rsidRPr="00E73167">
              <w:rPr>
                <w:noProof/>
                <w:webHidden/>
                <w:sz w:val="26"/>
                <w:szCs w:val="26"/>
              </w:rPr>
              <w:fldChar w:fldCharType="begin"/>
            </w:r>
            <w:r w:rsidR="00E73167" w:rsidRPr="00E73167">
              <w:rPr>
                <w:noProof/>
                <w:webHidden/>
                <w:sz w:val="26"/>
                <w:szCs w:val="26"/>
              </w:rPr>
              <w:instrText xml:space="preserve"> PAGEREF _Toc499121848 \h </w:instrText>
            </w:r>
            <w:r w:rsidR="00E73167" w:rsidRPr="00E73167">
              <w:rPr>
                <w:noProof/>
                <w:webHidden/>
                <w:sz w:val="26"/>
                <w:szCs w:val="26"/>
              </w:rPr>
            </w:r>
            <w:r w:rsidR="00E73167" w:rsidRPr="00E73167">
              <w:rPr>
                <w:noProof/>
                <w:webHidden/>
                <w:sz w:val="26"/>
                <w:szCs w:val="26"/>
              </w:rPr>
              <w:fldChar w:fldCharType="separate"/>
            </w:r>
            <w:r w:rsidR="006A4622">
              <w:rPr>
                <w:noProof/>
                <w:webHidden/>
                <w:sz w:val="26"/>
                <w:szCs w:val="26"/>
              </w:rPr>
              <w:t>79</w:t>
            </w:r>
            <w:r w:rsidR="00E73167" w:rsidRPr="00E73167">
              <w:rPr>
                <w:noProof/>
                <w:webHidden/>
                <w:sz w:val="26"/>
                <w:szCs w:val="26"/>
              </w:rPr>
              <w:fldChar w:fldCharType="end"/>
            </w:r>
          </w:hyperlink>
        </w:p>
        <w:p w14:paraId="5031F378" w14:textId="6E9C4CC8" w:rsidR="00E73167" w:rsidRDefault="00A75279">
          <w:pPr>
            <w:pStyle w:val="TOC1"/>
            <w:tabs>
              <w:tab w:val="left" w:pos="660"/>
            </w:tabs>
            <w:rPr>
              <w:rFonts w:asciiTheme="minorHAnsi" w:eastAsiaTheme="minorEastAsia" w:hAnsiTheme="minorHAnsi" w:cstheme="minorBidi"/>
              <w:sz w:val="22"/>
              <w:szCs w:val="22"/>
            </w:rPr>
          </w:pPr>
          <w:hyperlink w:anchor="_Toc499121849" w:history="1">
            <w:r w:rsidR="00E73167" w:rsidRPr="00E73167">
              <w:rPr>
                <w:rStyle w:val="Hyperlink"/>
              </w:rPr>
              <w:t>IV.</w:t>
            </w:r>
            <w:r w:rsidR="00E73167" w:rsidRPr="00E73167">
              <w:rPr>
                <w:rFonts w:asciiTheme="minorHAnsi" w:eastAsiaTheme="minorEastAsia" w:hAnsiTheme="minorHAnsi" w:cstheme="minorBidi"/>
              </w:rPr>
              <w:tab/>
            </w:r>
            <w:r w:rsidR="00E73167" w:rsidRPr="00E73167">
              <w:rPr>
                <w:rStyle w:val="Hyperlink"/>
              </w:rPr>
              <w:t>Conclusion</w:t>
            </w:r>
            <w:r w:rsidR="00E73167" w:rsidRPr="00E73167">
              <w:rPr>
                <w:webHidden/>
              </w:rPr>
              <w:tab/>
            </w:r>
            <w:r w:rsidR="00E73167" w:rsidRPr="00E73167">
              <w:rPr>
                <w:webHidden/>
              </w:rPr>
              <w:fldChar w:fldCharType="begin"/>
            </w:r>
            <w:r w:rsidR="00E73167" w:rsidRPr="00E73167">
              <w:rPr>
                <w:webHidden/>
              </w:rPr>
              <w:instrText xml:space="preserve"> PAGEREF _Toc499121849 \h </w:instrText>
            </w:r>
            <w:r w:rsidR="00E73167" w:rsidRPr="00E73167">
              <w:rPr>
                <w:webHidden/>
              </w:rPr>
            </w:r>
            <w:r w:rsidR="00E73167" w:rsidRPr="00E73167">
              <w:rPr>
                <w:webHidden/>
              </w:rPr>
              <w:fldChar w:fldCharType="separate"/>
            </w:r>
            <w:r w:rsidR="006A4622">
              <w:rPr>
                <w:webHidden/>
              </w:rPr>
              <w:t>82</w:t>
            </w:r>
            <w:r w:rsidR="00E73167" w:rsidRPr="00E73167">
              <w:rPr>
                <w:webHidden/>
              </w:rPr>
              <w:fldChar w:fldCharType="end"/>
            </w:r>
          </w:hyperlink>
        </w:p>
        <w:p w14:paraId="27561278" w14:textId="77777777" w:rsidR="003D146D" w:rsidRPr="009027D9" w:rsidRDefault="00770260" w:rsidP="0012768D">
          <w:pPr>
            <w:widowControl/>
            <w:rPr>
              <w:sz w:val="26"/>
              <w:szCs w:val="26"/>
            </w:rPr>
            <w:sectPr w:rsidR="003D146D" w:rsidRPr="009027D9" w:rsidSect="003D146D">
              <w:footerReference w:type="default" r:id="rId9"/>
              <w:pgSz w:w="12240" w:h="15840"/>
              <w:pgMar w:top="1440" w:right="1440" w:bottom="1440" w:left="1440" w:header="720" w:footer="720" w:gutter="0"/>
              <w:pgNumType w:start="1"/>
              <w:cols w:space="720"/>
              <w:docGrid w:linePitch="360"/>
            </w:sectPr>
          </w:pPr>
          <w:r w:rsidRPr="00234CE8">
            <w:rPr>
              <w:b/>
              <w:bCs/>
              <w:noProof/>
              <w:sz w:val="26"/>
              <w:szCs w:val="26"/>
            </w:rPr>
            <w:fldChar w:fldCharType="end"/>
          </w:r>
        </w:p>
      </w:sdtContent>
    </w:sdt>
    <w:p w14:paraId="2C0F5133" w14:textId="77777777" w:rsidR="00770260" w:rsidRPr="002915C6" w:rsidRDefault="00770260" w:rsidP="00BE5FF4">
      <w:pPr>
        <w:widowControl/>
        <w:spacing w:after="200" w:line="276" w:lineRule="auto"/>
        <w:rPr>
          <w:b/>
          <w:sz w:val="26"/>
          <w:szCs w:val="26"/>
        </w:rPr>
      </w:pPr>
    </w:p>
    <w:p w14:paraId="62AACF91" w14:textId="77777777" w:rsidR="00F514FB" w:rsidRPr="002915C6" w:rsidRDefault="00F514FB" w:rsidP="0012768D">
      <w:pPr>
        <w:widowControl/>
        <w:rPr>
          <w:b/>
          <w:sz w:val="26"/>
          <w:szCs w:val="26"/>
        </w:rPr>
      </w:pPr>
      <w:r w:rsidRPr="002915C6">
        <w:rPr>
          <w:b/>
          <w:sz w:val="26"/>
          <w:szCs w:val="26"/>
        </w:rPr>
        <w:t>BY THE COMMISSION:</w:t>
      </w:r>
    </w:p>
    <w:p w14:paraId="4DE9D6CD" w14:textId="77777777" w:rsidR="00F514FB" w:rsidRPr="002915C6" w:rsidRDefault="00F514FB" w:rsidP="0012768D">
      <w:pPr>
        <w:widowControl/>
        <w:rPr>
          <w:sz w:val="26"/>
          <w:szCs w:val="26"/>
        </w:rPr>
      </w:pPr>
    </w:p>
    <w:p w14:paraId="1EE24A3F" w14:textId="77777777" w:rsidR="00F514FB" w:rsidRPr="002915C6" w:rsidRDefault="00F514FB" w:rsidP="0012768D">
      <w:pPr>
        <w:widowControl/>
        <w:rPr>
          <w:sz w:val="26"/>
          <w:szCs w:val="26"/>
        </w:rPr>
      </w:pPr>
    </w:p>
    <w:p w14:paraId="6A470935" w14:textId="77777777" w:rsidR="00100E2F" w:rsidRPr="002915C6" w:rsidRDefault="00747619" w:rsidP="0012768D">
      <w:pPr>
        <w:widowControl/>
        <w:spacing w:line="360" w:lineRule="auto"/>
        <w:ind w:firstLine="1440"/>
        <w:rPr>
          <w:color w:val="000000"/>
          <w:sz w:val="26"/>
          <w:szCs w:val="26"/>
        </w:rPr>
      </w:pPr>
      <w:r w:rsidRPr="002915C6">
        <w:rPr>
          <w:sz w:val="26"/>
          <w:szCs w:val="26"/>
        </w:rPr>
        <w:t>Before t</w:t>
      </w:r>
      <w:r w:rsidR="00CA43A5" w:rsidRPr="002915C6">
        <w:rPr>
          <w:sz w:val="26"/>
          <w:szCs w:val="26"/>
        </w:rPr>
        <w:t xml:space="preserve">he Pennsylvania Public Utility Commission (Commission) </w:t>
      </w:r>
      <w:r w:rsidR="00180E31" w:rsidRPr="002915C6">
        <w:rPr>
          <w:sz w:val="26"/>
          <w:szCs w:val="26"/>
        </w:rPr>
        <w:t>fo</w:t>
      </w:r>
      <w:r w:rsidR="00CA43A5" w:rsidRPr="002915C6">
        <w:rPr>
          <w:sz w:val="26"/>
          <w:szCs w:val="26"/>
        </w:rPr>
        <w:t xml:space="preserve">r consideration and disposition </w:t>
      </w:r>
      <w:r w:rsidR="00BC6E34" w:rsidRPr="002915C6">
        <w:rPr>
          <w:sz w:val="26"/>
          <w:szCs w:val="26"/>
        </w:rPr>
        <w:t xml:space="preserve">are the Exceptions </w:t>
      </w:r>
      <w:r w:rsidR="00D97065" w:rsidRPr="002915C6">
        <w:rPr>
          <w:sz w:val="26"/>
          <w:szCs w:val="26"/>
        </w:rPr>
        <w:t xml:space="preserve">to the Recommended Decision (R.D.) of Administrative Law Judge </w:t>
      </w:r>
      <w:r w:rsidR="000A516C" w:rsidRPr="002915C6">
        <w:rPr>
          <w:sz w:val="26"/>
          <w:szCs w:val="26"/>
        </w:rPr>
        <w:t xml:space="preserve">(ALJ) </w:t>
      </w:r>
      <w:r w:rsidR="00D97065" w:rsidRPr="002915C6">
        <w:rPr>
          <w:sz w:val="26"/>
          <w:szCs w:val="26"/>
        </w:rPr>
        <w:t xml:space="preserve">Steven K. Haas issued on </w:t>
      </w:r>
      <w:r w:rsidR="008913D8" w:rsidRPr="002915C6">
        <w:rPr>
          <w:sz w:val="26"/>
          <w:szCs w:val="26"/>
        </w:rPr>
        <w:t>September 18</w:t>
      </w:r>
      <w:r w:rsidR="00D97065" w:rsidRPr="002915C6">
        <w:rPr>
          <w:sz w:val="26"/>
          <w:szCs w:val="26"/>
        </w:rPr>
        <w:t xml:space="preserve">, 2017, which were filed by the following Parties on </w:t>
      </w:r>
      <w:r w:rsidR="008913D8" w:rsidRPr="002915C6">
        <w:rPr>
          <w:sz w:val="26"/>
          <w:szCs w:val="26"/>
        </w:rPr>
        <w:t>October 3</w:t>
      </w:r>
      <w:r w:rsidR="00D97065" w:rsidRPr="002915C6">
        <w:rPr>
          <w:sz w:val="26"/>
          <w:szCs w:val="26"/>
        </w:rPr>
        <w:t>, 2017: Aqua Pennsyl</w:t>
      </w:r>
      <w:r w:rsidR="009674A4" w:rsidRPr="002915C6">
        <w:rPr>
          <w:sz w:val="26"/>
          <w:szCs w:val="26"/>
        </w:rPr>
        <w:t xml:space="preserve">vania Wastewater, Inc. (Aqua, </w:t>
      </w:r>
      <w:r w:rsidR="00D97065" w:rsidRPr="002915C6">
        <w:rPr>
          <w:sz w:val="26"/>
          <w:szCs w:val="26"/>
        </w:rPr>
        <w:t>the Company</w:t>
      </w:r>
      <w:r w:rsidR="009674A4" w:rsidRPr="002915C6">
        <w:rPr>
          <w:sz w:val="26"/>
          <w:szCs w:val="26"/>
        </w:rPr>
        <w:t>, or the Applicant</w:t>
      </w:r>
      <w:r w:rsidR="00D97065" w:rsidRPr="002915C6">
        <w:rPr>
          <w:sz w:val="26"/>
          <w:szCs w:val="26"/>
        </w:rPr>
        <w:t xml:space="preserve">); the </w:t>
      </w:r>
      <w:r w:rsidR="00D97065" w:rsidRPr="002915C6">
        <w:rPr>
          <w:color w:val="000000"/>
          <w:sz w:val="26"/>
          <w:szCs w:val="26"/>
        </w:rPr>
        <w:t xml:space="preserve">Commission’s Bureau of Investigation and Enforcement (I&amp;E); and the Office of Consumer Advocate (OCA).  On </w:t>
      </w:r>
      <w:r w:rsidR="008913D8" w:rsidRPr="002915C6">
        <w:rPr>
          <w:color w:val="000000"/>
          <w:sz w:val="26"/>
          <w:szCs w:val="26"/>
        </w:rPr>
        <w:t>October 10</w:t>
      </w:r>
      <w:r w:rsidR="00D97065" w:rsidRPr="002915C6">
        <w:rPr>
          <w:color w:val="000000"/>
          <w:sz w:val="26"/>
          <w:szCs w:val="26"/>
        </w:rPr>
        <w:t xml:space="preserve">, 2017, Aqua, I&amp;E and the OCA filed Replies to Exceptions.  For the reasons below, we shall </w:t>
      </w:r>
      <w:r w:rsidR="00D6505D" w:rsidRPr="002915C6">
        <w:rPr>
          <w:color w:val="000000"/>
          <w:sz w:val="26"/>
          <w:szCs w:val="26"/>
        </w:rPr>
        <w:t>deny</w:t>
      </w:r>
      <w:r w:rsidR="008913D8" w:rsidRPr="002915C6">
        <w:rPr>
          <w:color w:val="000000"/>
          <w:sz w:val="26"/>
          <w:szCs w:val="26"/>
        </w:rPr>
        <w:t xml:space="preserve"> </w:t>
      </w:r>
      <w:r w:rsidR="00B93DDB" w:rsidRPr="002915C6">
        <w:rPr>
          <w:color w:val="000000"/>
          <w:sz w:val="26"/>
          <w:szCs w:val="26"/>
        </w:rPr>
        <w:t xml:space="preserve">the Exceptions of </w:t>
      </w:r>
      <w:r w:rsidR="00D6505D" w:rsidRPr="002915C6">
        <w:rPr>
          <w:color w:val="000000"/>
          <w:sz w:val="26"/>
          <w:szCs w:val="26"/>
        </w:rPr>
        <w:t xml:space="preserve">Aqua, I&amp;E, and the OCA </w:t>
      </w:r>
      <w:r w:rsidR="00B93DDB" w:rsidRPr="002915C6">
        <w:rPr>
          <w:color w:val="000000"/>
          <w:sz w:val="26"/>
          <w:szCs w:val="26"/>
        </w:rPr>
        <w:t xml:space="preserve">and </w:t>
      </w:r>
      <w:r w:rsidR="00D6505D" w:rsidRPr="002915C6">
        <w:rPr>
          <w:color w:val="000000"/>
          <w:sz w:val="26"/>
          <w:szCs w:val="26"/>
        </w:rPr>
        <w:t>adopt</w:t>
      </w:r>
      <w:r w:rsidR="00E40157" w:rsidRPr="002915C6">
        <w:rPr>
          <w:color w:val="000000"/>
          <w:sz w:val="26"/>
          <w:szCs w:val="26"/>
        </w:rPr>
        <w:t xml:space="preserve"> the </w:t>
      </w:r>
      <w:bookmarkStart w:id="0" w:name="OLE_LINK1"/>
      <w:bookmarkStart w:id="1" w:name="OLE_LINK2"/>
      <w:r w:rsidR="003B7430">
        <w:rPr>
          <w:color w:val="000000"/>
          <w:sz w:val="26"/>
          <w:szCs w:val="26"/>
        </w:rPr>
        <w:t>Recommended Decision.</w:t>
      </w:r>
    </w:p>
    <w:p w14:paraId="42392A8B" w14:textId="77777777" w:rsidR="00A95E58" w:rsidRPr="002915C6" w:rsidRDefault="00A95E58" w:rsidP="0012768D">
      <w:pPr>
        <w:widowControl/>
        <w:tabs>
          <w:tab w:val="left" w:pos="6372"/>
        </w:tabs>
        <w:spacing w:after="200" w:line="276" w:lineRule="auto"/>
        <w:rPr>
          <w:rFonts w:eastAsiaTheme="majorEastAsia"/>
          <w:b/>
          <w:bCs/>
          <w:sz w:val="26"/>
          <w:szCs w:val="26"/>
        </w:rPr>
      </w:pPr>
      <w:r w:rsidRPr="002915C6">
        <w:rPr>
          <w:sz w:val="26"/>
          <w:szCs w:val="26"/>
        </w:rPr>
        <w:br w:type="page"/>
      </w:r>
    </w:p>
    <w:p w14:paraId="2621ECBE" w14:textId="77777777" w:rsidR="00A35299" w:rsidRPr="002915C6" w:rsidRDefault="00212860" w:rsidP="0012768D">
      <w:pPr>
        <w:pStyle w:val="Heading1"/>
        <w:widowControl/>
        <w:jc w:val="center"/>
        <w:rPr>
          <w:rFonts w:ascii="Times New Roman" w:hAnsi="Times New Roman" w:cs="Times New Roman"/>
          <w:color w:val="auto"/>
          <w:sz w:val="26"/>
          <w:szCs w:val="26"/>
        </w:rPr>
      </w:pPr>
      <w:bookmarkStart w:id="2" w:name="_Toc499121821"/>
      <w:r w:rsidRPr="002915C6">
        <w:rPr>
          <w:rFonts w:ascii="Times New Roman" w:hAnsi="Times New Roman" w:cs="Times New Roman"/>
          <w:color w:val="auto"/>
          <w:sz w:val="26"/>
          <w:szCs w:val="26"/>
        </w:rPr>
        <w:t xml:space="preserve">I. </w:t>
      </w:r>
      <w:r w:rsidR="003C44E4" w:rsidRPr="002915C6">
        <w:rPr>
          <w:rFonts w:ascii="Times New Roman" w:hAnsi="Times New Roman" w:cs="Times New Roman"/>
          <w:color w:val="auto"/>
          <w:sz w:val="26"/>
          <w:szCs w:val="26"/>
        </w:rPr>
        <w:tab/>
      </w:r>
      <w:r w:rsidR="00D66CEE" w:rsidRPr="002915C6">
        <w:rPr>
          <w:rFonts w:ascii="Times New Roman" w:hAnsi="Times New Roman" w:cs="Times New Roman"/>
          <w:color w:val="auto"/>
          <w:sz w:val="26"/>
          <w:szCs w:val="26"/>
        </w:rPr>
        <w:t>Hi</w:t>
      </w:r>
      <w:r w:rsidR="00CA43A5" w:rsidRPr="002915C6">
        <w:rPr>
          <w:rFonts w:ascii="Times New Roman" w:hAnsi="Times New Roman" w:cs="Times New Roman"/>
          <w:color w:val="auto"/>
          <w:sz w:val="26"/>
          <w:szCs w:val="26"/>
        </w:rPr>
        <w:t>story of the Proceeding</w:t>
      </w:r>
      <w:bookmarkEnd w:id="0"/>
      <w:bookmarkEnd w:id="1"/>
      <w:bookmarkEnd w:id="2"/>
    </w:p>
    <w:p w14:paraId="7E83EB1E" w14:textId="77777777" w:rsidR="00C47435" w:rsidRPr="002915C6" w:rsidRDefault="00C47435" w:rsidP="0012768D">
      <w:pPr>
        <w:keepNext/>
        <w:keepLines/>
        <w:widowControl/>
        <w:spacing w:line="360" w:lineRule="auto"/>
        <w:ind w:firstLine="1440"/>
        <w:rPr>
          <w:sz w:val="26"/>
          <w:szCs w:val="26"/>
        </w:rPr>
      </w:pPr>
    </w:p>
    <w:p w14:paraId="25DFE3A6" w14:textId="77777777" w:rsidR="00DE0EA6" w:rsidRPr="002915C6" w:rsidRDefault="00DE0EA6" w:rsidP="0012768D">
      <w:pPr>
        <w:widowControl/>
        <w:autoSpaceDE w:val="0"/>
        <w:autoSpaceDN w:val="0"/>
        <w:spacing w:line="360" w:lineRule="auto"/>
        <w:rPr>
          <w:sz w:val="26"/>
          <w:szCs w:val="26"/>
        </w:rPr>
      </w:pPr>
      <w:r w:rsidRPr="002915C6">
        <w:rPr>
          <w:sz w:val="26"/>
          <w:szCs w:val="26"/>
        </w:rPr>
        <w:tab/>
      </w:r>
      <w:r w:rsidRPr="002915C6">
        <w:rPr>
          <w:sz w:val="26"/>
          <w:szCs w:val="26"/>
        </w:rPr>
        <w:tab/>
        <w:t xml:space="preserve">On </w:t>
      </w:r>
      <w:r w:rsidR="008913D8" w:rsidRPr="002915C6">
        <w:rPr>
          <w:sz w:val="26"/>
          <w:szCs w:val="26"/>
        </w:rPr>
        <w:t>May 19, 2017</w:t>
      </w:r>
      <w:r w:rsidRPr="002915C6">
        <w:rPr>
          <w:sz w:val="26"/>
          <w:szCs w:val="26"/>
        </w:rPr>
        <w:t>, Aqua</w:t>
      </w:r>
      <w:r w:rsidR="006636E3" w:rsidRPr="002915C6">
        <w:rPr>
          <w:sz w:val="26"/>
          <w:szCs w:val="26"/>
        </w:rPr>
        <w:t xml:space="preserve"> </w:t>
      </w:r>
      <w:r w:rsidRPr="002915C6">
        <w:rPr>
          <w:sz w:val="26"/>
          <w:szCs w:val="26"/>
        </w:rPr>
        <w:t>filed an Application seeking approval of:  (1)</w:t>
      </w:r>
      <w:r w:rsidR="00A95E58" w:rsidRPr="002915C6">
        <w:rPr>
          <w:sz w:val="26"/>
          <w:szCs w:val="26"/>
        </w:rPr>
        <w:t> </w:t>
      </w:r>
      <w:r w:rsidRPr="002915C6">
        <w:rPr>
          <w:sz w:val="26"/>
          <w:szCs w:val="26"/>
        </w:rPr>
        <w:t xml:space="preserve">the acquisition, by Aqua, of the wastewater system assets of </w:t>
      </w:r>
      <w:r w:rsidR="008913D8" w:rsidRPr="002915C6">
        <w:rPr>
          <w:sz w:val="26"/>
          <w:szCs w:val="26"/>
        </w:rPr>
        <w:t>Limerick</w:t>
      </w:r>
      <w:r w:rsidRPr="002915C6">
        <w:rPr>
          <w:sz w:val="26"/>
          <w:szCs w:val="26"/>
        </w:rPr>
        <w:t xml:space="preserve"> Township</w:t>
      </w:r>
      <w:r w:rsidR="00EE74A8" w:rsidRPr="002915C6">
        <w:rPr>
          <w:sz w:val="26"/>
          <w:szCs w:val="26"/>
        </w:rPr>
        <w:t>, Montgomery County, Pennsylvania</w:t>
      </w:r>
      <w:r w:rsidRPr="002915C6">
        <w:rPr>
          <w:sz w:val="26"/>
          <w:szCs w:val="26"/>
        </w:rPr>
        <w:t xml:space="preserve"> </w:t>
      </w:r>
      <w:r w:rsidR="00FE607E" w:rsidRPr="002915C6">
        <w:rPr>
          <w:sz w:val="26"/>
          <w:szCs w:val="26"/>
        </w:rPr>
        <w:t>(Township)</w:t>
      </w:r>
      <w:r w:rsidRPr="002915C6">
        <w:rPr>
          <w:sz w:val="26"/>
          <w:szCs w:val="26"/>
        </w:rPr>
        <w:t xml:space="preserve">, (2) the right of Aqua to begin to offer, render, furnish </w:t>
      </w:r>
      <w:r w:rsidR="00204725" w:rsidRPr="002915C6">
        <w:rPr>
          <w:sz w:val="26"/>
          <w:szCs w:val="26"/>
        </w:rPr>
        <w:t>and</w:t>
      </w:r>
      <w:r w:rsidRPr="002915C6">
        <w:rPr>
          <w:sz w:val="26"/>
          <w:szCs w:val="26"/>
        </w:rPr>
        <w:t xml:space="preserve"> supply wastewater service to the public in portions of </w:t>
      </w:r>
      <w:r w:rsidR="00EE74A8" w:rsidRPr="002915C6">
        <w:rPr>
          <w:sz w:val="26"/>
          <w:szCs w:val="26"/>
        </w:rPr>
        <w:t>the Township</w:t>
      </w:r>
      <w:r w:rsidRPr="002915C6">
        <w:rPr>
          <w:sz w:val="26"/>
          <w:szCs w:val="26"/>
        </w:rPr>
        <w:t>, and (3)</w:t>
      </w:r>
      <w:r w:rsidR="009513D3" w:rsidRPr="002915C6">
        <w:rPr>
          <w:sz w:val="26"/>
          <w:szCs w:val="26"/>
        </w:rPr>
        <w:t> </w:t>
      </w:r>
      <w:r w:rsidRPr="002915C6">
        <w:rPr>
          <w:sz w:val="26"/>
          <w:szCs w:val="26"/>
        </w:rPr>
        <w:t xml:space="preserve">an order approving the acquisition that includes the ratemaking rate base of the </w:t>
      </w:r>
      <w:r w:rsidR="00EE74A8" w:rsidRPr="002915C6">
        <w:rPr>
          <w:sz w:val="26"/>
          <w:szCs w:val="26"/>
        </w:rPr>
        <w:t>Township’s</w:t>
      </w:r>
      <w:r w:rsidRPr="002915C6">
        <w:rPr>
          <w:sz w:val="26"/>
          <w:szCs w:val="26"/>
        </w:rPr>
        <w:t xml:space="preserve"> wastewater system assets pursuant to Section 1329(c)(2) of the Pennsylvania Public Utility Code (Code), 66</w:t>
      </w:r>
      <w:r w:rsidR="009A273E" w:rsidRPr="002915C6">
        <w:rPr>
          <w:sz w:val="26"/>
          <w:szCs w:val="26"/>
        </w:rPr>
        <w:t> </w:t>
      </w:r>
      <w:r w:rsidRPr="002915C6">
        <w:rPr>
          <w:sz w:val="26"/>
          <w:szCs w:val="26"/>
        </w:rPr>
        <w:t xml:space="preserve">Pa. C.S. § 1329(c)(2).  By </w:t>
      </w:r>
      <w:r w:rsidR="00204725" w:rsidRPr="002915C6">
        <w:rPr>
          <w:sz w:val="26"/>
          <w:szCs w:val="26"/>
        </w:rPr>
        <w:t>Secretarial L</w:t>
      </w:r>
      <w:r w:rsidRPr="002915C6">
        <w:rPr>
          <w:sz w:val="26"/>
          <w:szCs w:val="26"/>
        </w:rPr>
        <w:t xml:space="preserve">etter dated </w:t>
      </w:r>
      <w:r w:rsidR="00EE74A8" w:rsidRPr="002915C6">
        <w:rPr>
          <w:sz w:val="26"/>
          <w:szCs w:val="26"/>
        </w:rPr>
        <w:t>May</w:t>
      </w:r>
      <w:r w:rsidR="003B7430">
        <w:rPr>
          <w:sz w:val="26"/>
          <w:szCs w:val="26"/>
        </w:rPr>
        <w:t> </w:t>
      </w:r>
      <w:r w:rsidR="00EE74A8" w:rsidRPr="002915C6">
        <w:rPr>
          <w:sz w:val="26"/>
          <w:szCs w:val="26"/>
        </w:rPr>
        <w:t>31, 2017</w:t>
      </w:r>
      <w:r w:rsidR="00D34DC9" w:rsidRPr="002915C6">
        <w:rPr>
          <w:sz w:val="26"/>
          <w:szCs w:val="26"/>
        </w:rPr>
        <w:t xml:space="preserve">, the Commission </w:t>
      </w:r>
      <w:r w:rsidR="00243085" w:rsidRPr="002915C6">
        <w:rPr>
          <w:sz w:val="26"/>
          <w:szCs w:val="26"/>
        </w:rPr>
        <w:t>acknowledged</w:t>
      </w:r>
      <w:r w:rsidRPr="002915C6">
        <w:rPr>
          <w:sz w:val="26"/>
          <w:szCs w:val="26"/>
        </w:rPr>
        <w:t xml:space="preserve"> receipt of the completed Application.</w:t>
      </w:r>
    </w:p>
    <w:p w14:paraId="192D13A0" w14:textId="77777777" w:rsidR="007A35A1" w:rsidRPr="002915C6" w:rsidRDefault="007A35A1" w:rsidP="0012768D">
      <w:pPr>
        <w:widowControl/>
        <w:autoSpaceDE w:val="0"/>
        <w:autoSpaceDN w:val="0"/>
        <w:spacing w:line="360" w:lineRule="auto"/>
        <w:rPr>
          <w:rFonts w:ascii="CG Times" w:hAnsi="CG Times" w:cs="CG Times"/>
          <w:sz w:val="26"/>
          <w:szCs w:val="26"/>
        </w:rPr>
      </w:pPr>
    </w:p>
    <w:p w14:paraId="71569D11" w14:textId="77777777" w:rsidR="00950509" w:rsidRPr="002915C6" w:rsidRDefault="002E293D" w:rsidP="0012768D">
      <w:pPr>
        <w:pStyle w:val="FootnoteText"/>
        <w:widowControl/>
        <w:spacing w:line="360" w:lineRule="auto"/>
        <w:rPr>
          <w:sz w:val="26"/>
          <w:szCs w:val="26"/>
        </w:rPr>
      </w:pPr>
      <w:r w:rsidRPr="002915C6">
        <w:rPr>
          <w:rFonts w:ascii="CG Times" w:hAnsi="CG Times" w:cs="CG Times"/>
          <w:sz w:val="26"/>
          <w:szCs w:val="26"/>
        </w:rPr>
        <w:tab/>
      </w:r>
      <w:r w:rsidRPr="002915C6">
        <w:rPr>
          <w:rFonts w:ascii="CG Times" w:hAnsi="CG Times" w:cs="CG Times"/>
          <w:sz w:val="26"/>
          <w:szCs w:val="26"/>
        </w:rPr>
        <w:tab/>
      </w:r>
      <w:r w:rsidR="004559BA" w:rsidRPr="002915C6">
        <w:rPr>
          <w:sz w:val="26"/>
          <w:szCs w:val="26"/>
        </w:rPr>
        <w:t>On J</w:t>
      </w:r>
      <w:r w:rsidR="00E419FC" w:rsidRPr="002915C6">
        <w:rPr>
          <w:sz w:val="26"/>
          <w:szCs w:val="26"/>
        </w:rPr>
        <w:t>une 9</w:t>
      </w:r>
      <w:r w:rsidR="004559BA" w:rsidRPr="002915C6">
        <w:rPr>
          <w:sz w:val="26"/>
          <w:szCs w:val="26"/>
        </w:rPr>
        <w:t xml:space="preserve">, 2017, I&amp;E filed a </w:t>
      </w:r>
      <w:r w:rsidR="00E419FC" w:rsidRPr="002915C6">
        <w:rPr>
          <w:sz w:val="26"/>
          <w:szCs w:val="26"/>
        </w:rPr>
        <w:t xml:space="preserve">notice of appearance and the </w:t>
      </w:r>
      <w:r w:rsidR="00541283" w:rsidRPr="002915C6">
        <w:rPr>
          <w:sz w:val="26"/>
          <w:szCs w:val="26"/>
        </w:rPr>
        <w:t xml:space="preserve">OCA filed a protest to the Application.  </w:t>
      </w:r>
      <w:r w:rsidR="00556E53" w:rsidRPr="002915C6">
        <w:rPr>
          <w:sz w:val="26"/>
          <w:szCs w:val="26"/>
        </w:rPr>
        <w:t xml:space="preserve">The Commission published a notice of the Application in the </w:t>
      </w:r>
      <w:r w:rsidR="00556E53" w:rsidRPr="002915C6">
        <w:rPr>
          <w:i/>
          <w:sz w:val="26"/>
          <w:szCs w:val="26"/>
        </w:rPr>
        <w:t>Pennsylvania Bulletin</w:t>
      </w:r>
      <w:r w:rsidR="00556E53" w:rsidRPr="002915C6">
        <w:rPr>
          <w:sz w:val="26"/>
          <w:szCs w:val="26"/>
        </w:rPr>
        <w:t xml:space="preserve"> on June 10, 2017.  47 </w:t>
      </w:r>
      <w:r w:rsidR="00556E53" w:rsidRPr="002915C6">
        <w:rPr>
          <w:i/>
          <w:sz w:val="26"/>
          <w:szCs w:val="26"/>
        </w:rPr>
        <w:t>Pa. B.</w:t>
      </w:r>
      <w:r w:rsidR="00556E53" w:rsidRPr="002915C6">
        <w:rPr>
          <w:sz w:val="26"/>
          <w:szCs w:val="26"/>
        </w:rPr>
        <w:t xml:space="preserve"> 3324.</w:t>
      </w:r>
      <w:r w:rsidR="00556E53" w:rsidRPr="002915C6">
        <w:rPr>
          <w:rFonts w:ascii="CG Times" w:hAnsi="CG Times" w:cs="CG Times"/>
          <w:sz w:val="26"/>
          <w:szCs w:val="26"/>
        </w:rPr>
        <w:t xml:space="preserve">  </w:t>
      </w:r>
      <w:r w:rsidR="00E419FC" w:rsidRPr="002915C6">
        <w:rPr>
          <w:sz w:val="26"/>
          <w:szCs w:val="26"/>
        </w:rPr>
        <w:t xml:space="preserve">On June 21, 2017, the Township filed a Petition to Intervene.  By Order </w:t>
      </w:r>
      <w:r w:rsidR="00556E53" w:rsidRPr="002915C6">
        <w:rPr>
          <w:sz w:val="26"/>
          <w:szCs w:val="26"/>
        </w:rPr>
        <w:t xml:space="preserve">issued June 28, 2017, the ALJ granted the Township’s Petition and established a litigation schedule.  </w:t>
      </w:r>
    </w:p>
    <w:p w14:paraId="22D47B01" w14:textId="77777777" w:rsidR="00C85B51" w:rsidRPr="002915C6" w:rsidRDefault="00C85B51" w:rsidP="0012768D">
      <w:pPr>
        <w:widowControl/>
        <w:autoSpaceDE w:val="0"/>
        <w:autoSpaceDN w:val="0"/>
        <w:spacing w:line="360" w:lineRule="auto"/>
        <w:rPr>
          <w:sz w:val="26"/>
          <w:szCs w:val="26"/>
        </w:rPr>
      </w:pPr>
    </w:p>
    <w:p w14:paraId="4C7FA982" w14:textId="77777777" w:rsidR="00556E53" w:rsidRPr="002915C6" w:rsidRDefault="00C85B51" w:rsidP="0012768D">
      <w:pPr>
        <w:widowControl/>
        <w:autoSpaceDE w:val="0"/>
        <w:autoSpaceDN w:val="0"/>
        <w:spacing w:line="360" w:lineRule="auto"/>
        <w:rPr>
          <w:sz w:val="26"/>
          <w:szCs w:val="26"/>
        </w:rPr>
      </w:pPr>
      <w:r w:rsidRPr="002915C6">
        <w:rPr>
          <w:sz w:val="26"/>
          <w:szCs w:val="26"/>
        </w:rPr>
        <w:tab/>
      </w:r>
      <w:r w:rsidRPr="002915C6">
        <w:rPr>
          <w:sz w:val="26"/>
          <w:szCs w:val="26"/>
        </w:rPr>
        <w:tab/>
      </w:r>
      <w:r w:rsidR="009674A4" w:rsidRPr="002915C6">
        <w:rPr>
          <w:sz w:val="26"/>
          <w:szCs w:val="26"/>
        </w:rPr>
        <w:t xml:space="preserve">The ALJ conducted an evidentiary hearing on </w:t>
      </w:r>
      <w:r w:rsidR="00556E53" w:rsidRPr="002915C6">
        <w:rPr>
          <w:sz w:val="26"/>
          <w:szCs w:val="26"/>
        </w:rPr>
        <w:t>July 20-21, 2017</w:t>
      </w:r>
      <w:r w:rsidR="009674A4" w:rsidRPr="002915C6">
        <w:rPr>
          <w:sz w:val="26"/>
          <w:szCs w:val="26"/>
        </w:rPr>
        <w:t xml:space="preserve">, at which each Party was represented by counsel.  During the hearing, testimony and exhibits were presented and cross examination was conducted.  Aqua offered </w:t>
      </w:r>
      <w:r w:rsidR="00556E53" w:rsidRPr="002915C6">
        <w:rPr>
          <w:sz w:val="26"/>
          <w:szCs w:val="26"/>
        </w:rPr>
        <w:t>five</w:t>
      </w:r>
      <w:r w:rsidR="009674A4" w:rsidRPr="002915C6">
        <w:rPr>
          <w:sz w:val="26"/>
          <w:szCs w:val="26"/>
        </w:rPr>
        <w:t xml:space="preserve"> statements and </w:t>
      </w:r>
      <w:r w:rsidR="00556E53" w:rsidRPr="002915C6">
        <w:rPr>
          <w:sz w:val="26"/>
          <w:szCs w:val="26"/>
        </w:rPr>
        <w:t>seven</w:t>
      </w:r>
      <w:r w:rsidR="009674A4" w:rsidRPr="002915C6">
        <w:rPr>
          <w:sz w:val="26"/>
          <w:szCs w:val="26"/>
        </w:rPr>
        <w:t xml:space="preserve"> exhibits, which were admitted into the record.  I&amp;E presented </w:t>
      </w:r>
      <w:r w:rsidR="00556E53" w:rsidRPr="002915C6">
        <w:rPr>
          <w:sz w:val="26"/>
          <w:szCs w:val="26"/>
        </w:rPr>
        <w:t>four</w:t>
      </w:r>
      <w:r w:rsidR="009674A4" w:rsidRPr="002915C6">
        <w:rPr>
          <w:sz w:val="26"/>
          <w:szCs w:val="26"/>
        </w:rPr>
        <w:t xml:space="preserve"> statements </w:t>
      </w:r>
      <w:r w:rsidR="00556E53" w:rsidRPr="002915C6">
        <w:rPr>
          <w:sz w:val="26"/>
          <w:szCs w:val="26"/>
        </w:rPr>
        <w:t xml:space="preserve">and two exhibits </w:t>
      </w:r>
      <w:r w:rsidR="009674A4" w:rsidRPr="002915C6">
        <w:rPr>
          <w:sz w:val="26"/>
          <w:szCs w:val="26"/>
        </w:rPr>
        <w:t xml:space="preserve">that were admitted into </w:t>
      </w:r>
      <w:r w:rsidR="00556E53" w:rsidRPr="002915C6">
        <w:rPr>
          <w:sz w:val="26"/>
          <w:szCs w:val="26"/>
        </w:rPr>
        <w:t>the record.  The OCA presented four</w:t>
      </w:r>
      <w:r w:rsidR="009674A4" w:rsidRPr="002915C6">
        <w:rPr>
          <w:sz w:val="26"/>
          <w:szCs w:val="26"/>
        </w:rPr>
        <w:t xml:space="preserve"> statements and one exhibit, all of which were admitted into the record.  </w:t>
      </w:r>
    </w:p>
    <w:p w14:paraId="5896B964" w14:textId="77777777" w:rsidR="00556E53" w:rsidRPr="002915C6" w:rsidRDefault="00556E53" w:rsidP="0012768D">
      <w:pPr>
        <w:pStyle w:val="Default"/>
        <w:spacing w:line="360" w:lineRule="auto"/>
        <w:rPr>
          <w:color w:val="auto"/>
          <w:sz w:val="26"/>
          <w:szCs w:val="26"/>
        </w:rPr>
      </w:pPr>
    </w:p>
    <w:p w14:paraId="29531103" w14:textId="77777777" w:rsidR="009674A4" w:rsidRPr="002915C6" w:rsidRDefault="00556E53" w:rsidP="0012768D">
      <w:pPr>
        <w:pStyle w:val="Default"/>
        <w:spacing w:line="360" w:lineRule="auto"/>
        <w:rPr>
          <w:color w:val="auto"/>
          <w:sz w:val="26"/>
          <w:szCs w:val="26"/>
        </w:rPr>
      </w:pPr>
      <w:r w:rsidRPr="002915C6">
        <w:rPr>
          <w:color w:val="auto"/>
          <w:sz w:val="26"/>
          <w:szCs w:val="26"/>
        </w:rPr>
        <w:tab/>
      </w:r>
      <w:r w:rsidRPr="002915C6">
        <w:rPr>
          <w:color w:val="auto"/>
          <w:sz w:val="26"/>
          <w:szCs w:val="26"/>
        </w:rPr>
        <w:tab/>
      </w:r>
      <w:r w:rsidR="009674A4" w:rsidRPr="002915C6">
        <w:rPr>
          <w:color w:val="auto"/>
          <w:sz w:val="26"/>
          <w:szCs w:val="26"/>
        </w:rPr>
        <w:t xml:space="preserve">The Parties filed Main Briefs on </w:t>
      </w:r>
      <w:r w:rsidRPr="002915C6">
        <w:rPr>
          <w:color w:val="auto"/>
          <w:sz w:val="26"/>
          <w:szCs w:val="26"/>
        </w:rPr>
        <w:t>August 11</w:t>
      </w:r>
      <w:r w:rsidR="009674A4" w:rsidRPr="002915C6">
        <w:rPr>
          <w:color w:val="auto"/>
          <w:sz w:val="26"/>
          <w:szCs w:val="26"/>
        </w:rPr>
        <w:t xml:space="preserve">, 2017, and Reply Briefs on </w:t>
      </w:r>
      <w:r w:rsidR="00C0384B" w:rsidRPr="002915C6">
        <w:rPr>
          <w:color w:val="auto"/>
          <w:sz w:val="26"/>
          <w:szCs w:val="26"/>
        </w:rPr>
        <w:t>August 18</w:t>
      </w:r>
      <w:r w:rsidR="009674A4" w:rsidRPr="002915C6">
        <w:rPr>
          <w:color w:val="auto"/>
          <w:sz w:val="26"/>
          <w:szCs w:val="26"/>
        </w:rPr>
        <w:t xml:space="preserve">, 2017.  </w:t>
      </w:r>
      <w:r w:rsidR="00C0384B" w:rsidRPr="002915C6">
        <w:rPr>
          <w:sz w:val="26"/>
          <w:szCs w:val="26"/>
        </w:rPr>
        <w:t>On August 18</w:t>
      </w:r>
      <w:r w:rsidR="009674A4" w:rsidRPr="002915C6">
        <w:rPr>
          <w:sz w:val="26"/>
          <w:szCs w:val="26"/>
        </w:rPr>
        <w:t>, 2017, t</w:t>
      </w:r>
      <w:r w:rsidR="009674A4" w:rsidRPr="002915C6">
        <w:rPr>
          <w:color w:val="auto"/>
          <w:sz w:val="26"/>
          <w:szCs w:val="26"/>
        </w:rPr>
        <w:t xml:space="preserve">he record </w:t>
      </w:r>
      <w:r w:rsidR="009674A4" w:rsidRPr="002915C6">
        <w:rPr>
          <w:sz w:val="26"/>
          <w:szCs w:val="26"/>
        </w:rPr>
        <w:t xml:space="preserve">was </w:t>
      </w:r>
      <w:r w:rsidR="009674A4" w:rsidRPr="002915C6">
        <w:rPr>
          <w:color w:val="auto"/>
          <w:sz w:val="26"/>
          <w:szCs w:val="26"/>
        </w:rPr>
        <w:t>closed up</w:t>
      </w:r>
      <w:r w:rsidR="004A098F" w:rsidRPr="002915C6">
        <w:rPr>
          <w:color w:val="auto"/>
          <w:sz w:val="26"/>
          <w:szCs w:val="26"/>
        </w:rPr>
        <w:t>on receipt of the Reply Briefs.</w:t>
      </w:r>
    </w:p>
    <w:p w14:paraId="72C07834" w14:textId="77777777" w:rsidR="00752FF4" w:rsidRPr="002915C6" w:rsidRDefault="00752FF4" w:rsidP="0012768D">
      <w:pPr>
        <w:widowControl/>
        <w:shd w:val="clear" w:color="auto" w:fill="FFFFFF" w:themeFill="background1"/>
        <w:spacing w:line="360" w:lineRule="auto"/>
        <w:rPr>
          <w:bCs/>
          <w:color w:val="000000"/>
          <w:sz w:val="26"/>
          <w:szCs w:val="26"/>
        </w:rPr>
      </w:pPr>
    </w:p>
    <w:p w14:paraId="5CD0541B" w14:textId="77777777" w:rsidR="002130D9" w:rsidRPr="002915C6" w:rsidRDefault="009674A4" w:rsidP="0012768D">
      <w:pPr>
        <w:widowControl/>
        <w:shd w:val="clear" w:color="auto" w:fill="FFFFFF" w:themeFill="background1"/>
        <w:spacing w:line="360" w:lineRule="auto"/>
        <w:rPr>
          <w:bCs/>
          <w:color w:val="000000"/>
          <w:sz w:val="26"/>
          <w:szCs w:val="26"/>
        </w:rPr>
      </w:pPr>
      <w:r w:rsidRPr="002915C6">
        <w:rPr>
          <w:bCs/>
          <w:color w:val="000000"/>
          <w:sz w:val="26"/>
          <w:szCs w:val="26"/>
        </w:rPr>
        <w:tab/>
      </w:r>
      <w:r w:rsidRPr="002915C6">
        <w:rPr>
          <w:bCs/>
          <w:color w:val="000000"/>
          <w:sz w:val="26"/>
          <w:szCs w:val="26"/>
        </w:rPr>
        <w:tab/>
      </w:r>
      <w:r w:rsidR="00975B6E" w:rsidRPr="002915C6">
        <w:rPr>
          <w:bCs/>
          <w:color w:val="000000"/>
          <w:sz w:val="26"/>
          <w:szCs w:val="26"/>
        </w:rPr>
        <w:t xml:space="preserve">In the Recommended Decision issued on </w:t>
      </w:r>
      <w:r w:rsidR="00C0384B" w:rsidRPr="002915C6">
        <w:rPr>
          <w:bCs/>
          <w:color w:val="000000"/>
          <w:sz w:val="26"/>
          <w:szCs w:val="26"/>
        </w:rPr>
        <w:t>September 18</w:t>
      </w:r>
      <w:r w:rsidR="00975B6E" w:rsidRPr="002915C6">
        <w:rPr>
          <w:bCs/>
          <w:color w:val="000000"/>
          <w:sz w:val="26"/>
          <w:szCs w:val="26"/>
        </w:rPr>
        <w:t xml:space="preserve">, 2017, the ALJ recommended </w:t>
      </w:r>
      <w:r w:rsidR="00C0384B" w:rsidRPr="002915C6">
        <w:rPr>
          <w:bCs/>
          <w:color w:val="000000"/>
          <w:sz w:val="26"/>
          <w:szCs w:val="26"/>
        </w:rPr>
        <w:t>approv</w:t>
      </w:r>
      <w:r w:rsidR="00975B6E" w:rsidRPr="002915C6">
        <w:rPr>
          <w:bCs/>
          <w:color w:val="000000"/>
          <w:sz w:val="26"/>
          <w:szCs w:val="26"/>
        </w:rPr>
        <w:t xml:space="preserve">ing the Application </w:t>
      </w:r>
      <w:r w:rsidR="00C0384B" w:rsidRPr="002915C6">
        <w:rPr>
          <w:bCs/>
          <w:color w:val="000000"/>
          <w:sz w:val="26"/>
          <w:szCs w:val="26"/>
        </w:rPr>
        <w:t>with an adjustment to the proposed rate base value and with certain condition</w:t>
      </w:r>
      <w:r w:rsidR="006B3D27" w:rsidRPr="002915C6">
        <w:rPr>
          <w:bCs/>
          <w:color w:val="000000"/>
          <w:sz w:val="26"/>
          <w:szCs w:val="26"/>
        </w:rPr>
        <w:t>s</w:t>
      </w:r>
      <w:r w:rsidR="00C0384B" w:rsidRPr="002915C6">
        <w:rPr>
          <w:bCs/>
          <w:color w:val="000000"/>
          <w:sz w:val="26"/>
          <w:szCs w:val="26"/>
        </w:rPr>
        <w:t xml:space="preserve">.  </w:t>
      </w:r>
      <w:r w:rsidR="00975B6E" w:rsidRPr="002915C6">
        <w:rPr>
          <w:bCs/>
          <w:color w:val="000000"/>
          <w:sz w:val="26"/>
          <w:szCs w:val="26"/>
        </w:rPr>
        <w:t xml:space="preserve">As noted above, Aqua, I&amp;E, and </w:t>
      </w:r>
      <w:r w:rsidR="00717EE4" w:rsidRPr="002915C6">
        <w:rPr>
          <w:bCs/>
          <w:color w:val="000000"/>
          <w:sz w:val="26"/>
          <w:szCs w:val="26"/>
        </w:rPr>
        <w:t xml:space="preserve">the </w:t>
      </w:r>
      <w:r w:rsidR="00975B6E" w:rsidRPr="002915C6">
        <w:rPr>
          <w:bCs/>
          <w:color w:val="000000"/>
          <w:sz w:val="26"/>
          <w:szCs w:val="26"/>
        </w:rPr>
        <w:t xml:space="preserve">OCA filed Exceptions on </w:t>
      </w:r>
      <w:r w:rsidR="006B3D27" w:rsidRPr="002915C6">
        <w:rPr>
          <w:bCs/>
          <w:color w:val="000000"/>
          <w:sz w:val="26"/>
          <w:szCs w:val="26"/>
        </w:rPr>
        <w:t>October 3</w:t>
      </w:r>
      <w:r w:rsidR="00975B6E" w:rsidRPr="002915C6">
        <w:rPr>
          <w:bCs/>
          <w:color w:val="000000"/>
          <w:sz w:val="26"/>
          <w:szCs w:val="26"/>
        </w:rPr>
        <w:t xml:space="preserve">, 2017.  </w:t>
      </w:r>
      <w:r w:rsidR="006B3D27" w:rsidRPr="002915C6">
        <w:rPr>
          <w:color w:val="000000"/>
          <w:sz w:val="26"/>
          <w:szCs w:val="26"/>
        </w:rPr>
        <w:t xml:space="preserve">On </w:t>
      </w:r>
      <w:r w:rsidR="003F55AB" w:rsidRPr="002915C6">
        <w:rPr>
          <w:color w:val="000000"/>
          <w:sz w:val="26"/>
          <w:szCs w:val="26"/>
        </w:rPr>
        <w:t>October</w:t>
      </w:r>
      <w:r w:rsidR="006B3D27" w:rsidRPr="002915C6">
        <w:rPr>
          <w:color w:val="000000"/>
          <w:sz w:val="26"/>
          <w:szCs w:val="26"/>
        </w:rPr>
        <w:t xml:space="preserve"> 10</w:t>
      </w:r>
      <w:r w:rsidR="00975B6E" w:rsidRPr="002915C6">
        <w:rPr>
          <w:color w:val="000000"/>
          <w:sz w:val="26"/>
          <w:szCs w:val="26"/>
        </w:rPr>
        <w:t>, 2017, Aqua, I&amp;E and the OCA filed Replies to Exceptions.</w:t>
      </w:r>
    </w:p>
    <w:p w14:paraId="3F377B55" w14:textId="77777777" w:rsidR="00B7074C" w:rsidRPr="002915C6" w:rsidRDefault="00B7074C" w:rsidP="0012768D">
      <w:pPr>
        <w:widowControl/>
        <w:spacing w:after="200" w:line="276" w:lineRule="auto"/>
        <w:rPr>
          <w:rFonts w:eastAsiaTheme="majorEastAsia"/>
          <w:b/>
          <w:bCs/>
          <w:sz w:val="26"/>
          <w:szCs w:val="26"/>
        </w:rPr>
      </w:pPr>
      <w:r w:rsidRPr="002915C6">
        <w:rPr>
          <w:sz w:val="26"/>
          <w:szCs w:val="26"/>
        </w:rPr>
        <w:br w:type="page"/>
      </w:r>
    </w:p>
    <w:p w14:paraId="4E833874" w14:textId="77777777" w:rsidR="007A35A1" w:rsidRPr="002915C6" w:rsidRDefault="00212860" w:rsidP="0012768D">
      <w:pPr>
        <w:pStyle w:val="Heading1"/>
        <w:widowControl/>
        <w:jc w:val="center"/>
        <w:rPr>
          <w:rFonts w:ascii="Times New Roman" w:hAnsi="Times New Roman" w:cs="Times New Roman"/>
          <w:color w:val="auto"/>
          <w:sz w:val="26"/>
          <w:szCs w:val="26"/>
        </w:rPr>
      </w:pPr>
      <w:bookmarkStart w:id="3" w:name="_Toc499121822"/>
      <w:r w:rsidRPr="002915C6">
        <w:rPr>
          <w:rFonts w:ascii="Times New Roman" w:hAnsi="Times New Roman" w:cs="Times New Roman"/>
          <w:color w:val="auto"/>
          <w:sz w:val="26"/>
          <w:szCs w:val="26"/>
        </w:rPr>
        <w:t xml:space="preserve">II. </w:t>
      </w:r>
      <w:r w:rsidR="003C44E4" w:rsidRPr="002915C6">
        <w:rPr>
          <w:rFonts w:ascii="Times New Roman" w:hAnsi="Times New Roman" w:cs="Times New Roman"/>
          <w:color w:val="auto"/>
          <w:sz w:val="26"/>
          <w:szCs w:val="26"/>
        </w:rPr>
        <w:tab/>
      </w:r>
      <w:r w:rsidR="00975B6E" w:rsidRPr="002915C6">
        <w:rPr>
          <w:rFonts w:ascii="Times New Roman" w:hAnsi="Times New Roman" w:cs="Times New Roman"/>
          <w:color w:val="auto"/>
          <w:sz w:val="26"/>
          <w:szCs w:val="26"/>
        </w:rPr>
        <w:t>B</w:t>
      </w:r>
      <w:r w:rsidR="00C474D1" w:rsidRPr="002915C6">
        <w:rPr>
          <w:rFonts w:ascii="Times New Roman" w:hAnsi="Times New Roman" w:cs="Times New Roman"/>
          <w:color w:val="auto"/>
          <w:sz w:val="26"/>
          <w:szCs w:val="26"/>
        </w:rPr>
        <w:t>ackground</w:t>
      </w:r>
      <w:bookmarkEnd w:id="3"/>
    </w:p>
    <w:p w14:paraId="1B19AC69" w14:textId="77777777" w:rsidR="00C474D1" w:rsidRPr="002915C6" w:rsidRDefault="00C474D1" w:rsidP="0012768D">
      <w:pPr>
        <w:keepNext/>
        <w:keepLines/>
        <w:widowControl/>
        <w:autoSpaceDE w:val="0"/>
        <w:autoSpaceDN w:val="0"/>
        <w:spacing w:line="360" w:lineRule="auto"/>
        <w:jc w:val="center"/>
        <w:rPr>
          <w:sz w:val="26"/>
          <w:szCs w:val="26"/>
        </w:rPr>
      </w:pPr>
    </w:p>
    <w:p w14:paraId="42F7EBB2" w14:textId="77777777" w:rsidR="00B7074C" w:rsidRPr="002915C6" w:rsidRDefault="00B7074C" w:rsidP="00BE5FF4">
      <w:pPr>
        <w:pStyle w:val="Heading2"/>
        <w:widowControl/>
        <w:spacing w:line="360" w:lineRule="auto"/>
        <w:rPr>
          <w:rFonts w:ascii="Times New Roman" w:hAnsi="Times New Roman" w:cs="Times New Roman"/>
          <w:color w:val="auto"/>
        </w:rPr>
      </w:pPr>
      <w:bookmarkStart w:id="4" w:name="_Toc499121823"/>
      <w:r w:rsidRPr="002915C6">
        <w:rPr>
          <w:rFonts w:ascii="Times New Roman" w:hAnsi="Times New Roman" w:cs="Times New Roman"/>
          <w:color w:val="auto"/>
        </w:rPr>
        <w:t>A.</w:t>
      </w:r>
      <w:r w:rsidRPr="002915C6">
        <w:rPr>
          <w:rFonts w:ascii="Times New Roman" w:hAnsi="Times New Roman" w:cs="Times New Roman"/>
          <w:color w:val="auto"/>
        </w:rPr>
        <w:tab/>
      </w:r>
      <w:r w:rsidR="00483DF7" w:rsidRPr="002915C6">
        <w:rPr>
          <w:rFonts w:ascii="Times New Roman" w:hAnsi="Times New Roman" w:cs="Times New Roman"/>
          <w:color w:val="auto"/>
        </w:rPr>
        <w:t xml:space="preserve">Section 1329 and </w:t>
      </w:r>
      <w:r w:rsidRPr="002915C6">
        <w:rPr>
          <w:rFonts w:ascii="Times New Roman" w:hAnsi="Times New Roman" w:cs="Times New Roman"/>
          <w:color w:val="auto"/>
        </w:rPr>
        <w:t>Valuation of Assets</w:t>
      </w:r>
      <w:bookmarkEnd w:id="4"/>
    </w:p>
    <w:p w14:paraId="3C19E44E" w14:textId="77777777" w:rsidR="00B7074C" w:rsidRPr="002915C6" w:rsidRDefault="00B7074C" w:rsidP="00BE5FF4">
      <w:pPr>
        <w:keepNext/>
        <w:keepLines/>
        <w:widowControl/>
        <w:spacing w:line="360" w:lineRule="auto"/>
        <w:rPr>
          <w:sz w:val="26"/>
          <w:szCs w:val="26"/>
        </w:rPr>
      </w:pPr>
    </w:p>
    <w:p w14:paraId="4858599B" w14:textId="77777777" w:rsidR="00B7074C" w:rsidRPr="002915C6" w:rsidRDefault="00C474D1" w:rsidP="0012768D">
      <w:pPr>
        <w:widowControl/>
        <w:spacing w:line="360" w:lineRule="auto"/>
        <w:rPr>
          <w:sz w:val="26"/>
          <w:szCs w:val="26"/>
        </w:rPr>
      </w:pPr>
      <w:r w:rsidRPr="002915C6">
        <w:rPr>
          <w:sz w:val="26"/>
          <w:szCs w:val="26"/>
        </w:rPr>
        <w:tab/>
      </w:r>
      <w:r w:rsidR="008A7CED" w:rsidRPr="002915C6">
        <w:rPr>
          <w:sz w:val="26"/>
          <w:szCs w:val="26"/>
        </w:rPr>
        <w:tab/>
      </w:r>
      <w:r w:rsidRPr="002915C6">
        <w:rPr>
          <w:sz w:val="26"/>
          <w:szCs w:val="26"/>
        </w:rPr>
        <w:t>On April 14, 2016, Governor Wolf signed Act 12 of 2016 into law, which amended Chapter 13 of the Code by adding a new Section 1329, 66 Pa. C.S. §</w:t>
      </w:r>
      <w:r w:rsidR="00DB4237" w:rsidRPr="002915C6">
        <w:rPr>
          <w:sz w:val="26"/>
          <w:szCs w:val="26"/>
        </w:rPr>
        <w:t> </w:t>
      </w:r>
      <w:r w:rsidRPr="002915C6">
        <w:rPr>
          <w:sz w:val="26"/>
          <w:szCs w:val="26"/>
        </w:rPr>
        <w:t>1329.  The new provision became effect</w:t>
      </w:r>
      <w:r w:rsidR="00033068">
        <w:rPr>
          <w:sz w:val="26"/>
          <w:szCs w:val="26"/>
        </w:rPr>
        <w:t>ive on June 13, 2016.</w:t>
      </w:r>
    </w:p>
    <w:p w14:paraId="00725DEA" w14:textId="77777777" w:rsidR="00C474D1" w:rsidRPr="002915C6" w:rsidRDefault="00C474D1" w:rsidP="0012768D">
      <w:pPr>
        <w:widowControl/>
        <w:spacing w:line="360" w:lineRule="auto"/>
        <w:rPr>
          <w:sz w:val="26"/>
          <w:szCs w:val="26"/>
        </w:rPr>
      </w:pPr>
      <w:r w:rsidRPr="002915C6">
        <w:rPr>
          <w:sz w:val="26"/>
          <w:szCs w:val="26"/>
        </w:rPr>
        <w:t xml:space="preserve"> </w:t>
      </w:r>
    </w:p>
    <w:p w14:paraId="3E897BE0" w14:textId="77777777" w:rsidR="00C474D1" w:rsidRPr="002915C6" w:rsidRDefault="00C474D1" w:rsidP="0012768D">
      <w:pPr>
        <w:widowControl/>
        <w:overflowPunct w:val="0"/>
        <w:autoSpaceDE w:val="0"/>
        <w:autoSpaceDN w:val="0"/>
        <w:adjustRightInd w:val="0"/>
        <w:spacing w:line="360" w:lineRule="auto"/>
        <w:ind w:firstLine="720"/>
        <w:rPr>
          <w:sz w:val="26"/>
          <w:szCs w:val="26"/>
        </w:rPr>
      </w:pPr>
      <w:r w:rsidRPr="002915C6">
        <w:rPr>
          <w:sz w:val="26"/>
          <w:szCs w:val="26"/>
        </w:rPr>
        <w:tab/>
        <w:t xml:space="preserve">Section 1329 of the Code addresses the valuation of the assets of municipally or authority-owned water and wastewater systems that are acquired by investor-owned water and wastewater utilities or entities.  </w:t>
      </w:r>
      <w:r w:rsidR="007557D4" w:rsidRPr="002915C6">
        <w:rPr>
          <w:sz w:val="26"/>
          <w:szCs w:val="26"/>
        </w:rPr>
        <w:t xml:space="preserve">It is a voluntary process to determine the fair market value of an acquired water or wastewater system at the time of acquisition.  </w:t>
      </w:r>
      <w:r w:rsidRPr="002915C6">
        <w:rPr>
          <w:sz w:val="26"/>
          <w:szCs w:val="26"/>
        </w:rPr>
        <w:t xml:space="preserve">For ratemaking purposes, the valuation will be the lesser of the fair market value </w:t>
      </w:r>
      <w:r w:rsidR="001528EB" w:rsidRPr="002915C6">
        <w:rPr>
          <w:sz w:val="26"/>
          <w:szCs w:val="26"/>
        </w:rPr>
        <w:t>(</w:t>
      </w:r>
      <w:r w:rsidR="001528EB" w:rsidRPr="002915C6">
        <w:rPr>
          <w:i/>
          <w:sz w:val="26"/>
          <w:szCs w:val="26"/>
        </w:rPr>
        <w:t>i.e.</w:t>
      </w:r>
      <w:r w:rsidR="001528EB" w:rsidRPr="002915C6">
        <w:rPr>
          <w:sz w:val="26"/>
          <w:szCs w:val="26"/>
        </w:rPr>
        <w:t xml:space="preserve">, the average of the buyer’s and seller’s independently conducted appraisals) </w:t>
      </w:r>
      <w:r w:rsidRPr="002915C6">
        <w:rPr>
          <w:sz w:val="26"/>
          <w:szCs w:val="26"/>
        </w:rPr>
        <w:t xml:space="preserve">or the negotiated purchase price.  </w:t>
      </w:r>
      <w:r w:rsidR="00E125D8" w:rsidRPr="002915C6">
        <w:rPr>
          <w:sz w:val="26"/>
          <w:szCs w:val="26"/>
        </w:rPr>
        <w:t xml:space="preserve">Specifically, Section 1329 enables a public utility or other acquiring entity to use fair market valuation which is not tied to the original cost of construction of the facilities minus the accumulated depreciation.  </w:t>
      </w:r>
      <w:r w:rsidRPr="002915C6">
        <w:rPr>
          <w:sz w:val="26"/>
          <w:szCs w:val="26"/>
        </w:rPr>
        <w:t xml:space="preserve">Section 1329 also allows the acquiring entity’s post-acquisition improvement costs not recovered through a distribution system improvement charge to be deferred for book and ratemaking purposes.  </w:t>
      </w:r>
      <w:r w:rsidR="00435D50" w:rsidRPr="002915C6">
        <w:rPr>
          <w:sz w:val="26"/>
          <w:szCs w:val="26"/>
        </w:rPr>
        <w:t xml:space="preserve">In sum, </w:t>
      </w:r>
      <w:r w:rsidRPr="002915C6">
        <w:rPr>
          <w:sz w:val="26"/>
          <w:szCs w:val="26"/>
        </w:rPr>
        <w:t xml:space="preserve">Section 1329 </w:t>
      </w:r>
      <w:r w:rsidR="00435D50" w:rsidRPr="002915C6">
        <w:rPr>
          <w:sz w:val="26"/>
          <w:szCs w:val="26"/>
        </w:rPr>
        <w:t xml:space="preserve">helps </w:t>
      </w:r>
      <w:r w:rsidR="00915B5E" w:rsidRPr="002915C6">
        <w:rPr>
          <w:sz w:val="26"/>
          <w:szCs w:val="26"/>
        </w:rPr>
        <w:t>mitigate</w:t>
      </w:r>
      <w:r w:rsidRPr="002915C6">
        <w:rPr>
          <w:sz w:val="26"/>
          <w:szCs w:val="26"/>
        </w:rPr>
        <w:t xml:space="preserve"> the risk that a utility will not be able to fully recover its investment when water or wastewater assets are acquired fro</w:t>
      </w:r>
      <w:r w:rsidR="004A098F" w:rsidRPr="002915C6">
        <w:rPr>
          <w:sz w:val="26"/>
          <w:szCs w:val="26"/>
        </w:rPr>
        <w:t>m a municipality or authority.</w:t>
      </w:r>
    </w:p>
    <w:p w14:paraId="3B621E1D" w14:textId="77777777" w:rsidR="00BC5FF7" w:rsidRPr="002915C6" w:rsidRDefault="00BC5FF7" w:rsidP="0012768D">
      <w:pPr>
        <w:widowControl/>
        <w:overflowPunct w:val="0"/>
        <w:autoSpaceDE w:val="0"/>
        <w:autoSpaceDN w:val="0"/>
        <w:adjustRightInd w:val="0"/>
        <w:spacing w:line="360" w:lineRule="auto"/>
        <w:ind w:firstLine="720"/>
        <w:rPr>
          <w:sz w:val="26"/>
          <w:szCs w:val="26"/>
        </w:rPr>
      </w:pPr>
    </w:p>
    <w:p w14:paraId="3E2A0664" w14:textId="77777777" w:rsidR="006764FF" w:rsidRPr="002915C6" w:rsidRDefault="00BC5FF7" w:rsidP="0012768D">
      <w:pPr>
        <w:widowControl/>
        <w:overflowPunct w:val="0"/>
        <w:autoSpaceDE w:val="0"/>
        <w:autoSpaceDN w:val="0"/>
        <w:adjustRightInd w:val="0"/>
        <w:spacing w:line="360" w:lineRule="auto"/>
        <w:ind w:firstLine="720"/>
        <w:rPr>
          <w:sz w:val="26"/>
          <w:szCs w:val="26"/>
        </w:rPr>
      </w:pPr>
      <w:r w:rsidRPr="002915C6">
        <w:rPr>
          <w:sz w:val="26"/>
          <w:szCs w:val="26"/>
        </w:rPr>
        <w:tab/>
        <w:t xml:space="preserve">If the parties agree to the Section 1329 process, an </w:t>
      </w:r>
      <w:r w:rsidR="00E125D8" w:rsidRPr="002915C6">
        <w:rPr>
          <w:sz w:val="26"/>
          <w:szCs w:val="26"/>
        </w:rPr>
        <w:t>“</w:t>
      </w:r>
      <w:r w:rsidRPr="002915C6">
        <w:rPr>
          <w:sz w:val="26"/>
          <w:szCs w:val="26"/>
        </w:rPr>
        <w:t>acquiring public utility</w:t>
      </w:r>
      <w:r w:rsidR="00E125D8" w:rsidRPr="002915C6">
        <w:rPr>
          <w:sz w:val="26"/>
          <w:szCs w:val="26"/>
        </w:rPr>
        <w:t>”</w:t>
      </w:r>
      <w:r w:rsidR="00E125D8" w:rsidRPr="002915C6">
        <w:rPr>
          <w:rStyle w:val="FootnoteReference"/>
          <w:sz w:val="26"/>
          <w:szCs w:val="26"/>
        </w:rPr>
        <w:footnoteReference w:id="2"/>
      </w:r>
      <w:r w:rsidRPr="002915C6">
        <w:rPr>
          <w:sz w:val="26"/>
          <w:szCs w:val="26"/>
        </w:rPr>
        <w:t xml:space="preserve"> and the </w:t>
      </w:r>
      <w:r w:rsidR="001528EB" w:rsidRPr="002915C6">
        <w:rPr>
          <w:sz w:val="26"/>
          <w:szCs w:val="26"/>
        </w:rPr>
        <w:t xml:space="preserve">seller of the municipal system </w:t>
      </w:r>
      <w:r w:rsidRPr="002915C6">
        <w:rPr>
          <w:sz w:val="26"/>
          <w:szCs w:val="26"/>
        </w:rPr>
        <w:t xml:space="preserve">each select a </w:t>
      </w:r>
      <w:r w:rsidR="002915C6" w:rsidRPr="002915C6">
        <w:rPr>
          <w:sz w:val="26"/>
          <w:szCs w:val="26"/>
        </w:rPr>
        <w:t>utility valuation expert (</w:t>
      </w:r>
      <w:r w:rsidR="00800418" w:rsidRPr="002915C6">
        <w:rPr>
          <w:sz w:val="26"/>
          <w:szCs w:val="26"/>
        </w:rPr>
        <w:t>UVE</w:t>
      </w:r>
      <w:r w:rsidR="002915C6" w:rsidRPr="002915C6">
        <w:rPr>
          <w:sz w:val="26"/>
          <w:szCs w:val="26"/>
        </w:rPr>
        <w:t>)</w:t>
      </w:r>
      <w:r w:rsidRPr="002915C6">
        <w:rPr>
          <w:sz w:val="26"/>
          <w:szCs w:val="26"/>
        </w:rPr>
        <w:t xml:space="preserve"> from a list </w:t>
      </w:r>
      <w:r w:rsidR="00800418" w:rsidRPr="002915C6">
        <w:rPr>
          <w:sz w:val="26"/>
          <w:szCs w:val="26"/>
        </w:rPr>
        <w:t xml:space="preserve">of such experts </w:t>
      </w:r>
      <w:r w:rsidRPr="002915C6">
        <w:rPr>
          <w:sz w:val="26"/>
          <w:szCs w:val="26"/>
        </w:rPr>
        <w:t xml:space="preserve">established and maintained by the Commission.  The selected UVEs </w:t>
      </w:r>
      <w:r w:rsidR="002915C6" w:rsidRPr="002915C6">
        <w:rPr>
          <w:sz w:val="26"/>
          <w:szCs w:val="26"/>
        </w:rPr>
        <w:t>conduct economic valuations of the selling utility system</w:t>
      </w:r>
      <w:r w:rsidR="001528EB" w:rsidRPr="002915C6">
        <w:rPr>
          <w:sz w:val="26"/>
          <w:szCs w:val="26"/>
        </w:rPr>
        <w:t xml:space="preserve"> to establish its fair market value.  Also, the acquiring public utility and the seller select one licensed engineer to conduct an assessment of the tangible assets of the seller which is incorporated into the valuations</w:t>
      </w:r>
      <w:r w:rsidR="00586123" w:rsidRPr="002915C6">
        <w:rPr>
          <w:sz w:val="26"/>
          <w:szCs w:val="26"/>
        </w:rPr>
        <w:t xml:space="preserve"> of the UVEs</w:t>
      </w:r>
      <w:r w:rsidR="00BE10CC">
        <w:rPr>
          <w:sz w:val="26"/>
          <w:szCs w:val="26"/>
        </w:rPr>
        <w:t>.</w:t>
      </w:r>
    </w:p>
    <w:p w14:paraId="6D440B95" w14:textId="77777777" w:rsidR="006764FF" w:rsidRPr="002915C6" w:rsidRDefault="006764FF" w:rsidP="0012768D">
      <w:pPr>
        <w:widowControl/>
        <w:overflowPunct w:val="0"/>
        <w:autoSpaceDE w:val="0"/>
        <w:autoSpaceDN w:val="0"/>
        <w:adjustRightInd w:val="0"/>
        <w:spacing w:line="360" w:lineRule="auto"/>
        <w:ind w:firstLine="720"/>
        <w:rPr>
          <w:sz w:val="26"/>
          <w:szCs w:val="26"/>
        </w:rPr>
      </w:pPr>
    </w:p>
    <w:p w14:paraId="667D4A7D" w14:textId="77777777" w:rsidR="00BC5FF7" w:rsidRPr="002915C6" w:rsidRDefault="006764FF" w:rsidP="0012768D">
      <w:pPr>
        <w:widowControl/>
        <w:overflowPunct w:val="0"/>
        <w:autoSpaceDE w:val="0"/>
        <w:autoSpaceDN w:val="0"/>
        <w:adjustRightInd w:val="0"/>
        <w:spacing w:line="360" w:lineRule="auto"/>
        <w:ind w:firstLine="720"/>
        <w:rPr>
          <w:sz w:val="26"/>
          <w:szCs w:val="26"/>
        </w:rPr>
      </w:pPr>
      <w:r w:rsidRPr="002915C6">
        <w:rPr>
          <w:sz w:val="26"/>
          <w:szCs w:val="26"/>
        </w:rPr>
        <w:tab/>
        <w:t>As set forth in Section 1329(a) and (b), fair market value is determined by the results of two separate, independent appraisals conducted by UVEs.  Each UVE determines fair market value in compliance with the Uniform Standards of Professional Appraisal Practice (USPAP), employing the cost, market and income approaches.  66 Pa. C.S. § 1329(a)(3).  The appraisals are then averaged to determine the fair market value.  66 Pa. C.S. § 1329(g).  The lesser of the negotiated purchase price or the fair market value is the value the acquiring utility will use as the rate base for the acquired assets in its next base rate cas</w:t>
      </w:r>
      <w:r w:rsidR="006D7076">
        <w:rPr>
          <w:sz w:val="26"/>
          <w:szCs w:val="26"/>
        </w:rPr>
        <w:t>e.  66 Pa. C.S. § 1329(c)(2).</w:t>
      </w:r>
    </w:p>
    <w:p w14:paraId="6F9F84E2" w14:textId="77777777" w:rsidR="00586123" w:rsidRPr="002915C6" w:rsidRDefault="00586123" w:rsidP="0012768D">
      <w:pPr>
        <w:widowControl/>
        <w:overflowPunct w:val="0"/>
        <w:autoSpaceDE w:val="0"/>
        <w:autoSpaceDN w:val="0"/>
        <w:adjustRightInd w:val="0"/>
        <w:spacing w:line="360" w:lineRule="auto"/>
        <w:ind w:firstLine="720"/>
        <w:rPr>
          <w:sz w:val="26"/>
          <w:szCs w:val="26"/>
        </w:rPr>
      </w:pPr>
    </w:p>
    <w:p w14:paraId="55B9CC62" w14:textId="77777777" w:rsidR="0011250E" w:rsidRPr="002915C6" w:rsidRDefault="00586123" w:rsidP="0012768D">
      <w:pPr>
        <w:widowControl/>
        <w:overflowPunct w:val="0"/>
        <w:autoSpaceDE w:val="0"/>
        <w:autoSpaceDN w:val="0"/>
        <w:adjustRightInd w:val="0"/>
        <w:spacing w:line="360" w:lineRule="auto"/>
        <w:rPr>
          <w:sz w:val="26"/>
          <w:szCs w:val="26"/>
        </w:rPr>
      </w:pPr>
      <w:r w:rsidRPr="002915C6">
        <w:rPr>
          <w:sz w:val="26"/>
          <w:szCs w:val="26"/>
        </w:rPr>
        <w:tab/>
      </w:r>
      <w:r w:rsidR="008243D6" w:rsidRPr="002915C6">
        <w:rPr>
          <w:sz w:val="26"/>
          <w:szCs w:val="26"/>
        </w:rPr>
        <w:tab/>
      </w:r>
      <w:r w:rsidRPr="002915C6">
        <w:rPr>
          <w:sz w:val="26"/>
          <w:szCs w:val="26"/>
        </w:rPr>
        <w:t>After receiving the valuations, the acquiring public utility must apply for a Certificate of Public Convenience</w:t>
      </w:r>
      <w:r w:rsidR="000461B3" w:rsidRPr="002915C6">
        <w:rPr>
          <w:sz w:val="26"/>
          <w:szCs w:val="26"/>
        </w:rPr>
        <w:t xml:space="preserve"> (Certificate)</w:t>
      </w:r>
      <w:r w:rsidRPr="002915C6">
        <w:rPr>
          <w:sz w:val="26"/>
          <w:szCs w:val="26"/>
        </w:rPr>
        <w:t xml:space="preserve"> under Section </w:t>
      </w:r>
      <w:r w:rsidR="0011250E" w:rsidRPr="002915C6">
        <w:rPr>
          <w:sz w:val="26"/>
          <w:szCs w:val="26"/>
        </w:rPr>
        <w:t>1102 of the Code and include the following as an attachment to the Section 1102 application: copies of the UVE appraisals; the agreed purchase price; the ratemaking rate base; the transaction and closing costs incurred by the acquiring public utility that will be included in its rate base; and a tariff containing a rate equal to the existing r</w:t>
      </w:r>
      <w:r w:rsidR="00684FF8" w:rsidRPr="002915C6">
        <w:rPr>
          <w:sz w:val="26"/>
          <w:szCs w:val="26"/>
        </w:rPr>
        <w:t>ates</w:t>
      </w:r>
      <w:r w:rsidR="0011250E" w:rsidRPr="002915C6">
        <w:rPr>
          <w:sz w:val="26"/>
          <w:szCs w:val="26"/>
        </w:rPr>
        <w:t xml:space="preserve"> of the selling utility at the time of the acquisition and a rate stabilization plan, if applicable.  66 Pa. C.S. §</w:t>
      </w:r>
      <w:r w:rsidR="008C07EA" w:rsidRPr="002915C6">
        <w:rPr>
          <w:sz w:val="26"/>
          <w:szCs w:val="26"/>
        </w:rPr>
        <w:t> </w:t>
      </w:r>
      <w:r w:rsidR="0011250E" w:rsidRPr="002915C6">
        <w:rPr>
          <w:sz w:val="26"/>
          <w:szCs w:val="26"/>
        </w:rPr>
        <w:t xml:space="preserve">1329(d)(1).  </w:t>
      </w:r>
    </w:p>
    <w:p w14:paraId="53E2B639" w14:textId="77777777" w:rsidR="00AD4137" w:rsidRPr="002915C6" w:rsidRDefault="00AD4137" w:rsidP="0012768D">
      <w:pPr>
        <w:widowControl/>
        <w:overflowPunct w:val="0"/>
        <w:autoSpaceDE w:val="0"/>
        <w:autoSpaceDN w:val="0"/>
        <w:adjustRightInd w:val="0"/>
        <w:spacing w:line="360" w:lineRule="auto"/>
        <w:ind w:firstLine="720"/>
        <w:rPr>
          <w:sz w:val="26"/>
          <w:szCs w:val="26"/>
        </w:rPr>
      </w:pPr>
    </w:p>
    <w:p w14:paraId="3B7594C1" w14:textId="77777777" w:rsidR="00AD4137" w:rsidRPr="002915C6" w:rsidRDefault="00AD4137" w:rsidP="0012768D">
      <w:pPr>
        <w:widowControl/>
        <w:overflowPunct w:val="0"/>
        <w:autoSpaceDE w:val="0"/>
        <w:autoSpaceDN w:val="0"/>
        <w:adjustRightInd w:val="0"/>
        <w:spacing w:line="360" w:lineRule="auto"/>
        <w:ind w:firstLine="720"/>
        <w:rPr>
          <w:sz w:val="26"/>
          <w:szCs w:val="26"/>
        </w:rPr>
      </w:pPr>
      <w:r w:rsidRPr="002915C6">
        <w:rPr>
          <w:sz w:val="26"/>
          <w:szCs w:val="26"/>
        </w:rPr>
        <w:tab/>
        <w:t>For applications involving an acquiring public entity under Section 1329(d)(1), the Commission has a deadline for issuing a determination as follows: “The [C]omission shall issue a final order on an application submitted under [Section 1329(d)(1)] within six months of the filing date of an application meeting the requirements of subsection (d)(1</w:t>
      </w:r>
      <w:r w:rsidR="004A098F" w:rsidRPr="002915C6">
        <w:rPr>
          <w:sz w:val="26"/>
          <w:szCs w:val="26"/>
        </w:rPr>
        <w:t>).”  66 Pa. C.S. § 1329(d)(2).</w:t>
      </w:r>
    </w:p>
    <w:p w14:paraId="28D8871B" w14:textId="77777777" w:rsidR="00684FF8" w:rsidRPr="002915C6" w:rsidRDefault="00684FF8" w:rsidP="0012768D">
      <w:pPr>
        <w:widowControl/>
        <w:overflowPunct w:val="0"/>
        <w:autoSpaceDE w:val="0"/>
        <w:autoSpaceDN w:val="0"/>
        <w:adjustRightInd w:val="0"/>
        <w:spacing w:line="360" w:lineRule="auto"/>
        <w:ind w:firstLine="720"/>
        <w:rPr>
          <w:sz w:val="26"/>
          <w:szCs w:val="26"/>
        </w:rPr>
      </w:pPr>
    </w:p>
    <w:p w14:paraId="15C3EC3B" w14:textId="77777777" w:rsidR="00491C9B" w:rsidRPr="002915C6" w:rsidRDefault="00915B5E" w:rsidP="0012768D">
      <w:pPr>
        <w:widowControl/>
        <w:autoSpaceDE w:val="0"/>
        <w:autoSpaceDN w:val="0"/>
        <w:spacing w:line="360" w:lineRule="auto"/>
        <w:rPr>
          <w:sz w:val="26"/>
          <w:szCs w:val="26"/>
        </w:rPr>
      </w:pPr>
      <w:r w:rsidRPr="002915C6">
        <w:rPr>
          <w:sz w:val="26"/>
          <w:szCs w:val="26"/>
        </w:rPr>
        <w:tab/>
      </w:r>
      <w:r w:rsidRPr="002915C6">
        <w:rPr>
          <w:sz w:val="26"/>
          <w:szCs w:val="26"/>
        </w:rPr>
        <w:tab/>
        <w:t xml:space="preserve">On July 21, 2016, the Commission issued proposed procedures and guidelines to begin the implementation of Section 1329.  </w:t>
      </w:r>
      <w:r w:rsidRPr="002915C6">
        <w:rPr>
          <w:i/>
          <w:sz w:val="26"/>
          <w:szCs w:val="26"/>
        </w:rPr>
        <w:t>Implementation of Section 1329 of the Public Utility Code, Tentative Implementation Order</w:t>
      </w:r>
      <w:r w:rsidRPr="002915C6">
        <w:rPr>
          <w:sz w:val="26"/>
          <w:szCs w:val="26"/>
        </w:rPr>
        <w:t>, Docket No. M</w:t>
      </w:r>
      <w:r w:rsidR="008C07EA" w:rsidRPr="002915C6">
        <w:rPr>
          <w:sz w:val="26"/>
          <w:szCs w:val="26"/>
        </w:rPr>
        <w:noBreakHyphen/>
      </w:r>
      <w:r w:rsidRPr="002915C6">
        <w:rPr>
          <w:sz w:val="26"/>
          <w:szCs w:val="26"/>
        </w:rPr>
        <w:t>2016</w:t>
      </w:r>
      <w:r w:rsidR="004A098F" w:rsidRPr="002915C6">
        <w:rPr>
          <w:sz w:val="26"/>
          <w:szCs w:val="26"/>
        </w:rPr>
        <w:t>-</w:t>
      </w:r>
      <w:r w:rsidRPr="002915C6">
        <w:rPr>
          <w:sz w:val="26"/>
          <w:szCs w:val="26"/>
        </w:rPr>
        <w:t>2543193 (Order entered July 21, 2016)</w:t>
      </w:r>
      <w:r w:rsidR="00684FF8" w:rsidRPr="002915C6">
        <w:rPr>
          <w:sz w:val="26"/>
          <w:szCs w:val="26"/>
        </w:rPr>
        <w:t xml:space="preserve"> </w:t>
      </w:r>
      <w:r w:rsidR="00471706" w:rsidRPr="002915C6">
        <w:rPr>
          <w:sz w:val="26"/>
          <w:szCs w:val="26"/>
        </w:rPr>
        <w:t>(</w:t>
      </w:r>
      <w:r w:rsidR="00471706" w:rsidRPr="002915C6">
        <w:rPr>
          <w:i/>
          <w:sz w:val="26"/>
          <w:szCs w:val="26"/>
        </w:rPr>
        <w:t>Tentative Implementation Order</w:t>
      </w:r>
      <w:r w:rsidR="00471706" w:rsidRPr="002915C6">
        <w:rPr>
          <w:sz w:val="26"/>
          <w:szCs w:val="26"/>
        </w:rPr>
        <w:t>)</w:t>
      </w:r>
      <w:r w:rsidRPr="002915C6">
        <w:rPr>
          <w:sz w:val="26"/>
          <w:szCs w:val="26"/>
        </w:rPr>
        <w:t xml:space="preserve">.  </w:t>
      </w:r>
      <w:r w:rsidR="00471706" w:rsidRPr="002915C6">
        <w:rPr>
          <w:sz w:val="26"/>
          <w:szCs w:val="26"/>
        </w:rPr>
        <w:t xml:space="preserve">Due to the six-month timeline required in Section 1329, the </w:t>
      </w:r>
      <w:r w:rsidR="00471706" w:rsidRPr="002915C6">
        <w:rPr>
          <w:i/>
          <w:sz w:val="26"/>
          <w:szCs w:val="26"/>
        </w:rPr>
        <w:t>Tentative Implementation Order</w:t>
      </w:r>
      <w:r w:rsidR="00471706" w:rsidRPr="002915C6">
        <w:rPr>
          <w:sz w:val="26"/>
          <w:szCs w:val="26"/>
        </w:rPr>
        <w:t xml:space="preserve"> contained a proposed guideline and assumed that the last public meeting before the six-month deadline would be fifteen days prior to that deadline.  </w:t>
      </w:r>
      <w:r w:rsidR="00471706" w:rsidRPr="002915C6">
        <w:rPr>
          <w:i/>
          <w:sz w:val="26"/>
          <w:szCs w:val="26"/>
        </w:rPr>
        <w:t xml:space="preserve">Id. </w:t>
      </w:r>
      <w:r w:rsidR="00471706" w:rsidRPr="002915C6">
        <w:rPr>
          <w:sz w:val="26"/>
          <w:szCs w:val="26"/>
        </w:rPr>
        <w:t xml:space="preserve">at 14-15.  As noted above, the Commission issued the </w:t>
      </w:r>
      <w:r w:rsidR="00471706" w:rsidRPr="002915C6">
        <w:rPr>
          <w:i/>
          <w:sz w:val="26"/>
          <w:szCs w:val="26"/>
        </w:rPr>
        <w:t>Final Implementation Order</w:t>
      </w:r>
      <w:r w:rsidR="00471706" w:rsidRPr="002915C6">
        <w:rPr>
          <w:sz w:val="26"/>
          <w:szCs w:val="26"/>
        </w:rPr>
        <w:t xml:space="preserve"> on October 27, 2016.  In the </w:t>
      </w:r>
      <w:r w:rsidR="00471706" w:rsidRPr="002915C6">
        <w:rPr>
          <w:i/>
          <w:sz w:val="26"/>
          <w:szCs w:val="26"/>
        </w:rPr>
        <w:t>Final Implementation Order</w:t>
      </w:r>
      <w:r w:rsidR="00471706" w:rsidRPr="002915C6">
        <w:rPr>
          <w:sz w:val="26"/>
          <w:szCs w:val="26"/>
        </w:rPr>
        <w:t xml:space="preserve">, the Commission indicated that the proposed model timeline was only a guideline for achieving a Commission final order within the six-month deadline, but the parties are free to propose modifications to the presiding ALJ </w:t>
      </w:r>
      <w:r w:rsidR="00C31388" w:rsidRPr="002915C6">
        <w:rPr>
          <w:sz w:val="26"/>
          <w:szCs w:val="26"/>
        </w:rPr>
        <w:t xml:space="preserve">within the context of the specific Section 1329 proceeding.  </w:t>
      </w:r>
      <w:r w:rsidR="00C31388" w:rsidRPr="002915C6">
        <w:rPr>
          <w:i/>
          <w:sz w:val="26"/>
          <w:szCs w:val="26"/>
        </w:rPr>
        <w:t>Final Implementation Order</w:t>
      </w:r>
      <w:r w:rsidR="00C31388" w:rsidRPr="002915C6">
        <w:rPr>
          <w:sz w:val="26"/>
          <w:szCs w:val="26"/>
        </w:rPr>
        <w:t xml:space="preserve"> at</w:t>
      </w:r>
      <w:r w:rsidR="004A098F" w:rsidRPr="002915C6">
        <w:rPr>
          <w:sz w:val="26"/>
          <w:szCs w:val="26"/>
        </w:rPr>
        <w:t> 35.</w:t>
      </w:r>
    </w:p>
    <w:p w14:paraId="184A499C" w14:textId="77777777" w:rsidR="00B7074C" w:rsidRPr="002915C6" w:rsidRDefault="003741B8" w:rsidP="0012768D">
      <w:pPr>
        <w:widowControl/>
        <w:autoSpaceDE w:val="0"/>
        <w:autoSpaceDN w:val="0"/>
        <w:spacing w:line="360" w:lineRule="auto"/>
        <w:rPr>
          <w:sz w:val="26"/>
          <w:szCs w:val="26"/>
        </w:rPr>
      </w:pPr>
      <w:r w:rsidRPr="002915C6">
        <w:rPr>
          <w:sz w:val="26"/>
          <w:szCs w:val="26"/>
        </w:rPr>
        <w:tab/>
      </w:r>
      <w:r w:rsidRPr="002915C6">
        <w:rPr>
          <w:sz w:val="26"/>
          <w:szCs w:val="26"/>
        </w:rPr>
        <w:tab/>
      </w:r>
    </w:p>
    <w:p w14:paraId="74F6A5A8" w14:textId="77777777" w:rsidR="00B7074C" w:rsidRPr="002915C6" w:rsidRDefault="00B7074C" w:rsidP="00BE5FF4">
      <w:pPr>
        <w:pStyle w:val="Heading2"/>
        <w:widowControl/>
        <w:spacing w:line="360" w:lineRule="auto"/>
        <w:rPr>
          <w:rFonts w:ascii="Times New Roman" w:hAnsi="Times New Roman" w:cs="Times New Roman"/>
          <w:b w:val="0"/>
        </w:rPr>
      </w:pPr>
      <w:bookmarkStart w:id="5" w:name="_Toc499121824"/>
      <w:r w:rsidRPr="002915C6">
        <w:rPr>
          <w:rFonts w:ascii="Times New Roman" w:hAnsi="Times New Roman" w:cs="Times New Roman"/>
          <w:color w:val="auto"/>
        </w:rPr>
        <w:t>B.</w:t>
      </w:r>
      <w:r w:rsidRPr="002915C6">
        <w:rPr>
          <w:rFonts w:ascii="Times New Roman" w:hAnsi="Times New Roman" w:cs="Times New Roman"/>
          <w:color w:val="auto"/>
        </w:rPr>
        <w:tab/>
      </w:r>
      <w:r w:rsidR="00483DF7" w:rsidRPr="002915C6">
        <w:rPr>
          <w:rFonts w:ascii="Times New Roman" w:hAnsi="Times New Roman" w:cs="Times New Roman"/>
          <w:color w:val="auto"/>
        </w:rPr>
        <w:t>Transaction Overview</w:t>
      </w:r>
      <w:bookmarkEnd w:id="5"/>
    </w:p>
    <w:p w14:paraId="353E22E1" w14:textId="77777777" w:rsidR="00483DF7" w:rsidRPr="002915C6" w:rsidRDefault="00483DF7" w:rsidP="00BE5FF4">
      <w:pPr>
        <w:keepNext/>
        <w:keepLines/>
        <w:widowControl/>
        <w:autoSpaceDE w:val="0"/>
        <w:autoSpaceDN w:val="0"/>
        <w:spacing w:line="360" w:lineRule="auto"/>
        <w:rPr>
          <w:sz w:val="26"/>
          <w:szCs w:val="26"/>
        </w:rPr>
      </w:pPr>
    </w:p>
    <w:p w14:paraId="2BCCED87" w14:textId="77777777" w:rsidR="00483DF7" w:rsidRPr="002915C6" w:rsidRDefault="00483DF7" w:rsidP="0012768D">
      <w:pPr>
        <w:widowControl/>
        <w:autoSpaceDE w:val="0"/>
        <w:autoSpaceDN w:val="0"/>
        <w:spacing w:line="360" w:lineRule="auto"/>
        <w:rPr>
          <w:sz w:val="26"/>
          <w:szCs w:val="26"/>
        </w:rPr>
      </w:pPr>
      <w:r w:rsidRPr="002915C6">
        <w:rPr>
          <w:sz w:val="26"/>
          <w:szCs w:val="26"/>
        </w:rPr>
        <w:tab/>
      </w:r>
      <w:r w:rsidRPr="002915C6">
        <w:rPr>
          <w:sz w:val="26"/>
          <w:szCs w:val="26"/>
        </w:rPr>
        <w:tab/>
        <w:t>Aqua is a subsidiary of Aqua Pennsylvania, Inc. (Aqua PA), which provides water and wastewater util</w:t>
      </w:r>
      <w:r w:rsidR="00233EF3" w:rsidRPr="002915C6">
        <w:rPr>
          <w:sz w:val="26"/>
          <w:szCs w:val="26"/>
        </w:rPr>
        <w:t>ity service to approximately 455</w:t>
      </w:r>
      <w:r w:rsidRPr="002915C6">
        <w:rPr>
          <w:sz w:val="26"/>
          <w:szCs w:val="26"/>
        </w:rPr>
        <w:t xml:space="preserve">,000 customers.  </w:t>
      </w:r>
      <w:proofErr w:type="spellStart"/>
      <w:r w:rsidR="00432F67" w:rsidRPr="002915C6">
        <w:rPr>
          <w:sz w:val="26"/>
          <w:szCs w:val="26"/>
        </w:rPr>
        <w:t>Aqua’s</w:t>
      </w:r>
      <w:proofErr w:type="spellEnd"/>
      <w:r w:rsidR="00432F67" w:rsidRPr="002915C6">
        <w:rPr>
          <w:sz w:val="26"/>
          <w:szCs w:val="26"/>
        </w:rPr>
        <w:t xml:space="preserve"> wastewater service in</w:t>
      </w:r>
      <w:r w:rsidR="00596287" w:rsidRPr="002915C6">
        <w:rPr>
          <w:sz w:val="26"/>
          <w:szCs w:val="26"/>
        </w:rPr>
        <w:t>volves</w:t>
      </w:r>
      <w:r w:rsidR="00432F67" w:rsidRPr="002915C6">
        <w:rPr>
          <w:sz w:val="26"/>
          <w:szCs w:val="26"/>
        </w:rPr>
        <w:t xml:space="preserve"> the collection, transportation, treatment and disposal of wastewater for the public to approximately 20,000 customers in Adams, Bucks, Carbon, Chester, Clearfield, Delaware, Lackawanna, Luzerne, Monroe, Montgomery, Pike, Schuylkill, and Wyoming Counties.  </w:t>
      </w:r>
      <w:r w:rsidR="00596287" w:rsidRPr="002915C6">
        <w:rPr>
          <w:sz w:val="26"/>
          <w:szCs w:val="26"/>
        </w:rPr>
        <w:t>Aqua operates thirty-</w:t>
      </w:r>
      <w:r w:rsidR="00233EF3" w:rsidRPr="002915C6">
        <w:rPr>
          <w:sz w:val="26"/>
          <w:szCs w:val="26"/>
        </w:rPr>
        <w:t>four</w:t>
      </w:r>
      <w:r w:rsidR="00596287" w:rsidRPr="002915C6">
        <w:rPr>
          <w:sz w:val="26"/>
          <w:szCs w:val="26"/>
        </w:rPr>
        <w:t xml:space="preserve"> wastewater treatment plants in Pennsylvania.  Both the Company and Aqua PA employ approximately 600 individuals with expertise in water and waste</w:t>
      </w:r>
      <w:r w:rsidR="00233EF3" w:rsidRPr="002915C6">
        <w:rPr>
          <w:sz w:val="26"/>
          <w:szCs w:val="26"/>
        </w:rPr>
        <w:t>water service.  Aqua Stmt. No. 2</w:t>
      </w:r>
      <w:r w:rsidR="00596287" w:rsidRPr="002915C6">
        <w:rPr>
          <w:sz w:val="26"/>
          <w:szCs w:val="26"/>
        </w:rPr>
        <w:t xml:space="preserve"> at </w:t>
      </w:r>
      <w:r w:rsidR="00233EF3" w:rsidRPr="002915C6">
        <w:rPr>
          <w:sz w:val="26"/>
          <w:szCs w:val="26"/>
        </w:rPr>
        <w:t>3</w:t>
      </w:r>
      <w:r w:rsidR="00397A2F">
        <w:rPr>
          <w:sz w:val="26"/>
          <w:szCs w:val="26"/>
        </w:rPr>
        <w:t>.</w:t>
      </w:r>
    </w:p>
    <w:p w14:paraId="6FC11B13" w14:textId="77777777" w:rsidR="00596287" w:rsidRPr="002915C6" w:rsidRDefault="00596287" w:rsidP="0012768D">
      <w:pPr>
        <w:widowControl/>
        <w:autoSpaceDE w:val="0"/>
        <w:autoSpaceDN w:val="0"/>
        <w:spacing w:line="360" w:lineRule="auto"/>
        <w:rPr>
          <w:sz w:val="26"/>
          <w:szCs w:val="26"/>
        </w:rPr>
      </w:pPr>
    </w:p>
    <w:p w14:paraId="5E38893C" w14:textId="77777777" w:rsidR="00957B47" w:rsidRPr="002915C6" w:rsidRDefault="00596287" w:rsidP="0012768D">
      <w:pPr>
        <w:widowControl/>
        <w:autoSpaceDE w:val="0"/>
        <w:autoSpaceDN w:val="0"/>
        <w:spacing w:line="360" w:lineRule="auto"/>
        <w:rPr>
          <w:sz w:val="26"/>
          <w:szCs w:val="26"/>
        </w:rPr>
      </w:pPr>
      <w:r w:rsidRPr="002915C6">
        <w:rPr>
          <w:sz w:val="26"/>
          <w:szCs w:val="26"/>
        </w:rPr>
        <w:tab/>
      </w:r>
      <w:r w:rsidRPr="002915C6">
        <w:rPr>
          <w:sz w:val="26"/>
          <w:szCs w:val="26"/>
        </w:rPr>
        <w:tab/>
      </w:r>
      <w:r w:rsidR="00491715" w:rsidRPr="002915C6">
        <w:rPr>
          <w:sz w:val="26"/>
          <w:szCs w:val="26"/>
        </w:rPr>
        <w:t xml:space="preserve">The Township owns and operates a wastewater system that provides service to 5,434 customers within a portion of the municipality.  </w:t>
      </w:r>
      <w:r w:rsidR="00233EF3" w:rsidRPr="002915C6">
        <w:rPr>
          <w:sz w:val="26"/>
          <w:szCs w:val="26"/>
        </w:rPr>
        <w:t>The Township</w:t>
      </w:r>
      <w:r w:rsidR="00E64528" w:rsidRPr="002915C6">
        <w:rPr>
          <w:sz w:val="26"/>
          <w:szCs w:val="26"/>
        </w:rPr>
        <w:t>’s wastewater system is comprised of t</w:t>
      </w:r>
      <w:r w:rsidR="00233EF3" w:rsidRPr="002915C6">
        <w:rPr>
          <w:sz w:val="26"/>
          <w:szCs w:val="26"/>
        </w:rPr>
        <w:t>wo</w:t>
      </w:r>
      <w:r w:rsidR="00E64528" w:rsidRPr="002915C6">
        <w:rPr>
          <w:sz w:val="26"/>
          <w:szCs w:val="26"/>
        </w:rPr>
        <w:t xml:space="preserve"> service </w:t>
      </w:r>
      <w:r w:rsidR="00982023" w:rsidRPr="002915C6">
        <w:rPr>
          <w:sz w:val="26"/>
          <w:szCs w:val="26"/>
        </w:rPr>
        <w:t>area</w:t>
      </w:r>
      <w:r w:rsidR="00491715" w:rsidRPr="002915C6">
        <w:rPr>
          <w:sz w:val="26"/>
          <w:szCs w:val="26"/>
        </w:rPr>
        <w:t>s</w:t>
      </w:r>
      <w:r w:rsidR="00E64528" w:rsidRPr="002915C6">
        <w:rPr>
          <w:sz w:val="26"/>
          <w:szCs w:val="26"/>
        </w:rPr>
        <w:t xml:space="preserve">: the </w:t>
      </w:r>
      <w:r w:rsidR="00233EF3" w:rsidRPr="002915C6">
        <w:rPr>
          <w:sz w:val="26"/>
          <w:szCs w:val="26"/>
        </w:rPr>
        <w:t xml:space="preserve">King Road Wastewater Treatment Plant (King Road) service system and the Possum Hollow Wastewater Treatment Plant (Possum Hollow) service system. </w:t>
      </w:r>
      <w:r w:rsidR="00E64528" w:rsidRPr="002915C6">
        <w:rPr>
          <w:sz w:val="26"/>
          <w:szCs w:val="26"/>
        </w:rPr>
        <w:t xml:space="preserve"> </w:t>
      </w:r>
      <w:r w:rsidR="00233EF3" w:rsidRPr="002915C6">
        <w:rPr>
          <w:sz w:val="26"/>
          <w:szCs w:val="26"/>
        </w:rPr>
        <w:t>The King Road system</w:t>
      </w:r>
      <w:r w:rsidR="007A0BB1" w:rsidRPr="002915C6">
        <w:rPr>
          <w:sz w:val="26"/>
          <w:szCs w:val="26"/>
        </w:rPr>
        <w:t xml:space="preserve"> is an </w:t>
      </w:r>
      <w:proofErr w:type="spellStart"/>
      <w:r w:rsidR="007A0BB1" w:rsidRPr="002915C6">
        <w:rPr>
          <w:sz w:val="26"/>
          <w:szCs w:val="26"/>
        </w:rPr>
        <w:t>AeroMod</w:t>
      </w:r>
      <w:proofErr w:type="spellEnd"/>
      <w:r w:rsidR="007A0BB1" w:rsidRPr="002915C6">
        <w:rPr>
          <w:sz w:val="26"/>
          <w:szCs w:val="26"/>
        </w:rPr>
        <w:t xml:space="preserve"> activated sludge biological treatment system with two-stage aeration and clarification.  In-line ultra violet units facilitate effluent disinfection and two aerobic digesters and holding tanks accomplish sludge handling for the King Road system.  The Possum Hollow system also uses an </w:t>
      </w:r>
      <w:proofErr w:type="spellStart"/>
      <w:r w:rsidR="007A0BB1" w:rsidRPr="002915C6">
        <w:rPr>
          <w:sz w:val="26"/>
          <w:szCs w:val="26"/>
        </w:rPr>
        <w:t>AeroMod</w:t>
      </w:r>
      <w:proofErr w:type="spellEnd"/>
      <w:r w:rsidR="007A0BB1" w:rsidRPr="002915C6">
        <w:rPr>
          <w:sz w:val="26"/>
          <w:szCs w:val="26"/>
        </w:rPr>
        <w:t xml:space="preserve"> activated sludge biological treatment system with two-stage aeration and clarification.  However, </w:t>
      </w:r>
      <w:proofErr w:type="spellStart"/>
      <w:r w:rsidR="007A0BB1" w:rsidRPr="002915C6">
        <w:rPr>
          <w:sz w:val="26"/>
          <w:szCs w:val="26"/>
        </w:rPr>
        <w:t>Possom</w:t>
      </w:r>
      <w:proofErr w:type="spellEnd"/>
      <w:r w:rsidR="007A0BB1" w:rsidRPr="002915C6">
        <w:rPr>
          <w:sz w:val="26"/>
          <w:szCs w:val="26"/>
        </w:rPr>
        <w:t xml:space="preserve"> Hollow conducts sludge handling by hauling the thickened liquid to the Pottstown Wastewater Treatment Plant for processing and disposal.  </w:t>
      </w:r>
      <w:r w:rsidR="00491715" w:rsidRPr="002915C6">
        <w:rPr>
          <w:sz w:val="26"/>
          <w:szCs w:val="26"/>
        </w:rPr>
        <w:t xml:space="preserve">The permitted capacity of the King Road system is 1.70 million gallons per day (MGD) and the Possum Hollow system is 0.70 MGD.  </w:t>
      </w:r>
      <w:r w:rsidR="00957B47" w:rsidRPr="002915C6">
        <w:rPr>
          <w:sz w:val="26"/>
          <w:szCs w:val="26"/>
        </w:rPr>
        <w:t xml:space="preserve">Aqua Stmt. No. 2 at </w:t>
      </w:r>
      <w:r w:rsidR="00491715" w:rsidRPr="002915C6">
        <w:rPr>
          <w:sz w:val="26"/>
          <w:szCs w:val="26"/>
        </w:rPr>
        <w:t>3-</w:t>
      </w:r>
      <w:r w:rsidR="00957B47" w:rsidRPr="002915C6">
        <w:rPr>
          <w:sz w:val="26"/>
          <w:szCs w:val="26"/>
        </w:rPr>
        <w:t>4.</w:t>
      </w:r>
    </w:p>
    <w:p w14:paraId="39F59AD7" w14:textId="77777777" w:rsidR="006764FF" w:rsidRPr="002915C6" w:rsidRDefault="006764FF" w:rsidP="00BE5FF4">
      <w:pPr>
        <w:widowControl/>
        <w:spacing w:line="360" w:lineRule="auto"/>
        <w:rPr>
          <w:sz w:val="26"/>
          <w:szCs w:val="26"/>
        </w:rPr>
      </w:pPr>
    </w:p>
    <w:p w14:paraId="1E41EDFE" w14:textId="77777777" w:rsidR="006764FF" w:rsidRPr="002915C6" w:rsidRDefault="006764FF" w:rsidP="00BE5FF4">
      <w:pPr>
        <w:widowControl/>
        <w:spacing w:line="360" w:lineRule="auto"/>
        <w:rPr>
          <w:sz w:val="26"/>
          <w:szCs w:val="26"/>
        </w:rPr>
      </w:pPr>
      <w:r w:rsidRPr="002915C6">
        <w:rPr>
          <w:sz w:val="26"/>
          <w:szCs w:val="26"/>
        </w:rPr>
        <w:tab/>
      </w:r>
      <w:r w:rsidRPr="002915C6">
        <w:rPr>
          <w:sz w:val="26"/>
          <w:szCs w:val="26"/>
        </w:rPr>
        <w:tab/>
        <w:t xml:space="preserve">Aqua selected Gannett Fleming Valuation and Rate Consultants, LLC (Gannett) and Limerick selected Herbert, Rowland &amp; </w:t>
      </w:r>
      <w:proofErr w:type="spellStart"/>
      <w:r w:rsidRPr="002915C6">
        <w:rPr>
          <w:sz w:val="26"/>
          <w:szCs w:val="26"/>
        </w:rPr>
        <w:t>Grubic</w:t>
      </w:r>
      <w:proofErr w:type="spellEnd"/>
      <w:r w:rsidRPr="002915C6">
        <w:rPr>
          <w:sz w:val="26"/>
          <w:szCs w:val="26"/>
        </w:rPr>
        <w:t xml:space="preserve">, Inc. (HRG) </w:t>
      </w:r>
      <w:r w:rsidR="002915C6" w:rsidRPr="002915C6">
        <w:rPr>
          <w:sz w:val="26"/>
          <w:szCs w:val="26"/>
        </w:rPr>
        <w:t xml:space="preserve">as their respective UVEs </w:t>
      </w:r>
      <w:r w:rsidRPr="002915C6">
        <w:rPr>
          <w:sz w:val="26"/>
          <w:szCs w:val="26"/>
        </w:rPr>
        <w:t>to prepare fair market value appraisals of Limerick’s sewage collection and treatment system assets.  Based on Gannett’s appraisal, the fair market value for Limerick’s wastewater system was $80,098,000.  HRG calculated a fair market value of $76,890,000.  Both appraisals were prepared using the USPAP employing the cost, income, and market approaches to value.  The fair market value average of the two appraisals was $78,494,000.  Application at 15.</w:t>
      </w:r>
    </w:p>
    <w:p w14:paraId="6253F27A" w14:textId="77777777" w:rsidR="00491715" w:rsidRPr="002915C6" w:rsidRDefault="00491715" w:rsidP="0012768D">
      <w:pPr>
        <w:widowControl/>
        <w:autoSpaceDE w:val="0"/>
        <w:autoSpaceDN w:val="0"/>
        <w:spacing w:line="360" w:lineRule="auto"/>
        <w:rPr>
          <w:sz w:val="26"/>
          <w:szCs w:val="26"/>
        </w:rPr>
      </w:pPr>
    </w:p>
    <w:p w14:paraId="498A1DEB" w14:textId="77777777" w:rsidR="0058251D" w:rsidRPr="002915C6" w:rsidRDefault="003E6C47" w:rsidP="0012768D">
      <w:pPr>
        <w:widowControl/>
        <w:autoSpaceDE w:val="0"/>
        <w:autoSpaceDN w:val="0"/>
        <w:spacing w:line="360" w:lineRule="auto"/>
        <w:rPr>
          <w:sz w:val="26"/>
          <w:szCs w:val="26"/>
        </w:rPr>
      </w:pPr>
      <w:r w:rsidRPr="002915C6">
        <w:rPr>
          <w:sz w:val="26"/>
          <w:szCs w:val="26"/>
        </w:rPr>
        <w:tab/>
      </w:r>
      <w:r w:rsidRPr="002915C6">
        <w:rPr>
          <w:sz w:val="26"/>
          <w:szCs w:val="26"/>
        </w:rPr>
        <w:tab/>
        <w:t xml:space="preserve">On </w:t>
      </w:r>
      <w:r w:rsidR="00491715" w:rsidRPr="002915C6">
        <w:rPr>
          <w:sz w:val="26"/>
          <w:szCs w:val="26"/>
        </w:rPr>
        <w:t>November 16,</w:t>
      </w:r>
      <w:r w:rsidRPr="002915C6">
        <w:rPr>
          <w:sz w:val="26"/>
          <w:szCs w:val="26"/>
        </w:rPr>
        <w:t xml:space="preserve"> 2016, Aqua executed an Asset Purchase Agreement (APA) with the Township </w:t>
      </w:r>
      <w:r w:rsidR="002D30BF" w:rsidRPr="002915C6">
        <w:rPr>
          <w:sz w:val="26"/>
          <w:szCs w:val="26"/>
        </w:rPr>
        <w:t>to purchase</w:t>
      </w:r>
      <w:r w:rsidRPr="002915C6">
        <w:rPr>
          <w:sz w:val="26"/>
          <w:szCs w:val="26"/>
        </w:rPr>
        <w:t xml:space="preserve"> </w:t>
      </w:r>
      <w:r w:rsidR="00491715" w:rsidRPr="002915C6">
        <w:rPr>
          <w:sz w:val="26"/>
          <w:szCs w:val="26"/>
        </w:rPr>
        <w:t>the Township</w:t>
      </w:r>
      <w:r w:rsidRPr="002915C6">
        <w:rPr>
          <w:sz w:val="26"/>
          <w:szCs w:val="26"/>
        </w:rPr>
        <w:t>’s wastewater utility assets</w:t>
      </w:r>
      <w:r w:rsidR="002D30BF" w:rsidRPr="002915C6">
        <w:rPr>
          <w:sz w:val="26"/>
          <w:szCs w:val="26"/>
        </w:rPr>
        <w:t xml:space="preserve"> for $</w:t>
      </w:r>
      <w:r w:rsidR="00491715" w:rsidRPr="002915C6">
        <w:rPr>
          <w:sz w:val="26"/>
          <w:szCs w:val="26"/>
        </w:rPr>
        <w:t>75.1</w:t>
      </w:r>
      <w:r w:rsidR="002D30BF" w:rsidRPr="002915C6">
        <w:rPr>
          <w:sz w:val="26"/>
          <w:szCs w:val="26"/>
        </w:rPr>
        <w:t xml:space="preserve"> million</w:t>
      </w:r>
      <w:r w:rsidRPr="002915C6">
        <w:rPr>
          <w:sz w:val="26"/>
          <w:szCs w:val="26"/>
        </w:rPr>
        <w:t xml:space="preserve">.  </w:t>
      </w:r>
      <w:r w:rsidR="002D30BF" w:rsidRPr="002915C6">
        <w:rPr>
          <w:sz w:val="26"/>
          <w:szCs w:val="26"/>
        </w:rPr>
        <w:t xml:space="preserve">Pursuant to the APA, </w:t>
      </w:r>
      <w:r w:rsidR="00491715" w:rsidRPr="002915C6">
        <w:rPr>
          <w:sz w:val="26"/>
          <w:szCs w:val="26"/>
        </w:rPr>
        <w:t xml:space="preserve">Aqua will operate the Township’s system as a </w:t>
      </w:r>
      <w:r w:rsidR="00982023" w:rsidRPr="002915C6">
        <w:rPr>
          <w:sz w:val="26"/>
          <w:szCs w:val="26"/>
        </w:rPr>
        <w:t xml:space="preserve">standalone system from its Southeastern Division office in Bryn </w:t>
      </w:r>
      <w:proofErr w:type="spellStart"/>
      <w:r w:rsidR="00982023" w:rsidRPr="002915C6">
        <w:rPr>
          <w:sz w:val="26"/>
          <w:szCs w:val="26"/>
        </w:rPr>
        <w:t>Mawr</w:t>
      </w:r>
      <w:proofErr w:type="spellEnd"/>
      <w:r w:rsidR="00982023" w:rsidRPr="002915C6">
        <w:rPr>
          <w:sz w:val="26"/>
          <w:szCs w:val="26"/>
        </w:rPr>
        <w:t xml:space="preserve">, Pennsylvania, which presently operates seventeen other wastewater systems within the division.  Also, Aqua is prevented from increasing the rates of the </w:t>
      </w:r>
      <w:r w:rsidR="002D30BF" w:rsidRPr="002915C6">
        <w:rPr>
          <w:sz w:val="26"/>
          <w:szCs w:val="26"/>
        </w:rPr>
        <w:t xml:space="preserve">acquired customers </w:t>
      </w:r>
      <w:r w:rsidR="00982023" w:rsidRPr="002915C6">
        <w:rPr>
          <w:sz w:val="26"/>
          <w:szCs w:val="26"/>
        </w:rPr>
        <w:t xml:space="preserve">for at least </w:t>
      </w:r>
      <w:r w:rsidR="00DF1E50" w:rsidRPr="002915C6">
        <w:rPr>
          <w:sz w:val="26"/>
          <w:szCs w:val="26"/>
        </w:rPr>
        <w:t xml:space="preserve">three years following the closing date of the transaction.  </w:t>
      </w:r>
      <w:r w:rsidR="00E17CB6" w:rsidRPr="002915C6">
        <w:rPr>
          <w:sz w:val="26"/>
          <w:szCs w:val="26"/>
        </w:rPr>
        <w:t>Application at 8.</w:t>
      </w:r>
      <w:r w:rsidR="002D30BF" w:rsidRPr="002915C6">
        <w:rPr>
          <w:sz w:val="26"/>
          <w:szCs w:val="26"/>
        </w:rPr>
        <w:t xml:space="preserve">  </w:t>
      </w:r>
      <w:r w:rsidR="0058251D" w:rsidRPr="002915C6">
        <w:rPr>
          <w:sz w:val="26"/>
          <w:szCs w:val="26"/>
        </w:rPr>
        <w:t xml:space="preserve">Additionally, Aqua </w:t>
      </w:r>
      <w:r w:rsidR="00E17CB6" w:rsidRPr="002915C6">
        <w:rPr>
          <w:sz w:val="26"/>
          <w:szCs w:val="26"/>
        </w:rPr>
        <w:t>proposes spending approximately $8.3 million on capital project upgrades for the King Road and Possum Hollow systems and for IT transition costs</w:t>
      </w:r>
      <w:r w:rsidR="0058251D" w:rsidRPr="002915C6">
        <w:rPr>
          <w:sz w:val="26"/>
          <w:szCs w:val="26"/>
        </w:rPr>
        <w:t xml:space="preserve">.  </w:t>
      </w:r>
      <w:r w:rsidR="00E17CB6" w:rsidRPr="002915C6">
        <w:rPr>
          <w:sz w:val="26"/>
          <w:szCs w:val="26"/>
        </w:rPr>
        <w:t>Aqua Stmt. No. 2 at 7-8</w:t>
      </w:r>
      <w:r w:rsidR="00815A2B" w:rsidRPr="002915C6">
        <w:rPr>
          <w:sz w:val="26"/>
          <w:szCs w:val="26"/>
        </w:rPr>
        <w:t xml:space="preserve">.  </w:t>
      </w:r>
    </w:p>
    <w:p w14:paraId="52AA93EA" w14:textId="77777777" w:rsidR="005757F1" w:rsidRPr="002915C6" w:rsidRDefault="005757F1" w:rsidP="0012768D">
      <w:pPr>
        <w:widowControl/>
        <w:autoSpaceDE w:val="0"/>
        <w:autoSpaceDN w:val="0"/>
        <w:spacing w:line="360" w:lineRule="auto"/>
        <w:rPr>
          <w:sz w:val="26"/>
          <w:szCs w:val="26"/>
        </w:rPr>
      </w:pPr>
    </w:p>
    <w:p w14:paraId="74F96626" w14:textId="77777777" w:rsidR="005757F1" w:rsidRPr="002915C6" w:rsidRDefault="005757F1" w:rsidP="0012768D">
      <w:pPr>
        <w:widowControl/>
        <w:autoSpaceDE w:val="0"/>
        <w:autoSpaceDN w:val="0"/>
        <w:spacing w:line="360" w:lineRule="auto"/>
        <w:rPr>
          <w:sz w:val="26"/>
          <w:szCs w:val="26"/>
        </w:rPr>
      </w:pPr>
      <w:r w:rsidRPr="002915C6">
        <w:rPr>
          <w:sz w:val="26"/>
          <w:szCs w:val="26"/>
        </w:rPr>
        <w:tab/>
      </w:r>
      <w:r w:rsidRPr="002915C6">
        <w:rPr>
          <w:sz w:val="26"/>
          <w:szCs w:val="26"/>
        </w:rPr>
        <w:tab/>
        <w:t>Aqua filed its Application under Sections 1102 and 1329 of the Code, 66</w:t>
      </w:r>
      <w:r w:rsidR="00CE1DA8">
        <w:rPr>
          <w:sz w:val="26"/>
          <w:szCs w:val="26"/>
        </w:rPr>
        <w:t> </w:t>
      </w:r>
      <w:r w:rsidRPr="002915C6">
        <w:rPr>
          <w:sz w:val="26"/>
          <w:szCs w:val="26"/>
        </w:rPr>
        <w:t>Pa. C.S. §§ 1102 and 1329.  Pursuant to Section 1329, the Company requests that the Commission approve the purchase price of $</w:t>
      </w:r>
      <w:r w:rsidR="00E17CB6" w:rsidRPr="002915C6">
        <w:rPr>
          <w:sz w:val="26"/>
          <w:szCs w:val="26"/>
        </w:rPr>
        <w:t>75.1</w:t>
      </w:r>
      <w:r w:rsidRPr="002915C6">
        <w:rPr>
          <w:sz w:val="26"/>
          <w:szCs w:val="26"/>
        </w:rPr>
        <w:t xml:space="preserve"> million as the rate base value of the assets to be acquired for ratemaking purposes.  Aqua submits that it is permitted to use </w:t>
      </w:r>
      <w:r w:rsidR="000B61A9" w:rsidRPr="002915C6">
        <w:rPr>
          <w:sz w:val="26"/>
          <w:szCs w:val="26"/>
        </w:rPr>
        <w:t xml:space="preserve">the </w:t>
      </w:r>
      <w:r w:rsidRPr="002915C6">
        <w:rPr>
          <w:sz w:val="26"/>
          <w:szCs w:val="26"/>
        </w:rPr>
        <w:t>negotiated purchase price because it is lower than the average of the two appraisals provided with the Application pursuan</w:t>
      </w:r>
      <w:r w:rsidR="00302701" w:rsidRPr="002915C6">
        <w:rPr>
          <w:sz w:val="26"/>
          <w:szCs w:val="26"/>
        </w:rPr>
        <w:t xml:space="preserve">t to </w:t>
      </w:r>
      <w:r w:rsidR="006545C0" w:rsidRPr="002915C6">
        <w:rPr>
          <w:sz w:val="26"/>
          <w:szCs w:val="26"/>
        </w:rPr>
        <w:t>Section</w:t>
      </w:r>
      <w:r w:rsidR="00302701" w:rsidRPr="002915C6">
        <w:rPr>
          <w:sz w:val="26"/>
          <w:szCs w:val="26"/>
        </w:rPr>
        <w:t xml:space="preserve"> 1329(c)(2).</w:t>
      </w:r>
      <w:r w:rsidR="007B075A" w:rsidRPr="002915C6">
        <w:rPr>
          <w:sz w:val="26"/>
          <w:szCs w:val="26"/>
        </w:rPr>
        <w:t xml:space="preserve">  </w:t>
      </w:r>
    </w:p>
    <w:p w14:paraId="1ED0C075" w14:textId="77777777" w:rsidR="00520061" w:rsidRPr="002915C6" w:rsidRDefault="00520061" w:rsidP="0012768D">
      <w:pPr>
        <w:widowControl/>
        <w:autoSpaceDE w:val="0"/>
        <w:autoSpaceDN w:val="0"/>
        <w:spacing w:line="360" w:lineRule="auto"/>
        <w:rPr>
          <w:sz w:val="26"/>
          <w:szCs w:val="26"/>
        </w:rPr>
      </w:pPr>
    </w:p>
    <w:p w14:paraId="49741DB2" w14:textId="0BDDE4F1" w:rsidR="00520061" w:rsidRPr="002915C6" w:rsidRDefault="00520061" w:rsidP="0012768D">
      <w:pPr>
        <w:widowControl/>
        <w:autoSpaceDE w:val="0"/>
        <w:autoSpaceDN w:val="0"/>
        <w:spacing w:line="360" w:lineRule="auto"/>
        <w:rPr>
          <w:sz w:val="26"/>
          <w:szCs w:val="26"/>
        </w:rPr>
      </w:pPr>
      <w:r w:rsidRPr="002915C6">
        <w:rPr>
          <w:sz w:val="26"/>
          <w:szCs w:val="26"/>
        </w:rPr>
        <w:tab/>
      </w:r>
      <w:r w:rsidRPr="002915C6">
        <w:rPr>
          <w:sz w:val="26"/>
          <w:szCs w:val="26"/>
        </w:rPr>
        <w:tab/>
        <w:t xml:space="preserve">This is </w:t>
      </w:r>
      <w:proofErr w:type="spellStart"/>
      <w:r w:rsidR="002915C6" w:rsidRPr="002915C6">
        <w:rPr>
          <w:sz w:val="26"/>
          <w:szCs w:val="26"/>
        </w:rPr>
        <w:t>Aqua’s</w:t>
      </w:r>
      <w:proofErr w:type="spellEnd"/>
      <w:r w:rsidRPr="002915C6">
        <w:rPr>
          <w:sz w:val="26"/>
          <w:szCs w:val="26"/>
        </w:rPr>
        <w:t xml:space="preserve"> second </w:t>
      </w:r>
      <w:r w:rsidR="00FB514F" w:rsidRPr="002915C6">
        <w:rPr>
          <w:sz w:val="26"/>
          <w:szCs w:val="26"/>
        </w:rPr>
        <w:t xml:space="preserve">Application </w:t>
      </w:r>
      <w:r w:rsidRPr="002915C6">
        <w:rPr>
          <w:sz w:val="26"/>
          <w:szCs w:val="26"/>
        </w:rPr>
        <w:t xml:space="preserve">proceeding under Sections 1102 and 1329 being considered by the Commission.  In the first proceeding, the Commission approved </w:t>
      </w:r>
      <w:proofErr w:type="spellStart"/>
      <w:r w:rsidRPr="002915C6">
        <w:rPr>
          <w:sz w:val="26"/>
          <w:szCs w:val="26"/>
        </w:rPr>
        <w:t>Aqua’s</w:t>
      </w:r>
      <w:proofErr w:type="spellEnd"/>
      <w:r w:rsidRPr="002915C6">
        <w:rPr>
          <w:sz w:val="26"/>
          <w:szCs w:val="26"/>
        </w:rPr>
        <w:t xml:space="preserve"> Application to acquire the wastewater system assets of New Garden Township and New Garden Sewer Authority</w:t>
      </w:r>
      <w:r w:rsidR="00BD24E7" w:rsidRPr="002915C6">
        <w:rPr>
          <w:sz w:val="26"/>
          <w:szCs w:val="26"/>
        </w:rPr>
        <w:t xml:space="preserve"> (Aqua-New Garden proceeding)</w:t>
      </w:r>
      <w:r w:rsidRPr="002915C6">
        <w:rPr>
          <w:sz w:val="26"/>
          <w:szCs w:val="26"/>
        </w:rPr>
        <w:t xml:space="preserve">.  </w:t>
      </w:r>
      <w:r w:rsidR="00DB4FCC" w:rsidRPr="002915C6">
        <w:rPr>
          <w:i/>
          <w:sz w:val="26"/>
          <w:szCs w:val="26"/>
        </w:rPr>
        <w:t xml:space="preserve">See </w:t>
      </w:r>
      <w:r w:rsidRPr="002915C6">
        <w:rPr>
          <w:i/>
          <w:sz w:val="26"/>
          <w:szCs w:val="26"/>
        </w:rPr>
        <w:t>Application of Aqua Pennsylvania Wastewater, Inc. pursuant to Sections 1102 and 1329 of the Public Utility Code for Approval of its Acquisition of the Wastewater System Assets of New Garden Township and the New Garden Township Sewer Authority</w:t>
      </w:r>
      <w:r w:rsidR="00DB4FCC" w:rsidRPr="002915C6">
        <w:rPr>
          <w:sz w:val="26"/>
          <w:szCs w:val="26"/>
        </w:rPr>
        <w:t>, Docket No. A-2016-2580061 (Order entered June 29, 2017) (</w:t>
      </w:r>
      <w:r w:rsidR="00182BEF" w:rsidRPr="002915C6">
        <w:rPr>
          <w:i/>
          <w:sz w:val="26"/>
          <w:szCs w:val="26"/>
        </w:rPr>
        <w:t xml:space="preserve">Aqua - </w:t>
      </w:r>
      <w:r w:rsidR="00DB4FCC" w:rsidRPr="002915C6">
        <w:rPr>
          <w:i/>
          <w:sz w:val="26"/>
          <w:szCs w:val="26"/>
        </w:rPr>
        <w:t>New Garden Application Order</w:t>
      </w:r>
      <w:r w:rsidR="00DB4FCC" w:rsidRPr="002915C6">
        <w:rPr>
          <w:sz w:val="26"/>
          <w:szCs w:val="26"/>
        </w:rPr>
        <w:t xml:space="preserve">) and the </w:t>
      </w:r>
      <w:r w:rsidR="00FB514F" w:rsidRPr="002915C6">
        <w:rPr>
          <w:sz w:val="26"/>
          <w:szCs w:val="26"/>
        </w:rPr>
        <w:t xml:space="preserve">Order on </w:t>
      </w:r>
      <w:r w:rsidR="00DB4FCC" w:rsidRPr="002915C6">
        <w:rPr>
          <w:sz w:val="26"/>
          <w:szCs w:val="26"/>
        </w:rPr>
        <w:t xml:space="preserve">Reconsideration of the </w:t>
      </w:r>
      <w:r w:rsidR="00B133D7" w:rsidRPr="002915C6">
        <w:rPr>
          <w:i/>
          <w:sz w:val="26"/>
          <w:szCs w:val="26"/>
        </w:rPr>
        <w:t xml:space="preserve">Aqua - </w:t>
      </w:r>
      <w:r w:rsidR="00DB4FCC" w:rsidRPr="002915C6">
        <w:rPr>
          <w:i/>
          <w:sz w:val="26"/>
          <w:szCs w:val="26"/>
        </w:rPr>
        <w:t>New Garden Application Order</w:t>
      </w:r>
      <w:r w:rsidR="00DB4FCC" w:rsidRPr="002915C6">
        <w:rPr>
          <w:sz w:val="26"/>
          <w:szCs w:val="26"/>
        </w:rPr>
        <w:t>, Docket No. A-2016-2580061 (Order entered October 5, 2017) (</w:t>
      </w:r>
      <w:bookmarkStart w:id="6" w:name="_Hlk499647987"/>
      <w:r w:rsidR="00B133D7" w:rsidRPr="002915C6">
        <w:rPr>
          <w:i/>
          <w:sz w:val="26"/>
          <w:szCs w:val="26"/>
        </w:rPr>
        <w:t xml:space="preserve">Aqua - </w:t>
      </w:r>
      <w:r w:rsidR="00DB4FCC" w:rsidRPr="002915C6">
        <w:rPr>
          <w:i/>
          <w:sz w:val="26"/>
          <w:szCs w:val="26"/>
        </w:rPr>
        <w:t>New Garden Reconsideration Order</w:t>
      </w:r>
      <w:bookmarkEnd w:id="6"/>
      <w:r w:rsidR="00DB4FCC" w:rsidRPr="002915C6">
        <w:rPr>
          <w:sz w:val="26"/>
          <w:szCs w:val="26"/>
        </w:rPr>
        <w:t>).</w:t>
      </w:r>
      <w:r w:rsidR="00C30EC0">
        <w:rPr>
          <w:rStyle w:val="FootnoteReference"/>
          <w:sz w:val="26"/>
          <w:szCs w:val="26"/>
        </w:rPr>
        <w:footnoteReference w:id="3"/>
      </w:r>
    </w:p>
    <w:p w14:paraId="06A423AA" w14:textId="77777777" w:rsidR="00CE1DA8" w:rsidRDefault="00CE1DA8" w:rsidP="0012768D">
      <w:pPr>
        <w:widowControl/>
        <w:spacing w:after="200" w:line="276" w:lineRule="auto"/>
        <w:rPr>
          <w:rFonts w:eastAsiaTheme="majorEastAsia"/>
          <w:b/>
          <w:bCs/>
          <w:sz w:val="26"/>
          <w:szCs w:val="26"/>
        </w:rPr>
      </w:pPr>
      <w:r>
        <w:rPr>
          <w:rFonts w:eastAsiaTheme="majorEastAsia"/>
          <w:b/>
          <w:bCs/>
          <w:sz w:val="26"/>
          <w:szCs w:val="26"/>
        </w:rPr>
        <w:br w:type="page"/>
      </w:r>
    </w:p>
    <w:p w14:paraId="61F8D6BF" w14:textId="77777777" w:rsidR="00CA43A5" w:rsidRPr="002915C6" w:rsidRDefault="00682CBE" w:rsidP="0012768D">
      <w:pPr>
        <w:pStyle w:val="Heading1"/>
        <w:widowControl/>
        <w:spacing w:before="0" w:line="360" w:lineRule="auto"/>
        <w:jc w:val="center"/>
        <w:rPr>
          <w:rFonts w:ascii="Times New Roman" w:hAnsi="Times New Roman" w:cs="Times New Roman"/>
          <w:sz w:val="26"/>
          <w:szCs w:val="26"/>
        </w:rPr>
      </w:pPr>
      <w:bookmarkStart w:id="8" w:name="_Toc499121825"/>
      <w:r w:rsidRPr="002915C6">
        <w:rPr>
          <w:rFonts w:ascii="Times New Roman" w:hAnsi="Times New Roman" w:cs="Times New Roman"/>
          <w:color w:val="auto"/>
          <w:sz w:val="26"/>
          <w:szCs w:val="26"/>
        </w:rPr>
        <w:t>III.</w:t>
      </w:r>
      <w:r w:rsidR="00336444" w:rsidRPr="002915C6">
        <w:rPr>
          <w:rFonts w:ascii="Times New Roman" w:hAnsi="Times New Roman" w:cs="Times New Roman"/>
          <w:color w:val="auto"/>
          <w:sz w:val="26"/>
          <w:szCs w:val="26"/>
        </w:rPr>
        <w:tab/>
      </w:r>
      <w:r w:rsidRPr="002915C6">
        <w:rPr>
          <w:rFonts w:ascii="Times New Roman" w:hAnsi="Times New Roman" w:cs="Times New Roman"/>
          <w:color w:val="auto"/>
          <w:sz w:val="26"/>
          <w:szCs w:val="26"/>
        </w:rPr>
        <w:t>D</w:t>
      </w:r>
      <w:r w:rsidR="00135429" w:rsidRPr="002915C6">
        <w:rPr>
          <w:rFonts w:ascii="Times New Roman" w:hAnsi="Times New Roman" w:cs="Times New Roman"/>
          <w:color w:val="auto"/>
          <w:sz w:val="26"/>
          <w:szCs w:val="26"/>
        </w:rPr>
        <w:t>i</w:t>
      </w:r>
      <w:r w:rsidR="00CA43A5" w:rsidRPr="002915C6">
        <w:rPr>
          <w:rFonts w:ascii="Times New Roman" w:hAnsi="Times New Roman" w:cs="Times New Roman"/>
          <w:color w:val="auto"/>
          <w:sz w:val="26"/>
          <w:szCs w:val="26"/>
        </w:rPr>
        <w:t>scussion</w:t>
      </w:r>
      <w:bookmarkEnd w:id="8"/>
    </w:p>
    <w:p w14:paraId="22533AC0" w14:textId="77777777" w:rsidR="00B7074C" w:rsidRPr="002915C6" w:rsidRDefault="00B7074C" w:rsidP="0012768D">
      <w:pPr>
        <w:pStyle w:val="Heading2"/>
        <w:widowControl/>
        <w:spacing w:before="0" w:line="360" w:lineRule="auto"/>
        <w:rPr>
          <w:rFonts w:ascii="Times New Roman" w:hAnsi="Times New Roman" w:cs="Times New Roman"/>
          <w:color w:val="auto"/>
        </w:rPr>
      </w:pPr>
    </w:p>
    <w:p w14:paraId="6E0197A9" w14:textId="77777777" w:rsidR="00A27BD8" w:rsidRPr="002915C6" w:rsidRDefault="00212860" w:rsidP="0012768D">
      <w:pPr>
        <w:pStyle w:val="Heading2"/>
        <w:widowControl/>
        <w:spacing w:before="0" w:line="360" w:lineRule="auto"/>
        <w:rPr>
          <w:rFonts w:ascii="Times New Roman" w:hAnsi="Times New Roman" w:cs="Times New Roman"/>
          <w:color w:val="auto"/>
        </w:rPr>
      </w:pPr>
      <w:bookmarkStart w:id="9" w:name="_Toc499121826"/>
      <w:r w:rsidRPr="002915C6">
        <w:rPr>
          <w:rFonts w:ascii="Times New Roman" w:hAnsi="Times New Roman" w:cs="Times New Roman"/>
          <w:color w:val="auto"/>
        </w:rPr>
        <w:t xml:space="preserve">A. </w:t>
      </w:r>
      <w:r w:rsidR="0088191A" w:rsidRPr="002915C6">
        <w:rPr>
          <w:rFonts w:ascii="Times New Roman" w:hAnsi="Times New Roman" w:cs="Times New Roman"/>
          <w:color w:val="auto"/>
        </w:rPr>
        <w:tab/>
      </w:r>
      <w:r w:rsidR="00A27BD8" w:rsidRPr="002915C6">
        <w:rPr>
          <w:rFonts w:ascii="Times New Roman" w:hAnsi="Times New Roman" w:cs="Times New Roman"/>
          <w:color w:val="auto"/>
        </w:rPr>
        <w:t>Legal Standards</w:t>
      </w:r>
      <w:bookmarkEnd w:id="9"/>
      <w:r w:rsidR="00A27BD8" w:rsidRPr="002915C6">
        <w:rPr>
          <w:rFonts w:ascii="Times New Roman" w:hAnsi="Times New Roman" w:cs="Times New Roman"/>
          <w:color w:val="auto"/>
        </w:rPr>
        <w:t xml:space="preserve"> </w:t>
      </w:r>
    </w:p>
    <w:p w14:paraId="4E242C46" w14:textId="77777777" w:rsidR="00B967AF" w:rsidRPr="002915C6" w:rsidRDefault="00B967AF" w:rsidP="0012768D">
      <w:pPr>
        <w:keepNext/>
        <w:keepLines/>
        <w:widowControl/>
        <w:spacing w:line="360" w:lineRule="auto"/>
        <w:rPr>
          <w:b/>
          <w:sz w:val="26"/>
          <w:szCs w:val="26"/>
        </w:rPr>
      </w:pPr>
    </w:p>
    <w:p w14:paraId="5CC35943" w14:textId="77777777" w:rsidR="00E7784C" w:rsidRPr="002915C6" w:rsidRDefault="00E7784C" w:rsidP="0012768D">
      <w:pPr>
        <w:widowControl/>
        <w:spacing w:line="360" w:lineRule="auto"/>
        <w:ind w:firstLine="1440"/>
        <w:contextualSpacing/>
        <w:rPr>
          <w:sz w:val="26"/>
          <w:szCs w:val="26"/>
        </w:rPr>
      </w:pPr>
      <w:r w:rsidRPr="002915C6">
        <w:rPr>
          <w:sz w:val="26"/>
          <w:szCs w:val="26"/>
        </w:rPr>
        <w:t>As the proponent of a rule or order in this proceeding, Aqua has the burden of proof to establish that it is entitled to the relief it is</w:t>
      </w:r>
      <w:r w:rsidR="00E8431A" w:rsidRPr="002915C6">
        <w:rPr>
          <w:sz w:val="26"/>
          <w:szCs w:val="26"/>
        </w:rPr>
        <w:t xml:space="preserve"> seeking.  </w:t>
      </w:r>
      <w:r w:rsidRPr="002915C6">
        <w:rPr>
          <w:sz w:val="26"/>
          <w:szCs w:val="26"/>
        </w:rPr>
        <w:t xml:space="preserve">66 Pa. C.S. § 332(a).  The Applicant must establish its case by a preponderance of the evidence.  </w:t>
      </w:r>
      <w:r w:rsidRPr="002915C6">
        <w:rPr>
          <w:i/>
          <w:iCs/>
          <w:sz w:val="26"/>
          <w:szCs w:val="26"/>
        </w:rPr>
        <w:t xml:space="preserve">Samuel J. </w:t>
      </w:r>
      <w:proofErr w:type="spellStart"/>
      <w:r w:rsidRPr="002915C6">
        <w:rPr>
          <w:i/>
          <w:iCs/>
          <w:sz w:val="26"/>
          <w:szCs w:val="26"/>
        </w:rPr>
        <w:t>Lansberry</w:t>
      </w:r>
      <w:proofErr w:type="spellEnd"/>
      <w:r w:rsidRPr="002915C6">
        <w:rPr>
          <w:i/>
          <w:iCs/>
          <w:sz w:val="26"/>
          <w:szCs w:val="26"/>
        </w:rPr>
        <w:t>, Inc. v. Pa. PUC</w:t>
      </w:r>
      <w:r w:rsidRPr="002915C6">
        <w:rPr>
          <w:sz w:val="26"/>
          <w:szCs w:val="26"/>
        </w:rPr>
        <w:t xml:space="preserve">, 578 A.2d 600 (Pa. </w:t>
      </w:r>
      <w:proofErr w:type="spellStart"/>
      <w:r w:rsidRPr="002915C6">
        <w:rPr>
          <w:sz w:val="26"/>
          <w:szCs w:val="26"/>
        </w:rPr>
        <w:t>Cmwlth</w:t>
      </w:r>
      <w:proofErr w:type="spellEnd"/>
      <w:r w:rsidRPr="002915C6">
        <w:rPr>
          <w:sz w:val="26"/>
          <w:szCs w:val="26"/>
        </w:rPr>
        <w:t xml:space="preserve">. 1990), </w:t>
      </w:r>
      <w:proofErr w:type="spellStart"/>
      <w:r w:rsidRPr="002915C6">
        <w:rPr>
          <w:i/>
          <w:sz w:val="26"/>
          <w:szCs w:val="26"/>
        </w:rPr>
        <w:t>alloc</w:t>
      </w:r>
      <w:proofErr w:type="spellEnd"/>
      <w:r w:rsidRPr="002915C6">
        <w:rPr>
          <w:i/>
          <w:sz w:val="26"/>
          <w:szCs w:val="26"/>
        </w:rPr>
        <w:t>. denied,</w:t>
      </w:r>
      <w:r w:rsidRPr="002915C6">
        <w:rPr>
          <w:sz w:val="26"/>
          <w:szCs w:val="26"/>
        </w:rPr>
        <w:t xml:space="preserve"> 529 Pa. 654, 602 A.2d 863 (1992).  That is, the Applicant’s evidence must be more convincing, by even the smallest amount, than that presented by any opposing party.  </w:t>
      </w:r>
      <w:r w:rsidRPr="002915C6">
        <w:rPr>
          <w:i/>
          <w:sz w:val="26"/>
          <w:szCs w:val="26"/>
        </w:rPr>
        <w:t>Se-Ling Hosiery, Inc. v. Margulies</w:t>
      </w:r>
      <w:r w:rsidRPr="002915C6">
        <w:rPr>
          <w:sz w:val="26"/>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2915C6">
        <w:rPr>
          <w:i/>
          <w:sz w:val="26"/>
          <w:szCs w:val="26"/>
        </w:rPr>
        <w:t xml:space="preserve">Norfolk &amp; Western Ry. Co. v. Pa. PUC, </w:t>
      </w:r>
      <w:r w:rsidRPr="002915C6">
        <w:rPr>
          <w:sz w:val="26"/>
          <w:szCs w:val="26"/>
        </w:rPr>
        <w:t>489 Pa. 109, 413 A.2d 1037 (1980).</w:t>
      </w:r>
    </w:p>
    <w:p w14:paraId="4D444564" w14:textId="77777777" w:rsidR="00E7784C" w:rsidRPr="002915C6" w:rsidRDefault="00E7784C" w:rsidP="0012768D">
      <w:pPr>
        <w:widowControl/>
        <w:spacing w:line="360" w:lineRule="auto"/>
        <w:ind w:firstLine="1440"/>
        <w:contextualSpacing/>
        <w:rPr>
          <w:sz w:val="26"/>
          <w:szCs w:val="26"/>
        </w:rPr>
      </w:pPr>
    </w:p>
    <w:p w14:paraId="4F26F64D" w14:textId="77777777" w:rsidR="00E7784C" w:rsidRPr="002915C6" w:rsidRDefault="00E7784C" w:rsidP="0012768D">
      <w:pPr>
        <w:widowControl/>
        <w:spacing w:line="360" w:lineRule="auto"/>
        <w:ind w:firstLine="1440"/>
        <w:contextualSpacing/>
        <w:rPr>
          <w:sz w:val="26"/>
          <w:szCs w:val="26"/>
        </w:rPr>
      </w:pPr>
      <w:r w:rsidRPr="002915C6">
        <w:rPr>
          <w:sz w:val="26"/>
          <w:szCs w:val="26"/>
        </w:rPr>
        <w:t xml:space="preserve">In this case, the Applicant requests approval of: (1) the acquisition, by Aqua, of the wastewater system assets of the Township; (2) the right of Aqua to begin to offer, render, furnish and supply wastewater service to the public in portions of </w:t>
      </w:r>
      <w:r w:rsidR="005E0CB7" w:rsidRPr="002915C6">
        <w:rPr>
          <w:sz w:val="26"/>
          <w:szCs w:val="26"/>
        </w:rPr>
        <w:t>the Township</w:t>
      </w:r>
      <w:r w:rsidRPr="002915C6">
        <w:rPr>
          <w:sz w:val="26"/>
          <w:szCs w:val="26"/>
        </w:rPr>
        <w:t>; and (3)</w:t>
      </w:r>
      <w:r w:rsidR="00302701" w:rsidRPr="002915C6">
        <w:rPr>
          <w:sz w:val="26"/>
          <w:szCs w:val="26"/>
        </w:rPr>
        <w:t> </w:t>
      </w:r>
      <w:r w:rsidRPr="002915C6">
        <w:rPr>
          <w:sz w:val="26"/>
          <w:szCs w:val="26"/>
        </w:rPr>
        <w:t xml:space="preserve">an order approving the acquisition that includes the ratemaking rate base of the </w:t>
      </w:r>
      <w:r w:rsidR="005E0CB7" w:rsidRPr="002915C6">
        <w:rPr>
          <w:sz w:val="26"/>
          <w:szCs w:val="26"/>
        </w:rPr>
        <w:t>Township’s</w:t>
      </w:r>
      <w:r w:rsidRPr="002915C6">
        <w:rPr>
          <w:sz w:val="26"/>
          <w:szCs w:val="26"/>
        </w:rPr>
        <w:t xml:space="preserve"> wastewater system assets pursuant to Section 1329(c)(2) of the Code, 66 Pa. C.S. § 1329(c)(2). </w:t>
      </w:r>
      <w:r w:rsidR="000B61A9" w:rsidRPr="002915C6">
        <w:rPr>
          <w:sz w:val="26"/>
          <w:szCs w:val="26"/>
        </w:rPr>
        <w:t xml:space="preserve"> </w:t>
      </w:r>
      <w:r w:rsidRPr="002915C6">
        <w:rPr>
          <w:sz w:val="26"/>
          <w:szCs w:val="26"/>
        </w:rPr>
        <w:t>Accordingly, Aqua has the burden of proving it satisfies the requirements of the Code, particularly Sections 1102 and 1103 of the Code, 66 Pa. C.S.</w:t>
      </w:r>
      <w:r w:rsidR="006B5974">
        <w:rPr>
          <w:sz w:val="26"/>
          <w:szCs w:val="26"/>
        </w:rPr>
        <w:t> </w:t>
      </w:r>
      <w:r w:rsidRPr="002915C6">
        <w:rPr>
          <w:sz w:val="26"/>
          <w:szCs w:val="26"/>
        </w:rPr>
        <w:t>§§</w:t>
      </w:r>
      <w:r w:rsidR="006B5974">
        <w:rPr>
          <w:sz w:val="26"/>
          <w:szCs w:val="26"/>
        </w:rPr>
        <w:t> </w:t>
      </w:r>
      <w:r w:rsidRPr="002915C6">
        <w:rPr>
          <w:sz w:val="26"/>
          <w:szCs w:val="26"/>
        </w:rPr>
        <w:t>1102 and 1103.  Section 1102(a) provides that the Commission must issue a Certificate as a legal prerequisite to a public utility offering service or abandoning service and certain property transfers by public utilities.  The Code provides the</w:t>
      </w:r>
      <w:r w:rsidR="00302701" w:rsidRPr="002915C6">
        <w:rPr>
          <w:sz w:val="26"/>
          <w:szCs w:val="26"/>
        </w:rPr>
        <w:t xml:space="preserve"> following, in pertinent part:</w:t>
      </w:r>
    </w:p>
    <w:p w14:paraId="24C3D42C" w14:textId="77777777" w:rsidR="00E7784C" w:rsidRPr="002915C6" w:rsidRDefault="00E7784C" w:rsidP="0012768D">
      <w:pPr>
        <w:widowControl/>
        <w:spacing w:line="360" w:lineRule="auto"/>
        <w:ind w:firstLine="1440"/>
        <w:contextualSpacing/>
        <w:rPr>
          <w:sz w:val="26"/>
          <w:szCs w:val="26"/>
        </w:rPr>
      </w:pPr>
    </w:p>
    <w:p w14:paraId="07AF5A8E" w14:textId="77777777" w:rsidR="00E7784C" w:rsidRPr="002915C6" w:rsidRDefault="00E7784C" w:rsidP="0012768D">
      <w:pPr>
        <w:widowControl/>
        <w:ind w:left="1440" w:right="1440"/>
        <w:contextualSpacing/>
        <w:rPr>
          <w:sz w:val="26"/>
          <w:szCs w:val="26"/>
        </w:rPr>
      </w:pPr>
      <w:r w:rsidRPr="002915C6">
        <w:rPr>
          <w:sz w:val="26"/>
          <w:szCs w:val="26"/>
        </w:rPr>
        <w:t>Upon the application of any public utility and the approval of such application by the commission, evidenced by its certificate of public convenience first had and obtained, and upon compliance with existing laws, it shall be lawful:</w:t>
      </w:r>
    </w:p>
    <w:p w14:paraId="6D31A065" w14:textId="77777777" w:rsidR="00302701" w:rsidRPr="002915C6" w:rsidRDefault="00302701" w:rsidP="0012768D">
      <w:pPr>
        <w:widowControl/>
        <w:ind w:left="1440" w:right="1440"/>
        <w:contextualSpacing/>
        <w:rPr>
          <w:sz w:val="26"/>
          <w:szCs w:val="26"/>
        </w:rPr>
      </w:pPr>
    </w:p>
    <w:p w14:paraId="23E34658" w14:textId="77777777" w:rsidR="00E7784C" w:rsidRPr="002915C6" w:rsidRDefault="00E7784C" w:rsidP="0012768D">
      <w:pPr>
        <w:widowControl/>
        <w:contextualSpacing/>
        <w:jc w:val="center"/>
        <w:rPr>
          <w:sz w:val="26"/>
          <w:szCs w:val="26"/>
        </w:rPr>
      </w:pPr>
      <w:r w:rsidRPr="002915C6">
        <w:rPr>
          <w:sz w:val="26"/>
          <w:szCs w:val="26"/>
        </w:rPr>
        <w:t>* * *</w:t>
      </w:r>
    </w:p>
    <w:p w14:paraId="610E56FD" w14:textId="77777777" w:rsidR="00302701" w:rsidRPr="002915C6" w:rsidRDefault="00302701" w:rsidP="0012768D">
      <w:pPr>
        <w:widowControl/>
        <w:spacing w:after="120"/>
        <w:ind w:left="1440" w:right="1440"/>
        <w:contextualSpacing/>
        <w:rPr>
          <w:sz w:val="26"/>
          <w:szCs w:val="26"/>
        </w:rPr>
      </w:pPr>
    </w:p>
    <w:p w14:paraId="7E2C0A83" w14:textId="77777777" w:rsidR="00E7784C" w:rsidRPr="002915C6" w:rsidRDefault="00E7784C" w:rsidP="0012768D">
      <w:pPr>
        <w:widowControl/>
        <w:spacing w:after="120"/>
        <w:ind w:left="1440" w:right="1440"/>
        <w:contextualSpacing/>
        <w:rPr>
          <w:sz w:val="26"/>
          <w:szCs w:val="26"/>
        </w:rPr>
      </w:pPr>
      <w:r w:rsidRPr="002915C6">
        <w:rPr>
          <w:sz w:val="26"/>
          <w:szCs w:val="26"/>
        </w:rPr>
        <w:t xml:space="preserve">(3)  For any public utility </w:t>
      </w:r>
      <w:r w:rsidR="00302701" w:rsidRPr="002915C6">
        <w:rPr>
          <w:sz w:val="26"/>
          <w:szCs w:val="26"/>
        </w:rPr>
        <w:t xml:space="preserve">. . . </w:t>
      </w:r>
      <w:r w:rsidRPr="002915C6">
        <w:rPr>
          <w:sz w:val="26"/>
          <w:szCs w:val="26"/>
        </w:rPr>
        <w:t>to acquire from, or to transfer to, any person or corporation, including a municipal corporation, by any method or device whatsoever, including the sale or transfer of stock and including a consolidation, merger, sale or lease, the title to, or the possession or use of, any tangible or intangible property used or useful in the public service.</w:t>
      </w:r>
    </w:p>
    <w:p w14:paraId="7A9C454A" w14:textId="77777777" w:rsidR="00302701" w:rsidRPr="002915C6" w:rsidRDefault="00302701" w:rsidP="0012768D">
      <w:pPr>
        <w:widowControl/>
        <w:spacing w:after="120"/>
        <w:ind w:left="1440" w:right="1440"/>
        <w:contextualSpacing/>
        <w:rPr>
          <w:sz w:val="26"/>
          <w:szCs w:val="26"/>
        </w:rPr>
      </w:pPr>
    </w:p>
    <w:p w14:paraId="581B11E8" w14:textId="77777777" w:rsidR="00302701" w:rsidRPr="002915C6" w:rsidRDefault="00302701" w:rsidP="0012768D">
      <w:pPr>
        <w:widowControl/>
        <w:spacing w:after="120"/>
        <w:ind w:left="1440" w:right="1440"/>
        <w:contextualSpacing/>
        <w:rPr>
          <w:b/>
          <w:sz w:val="26"/>
          <w:szCs w:val="26"/>
        </w:rPr>
      </w:pPr>
    </w:p>
    <w:p w14:paraId="218ACC06" w14:textId="77777777" w:rsidR="00E7784C" w:rsidRPr="002915C6" w:rsidRDefault="00E7784C" w:rsidP="0012768D">
      <w:pPr>
        <w:widowControl/>
        <w:spacing w:line="360" w:lineRule="auto"/>
        <w:contextualSpacing/>
        <w:rPr>
          <w:sz w:val="26"/>
          <w:szCs w:val="26"/>
        </w:rPr>
      </w:pPr>
      <w:r w:rsidRPr="002915C6">
        <w:rPr>
          <w:sz w:val="26"/>
          <w:szCs w:val="26"/>
        </w:rPr>
        <w:t xml:space="preserve">66 Pa. C.S. § 1102(a)(3).  </w:t>
      </w:r>
    </w:p>
    <w:p w14:paraId="64C1B461" w14:textId="77777777" w:rsidR="00E7784C" w:rsidRPr="002915C6" w:rsidRDefault="00E7784C" w:rsidP="0012768D">
      <w:pPr>
        <w:widowControl/>
        <w:spacing w:line="360" w:lineRule="auto"/>
        <w:contextualSpacing/>
        <w:rPr>
          <w:b/>
          <w:sz w:val="26"/>
          <w:szCs w:val="26"/>
        </w:rPr>
      </w:pPr>
    </w:p>
    <w:p w14:paraId="7631E1E6" w14:textId="77777777" w:rsidR="00E7784C" w:rsidRPr="002915C6" w:rsidRDefault="00E7784C" w:rsidP="0012768D">
      <w:pPr>
        <w:widowControl/>
        <w:spacing w:line="360" w:lineRule="auto"/>
        <w:contextualSpacing/>
        <w:rPr>
          <w:sz w:val="26"/>
          <w:szCs w:val="26"/>
          <w:lang w:val="en"/>
        </w:rPr>
      </w:pPr>
      <w:r w:rsidRPr="002915C6">
        <w:rPr>
          <w:b/>
          <w:sz w:val="26"/>
          <w:szCs w:val="26"/>
        </w:rPr>
        <w:tab/>
      </w:r>
      <w:r w:rsidRPr="002915C6">
        <w:rPr>
          <w:b/>
          <w:sz w:val="26"/>
          <w:szCs w:val="26"/>
        </w:rPr>
        <w:tab/>
      </w:r>
      <w:r w:rsidRPr="002915C6">
        <w:rPr>
          <w:sz w:val="26"/>
          <w:szCs w:val="26"/>
        </w:rPr>
        <w:t>The Commission will only grant a Certificate</w:t>
      </w:r>
      <w:r w:rsidRPr="002915C6">
        <w:rPr>
          <w:b/>
          <w:sz w:val="26"/>
          <w:szCs w:val="26"/>
        </w:rPr>
        <w:t xml:space="preserve"> </w:t>
      </w:r>
      <w:r w:rsidRPr="002915C6">
        <w:rPr>
          <w:sz w:val="26"/>
          <w:szCs w:val="26"/>
          <w:lang w:val="en"/>
        </w:rPr>
        <w:t>“if the Commission shall find or determine that the granting of such certificate is necessary or proper for the service, accommodation, convenience or safety of the public.”  To ensure that a transaction is in the public interest, the Commission may impose conditions in granting a Certificate that it deems to be just and reasonable.  66 Pa. C.S. § 1103(a).</w:t>
      </w:r>
    </w:p>
    <w:p w14:paraId="72B42DA3" w14:textId="77777777" w:rsidR="00E7784C" w:rsidRPr="002915C6" w:rsidRDefault="00E7784C" w:rsidP="0012768D">
      <w:pPr>
        <w:widowControl/>
        <w:spacing w:line="360" w:lineRule="auto"/>
        <w:contextualSpacing/>
        <w:rPr>
          <w:sz w:val="26"/>
          <w:szCs w:val="26"/>
          <w:lang w:val="en"/>
        </w:rPr>
      </w:pPr>
    </w:p>
    <w:p w14:paraId="0547B470" w14:textId="77777777" w:rsidR="00E7784C" w:rsidRPr="002915C6" w:rsidRDefault="00E7784C" w:rsidP="0012768D">
      <w:pPr>
        <w:widowControl/>
        <w:spacing w:line="360" w:lineRule="auto"/>
        <w:contextualSpacing/>
        <w:rPr>
          <w:sz w:val="26"/>
          <w:szCs w:val="26"/>
          <w:lang w:val="en"/>
        </w:rPr>
      </w:pPr>
      <w:r w:rsidRPr="002915C6">
        <w:rPr>
          <w:sz w:val="26"/>
          <w:szCs w:val="26"/>
          <w:lang w:val="en"/>
        </w:rPr>
        <w:tab/>
      </w:r>
      <w:r w:rsidRPr="002915C6">
        <w:rPr>
          <w:sz w:val="26"/>
          <w:szCs w:val="26"/>
          <w:lang w:val="en"/>
        </w:rPr>
        <w:tab/>
        <w:t xml:space="preserve">In order for the Commission to approve the proposed transaction under Sections 1102 and 1103 of the Code, the Applicant must demonstrate that the proposed acquisition will “affirmatively promote the ‘service, accommodation, convenience, or safety of the public’ in some substantial way.”  </w:t>
      </w:r>
      <w:r w:rsidRPr="002915C6">
        <w:rPr>
          <w:i/>
          <w:sz w:val="26"/>
          <w:szCs w:val="26"/>
          <w:lang w:val="en"/>
        </w:rPr>
        <w:t>City of York v. Pa. PUC</w:t>
      </w:r>
      <w:r w:rsidRPr="002915C6">
        <w:rPr>
          <w:sz w:val="26"/>
          <w:szCs w:val="26"/>
          <w:lang w:val="en"/>
        </w:rPr>
        <w:t>, 449 Pa. 136, 141, 295 A.2d 825, 828 (1972) (</w:t>
      </w:r>
      <w:r w:rsidRPr="002915C6">
        <w:rPr>
          <w:i/>
          <w:sz w:val="26"/>
          <w:szCs w:val="26"/>
          <w:lang w:val="en"/>
        </w:rPr>
        <w:t>City of York</w:t>
      </w:r>
      <w:r w:rsidRPr="002915C6">
        <w:rPr>
          <w:sz w:val="26"/>
          <w:szCs w:val="26"/>
          <w:lang w:val="en"/>
        </w:rPr>
        <w:t xml:space="preserve">).  The Pennsylvania Supreme Court explained the </w:t>
      </w:r>
      <w:r w:rsidRPr="002915C6">
        <w:rPr>
          <w:i/>
          <w:sz w:val="26"/>
          <w:szCs w:val="26"/>
          <w:lang w:val="en"/>
        </w:rPr>
        <w:t>City of York</w:t>
      </w:r>
      <w:r w:rsidRPr="002915C6">
        <w:rPr>
          <w:sz w:val="26"/>
          <w:szCs w:val="26"/>
          <w:lang w:val="en"/>
        </w:rPr>
        <w:t xml:space="preserve"> standard as follows: </w:t>
      </w:r>
    </w:p>
    <w:p w14:paraId="2AE1E7A8" w14:textId="77777777" w:rsidR="00E7784C" w:rsidRPr="002915C6" w:rsidRDefault="00E7784C" w:rsidP="0012768D">
      <w:pPr>
        <w:widowControl/>
        <w:contextualSpacing/>
        <w:rPr>
          <w:sz w:val="26"/>
          <w:szCs w:val="26"/>
        </w:rPr>
      </w:pPr>
    </w:p>
    <w:p w14:paraId="3780EFFF" w14:textId="77777777" w:rsidR="00E7784C" w:rsidRPr="00BE5FF4" w:rsidRDefault="00E7784C" w:rsidP="0012768D">
      <w:pPr>
        <w:widowControl/>
        <w:ind w:left="1440" w:right="1440"/>
        <w:contextualSpacing/>
        <w:rPr>
          <w:sz w:val="26"/>
        </w:rPr>
      </w:pPr>
      <w:r w:rsidRPr="002915C6">
        <w:rPr>
          <w:sz w:val="26"/>
          <w:szCs w:val="26"/>
        </w:rPr>
        <w:t>[T]he appropriate legal framework requires a reviewing court to determine whether substantial evidence supports the Commission’s finding that a merger will affirmatively promote the service, accommodation, convenience, or safety of the public in some substantial way.  In conducting the underlying inquiry, the Commission is not required to secure legally binding commitments or to quantify benefits where this may be impractical, burdensome, or impossible; rather, the PUC properly applies a preponderance of the evidence standard to make factually-based determinations (including predictive ones informed by expert judgment) concerning certification matters.</w:t>
      </w:r>
    </w:p>
    <w:p w14:paraId="6883ECEA" w14:textId="77777777" w:rsidR="007A32BA" w:rsidRPr="002915C6" w:rsidRDefault="007A32BA" w:rsidP="0012768D">
      <w:pPr>
        <w:widowControl/>
        <w:ind w:left="1440" w:right="1440"/>
        <w:contextualSpacing/>
        <w:rPr>
          <w:sz w:val="26"/>
          <w:szCs w:val="26"/>
          <w:lang w:val="en"/>
        </w:rPr>
      </w:pPr>
    </w:p>
    <w:p w14:paraId="2824C0B3" w14:textId="77777777" w:rsidR="00E7784C" w:rsidRPr="002915C6" w:rsidRDefault="00E7784C" w:rsidP="0012768D">
      <w:pPr>
        <w:widowControl/>
        <w:ind w:left="1440" w:right="1440"/>
        <w:contextualSpacing/>
        <w:rPr>
          <w:sz w:val="26"/>
          <w:szCs w:val="26"/>
          <w:lang w:val="en"/>
        </w:rPr>
      </w:pPr>
    </w:p>
    <w:p w14:paraId="250157E3" w14:textId="77777777" w:rsidR="00E7784C" w:rsidRPr="002915C6" w:rsidRDefault="00E7784C" w:rsidP="00BE5FF4">
      <w:pPr>
        <w:widowControl/>
        <w:ind w:right="1440"/>
        <w:contextualSpacing/>
        <w:rPr>
          <w:sz w:val="26"/>
          <w:szCs w:val="26"/>
          <w:lang w:val="en"/>
        </w:rPr>
      </w:pPr>
      <w:proofErr w:type="spellStart"/>
      <w:r w:rsidRPr="002915C6">
        <w:rPr>
          <w:i/>
          <w:sz w:val="26"/>
          <w:szCs w:val="26"/>
          <w:lang w:val="en"/>
        </w:rPr>
        <w:t>Popowsky</w:t>
      </w:r>
      <w:proofErr w:type="spellEnd"/>
      <w:r w:rsidRPr="002915C6">
        <w:rPr>
          <w:i/>
          <w:sz w:val="26"/>
          <w:szCs w:val="26"/>
          <w:lang w:val="en"/>
        </w:rPr>
        <w:t xml:space="preserve"> v. Pa. PUC</w:t>
      </w:r>
      <w:r w:rsidRPr="002915C6">
        <w:rPr>
          <w:sz w:val="26"/>
          <w:szCs w:val="26"/>
          <w:lang w:val="en"/>
        </w:rPr>
        <w:t>, 594 Pa. 583, 611, 937 A.2d 1040, 1057 (2007) (</w:t>
      </w:r>
      <w:proofErr w:type="spellStart"/>
      <w:r w:rsidRPr="002915C6">
        <w:rPr>
          <w:i/>
          <w:sz w:val="26"/>
          <w:szCs w:val="26"/>
          <w:lang w:val="en"/>
        </w:rPr>
        <w:t>Popowsky</w:t>
      </w:r>
      <w:proofErr w:type="spellEnd"/>
      <w:r w:rsidRPr="002915C6">
        <w:rPr>
          <w:sz w:val="26"/>
          <w:szCs w:val="26"/>
          <w:lang w:val="en"/>
        </w:rPr>
        <w:t>).</w:t>
      </w:r>
    </w:p>
    <w:p w14:paraId="3F957688" w14:textId="77777777" w:rsidR="00E7784C" w:rsidRPr="002915C6" w:rsidRDefault="00E7784C" w:rsidP="0012768D">
      <w:pPr>
        <w:widowControl/>
        <w:spacing w:line="360" w:lineRule="auto"/>
        <w:contextualSpacing/>
        <w:rPr>
          <w:sz w:val="26"/>
          <w:szCs w:val="26"/>
          <w:lang w:val="en"/>
        </w:rPr>
      </w:pPr>
    </w:p>
    <w:p w14:paraId="63F11BCA" w14:textId="77777777" w:rsidR="00E7784C" w:rsidRPr="002915C6" w:rsidRDefault="00E7784C" w:rsidP="0012768D">
      <w:pPr>
        <w:widowControl/>
        <w:spacing w:line="360" w:lineRule="auto"/>
        <w:contextualSpacing/>
        <w:rPr>
          <w:sz w:val="26"/>
          <w:szCs w:val="26"/>
          <w:lang w:val="en"/>
        </w:rPr>
      </w:pPr>
      <w:r w:rsidRPr="002915C6">
        <w:rPr>
          <w:sz w:val="26"/>
          <w:szCs w:val="26"/>
          <w:lang w:val="en"/>
        </w:rPr>
        <w:tab/>
      </w:r>
      <w:r w:rsidRPr="002915C6">
        <w:rPr>
          <w:sz w:val="26"/>
          <w:szCs w:val="26"/>
          <w:lang w:val="en"/>
        </w:rPr>
        <w:tab/>
        <w:t xml:space="preserve">Additionally, pursuant to Section 1103 of the Code, the Applicant must show that </w:t>
      </w:r>
      <w:r w:rsidR="00800418" w:rsidRPr="002915C6">
        <w:rPr>
          <w:sz w:val="26"/>
          <w:szCs w:val="26"/>
          <w:lang w:val="en"/>
        </w:rPr>
        <w:t xml:space="preserve">it is </w:t>
      </w:r>
      <w:r w:rsidRPr="002915C6">
        <w:rPr>
          <w:sz w:val="26"/>
          <w:szCs w:val="26"/>
          <w:lang w:val="en"/>
        </w:rPr>
        <w:t>technically, legally, and financially fit to own and operate the</w:t>
      </w:r>
      <w:r w:rsidR="002529D1" w:rsidRPr="002915C6">
        <w:rPr>
          <w:sz w:val="26"/>
          <w:szCs w:val="26"/>
          <w:lang w:val="en"/>
        </w:rPr>
        <w:t xml:space="preserve"> assets it will acquire from New Garden</w:t>
      </w:r>
      <w:r w:rsidRPr="002915C6">
        <w:rPr>
          <w:sz w:val="26"/>
          <w:szCs w:val="26"/>
          <w:lang w:val="en"/>
        </w:rPr>
        <w:t xml:space="preserve">.  </w:t>
      </w:r>
      <w:r w:rsidRPr="002915C6">
        <w:rPr>
          <w:i/>
          <w:sz w:val="26"/>
          <w:szCs w:val="26"/>
          <w:lang w:val="en"/>
        </w:rPr>
        <w:t>Seaboard Tank Lines v. Pa. PUC</w:t>
      </w:r>
      <w:r w:rsidR="00B133D7" w:rsidRPr="002915C6">
        <w:rPr>
          <w:sz w:val="26"/>
          <w:szCs w:val="26"/>
          <w:lang w:val="en"/>
        </w:rPr>
        <w:t>, 502 A.</w:t>
      </w:r>
      <w:r w:rsidRPr="002915C6">
        <w:rPr>
          <w:sz w:val="26"/>
          <w:szCs w:val="26"/>
          <w:lang w:val="en"/>
        </w:rPr>
        <w:t xml:space="preserve">2d 762, 764 (Pa. </w:t>
      </w:r>
      <w:proofErr w:type="spellStart"/>
      <w:r w:rsidRPr="002915C6">
        <w:rPr>
          <w:sz w:val="26"/>
          <w:szCs w:val="26"/>
          <w:lang w:val="en"/>
        </w:rPr>
        <w:t>Cmwlth</w:t>
      </w:r>
      <w:proofErr w:type="spellEnd"/>
      <w:r w:rsidRPr="002915C6">
        <w:rPr>
          <w:sz w:val="26"/>
          <w:szCs w:val="26"/>
          <w:lang w:val="en"/>
        </w:rPr>
        <w:t xml:space="preserve">. 1985); </w:t>
      </w:r>
      <w:r w:rsidRPr="002915C6">
        <w:rPr>
          <w:i/>
          <w:sz w:val="26"/>
          <w:szCs w:val="26"/>
          <w:lang w:val="en"/>
        </w:rPr>
        <w:t xml:space="preserve">Warminster Twp. </w:t>
      </w:r>
      <w:proofErr w:type="spellStart"/>
      <w:r w:rsidRPr="002915C6">
        <w:rPr>
          <w:i/>
          <w:sz w:val="26"/>
          <w:szCs w:val="26"/>
          <w:lang w:val="en"/>
        </w:rPr>
        <w:t>Mun</w:t>
      </w:r>
      <w:proofErr w:type="spellEnd"/>
      <w:r w:rsidRPr="002915C6">
        <w:rPr>
          <w:i/>
          <w:sz w:val="26"/>
          <w:szCs w:val="26"/>
          <w:lang w:val="en"/>
        </w:rPr>
        <w:t>. Auth. v. Pa. PUC</w:t>
      </w:r>
      <w:r w:rsidRPr="002915C6">
        <w:rPr>
          <w:sz w:val="26"/>
          <w:szCs w:val="26"/>
          <w:lang w:val="en"/>
        </w:rPr>
        <w:t xml:space="preserve">, 138 A.2d 240, 243 (Pa. Super. 1958).  As a certificated public utility, there is a rebuttable presumption that </w:t>
      </w:r>
      <w:r w:rsidR="00800418" w:rsidRPr="002915C6">
        <w:rPr>
          <w:sz w:val="26"/>
          <w:szCs w:val="26"/>
          <w:lang w:val="en"/>
        </w:rPr>
        <w:t>Aqua</w:t>
      </w:r>
      <w:r w:rsidRPr="002915C6">
        <w:rPr>
          <w:sz w:val="26"/>
          <w:szCs w:val="26"/>
          <w:lang w:val="en"/>
        </w:rPr>
        <w:t xml:space="preserve"> possesses the requisite fitness.  </w:t>
      </w:r>
      <w:r w:rsidRPr="002915C6">
        <w:rPr>
          <w:i/>
          <w:sz w:val="26"/>
          <w:szCs w:val="26"/>
          <w:lang w:val="en"/>
        </w:rPr>
        <w:t>South Hills Movers, Inc. v. Pa. PUC</w:t>
      </w:r>
      <w:r w:rsidRPr="002915C6">
        <w:rPr>
          <w:sz w:val="26"/>
          <w:szCs w:val="26"/>
          <w:lang w:val="en"/>
        </w:rPr>
        <w:t xml:space="preserve">, 601 A.2d 1308, 1310 (Pa. </w:t>
      </w:r>
      <w:proofErr w:type="spellStart"/>
      <w:r w:rsidRPr="002915C6">
        <w:rPr>
          <w:sz w:val="26"/>
          <w:szCs w:val="26"/>
          <w:lang w:val="en"/>
        </w:rPr>
        <w:t>Cmwlth</w:t>
      </w:r>
      <w:proofErr w:type="spellEnd"/>
      <w:r w:rsidRPr="002915C6">
        <w:rPr>
          <w:sz w:val="26"/>
          <w:szCs w:val="26"/>
          <w:lang w:val="en"/>
        </w:rPr>
        <w:t>. 1992).</w:t>
      </w:r>
    </w:p>
    <w:p w14:paraId="33C4132A" w14:textId="77777777" w:rsidR="00E7784C" w:rsidRPr="002915C6" w:rsidRDefault="00E7784C" w:rsidP="0012768D">
      <w:pPr>
        <w:widowControl/>
        <w:spacing w:line="360" w:lineRule="auto"/>
        <w:contextualSpacing/>
        <w:rPr>
          <w:sz w:val="26"/>
          <w:szCs w:val="26"/>
          <w:lang w:val="en"/>
        </w:rPr>
      </w:pPr>
    </w:p>
    <w:p w14:paraId="041FF2A0" w14:textId="77777777" w:rsidR="00E7784C" w:rsidRPr="002915C6" w:rsidRDefault="00E7784C" w:rsidP="0012768D">
      <w:pPr>
        <w:widowControl/>
        <w:spacing w:line="360" w:lineRule="auto"/>
        <w:contextualSpacing/>
        <w:rPr>
          <w:sz w:val="26"/>
          <w:szCs w:val="26"/>
          <w:lang w:val="en"/>
        </w:rPr>
      </w:pPr>
      <w:r w:rsidRPr="002915C6">
        <w:rPr>
          <w:sz w:val="26"/>
          <w:szCs w:val="26"/>
          <w:lang w:val="en"/>
        </w:rPr>
        <w:tab/>
      </w:r>
      <w:r w:rsidRPr="002915C6">
        <w:rPr>
          <w:sz w:val="26"/>
          <w:szCs w:val="26"/>
          <w:lang w:val="en"/>
        </w:rPr>
        <w:tab/>
      </w:r>
      <w:r w:rsidR="00BD315B" w:rsidRPr="002915C6">
        <w:rPr>
          <w:sz w:val="26"/>
          <w:szCs w:val="26"/>
        </w:rPr>
        <w:t xml:space="preserve">Before addressing the Exceptions, we note that any issue or Exception that we do not specifically delineate shall be deemed to have been duly considered and denied without further discussion.  It is well settled that the Commission is not required to consider expressly or at length each contention or argument raised by the parties.  </w:t>
      </w:r>
      <w:r w:rsidR="00BD315B" w:rsidRPr="002915C6">
        <w:rPr>
          <w:rStyle w:val="Emphasis"/>
          <w:sz w:val="26"/>
          <w:szCs w:val="26"/>
        </w:rPr>
        <w:t>Consolidated Ra</w:t>
      </w:r>
      <w:r w:rsidR="00BD315B" w:rsidRPr="002915C6">
        <w:rPr>
          <w:rStyle w:val="Emphasis"/>
          <w:color w:val="000000"/>
          <w:sz w:val="26"/>
          <w:szCs w:val="26"/>
        </w:rPr>
        <w:t xml:space="preserve">il Corp. v. Pa. PUC, </w:t>
      </w:r>
      <w:r w:rsidR="00BD315B" w:rsidRPr="002915C6">
        <w:rPr>
          <w:sz w:val="26"/>
          <w:szCs w:val="26"/>
        </w:rPr>
        <w:t xml:space="preserve">625 A.2d 741 (Pa. </w:t>
      </w:r>
      <w:proofErr w:type="spellStart"/>
      <w:r w:rsidR="00BD315B" w:rsidRPr="002915C6">
        <w:rPr>
          <w:sz w:val="26"/>
          <w:szCs w:val="26"/>
        </w:rPr>
        <w:t>Cmwlth</w:t>
      </w:r>
      <w:proofErr w:type="spellEnd"/>
      <w:r w:rsidR="00BD315B" w:rsidRPr="002915C6">
        <w:rPr>
          <w:sz w:val="26"/>
          <w:szCs w:val="26"/>
        </w:rPr>
        <w:t xml:space="preserve">. 1993); </w:t>
      </w:r>
      <w:r w:rsidR="00BD315B" w:rsidRPr="002915C6">
        <w:rPr>
          <w:i/>
          <w:color w:val="000000"/>
          <w:sz w:val="26"/>
          <w:szCs w:val="26"/>
        </w:rPr>
        <w:t xml:space="preserve">also </w:t>
      </w:r>
      <w:r w:rsidR="00BD315B" w:rsidRPr="002915C6">
        <w:rPr>
          <w:rStyle w:val="Emphasis"/>
          <w:color w:val="000000"/>
          <w:sz w:val="26"/>
          <w:szCs w:val="26"/>
        </w:rPr>
        <w:t xml:space="preserve">see, generally, </w:t>
      </w:r>
      <w:hyperlink r:id="rId10" w:history="1">
        <w:r w:rsidR="00BD315B" w:rsidRPr="002915C6">
          <w:rPr>
            <w:rStyle w:val="Emphasis"/>
            <w:color w:val="000000"/>
            <w:sz w:val="26"/>
            <w:szCs w:val="26"/>
          </w:rPr>
          <w:t>University of Pennsylvania v. Pa. PUC</w:t>
        </w:r>
        <w:r w:rsidR="00BD315B" w:rsidRPr="002915C6">
          <w:rPr>
            <w:rStyle w:val="Hyperlink"/>
            <w:color w:val="000000"/>
            <w:sz w:val="26"/>
            <w:szCs w:val="26"/>
            <w:u w:val="none"/>
          </w:rPr>
          <w:t xml:space="preserve">, 485 A.2d 1217 (Pa. </w:t>
        </w:r>
        <w:proofErr w:type="spellStart"/>
        <w:r w:rsidR="00BD315B" w:rsidRPr="002915C6">
          <w:rPr>
            <w:rStyle w:val="Hyperlink"/>
            <w:color w:val="000000"/>
            <w:sz w:val="26"/>
            <w:szCs w:val="26"/>
            <w:u w:val="none"/>
          </w:rPr>
          <w:t>Cmwlth</w:t>
        </w:r>
        <w:proofErr w:type="spellEnd"/>
        <w:r w:rsidR="00BD315B" w:rsidRPr="002915C6">
          <w:rPr>
            <w:rStyle w:val="Hyperlink"/>
            <w:color w:val="000000"/>
            <w:sz w:val="26"/>
            <w:szCs w:val="26"/>
            <w:u w:val="none"/>
          </w:rPr>
          <w:t>. 1984).</w:t>
        </w:r>
      </w:hyperlink>
    </w:p>
    <w:p w14:paraId="58AB98B9" w14:textId="77777777" w:rsidR="00DB4FCC" w:rsidRPr="002915C6" w:rsidRDefault="00DB4FCC" w:rsidP="0012768D">
      <w:pPr>
        <w:widowControl/>
        <w:spacing w:after="200" w:line="276" w:lineRule="auto"/>
        <w:rPr>
          <w:rFonts w:eastAsiaTheme="majorEastAsia"/>
          <w:b/>
          <w:bCs/>
          <w:sz w:val="26"/>
          <w:szCs w:val="26"/>
        </w:rPr>
      </w:pPr>
      <w:r w:rsidRPr="002915C6">
        <w:rPr>
          <w:sz w:val="26"/>
          <w:szCs w:val="26"/>
        </w:rPr>
        <w:br w:type="page"/>
      </w:r>
    </w:p>
    <w:p w14:paraId="4A0EDEAD" w14:textId="77777777" w:rsidR="00E125D8" w:rsidRPr="002915C6" w:rsidRDefault="0077486F" w:rsidP="0012768D">
      <w:pPr>
        <w:pStyle w:val="Heading2"/>
        <w:widowControl/>
        <w:rPr>
          <w:rFonts w:ascii="Times New Roman" w:hAnsi="Times New Roman" w:cs="Times New Roman"/>
          <w:color w:val="auto"/>
        </w:rPr>
      </w:pPr>
      <w:bookmarkStart w:id="10" w:name="_Toc499121827"/>
      <w:r w:rsidRPr="002915C6">
        <w:rPr>
          <w:rFonts w:ascii="Times New Roman" w:hAnsi="Times New Roman" w:cs="Times New Roman"/>
          <w:color w:val="auto"/>
        </w:rPr>
        <w:t xml:space="preserve">B. </w:t>
      </w:r>
      <w:r w:rsidR="0088191A" w:rsidRPr="002915C6">
        <w:rPr>
          <w:rFonts w:ascii="Times New Roman" w:hAnsi="Times New Roman" w:cs="Times New Roman"/>
          <w:color w:val="auto"/>
        </w:rPr>
        <w:tab/>
      </w:r>
      <w:r w:rsidRPr="002915C6">
        <w:rPr>
          <w:rFonts w:ascii="Times New Roman" w:hAnsi="Times New Roman" w:cs="Times New Roman"/>
          <w:color w:val="auto"/>
        </w:rPr>
        <w:t>Recommended Decision</w:t>
      </w:r>
      <w:bookmarkEnd w:id="10"/>
    </w:p>
    <w:p w14:paraId="37817B26" w14:textId="77777777" w:rsidR="0077486F" w:rsidRPr="002915C6" w:rsidRDefault="0077486F" w:rsidP="0012768D">
      <w:pPr>
        <w:widowControl/>
        <w:rPr>
          <w:sz w:val="26"/>
          <w:szCs w:val="26"/>
        </w:rPr>
      </w:pPr>
    </w:p>
    <w:p w14:paraId="7D5E34A5" w14:textId="77777777" w:rsidR="004136E6" w:rsidRPr="002915C6" w:rsidRDefault="004136E6" w:rsidP="0012768D">
      <w:pPr>
        <w:widowControl/>
        <w:rPr>
          <w:sz w:val="26"/>
          <w:szCs w:val="26"/>
        </w:rPr>
      </w:pPr>
    </w:p>
    <w:p w14:paraId="2216A7F6" w14:textId="77777777" w:rsidR="004136E6" w:rsidRPr="002915C6" w:rsidRDefault="004136E6" w:rsidP="0012768D">
      <w:pPr>
        <w:widowControl/>
        <w:spacing w:line="360" w:lineRule="auto"/>
        <w:ind w:firstLine="1440"/>
        <w:rPr>
          <w:sz w:val="26"/>
          <w:szCs w:val="26"/>
        </w:rPr>
      </w:pPr>
      <w:r w:rsidRPr="002915C6">
        <w:rPr>
          <w:sz w:val="26"/>
          <w:szCs w:val="26"/>
        </w:rPr>
        <w:t xml:space="preserve">ALJ Haas made </w:t>
      </w:r>
      <w:r w:rsidR="0010252C" w:rsidRPr="002915C6">
        <w:rPr>
          <w:sz w:val="26"/>
          <w:szCs w:val="26"/>
        </w:rPr>
        <w:t>fifty-two</w:t>
      </w:r>
      <w:r w:rsidRPr="002915C6">
        <w:rPr>
          <w:sz w:val="26"/>
          <w:szCs w:val="26"/>
        </w:rPr>
        <w:t xml:space="preserve"> Findings of Fact and reached thirtee</w:t>
      </w:r>
      <w:r w:rsidR="0010252C" w:rsidRPr="002915C6">
        <w:rPr>
          <w:sz w:val="26"/>
          <w:szCs w:val="26"/>
        </w:rPr>
        <w:t>n Conclusions of Law.  R.D. at 5-11, 51-52</w:t>
      </w:r>
      <w:r w:rsidRPr="002915C6">
        <w:rPr>
          <w:sz w:val="26"/>
          <w:szCs w:val="26"/>
        </w:rPr>
        <w:t>.  The Findings of Fact and Conclusions of Law are incorporated herein by reference and are adopted without comment unless they are either expressly or by necessary implication rejected or modified by this Opinion and Order.</w:t>
      </w:r>
    </w:p>
    <w:p w14:paraId="5A365252" w14:textId="77777777" w:rsidR="0077486F" w:rsidRPr="002915C6" w:rsidRDefault="0077486F" w:rsidP="0012768D">
      <w:pPr>
        <w:widowControl/>
        <w:spacing w:line="360" w:lineRule="auto"/>
        <w:rPr>
          <w:sz w:val="26"/>
          <w:szCs w:val="26"/>
        </w:rPr>
      </w:pPr>
    </w:p>
    <w:p w14:paraId="7100F857" w14:textId="77777777" w:rsidR="00E125D8" w:rsidRPr="002915C6" w:rsidRDefault="0077486F" w:rsidP="0012768D">
      <w:pPr>
        <w:pStyle w:val="Heading3"/>
        <w:widowControl/>
        <w:spacing w:before="0" w:line="360" w:lineRule="auto"/>
        <w:rPr>
          <w:rFonts w:ascii="Times New Roman" w:hAnsi="Times New Roman" w:cs="Times New Roman"/>
          <w:color w:val="auto"/>
          <w:sz w:val="26"/>
          <w:szCs w:val="26"/>
        </w:rPr>
      </w:pPr>
      <w:r w:rsidRPr="002915C6">
        <w:rPr>
          <w:sz w:val="26"/>
          <w:szCs w:val="26"/>
        </w:rPr>
        <w:tab/>
      </w:r>
      <w:r w:rsidRPr="002915C6">
        <w:rPr>
          <w:sz w:val="26"/>
          <w:szCs w:val="26"/>
        </w:rPr>
        <w:tab/>
      </w:r>
      <w:bookmarkStart w:id="11" w:name="_Toc499121828"/>
      <w:r w:rsidR="00B0335C" w:rsidRPr="002915C6">
        <w:rPr>
          <w:rFonts w:ascii="Times New Roman" w:hAnsi="Times New Roman" w:cs="Times New Roman"/>
          <w:color w:val="auto"/>
          <w:sz w:val="26"/>
          <w:szCs w:val="26"/>
        </w:rPr>
        <w:t>1.</w:t>
      </w:r>
      <w:r w:rsidR="00B0335C" w:rsidRPr="002915C6">
        <w:rPr>
          <w:rFonts w:ascii="Times New Roman" w:hAnsi="Times New Roman" w:cs="Times New Roman"/>
          <w:color w:val="auto"/>
          <w:sz w:val="26"/>
          <w:szCs w:val="26"/>
        </w:rPr>
        <w:tab/>
        <w:t>Applicant’s Fitness</w:t>
      </w:r>
      <w:bookmarkEnd w:id="11"/>
    </w:p>
    <w:p w14:paraId="4D4418AB" w14:textId="77777777" w:rsidR="00FE2A2F" w:rsidRPr="002915C6" w:rsidRDefault="00FE2A2F" w:rsidP="00BE5FF4">
      <w:pPr>
        <w:keepNext/>
        <w:keepLines/>
        <w:widowControl/>
        <w:spacing w:line="360" w:lineRule="auto"/>
        <w:rPr>
          <w:sz w:val="26"/>
          <w:szCs w:val="26"/>
        </w:rPr>
      </w:pPr>
    </w:p>
    <w:p w14:paraId="487323B9" w14:textId="77777777" w:rsidR="00B0335C" w:rsidRPr="002915C6" w:rsidRDefault="00B0335C" w:rsidP="0012768D">
      <w:pPr>
        <w:widowControl/>
        <w:spacing w:line="360" w:lineRule="auto"/>
        <w:rPr>
          <w:sz w:val="26"/>
          <w:szCs w:val="26"/>
        </w:rPr>
      </w:pPr>
      <w:r w:rsidRPr="002915C6">
        <w:rPr>
          <w:sz w:val="26"/>
          <w:szCs w:val="26"/>
        </w:rPr>
        <w:tab/>
      </w:r>
      <w:r w:rsidRPr="002915C6">
        <w:rPr>
          <w:sz w:val="26"/>
          <w:szCs w:val="26"/>
        </w:rPr>
        <w:tab/>
        <w:t xml:space="preserve">The ALJ began with an examination of whether Aqua possesses the technical, legal and financial fitness to provide the proposed service.  The ALJ explained that as an existing, certificated public utility, the Company enjoys a presumption of fitness in this proceeding.  Here, no Party presented evidence to challenge </w:t>
      </w:r>
      <w:proofErr w:type="spellStart"/>
      <w:r w:rsidRPr="002915C6">
        <w:rPr>
          <w:sz w:val="26"/>
          <w:szCs w:val="26"/>
        </w:rPr>
        <w:t>Aqua’s</w:t>
      </w:r>
      <w:proofErr w:type="spellEnd"/>
      <w:r w:rsidRPr="002915C6">
        <w:rPr>
          <w:sz w:val="26"/>
          <w:szCs w:val="26"/>
        </w:rPr>
        <w:t xml:space="preserve"> fitness.  Additionally, the ALJ acknowledged that the Company offered sufficient record evidence that it possesses the requisite technical, legal and financial fitness to provide t</w:t>
      </w:r>
      <w:r w:rsidR="009C0D48" w:rsidRPr="002915C6">
        <w:rPr>
          <w:sz w:val="26"/>
          <w:szCs w:val="26"/>
        </w:rPr>
        <w:t>he proposed service.  R.D. at 16</w:t>
      </w:r>
      <w:r w:rsidRPr="002915C6">
        <w:rPr>
          <w:sz w:val="26"/>
          <w:szCs w:val="26"/>
        </w:rPr>
        <w:t>.</w:t>
      </w:r>
    </w:p>
    <w:p w14:paraId="042E549D" w14:textId="77777777" w:rsidR="00B0335C" w:rsidRPr="002915C6" w:rsidRDefault="00B0335C" w:rsidP="0012768D">
      <w:pPr>
        <w:widowControl/>
        <w:spacing w:line="360" w:lineRule="auto"/>
        <w:rPr>
          <w:sz w:val="26"/>
          <w:szCs w:val="26"/>
        </w:rPr>
      </w:pPr>
    </w:p>
    <w:p w14:paraId="0070CDCD" w14:textId="77777777" w:rsidR="00B0335C" w:rsidRPr="002915C6" w:rsidRDefault="00B0335C" w:rsidP="0012768D">
      <w:pPr>
        <w:widowControl/>
        <w:spacing w:line="360" w:lineRule="auto"/>
        <w:rPr>
          <w:sz w:val="26"/>
          <w:szCs w:val="26"/>
        </w:rPr>
      </w:pPr>
      <w:r w:rsidRPr="002915C6">
        <w:rPr>
          <w:sz w:val="26"/>
          <w:szCs w:val="26"/>
        </w:rPr>
        <w:tab/>
      </w:r>
      <w:r w:rsidRPr="002915C6">
        <w:rPr>
          <w:sz w:val="26"/>
          <w:szCs w:val="26"/>
        </w:rPr>
        <w:tab/>
        <w:t xml:space="preserve">Regarding technical fitness, the ALJ outlined </w:t>
      </w:r>
      <w:proofErr w:type="spellStart"/>
      <w:r w:rsidRPr="002915C6">
        <w:rPr>
          <w:sz w:val="26"/>
          <w:szCs w:val="26"/>
        </w:rPr>
        <w:t>Aqua’s</w:t>
      </w:r>
      <w:proofErr w:type="spellEnd"/>
      <w:r w:rsidRPr="002915C6">
        <w:rPr>
          <w:sz w:val="26"/>
          <w:szCs w:val="26"/>
        </w:rPr>
        <w:t xml:space="preserve"> evidence that it currently provides was</w:t>
      </w:r>
      <w:r w:rsidR="00D87441" w:rsidRPr="002915C6">
        <w:rPr>
          <w:sz w:val="26"/>
          <w:szCs w:val="26"/>
        </w:rPr>
        <w:t>tewater service to approximately 20,000 customers in thirteen Pennsylvania counties.  The Company also operates thirty-one wastewater treatment plants in Pennsylvania with s</w:t>
      </w:r>
      <w:r w:rsidR="00B35010">
        <w:rPr>
          <w:sz w:val="26"/>
          <w:szCs w:val="26"/>
        </w:rPr>
        <w:t xml:space="preserve">eventeen of those systems </w:t>
      </w:r>
      <w:r w:rsidR="00D87441" w:rsidRPr="002915C6">
        <w:rPr>
          <w:sz w:val="26"/>
          <w:szCs w:val="26"/>
        </w:rPr>
        <w:t xml:space="preserve">located in </w:t>
      </w:r>
      <w:proofErr w:type="spellStart"/>
      <w:r w:rsidR="00D87441" w:rsidRPr="002915C6">
        <w:rPr>
          <w:sz w:val="26"/>
          <w:szCs w:val="26"/>
        </w:rPr>
        <w:t>Aqua’s</w:t>
      </w:r>
      <w:proofErr w:type="spellEnd"/>
      <w:r w:rsidR="00D87441" w:rsidRPr="002915C6">
        <w:rPr>
          <w:sz w:val="26"/>
          <w:szCs w:val="26"/>
        </w:rPr>
        <w:t xml:space="preserve"> Southeast Division, which are in close proximity to the Township.  Further, t</w:t>
      </w:r>
      <w:r w:rsidR="00A3071B" w:rsidRPr="002915C6">
        <w:rPr>
          <w:sz w:val="26"/>
          <w:szCs w:val="26"/>
        </w:rPr>
        <w:t>he ALJ noted the size of Aqua PA</w:t>
      </w:r>
      <w:r w:rsidR="00D87441" w:rsidRPr="002915C6">
        <w:rPr>
          <w:sz w:val="26"/>
          <w:szCs w:val="26"/>
        </w:rPr>
        <w:t xml:space="preserve">, the Company’s parent.  Aqua PA is the second largest investor owned water and wastewater utility operating in Pennsylvania.  The ALJ highlighted the number of water customers (455,000) and wastewater customers served by Aqua PA and the number of employees (600) who possess expertise in providing water and wastewater service.  </w:t>
      </w:r>
      <w:r w:rsidR="00D87441" w:rsidRPr="002915C6">
        <w:rPr>
          <w:i/>
          <w:sz w:val="26"/>
          <w:szCs w:val="26"/>
        </w:rPr>
        <w:t>Id.</w:t>
      </w:r>
      <w:r w:rsidR="00D87441" w:rsidRPr="002915C6">
        <w:rPr>
          <w:sz w:val="26"/>
          <w:szCs w:val="26"/>
        </w:rPr>
        <w:t xml:space="preserve"> </w:t>
      </w:r>
      <w:r w:rsidR="00E95871" w:rsidRPr="002915C6">
        <w:rPr>
          <w:sz w:val="26"/>
          <w:szCs w:val="26"/>
        </w:rPr>
        <w:t>a</w:t>
      </w:r>
      <w:r w:rsidR="00D87441" w:rsidRPr="002915C6">
        <w:rPr>
          <w:sz w:val="26"/>
          <w:szCs w:val="26"/>
        </w:rPr>
        <w:t>t</w:t>
      </w:r>
      <w:r w:rsidR="00E95871" w:rsidRPr="002915C6">
        <w:rPr>
          <w:sz w:val="26"/>
          <w:szCs w:val="26"/>
        </w:rPr>
        <w:t> </w:t>
      </w:r>
      <w:r w:rsidR="009C0D48" w:rsidRPr="002915C6">
        <w:rPr>
          <w:sz w:val="26"/>
          <w:szCs w:val="26"/>
        </w:rPr>
        <w:t>16-17</w:t>
      </w:r>
      <w:r w:rsidR="00D87441" w:rsidRPr="002915C6">
        <w:rPr>
          <w:sz w:val="26"/>
          <w:szCs w:val="26"/>
        </w:rPr>
        <w:t>.</w:t>
      </w:r>
    </w:p>
    <w:p w14:paraId="0293DEE2" w14:textId="77777777" w:rsidR="00D87441" w:rsidRPr="002915C6" w:rsidRDefault="00D87441" w:rsidP="0012768D">
      <w:pPr>
        <w:widowControl/>
        <w:spacing w:line="360" w:lineRule="auto"/>
        <w:rPr>
          <w:sz w:val="26"/>
          <w:szCs w:val="26"/>
        </w:rPr>
      </w:pPr>
    </w:p>
    <w:p w14:paraId="7DDA3A6C" w14:textId="77777777" w:rsidR="00D87441" w:rsidRPr="002915C6" w:rsidRDefault="00D87441" w:rsidP="0012768D">
      <w:pPr>
        <w:widowControl/>
        <w:spacing w:line="360" w:lineRule="auto"/>
        <w:rPr>
          <w:sz w:val="26"/>
          <w:szCs w:val="26"/>
        </w:rPr>
      </w:pPr>
      <w:r w:rsidRPr="002915C6">
        <w:rPr>
          <w:sz w:val="26"/>
          <w:szCs w:val="26"/>
        </w:rPr>
        <w:tab/>
      </w:r>
      <w:r w:rsidRPr="002915C6">
        <w:rPr>
          <w:sz w:val="26"/>
          <w:szCs w:val="26"/>
        </w:rPr>
        <w:tab/>
        <w:t xml:space="preserve">Next, the ALJ summarized the Company’s evidence pertaining to its legal fitness explaining that there are no pending legal proceedings challenging </w:t>
      </w:r>
      <w:proofErr w:type="spellStart"/>
      <w:r w:rsidRPr="002915C6">
        <w:rPr>
          <w:sz w:val="26"/>
          <w:szCs w:val="26"/>
        </w:rPr>
        <w:t>Aqua’s</w:t>
      </w:r>
      <w:proofErr w:type="spellEnd"/>
      <w:r w:rsidRPr="002915C6">
        <w:rPr>
          <w:sz w:val="26"/>
          <w:szCs w:val="26"/>
        </w:rPr>
        <w:t xml:space="preserve"> ability or propensity to operate safely and legally.  As to financial fitness, the ALJ </w:t>
      </w:r>
      <w:r w:rsidR="00690741" w:rsidRPr="002915C6">
        <w:rPr>
          <w:sz w:val="26"/>
          <w:szCs w:val="26"/>
        </w:rPr>
        <w:t xml:space="preserve">first noted the assets of Aqua PA which is a Class A water utility in Pennsylvania.  The ALJ indicated that </w:t>
      </w:r>
      <w:r w:rsidR="009C0D48" w:rsidRPr="002915C6">
        <w:rPr>
          <w:sz w:val="26"/>
          <w:szCs w:val="26"/>
        </w:rPr>
        <w:t>Aqua PA has total assets of $3.9</w:t>
      </w:r>
      <w:r w:rsidR="00690741" w:rsidRPr="002915C6">
        <w:rPr>
          <w:sz w:val="26"/>
          <w:szCs w:val="26"/>
        </w:rPr>
        <w:t xml:space="preserve"> billion and had </w:t>
      </w:r>
      <w:r w:rsidR="009C0D48" w:rsidRPr="002915C6">
        <w:rPr>
          <w:sz w:val="26"/>
          <w:szCs w:val="26"/>
        </w:rPr>
        <w:t>$418</w:t>
      </w:r>
      <w:r w:rsidR="00E95871" w:rsidRPr="002915C6">
        <w:rPr>
          <w:sz w:val="26"/>
          <w:szCs w:val="26"/>
        </w:rPr>
        <w:t xml:space="preserve"> million in </w:t>
      </w:r>
      <w:r w:rsidR="00690741" w:rsidRPr="002915C6">
        <w:rPr>
          <w:sz w:val="26"/>
          <w:szCs w:val="26"/>
        </w:rPr>
        <w:t>annual revenue</w:t>
      </w:r>
      <w:r w:rsidR="00E95871" w:rsidRPr="002915C6">
        <w:rPr>
          <w:sz w:val="26"/>
          <w:szCs w:val="26"/>
        </w:rPr>
        <w:t>s</w:t>
      </w:r>
      <w:r w:rsidR="00690741" w:rsidRPr="002915C6">
        <w:rPr>
          <w:sz w:val="26"/>
          <w:szCs w:val="26"/>
        </w:rPr>
        <w:t xml:space="preserve"> in </w:t>
      </w:r>
      <w:r w:rsidR="009C0D48" w:rsidRPr="002915C6">
        <w:rPr>
          <w:sz w:val="26"/>
          <w:szCs w:val="26"/>
        </w:rPr>
        <w:t>2016</w:t>
      </w:r>
      <w:r w:rsidR="00690741" w:rsidRPr="002915C6">
        <w:rPr>
          <w:sz w:val="26"/>
          <w:szCs w:val="26"/>
        </w:rPr>
        <w:t>.  Aqua PA also had operat</w:t>
      </w:r>
      <w:r w:rsidR="009C0D48" w:rsidRPr="002915C6">
        <w:rPr>
          <w:sz w:val="26"/>
          <w:szCs w:val="26"/>
        </w:rPr>
        <w:t>ing income of approximately $213</w:t>
      </w:r>
      <w:r w:rsidR="00690741" w:rsidRPr="002915C6">
        <w:rPr>
          <w:sz w:val="26"/>
          <w:szCs w:val="26"/>
        </w:rPr>
        <w:t xml:space="preserve"> million and net income of $</w:t>
      </w:r>
      <w:r w:rsidR="009C0D48" w:rsidRPr="002915C6">
        <w:rPr>
          <w:sz w:val="26"/>
          <w:szCs w:val="26"/>
        </w:rPr>
        <w:t>173</w:t>
      </w:r>
      <w:r w:rsidR="00690741" w:rsidRPr="002915C6">
        <w:rPr>
          <w:sz w:val="26"/>
          <w:szCs w:val="26"/>
        </w:rPr>
        <w:t xml:space="preserve"> million.  Regarding the Company’s financial fitness, the ALJ stated that Aqua is a Class A wastewater utility in Pennsy</w:t>
      </w:r>
      <w:r w:rsidR="009C0D48" w:rsidRPr="002915C6">
        <w:rPr>
          <w:sz w:val="26"/>
          <w:szCs w:val="26"/>
        </w:rPr>
        <w:t>lvania with total assets of $111</w:t>
      </w:r>
      <w:r w:rsidR="00690741" w:rsidRPr="002915C6">
        <w:rPr>
          <w:sz w:val="26"/>
          <w:szCs w:val="26"/>
        </w:rPr>
        <w:t xml:space="preserve"> million and annual revenue of $12 million.  Its financial statements indicated a net income of $2 million for 2015.  As to its acquisition of </w:t>
      </w:r>
      <w:r w:rsidR="002915C6" w:rsidRPr="002915C6">
        <w:rPr>
          <w:sz w:val="26"/>
          <w:szCs w:val="26"/>
        </w:rPr>
        <w:t>Limerick</w:t>
      </w:r>
      <w:r w:rsidR="00690741" w:rsidRPr="002915C6">
        <w:rPr>
          <w:sz w:val="26"/>
          <w:szCs w:val="26"/>
        </w:rPr>
        <w:t xml:space="preserve">’s wastewater assets, Aqua intends </w:t>
      </w:r>
      <w:r w:rsidR="00134EA1" w:rsidRPr="002915C6">
        <w:rPr>
          <w:sz w:val="26"/>
          <w:szCs w:val="26"/>
        </w:rPr>
        <w:t>to finance the transaction using existing short</w:t>
      </w:r>
      <w:r w:rsidR="00E95871" w:rsidRPr="002915C6">
        <w:rPr>
          <w:sz w:val="26"/>
          <w:szCs w:val="26"/>
        </w:rPr>
        <w:t>-</w:t>
      </w:r>
      <w:r w:rsidR="00134EA1" w:rsidRPr="002915C6">
        <w:rPr>
          <w:sz w:val="26"/>
          <w:szCs w:val="26"/>
        </w:rPr>
        <w:t xml:space="preserve">term credit lines with a likely conversion to a mix of long-term debt and equity capital in the future.  </w:t>
      </w:r>
      <w:r w:rsidR="00134EA1" w:rsidRPr="002915C6">
        <w:rPr>
          <w:i/>
          <w:sz w:val="26"/>
          <w:szCs w:val="26"/>
        </w:rPr>
        <w:t>Id.</w:t>
      </w:r>
      <w:r w:rsidR="00134EA1" w:rsidRPr="002915C6">
        <w:rPr>
          <w:sz w:val="26"/>
          <w:szCs w:val="26"/>
        </w:rPr>
        <w:t xml:space="preserve"> at </w:t>
      </w:r>
      <w:r w:rsidR="009C0D48" w:rsidRPr="002915C6">
        <w:rPr>
          <w:sz w:val="26"/>
          <w:szCs w:val="26"/>
        </w:rPr>
        <w:t>17-18</w:t>
      </w:r>
      <w:r w:rsidR="00134EA1" w:rsidRPr="002915C6">
        <w:rPr>
          <w:sz w:val="26"/>
          <w:szCs w:val="26"/>
        </w:rPr>
        <w:t>.</w:t>
      </w:r>
    </w:p>
    <w:p w14:paraId="38004106" w14:textId="77777777" w:rsidR="00134EA1" w:rsidRPr="002915C6" w:rsidRDefault="00134EA1" w:rsidP="0012768D">
      <w:pPr>
        <w:widowControl/>
        <w:spacing w:line="360" w:lineRule="auto"/>
        <w:rPr>
          <w:sz w:val="26"/>
          <w:szCs w:val="26"/>
        </w:rPr>
      </w:pPr>
    </w:p>
    <w:p w14:paraId="7CCB512D" w14:textId="77777777" w:rsidR="00134EA1" w:rsidRPr="002915C6" w:rsidRDefault="00134EA1" w:rsidP="0012768D">
      <w:pPr>
        <w:widowControl/>
        <w:spacing w:line="360" w:lineRule="auto"/>
        <w:rPr>
          <w:sz w:val="26"/>
          <w:szCs w:val="26"/>
        </w:rPr>
      </w:pPr>
      <w:r w:rsidRPr="002915C6">
        <w:rPr>
          <w:sz w:val="26"/>
          <w:szCs w:val="26"/>
        </w:rPr>
        <w:tab/>
      </w:r>
      <w:r w:rsidRPr="002915C6">
        <w:rPr>
          <w:sz w:val="26"/>
          <w:szCs w:val="26"/>
        </w:rPr>
        <w:tab/>
        <w:t xml:space="preserve">According to the ALJ, Aqua demonstrated by a preponderance of the evidence that it is technically, legally and financially fit to own and operate New Garden’s assets and to provide the proposed service to the public.  </w:t>
      </w:r>
      <w:r w:rsidRPr="002915C6">
        <w:rPr>
          <w:i/>
          <w:sz w:val="26"/>
          <w:szCs w:val="26"/>
        </w:rPr>
        <w:t>Id.</w:t>
      </w:r>
      <w:r w:rsidRPr="002915C6">
        <w:rPr>
          <w:sz w:val="26"/>
          <w:szCs w:val="26"/>
        </w:rPr>
        <w:t xml:space="preserve"> </w:t>
      </w:r>
      <w:r w:rsidR="009C0D48" w:rsidRPr="002915C6">
        <w:rPr>
          <w:sz w:val="26"/>
          <w:szCs w:val="26"/>
        </w:rPr>
        <w:t>at 18.</w:t>
      </w:r>
    </w:p>
    <w:p w14:paraId="1EF62EED" w14:textId="77777777" w:rsidR="00134EA1" w:rsidRPr="002915C6" w:rsidRDefault="00134EA1" w:rsidP="0012768D">
      <w:pPr>
        <w:widowControl/>
        <w:spacing w:line="360" w:lineRule="auto"/>
        <w:rPr>
          <w:sz w:val="26"/>
          <w:szCs w:val="26"/>
        </w:rPr>
      </w:pPr>
    </w:p>
    <w:p w14:paraId="6572EC13" w14:textId="77777777" w:rsidR="00134EA1" w:rsidRPr="002915C6" w:rsidRDefault="00134EA1" w:rsidP="0012768D">
      <w:pPr>
        <w:pStyle w:val="Heading3"/>
        <w:widowControl/>
        <w:spacing w:before="0" w:line="360" w:lineRule="auto"/>
        <w:rPr>
          <w:rFonts w:ascii="Times New Roman" w:hAnsi="Times New Roman" w:cs="Times New Roman"/>
          <w:color w:val="auto"/>
          <w:sz w:val="26"/>
          <w:szCs w:val="26"/>
        </w:rPr>
      </w:pPr>
      <w:r w:rsidRPr="002915C6">
        <w:rPr>
          <w:sz w:val="26"/>
          <w:szCs w:val="26"/>
        </w:rPr>
        <w:tab/>
      </w:r>
      <w:r w:rsidRPr="002915C6">
        <w:rPr>
          <w:sz w:val="26"/>
          <w:szCs w:val="26"/>
        </w:rPr>
        <w:tab/>
      </w:r>
      <w:bookmarkStart w:id="12" w:name="_Toc499121829"/>
      <w:r w:rsidRPr="002915C6">
        <w:rPr>
          <w:rFonts w:ascii="Times New Roman" w:hAnsi="Times New Roman" w:cs="Times New Roman"/>
          <w:color w:val="auto"/>
          <w:sz w:val="26"/>
          <w:szCs w:val="26"/>
        </w:rPr>
        <w:t>2.</w:t>
      </w:r>
      <w:r w:rsidRPr="002915C6">
        <w:rPr>
          <w:rFonts w:ascii="Times New Roman" w:hAnsi="Times New Roman" w:cs="Times New Roman"/>
          <w:color w:val="auto"/>
          <w:sz w:val="26"/>
          <w:szCs w:val="26"/>
        </w:rPr>
        <w:tab/>
        <w:t>Rate Stabilization Plan</w:t>
      </w:r>
      <w:bookmarkEnd w:id="12"/>
    </w:p>
    <w:p w14:paraId="04D774AA" w14:textId="77777777" w:rsidR="00134EA1" w:rsidRPr="002915C6" w:rsidRDefault="00134EA1" w:rsidP="00BE5FF4">
      <w:pPr>
        <w:keepNext/>
        <w:keepLines/>
        <w:widowControl/>
        <w:spacing w:line="360" w:lineRule="auto"/>
        <w:rPr>
          <w:sz w:val="26"/>
          <w:szCs w:val="26"/>
        </w:rPr>
      </w:pPr>
    </w:p>
    <w:p w14:paraId="58A3567A" w14:textId="77777777" w:rsidR="00134EA1" w:rsidRPr="002915C6" w:rsidRDefault="00134EA1" w:rsidP="0012768D">
      <w:pPr>
        <w:widowControl/>
        <w:spacing w:line="360" w:lineRule="auto"/>
        <w:rPr>
          <w:sz w:val="26"/>
          <w:szCs w:val="26"/>
        </w:rPr>
      </w:pPr>
      <w:r w:rsidRPr="002915C6">
        <w:rPr>
          <w:sz w:val="26"/>
          <w:szCs w:val="26"/>
        </w:rPr>
        <w:tab/>
      </w:r>
      <w:r w:rsidRPr="002915C6">
        <w:rPr>
          <w:sz w:val="26"/>
          <w:szCs w:val="26"/>
        </w:rPr>
        <w:tab/>
      </w:r>
      <w:r w:rsidR="001570A3" w:rsidRPr="002915C6">
        <w:rPr>
          <w:sz w:val="26"/>
          <w:szCs w:val="26"/>
        </w:rPr>
        <w:t xml:space="preserve">The ALJ explained that Section 1329(g) of the Code defines a rate stabilization plan as a “plan that will hold rates constant or phase rates in over a period of time after the next base rate case.”  He also noted our direction in the </w:t>
      </w:r>
      <w:r w:rsidR="001570A3" w:rsidRPr="002915C6">
        <w:rPr>
          <w:i/>
          <w:sz w:val="26"/>
          <w:szCs w:val="26"/>
        </w:rPr>
        <w:t>Final Implementation Order</w:t>
      </w:r>
      <w:r w:rsidR="001570A3" w:rsidRPr="002915C6">
        <w:rPr>
          <w:sz w:val="26"/>
          <w:szCs w:val="26"/>
        </w:rPr>
        <w:t xml:space="preserve"> that rate stabilization plans will be reviewed for reasonableness in each rate case so as not to place long</w:t>
      </w:r>
      <w:r w:rsidR="00E95871" w:rsidRPr="002915C6">
        <w:rPr>
          <w:sz w:val="26"/>
          <w:szCs w:val="26"/>
        </w:rPr>
        <w:t>-</w:t>
      </w:r>
      <w:r w:rsidR="001570A3" w:rsidRPr="002915C6">
        <w:rPr>
          <w:sz w:val="26"/>
          <w:szCs w:val="26"/>
        </w:rPr>
        <w:t xml:space="preserve">term burdens on the acquiring utility’s existing ratepayers.  In order to facilitate such a review, an applicant must provide testimony, schedules, and work papers to establish a basis for the plan and its impact on existing customers who would need to cover the shifting revenue requirement.  R.D. at </w:t>
      </w:r>
      <w:r w:rsidR="008C788A" w:rsidRPr="002915C6">
        <w:rPr>
          <w:sz w:val="26"/>
          <w:szCs w:val="26"/>
        </w:rPr>
        <w:t>18-19</w:t>
      </w:r>
      <w:r w:rsidR="001570A3" w:rsidRPr="002915C6">
        <w:rPr>
          <w:sz w:val="26"/>
          <w:szCs w:val="26"/>
        </w:rPr>
        <w:t xml:space="preserve"> (citing </w:t>
      </w:r>
      <w:r w:rsidR="001570A3" w:rsidRPr="002915C6">
        <w:rPr>
          <w:i/>
          <w:sz w:val="26"/>
          <w:szCs w:val="26"/>
        </w:rPr>
        <w:t>Final Implementation Order</w:t>
      </w:r>
      <w:r w:rsidR="001570A3" w:rsidRPr="002915C6">
        <w:rPr>
          <w:sz w:val="26"/>
          <w:szCs w:val="26"/>
        </w:rPr>
        <w:t xml:space="preserve"> at 27).</w:t>
      </w:r>
    </w:p>
    <w:p w14:paraId="0D39736B" w14:textId="77777777" w:rsidR="00CB3101" w:rsidRPr="002915C6" w:rsidRDefault="00CB3101" w:rsidP="0012768D">
      <w:pPr>
        <w:widowControl/>
        <w:spacing w:line="360" w:lineRule="auto"/>
        <w:rPr>
          <w:sz w:val="26"/>
          <w:szCs w:val="26"/>
        </w:rPr>
      </w:pPr>
    </w:p>
    <w:p w14:paraId="700D9554" w14:textId="77777777" w:rsidR="00CB3101" w:rsidRPr="002915C6" w:rsidRDefault="00CB3101" w:rsidP="0012768D">
      <w:pPr>
        <w:widowControl/>
        <w:spacing w:line="360" w:lineRule="auto"/>
        <w:rPr>
          <w:sz w:val="26"/>
          <w:szCs w:val="26"/>
        </w:rPr>
      </w:pPr>
      <w:r w:rsidRPr="002915C6">
        <w:rPr>
          <w:sz w:val="26"/>
          <w:szCs w:val="26"/>
        </w:rPr>
        <w:tab/>
      </w:r>
      <w:r w:rsidRPr="002915C6">
        <w:rPr>
          <w:sz w:val="26"/>
          <w:szCs w:val="26"/>
        </w:rPr>
        <w:tab/>
      </w:r>
      <w:r w:rsidR="00120DA4" w:rsidRPr="002915C6">
        <w:rPr>
          <w:sz w:val="26"/>
          <w:szCs w:val="26"/>
        </w:rPr>
        <w:t xml:space="preserve">The ALJ stated that the </w:t>
      </w:r>
      <w:r w:rsidR="00957510" w:rsidRPr="002915C6">
        <w:rPr>
          <w:sz w:val="26"/>
          <w:szCs w:val="26"/>
        </w:rPr>
        <w:t>Agreement</w:t>
      </w:r>
      <w:r w:rsidR="00120DA4" w:rsidRPr="002915C6">
        <w:rPr>
          <w:sz w:val="26"/>
          <w:szCs w:val="26"/>
        </w:rPr>
        <w:t xml:space="preserve"> contains the following rate related provision:</w:t>
      </w:r>
    </w:p>
    <w:p w14:paraId="54269FF7" w14:textId="77777777" w:rsidR="00120DA4" w:rsidRPr="002915C6" w:rsidRDefault="00120DA4" w:rsidP="0012768D">
      <w:pPr>
        <w:widowControl/>
        <w:spacing w:line="360" w:lineRule="auto"/>
        <w:rPr>
          <w:sz w:val="26"/>
          <w:szCs w:val="26"/>
        </w:rPr>
      </w:pPr>
    </w:p>
    <w:p w14:paraId="68D3A8A9" w14:textId="77777777" w:rsidR="00957510" w:rsidRDefault="00957510" w:rsidP="0012768D">
      <w:pPr>
        <w:pStyle w:val="Default"/>
        <w:ind w:left="1440" w:right="1440"/>
        <w:rPr>
          <w:sz w:val="26"/>
          <w:szCs w:val="26"/>
        </w:rPr>
      </w:pPr>
      <w:r w:rsidRPr="002915C6">
        <w:rPr>
          <w:sz w:val="26"/>
          <w:szCs w:val="26"/>
        </w:rPr>
        <w:t xml:space="preserve">After closing, Aqua will implement the Limerick Township sanitary wastewater rates in effect at closing as reflected on Schedule 7.05(a) of the Agreement and inclusive of any approved surcharge or pass-through costs as its effective sanitary sewer rates, provide that such rates shall not be lower than the rates in effect on the execution date of the agreement.  The Agreement further provides that </w:t>
      </w:r>
      <w:proofErr w:type="spellStart"/>
      <w:r w:rsidRPr="002915C6">
        <w:rPr>
          <w:sz w:val="26"/>
          <w:szCs w:val="26"/>
        </w:rPr>
        <w:t>Aqua’s</w:t>
      </w:r>
      <w:proofErr w:type="spellEnd"/>
      <w:r w:rsidRPr="002915C6">
        <w:rPr>
          <w:sz w:val="26"/>
          <w:szCs w:val="26"/>
        </w:rPr>
        <w:t xml:space="preserve"> Base Rate may not increase until after the third anniversary of the Closing date. </w:t>
      </w:r>
    </w:p>
    <w:p w14:paraId="1AFA44BF" w14:textId="77777777" w:rsidR="0001718F" w:rsidRDefault="0001718F" w:rsidP="00BE5FF4">
      <w:pPr>
        <w:pStyle w:val="Default"/>
        <w:ind w:left="1440" w:right="1440"/>
        <w:rPr>
          <w:sz w:val="26"/>
          <w:szCs w:val="26"/>
        </w:rPr>
      </w:pPr>
    </w:p>
    <w:p w14:paraId="0E2C15B4" w14:textId="77777777" w:rsidR="0001718F" w:rsidRPr="002915C6" w:rsidRDefault="0001718F" w:rsidP="0012768D">
      <w:pPr>
        <w:pStyle w:val="Default"/>
        <w:ind w:left="1440" w:right="1440"/>
        <w:rPr>
          <w:sz w:val="26"/>
          <w:szCs w:val="26"/>
        </w:rPr>
      </w:pPr>
    </w:p>
    <w:p w14:paraId="4C49445A" w14:textId="77777777" w:rsidR="00957510" w:rsidRPr="002915C6" w:rsidRDefault="00957510" w:rsidP="0012768D">
      <w:pPr>
        <w:pStyle w:val="Default"/>
        <w:spacing w:line="360" w:lineRule="auto"/>
        <w:rPr>
          <w:sz w:val="26"/>
          <w:szCs w:val="26"/>
        </w:rPr>
      </w:pPr>
      <w:r w:rsidRPr="002915C6">
        <w:rPr>
          <w:sz w:val="26"/>
          <w:szCs w:val="26"/>
        </w:rPr>
        <w:t>R.D. at 19 (</w:t>
      </w:r>
      <w:r w:rsidR="0001718F">
        <w:rPr>
          <w:sz w:val="26"/>
          <w:szCs w:val="26"/>
        </w:rPr>
        <w:t xml:space="preserve">quoting Application at ¶ 29).  </w:t>
      </w:r>
      <w:r w:rsidRPr="002915C6">
        <w:rPr>
          <w:sz w:val="26"/>
          <w:szCs w:val="26"/>
        </w:rPr>
        <w:t>Additionally, the ALJ explained that the rate provisions referenced in the Application are reflected in Section 7.05(b) of the APA which provides: “</w:t>
      </w:r>
      <w:r w:rsidRPr="002915C6">
        <w:rPr>
          <w:sz w:val="26"/>
          <w:szCs w:val="26"/>
          <w:u w:val="single"/>
        </w:rPr>
        <w:t>Rate Stabilization</w:t>
      </w:r>
      <w:r w:rsidRPr="002915C6">
        <w:rPr>
          <w:sz w:val="26"/>
          <w:szCs w:val="26"/>
        </w:rPr>
        <w:t xml:space="preserve">.  After closing, Buyer shall begin charging the Base Rate as Buyer’s rates within the Service Area, which Base Rate the Parties agree may not be increased until after the third anniversary of the Closing Date (the “Stabilization Period”).”  </w:t>
      </w:r>
      <w:r w:rsidR="00120DA4" w:rsidRPr="002915C6">
        <w:rPr>
          <w:sz w:val="26"/>
          <w:szCs w:val="26"/>
        </w:rPr>
        <w:t xml:space="preserve">R.D. at </w:t>
      </w:r>
      <w:r w:rsidRPr="002915C6">
        <w:rPr>
          <w:sz w:val="26"/>
          <w:szCs w:val="26"/>
        </w:rPr>
        <w:t>19</w:t>
      </w:r>
      <w:r w:rsidR="00120DA4" w:rsidRPr="002915C6">
        <w:rPr>
          <w:sz w:val="26"/>
          <w:szCs w:val="26"/>
        </w:rPr>
        <w:t xml:space="preserve"> (</w:t>
      </w:r>
      <w:r w:rsidRPr="002915C6">
        <w:rPr>
          <w:sz w:val="26"/>
          <w:szCs w:val="26"/>
        </w:rPr>
        <w:t>quoting</w:t>
      </w:r>
      <w:r w:rsidR="00120DA4" w:rsidRPr="002915C6">
        <w:rPr>
          <w:sz w:val="26"/>
          <w:szCs w:val="26"/>
        </w:rPr>
        <w:t xml:space="preserve"> Application</w:t>
      </w:r>
      <w:r w:rsidRPr="002915C6">
        <w:rPr>
          <w:sz w:val="26"/>
          <w:szCs w:val="26"/>
        </w:rPr>
        <w:t xml:space="preserve">, </w:t>
      </w:r>
      <w:proofErr w:type="spellStart"/>
      <w:r w:rsidR="00120DA4" w:rsidRPr="002915C6">
        <w:rPr>
          <w:sz w:val="26"/>
          <w:szCs w:val="26"/>
        </w:rPr>
        <w:t>Exh</w:t>
      </w:r>
      <w:proofErr w:type="spellEnd"/>
      <w:r w:rsidR="00120DA4" w:rsidRPr="002915C6">
        <w:rPr>
          <w:sz w:val="26"/>
          <w:szCs w:val="26"/>
        </w:rPr>
        <w:t xml:space="preserve">. </w:t>
      </w:r>
      <w:proofErr w:type="spellStart"/>
      <w:r w:rsidR="00120DA4" w:rsidRPr="002915C6">
        <w:rPr>
          <w:sz w:val="26"/>
          <w:szCs w:val="26"/>
        </w:rPr>
        <w:t>C at</w:t>
      </w:r>
      <w:proofErr w:type="spellEnd"/>
      <w:r w:rsidR="00120DA4" w:rsidRPr="002915C6">
        <w:rPr>
          <w:sz w:val="26"/>
          <w:szCs w:val="26"/>
        </w:rPr>
        <w:t xml:space="preserve"> </w:t>
      </w:r>
      <w:r w:rsidRPr="002915C6">
        <w:rPr>
          <w:sz w:val="26"/>
          <w:szCs w:val="26"/>
        </w:rPr>
        <w:t>¶</w:t>
      </w:r>
      <w:r w:rsidR="00222EC3" w:rsidRPr="002915C6">
        <w:rPr>
          <w:sz w:val="26"/>
          <w:szCs w:val="26"/>
        </w:rPr>
        <w:t xml:space="preserve"> 7</w:t>
      </w:r>
      <w:r w:rsidRPr="002915C6">
        <w:rPr>
          <w:sz w:val="26"/>
          <w:szCs w:val="26"/>
        </w:rPr>
        <w:t>.05</w:t>
      </w:r>
      <w:r w:rsidR="00222EC3" w:rsidRPr="002915C6">
        <w:rPr>
          <w:sz w:val="26"/>
          <w:szCs w:val="26"/>
        </w:rPr>
        <w:t>(b))</w:t>
      </w:r>
      <w:r w:rsidR="00120DA4" w:rsidRPr="002915C6">
        <w:rPr>
          <w:sz w:val="26"/>
          <w:szCs w:val="26"/>
        </w:rPr>
        <w:t xml:space="preserve">.  </w:t>
      </w:r>
    </w:p>
    <w:p w14:paraId="31CFFFBF" w14:textId="77777777" w:rsidR="00957510" w:rsidRPr="002915C6" w:rsidRDefault="00957510" w:rsidP="0012768D">
      <w:pPr>
        <w:pStyle w:val="Default"/>
        <w:spacing w:line="360" w:lineRule="auto"/>
        <w:rPr>
          <w:sz w:val="26"/>
          <w:szCs w:val="26"/>
        </w:rPr>
      </w:pPr>
    </w:p>
    <w:p w14:paraId="13930E11" w14:textId="77777777" w:rsidR="00957510" w:rsidRPr="002915C6" w:rsidRDefault="00957510" w:rsidP="00BE5FF4">
      <w:pPr>
        <w:widowControl/>
        <w:spacing w:line="360" w:lineRule="auto"/>
        <w:rPr>
          <w:sz w:val="26"/>
          <w:szCs w:val="26"/>
        </w:rPr>
      </w:pPr>
      <w:r w:rsidRPr="002915C6">
        <w:rPr>
          <w:sz w:val="26"/>
          <w:szCs w:val="26"/>
        </w:rPr>
        <w:tab/>
      </w:r>
      <w:r w:rsidRPr="002915C6">
        <w:rPr>
          <w:sz w:val="26"/>
          <w:szCs w:val="26"/>
        </w:rPr>
        <w:tab/>
        <w:t xml:space="preserve">Aqua acknowledged in the instant proceeding that the Commission has the final authority over the rates charged to utility customers.  Specifically, </w:t>
      </w:r>
      <w:proofErr w:type="spellStart"/>
      <w:r w:rsidRPr="002915C6">
        <w:rPr>
          <w:sz w:val="26"/>
          <w:szCs w:val="26"/>
        </w:rPr>
        <w:t>Aqua’s</w:t>
      </w:r>
      <w:proofErr w:type="spellEnd"/>
      <w:r w:rsidRPr="002915C6">
        <w:rPr>
          <w:sz w:val="26"/>
          <w:szCs w:val="26"/>
        </w:rPr>
        <w:t xml:space="preserve"> witness, William Parker testified that “[w]</w:t>
      </w:r>
      <w:proofErr w:type="spellStart"/>
      <w:r w:rsidRPr="002915C6">
        <w:rPr>
          <w:sz w:val="26"/>
          <w:szCs w:val="26"/>
        </w:rPr>
        <w:t>hile</w:t>
      </w:r>
      <w:proofErr w:type="spellEnd"/>
      <w:r w:rsidRPr="002915C6">
        <w:rPr>
          <w:sz w:val="26"/>
          <w:szCs w:val="26"/>
        </w:rPr>
        <w:t xml:space="preserve"> the APA includes a period of three years over which rates are to remain unchanged at seller’s rates, there is no provision within the APA that changes the purchase price, or provides for a limitation on rate increases.  In addition, I note that the Commission maintains the authority to set rates in </w:t>
      </w:r>
      <w:r w:rsidR="002915C6" w:rsidRPr="002915C6">
        <w:rPr>
          <w:sz w:val="26"/>
          <w:szCs w:val="26"/>
        </w:rPr>
        <w:t>[</w:t>
      </w:r>
      <w:proofErr w:type="spellStart"/>
      <w:r w:rsidR="002915C6" w:rsidRPr="002915C6">
        <w:rPr>
          <w:sz w:val="26"/>
          <w:szCs w:val="26"/>
        </w:rPr>
        <w:t>Aqua’s</w:t>
      </w:r>
      <w:proofErr w:type="spellEnd"/>
      <w:r w:rsidR="002915C6" w:rsidRPr="002915C6">
        <w:rPr>
          <w:sz w:val="26"/>
          <w:szCs w:val="26"/>
        </w:rPr>
        <w:t>]</w:t>
      </w:r>
      <w:r w:rsidRPr="002915C6">
        <w:rPr>
          <w:sz w:val="26"/>
          <w:szCs w:val="26"/>
        </w:rPr>
        <w:t xml:space="preserve"> next base rate case.”  R.D. at 19-20 (</w:t>
      </w:r>
      <w:r w:rsidR="007B075A" w:rsidRPr="002915C6">
        <w:rPr>
          <w:sz w:val="26"/>
          <w:szCs w:val="26"/>
        </w:rPr>
        <w:t>quoting</w:t>
      </w:r>
      <w:r w:rsidRPr="002915C6">
        <w:rPr>
          <w:sz w:val="26"/>
          <w:szCs w:val="26"/>
        </w:rPr>
        <w:t xml:space="preserve"> Aqua Stmt. 1 at 6).  Mr. Packer further testified that, “nothing that Aqua has proposed in this application proceeding is binding on the ratemaking authority of the Commission or limiting the Commission’s ability to set rates.”  R.D. at 20 (</w:t>
      </w:r>
      <w:r w:rsidR="007B075A" w:rsidRPr="002915C6">
        <w:rPr>
          <w:sz w:val="26"/>
          <w:szCs w:val="26"/>
        </w:rPr>
        <w:t>quoting</w:t>
      </w:r>
      <w:r w:rsidRPr="002915C6">
        <w:rPr>
          <w:sz w:val="26"/>
          <w:szCs w:val="26"/>
        </w:rPr>
        <w:t xml:space="preserve"> Aqua Stmt. 1R at 8).</w:t>
      </w:r>
    </w:p>
    <w:p w14:paraId="0B8F6730" w14:textId="77777777" w:rsidR="00957510" w:rsidRPr="002915C6" w:rsidRDefault="00957510" w:rsidP="0012768D">
      <w:pPr>
        <w:widowControl/>
        <w:spacing w:line="360" w:lineRule="auto"/>
        <w:rPr>
          <w:sz w:val="26"/>
          <w:szCs w:val="26"/>
        </w:rPr>
      </w:pPr>
    </w:p>
    <w:p w14:paraId="17765B15" w14:textId="77777777" w:rsidR="00957510" w:rsidRPr="002915C6" w:rsidRDefault="00957510" w:rsidP="0012768D">
      <w:pPr>
        <w:widowControl/>
        <w:spacing w:line="360" w:lineRule="auto"/>
        <w:rPr>
          <w:sz w:val="26"/>
          <w:szCs w:val="26"/>
        </w:rPr>
      </w:pPr>
      <w:r w:rsidRPr="002915C6">
        <w:rPr>
          <w:sz w:val="26"/>
          <w:szCs w:val="26"/>
        </w:rPr>
        <w:tab/>
      </w:r>
      <w:r w:rsidRPr="002915C6">
        <w:rPr>
          <w:sz w:val="26"/>
          <w:szCs w:val="26"/>
        </w:rPr>
        <w:tab/>
        <w:t xml:space="preserve">The OCA, on the other hand, recommended that if the Application is approved by the Commission, conditions should attach to the approval that place the risk of any revenue shortfall from the acquired customers caused by the APA on </w:t>
      </w:r>
      <w:proofErr w:type="spellStart"/>
      <w:r w:rsidRPr="002915C6">
        <w:rPr>
          <w:sz w:val="26"/>
          <w:szCs w:val="26"/>
        </w:rPr>
        <w:t>Aqua’s</w:t>
      </w:r>
      <w:proofErr w:type="spellEnd"/>
      <w:r w:rsidRPr="002915C6">
        <w:rPr>
          <w:sz w:val="26"/>
          <w:szCs w:val="26"/>
        </w:rPr>
        <w:t xml:space="preserve"> shareholders.  Specifically, the OCA recommended the following conditions:</w:t>
      </w:r>
    </w:p>
    <w:p w14:paraId="3290E269" w14:textId="77777777" w:rsidR="00957510" w:rsidRPr="002915C6" w:rsidRDefault="00957510" w:rsidP="0012768D">
      <w:pPr>
        <w:widowControl/>
        <w:spacing w:line="360" w:lineRule="auto"/>
        <w:rPr>
          <w:sz w:val="26"/>
          <w:szCs w:val="26"/>
        </w:rPr>
      </w:pPr>
      <w:r w:rsidRPr="002915C6">
        <w:rPr>
          <w:sz w:val="26"/>
          <w:szCs w:val="26"/>
        </w:rPr>
        <w:t xml:space="preserve"> </w:t>
      </w:r>
    </w:p>
    <w:p w14:paraId="7B4AAF4E" w14:textId="77777777" w:rsidR="00957510" w:rsidRPr="002915C6" w:rsidRDefault="00957510" w:rsidP="0012768D">
      <w:pPr>
        <w:widowControl/>
        <w:ind w:left="1440" w:right="1440"/>
        <w:rPr>
          <w:sz w:val="26"/>
          <w:szCs w:val="26"/>
        </w:rPr>
      </w:pPr>
      <w:r w:rsidRPr="002915C6">
        <w:rPr>
          <w:sz w:val="26"/>
          <w:szCs w:val="26"/>
        </w:rPr>
        <w:t xml:space="preserve">The Commission retains the authority to allocate revenues, if appropriate, to the Limerick Township customers that are inconsistent with the restrictions contained in the APA. </w:t>
      </w:r>
    </w:p>
    <w:p w14:paraId="7B344961" w14:textId="77777777" w:rsidR="00957510" w:rsidRPr="002915C6" w:rsidRDefault="00957510" w:rsidP="0012768D">
      <w:pPr>
        <w:widowControl/>
        <w:spacing w:line="360" w:lineRule="auto"/>
        <w:rPr>
          <w:sz w:val="26"/>
          <w:szCs w:val="26"/>
        </w:rPr>
      </w:pPr>
      <w:r w:rsidRPr="002915C6">
        <w:rPr>
          <w:sz w:val="26"/>
          <w:szCs w:val="26"/>
        </w:rPr>
        <w:t xml:space="preserve"> </w:t>
      </w:r>
    </w:p>
    <w:p w14:paraId="1FF00CCB" w14:textId="77777777" w:rsidR="00957510" w:rsidRPr="002915C6" w:rsidRDefault="00957510" w:rsidP="0012768D">
      <w:pPr>
        <w:widowControl/>
        <w:ind w:left="1440" w:right="1440"/>
        <w:rPr>
          <w:sz w:val="26"/>
          <w:szCs w:val="26"/>
        </w:rPr>
      </w:pPr>
      <w:r w:rsidRPr="002915C6">
        <w:rPr>
          <w:sz w:val="26"/>
          <w:szCs w:val="26"/>
        </w:rPr>
        <w:t xml:space="preserve">Aqua and its shareholders should bear all risk of a shortfall between revenues it is permitted to recover under its agreement with Limerick and the costs that the Company will incur with respect to this system.  To the extent that Aqua is unwilling or unable to charge costs in excess of the limitations provided in the Asset Purchase Agreement, the excess costs should be borne by shareholders and not spread to other ratepayers. </w:t>
      </w:r>
    </w:p>
    <w:p w14:paraId="572799A4" w14:textId="77777777" w:rsidR="00957510" w:rsidRPr="002915C6" w:rsidRDefault="00957510" w:rsidP="0012768D">
      <w:pPr>
        <w:widowControl/>
        <w:spacing w:line="360" w:lineRule="auto"/>
        <w:rPr>
          <w:sz w:val="26"/>
          <w:szCs w:val="26"/>
        </w:rPr>
      </w:pPr>
      <w:r w:rsidRPr="002915C6">
        <w:rPr>
          <w:sz w:val="26"/>
          <w:szCs w:val="26"/>
        </w:rPr>
        <w:t xml:space="preserve"> </w:t>
      </w:r>
    </w:p>
    <w:p w14:paraId="253E16E0" w14:textId="6B0D1A49" w:rsidR="00957510" w:rsidRPr="002915C6" w:rsidRDefault="00957510" w:rsidP="0012768D">
      <w:pPr>
        <w:widowControl/>
        <w:spacing w:line="360" w:lineRule="auto"/>
        <w:rPr>
          <w:sz w:val="26"/>
          <w:szCs w:val="26"/>
        </w:rPr>
      </w:pPr>
      <w:r w:rsidRPr="002915C6">
        <w:rPr>
          <w:sz w:val="26"/>
          <w:szCs w:val="26"/>
        </w:rPr>
        <w:t xml:space="preserve">R.D. at 20 </w:t>
      </w:r>
      <w:r w:rsidRPr="00862CDC">
        <w:rPr>
          <w:sz w:val="26"/>
          <w:szCs w:val="26"/>
        </w:rPr>
        <w:t>(citing</w:t>
      </w:r>
      <w:r w:rsidR="00862CDC" w:rsidRPr="00862CDC">
        <w:rPr>
          <w:sz w:val="26"/>
          <w:szCs w:val="26"/>
        </w:rPr>
        <w:t xml:space="preserve"> OCA M.B.</w:t>
      </w:r>
      <w:r w:rsidRPr="00862CDC">
        <w:rPr>
          <w:sz w:val="26"/>
          <w:szCs w:val="26"/>
        </w:rPr>
        <w:t xml:space="preserve"> at. 47-48).</w:t>
      </w:r>
      <w:r w:rsidRPr="002915C6">
        <w:rPr>
          <w:sz w:val="26"/>
          <w:szCs w:val="26"/>
        </w:rPr>
        <w:t xml:space="preserve"> </w:t>
      </w:r>
    </w:p>
    <w:p w14:paraId="5A00513C" w14:textId="77777777" w:rsidR="00957510" w:rsidRPr="002915C6" w:rsidRDefault="00957510" w:rsidP="0012768D">
      <w:pPr>
        <w:widowControl/>
        <w:spacing w:line="360" w:lineRule="auto"/>
        <w:rPr>
          <w:sz w:val="26"/>
          <w:szCs w:val="26"/>
        </w:rPr>
      </w:pPr>
    </w:p>
    <w:p w14:paraId="59395E09" w14:textId="77777777" w:rsidR="00957510" w:rsidRPr="002915C6" w:rsidRDefault="00957510" w:rsidP="0012768D">
      <w:pPr>
        <w:widowControl/>
        <w:spacing w:line="360" w:lineRule="auto"/>
        <w:rPr>
          <w:sz w:val="26"/>
          <w:szCs w:val="26"/>
        </w:rPr>
      </w:pPr>
      <w:r w:rsidRPr="002915C6">
        <w:rPr>
          <w:sz w:val="26"/>
          <w:szCs w:val="26"/>
        </w:rPr>
        <w:tab/>
      </w:r>
      <w:r w:rsidRPr="002915C6">
        <w:rPr>
          <w:sz w:val="26"/>
          <w:szCs w:val="26"/>
        </w:rPr>
        <w:tab/>
        <w:t xml:space="preserve">The ALJ explained that in the Aqua-New Garden proceeding, Aqua proposed freezing rates to New Garden customers for at least two years and, within the first ten years, limiting future rate increases to those customers so as not to exceed a compounded annual growth rate of 4%.  The ALJ pointed out that the Commission concluded in that proceeding that the rate commitments contained in the APA did not constitute a rate stabilization plan.  The ALJ, however, acknowledged that the Commission, in its effort to address similar concerns raised by the other Parties about the potential rate impact of the rate commitments on </w:t>
      </w:r>
      <w:proofErr w:type="spellStart"/>
      <w:r w:rsidRPr="002915C6">
        <w:rPr>
          <w:sz w:val="26"/>
          <w:szCs w:val="26"/>
        </w:rPr>
        <w:t>Aqua’s</w:t>
      </w:r>
      <w:proofErr w:type="spellEnd"/>
      <w:r w:rsidRPr="002915C6">
        <w:rPr>
          <w:sz w:val="26"/>
          <w:szCs w:val="26"/>
        </w:rPr>
        <w:t xml:space="preserve"> existing customers, imposed the </w:t>
      </w:r>
      <w:r w:rsidR="00B133D7" w:rsidRPr="002915C6">
        <w:rPr>
          <w:sz w:val="26"/>
          <w:szCs w:val="26"/>
        </w:rPr>
        <w:t xml:space="preserve">following </w:t>
      </w:r>
      <w:r w:rsidRPr="002915C6">
        <w:rPr>
          <w:sz w:val="26"/>
          <w:szCs w:val="26"/>
        </w:rPr>
        <w:t>conditions:</w:t>
      </w:r>
    </w:p>
    <w:p w14:paraId="08D9670D" w14:textId="77777777" w:rsidR="00957510" w:rsidRPr="002915C6" w:rsidRDefault="00957510" w:rsidP="0012768D">
      <w:pPr>
        <w:widowControl/>
        <w:spacing w:line="360" w:lineRule="auto"/>
        <w:rPr>
          <w:sz w:val="26"/>
          <w:szCs w:val="26"/>
        </w:rPr>
      </w:pPr>
      <w:r w:rsidRPr="002915C6">
        <w:rPr>
          <w:sz w:val="26"/>
          <w:szCs w:val="26"/>
        </w:rPr>
        <w:t xml:space="preserve"> </w:t>
      </w:r>
    </w:p>
    <w:p w14:paraId="175300CB" w14:textId="77777777" w:rsidR="00957510" w:rsidRPr="002915C6" w:rsidRDefault="00957510" w:rsidP="0012768D">
      <w:pPr>
        <w:widowControl/>
        <w:ind w:left="1440" w:right="1440"/>
        <w:rPr>
          <w:sz w:val="26"/>
          <w:szCs w:val="26"/>
        </w:rPr>
      </w:pPr>
      <w:r w:rsidRPr="002915C6">
        <w:rPr>
          <w:sz w:val="26"/>
          <w:szCs w:val="26"/>
        </w:rPr>
        <w:t xml:space="preserve">The Commission retains the authority to allocate revenues, if appropriate, to the New Garden Township customers that are in excess of the restrictions contained in the APA. </w:t>
      </w:r>
    </w:p>
    <w:p w14:paraId="66521F85" w14:textId="77777777" w:rsidR="00957510" w:rsidRPr="002915C6" w:rsidRDefault="00957510" w:rsidP="0012768D">
      <w:pPr>
        <w:widowControl/>
        <w:spacing w:line="360" w:lineRule="auto"/>
        <w:rPr>
          <w:sz w:val="26"/>
          <w:szCs w:val="26"/>
        </w:rPr>
      </w:pPr>
      <w:r w:rsidRPr="002915C6">
        <w:rPr>
          <w:sz w:val="26"/>
          <w:szCs w:val="26"/>
        </w:rPr>
        <w:t xml:space="preserve"> </w:t>
      </w:r>
    </w:p>
    <w:p w14:paraId="77901EDC" w14:textId="77777777" w:rsidR="00957510" w:rsidRDefault="00957510" w:rsidP="0012768D">
      <w:pPr>
        <w:widowControl/>
        <w:ind w:left="1440" w:right="1440"/>
        <w:rPr>
          <w:sz w:val="26"/>
          <w:szCs w:val="26"/>
        </w:rPr>
      </w:pPr>
      <w:r w:rsidRPr="002915C6">
        <w:rPr>
          <w:sz w:val="26"/>
          <w:szCs w:val="26"/>
        </w:rPr>
        <w:t>Aqua and its shareholders should bear all risk of a shortfall between revenues it is permitted to recover under its agreement with New Garden and the costs that the Company will incur with respect to this system.  To the extent that Aqua is unwilling or unable to charge costs in excess of the limitations provided in the Asset Purchase Agreement, the excess costs should be borne by shareholders and not spread to other ratepayers.</w:t>
      </w:r>
    </w:p>
    <w:p w14:paraId="6EFCCD30" w14:textId="77777777" w:rsidR="00210A28" w:rsidRDefault="00210A28" w:rsidP="0012768D">
      <w:pPr>
        <w:widowControl/>
        <w:ind w:left="1440" w:right="1440"/>
        <w:rPr>
          <w:sz w:val="26"/>
          <w:szCs w:val="26"/>
        </w:rPr>
      </w:pPr>
    </w:p>
    <w:p w14:paraId="7358A099" w14:textId="77777777" w:rsidR="00210A28" w:rsidRPr="002915C6" w:rsidRDefault="00210A28" w:rsidP="0012768D">
      <w:pPr>
        <w:widowControl/>
        <w:ind w:left="1440" w:right="1440"/>
        <w:rPr>
          <w:sz w:val="26"/>
          <w:szCs w:val="26"/>
        </w:rPr>
      </w:pPr>
    </w:p>
    <w:p w14:paraId="2A15F8A8" w14:textId="77777777" w:rsidR="00957510" w:rsidRPr="002915C6" w:rsidRDefault="00957510" w:rsidP="0012768D">
      <w:pPr>
        <w:widowControl/>
        <w:spacing w:line="360" w:lineRule="auto"/>
        <w:rPr>
          <w:sz w:val="26"/>
          <w:szCs w:val="26"/>
        </w:rPr>
      </w:pPr>
      <w:r w:rsidRPr="002915C6">
        <w:rPr>
          <w:sz w:val="26"/>
          <w:szCs w:val="26"/>
        </w:rPr>
        <w:t>R.D. at 20-21 (</w:t>
      </w:r>
      <w:r w:rsidR="00B133D7" w:rsidRPr="002915C6">
        <w:rPr>
          <w:sz w:val="26"/>
          <w:szCs w:val="26"/>
        </w:rPr>
        <w:t>quoting</w:t>
      </w:r>
      <w:r w:rsidRPr="002915C6">
        <w:rPr>
          <w:sz w:val="26"/>
          <w:szCs w:val="26"/>
        </w:rPr>
        <w:t xml:space="preserve"> </w:t>
      </w:r>
      <w:r w:rsidR="00B133D7" w:rsidRPr="002915C6">
        <w:rPr>
          <w:i/>
          <w:sz w:val="26"/>
          <w:szCs w:val="26"/>
        </w:rPr>
        <w:t>Aqua - New Garden Application Order</w:t>
      </w:r>
      <w:r w:rsidR="00B133D7" w:rsidRPr="002915C6">
        <w:rPr>
          <w:sz w:val="26"/>
          <w:szCs w:val="26"/>
        </w:rPr>
        <w:t xml:space="preserve"> </w:t>
      </w:r>
      <w:r w:rsidRPr="002915C6">
        <w:rPr>
          <w:sz w:val="26"/>
          <w:szCs w:val="26"/>
        </w:rPr>
        <w:t>at 70-71).</w:t>
      </w:r>
    </w:p>
    <w:p w14:paraId="27F10E3D" w14:textId="77777777" w:rsidR="00957510" w:rsidRPr="002915C6" w:rsidRDefault="00957510" w:rsidP="0012768D">
      <w:pPr>
        <w:widowControl/>
        <w:spacing w:line="360" w:lineRule="auto"/>
        <w:rPr>
          <w:sz w:val="26"/>
          <w:szCs w:val="26"/>
        </w:rPr>
      </w:pPr>
    </w:p>
    <w:p w14:paraId="65BBFF64" w14:textId="77777777" w:rsidR="00957510" w:rsidRPr="002915C6" w:rsidRDefault="00957510" w:rsidP="00BE5FF4">
      <w:pPr>
        <w:widowControl/>
        <w:spacing w:line="360" w:lineRule="auto"/>
        <w:rPr>
          <w:sz w:val="26"/>
          <w:szCs w:val="26"/>
        </w:rPr>
      </w:pPr>
      <w:r w:rsidRPr="002915C6">
        <w:rPr>
          <w:sz w:val="26"/>
          <w:szCs w:val="26"/>
        </w:rPr>
        <w:tab/>
      </w:r>
      <w:r w:rsidRPr="002915C6">
        <w:rPr>
          <w:sz w:val="26"/>
          <w:szCs w:val="26"/>
        </w:rPr>
        <w:tab/>
        <w:t xml:space="preserve">Therefore, similar to the Aqua-New Garden proceeding, the ALJ recommended that the conditions proposed by the OCA be applicable in the instant proceeding as well.  The ALJ </w:t>
      </w:r>
      <w:r w:rsidR="00B133D7" w:rsidRPr="002915C6">
        <w:rPr>
          <w:sz w:val="26"/>
          <w:szCs w:val="26"/>
        </w:rPr>
        <w:t xml:space="preserve">reasoned that </w:t>
      </w:r>
      <w:r w:rsidRPr="002915C6">
        <w:rPr>
          <w:sz w:val="26"/>
          <w:szCs w:val="26"/>
        </w:rPr>
        <w:t xml:space="preserve">by attaching these conditions to the approval of this Application, the acquired customers will enjoy the benefits of the rate commitments negotiated and memorialized in the APA while also making sure that </w:t>
      </w:r>
      <w:proofErr w:type="spellStart"/>
      <w:r w:rsidRPr="002915C6">
        <w:rPr>
          <w:sz w:val="26"/>
          <w:szCs w:val="26"/>
        </w:rPr>
        <w:t>Aqua’s</w:t>
      </w:r>
      <w:proofErr w:type="spellEnd"/>
      <w:r w:rsidRPr="002915C6">
        <w:rPr>
          <w:sz w:val="26"/>
          <w:szCs w:val="26"/>
        </w:rPr>
        <w:t xml:space="preserve"> existing customers are not unfairly burdened by any revenue shortfalls resulting from those commitments.  R.D. at 21.</w:t>
      </w:r>
    </w:p>
    <w:p w14:paraId="7841993C" w14:textId="77777777" w:rsidR="00957510" w:rsidRPr="002915C6" w:rsidRDefault="00957510" w:rsidP="0012768D">
      <w:pPr>
        <w:widowControl/>
        <w:spacing w:line="360" w:lineRule="auto"/>
        <w:rPr>
          <w:sz w:val="26"/>
          <w:szCs w:val="26"/>
        </w:rPr>
      </w:pPr>
    </w:p>
    <w:p w14:paraId="07A080F2" w14:textId="77777777" w:rsidR="00957510" w:rsidRPr="002915C6" w:rsidRDefault="00547F71" w:rsidP="0012768D">
      <w:pPr>
        <w:pStyle w:val="Heading3"/>
        <w:widowControl/>
        <w:spacing w:before="0" w:line="360" w:lineRule="auto"/>
        <w:ind w:left="720" w:firstLine="720"/>
        <w:rPr>
          <w:rFonts w:ascii="Times New Roman" w:hAnsi="Times New Roman" w:cs="Times New Roman"/>
          <w:color w:val="auto"/>
          <w:sz w:val="26"/>
          <w:szCs w:val="26"/>
        </w:rPr>
      </w:pPr>
      <w:bookmarkStart w:id="13" w:name="_Toc499121830"/>
      <w:r w:rsidRPr="00547F71">
        <w:rPr>
          <w:rFonts w:ascii="Times New Roman" w:hAnsi="Times New Roman" w:cs="Times New Roman"/>
          <w:color w:val="auto"/>
          <w:sz w:val="26"/>
          <w:szCs w:val="26"/>
        </w:rPr>
        <w:t>3.</w:t>
      </w:r>
      <w:r w:rsidR="00957510" w:rsidRPr="002915C6">
        <w:rPr>
          <w:rFonts w:ascii="Times New Roman" w:hAnsi="Times New Roman" w:cs="Times New Roman"/>
          <w:color w:val="auto"/>
          <w:sz w:val="26"/>
          <w:szCs w:val="26"/>
        </w:rPr>
        <w:tab/>
        <w:t>Regulatory Asset Treatment</w:t>
      </w:r>
      <w:bookmarkEnd w:id="13"/>
    </w:p>
    <w:p w14:paraId="337F77FE" w14:textId="77777777" w:rsidR="00957510" w:rsidRPr="002915C6" w:rsidRDefault="00957510" w:rsidP="0012768D">
      <w:pPr>
        <w:widowControl/>
        <w:spacing w:line="360" w:lineRule="auto"/>
        <w:rPr>
          <w:sz w:val="26"/>
          <w:szCs w:val="26"/>
        </w:rPr>
      </w:pPr>
    </w:p>
    <w:p w14:paraId="3C2B07F7" w14:textId="77777777" w:rsidR="00957510" w:rsidRPr="002915C6" w:rsidRDefault="00957510" w:rsidP="0012768D">
      <w:pPr>
        <w:widowControl/>
        <w:spacing w:line="360" w:lineRule="auto"/>
        <w:rPr>
          <w:sz w:val="26"/>
          <w:szCs w:val="26"/>
        </w:rPr>
      </w:pPr>
      <w:r w:rsidRPr="002915C6">
        <w:rPr>
          <w:sz w:val="26"/>
          <w:szCs w:val="26"/>
        </w:rPr>
        <w:tab/>
      </w:r>
      <w:r w:rsidRPr="002915C6">
        <w:rPr>
          <w:sz w:val="26"/>
          <w:szCs w:val="26"/>
        </w:rPr>
        <w:tab/>
        <w:t>Aqua proposed to split the $75.1 million ratemaking rate base into two parts, an initial rate base of $60 million and a regulatory asset of $15.1 million.  More specifically, Aqua propose</w:t>
      </w:r>
      <w:r w:rsidR="00B133D7" w:rsidRPr="002915C6">
        <w:rPr>
          <w:sz w:val="26"/>
          <w:szCs w:val="26"/>
        </w:rPr>
        <w:t>d</w:t>
      </w:r>
      <w:r w:rsidRPr="002915C6">
        <w:rPr>
          <w:sz w:val="26"/>
          <w:szCs w:val="26"/>
        </w:rPr>
        <w:t xml:space="preserve"> to amortize the $15.1 million regulatory asset at a rate of $2.1 million per year, which would be moved into rate base at the time the company files a base rate case.  R.D. at 21-22 (citing Aqua Stmt. No. </w:t>
      </w:r>
      <w:r w:rsidR="00B66FC5" w:rsidRPr="002915C6">
        <w:rPr>
          <w:sz w:val="26"/>
          <w:szCs w:val="26"/>
        </w:rPr>
        <w:t>1</w:t>
      </w:r>
      <w:r w:rsidRPr="002915C6">
        <w:rPr>
          <w:sz w:val="26"/>
          <w:szCs w:val="26"/>
        </w:rPr>
        <w:t xml:space="preserve"> at 15).  The regulatory asset would not depreciate; rather, depreciation would begin when Aq</w:t>
      </w:r>
      <w:r w:rsidR="00B66FC5" w:rsidRPr="002915C6">
        <w:rPr>
          <w:sz w:val="26"/>
          <w:szCs w:val="26"/>
        </w:rPr>
        <w:t>ua amortizes it into rate base.</w:t>
      </w:r>
      <w:r w:rsidRPr="002915C6">
        <w:rPr>
          <w:sz w:val="26"/>
          <w:szCs w:val="26"/>
        </w:rPr>
        <w:t xml:space="preserve">  R.D. at 22.</w:t>
      </w:r>
    </w:p>
    <w:p w14:paraId="59DD6D83" w14:textId="77777777" w:rsidR="00957510" w:rsidRPr="002915C6" w:rsidRDefault="00957510" w:rsidP="0012768D">
      <w:pPr>
        <w:widowControl/>
        <w:spacing w:line="360" w:lineRule="auto"/>
        <w:rPr>
          <w:sz w:val="26"/>
          <w:szCs w:val="26"/>
        </w:rPr>
      </w:pPr>
    </w:p>
    <w:p w14:paraId="1EBF322E" w14:textId="77777777" w:rsidR="00957510" w:rsidRPr="002915C6" w:rsidRDefault="00957510" w:rsidP="00BE5FF4">
      <w:pPr>
        <w:widowControl/>
        <w:spacing w:line="360" w:lineRule="auto"/>
        <w:ind w:firstLine="1440"/>
        <w:rPr>
          <w:sz w:val="26"/>
          <w:szCs w:val="26"/>
        </w:rPr>
      </w:pPr>
      <w:r w:rsidRPr="002915C6">
        <w:rPr>
          <w:sz w:val="26"/>
          <w:szCs w:val="26"/>
        </w:rPr>
        <w:t xml:space="preserve">However, both I&amp;E and the OCA opposed the regulatory asset treatment proposed by Aqua on the basis that it is not consistent with the typical use of a regulatory asset as a ratemaking tool.  Both </w:t>
      </w:r>
      <w:r w:rsidR="00B133D7" w:rsidRPr="002915C6">
        <w:rPr>
          <w:sz w:val="26"/>
          <w:szCs w:val="26"/>
        </w:rPr>
        <w:t>I&amp;E and the OCA</w:t>
      </w:r>
      <w:r w:rsidRPr="002915C6">
        <w:rPr>
          <w:sz w:val="26"/>
          <w:szCs w:val="26"/>
        </w:rPr>
        <w:t xml:space="preserve"> argued that regulatory assets are typically used for expense items, not for deferring utility plant in service.  I&amp;E argued, “[r]</w:t>
      </w:r>
      <w:proofErr w:type="spellStart"/>
      <w:r w:rsidRPr="002915C6">
        <w:rPr>
          <w:sz w:val="26"/>
          <w:szCs w:val="26"/>
        </w:rPr>
        <w:t>egulatory</w:t>
      </w:r>
      <w:proofErr w:type="spellEnd"/>
      <w:r w:rsidRPr="002915C6">
        <w:rPr>
          <w:sz w:val="26"/>
          <w:szCs w:val="26"/>
        </w:rPr>
        <w:t xml:space="preserve"> assets are used to defer the recognition of an expense that would otherwise have been included on the income statement during a certain timeframe and appears in the deferred debit portion of a balance sheet.”  </w:t>
      </w:r>
      <w:r w:rsidRPr="002915C6">
        <w:rPr>
          <w:i/>
          <w:sz w:val="26"/>
          <w:szCs w:val="26"/>
        </w:rPr>
        <w:t>Id.</w:t>
      </w:r>
      <w:r w:rsidRPr="002915C6">
        <w:rPr>
          <w:sz w:val="26"/>
          <w:szCs w:val="26"/>
        </w:rPr>
        <w:t xml:space="preserve"> (</w:t>
      </w:r>
      <w:r w:rsidR="002915C6" w:rsidRPr="002915C6">
        <w:rPr>
          <w:sz w:val="26"/>
          <w:szCs w:val="26"/>
        </w:rPr>
        <w:t>quoting</w:t>
      </w:r>
      <w:r w:rsidRPr="002915C6">
        <w:rPr>
          <w:sz w:val="26"/>
          <w:szCs w:val="26"/>
        </w:rPr>
        <w:t xml:space="preserve"> I&amp;E M.B. at 12).  The OCA further argued that </w:t>
      </w:r>
      <w:proofErr w:type="spellStart"/>
      <w:r w:rsidRPr="002915C6">
        <w:rPr>
          <w:sz w:val="26"/>
          <w:szCs w:val="26"/>
        </w:rPr>
        <w:t>Aqua’s</w:t>
      </w:r>
      <w:proofErr w:type="spellEnd"/>
      <w:r w:rsidRPr="002915C6">
        <w:rPr>
          <w:sz w:val="26"/>
          <w:szCs w:val="26"/>
        </w:rPr>
        <w:t xml:space="preserve"> proposal to amortize the asset in increments as it decides to file base rate cases means that it would not be possible to know when the asset would be fully amortized and included in rate base, creating uncertainty and unnecessary risk for customers.”  R.D. at 22 (citing OCA Stmt.1 at 5-6).  I&amp;E and the OCA averred that the entire ratemaking rate base approved by the Commission should be treated as rate base by Aqua and that Aqua should begin depreciating it for accounting purposes immediately upon closing.  R.D. at 22 (I&amp;E</w:t>
      </w:r>
      <w:r w:rsidR="00F87B9F">
        <w:rPr>
          <w:sz w:val="26"/>
          <w:szCs w:val="26"/>
        </w:rPr>
        <w:t xml:space="preserve"> M.B at 14; OCA M.B. at 49-50).</w:t>
      </w:r>
    </w:p>
    <w:p w14:paraId="27F4BE4B" w14:textId="77777777" w:rsidR="00957510" w:rsidRPr="002915C6" w:rsidRDefault="00957510" w:rsidP="00BE5FF4">
      <w:pPr>
        <w:widowControl/>
        <w:spacing w:line="360" w:lineRule="auto"/>
        <w:ind w:firstLine="1440"/>
        <w:rPr>
          <w:sz w:val="26"/>
          <w:szCs w:val="26"/>
        </w:rPr>
      </w:pPr>
    </w:p>
    <w:p w14:paraId="733503D5" w14:textId="30C015FA" w:rsidR="00957510" w:rsidRPr="002915C6" w:rsidRDefault="00957510" w:rsidP="00BE5FF4">
      <w:pPr>
        <w:widowControl/>
        <w:spacing w:line="360" w:lineRule="auto"/>
        <w:ind w:firstLine="1440"/>
        <w:rPr>
          <w:sz w:val="26"/>
          <w:szCs w:val="26"/>
        </w:rPr>
      </w:pPr>
      <w:r w:rsidRPr="002915C6">
        <w:rPr>
          <w:sz w:val="26"/>
          <w:szCs w:val="26"/>
        </w:rPr>
        <w:t xml:space="preserve">The ALJ agreed with I&amp;E and </w:t>
      </w:r>
      <w:r w:rsidR="00B66FC5" w:rsidRPr="002915C6">
        <w:rPr>
          <w:sz w:val="26"/>
          <w:szCs w:val="26"/>
        </w:rPr>
        <w:t xml:space="preserve">the </w:t>
      </w:r>
      <w:r w:rsidRPr="002915C6">
        <w:rPr>
          <w:sz w:val="26"/>
          <w:szCs w:val="26"/>
        </w:rPr>
        <w:t xml:space="preserve">OCA’s position that </w:t>
      </w:r>
      <w:proofErr w:type="spellStart"/>
      <w:r w:rsidRPr="002915C6">
        <w:rPr>
          <w:sz w:val="26"/>
          <w:szCs w:val="26"/>
        </w:rPr>
        <w:t>Aqua’s</w:t>
      </w:r>
      <w:proofErr w:type="spellEnd"/>
      <w:r w:rsidRPr="002915C6">
        <w:rPr>
          <w:sz w:val="26"/>
          <w:szCs w:val="26"/>
        </w:rPr>
        <w:t xml:space="preserve"> proposal to split the $75.1 million ratemaking rate base into an initial rate base of $60 million and a regulatory asset of $15.1 million should not be approved at this time.  According to the ALJ, Section 1329(c)(1) is clear in its intent to incorporate the full ratemaking rate base of the selling utility into the rate base of the acquiring utility during the acquiring utility’s next base rate case.  There is no provision for the splitting of the full rate base amount.  The ALJ also noted that a regulatory asset typically represents specific incurred costs that a regulatory agency permits a public utility to defer to its balance sheet because recovery will come through future rates, amounts that would otherwise be required to appear on the company's income statement and be charged against current expenses</w:t>
      </w:r>
      <w:r w:rsidR="002915C6" w:rsidRPr="002915C6">
        <w:rPr>
          <w:sz w:val="26"/>
          <w:szCs w:val="26"/>
        </w:rPr>
        <w:t xml:space="preserve">.  The ALJ explained that the </w:t>
      </w:r>
      <w:r w:rsidRPr="002915C6">
        <w:rPr>
          <w:sz w:val="26"/>
          <w:szCs w:val="26"/>
        </w:rPr>
        <w:t>circumstance</w:t>
      </w:r>
      <w:r w:rsidR="002915C6" w:rsidRPr="002915C6">
        <w:rPr>
          <w:sz w:val="26"/>
          <w:szCs w:val="26"/>
        </w:rPr>
        <w:t>s of this case did not involve the inc</w:t>
      </w:r>
      <w:r w:rsidR="00416A2A">
        <w:rPr>
          <w:sz w:val="26"/>
          <w:szCs w:val="26"/>
        </w:rPr>
        <w:t>l</w:t>
      </w:r>
      <w:r w:rsidR="002915C6" w:rsidRPr="002915C6">
        <w:rPr>
          <w:sz w:val="26"/>
          <w:szCs w:val="26"/>
        </w:rPr>
        <w:t xml:space="preserve">usion of such costs.  </w:t>
      </w:r>
      <w:r w:rsidRPr="002915C6">
        <w:rPr>
          <w:sz w:val="26"/>
          <w:szCs w:val="26"/>
        </w:rPr>
        <w:t xml:space="preserve">Based on the aforementioned reasons, the ALJ recommended that </w:t>
      </w:r>
      <w:proofErr w:type="spellStart"/>
      <w:r w:rsidRPr="002915C6">
        <w:rPr>
          <w:sz w:val="26"/>
          <w:szCs w:val="26"/>
        </w:rPr>
        <w:t>Aqua’s</w:t>
      </w:r>
      <w:proofErr w:type="spellEnd"/>
      <w:r w:rsidRPr="002915C6">
        <w:rPr>
          <w:sz w:val="26"/>
          <w:szCs w:val="26"/>
        </w:rPr>
        <w:t xml:space="preserve"> proposal to split the $75.1 million ratemaking rate base into an initial rate base of $60 million and a regulatory asset of $15.1 million be denied.  R.D. at 22.</w:t>
      </w:r>
    </w:p>
    <w:p w14:paraId="53E0F23F" w14:textId="77777777" w:rsidR="0030613E" w:rsidRPr="002915C6" w:rsidRDefault="0030613E" w:rsidP="0012768D">
      <w:pPr>
        <w:pStyle w:val="Default"/>
        <w:spacing w:line="360" w:lineRule="auto"/>
        <w:rPr>
          <w:b/>
          <w:sz w:val="26"/>
          <w:szCs w:val="26"/>
        </w:rPr>
      </w:pPr>
    </w:p>
    <w:p w14:paraId="77BA3C11" w14:textId="77777777" w:rsidR="00842AD8" w:rsidRPr="002915C6" w:rsidRDefault="00842AD8" w:rsidP="0012768D">
      <w:pPr>
        <w:pStyle w:val="Heading3"/>
        <w:widowControl/>
        <w:spacing w:before="0" w:line="360" w:lineRule="auto"/>
        <w:rPr>
          <w:rFonts w:ascii="Times New Roman" w:hAnsi="Times New Roman" w:cs="Times New Roman"/>
          <w:color w:val="auto"/>
          <w:sz w:val="26"/>
          <w:szCs w:val="26"/>
        </w:rPr>
      </w:pPr>
      <w:r w:rsidRPr="002915C6">
        <w:rPr>
          <w:b w:val="0"/>
          <w:sz w:val="26"/>
          <w:szCs w:val="26"/>
        </w:rPr>
        <w:tab/>
      </w:r>
      <w:r w:rsidRPr="002915C6">
        <w:rPr>
          <w:b w:val="0"/>
          <w:sz w:val="26"/>
          <w:szCs w:val="26"/>
        </w:rPr>
        <w:tab/>
      </w:r>
      <w:bookmarkStart w:id="14" w:name="_Toc499121831"/>
      <w:r w:rsidR="00547F71">
        <w:rPr>
          <w:rFonts w:ascii="Times New Roman" w:hAnsi="Times New Roman" w:cs="Times New Roman"/>
          <w:color w:val="auto"/>
          <w:sz w:val="26"/>
          <w:szCs w:val="26"/>
        </w:rPr>
        <w:t>4</w:t>
      </w:r>
      <w:r w:rsidRPr="002915C6">
        <w:rPr>
          <w:rFonts w:ascii="Times New Roman" w:hAnsi="Times New Roman" w:cs="Times New Roman"/>
          <w:color w:val="auto"/>
          <w:sz w:val="26"/>
          <w:szCs w:val="26"/>
        </w:rPr>
        <w:t>.</w:t>
      </w:r>
      <w:r w:rsidRPr="002915C6">
        <w:rPr>
          <w:rFonts w:ascii="Times New Roman" w:hAnsi="Times New Roman" w:cs="Times New Roman"/>
          <w:color w:val="auto"/>
          <w:sz w:val="26"/>
          <w:szCs w:val="26"/>
        </w:rPr>
        <w:tab/>
      </w:r>
      <w:r w:rsidR="0091106C" w:rsidRPr="002915C6">
        <w:rPr>
          <w:rFonts w:ascii="Times New Roman" w:hAnsi="Times New Roman" w:cs="Times New Roman"/>
          <w:color w:val="auto"/>
          <w:sz w:val="26"/>
          <w:szCs w:val="26"/>
        </w:rPr>
        <w:t xml:space="preserve">Ability to </w:t>
      </w:r>
      <w:r w:rsidR="007F1FA9" w:rsidRPr="002915C6">
        <w:rPr>
          <w:rFonts w:ascii="Times New Roman" w:hAnsi="Times New Roman" w:cs="Times New Roman"/>
          <w:color w:val="auto"/>
          <w:sz w:val="26"/>
          <w:szCs w:val="26"/>
        </w:rPr>
        <w:t xml:space="preserve">Challenge </w:t>
      </w:r>
      <w:r w:rsidR="0091106C" w:rsidRPr="002915C6">
        <w:rPr>
          <w:rFonts w:ascii="Times New Roman" w:hAnsi="Times New Roman" w:cs="Times New Roman"/>
          <w:color w:val="auto"/>
          <w:sz w:val="26"/>
          <w:szCs w:val="26"/>
        </w:rPr>
        <w:t>Fair Market Value</w:t>
      </w:r>
      <w:r w:rsidR="007F1FA9" w:rsidRPr="002915C6">
        <w:rPr>
          <w:rFonts w:ascii="Times New Roman" w:hAnsi="Times New Roman" w:cs="Times New Roman"/>
          <w:color w:val="auto"/>
          <w:sz w:val="26"/>
          <w:szCs w:val="26"/>
        </w:rPr>
        <w:t xml:space="preserve"> Appraisals</w:t>
      </w:r>
      <w:bookmarkEnd w:id="14"/>
    </w:p>
    <w:p w14:paraId="3E9F4892" w14:textId="77777777" w:rsidR="007F1FA9" w:rsidRPr="002915C6" w:rsidRDefault="007F1FA9" w:rsidP="0012768D">
      <w:pPr>
        <w:widowControl/>
        <w:spacing w:line="360" w:lineRule="auto"/>
        <w:rPr>
          <w:b/>
          <w:sz w:val="26"/>
          <w:szCs w:val="26"/>
        </w:rPr>
      </w:pPr>
    </w:p>
    <w:p w14:paraId="7FAFCE32" w14:textId="77777777" w:rsidR="007F1FA9" w:rsidRPr="002915C6" w:rsidRDefault="007F1FA9" w:rsidP="0012768D">
      <w:pPr>
        <w:widowControl/>
        <w:spacing w:line="360" w:lineRule="auto"/>
        <w:rPr>
          <w:sz w:val="26"/>
          <w:szCs w:val="26"/>
        </w:rPr>
      </w:pPr>
      <w:r w:rsidRPr="002915C6">
        <w:rPr>
          <w:b/>
          <w:sz w:val="26"/>
          <w:szCs w:val="26"/>
        </w:rPr>
        <w:tab/>
      </w:r>
      <w:r w:rsidRPr="002915C6">
        <w:rPr>
          <w:b/>
          <w:sz w:val="26"/>
          <w:szCs w:val="26"/>
        </w:rPr>
        <w:tab/>
      </w:r>
      <w:r w:rsidR="00FE2A2F" w:rsidRPr="002915C6">
        <w:rPr>
          <w:sz w:val="26"/>
          <w:szCs w:val="26"/>
        </w:rPr>
        <w:t xml:space="preserve">Next, the ALJ addressed </w:t>
      </w:r>
      <w:r w:rsidR="00D85135" w:rsidRPr="002915C6">
        <w:rPr>
          <w:sz w:val="26"/>
          <w:szCs w:val="26"/>
        </w:rPr>
        <w:t xml:space="preserve">the continuing </w:t>
      </w:r>
      <w:r w:rsidR="00FE2A2F" w:rsidRPr="002915C6">
        <w:rPr>
          <w:sz w:val="26"/>
          <w:szCs w:val="26"/>
        </w:rPr>
        <w:t>dispute as to whether the Commission or other</w:t>
      </w:r>
      <w:r w:rsidR="00852956" w:rsidRPr="002915C6">
        <w:rPr>
          <w:sz w:val="26"/>
          <w:szCs w:val="26"/>
        </w:rPr>
        <w:t xml:space="preserve"> Part</w:t>
      </w:r>
      <w:r w:rsidR="00265320" w:rsidRPr="002915C6">
        <w:rPr>
          <w:sz w:val="26"/>
          <w:szCs w:val="26"/>
        </w:rPr>
        <w:t>ies</w:t>
      </w:r>
      <w:r w:rsidR="00852956" w:rsidRPr="002915C6">
        <w:rPr>
          <w:sz w:val="26"/>
          <w:szCs w:val="26"/>
        </w:rPr>
        <w:t xml:space="preserve"> may challenge the appropriateness of the fair market value determinations of the UVEs</w:t>
      </w:r>
      <w:r w:rsidR="00D85135" w:rsidRPr="002915C6">
        <w:rPr>
          <w:sz w:val="26"/>
          <w:szCs w:val="26"/>
        </w:rPr>
        <w:t xml:space="preserve"> determined pursuant to Section 1329</w:t>
      </w:r>
      <w:r w:rsidR="00852956" w:rsidRPr="002915C6">
        <w:rPr>
          <w:sz w:val="26"/>
          <w:szCs w:val="26"/>
        </w:rPr>
        <w:t xml:space="preserve">. </w:t>
      </w:r>
      <w:r w:rsidR="000B61A9" w:rsidRPr="002915C6">
        <w:rPr>
          <w:sz w:val="26"/>
          <w:szCs w:val="26"/>
        </w:rPr>
        <w:t xml:space="preserve"> </w:t>
      </w:r>
      <w:r w:rsidR="00A57919" w:rsidRPr="002915C6">
        <w:rPr>
          <w:sz w:val="26"/>
          <w:szCs w:val="26"/>
        </w:rPr>
        <w:t xml:space="preserve">According to Aqua, the procedures under Section 1329, including the independent appraisals by the UVEs, provide the mechanism for determining the rate base value of the acquired assets.  The Company asserted that there is no allowance under Section 1329 for the </w:t>
      </w:r>
      <w:r w:rsidR="000B61A9" w:rsidRPr="002915C6">
        <w:rPr>
          <w:sz w:val="26"/>
          <w:szCs w:val="26"/>
        </w:rPr>
        <w:t xml:space="preserve">other </w:t>
      </w:r>
      <w:r w:rsidR="00A57919" w:rsidRPr="002915C6">
        <w:rPr>
          <w:sz w:val="26"/>
          <w:szCs w:val="26"/>
        </w:rPr>
        <w:t xml:space="preserve">Parties to challenge or question the appropriateness of the rate base value proposed by the Applicant.  R.D. at </w:t>
      </w:r>
      <w:r w:rsidR="00D85135" w:rsidRPr="002915C6">
        <w:rPr>
          <w:sz w:val="26"/>
          <w:szCs w:val="26"/>
        </w:rPr>
        <w:t>23</w:t>
      </w:r>
      <w:r w:rsidR="00A57919" w:rsidRPr="002915C6">
        <w:rPr>
          <w:sz w:val="26"/>
          <w:szCs w:val="26"/>
        </w:rPr>
        <w:t>.</w:t>
      </w:r>
    </w:p>
    <w:p w14:paraId="1686471B" w14:textId="77777777" w:rsidR="004136E6" w:rsidRPr="002915C6" w:rsidRDefault="004136E6" w:rsidP="0012768D">
      <w:pPr>
        <w:widowControl/>
        <w:spacing w:line="360" w:lineRule="auto"/>
        <w:rPr>
          <w:sz w:val="26"/>
          <w:szCs w:val="26"/>
        </w:rPr>
      </w:pPr>
    </w:p>
    <w:p w14:paraId="3862A2DD" w14:textId="77777777" w:rsidR="004D71E9" w:rsidRPr="002915C6" w:rsidRDefault="00A57919" w:rsidP="0012768D">
      <w:pPr>
        <w:widowControl/>
        <w:spacing w:line="360" w:lineRule="auto"/>
        <w:rPr>
          <w:sz w:val="26"/>
          <w:szCs w:val="26"/>
        </w:rPr>
      </w:pPr>
      <w:r w:rsidRPr="002915C6">
        <w:rPr>
          <w:sz w:val="26"/>
          <w:szCs w:val="26"/>
        </w:rPr>
        <w:tab/>
      </w:r>
      <w:r w:rsidRPr="002915C6">
        <w:rPr>
          <w:sz w:val="26"/>
          <w:szCs w:val="26"/>
        </w:rPr>
        <w:tab/>
      </w:r>
      <w:r w:rsidR="0025013B" w:rsidRPr="002915C6">
        <w:rPr>
          <w:sz w:val="26"/>
          <w:szCs w:val="26"/>
        </w:rPr>
        <w:t xml:space="preserve">On the other hand, </w:t>
      </w:r>
      <w:r w:rsidR="00D85135" w:rsidRPr="002915C6">
        <w:rPr>
          <w:sz w:val="26"/>
          <w:szCs w:val="26"/>
        </w:rPr>
        <w:t>t</w:t>
      </w:r>
      <w:r w:rsidRPr="002915C6">
        <w:rPr>
          <w:sz w:val="26"/>
          <w:szCs w:val="26"/>
        </w:rPr>
        <w:t xml:space="preserve">he OCA argued that it would be inconsistent with the Code to allow the Company to submit its valuation proposal, supported by two reports, without allowing any review or challenge to those reports.  Additionally, </w:t>
      </w:r>
      <w:r w:rsidR="00E87C1F" w:rsidRPr="002915C6">
        <w:rPr>
          <w:sz w:val="26"/>
          <w:szCs w:val="26"/>
        </w:rPr>
        <w:t>the OCA asserted due process arguments that the determination of the ratemaking rate base impacts the calculation of the revenue requirement which can only be made by giving due notice and an opportunity to challenge the UVE appraisals.  According to the OCA, the rate base determination under Section 1329</w:t>
      </w:r>
      <w:r w:rsidR="004D71E9" w:rsidRPr="002915C6">
        <w:rPr>
          <w:sz w:val="26"/>
          <w:szCs w:val="26"/>
        </w:rPr>
        <w:t xml:space="preserve"> </w:t>
      </w:r>
      <w:r w:rsidR="00E87C1F" w:rsidRPr="002915C6">
        <w:rPr>
          <w:sz w:val="26"/>
          <w:szCs w:val="26"/>
        </w:rPr>
        <w:t xml:space="preserve">will </w:t>
      </w:r>
      <w:r w:rsidR="004D71E9" w:rsidRPr="002915C6">
        <w:rPr>
          <w:sz w:val="26"/>
          <w:szCs w:val="26"/>
        </w:rPr>
        <w:t>impact future rates for years to come and the Parties must have the opportunity to challenge the determination through the submission of testimony related to appropriateness of the rate base valuation.</w:t>
      </w:r>
    </w:p>
    <w:p w14:paraId="3B0EB9C6" w14:textId="77777777" w:rsidR="004D71E9" w:rsidRPr="002915C6" w:rsidRDefault="004D71E9" w:rsidP="0012768D">
      <w:pPr>
        <w:widowControl/>
        <w:spacing w:line="360" w:lineRule="auto"/>
        <w:rPr>
          <w:sz w:val="26"/>
          <w:szCs w:val="26"/>
        </w:rPr>
      </w:pPr>
    </w:p>
    <w:p w14:paraId="3EF9B154" w14:textId="77777777" w:rsidR="00A743BF" w:rsidRPr="002915C6" w:rsidRDefault="00BE06D4" w:rsidP="0012768D">
      <w:pPr>
        <w:widowControl/>
        <w:spacing w:line="360" w:lineRule="auto"/>
        <w:rPr>
          <w:sz w:val="26"/>
          <w:szCs w:val="26"/>
        </w:rPr>
      </w:pPr>
      <w:r w:rsidRPr="002915C6">
        <w:rPr>
          <w:sz w:val="26"/>
          <w:szCs w:val="26"/>
        </w:rPr>
        <w:tab/>
      </w:r>
      <w:r w:rsidRPr="002915C6">
        <w:rPr>
          <w:sz w:val="26"/>
          <w:szCs w:val="26"/>
        </w:rPr>
        <w:tab/>
      </w:r>
      <w:r w:rsidR="00D14240" w:rsidRPr="002915C6">
        <w:rPr>
          <w:sz w:val="26"/>
          <w:szCs w:val="26"/>
        </w:rPr>
        <w:t xml:space="preserve">The ALJ acknowledged that neither Section 1329 nor the </w:t>
      </w:r>
      <w:r w:rsidR="00D14240" w:rsidRPr="002915C6">
        <w:rPr>
          <w:i/>
          <w:sz w:val="26"/>
          <w:szCs w:val="26"/>
        </w:rPr>
        <w:t>Final Implementation Order</w:t>
      </w:r>
      <w:r w:rsidR="00D14240" w:rsidRPr="002915C6">
        <w:rPr>
          <w:sz w:val="26"/>
          <w:szCs w:val="26"/>
        </w:rPr>
        <w:t xml:space="preserve"> directly address this issue.  However, the ALJ expressed his view that the legislature did not intend to eliminate </w:t>
      </w:r>
      <w:r w:rsidR="00AA1235" w:rsidRPr="002915C6">
        <w:rPr>
          <w:sz w:val="26"/>
          <w:szCs w:val="26"/>
        </w:rPr>
        <w:t xml:space="preserve">completely </w:t>
      </w:r>
      <w:r w:rsidR="00D14240" w:rsidRPr="002915C6">
        <w:rPr>
          <w:sz w:val="26"/>
          <w:szCs w:val="26"/>
        </w:rPr>
        <w:t xml:space="preserve">the Commission’s ability to analyze and challenge the UVE appraisals and the rate base value proposed by the Applicant.  </w:t>
      </w:r>
      <w:r w:rsidR="00935572" w:rsidRPr="002915C6">
        <w:rPr>
          <w:sz w:val="26"/>
          <w:szCs w:val="26"/>
        </w:rPr>
        <w:t xml:space="preserve">Noting the finding in the </w:t>
      </w:r>
      <w:r w:rsidR="00935572" w:rsidRPr="002915C6">
        <w:rPr>
          <w:i/>
          <w:sz w:val="26"/>
          <w:szCs w:val="26"/>
        </w:rPr>
        <w:t>Aqua – New Garden Application Order</w:t>
      </w:r>
      <w:r w:rsidR="00935572" w:rsidRPr="002915C6">
        <w:rPr>
          <w:sz w:val="26"/>
          <w:szCs w:val="26"/>
        </w:rPr>
        <w:t xml:space="preserve"> that Section 1329 permits the Commission and the Parties to develop a record pertaining to a review and an analysis of the fair market appraisals of the UVEs.  </w:t>
      </w:r>
      <w:r w:rsidR="00A743BF" w:rsidRPr="002915C6">
        <w:rPr>
          <w:sz w:val="26"/>
          <w:szCs w:val="26"/>
        </w:rPr>
        <w:t xml:space="preserve">Accordingly, the ALJ </w:t>
      </w:r>
      <w:r w:rsidR="00935572" w:rsidRPr="002915C6">
        <w:rPr>
          <w:sz w:val="26"/>
          <w:szCs w:val="26"/>
        </w:rPr>
        <w:t xml:space="preserve">found it appropriate in this proceeding to allow the Parties to question or challenge the fair market value appraisals and the proposed rate base value of the acquired assets, and to submit evidence and develop a record in support of their respective positions. </w:t>
      </w:r>
      <w:r w:rsidR="00A743BF" w:rsidRPr="002915C6">
        <w:rPr>
          <w:sz w:val="26"/>
          <w:szCs w:val="26"/>
        </w:rPr>
        <w:t xml:space="preserve"> R.D. at</w:t>
      </w:r>
      <w:r w:rsidR="00AA1235" w:rsidRPr="002915C6">
        <w:rPr>
          <w:sz w:val="26"/>
          <w:szCs w:val="26"/>
        </w:rPr>
        <w:t> </w:t>
      </w:r>
      <w:r w:rsidR="00935572" w:rsidRPr="002915C6">
        <w:rPr>
          <w:sz w:val="26"/>
          <w:szCs w:val="26"/>
        </w:rPr>
        <w:t>26</w:t>
      </w:r>
      <w:r w:rsidR="00A743BF" w:rsidRPr="002915C6">
        <w:rPr>
          <w:sz w:val="26"/>
          <w:szCs w:val="26"/>
        </w:rPr>
        <w:t>.</w:t>
      </w:r>
    </w:p>
    <w:p w14:paraId="0C14B989" w14:textId="77777777" w:rsidR="00547F71" w:rsidRDefault="00547F71" w:rsidP="0012768D">
      <w:pPr>
        <w:pStyle w:val="ListParagraph"/>
        <w:widowControl/>
        <w:spacing w:line="360" w:lineRule="auto"/>
        <w:ind w:left="2520"/>
        <w:rPr>
          <w:sz w:val="26"/>
          <w:szCs w:val="26"/>
        </w:rPr>
      </w:pPr>
    </w:p>
    <w:p w14:paraId="121E8454" w14:textId="77777777" w:rsidR="005A023D" w:rsidRPr="002915C6" w:rsidRDefault="00935572" w:rsidP="0012768D">
      <w:pPr>
        <w:pStyle w:val="ListParagraph"/>
        <w:widowControl/>
        <w:numPr>
          <w:ilvl w:val="0"/>
          <w:numId w:val="14"/>
        </w:numPr>
        <w:spacing w:line="360" w:lineRule="auto"/>
        <w:ind w:left="1980" w:hanging="450"/>
        <w:outlineLvl w:val="2"/>
        <w:rPr>
          <w:b/>
          <w:sz w:val="26"/>
          <w:szCs w:val="26"/>
        </w:rPr>
      </w:pPr>
      <w:bookmarkStart w:id="15" w:name="_Toc499121832"/>
      <w:r w:rsidRPr="002915C6">
        <w:rPr>
          <w:b/>
          <w:sz w:val="26"/>
          <w:szCs w:val="26"/>
        </w:rPr>
        <w:t>Rate Base Value</w:t>
      </w:r>
      <w:bookmarkEnd w:id="15"/>
    </w:p>
    <w:p w14:paraId="37C74FE6" w14:textId="77777777" w:rsidR="005A023D" w:rsidRPr="002915C6" w:rsidRDefault="005A023D" w:rsidP="0012768D">
      <w:pPr>
        <w:widowControl/>
        <w:spacing w:line="360" w:lineRule="auto"/>
        <w:rPr>
          <w:b/>
          <w:sz w:val="26"/>
          <w:szCs w:val="26"/>
        </w:rPr>
      </w:pPr>
      <w:r w:rsidRPr="002915C6">
        <w:rPr>
          <w:sz w:val="26"/>
          <w:szCs w:val="26"/>
        </w:rPr>
        <w:tab/>
      </w:r>
    </w:p>
    <w:p w14:paraId="74510C09" w14:textId="77777777" w:rsidR="005A023D" w:rsidRPr="00E90087" w:rsidRDefault="00E90087" w:rsidP="00BE5FF4">
      <w:pPr>
        <w:widowControl/>
        <w:spacing w:line="360" w:lineRule="auto"/>
        <w:ind w:left="2160"/>
        <w:rPr>
          <w:b/>
          <w:sz w:val="26"/>
          <w:szCs w:val="26"/>
        </w:rPr>
      </w:pPr>
      <w:r>
        <w:rPr>
          <w:b/>
          <w:sz w:val="26"/>
          <w:szCs w:val="26"/>
        </w:rPr>
        <w:t>a.</w:t>
      </w:r>
      <w:r>
        <w:rPr>
          <w:b/>
          <w:sz w:val="26"/>
          <w:szCs w:val="26"/>
        </w:rPr>
        <w:tab/>
      </w:r>
      <w:r w:rsidR="005A023D" w:rsidRPr="00E90087">
        <w:rPr>
          <w:b/>
          <w:sz w:val="26"/>
          <w:szCs w:val="26"/>
        </w:rPr>
        <w:t>HRG’s Appraisal</w:t>
      </w:r>
    </w:p>
    <w:p w14:paraId="64479B2C" w14:textId="77777777" w:rsidR="005A023D" w:rsidRPr="002915C6" w:rsidRDefault="005D687F" w:rsidP="0012768D">
      <w:pPr>
        <w:pStyle w:val="ListParagraph"/>
        <w:widowControl/>
        <w:spacing w:line="360" w:lineRule="auto"/>
        <w:ind w:left="3600"/>
        <w:rPr>
          <w:b/>
          <w:sz w:val="26"/>
          <w:szCs w:val="26"/>
        </w:rPr>
      </w:pPr>
      <w:r w:rsidRPr="002915C6">
        <w:rPr>
          <w:sz w:val="26"/>
          <w:szCs w:val="26"/>
        </w:rPr>
        <w:tab/>
      </w:r>
    </w:p>
    <w:p w14:paraId="2A18C206" w14:textId="77777777" w:rsidR="005D687F" w:rsidRPr="002915C6" w:rsidRDefault="005A023D" w:rsidP="0012768D">
      <w:pPr>
        <w:pStyle w:val="ListParagraph"/>
        <w:widowControl/>
        <w:spacing w:line="360" w:lineRule="auto"/>
        <w:ind w:left="0"/>
        <w:rPr>
          <w:sz w:val="26"/>
          <w:szCs w:val="26"/>
        </w:rPr>
      </w:pPr>
      <w:r w:rsidRPr="002915C6">
        <w:rPr>
          <w:sz w:val="26"/>
          <w:szCs w:val="26"/>
        </w:rPr>
        <w:tab/>
      </w:r>
      <w:r w:rsidRPr="002915C6">
        <w:rPr>
          <w:sz w:val="26"/>
          <w:szCs w:val="26"/>
        </w:rPr>
        <w:tab/>
      </w:r>
      <w:r w:rsidR="00646299" w:rsidRPr="002915C6">
        <w:rPr>
          <w:sz w:val="26"/>
          <w:szCs w:val="26"/>
        </w:rPr>
        <w:t xml:space="preserve">The ALJ adopted several adjustments to the fair market value appraisal prepared by HRG, Limerick’s UVE.  </w:t>
      </w:r>
      <w:r w:rsidR="005D687F" w:rsidRPr="002915C6">
        <w:rPr>
          <w:sz w:val="26"/>
          <w:szCs w:val="26"/>
        </w:rPr>
        <w:t xml:space="preserve">Specifically, the ALJ made </w:t>
      </w:r>
      <w:r w:rsidR="00CC2D41" w:rsidRPr="002915C6">
        <w:rPr>
          <w:sz w:val="26"/>
          <w:szCs w:val="26"/>
        </w:rPr>
        <w:t>five</w:t>
      </w:r>
      <w:r w:rsidR="005D687F" w:rsidRPr="002915C6">
        <w:rPr>
          <w:sz w:val="26"/>
          <w:szCs w:val="26"/>
        </w:rPr>
        <w:t xml:space="preserve"> adjustments to the </w:t>
      </w:r>
      <w:r w:rsidR="00646299" w:rsidRPr="002915C6">
        <w:rPr>
          <w:sz w:val="26"/>
          <w:szCs w:val="26"/>
        </w:rPr>
        <w:t>income approach</w:t>
      </w:r>
      <w:r w:rsidR="005D687F" w:rsidRPr="002915C6">
        <w:rPr>
          <w:sz w:val="26"/>
          <w:szCs w:val="26"/>
        </w:rPr>
        <w:t>, three adjustments to the cost approach, and one adjustment to the market approach within the appraisal determination made by HRG.</w:t>
      </w:r>
    </w:p>
    <w:p w14:paraId="12D82E42" w14:textId="77777777" w:rsidR="005D687F" w:rsidRPr="002915C6" w:rsidRDefault="005D687F" w:rsidP="0012768D">
      <w:pPr>
        <w:pStyle w:val="ListParagraph"/>
        <w:widowControl/>
        <w:spacing w:line="360" w:lineRule="auto"/>
        <w:ind w:left="0"/>
        <w:rPr>
          <w:sz w:val="26"/>
          <w:szCs w:val="26"/>
        </w:rPr>
      </w:pPr>
    </w:p>
    <w:p w14:paraId="0A7357CC" w14:textId="77777777" w:rsidR="00821B53" w:rsidRPr="002915C6" w:rsidRDefault="005D687F" w:rsidP="00BE5FF4">
      <w:pPr>
        <w:widowControl/>
        <w:spacing w:line="360" w:lineRule="auto"/>
        <w:rPr>
          <w:sz w:val="26"/>
          <w:szCs w:val="26"/>
        </w:rPr>
      </w:pPr>
      <w:r w:rsidRPr="002915C6">
        <w:rPr>
          <w:sz w:val="26"/>
          <w:szCs w:val="26"/>
        </w:rPr>
        <w:tab/>
      </w:r>
      <w:r w:rsidRPr="002915C6">
        <w:rPr>
          <w:sz w:val="26"/>
          <w:szCs w:val="26"/>
        </w:rPr>
        <w:tab/>
      </w:r>
      <w:r w:rsidR="007F2E9A" w:rsidRPr="002915C6">
        <w:rPr>
          <w:sz w:val="26"/>
          <w:szCs w:val="26"/>
        </w:rPr>
        <w:t>In the</w:t>
      </w:r>
      <w:r w:rsidRPr="002915C6">
        <w:rPr>
          <w:sz w:val="26"/>
          <w:szCs w:val="26"/>
        </w:rPr>
        <w:t xml:space="preserve"> </w:t>
      </w:r>
      <w:r w:rsidR="007F2E9A" w:rsidRPr="002915C6">
        <w:rPr>
          <w:sz w:val="26"/>
          <w:szCs w:val="26"/>
        </w:rPr>
        <w:t xml:space="preserve">first </w:t>
      </w:r>
      <w:r w:rsidRPr="002915C6">
        <w:rPr>
          <w:sz w:val="26"/>
          <w:szCs w:val="26"/>
        </w:rPr>
        <w:t>income approach a</w:t>
      </w:r>
      <w:r w:rsidR="007F2E9A" w:rsidRPr="002915C6">
        <w:rPr>
          <w:sz w:val="26"/>
          <w:szCs w:val="26"/>
        </w:rPr>
        <w:t>djustment</w:t>
      </w:r>
      <w:r w:rsidRPr="002915C6">
        <w:rPr>
          <w:sz w:val="26"/>
          <w:szCs w:val="26"/>
        </w:rPr>
        <w:t xml:space="preserve">, the ALJ </w:t>
      </w:r>
      <w:r w:rsidR="001800B3" w:rsidRPr="002915C6">
        <w:rPr>
          <w:sz w:val="26"/>
          <w:szCs w:val="26"/>
        </w:rPr>
        <w:t xml:space="preserve">agreed with the OCA that HRG’s income tax expense </w:t>
      </w:r>
      <w:r w:rsidR="00D702DA" w:rsidRPr="002915C6">
        <w:rPr>
          <w:sz w:val="26"/>
          <w:szCs w:val="26"/>
        </w:rPr>
        <w:t>contained</w:t>
      </w:r>
      <w:r w:rsidR="001800B3" w:rsidRPr="002915C6">
        <w:rPr>
          <w:sz w:val="26"/>
          <w:szCs w:val="26"/>
        </w:rPr>
        <w:t xml:space="preserve"> many errors, including: (1)  HRG’s assumption of no federal or state incomes taxes for the first four years of its DCF analysis; (2) HRG’s use of a 38.9% tax rate when an incremental tax rate of 41.49% should have  been used based </w:t>
      </w:r>
      <w:r w:rsidR="00B3074B" w:rsidRPr="002915C6">
        <w:rPr>
          <w:sz w:val="26"/>
          <w:szCs w:val="26"/>
        </w:rPr>
        <w:t>on the state income tax rate of 9.99% and the federal income tax rate of 35%; (3)</w:t>
      </w:r>
      <w:r w:rsidR="00711ACA">
        <w:rPr>
          <w:sz w:val="26"/>
          <w:szCs w:val="26"/>
        </w:rPr>
        <w:t> </w:t>
      </w:r>
      <w:r w:rsidR="00B3074B" w:rsidRPr="002915C6">
        <w:rPr>
          <w:sz w:val="26"/>
          <w:szCs w:val="26"/>
        </w:rPr>
        <w:t>HRG’s treatment of capital expenditures as a tax deductible expense, when only the depreciation of those capital expenditures should be tax deductible; and (4)</w:t>
      </w:r>
      <w:r w:rsidR="00711ACA">
        <w:rPr>
          <w:sz w:val="26"/>
          <w:szCs w:val="26"/>
        </w:rPr>
        <w:t> </w:t>
      </w:r>
      <w:r w:rsidR="00D702DA" w:rsidRPr="002915C6">
        <w:rPr>
          <w:sz w:val="26"/>
          <w:szCs w:val="26"/>
        </w:rPr>
        <w:t>the failure of HRG to include</w:t>
      </w:r>
      <w:r w:rsidR="00B3074B" w:rsidRPr="002915C6">
        <w:rPr>
          <w:sz w:val="26"/>
          <w:szCs w:val="26"/>
        </w:rPr>
        <w:t xml:space="preserve"> any deduction for depreciation expense or </w:t>
      </w:r>
      <w:r w:rsidR="00D702DA" w:rsidRPr="002915C6">
        <w:rPr>
          <w:sz w:val="26"/>
          <w:szCs w:val="26"/>
        </w:rPr>
        <w:t xml:space="preserve">to </w:t>
      </w:r>
      <w:r w:rsidR="00B3074B" w:rsidRPr="002915C6">
        <w:rPr>
          <w:sz w:val="26"/>
          <w:szCs w:val="26"/>
        </w:rPr>
        <w:t xml:space="preserve">reflect a deduction for income expense.  </w:t>
      </w:r>
      <w:r w:rsidR="00821B53" w:rsidRPr="002915C6">
        <w:rPr>
          <w:sz w:val="26"/>
          <w:szCs w:val="26"/>
        </w:rPr>
        <w:t>R.D. at 31-32.</w:t>
      </w:r>
    </w:p>
    <w:p w14:paraId="05FBDAF8" w14:textId="77777777" w:rsidR="00821B53" w:rsidRPr="002915C6" w:rsidRDefault="00821B53" w:rsidP="00BE5FF4">
      <w:pPr>
        <w:widowControl/>
        <w:spacing w:line="360" w:lineRule="auto"/>
        <w:rPr>
          <w:sz w:val="26"/>
          <w:szCs w:val="26"/>
        </w:rPr>
      </w:pPr>
    </w:p>
    <w:p w14:paraId="2A0C15DD" w14:textId="77777777" w:rsidR="00CC2D41" w:rsidRDefault="00821B53" w:rsidP="00BE5FF4">
      <w:pPr>
        <w:widowControl/>
        <w:spacing w:line="360" w:lineRule="auto"/>
        <w:rPr>
          <w:sz w:val="26"/>
          <w:szCs w:val="26"/>
        </w:rPr>
      </w:pPr>
      <w:r w:rsidRPr="002915C6">
        <w:rPr>
          <w:sz w:val="26"/>
          <w:szCs w:val="26"/>
        </w:rPr>
        <w:tab/>
      </w:r>
      <w:r w:rsidRPr="002915C6">
        <w:rPr>
          <w:sz w:val="26"/>
          <w:szCs w:val="26"/>
        </w:rPr>
        <w:tab/>
      </w:r>
      <w:r w:rsidR="007F2E9A" w:rsidRPr="002915C6">
        <w:rPr>
          <w:sz w:val="26"/>
          <w:szCs w:val="26"/>
        </w:rPr>
        <w:t>Second, the ALJ</w:t>
      </w:r>
      <w:r w:rsidR="00646299" w:rsidRPr="002915C6">
        <w:rPr>
          <w:sz w:val="26"/>
          <w:szCs w:val="26"/>
        </w:rPr>
        <w:t xml:space="preserve"> adjust</w:t>
      </w:r>
      <w:r w:rsidR="007F2E9A" w:rsidRPr="002915C6">
        <w:rPr>
          <w:sz w:val="26"/>
          <w:szCs w:val="26"/>
        </w:rPr>
        <w:t xml:space="preserve">ed </w:t>
      </w:r>
      <w:r w:rsidR="00646299" w:rsidRPr="002915C6">
        <w:rPr>
          <w:sz w:val="26"/>
          <w:szCs w:val="26"/>
        </w:rPr>
        <w:t xml:space="preserve">the discount rate used in the </w:t>
      </w:r>
      <w:r w:rsidR="007F2E9A" w:rsidRPr="002915C6">
        <w:rPr>
          <w:sz w:val="26"/>
          <w:szCs w:val="26"/>
        </w:rPr>
        <w:t xml:space="preserve">income </w:t>
      </w:r>
      <w:r w:rsidR="00646299" w:rsidRPr="002915C6">
        <w:rPr>
          <w:sz w:val="26"/>
          <w:szCs w:val="26"/>
        </w:rPr>
        <w:t>analysis.  HRG used a discount rate of 2.5% and the ALJ adopted a discount rate of 6.9%, which he described as reflective of a true cost of capital.</w:t>
      </w:r>
      <w:r w:rsidR="00646299" w:rsidRPr="002915C6">
        <w:rPr>
          <w:b/>
          <w:sz w:val="26"/>
          <w:szCs w:val="26"/>
        </w:rPr>
        <w:t xml:space="preserve">  </w:t>
      </w:r>
      <w:r w:rsidRPr="002915C6">
        <w:rPr>
          <w:sz w:val="26"/>
          <w:szCs w:val="26"/>
        </w:rPr>
        <w:t xml:space="preserve">The ALJ considered HRG’s discount rate of 2.5% to be improper when compared with Gannett’s appraisal which found an appropriate discount </w:t>
      </w:r>
      <w:r w:rsidR="002915C6">
        <w:rPr>
          <w:sz w:val="26"/>
          <w:szCs w:val="26"/>
        </w:rPr>
        <w:t xml:space="preserve">rate </w:t>
      </w:r>
      <w:r w:rsidR="00CC2D41" w:rsidRPr="002915C6">
        <w:rPr>
          <w:sz w:val="26"/>
          <w:szCs w:val="26"/>
        </w:rPr>
        <w:t>ranging</w:t>
      </w:r>
      <w:r w:rsidRPr="002915C6">
        <w:rPr>
          <w:sz w:val="26"/>
          <w:szCs w:val="26"/>
        </w:rPr>
        <w:t xml:space="preserve"> from 6.63% to 7.99%.  </w:t>
      </w:r>
      <w:r w:rsidR="00CC2D41" w:rsidRPr="002915C6">
        <w:rPr>
          <w:sz w:val="26"/>
          <w:szCs w:val="26"/>
        </w:rPr>
        <w:t>R.D. at 32.</w:t>
      </w:r>
    </w:p>
    <w:p w14:paraId="2CAF9AD9" w14:textId="77777777" w:rsidR="00547F71" w:rsidRPr="002915C6" w:rsidRDefault="00547F71" w:rsidP="00BE5FF4">
      <w:pPr>
        <w:widowControl/>
        <w:spacing w:line="360" w:lineRule="auto"/>
        <w:rPr>
          <w:sz w:val="26"/>
          <w:szCs w:val="26"/>
        </w:rPr>
      </w:pPr>
    </w:p>
    <w:p w14:paraId="67D44F52" w14:textId="77777777" w:rsidR="002E2906" w:rsidRPr="002915C6" w:rsidRDefault="00CC2D41" w:rsidP="00BE5FF4">
      <w:pPr>
        <w:widowControl/>
        <w:spacing w:line="360" w:lineRule="auto"/>
        <w:rPr>
          <w:sz w:val="26"/>
          <w:szCs w:val="26"/>
        </w:rPr>
      </w:pPr>
      <w:r w:rsidRPr="002915C6">
        <w:rPr>
          <w:sz w:val="26"/>
          <w:szCs w:val="26"/>
        </w:rPr>
        <w:tab/>
      </w:r>
      <w:r w:rsidRPr="002915C6">
        <w:rPr>
          <w:sz w:val="26"/>
          <w:szCs w:val="26"/>
        </w:rPr>
        <w:tab/>
      </w:r>
      <w:r w:rsidR="00821B53" w:rsidRPr="002915C6">
        <w:rPr>
          <w:sz w:val="26"/>
          <w:szCs w:val="26"/>
        </w:rPr>
        <w:t xml:space="preserve">In the third </w:t>
      </w:r>
      <w:r w:rsidRPr="002915C6">
        <w:rPr>
          <w:sz w:val="26"/>
          <w:szCs w:val="26"/>
        </w:rPr>
        <w:t xml:space="preserve">and fourth </w:t>
      </w:r>
      <w:r w:rsidR="00821B53" w:rsidRPr="002915C6">
        <w:rPr>
          <w:sz w:val="26"/>
          <w:szCs w:val="26"/>
        </w:rPr>
        <w:t>income adjustment</w:t>
      </w:r>
      <w:r w:rsidRPr="002915C6">
        <w:rPr>
          <w:sz w:val="26"/>
          <w:szCs w:val="26"/>
        </w:rPr>
        <w:t>s</w:t>
      </w:r>
      <w:r w:rsidR="00821B53" w:rsidRPr="002915C6">
        <w:rPr>
          <w:sz w:val="26"/>
          <w:szCs w:val="26"/>
        </w:rPr>
        <w:t xml:space="preserve">, the ALJ adopted the OCA’s </w:t>
      </w:r>
      <w:r w:rsidRPr="002915C6">
        <w:rPr>
          <w:sz w:val="26"/>
          <w:szCs w:val="26"/>
        </w:rPr>
        <w:t xml:space="preserve">recommendations to </w:t>
      </w:r>
      <w:r w:rsidR="00821B53" w:rsidRPr="002915C6">
        <w:rPr>
          <w:sz w:val="26"/>
          <w:szCs w:val="26"/>
        </w:rPr>
        <w:t xml:space="preserve">remove the “going value” adder of $4 million and the “erosion of cash flow” deduction of $370,000.  </w:t>
      </w:r>
      <w:r w:rsidRPr="002915C6">
        <w:rPr>
          <w:sz w:val="26"/>
          <w:szCs w:val="26"/>
        </w:rPr>
        <w:t xml:space="preserve">In the fifth income adjustment, the ALJ also agreed with the OCA’s recommendation that because of flaws and unreasonable assumptions in HRG’s rate of return/rate base analysis no consideration should be given to </w:t>
      </w:r>
      <w:r w:rsidR="005819F3" w:rsidRPr="002915C6">
        <w:rPr>
          <w:sz w:val="26"/>
          <w:szCs w:val="26"/>
        </w:rPr>
        <w:t>the overstated value of $100.69 million</w:t>
      </w:r>
      <w:r w:rsidRPr="002915C6">
        <w:rPr>
          <w:sz w:val="26"/>
          <w:szCs w:val="26"/>
        </w:rPr>
        <w:t>.</w:t>
      </w:r>
      <w:r w:rsidR="005819F3" w:rsidRPr="002915C6">
        <w:rPr>
          <w:sz w:val="26"/>
          <w:szCs w:val="26"/>
        </w:rPr>
        <w:t xml:space="preserve">  </w:t>
      </w:r>
      <w:r w:rsidR="00821B53" w:rsidRPr="002915C6">
        <w:rPr>
          <w:sz w:val="26"/>
          <w:szCs w:val="26"/>
        </w:rPr>
        <w:t>R.D. at 32</w:t>
      </w:r>
      <w:r w:rsidRPr="002915C6">
        <w:rPr>
          <w:sz w:val="26"/>
          <w:szCs w:val="26"/>
        </w:rPr>
        <w:t>-34</w:t>
      </w:r>
      <w:r w:rsidR="00646299" w:rsidRPr="002915C6">
        <w:rPr>
          <w:sz w:val="26"/>
          <w:szCs w:val="26"/>
        </w:rPr>
        <w:t xml:space="preserve">.  </w:t>
      </w:r>
    </w:p>
    <w:p w14:paraId="56F3EA7C" w14:textId="77777777" w:rsidR="005819F3" w:rsidRPr="002915C6" w:rsidRDefault="005819F3" w:rsidP="00BE5FF4">
      <w:pPr>
        <w:widowControl/>
        <w:spacing w:line="360" w:lineRule="auto"/>
        <w:rPr>
          <w:sz w:val="26"/>
          <w:szCs w:val="26"/>
        </w:rPr>
      </w:pPr>
    </w:p>
    <w:p w14:paraId="66776DE3" w14:textId="77777777" w:rsidR="005819F3" w:rsidRPr="002915C6" w:rsidRDefault="005819F3" w:rsidP="00BE5FF4">
      <w:pPr>
        <w:widowControl/>
        <w:spacing w:line="360" w:lineRule="auto"/>
        <w:rPr>
          <w:sz w:val="26"/>
          <w:szCs w:val="26"/>
        </w:rPr>
      </w:pPr>
      <w:r w:rsidRPr="002915C6">
        <w:rPr>
          <w:sz w:val="26"/>
          <w:szCs w:val="26"/>
        </w:rPr>
        <w:tab/>
      </w:r>
      <w:r w:rsidRPr="002915C6">
        <w:rPr>
          <w:sz w:val="26"/>
          <w:szCs w:val="26"/>
        </w:rPr>
        <w:tab/>
        <w:t xml:space="preserve">As a result of the adjustments to disregard HRG’s Rate of Return/Rate Base analysis, to correct the income tax expense calculations, to use a 6.97% discount rate, and to remove the “going value” and “erosion of cash flow” adders, the ALJ calculated HRG’s income approach value as $36,560,000.  </w:t>
      </w:r>
      <w:r w:rsidRPr="002915C6">
        <w:rPr>
          <w:i/>
          <w:sz w:val="26"/>
          <w:szCs w:val="26"/>
        </w:rPr>
        <w:t>Id.</w:t>
      </w:r>
      <w:r w:rsidRPr="002915C6">
        <w:rPr>
          <w:sz w:val="26"/>
          <w:szCs w:val="26"/>
        </w:rPr>
        <w:t xml:space="preserve"> at 34.  </w:t>
      </w:r>
    </w:p>
    <w:p w14:paraId="0EBF8B50" w14:textId="77777777" w:rsidR="00821B53" w:rsidRPr="002915C6" w:rsidRDefault="00821B53" w:rsidP="00BE5FF4">
      <w:pPr>
        <w:widowControl/>
        <w:spacing w:line="360" w:lineRule="auto"/>
        <w:rPr>
          <w:sz w:val="26"/>
          <w:szCs w:val="26"/>
        </w:rPr>
      </w:pPr>
    </w:p>
    <w:p w14:paraId="65503A7A" w14:textId="320B3793" w:rsidR="00FF7A74" w:rsidRPr="002915C6" w:rsidRDefault="00821B53" w:rsidP="00BE5FF4">
      <w:pPr>
        <w:widowControl/>
        <w:spacing w:line="360" w:lineRule="auto"/>
        <w:rPr>
          <w:sz w:val="26"/>
          <w:szCs w:val="26"/>
        </w:rPr>
      </w:pPr>
      <w:r w:rsidRPr="002915C6">
        <w:rPr>
          <w:sz w:val="26"/>
          <w:szCs w:val="26"/>
        </w:rPr>
        <w:tab/>
      </w:r>
      <w:r w:rsidRPr="002915C6">
        <w:rPr>
          <w:sz w:val="26"/>
          <w:szCs w:val="26"/>
        </w:rPr>
        <w:tab/>
      </w:r>
      <w:r w:rsidR="00FF7A74" w:rsidRPr="002915C6">
        <w:rPr>
          <w:sz w:val="26"/>
          <w:szCs w:val="26"/>
        </w:rPr>
        <w:t xml:space="preserve">The ALJ adopted three adjustments to the </w:t>
      </w:r>
      <w:r w:rsidR="00B56786">
        <w:rPr>
          <w:sz w:val="26"/>
          <w:szCs w:val="26"/>
        </w:rPr>
        <w:t xml:space="preserve">reproduction </w:t>
      </w:r>
      <w:r w:rsidR="00FF7A74" w:rsidRPr="002915C6">
        <w:rPr>
          <w:sz w:val="26"/>
          <w:szCs w:val="26"/>
        </w:rPr>
        <w:t xml:space="preserve">cost approach used by HRG in its fair market valuation.  First, the ALJ agreed with the OCA’s argument that HRG did not establish a reasonable basis for separately valuing collector mains.  Accordingly, the ALJ decreased HRG’s reproduction cost calculation by $19,195,429.  Second, the ALJ adopted the OCA’s recommendation to remove $4.5 million of future capital projects from the HRG </w:t>
      </w:r>
      <w:r w:rsidR="00B56786">
        <w:rPr>
          <w:sz w:val="26"/>
          <w:szCs w:val="26"/>
        </w:rPr>
        <w:t xml:space="preserve">reproduction </w:t>
      </w:r>
      <w:r w:rsidR="00FF7A74" w:rsidRPr="002915C6">
        <w:rPr>
          <w:sz w:val="26"/>
          <w:szCs w:val="26"/>
        </w:rPr>
        <w:t xml:space="preserve">cost approach because the inclusion of these projects did not add value to the Township system at the time of the acquisition.  Third, the ALJ removed HRG’s “going value” adder of $4 million from the HRG </w:t>
      </w:r>
      <w:r w:rsidR="00B56786">
        <w:rPr>
          <w:sz w:val="26"/>
          <w:szCs w:val="26"/>
        </w:rPr>
        <w:t xml:space="preserve">reproduction </w:t>
      </w:r>
      <w:r w:rsidR="00FF7A74" w:rsidRPr="002915C6">
        <w:rPr>
          <w:sz w:val="26"/>
          <w:szCs w:val="26"/>
        </w:rPr>
        <w:t>cost approach.  The ALJ agreed with the OCA’s arguments that the inclusion of the adder is not logical, is contradictory to HRG’s analyses, and contains numerous double counts.  R.D. at 36-37.</w:t>
      </w:r>
    </w:p>
    <w:p w14:paraId="51E03FEC" w14:textId="77777777" w:rsidR="00FF7A74" w:rsidRPr="002915C6" w:rsidRDefault="00FF7A74" w:rsidP="00BE5FF4">
      <w:pPr>
        <w:widowControl/>
        <w:spacing w:line="360" w:lineRule="auto"/>
        <w:rPr>
          <w:sz w:val="26"/>
          <w:szCs w:val="26"/>
        </w:rPr>
      </w:pPr>
    </w:p>
    <w:p w14:paraId="23012644" w14:textId="735FCA41" w:rsidR="00FF7A74" w:rsidRDefault="00FF7A74" w:rsidP="0012768D">
      <w:pPr>
        <w:widowControl/>
        <w:spacing w:line="360" w:lineRule="auto"/>
        <w:rPr>
          <w:sz w:val="26"/>
          <w:szCs w:val="26"/>
        </w:rPr>
      </w:pPr>
      <w:r w:rsidRPr="002915C6">
        <w:rPr>
          <w:sz w:val="26"/>
          <w:szCs w:val="26"/>
        </w:rPr>
        <w:tab/>
      </w:r>
      <w:r w:rsidRPr="002915C6">
        <w:rPr>
          <w:sz w:val="26"/>
          <w:szCs w:val="26"/>
        </w:rPr>
        <w:tab/>
        <w:t xml:space="preserve">However, the ALJ rejected the OCA’s recommendation that would have removed land from the HRG reproduction cost analysis and would have reduced the HRG </w:t>
      </w:r>
      <w:r w:rsidR="00B56786">
        <w:rPr>
          <w:sz w:val="26"/>
          <w:szCs w:val="26"/>
        </w:rPr>
        <w:t xml:space="preserve">reproduction </w:t>
      </w:r>
      <w:r w:rsidRPr="002915C6">
        <w:rPr>
          <w:sz w:val="26"/>
          <w:szCs w:val="26"/>
        </w:rPr>
        <w:t>cost approach by $756,159.  The ALJ explained that he was applying the ENR</w:t>
      </w:r>
      <w:r w:rsidR="00072463">
        <w:rPr>
          <w:rStyle w:val="FootnoteReference"/>
          <w:sz w:val="26"/>
          <w:szCs w:val="26"/>
        </w:rPr>
        <w:footnoteReference w:id="4"/>
      </w:r>
      <w:r w:rsidRPr="002915C6">
        <w:rPr>
          <w:sz w:val="26"/>
          <w:szCs w:val="26"/>
        </w:rPr>
        <w:t xml:space="preserve"> index to land consistent with all other utility plant.  Although recognizing that the ENR index may not be the most appropriate index, the ALJ declined to determine that the land’s original cost was a more appropriate method than the analysis used by HRG.</w:t>
      </w:r>
      <w:r w:rsidR="000926F6" w:rsidRPr="002915C6">
        <w:rPr>
          <w:sz w:val="26"/>
          <w:szCs w:val="26"/>
        </w:rPr>
        <w:t xml:space="preserve">  R.D. at</w:t>
      </w:r>
      <w:r w:rsidR="00B1214C">
        <w:rPr>
          <w:sz w:val="26"/>
          <w:szCs w:val="26"/>
        </w:rPr>
        <w:t> </w:t>
      </w:r>
      <w:r w:rsidR="000926F6" w:rsidRPr="002915C6">
        <w:rPr>
          <w:sz w:val="26"/>
          <w:szCs w:val="26"/>
        </w:rPr>
        <w:t>37.</w:t>
      </w:r>
    </w:p>
    <w:p w14:paraId="7E25B6E5" w14:textId="77777777" w:rsidR="00B1214C" w:rsidRDefault="00B1214C" w:rsidP="00BE5FF4">
      <w:pPr>
        <w:widowControl/>
        <w:spacing w:line="360" w:lineRule="auto"/>
        <w:rPr>
          <w:sz w:val="26"/>
          <w:szCs w:val="26"/>
        </w:rPr>
      </w:pPr>
    </w:p>
    <w:p w14:paraId="07E6783D" w14:textId="77777777" w:rsidR="000926F6" w:rsidRPr="002915C6" w:rsidRDefault="000926F6" w:rsidP="00BE5FF4">
      <w:pPr>
        <w:widowControl/>
        <w:spacing w:line="360" w:lineRule="auto"/>
        <w:rPr>
          <w:sz w:val="26"/>
          <w:szCs w:val="26"/>
        </w:rPr>
      </w:pPr>
      <w:r w:rsidRPr="002915C6">
        <w:rPr>
          <w:sz w:val="26"/>
          <w:szCs w:val="26"/>
        </w:rPr>
        <w:tab/>
      </w:r>
      <w:r w:rsidRPr="002915C6">
        <w:rPr>
          <w:sz w:val="26"/>
          <w:szCs w:val="26"/>
        </w:rPr>
        <w:tab/>
        <w:t>Under the market approach evaluation, the ALJ made one adjustment HRG’s appraisal determination.  The ALJ adopted the OCA’s argument that HRG’s use of a projected customer count of 7,246 customers was not appropriate.  HRG applied an average customer cost ($8,661 per customer) to the projected customer count and obtained a market value of $62,760,000.  Instead, the ALJ found that the current, actual customer count of 5,434 should be used.  By applying the average customer cost to the actual customer count, the ALJ concluded that the market value should be $47,060,000.  R.D. at 38-39.</w:t>
      </w:r>
    </w:p>
    <w:p w14:paraId="2F9F782E" w14:textId="77777777" w:rsidR="000926F6" w:rsidRPr="002915C6" w:rsidRDefault="000926F6" w:rsidP="00BE5FF4">
      <w:pPr>
        <w:widowControl/>
        <w:spacing w:line="360" w:lineRule="auto"/>
        <w:rPr>
          <w:sz w:val="26"/>
          <w:szCs w:val="26"/>
        </w:rPr>
      </w:pPr>
    </w:p>
    <w:p w14:paraId="13D24326" w14:textId="77777777" w:rsidR="000926F6" w:rsidRPr="002915C6" w:rsidRDefault="000926F6" w:rsidP="00BE5FF4">
      <w:pPr>
        <w:widowControl/>
        <w:spacing w:line="360" w:lineRule="auto"/>
        <w:rPr>
          <w:sz w:val="26"/>
          <w:szCs w:val="26"/>
        </w:rPr>
      </w:pPr>
      <w:r w:rsidRPr="002915C6">
        <w:rPr>
          <w:sz w:val="26"/>
          <w:szCs w:val="26"/>
        </w:rPr>
        <w:tab/>
      </w:r>
      <w:r w:rsidRPr="002915C6">
        <w:rPr>
          <w:sz w:val="26"/>
          <w:szCs w:val="26"/>
        </w:rPr>
        <w:tab/>
        <w:t>Alternatively, however, the ALJ rejected the OCA’s proposed market approach adjustment to remove the cost of future capital improvements from the purchase prices of comparable systems.  The ALJ agreed with Aqua that HRG’s calculation correctly included an adder for future capital improvements, identified as $4,533,000 in the engineering report.  R.D. at 39.</w:t>
      </w:r>
    </w:p>
    <w:p w14:paraId="0466B265" w14:textId="77777777" w:rsidR="000926F6" w:rsidRPr="002915C6" w:rsidRDefault="000926F6" w:rsidP="00BE5FF4">
      <w:pPr>
        <w:widowControl/>
        <w:spacing w:line="360" w:lineRule="auto"/>
        <w:rPr>
          <w:b/>
          <w:sz w:val="26"/>
          <w:szCs w:val="26"/>
        </w:rPr>
      </w:pPr>
    </w:p>
    <w:p w14:paraId="72D678E5" w14:textId="77777777" w:rsidR="000926F6" w:rsidRPr="00E90087" w:rsidRDefault="00E90087" w:rsidP="00BE5FF4">
      <w:pPr>
        <w:keepNext/>
        <w:keepLines/>
        <w:widowControl/>
        <w:spacing w:line="360" w:lineRule="auto"/>
        <w:ind w:left="2160"/>
        <w:rPr>
          <w:b/>
          <w:sz w:val="26"/>
          <w:szCs w:val="26"/>
        </w:rPr>
      </w:pPr>
      <w:r>
        <w:rPr>
          <w:b/>
          <w:sz w:val="26"/>
          <w:szCs w:val="26"/>
        </w:rPr>
        <w:t>b.</w:t>
      </w:r>
      <w:r>
        <w:rPr>
          <w:b/>
          <w:sz w:val="26"/>
          <w:szCs w:val="26"/>
        </w:rPr>
        <w:tab/>
      </w:r>
      <w:r w:rsidR="000926F6" w:rsidRPr="00E90087">
        <w:rPr>
          <w:b/>
          <w:sz w:val="26"/>
          <w:szCs w:val="26"/>
        </w:rPr>
        <w:t>Gannett’s Appraisal</w:t>
      </w:r>
    </w:p>
    <w:p w14:paraId="28E8EFD7" w14:textId="77777777" w:rsidR="000926F6" w:rsidRPr="002915C6" w:rsidRDefault="000926F6" w:rsidP="00BE5FF4">
      <w:pPr>
        <w:keepNext/>
        <w:keepLines/>
        <w:widowControl/>
        <w:spacing w:line="360" w:lineRule="auto"/>
        <w:rPr>
          <w:sz w:val="26"/>
          <w:szCs w:val="26"/>
        </w:rPr>
      </w:pPr>
    </w:p>
    <w:p w14:paraId="0B45CE52" w14:textId="77777777" w:rsidR="003E4032" w:rsidRDefault="000926F6" w:rsidP="00BE5FF4">
      <w:pPr>
        <w:widowControl/>
        <w:spacing w:line="360" w:lineRule="auto"/>
        <w:rPr>
          <w:sz w:val="26"/>
          <w:szCs w:val="26"/>
        </w:rPr>
      </w:pPr>
      <w:r w:rsidRPr="002915C6">
        <w:rPr>
          <w:sz w:val="26"/>
          <w:szCs w:val="26"/>
        </w:rPr>
        <w:tab/>
      </w:r>
      <w:r w:rsidRPr="002915C6">
        <w:rPr>
          <w:sz w:val="26"/>
          <w:szCs w:val="26"/>
        </w:rPr>
        <w:tab/>
      </w:r>
      <w:r w:rsidR="003E4032" w:rsidRPr="002915C6">
        <w:rPr>
          <w:sz w:val="26"/>
          <w:szCs w:val="26"/>
        </w:rPr>
        <w:t>The ALJ rejected two of the OCA’s arguments challenging Gannett’s income approach calculations within its fair market value appraisal.  Regarding the 13</w:t>
      </w:r>
      <w:r w:rsidR="00856E33">
        <w:rPr>
          <w:sz w:val="26"/>
          <w:szCs w:val="26"/>
        </w:rPr>
        <w:noBreakHyphen/>
      </w:r>
      <w:r w:rsidR="003E4032" w:rsidRPr="002915C6">
        <w:rPr>
          <w:sz w:val="26"/>
          <w:szCs w:val="26"/>
        </w:rPr>
        <w:t xml:space="preserve">year terminal value, the ALJ explained that Gannett obtained a value under the income approach based on several DCF averages conducting two DCF analyses each from both a buyer’s and a seller’s perspective.  The OCA objected to Gannett’s use of a 13-year terminal value and proposed a DCF valuation using 50 years of discounted net cash flow with no termination value.  The ALJ agreed with </w:t>
      </w:r>
      <w:proofErr w:type="spellStart"/>
      <w:r w:rsidR="003E4032" w:rsidRPr="002915C6">
        <w:rPr>
          <w:sz w:val="26"/>
          <w:szCs w:val="26"/>
        </w:rPr>
        <w:t>Aqua’s</w:t>
      </w:r>
      <w:proofErr w:type="spellEnd"/>
      <w:r w:rsidR="003E4032" w:rsidRPr="002915C6">
        <w:rPr>
          <w:sz w:val="26"/>
          <w:szCs w:val="26"/>
        </w:rPr>
        <w:t xml:space="preserve"> position and accepted Gannett’s income valuation of $75,204,407.  R.D. at 34-36.  Second, the ALJ rejected the OCA’s alternative discount rates on the basis that the OCA did not show that Gannett’s discount rates were unreasonable.  </w:t>
      </w:r>
      <w:r w:rsidR="003E4032" w:rsidRPr="002915C6">
        <w:rPr>
          <w:i/>
          <w:sz w:val="26"/>
          <w:szCs w:val="26"/>
        </w:rPr>
        <w:t>Id.</w:t>
      </w:r>
      <w:r w:rsidR="003E4032" w:rsidRPr="002915C6">
        <w:rPr>
          <w:sz w:val="26"/>
          <w:szCs w:val="26"/>
        </w:rPr>
        <w:t xml:space="preserve"> at 35-36.  </w:t>
      </w:r>
    </w:p>
    <w:p w14:paraId="1008D0A5" w14:textId="77777777" w:rsidR="00547F71" w:rsidRPr="00BE5FF4" w:rsidRDefault="00547F71" w:rsidP="00BE5FF4">
      <w:pPr>
        <w:widowControl/>
        <w:spacing w:after="200" w:line="276" w:lineRule="auto"/>
        <w:rPr>
          <w:b/>
          <w:sz w:val="26"/>
        </w:rPr>
      </w:pPr>
    </w:p>
    <w:p w14:paraId="3D390DE7" w14:textId="77777777" w:rsidR="00221DE4" w:rsidRPr="00BF158B" w:rsidRDefault="00BF158B" w:rsidP="00BE5FF4">
      <w:pPr>
        <w:widowControl/>
        <w:spacing w:line="360" w:lineRule="auto"/>
        <w:ind w:left="2160"/>
        <w:rPr>
          <w:b/>
          <w:sz w:val="26"/>
          <w:szCs w:val="26"/>
        </w:rPr>
      </w:pPr>
      <w:r>
        <w:rPr>
          <w:b/>
          <w:sz w:val="26"/>
          <w:szCs w:val="26"/>
        </w:rPr>
        <w:t>c.</w:t>
      </w:r>
      <w:r>
        <w:rPr>
          <w:b/>
          <w:sz w:val="26"/>
          <w:szCs w:val="26"/>
        </w:rPr>
        <w:tab/>
      </w:r>
      <w:r w:rsidR="00221DE4" w:rsidRPr="00BF158B">
        <w:rPr>
          <w:b/>
          <w:sz w:val="26"/>
          <w:szCs w:val="26"/>
        </w:rPr>
        <w:t>Summary of Adjustments</w:t>
      </w:r>
    </w:p>
    <w:p w14:paraId="50D72717" w14:textId="77777777" w:rsidR="00ED7A73" w:rsidRPr="00221DE4" w:rsidRDefault="00ED7A73" w:rsidP="0012768D">
      <w:pPr>
        <w:pStyle w:val="ListParagraph"/>
        <w:widowControl/>
        <w:spacing w:line="360" w:lineRule="auto"/>
        <w:ind w:left="3600"/>
        <w:rPr>
          <w:b/>
          <w:sz w:val="26"/>
          <w:szCs w:val="26"/>
        </w:rPr>
      </w:pPr>
    </w:p>
    <w:p w14:paraId="690384D4" w14:textId="77777777" w:rsidR="00221DE4" w:rsidRDefault="00A46037" w:rsidP="0012768D">
      <w:pPr>
        <w:widowControl/>
        <w:spacing w:line="360" w:lineRule="auto"/>
        <w:rPr>
          <w:sz w:val="26"/>
          <w:szCs w:val="26"/>
        </w:rPr>
      </w:pPr>
      <w:r>
        <w:rPr>
          <w:sz w:val="26"/>
          <w:szCs w:val="26"/>
        </w:rPr>
        <w:tab/>
      </w:r>
      <w:r>
        <w:rPr>
          <w:sz w:val="26"/>
          <w:szCs w:val="26"/>
        </w:rPr>
        <w:tab/>
        <w:t xml:space="preserve">The following </w:t>
      </w:r>
      <w:r w:rsidR="004F2433">
        <w:rPr>
          <w:sz w:val="26"/>
          <w:szCs w:val="26"/>
        </w:rPr>
        <w:t xml:space="preserve">table </w:t>
      </w:r>
      <w:r>
        <w:rPr>
          <w:sz w:val="26"/>
          <w:szCs w:val="26"/>
        </w:rPr>
        <w:t>summarizes the original appraisals filed by HRG and Gannett:</w:t>
      </w:r>
    </w:p>
    <w:p w14:paraId="470BB34C" w14:textId="77777777" w:rsidR="00A46037" w:rsidRDefault="00A46037" w:rsidP="0012768D">
      <w:pPr>
        <w:widowControl/>
        <w:spacing w:line="360" w:lineRule="auto"/>
        <w:rPr>
          <w:sz w:val="26"/>
          <w:szCs w:val="26"/>
        </w:rPr>
      </w:pPr>
    </w:p>
    <w:tbl>
      <w:tblPr>
        <w:tblStyle w:val="ListTable7Colorful1"/>
        <w:tblW w:w="4166" w:type="pct"/>
        <w:tblLook w:val="0620" w:firstRow="1" w:lastRow="0" w:firstColumn="0" w:lastColumn="0" w:noHBand="1" w:noVBand="1"/>
      </w:tblPr>
      <w:tblGrid>
        <w:gridCol w:w="2166"/>
        <w:gridCol w:w="1785"/>
        <w:gridCol w:w="222"/>
        <w:gridCol w:w="2166"/>
        <w:gridCol w:w="1785"/>
      </w:tblGrid>
      <w:tr w:rsidR="00A46037" w14:paraId="01265284" w14:textId="77777777" w:rsidTr="00ED7A73">
        <w:trPr>
          <w:cnfStyle w:val="100000000000" w:firstRow="1" w:lastRow="0" w:firstColumn="0" w:lastColumn="0" w:oddVBand="0" w:evenVBand="0" w:oddHBand="0" w:evenHBand="0" w:firstRowFirstColumn="0" w:firstRowLastColumn="0" w:lastRowFirstColumn="0" w:lastRowLastColumn="0"/>
        </w:trPr>
        <w:tc>
          <w:tcPr>
            <w:tcW w:w="1000" w:type="pct"/>
          </w:tcPr>
          <w:p w14:paraId="26EA553C" w14:textId="77777777" w:rsidR="00A46037" w:rsidRPr="00B317EB" w:rsidRDefault="00A46037" w:rsidP="00BE5FF4">
            <w:pPr>
              <w:widowControl/>
              <w:rPr>
                <w:b/>
                <w:sz w:val="26"/>
                <w:szCs w:val="26"/>
              </w:rPr>
            </w:pPr>
            <w:r w:rsidRPr="00B317EB">
              <w:rPr>
                <w:b/>
                <w:sz w:val="26"/>
                <w:szCs w:val="26"/>
              </w:rPr>
              <w:t xml:space="preserve">HRG </w:t>
            </w:r>
          </w:p>
        </w:tc>
        <w:tc>
          <w:tcPr>
            <w:tcW w:w="1000" w:type="pct"/>
          </w:tcPr>
          <w:p w14:paraId="06D4A47C" w14:textId="77777777" w:rsidR="00A46037" w:rsidRPr="00B317EB" w:rsidRDefault="00A46037" w:rsidP="00BE5FF4">
            <w:pPr>
              <w:widowControl/>
              <w:rPr>
                <w:sz w:val="26"/>
                <w:szCs w:val="26"/>
              </w:rPr>
            </w:pPr>
            <w:r w:rsidRPr="00B317EB">
              <w:rPr>
                <w:sz w:val="26"/>
                <w:szCs w:val="26"/>
              </w:rPr>
              <w:t>Value</w:t>
            </w:r>
          </w:p>
        </w:tc>
        <w:tc>
          <w:tcPr>
            <w:tcW w:w="999" w:type="pct"/>
          </w:tcPr>
          <w:p w14:paraId="26B6D9AD" w14:textId="77777777" w:rsidR="00A46037" w:rsidRPr="00B317EB" w:rsidRDefault="00A46037" w:rsidP="00BE5FF4">
            <w:pPr>
              <w:widowControl/>
              <w:rPr>
                <w:sz w:val="26"/>
                <w:szCs w:val="26"/>
              </w:rPr>
            </w:pPr>
          </w:p>
        </w:tc>
        <w:tc>
          <w:tcPr>
            <w:tcW w:w="999" w:type="pct"/>
          </w:tcPr>
          <w:p w14:paraId="4FC99744" w14:textId="77777777" w:rsidR="00A46037" w:rsidRPr="00B317EB" w:rsidRDefault="00A46037" w:rsidP="00BE5FF4">
            <w:pPr>
              <w:widowControl/>
              <w:rPr>
                <w:b/>
                <w:sz w:val="26"/>
                <w:szCs w:val="26"/>
              </w:rPr>
            </w:pPr>
            <w:r w:rsidRPr="00B317EB">
              <w:rPr>
                <w:b/>
                <w:sz w:val="26"/>
                <w:szCs w:val="26"/>
              </w:rPr>
              <w:t>Gannett</w:t>
            </w:r>
          </w:p>
        </w:tc>
        <w:tc>
          <w:tcPr>
            <w:tcW w:w="1001" w:type="pct"/>
          </w:tcPr>
          <w:p w14:paraId="03BCE83E" w14:textId="77777777" w:rsidR="00A46037" w:rsidRPr="00B317EB" w:rsidRDefault="00A46037" w:rsidP="00BE5FF4">
            <w:pPr>
              <w:widowControl/>
              <w:rPr>
                <w:sz w:val="26"/>
                <w:szCs w:val="26"/>
              </w:rPr>
            </w:pPr>
            <w:r w:rsidRPr="00B317EB">
              <w:rPr>
                <w:sz w:val="26"/>
                <w:szCs w:val="26"/>
              </w:rPr>
              <w:t>Value</w:t>
            </w:r>
          </w:p>
        </w:tc>
      </w:tr>
      <w:tr w:rsidR="00A46037" w14:paraId="02952711" w14:textId="77777777" w:rsidTr="00ED7A73">
        <w:tc>
          <w:tcPr>
            <w:tcW w:w="1000" w:type="pct"/>
          </w:tcPr>
          <w:p w14:paraId="36384A13" w14:textId="77777777" w:rsidR="00A46037" w:rsidRPr="00B317EB" w:rsidRDefault="00A46037" w:rsidP="00BE5FF4">
            <w:pPr>
              <w:widowControl/>
              <w:rPr>
                <w:sz w:val="26"/>
                <w:szCs w:val="26"/>
              </w:rPr>
            </w:pPr>
            <w:r w:rsidRPr="00B317EB">
              <w:rPr>
                <w:sz w:val="26"/>
                <w:szCs w:val="26"/>
              </w:rPr>
              <w:t>Income</w:t>
            </w:r>
          </w:p>
        </w:tc>
        <w:tc>
          <w:tcPr>
            <w:tcW w:w="1000" w:type="pct"/>
          </w:tcPr>
          <w:p w14:paraId="287E969E" w14:textId="77777777" w:rsidR="00A46037" w:rsidRPr="00B317EB" w:rsidRDefault="00A46037" w:rsidP="00BE5FF4">
            <w:pPr>
              <w:widowControl/>
              <w:rPr>
                <w:sz w:val="26"/>
                <w:szCs w:val="26"/>
              </w:rPr>
            </w:pPr>
            <m:oMathPara>
              <m:oMathParaPr>
                <m:jc m:val="centerGroup"/>
              </m:oMathParaPr>
              <m:oMath>
                <m:r>
                  <m:rPr>
                    <m:sty m:val="p"/>
                  </m:rPr>
                  <w:rPr>
                    <w:rFonts w:ascii="Cambria Math" w:hAnsi="Cambria Math"/>
                    <w:sz w:val="26"/>
                    <w:szCs w:val="26"/>
                  </w:rPr>
                  <m:t>$77,855,000</m:t>
                </m:r>
              </m:oMath>
            </m:oMathPara>
          </w:p>
        </w:tc>
        <w:tc>
          <w:tcPr>
            <w:tcW w:w="999" w:type="pct"/>
          </w:tcPr>
          <w:p w14:paraId="1B64F6EE" w14:textId="77777777" w:rsidR="00A46037" w:rsidRPr="00B317EB" w:rsidRDefault="00A46037" w:rsidP="00BE5FF4">
            <w:pPr>
              <w:widowControl/>
              <w:rPr>
                <w:sz w:val="26"/>
                <w:szCs w:val="26"/>
              </w:rPr>
            </w:pPr>
          </w:p>
        </w:tc>
        <w:tc>
          <w:tcPr>
            <w:tcW w:w="999" w:type="pct"/>
          </w:tcPr>
          <w:p w14:paraId="0B61BF89" w14:textId="77777777" w:rsidR="00A46037" w:rsidRPr="00B317EB" w:rsidRDefault="00A46037" w:rsidP="00BE5FF4">
            <w:pPr>
              <w:widowControl/>
              <w:rPr>
                <w:sz w:val="26"/>
                <w:szCs w:val="26"/>
              </w:rPr>
            </w:pPr>
            <w:r w:rsidRPr="00B317EB">
              <w:rPr>
                <w:sz w:val="26"/>
                <w:szCs w:val="26"/>
              </w:rPr>
              <w:t>Income</w:t>
            </w:r>
          </w:p>
        </w:tc>
        <w:tc>
          <w:tcPr>
            <w:tcW w:w="1001" w:type="pct"/>
          </w:tcPr>
          <w:p w14:paraId="3FFDB1A7" w14:textId="77777777" w:rsidR="00A46037" w:rsidRPr="00B317EB" w:rsidRDefault="00A46037" w:rsidP="00BE5FF4">
            <w:pPr>
              <w:widowControl/>
              <w:rPr>
                <w:sz w:val="26"/>
                <w:szCs w:val="26"/>
              </w:rPr>
            </w:pPr>
            <m:oMathPara>
              <m:oMathParaPr>
                <m:jc m:val="centerGroup"/>
              </m:oMathParaPr>
              <m:oMath>
                <m:r>
                  <m:rPr>
                    <m:sty m:val="p"/>
                  </m:rPr>
                  <w:rPr>
                    <w:rFonts w:ascii="Cambria Math" w:hAnsi="Cambria Math"/>
                    <w:sz w:val="26"/>
                    <w:szCs w:val="26"/>
                  </w:rPr>
                  <m:t>$75,204,407</m:t>
                </m:r>
              </m:oMath>
            </m:oMathPara>
          </w:p>
        </w:tc>
      </w:tr>
      <w:tr w:rsidR="00A46037" w14:paraId="67BD04AB" w14:textId="77777777" w:rsidTr="00ED7A73">
        <w:tc>
          <w:tcPr>
            <w:tcW w:w="1000" w:type="pct"/>
          </w:tcPr>
          <w:p w14:paraId="2F087106" w14:textId="77777777" w:rsidR="00A46037" w:rsidRPr="00B317EB" w:rsidRDefault="00A46037" w:rsidP="00BE5FF4">
            <w:pPr>
              <w:widowControl/>
              <w:rPr>
                <w:sz w:val="26"/>
                <w:szCs w:val="26"/>
              </w:rPr>
            </w:pPr>
            <w:r w:rsidRPr="00B317EB">
              <w:rPr>
                <w:sz w:val="26"/>
                <w:szCs w:val="26"/>
              </w:rPr>
              <w:t>Cost</w:t>
            </w:r>
          </w:p>
        </w:tc>
        <w:tc>
          <w:tcPr>
            <w:tcW w:w="1000" w:type="pct"/>
          </w:tcPr>
          <w:p w14:paraId="71E4AF59" w14:textId="77777777" w:rsidR="00A46037" w:rsidRPr="00B317EB" w:rsidRDefault="00A46037" w:rsidP="00BE5FF4">
            <w:pPr>
              <w:widowControl/>
              <w:rPr>
                <w:sz w:val="26"/>
                <w:szCs w:val="26"/>
              </w:rPr>
            </w:pPr>
            <m:oMathPara>
              <m:oMathParaPr>
                <m:jc m:val="centerGroup"/>
              </m:oMathParaPr>
              <m:oMath>
                <m:r>
                  <w:rPr>
                    <w:rFonts w:ascii="Cambria Math" w:hAnsi="Cambria Math"/>
                    <w:sz w:val="26"/>
                    <w:szCs w:val="26"/>
                  </w:rPr>
                  <m:t>$90,050,000</m:t>
                </m:r>
              </m:oMath>
            </m:oMathPara>
          </w:p>
        </w:tc>
        <w:tc>
          <w:tcPr>
            <w:tcW w:w="999" w:type="pct"/>
          </w:tcPr>
          <w:p w14:paraId="6D27D4B4" w14:textId="77777777" w:rsidR="00A46037" w:rsidRPr="00B317EB" w:rsidRDefault="00A46037" w:rsidP="00BE5FF4">
            <w:pPr>
              <w:widowControl/>
              <w:rPr>
                <w:sz w:val="26"/>
                <w:szCs w:val="26"/>
              </w:rPr>
            </w:pPr>
          </w:p>
        </w:tc>
        <w:tc>
          <w:tcPr>
            <w:tcW w:w="999" w:type="pct"/>
          </w:tcPr>
          <w:p w14:paraId="2C17E278" w14:textId="77777777" w:rsidR="00A46037" w:rsidRPr="00B317EB" w:rsidRDefault="00A46037" w:rsidP="00BE5FF4">
            <w:pPr>
              <w:widowControl/>
              <w:rPr>
                <w:sz w:val="26"/>
                <w:szCs w:val="26"/>
              </w:rPr>
            </w:pPr>
            <w:r w:rsidRPr="00B317EB">
              <w:rPr>
                <w:sz w:val="26"/>
                <w:szCs w:val="26"/>
              </w:rPr>
              <w:t>Cost</w:t>
            </w:r>
          </w:p>
        </w:tc>
        <w:tc>
          <w:tcPr>
            <w:tcW w:w="1001" w:type="pct"/>
          </w:tcPr>
          <w:p w14:paraId="2B57F0C8" w14:textId="77777777" w:rsidR="00A46037" w:rsidRPr="00B317EB" w:rsidRDefault="00A46037" w:rsidP="00BE5FF4">
            <w:pPr>
              <w:widowControl/>
              <w:rPr>
                <w:sz w:val="26"/>
                <w:szCs w:val="26"/>
              </w:rPr>
            </w:pPr>
            <m:oMathPara>
              <m:oMathParaPr>
                <m:jc m:val="centerGroup"/>
              </m:oMathParaPr>
              <m:oMath>
                <m:r>
                  <m:rPr>
                    <m:sty m:val="p"/>
                  </m:rPr>
                  <w:rPr>
                    <w:rFonts w:ascii="Cambria Math" w:hAnsi="Cambria Math"/>
                    <w:sz w:val="26"/>
                    <w:szCs w:val="26"/>
                  </w:rPr>
                  <m:t>$86,086,756</m:t>
                </m:r>
              </m:oMath>
            </m:oMathPara>
          </w:p>
        </w:tc>
      </w:tr>
      <w:tr w:rsidR="00A46037" w14:paraId="50A43B20" w14:textId="77777777" w:rsidTr="00ED7A73">
        <w:tc>
          <w:tcPr>
            <w:tcW w:w="1000" w:type="pct"/>
          </w:tcPr>
          <w:p w14:paraId="5968F00F" w14:textId="77777777" w:rsidR="00A46037" w:rsidRPr="00B317EB" w:rsidRDefault="00A46037" w:rsidP="00BE5FF4">
            <w:pPr>
              <w:widowControl/>
              <w:rPr>
                <w:sz w:val="26"/>
                <w:szCs w:val="26"/>
              </w:rPr>
            </w:pPr>
            <w:r w:rsidRPr="00B317EB">
              <w:rPr>
                <w:sz w:val="26"/>
                <w:szCs w:val="26"/>
              </w:rPr>
              <w:t>Market</w:t>
            </w:r>
          </w:p>
        </w:tc>
        <w:tc>
          <w:tcPr>
            <w:tcW w:w="1000" w:type="pct"/>
          </w:tcPr>
          <w:p w14:paraId="29CE446B" w14:textId="77777777" w:rsidR="00A46037" w:rsidRPr="00B317EB" w:rsidRDefault="00A46037" w:rsidP="00BE5FF4">
            <w:pPr>
              <w:widowControl/>
              <w:rPr>
                <w:sz w:val="26"/>
                <w:szCs w:val="26"/>
              </w:rPr>
            </w:pPr>
            <m:oMathPara>
              <m:oMathParaPr>
                <m:jc m:val="centerGroup"/>
              </m:oMathParaPr>
              <m:oMath>
                <m:r>
                  <m:rPr>
                    <m:sty m:val="p"/>
                  </m:rPr>
                  <w:rPr>
                    <w:rFonts w:ascii="Cambria Math" w:hAnsi="Cambria Math"/>
                    <w:sz w:val="26"/>
                    <w:szCs w:val="26"/>
                  </w:rPr>
                  <m:t>$62,760,000</m:t>
                </m:r>
              </m:oMath>
            </m:oMathPara>
          </w:p>
        </w:tc>
        <w:tc>
          <w:tcPr>
            <w:tcW w:w="999" w:type="pct"/>
          </w:tcPr>
          <w:p w14:paraId="692395F5" w14:textId="77777777" w:rsidR="00A46037" w:rsidRPr="00B317EB" w:rsidRDefault="00A46037" w:rsidP="00BE5FF4">
            <w:pPr>
              <w:widowControl/>
              <w:rPr>
                <w:sz w:val="26"/>
                <w:szCs w:val="26"/>
              </w:rPr>
            </w:pPr>
          </w:p>
        </w:tc>
        <w:tc>
          <w:tcPr>
            <w:tcW w:w="999" w:type="pct"/>
          </w:tcPr>
          <w:p w14:paraId="153CD716" w14:textId="77777777" w:rsidR="00A46037" w:rsidRPr="00B317EB" w:rsidRDefault="00A46037" w:rsidP="00BE5FF4">
            <w:pPr>
              <w:widowControl/>
              <w:rPr>
                <w:sz w:val="26"/>
                <w:szCs w:val="26"/>
              </w:rPr>
            </w:pPr>
            <w:r w:rsidRPr="00B317EB">
              <w:rPr>
                <w:sz w:val="26"/>
                <w:szCs w:val="26"/>
              </w:rPr>
              <w:t>Market</w:t>
            </w:r>
          </w:p>
        </w:tc>
        <w:tc>
          <w:tcPr>
            <w:tcW w:w="1001" w:type="pct"/>
          </w:tcPr>
          <w:p w14:paraId="5A141CDD" w14:textId="77777777" w:rsidR="00A46037" w:rsidRPr="00B317EB" w:rsidRDefault="00A46037" w:rsidP="00BE5FF4">
            <w:pPr>
              <w:widowControl/>
              <w:rPr>
                <w:sz w:val="26"/>
                <w:szCs w:val="26"/>
              </w:rPr>
            </w:pPr>
            <m:oMathPara>
              <m:oMathParaPr>
                <m:jc m:val="centerGroup"/>
              </m:oMathParaPr>
              <m:oMath>
                <m:r>
                  <m:rPr>
                    <m:sty m:val="p"/>
                  </m:rPr>
                  <w:rPr>
                    <w:rFonts w:ascii="Cambria Math" w:hAnsi="Cambria Math"/>
                    <w:sz w:val="26"/>
                    <w:szCs w:val="26"/>
                  </w:rPr>
                  <m:t>$79,002,980</m:t>
                </m:r>
              </m:oMath>
            </m:oMathPara>
          </w:p>
        </w:tc>
      </w:tr>
      <w:tr w:rsidR="00A46037" w14:paraId="47B6FECA" w14:textId="77777777" w:rsidTr="00ED7A73">
        <w:tc>
          <w:tcPr>
            <w:tcW w:w="1000" w:type="pct"/>
          </w:tcPr>
          <w:p w14:paraId="477D2998" w14:textId="77777777" w:rsidR="00A46037" w:rsidRPr="00B317EB" w:rsidRDefault="00A46037" w:rsidP="00BE5FF4">
            <w:pPr>
              <w:widowControl/>
              <w:rPr>
                <w:sz w:val="26"/>
                <w:szCs w:val="26"/>
              </w:rPr>
            </w:pPr>
          </w:p>
        </w:tc>
        <w:tc>
          <w:tcPr>
            <w:tcW w:w="1000" w:type="pct"/>
          </w:tcPr>
          <w:p w14:paraId="27B1866F" w14:textId="77777777" w:rsidR="00A46037" w:rsidRPr="00B317EB" w:rsidRDefault="00A46037" w:rsidP="00BE5FF4">
            <w:pPr>
              <w:widowControl/>
              <w:rPr>
                <w:sz w:val="26"/>
                <w:szCs w:val="26"/>
              </w:rPr>
            </w:pPr>
          </w:p>
        </w:tc>
        <w:tc>
          <w:tcPr>
            <w:tcW w:w="999" w:type="pct"/>
          </w:tcPr>
          <w:p w14:paraId="607F1E79" w14:textId="77777777" w:rsidR="00A46037" w:rsidRPr="00B317EB" w:rsidRDefault="00A46037" w:rsidP="00BE5FF4">
            <w:pPr>
              <w:widowControl/>
              <w:rPr>
                <w:sz w:val="26"/>
                <w:szCs w:val="26"/>
              </w:rPr>
            </w:pPr>
          </w:p>
        </w:tc>
        <w:tc>
          <w:tcPr>
            <w:tcW w:w="999" w:type="pct"/>
          </w:tcPr>
          <w:p w14:paraId="07C0F31C" w14:textId="77777777" w:rsidR="00A46037" w:rsidRPr="00B317EB" w:rsidRDefault="00A46037" w:rsidP="00BE5FF4">
            <w:pPr>
              <w:widowControl/>
              <w:rPr>
                <w:sz w:val="26"/>
                <w:szCs w:val="26"/>
              </w:rPr>
            </w:pPr>
          </w:p>
        </w:tc>
        <w:tc>
          <w:tcPr>
            <w:tcW w:w="1001" w:type="pct"/>
          </w:tcPr>
          <w:p w14:paraId="103B22E9" w14:textId="77777777" w:rsidR="00A46037" w:rsidRPr="00B317EB" w:rsidRDefault="00A46037" w:rsidP="00BE5FF4">
            <w:pPr>
              <w:widowControl/>
              <w:rPr>
                <w:sz w:val="26"/>
                <w:szCs w:val="26"/>
              </w:rPr>
            </w:pPr>
          </w:p>
        </w:tc>
      </w:tr>
      <w:tr w:rsidR="00A46037" w14:paraId="3C9C4105" w14:textId="77777777" w:rsidTr="00ED7A73">
        <w:tc>
          <w:tcPr>
            <w:tcW w:w="1000" w:type="pct"/>
          </w:tcPr>
          <w:p w14:paraId="5259636C" w14:textId="77777777" w:rsidR="00A46037" w:rsidRPr="00B317EB" w:rsidRDefault="00A46037" w:rsidP="00BE5FF4">
            <w:pPr>
              <w:widowControl/>
              <w:rPr>
                <w:sz w:val="26"/>
                <w:szCs w:val="26"/>
              </w:rPr>
            </w:pPr>
            <w:r w:rsidRPr="00B317EB">
              <w:rPr>
                <w:sz w:val="26"/>
                <w:szCs w:val="26"/>
              </w:rPr>
              <w:t>Average</w:t>
            </w:r>
          </w:p>
        </w:tc>
        <w:tc>
          <w:tcPr>
            <w:tcW w:w="1000" w:type="pct"/>
          </w:tcPr>
          <w:p w14:paraId="4A48107B" w14:textId="77777777" w:rsidR="00A46037" w:rsidRPr="00B317EB" w:rsidRDefault="00A46037" w:rsidP="00BE5FF4">
            <w:pPr>
              <w:widowControl/>
              <w:rPr>
                <w:sz w:val="26"/>
                <w:szCs w:val="26"/>
              </w:rPr>
            </w:pPr>
            <m:oMathPara>
              <m:oMathParaPr>
                <m:jc m:val="centerGroup"/>
              </m:oMathParaPr>
              <m:oMath>
                <m:r>
                  <m:rPr>
                    <m:sty m:val="p"/>
                  </m:rPr>
                  <w:rPr>
                    <w:rFonts w:ascii="Cambria Math" w:hAnsi="Cambria Math"/>
                    <w:sz w:val="26"/>
                    <w:szCs w:val="26"/>
                  </w:rPr>
                  <m:t>$76,888,333</m:t>
                </m:r>
              </m:oMath>
            </m:oMathPara>
          </w:p>
        </w:tc>
        <w:tc>
          <w:tcPr>
            <w:tcW w:w="999" w:type="pct"/>
          </w:tcPr>
          <w:p w14:paraId="49AD2E40" w14:textId="77777777" w:rsidR="00A46037" w:rsidRPr="00B317EB" w:rsidRDefault="00A46037" w:rsidP="00BE5FF4">
            <w:pPr>
              <w:widowControl/>
              <w:rPr>
                <w:sz w:val="26"/>
                <w:szCs w:val="26"/>
              </w:rPr>
            </w:pPr>
          </w:p>
        </w:tc>
        <w:tc>
          <w:tcPr>
            <w:tcW w:w="999" w:type="pct"/>
          </w:tcPr>
          <w:p w14:paraId="13D438DA" w14:textId="77777777" w:rsidR="00A46037" w:rsidRPr="00B317EB" w:rsidRDefault="00A46037" w:rsidP="00BE5FF4">
            <w:pPr>
              <w:widowControl/>
              <w:rPr>
                <w:sz w:val="26"/>
                <w:szCs w:val="26"/>
              </w:rPr>
            </w:pPr>
            <w:r w:rsidRPr="00B317EB">
              <w:rPr>
                <w:sz w:val="26"/>
                <w:szCs w:val="26"/>
              </w:rPr>
              <w:t>Average</w:t>
            </w:r>
          </w:p>
        </w:tc>
        <w:tc>
          <w:tcPr>
            <w:tcW w:w="1001" w:type="pct"/>
          </w:tcPr>
          <w:p w14:paraId="4F95B060" w14:textId="77777777" w:rsidR="00A46037" w:rsidRPr="00B317EB" w:rsidRDefault="00A46037" w:rsidP="00BE5FF4">
            <w:pPr>
              <w:widowControl/>
              <w:rPr>
                <w:sz w:val="26"/>
                <w:szCs w:val="26"/>
              </w:rPr>
            </w:pPr>
            <m:oMathPara>
              <m:oMathParaPr>
                <m:jc m:val="centerGroup"/>
              </m:oMathParaPr>
              <m:oMath>
                <m:r>
                  <m:rPr>
                    <m:sty m:val="p"/>
                  </m:rPr>
                  <w:rPr>
                    <w:rFonts w:ascii="Cambria Math" w:hAnsi="Cambria Math"/>
                    <w:sz w:val="26"/>
                    <w:szCs w:val="26"/>
                  </w:rPr>
                  <m:t>$80,098,047</m:t>
                </m:r>
              </m:oMath>
            </m:oMathPara>
          </w:p>
        </w:tc>
      </w:tr>
      <w:tr w:rsidR="00A46037" w14:paraId="55783FB7" w14:textId="77777777" w:rsidTr="00ED7A73">
        <w:tc>
          <w:tcPr>
            <w:tcW w:w="1000" w:type="pct"/>
          </w:tcPr>
          <w:p w14:paraId="5177371B" w14:textId="77777777" w:rsidR="00A46037" w:rsidRPr="00B317EB" w:rsidRDefault="00A46037" w:rsidP="00BE5FF4">
            <w:pPr>
              <w:widowControl/>
              <w:rPr>
                <w:b/>
                <w:sz w:val="26"/>
                <w:szCs w:val="26"/>
              </w:rPr>
            </w:pPr>
            <w:r w:rsidRPr="00B317EB">
              <w:rPr>
                <w:b/>
                <w:sz w:val="26"/>
                <w:szCs w:val="26"/>
              </w:rPr>
              <w:t>Recommendation</w:t>
            </w:r>
          </w:p>
        </w:tc>
        <w:tc>
          <w:tcPr>
            <w:tcW w:w="1000" w:type="pct"/>
          </w:tcPr>
          <w:p w14:paraId="6589DBED" w14:textId="77777777" w:rsidR="00A46037" w:rsidRPr="00B317EB" w:rsidRDefault="00A46037" w:rsidP="00BE5FF4">
            <w:pPr>
              <w:widowControl/>
              <w:rPr>
                <w:b/>
                <w:sz w:val="26"/>
                <w:szCs w:val="26"/>
              </w:rPr>
            </w:pPr>
            <m:oMathPara>
              <m:oMathParaPr>
                <m:jc m:val="centerGroup"/>
              </m:oMathParaPr>
              <m:oMath>
                <m:r>
                  <m:rPr>
                    <m:sty m:val="b"/>
                  </m:rPr>
                  <w:rPr>
                    <w:rFonts w:ascii="Cambria Math" w:hAnsi="Cambria Math"/>
                    <w:sz w:val="26"/>
                    <w:szCs w:val="26"/>
                  </w:rPr>
                  <m:t>$76,890,000</m:t>
                </m:r>
              </m:oMath>
            </m:oMathPara>
          </w:p>
        </w:tc>
        <w:tc>
          <w:tcPr>
            <w:tcW w:w="999" w:type="pct"/>
          </w:tcPr>
          <w:p w14:paraId="74C6FA1F" w14:textId="77777777" w:rsidR="00A46037" w:rsidRPr="00B317EB" w:rsidRDefault="00A46037" w:rsidP="00BE5FF4">
            <w:pPr>
              <w:widowControl/>
              <w:rPr>
                <w:b/>
                <w:sz w:val="26"/>
                <w:szCs w:val="26"/>
              </w:rPr>
            </w:pPr>
          </w:p>
        </w:tc>
        <w:tc>
          <w:tcPr>
            <w:tcW w:w="999" w:type="pct"/>
          </w:tcPr>
          <w:p w14:paraId="10766E1A" w14:textId="77777777" w:rsidR="00A46037" w:rsidRPr="00B317EB" w:rsidRDefault="00A46037" w:rsidP="00BE5FF4">
            <w:pPr>
              <w:widowControl/>
              <w:rPr>
                <w:b/>
                <w:sz w:val="26"/>
                <w:szCs w:val="26"/>
              </w:rPr>
            </w:pPr>
            <w:r w:rsidRPr="00B317EB">
              <w:rPr>
                <w:b/>
                <w:sz w:val="26"/>
                <w:szCs w:val="26"/>
              </w:rPr>
              <w:t>Recommendation</w:t>
            </w:r>
          </w:p>
        </w:tc>
        <w:tc>
          <w:tcPr>
            <w:tcW w:w="1001" w:type="pct"/>
          </w:tcPr>
          <w:p w14:paraId="2A6A9238" w14:textId="77777777" w:rsidR="00A46037" w:rsidRPr="00B317EB" w:rsidRDefault="00A46037" w:rsidP="00BE5FF4">
            <w:pPr>
              <w:widowControl/>
              <w:rPr>
                <w:b/>
                <w:sz w:val="26"/>
                <w:szCs w:val="26"/>
              </w:rPr>
            </w:pPr>
            <m:oMathPara>
              <m:oMathParaPr>
                <m:jc m:val="centerGroup"/>
              </m:oMathParaPr>
              <m:oMath>
                <m:r>
                  <m:rPr>
                    <m:sty m:val="b"/>
                  </m:rPr>
                  <w:rPr>
                    <w:rFonts w:ascii="Cambria Math" w:hAnsi="Cambria Math"/>
                    <w:sz w:val="26"/>
                    <w:szCs w:val="26"/>
                  </w:rPr>
                  <m:t>$80,098,047</m:t>
                </m:r>
              </m:oMath>
            </m:oMathPara>
          </w:p>
        </w:tc>
      </w:tr>
    </w:tbl>
    <w:p w14:paraId="0131335D" w14:textId="77777777" w:rsidR="00A46037" w:rsidRDefault="00A46037" w:rsidP="0012768D">
      <w:pPr>
        <w:widowControl/>
        <w:spacing w:line="360" w:lineRule="auto"/>
        <w:rPr>
          <w:sz w:val="26"/>
          <w:szCs w:val="26"/>
        </w:rPr>
      </w:pPr>
    </w:p>
    <w:p w14:paraId="578C2F21" w14:textId="77777777" w:rsidR="00A46037" w:rsidRDefault="00A46037" w:rsidP="00BE5FF4">
      <w:pPr>
        <w:widowControl/>
        <w:rPr>
          <w:sz w:val="26"/>
          <w:szCs w:val="26"/>
        </w:rPr>
      </w:pPr>
    </w:p>
    <w:p w14:paraId="37F8F59C" w14:textId="77777777" w:rsidR="00CF5D28" w:rsidRDefault="00A46037" w:rsidP="00BE5FF4">
      <w:pPr>
        <w:widowControl/>
        <w:spacing w:line="360" w:lineRule="auto"/>
        <w:rPr>
          <w:sz w:val="26"/>
          <w:szCs w:val="26"/>
        </w:rPr>
      </w:pPr>
      <w:r>
        <w:rPr>
          <w:sz w:val="26"/>
          <w:szCs w:val="26"/>
        </w:rPr>
        <w:tab/>
      </w:r>
      <w:r>
        <w:rPr>
          <w:sz w:val="26"/>
          <w:szCs w:val="26"/>
        </w:rPr>
        <w:tab/>
      </w:r>
      <w:r w:rsidR="00CF5D28">
        <w:rPr>
          <w:sz w:val="26"/>
          <w:szCs w:val="26"/>
        </w:rPr>
        <w:t xml:space="preserve">The following </w:t>
      </w:r>
      <w:r w:rsidR="00042587">
        <w:rPr>
          <w:sz w:val="26"/>
          <w:szCs w:val="26"/>
        </w:rPr>
        <w:t>table</w:t>
      </w:r>
      <w:r w:rsidR="00CF5D28">
        <w:rPr>
          <w:sz w:val="26"/>
          <w:szCs w:val="26"/>
        </w:rPr>
        <w:t xml:space="preserve"> summarizes the fair market value appraisals with the adjustments recommended by the ALJ</w:t>
      </w:r>
      <w:r w:rsidR="00042587">
        <w:rPr>
          <w:sz w:val="26"/>
          <w:szCs w:val="26"/>
        </w:rPr>
        <w:t>:</w:t>
      </w:r>
    </w:p>
    <w:p w14:paraId="64F320D6" w14:textId="77777777" w:rsidR="00CF5D28" w:rsidRPr="00F64742" w:rsidRDefault="00CF5D28" w:rsidP="00BE5FF4">
      <w:pPr>
        <w:widowControl/>
        <w:rPr>
          <w:sz w:val="26"/>
          <w:szCs w:val="26"/>
        </w:rPr>
      </w:pPr>
      <w:r>
        <w:rPr>
          <w:sz w:val="26"/>
          <w:szCs w:val="26"/>
        </w:rPr>
        <w:t xml:space="preserve">   </w:t>
      </w:r>
    </w:p>
    <w:tbl>
      <w:tblPr>
        <w:tblStyle w:val="ListTable7Colorful1"/>
        <w:tblW w:w="4166" w:type="pct"/>
        <w:tblLook w:val="0620" w:firstRow="1" w:lastRow="0" w:firstColumn="0" w:lastColumn="0" w:noHBand="1" w:noVBand="1"/>
      </w:tblPr>
      <w:tblGrid>
        <w:gridCol w:w="2166"/>
        <w:gridCol w:w="1785"/>
        <w:gridCol w:w="222"/>
        <w:gridCol w:w="2166"/>
        <w:gridCol w:w="1785"/>
      </w:tblGrid>
      <w:tr w:rsidR="00CF5D28" w14:paraId="4E24F0EC" w14:textId="77777777" w:rsidTr="003109E9">
        <w:trPr>
          <w:cnfStyle w:val="100000000000" w:firstRow="1" w:lastRow="0" w:firstColumn="0" w:lastColumn="0" w:oddVBand="0" w:evenVBand="0" w:oddHBand="0" w:evenHBand="0" w:firstRowFirstColumn="0" w:firstRowLastColumn="0" w:lastRowFirstColumn="0" w:lastRowLastColumn="0"/>
        </w:trPr>
        <w:tc>
          <w:tcPr>
            <w:tcW w:w="1000" w:type="pct"/>
          </w:tcPr>
          <w:p w14:paraId="5E3F904D" w14:textId="77777777" w:rsidR="00CF5D28" w:rsidRPr="00B317EB" w:rsidRDefault="00CF5D28" w:rsidP="00BE5FF4">
            <w:pPr>
              <w:keepNext/>
              <w:keepLines/>
              <w:widowControl/>
              <w:rPr>
                <w:b/>
                <w:sz w:val="26"/>
                <w:szCs w:val="26"/>
              </w:rPr>
            </w:pPr>
            <w:r w:rsidRPr="00B317EB">
              <w:rPr>
                <w:b/>
                <w:sz w:val="26"/>
                <w:szCs w:val="26"/>
              </w:rPr>
              <w:t xml:space="preserve">HRG </w:t>
            </w:r>
          </w:p>
        </w:tc>
        <w:tc>
          <w:tcPr>
            <w:tcW w:w="1000" w:type="pct"/>
          </w:tcPr>
          <w:p w14:paraId="478FBCA7" w14:textId="77777777" w:rsidR="00CF5D28" w:rsidRPr="00B317EB" w:rsidRDefault="00CF5D28" w:rsidP="00BE5FF4">
            <w:pPr>
              <w:keepNext/>
              <w:keepLines/>
              <w:widowControl/>
              <w:rPr>
                <w:sz w:val="26"/>
                <w:szCs w:val="26"/>
              </w:rPr>
            </w:pPr>
            <w:r w:rsidRPr="00B317EB">
              <w:rPr>
                <w:sz w:val="26"/>
                <w:szCs w:val="26"/>
              </w:rPr>
              <w:t>Value</w:t>
            </w:r>
          </w:p>
        </w:tc>
        <w:tc>
          <w:tcPr>
            <w:tcW w:w="999" w:type="pct"/>
          </w:tcPr>
          <w:p w14:paraId="704534F9" w14:textId="77777777" w:rsidR="00CF5D28" w:rsidRPr="00B317EB" w:rsidRDefault="00CF5D28" w:rsidP="00BE5FF4">
            <w:pPr>
              <w:keepNext/>
              <w:keepLines/>
              <w:widowControl/>
              <w:rPr>
                <w:sz w:val="26"/>
                <w:szCs w:val="26"/>
              </w:rPr>
            </w:pPr>
          </w:p>
        </w:tc>
        <w:tc>
          <w:tcPr>
            <w:tcW w:w="999" w:type="pct"/>
          </w:tcPr>
          <w:p w14:paraId="2A0E1A49" w14:textId="77777777" w:rsidR="00CF5D28" w:rsidRPr="00B317EB" w:rsidRDefault="00CF5D28" w:rsidP="00BE5FF4">
            <w:pPr>
              <w:keepNext/>
              <w:keepLines/>
              <w:widowControl/>
              <w:rPr>
                <w:b/>
                <w:sz w:val="26"/>
                <w:szCs w:val="26"/>
              </w:rPr>
            </w:pPr>
            <w:r w:rsidRPr="00B317EB">
              <w:rPr>
                <w:b/>
                <w:sz w:val="26"/>
                <w:szCs w:val="26"/>
              </w:rPr>
              <w:t>Gannett</w:t>
            </w:r>
          </w:p>
        </w:tc>
        <w:tc>
          <w:tcPr>
            <w:tcW w:w="1001" w:type="pct"/>
          </w:tcPr>
          <w:p w14:paraId="7A1336A9" w14:textId="77777777" w:rsidR="00CF5D28" w:rsidRPr="00B317EB" w:rsidRDefault="00CF5D28" w:rsidP="00BE5FF4">
            <w:pPr>
              <w:keepNext/>
              <w:keepLines/>
              <w:widowControl/>
              <w:rPr>
                <w:sz w:val="26"/>
                <w:szCs w:val="26"/>
              </w:rPr>
            </w:pPr>
            <w:r w:rsidRPr="00B317EB">
              <w:rPr>
                <w:sz w:val="26"/>
                <w:szCs w:val="26"/>
              </w:rPr>
              <w:t>Value</w:t>
            </w:r>
          </w:p>
        </w:tc>
      </w:tr>
      <w:tr w:rsidR="00CF5D28" w14:paraId="05E25518" w14:textId="77777777" w:rsidTr="003109E9">
        <w:tc>
          <w:tcPr>
            <w:tcW w:w="1000" w:type="pct"/>
          </w:tcPr>
          <w:p w14:paraId="7A3B6D90" w14:textId="77777777" w:rsidR="00CF5D28" w:rsidRPr="00B317EB" w:rsidRDefault="00CF5D28" w:rsidP="00BE5FF4">
            <w:pPr>
              <w:keepNext/>
              <w:keepLines/>
              <w:widowControl/>
              <w:rPr>
                <w:sz w:val="26"/>
                <w:szCs w:val="26"/>
              </w:rPr>
            </w:pPr>
            <w:r w:rsidRPr="00B317EB">
              <w:rPr>
                <w:sz w:val="26"/>
                <w:szCs w:val="26"/>
              </w:rPr>
              <w:t>Income</w:t>
            </w:r>
          </w:p>
        </w:tc>
        <w:tc>
          <w:tcPr>
            <w:tcW w:w="1000" w:type="pct"/>
          </w:tcPr>
          <w:p w14:paraId="54E739BA" w14:textId="77777777" w:rsidR="00CF5D28" w:rsidRPr="00B317EB" w:rsidRDefault="00CF5D28" w:rsidP="00BE5FF4">
            <w:pPr>
              <w:keepNext/>
              <w:keepLines/>
              <w:widowControl/>
              <w:rPr>
                <w:sz w:val="26"/>
                <w:szCs w:val="26"/>
              </w:rPr>
            </w:pPr>
            <m:oMathPara>
              <m:oMathParaPr>
                <m:jc m:val="centerGroup"/>
              </m:oMathParaPr>
              <m:oMath>
                <m:r>
                  <m:rPr>
                    <m:sty m:val="p"/>
                  </m:rPr>
                  <w:rPr>
                    <w:rFonts w:ascii="Cambria Math" w:hAnsi="Cambria Math"/>
                    <w:sz w:val="26"/>
                    <w:szCs w:val="26"/>
                  </w:rPr>
                  <m:t>$36,560,000</m:t>
                </m:r>
              </m:oMath>
            </m:oMathPara>
          </w:p>
        </w:tc>
        <w:tc>
          <w:tcPr>
            <w:tcW w:w="999" w:type="pct"/>
          </w:tcPr>
          <w:p w14:paraId="459E7DB2" w14:textId="77777777" w:rsidR="00CF5D28" w:rsidRPr="00B317EB" w:rsidRDefault="00CF5D28" w:rsidP="00BE5FF4">
            <w:pPr>
              <w:keepNext/>
              <w:keepLines/>
              <w:widowControl/>
              <w:rPr>
                <w:sz w:val="26"/>
                <w:szCs w:val="26"/>
              </w:rPr>
            </w:pPr>
          </w:p>
        </w:tc>
        <w:tc>
          <w:tcPr>
            <w:tcW w:w="999" w:type="pct"/>
          </w:tcPr>
          <w:p w14:paraId="6C48E96E" w14:textId="77777777" w:rsidR="00CF5D28" w:rsidRPr="00B317EB" w:rsidRDefault="00CF5D28" w:rsidP="00BE5FF4">
            <w:pPr>
              <w:keepNext/>
              <w:keepLines/>
              <w:widowControl/>
              <w:rPr>
                <w:sz w:val="26"/>
                <w:szCs w:val="26"/>
              </w:rPr>
            </w:pPr>
            <w:r w:rsidRPr="00B317EB">
              <w:rPr>
                <w:sz w:val="26"/>
                <w:szCs w:val="26"/>
              </w:rPr>
              <w:t>Income</w:t>
            </w:r>
          </w:p>
        </w:tc>
        <w:tc>
          <w:tcPr>
            <w:tcW w:w="1001" w:type="pct"/>
          </w:tcPr>
          <w:p w14:paraId="44302403" w14:textId="77777777" w:rsidR="00CF5D28" w:rsidRPr="00B317EB" w:rsidRDefault="00CF5D28" w:rsidP="00BE5FF4">
            <w:pPr>
              <w:keepNext/>
              <w:keepLines/>
              <w:widowControl/>
              <w:rPr>
                <w:sz w:val="26"/>
                <w:szCs w:val="26"/>
              </w:rPr>
            </w:pPr>
            <m:oMathPara>
              <m:oMathParaPr>
                <m:jc m:val="centerGroup"/>
              </m:oMathParaPr>
              <m:oMath>
                <m:r>
                  <m:rPr>
                    <m:sty m:val="p"/>
                  </m:rPr>
                  <w:rPr>
                    <w:rFonts w:ascii="Cambria Math" w:hAnsi="Cambria Math"/>
                    <w:sz w:val="26"/>
                    <w:szCs w:val="26"/>
                  </w:rPr>
                  <m:t>$75,204,407</m:t>
                </m:r>
              </m:oMath>
            </m:oMathPara>
          </w:p>
        </w:tc>
      </w:tr>
      <w:tr w:rsidR="00CF5D28" w14:paraId="17141ADE" w14:textId="77777777" w:rsidTr="003109E9">
        <w:tc>
          <w:tcPr>
            <w:tcW w:w="1000" w:type="pct"/>
          </w:tcPr>
          <w:p w14:paraId="56E73091" w14:textId="77777777" w:rsidR="00CF5D28" w:rsidRPr="00B317EB" w:rsidRDefault="00CF5D28" w:rsidP="00BE5FF4">
            <w:pPr>
              <w:keepNext/>
              <w:keepLines/>
              <w:widowControl/>
              <w:rPr>
                <w:sz w:val="26"/>
                <w:szCs w:val="26"/>
              </w:rPr>
            </w:pPr>
            <w:r w:rsidRPr="00B317EB">
              <w:rPr>
                <w:sz w:val="26"/>
                <w:szCs w:val="26"/>
              </w:rPr>
              <w:t>Cost</w:t>
            </w:r>
          </w:p>
        </w:tc>
        <w:tc>
          <w:tcPr>
            <w:tcW w:w="1000" w:type="pct"/>
          </w:tcPr>
          <w:p w14:paraId="7E3F0303" w14:textId="77777777" w:rsidR="00CF5D28" w:rsidRPr="00B317EB" w:rsidRDefault="00CF5D28" w:rsidP="00BE5FF4">
            <w:pPr>
              <w:keepNext/>
              <w:keepLines/>
              <w:widowControl/>
              <w:rPr>
                <w:sz w:val="26"/>
                <w:szCs w:val="26"/>
              </w:rPr>
            </w:pPr>
            <m:oMathPara>
              <m:oMathParaPr>
                <m:jc m:val="centerGroup"/>
              </m:oMathParaPr>
              <m:oMath>
                <m:r>
                  <w:rPr>
                    <w:rFonts w:ascii="Cambria Math" w:hAnsi="Cambria Math"/>
                    <w:sz w:val="26"/>
                    <w:szCs w:val="26"/>
                  </w:rPr>
                  <m:t>$62,321,571</m:t>
                </m:r>
              </m:oMath>
            </m:oMathPara>
          </w:p>
        </w:tc>
        <w:tc>
          <w:tcPr>
            <w:tcW w:w="999" w:type="pct"/>
          </w:tcPr>
          <w:p w14:paraId="52639036" w14:textId="77777777" w:rsidR="00CF5D28" w:rsidRPr="00B317EB" w:rsidRDefault="00CF5D28" w:rsidP="00BE5FF4">
            <w:pPr>
              <w:keepNext/>
              <w:keepLines/>
              <w:widowControl/>
              <w:rPr>
                <w:sz w:val="26"/>
                <w:szCs w:val="26"/>
              </w:rPr>
            </w:pPr>
          </w:p>
        </w:tc>
        <w:tc>
          <w:tcPr>
            <w:tcW w:w="999" w:type="pct"/>
          </w:tcPr>
          <w:p w14:paraId="50A046DA" w14:textId="77777777" w:rsidR="00CF5D28" w:rsidRPr="00B317EB" w:rsidRDefault="00CF5D28" w:rsidP="00BE5FF4">
            <w:pPr>
              <w:keepNext/>
              <w:keepLines/>
              <w:widowControl/>
              <w:rPr>
                <w:sz w:val="26"/>
                <w:szCs w:val="26"/>
              </w:rPr>
            </w:pPr>
            <w:r w:rsidRPr="00B317EB">
              <w:rPr>
                <w:sz w:val="26"/>
                <w:szCs w:val="26"/>
              </w:rPr>
              <w:t>Cost</w:t>
            </w:r>
          </w:p>
        </w:tc>
        <w:tc>
          <w:tcPr>
            <w:tcW w:w="1001" w:type="pct"/>
          </w:tcPr>
          <w:p w14:paraId="2FCAEDDE" w14:textId="77777777" w:rsidR="00CF5D28" w:rsidRPr="00B317EB" w:rsidRDefault="00CF5D28" w:rsidP="00BE5FF4">
            <w:pPr>
              <w:keepNext/>
              <w:keepLines/>
              <w:widowControl/>
              <w:rPr>
                <w:sz w:val="26"/>
                <w:szCs w:val="26"/>
              </w:rPr>
            </w:pPr>
            <m:oMathPara>
              <m:oMathParaPr>
                <m:jc m:val="centerGroup"/>
              </m:oMathParaPr>
              <m:oMath>
                <m:r>
                  <m:rPr>
                    <m:sty m:val="p"/>
                  </m:rPr>
                  <w:rPr>
                    <w:rFonts w:ascii="Cambria Math" w:hAnsi="Cambria Math"/>
                    <w:sz w:val="26"/>
                    <w:szCs w:val="26"/>
                  </w:rPr>
                  <m:t>$86,086,756</m:t>
                </m:r>
              </m:oMath>
            </m:oMathPara>
          </w:p>
        </w:tc>
      </w:tr>
      <w:tr w:rsidR="00CF5D28" w14:paraId="242898A8" w14:textId="77777777" w:rsidTr="003109E9">
        <w:tc>
          <w:tcPr>
            <w:tcW w:w="1000" w:type="pct"/>
          </w:tcPr>
          <w:p w14:paraId="7957797B" w14:textId="77777777" w:rsidR="00CF5D28" w:rsidRPr="00B317EB" w:rsidRDefault="00CF5D28" w:rsidP="00BE5FF4">
            <w:pPr>
              <w:keepNext/>
              <w:keepLines/>
              <w:widowControl/>
              <w:rPr>
                <w:sz w:val="26"/>
                <w:szCs w:val="26"/>
              </w:rPr>
            </w:pPr>
            <w:r w:rsidRPr="00B317EB">
              <w:rPr>
                <w:sz w:val="26"/>
                <w:szCs w:val="26"/>
              </w:rPr>
              <w:t>Market</w:t>
            </w:r>
          </w:p>
        </w:tc>
        <w:tc>
          <w:tcPr>
            <w:tcW w:w="1000" w:type="pct"/>
          </w:tcPr>
          <w:p w14:paraId="2BDC64C9" w14:textId="77777777" w:rsidR="00CF5D28" w:rsidRPr="00B317EB" w:rsidRDefault="00CF5D28" w:rsidP="00BE5FF4">
            <w:pPr>
              <w:keepNext/>
              <w:keepLines/>
              <w:widowControl/>
              <w:rPr>
                <w:sz w:val="26"/>
                <w:szCs w:val="26"/>
              </w:rPr>
            </w:pPr>
            <m:oMathPara>
              <m:oMathParaPr>
                <m:jc m:val="centerGroup"/>
              </m:oMathParaPr>
              <m:oMath>
                <m:r>
                  <m:rPr>
                    <m:sty m:val="p"/>
                  </m:rPr>
                  <w:rPr>
                    <w:rFonts w:ascii="Cambria Math" w:hAnsi="Cambria Math"/>
                    <w:sz w:val="26"/>
                    <w:szCs w:val="26"/>
                  </w:rPr>
                  <m:t>$47,064,553</m:t>
                </m:r>
              </m:oMath>
            </m:oMathPara>
          </w:p>
        </w:tc>
        <w:tc>
          <w:tcPr>
            <w:tcW w:w="999" w:type="pct"/>
          </w:tcPr>
          <w:p w14:paraId="41134BA9" w14:textId="77777777" w:rsidR="00CF5D28" w:rsidRPr="00B317EB" w:rsidRDefault="00CF5D28" w:rsidP="00BE5FF4">
            <w:pPr>
              <w:keepNext/>
              <w:keepLines/>
              <w:widowControl/>
              <w:rPr>
                <w:sz w:val="26"/>
                <w:szCs w:val="26"/>
              </w:rPr>
            </w:pPr>
          </w:p>
        </w:tc>
        <w:tc>
          <w:tcPr>
            <w:tcW w:w="999" w:type="pct"/>
          </w:tcPr>
          <w:p w14:paraId="1C4A67AA" w14:textId="77777777" w:rsidR="00CF5D28" w:rsidRPr="00B317EB" w:rsidRDefault="00CF5D28" w:rsidP="00BE5FF4">
            <w:pPr>
              <w:keepNext/>
              <w:keepLines/>
              <w:widowControl/>
              <w:rPr>
                <w:sz w:val="26"/>
                <w:szCs w:val="26"/>
              </w:rPr>
            </w:pPr>
            <w:r w:rsidRPr="00B317EB">
              <w:rPr>
                <w:sz w:val="26"/>
                <w:szCs w:val="26"/>
              </w:rPr>
              <w:t>Market</w:t>
            </w:r>
          </w:p>
        </w:tc>
        <w:tc>
          <w:tcPr>
            <w:tcW w:w="1001" w:type="pct"/>
          </w:tcPr>
          <w:p w14:paraId="6D77B35B" w14:textId="77777777" w:rsidR="00CF5D28" w:rsidRPr="00B317EB" w:rsidRDefault="00CF5D28" w:rsidP="00BE5FF4">
            <w:pPr>
              <w:keepNext/>
              <w:keepLines/>
              <w:widowControl/>
              <w:rPr>
                <w:sz w:val="26"/>
                <w:szCs w:val="26"/>
              </w:rPr>
            </w:pPr>
            <m:oMathPara>
              <m:oMathParaPr>
                <m:jc m:val="centerGroup"/>
              </m:oMathParaPr>
              <m:oMath>
                <m:r>
                  <m:rPr>
                    <m:sty m:val="p"/>
                  </m:rPr>
                  <w:rPr>
                    <w:rFonts w:ascii="Cambria Math" w:hAnsi="Cambria Math"/>
                    <w:sz w:val="26"/>
                    <w:szCs w:val="26"/>
                  </w:rPr>
                  <m:t>$79,002,980</m:t>
                </m:r>
              </m:oMath>
            </m:oMathPara>
          </w:p>
        </w:tc>
      </w:tr>
      <w:tr w:rsidR="00CF5D28" w14:paraId="1AE4B47E" w14:textId="77777777" w:rsidTr="003109E9">
        <w:tc>
          <w:tcPr>
            <w:tcW w:w="1000" w:type="pct"/>
          </w:tcPr>
          <w:p w14:paraId="44751C67" w14:textId="77777777" w:rsidR="00CF5D28" w:rsidRPr="00B317EB" w:rsidRDefault="00CF5D28" w:rsidP="00BE5FF4">
            <w:pPr>
              <w:keepNext/>
              <w:keepLines/>
              <w:widowControl/>
              <w:rPr>
                <w:sz w:val="26"/>
                <w:szCs w:val="26"/>
              </w:rPr>
            </w:pPr>
          </w:p>
        </w:tc>
        <w:tc>
          <w:tcPr>
            <w:tcW w:w="1000" w:type="pct"/>
          </w:tcPr>
          <w:p w14:paraId="5BCF7E2C" w14:textId="77777777" w:rsidR="00CF5D28" w:rsidRPr="00B317EB" w:rsidRDefault="00CF5D28" w:rsidP="00BE5FF4">
            <w:pPr>
              <w:keepNext/>
              <w:keepLines/>
              <w:widowControl/>
              <w:rPr>
                <w:sz w:val="26"/>
                <w:szCs w:val="26"/>
              </w:rPr>
            </w:pPr>
          </w:p>
        </w:tc>
        <w:tc>
          <w:tcPr>
            <w:tcW w:w="999" w:type="pct"/>
          </w:tcPr>
          <w:p w14:paraId="42284742" w14:textId="77777777" w:rsidR="00CF5D28" w:rsidRPr="00B317EB" w:rsidRDefault="00CF5D28" w:rsidP="00BE5FF4">
            <w:pPr>
              <w:keepNext/>
              <w:keepLines/>
              <w:widowControl/>
              <w:rPr>
                <w:sz w:val="26"/>
                <w:szCs w:val="26"/>
              </w:rPr>
            </w:pPr>
          </w:p>
        </w:tc>
        <w:tc>
          <w:tcPr>
            <w:tcW w:w="999" w:type="pct"/>
          </w:tcPr>
          <w:p w14:paraId="1E4290AF" w14:textId="77777777" w:rsidR="00CF5D28" w:rsidRPr="00B317EB" w:rsidRDefault="00CF5D28" w:rsidP="00BE5FF4">
            <w:pPr>
              <w:keepNext/>
              <w:keepLines/>
              <w:widowControl/>
              <w:rPr>
                <w:sz w:val="26"/>
                <w:szCs w:val="26"/>
              </w:rPr>
            </w:pPr>
          </w:p>
        </w:tc>
        <w:tc>
          <w:tcPr>
            <w:tcW w:w="1001" w:type="pct"/>
          </w:tcPr>
          <w:p w14:paraId="7AB55E04" w14:textId="77777777" w:rsidR="00CF5D28" w:rsidRPr="00B317EB" w:rsidRDefault="00CF5D28" w:rsidP="00BE5FF4">
            <w:pPr>
              <w:keepNext/>
              <w:keepLines/>
              <w:widowControl/>
              <w:rPr>
                <w:sz w:val="26"/>
                <w:szCs w:val="26"/>
              </w:rPr>
            </w:pPr>
          </w:p>
        </w:tc>
      </w:tr>
      <w:tr w:rsidR="00CF5D28" w14:paraId="76295857" w14:textId="77777777" w:rsidTr="003109E9">
        <w:tc>
          <w:tcPr>
            <w:tcW w:w="1000" w:type="pct"/>
          </w:tcPr>
          <w:p w14:paraId="52ED151F" w14:textId="77777777" w:rsidR="00CF5D28" w:rsidRPr="00B317EB" w:rsidRDefault="00CF5D28" w:rsidP="00BE5FF4">
            <w:pPr>
              <w:keepNext/>
              <w:keepLines/>
              <w:widowControl/>
              <w:rPr>
                <w:sz w:val="26"/>
                <w:szCs w:val="26"/>
              </w:rPr>
            </w:pPr>
            <w:r w:rsidRPr="00B317EB">
              <w:rPr>
                <w:sz w:val="26"/>
                <w:szCs w:val="26"/>
              </w:rPr>
              <w:t>Average</w:t>
            </w:r>
          </w:p>
        </w:tc>
        <w:tc>
          <w:tcPr>
            <w:tcW w:w="1000" w:type="pct"/>
          </w:tcPr>
          <w:p w14:paraId="6C502DCF" w14:textId="77777777" w:rsidR="00CF5D28" w:rsidRPr="00B317EB" w:rsidRDefault="00CF5D28" w:rsidP="00BE5FF4">
            <w:pPr>
              <w:keepNext/>
              <w:keepLines/>
              <w:widowControl/>
              <w:rPr>
                <w:sz w:val="26"/>
                <w:szCs w:val="26"/>
              </w:rPr>
            </w:pPr>
            <m:oMathPara>
              <m:oMathParaPr>
                <m:jc m:val="centerGroup"/>
              </m:oMathParaPr>
              <m:oMath>
                <m:r>
                  <m:rPr>
                    <m:sty m:val="p"/>
                  </m:rPr>
                  <w:rPr>
                    <w:rFonts w:ascii="Cambria Math" w:hAnsi="Cambria Math"/>
                    <w:sz w:val="26"/>
                    <w:szCs w:val="26"/>
                  </w:rPr>
                  <m:t>$48,648,708</m:t>
                </m:r>
              </m:oMath>
            </m:oMathPara>
          </w:p>
        </w:tc>
        <w:tc>
          <w:tcPr>
            <w:tcW w:w="999" w:type="pct"/>
          </w:tcPr>
          <w:p w14:paraId="5AFA5F73" w14:textId="77777777" w:rsidR="00CF5D28" w:rsidRPr="00B317EB" w:rsidRDefault="00CF5D28" w:rsidP="00BE5FF4">
            <w:pPr>
              <w:keepNext/>
              <w:keepLines/>
              <w:widowControl/>
              <w:rPr>
                <w:sz w:val="26"/>
                <w:szCs w:val="26"/>
              </w:rPr>
            </w:pPr>
          </w:p>
        </w:tc>
        <w:tc>
          <w:tcPr>
            <w:tcW w:w="999" w:type="pct"/>
          </w:tcPr>
          <w:p w14:paraId="522CA55A" w14:textId="77777777" w:rsidR="00CF5D28" w:rsidRPr="00B317EB" w:rsidRDefault="00CF5D28" w:rsidP="00BE5FF4">
            <w:pPr>
              <w:keepNext/>
              <w:keepLines/>
              <w:widowControl/>
              <w:rPr>
                <w:sz w:val="26"/>
                <w:szCs w:val="26"/>
              </w:rPr>
            </w:pPr>
            <w:r w:rsidRPr="00B317EB">
              <w:rPr>
                <w:sz w:val="26"/>
                <w:szCs w:val="26"/>
              </w:rPr>
              <w:t>Average</w:t>
            </w:r>
          </w:p>
        </w:tc>
        <w:tc>
          <w:tcPr>
            <w:tcW w:w="1001" w:type="pct"/>
          </w:tcPr>
          <w:p w14:paraId="15D06116" w14:textId="77777777" w:rsidR="00CF5D28" w:rsidRPr="00B317EB" w:rsidRDefault="00CF5D28" w:rsidP="00BE5FF4">
            <w:pPr>
              <w:keepNext/>
              <w:keepLines/>
              <w:widowControl/>
              <w:rPr>
                <w:sz w:val="26"/>
                <w:szCs w:val="26"/>
              </w:rPr>
            </w:pPr>
            <m:oMathPara>
              <m:oMathParaPr>
                <m:jc m:val="centerGroup"/>
              </m:oMathParaPr>
              <m:oMath>
                <m:r>
                  <m:rPr>
                    <m:sty m:val="p"/>
                  </m:rPr>
                  <w:rPr>
                    <w:rFonts w:ascii="Cambria Math" w:hAnsi="Cambria Math"/>
                    <w:sz w:val="26"/>
                    <w:szCs w:val="26"/>
                  </w:rPr>
                  <m:t>$80,098,047</m:t>
                </m:r>
              </m:oMath>
            </m:oMathPara>
          </w:p>
        </w:tc>
      </w:tr>
      <w:tr w:rsidR="00CF5D28" w14:paraId="28BC5829" w14:textId="77777777" w:rsidTr="003109E9">
        <w:tc>
          <w:tcPr>
            <w:tcW w:w="1000" w:type="pct"/>
          </w:tcPr>
          <w:p w14:paraId="2B2EE928" w14:textId="77777777" w:rsidR="00CF5D28" w:rsidRPr="00B317EB" w:rsidRDefault="00CF5D28" w:rsidP="00BE5FF4">
            <w:pPr>
              <w:keepNext/>
              <w:keepLines/>
              <w:widowControl/>
              <w:rPr>
                <w:b/>
                <w:sz w:val="26"/>
                <w:szCs w:val="26"/>
              </w:rPr>
            </w:pPr>
            <w:r w:rsidRPr="00B317EB">
              <w:rPr>
                <w:b/>
                <w:sz w:val="26"/>
                <w:szCs w:val="26"/>
              </w:rPr>
              <w:t>Recommendation</w:t>
            </w:r>
          </w:p>
        </w:tc>
        <w:tc>
          <w:tcPr>
            <w:tcW w:w="1000" w:type="pct"/>
          </w:tcPr>
          <w:p w14:paraId="41B37E92" w14:textId="77777777" w:rsidR="00CF5D28" w:rsidRPr="00B317EB" w:rsidRDefault="00CF5D28" w:rsidP="00BE5FF4">
            <w:pPr>
              <w:keepNext/>
              <w:keepLines/>
              <w:widowControl/>
              <w:rPr>
                <w:b/>
                <w:sz w:val="26"/>
                <w:szCs w:val="26"/>
              </w:rPr>
            </w:pPr>
            <m:oMathPara>
              <m:oMathParaPr>
                <m:jc m:val="centerGroup"/>
              </m:oMathParaPr>
              <m:oMath>
                <m:r>
                  <m:rPr>
                    <m:sty m:val="b"/>
                  </m:rPr>
                  <w:rPr>
                    <w:rFonts w:ascii="Cambria Math" w:hAnsi="Cambria Math"/>
                    <w:sz w:val="26"/>
                    <w:szCs w:val="26"/>
                  </w:rPr>
                  <m:t>$48,648,708</m:t>
                </m:r>
              </m:oMath>
            </m:oMathPara>
          </w:p>
        </w:tc>
        <w:tc>
          <w:tcPr>
            <w:tcW w:w="999" w:type="pct"/>
          </w:tcPr>
          <w:p w14:paraId="1E0B751E" w14:textId="77777777" w:rsidR="00CF5D28" w:rsidRPr="00B317EB" w:rsidRDefault="00CF5D28" w:rsidP="00BE5FF4">
            <w:pPr>
              <w:keepNext/>
              <w:keepLines/>
              <w:widowControl/>
              <w:rPr>
                <w:b/>
                <w:sz w:val="26"/>
                <w:szCs w:val="26"/>
              </w:rPr>
            </w:pPr>
          </w:p>
        </w:tc>
        <w:tc>
          <w:tcPr>
            <w:tcW w:w="999" w:type="pct"/>
          </w:tcPr>
          <w:p w14:paraId="3898BDB7" w14:textId="77777777" w:rsidR="00CF5D28" w:rsidRPr="00B317EB" w:rsidRDefault="00CF5D28" w:rsidP="00BE5FF4">
            <w:pPr>
              <w:keepNext/>
              <w:keepLines/>
              <w:widowControl/>
              <w:rPr>
                <w:b/>
                <w:sz w:val="26"/>
                <w:szCs w:val="26"/>
              </w:rPr>
            </w:pPr>
            <w:r w:rsidRPr="00B317EB">
              <w:rPr>
                <w:b/>
                <w:sz w:val="26"/>
                <w:szCs w:val="26"/>
              </w:rPr>
              <w:t>Recommendation</w:t>
            </w:r>
          </w:p>
        </w:tc>
        <w:tc>
          <w:tcPr>
            <w:tcW w:w="1001" w:type="pct"/>
          </w:tcPr>
          <w:p w14:paraId="56B2E9B3" w14:textId="77777777" w:rsidR="00CF5D28" w:rsidRPr="00B317EB" w:rsidRDefault="00CF5D28" w:rsidP="00BE5FF4">
            <w:pPr>
              <w:keepNext/>
              <w:keepLines/>
              <w:widowControl/>
              <w:rPr>
                <w:b/>
                <w:sz w:val="26"/>
                <w:szCs w:val="26"/>
              </w:rPr>
            </w:pPr>
            <m:oMathPara>
              <m:oMathParaPr>
                <m:jc m:val="centerGroup"/>
              </m:oMathParaPr>
              <m:oMath>
                <m:r>
                  <m:rPr>
                    <m:sty m:val="b"/>
                  </m:rPr>
                  <w:rPr>
                    <w:rFonts w:ascii="Cambria Math" w:hAnsi="Cambria Math"/>
                    <w:sz w:val="26"/>
                    <w:szCs w:val="26"/>
                  </w:rPr>
                  <m:t>$80,098,047</m:t>
                </m:r>
              </m:oMath>
            </m:oMathPara>
          </w:p>
        </w:tc>
      </w:tr>
    </w:tbl>
    <w:p w14:paraId="5C8EF875" w14:textId="77777777" w:rsidR="00516C7F" w:rsidRPr="002915C6" w:rsidRDefault="00E94043" w:rsidP="0012768D">
      <w:pPr>
        <w:widowControl/>
        <w:spacing w:line="360" w:lineRule="auto"/>
        <w:rPr>
          <w:sz w:val="26"/>
          <w:szCs w:val="26"/>
        </w:rPr>
      </w:pPr>
      <w:r w:rsidRPr="002915C6">
        <w:rPr>
          <w:sz w:val="26"/>
          <w:szCs w:val="26"/>
        </w:rPr>
        <w:t xml:space="preserve">  </w:t>
      </w:r>
      <w:r w:rsidR="00CD627F" w:rsidRPr="002915C6">
        <w:rPr>
          <w:sz w:val="26"/>
          <w:szCs w:val="26"/>
        </w:rPr>
        <w:tab/>
      </w:r>
      <w:r w:rsidR="00CD627F" w:rsidRPr="002915C6">
        <w:rPr>
          <w:sz w:val="26"/>
          <w:szCs w:val="26"/>
        </w:rPr>
        <w:tab/>
      </w:r>
    </w:p>
    <w:p w14:paraId="73DE78FE" w14:textId="77777777" w:rsidR="00516C7F" w:rsidRDefault="00CF5D28" w:rsidP="0012768D">
      <w:pPr>
        <w:widowControl/>
        <w:spacing w:line="360" w:lineRule="auto"/>
        <w:rPr>
          <w:sz w:val="26"/>
          <w:szCs w:val="26"/>
        </w:rPr>
      </w:pPr>
      <w:r>
        <w:rPr>
          <w:sz w:val="26"/>
          <w:szCs w:val="26"/>
        </w:rPr>
        <w:tab/>
      </w:r>
      <w:r>
        <w:rPr>
          <w:sz w:val="26"/>
          <w:szCs w:val="26"/>
        </w:rPr>
        <w:tab/>
        <w:t>The average of the two valuations is $64,373,378.  The ALJ noted that he did not make any changes to the weight applied to each approach.  R.D. at 31.</w:t>
      </w:r>
    </w:p>
    <w:p w14:paraId="38D495F8" w14:textId="77777777" w:rsidR="00CF5D28" w:rsidRPr="002915C6" w:rsidRDefault="00CF5D28" w:rsidP="0012768D">
      <w:pPr>
        <w:widowControl/>
        <w:spacing w:line="360" w:lineRule="auto"/>
        <w:rPr>
          <w:sz w:val="26"/>
          <w:szCs w:val="26"/>
        </w:rPr>
      </w:pPr>
    </w:p>
    <w:p w14:paraId="4E8A21EF" w14:textId="77777777" w:rsidR="00516C7F" w:rsidRPr="002915C6" w:rsidRDefault="00516C7F" w:rsidP="0012768D">
      <w:pPr>
        <w:pStyle w:val="Heading3"/>
        <w:widowControl/>
        <w:spacing w:before="0" w:line="360" w:lineRule="auto"/>
        <w:rPr>
          <w:rFonts w:ascii="Times New Roman" w:hAnsi="Times New Roman" w:cs="Times New Roman"/>
          <w:color w:val="auto"/>
          <w:sz w:val="26"/>
          <w:szCs w:val="26"/>
        </w:rPr>
      </w:pPr>
      <w:r w:rsidRPr="002915C6">
        <w:rPr>
          <w:b w:val="0"/>
          <w:sz w:val="26"/>
          <w:szCs w:val="26"/>
        </w:rPr>
        <w:tab/>
      </w:r>
      <w:r w:rsidRPr="002915C6">
        <w:rPr>
          <w:b w:val="0"/>
          <w:sz w:val="26"/>
          <w:szCs w:val="26"/>
        </w:rPr>
        <w:tab/>
      </w:r>
      <w:bookmarkStart w:id="16" w:name="_Toc499121833"/>
      <w:r w:rsidR="00547F71">
        <w:rPr>
          <w:rFonts w:ascii="Times New Roman" w:hAnsi="Times New Roman" w:cs="Times New Roman"/>
          <w:color w:val="auto"/>
          <w:sz w:val="26"/>
          <w:szCs w:val="26"/>
        </w:rPr>
        <w:t>6</w:t>
      </w:r>
      <w:r w:rsidR="00BD78B5" w:rsidRPr="002915C6">
        <w:rPr>
          <w:rFonts w:ascii="Times New Roman" w:hAnsi="Times New Roman" w:cs="Times New Roman"/>
          <w:color w:val="auto"/>
          <w:sz w:val="26"/>
          <w:szCs w:val="26"/>
        </w:rPr>
        <w:t>.</w:t>
      </w:r>
      <w:r w:rsidR="00BD78B5" w:rsidRPr="002915C6">
        <w:rPr>
          <w:rFonts w:ascii="Times New Roman" w:hAnsi="Times New Roman" w:cs="Times New Roman"/>
          <w:color w:val="auto"/>
          <w:sz w:val="26"/>
          <w:szCs w:val="26"/>
        </w:rPr>
        <w:tab/>
      </w:r>
      <w:r w:rsidR="00CD627F" w:rsidRPr="002915C6">
        <w:rPr>
          <w:rFonts w:ascii="Times New Roman" w:hAnsi="Times New Roman" w:cs="Times New Roman"/>
          <w:color w:val="auto"/>
          <w:sz w:val="26"/>
          <w:szCs w:val="26"/>
        </w:rPr>
        <w:t>Public Intere</w:t>
      </w:r>
      <w:r w:rsidRPr="002915C6">
        <w:rPr>
          <w:rFonts w:ascii="Times New Roman" w:hAnsi="Times New Roman" w:cs="Times New Roman"/>
          <w:color w:val="auto"/>
          <w:sz w:val="26"/>
          <w:szCs w:val="26"/>
        </w:rPr>
        <w:t>st / Affirmative Public Benefit</w:t>
      </w:r>
      <w:bookmarkEnd w:id="16"/>
    </w:p>
    <w:p w14:paraId="2444BBAC" w14:textId="77777777" w:rsidR="00705918" w:rsidRPr="002915C6" w:rsidRDefault="00705918" w:rsidP="0012768D">
      <w:pPr>
        <w:keepNext/>
        <w:keepLines/>
        <w:widowControl/>
        <w:spacing w:line="360" w:lineRule="auto"/>
        <w:rPr>
          <w:sz w:val="26"/>
          <w:szCs w:val="26"/>
        </w:rPr>
      </w:pPr>
    </w:p>
    <w:p w14:paraId="7BE073E5" w14:textId="77777777" w:rsidR="00BD78B5" w:rsidRPr="002915C6" w:rsidRDefault="00705918" w:rsidP="0012768D">
      <w:pPr>
        <w:widowControl/>
        <w:spacing w:line="360" w:lineRule="auto"/>
        <w:rPr>
          <w:sz w:val="26"/>
          <w:szCs w:val="26"/>
        </w:rPr>
      </w:pPr>
      <w:r w:rsidRPr="002915C6">
        <w:rPr>
          <w:sz w:val="26"/>
          <w:szCs w:val="26"/>
        </w:rPr>
        <w:tab/>
      </w:r>
      <w:r w:rsidRPr="002915C6">
        <w:rPr>
          <w:sz w:val="26"/>
          <w:szCs w:val="26"/>
        </w:rPr>
        <w:tab/>
      </w:r>
      <w:r w:rsidR="00CD627F" w:rsidRPr="002915C6">
        <w:rPr>
          <w:sz w:val="26"/>
          <w:szCs w:val="26"/>
        </w:rPr>
        <w:t>Next, the ALJ</w:t>
      </w:r>
      <w:r w:rsidR="00BD78B5" w:rsidRPr="002915C6">
        <w:rPr>
          <w:sz w:val="26"/>
          <w:szCs w:val="26"/>
        </w:rPr>
        <w:t xml:space="preserve"> considered the Commission’s guidance in </w:t>
      </w:r>
      <w:proofErr w:type="spellStart"/>
      <w:r w:rsidR="00BD78B5" w:rsidRPr="002915C6">
        <w:rPr>
          <w:sz w:val="26"/>
          <w:szCs w:val="26"/>
        </w:rPr>
        <w:t>Aqua’s</w:t>
      </w:r>
      <w:proofErr w:type="spellEnd"/>
      <w:r w:rsidR="00BD78B5" w:rsidRPr="002915C6">
        <w:rPr>
          <w:sz w:val="26"/>
          <w:szCs w:val="26"/>
        </w:rPr>
        <w:t xml:space="preserve"> prior application in the </w:t>
      </w:r>
      <w:r w:rsidR="00182BEF" w:rsidRPr="002915C6">
        <w:rPr>
          <w:i/>
          <w:sz w:val="26"/>
          <w:szCs w:val="26"/>
        </w:rPr>
        <w:t xml:space="preserve">Aqua - </w:t>
      </w:r>
      <w:r w:rsidR="00BD78B5" w:rsidRPr="002915C6">
        <w:rPr>
          <w:i/>
          <w:sz w:val="26"/>
          <w:szCs w:val="26"/>
        </w:rPr>
        <w:t>New Garden</w:t>
      </w:r>
      <w:r w:rsidR="00BD78B5" w:rsidRPr="002915C6">
        <w:rPr>
          <w:sz w:val="26"/>
          <w:szCs w:val="26"/>
        </w:rPr>
        <w:t xml:space="preserve"> </w:t>
      </w:r>
      <w:r w:rsidR="00182BEF" w:rsidRPr="002915C6">
        <w:rPr>
          <w:i/>
          <w:sz w:val="26"/>
          <w:szCs w:val="26"/>
        </w:rPr>
        <w:t>Order</w:t>
      </w:r>
      <w:r w:rsidR="00BD78B5" w:rsidRPr="002915C6">
        <w:rPr>
          <w:sz w:val="26"/>
          <w:szCs w:val="26"/>
        </w:rPr>
        <w:t xml:space="preserve"> and determined that the Company has proven that the transaction is in the public interest and that the public at large, including </w:t>
      </w:r>
      <w:proofErr w:type="spellStart"/>
      <w:r w:rsidR="00BD78B5" w:rsidRPr="002915C6">
        <w:rPr>
          <w:sz w:val="26"/>
          <w:szCs w:val="26"/>
        </w:rPr>
        <w:t>Aqua’s</w:t>
      </w:r>
      <w:proofErr w:type="spellEnd"/>
      <w:r w:rsidR="00BD78B5" w:rsidRPr="002915C6">
        <w:rPr>
          <w:sz w:val="26"/>
          <w:szCs w:val="26"/>
        </w:rPr>
        <w:t xml:space="preserve"> existing customers, will realize affirmative public benefits sufficient to warrant approval of its Application.  The affirmative public benefits shown by Aqua coupled with the conditions – requiring a cost of service study in the next rate case and </w:t>
      </w:r>
      <w:proofErr w:type="spellStart"/>
      <w:r w:rsidR="00BD78B5" w:rsidRPr="002915C6">
        <w:rPr>
          <w:sz w:val="26"/>
          <w:szCs w:val="26"/>
        </w:rPr>
        <w:t>Aqua’s</w:t>
      </w:r>
      <w:proofErr w:type="spellEnd"/>
      <w:r w:rsidR="00BD78B5" w:rsidRPr="002915C6">
        <w:rPr>
          <w:sz w:val="26"/>
          <w:szCs w:val="26"/>
        </w:rPr>
        <w:t xml:space="preserve"> shareholders bearing the risk of any shortfall between revenue from the Limerick customers and the cost of providing service – will assure that the requirements of Ch</w:t>
      </w:r>
      <w:r w:rsidR="006377BB">
        <w:rPr>
          <w:sz w:val="26"/>
          <w:szCs w:val="26"/>
        </w:rPr>
        <w:t>apters</w:t>
      </w:r>
      <w:r w:rsidR="00BD78B5" w:rsidRPr="002915C6">
        <w:rPr>
          <w:sz w:val="26"/>
          <w:szCs w:val="26"/>
        </w:rPr>
        <w:t xml:space="preserve"> 11 and 13 of the Code are satisfied.  R.D. at 40-47.  </w:t>
      </w:r>
    </w:p>
    <w:p w14:paraId="6CCB2428" w14:textId="77777777" w:rsidR="00960C44" w:rsidRPr="002915C6" w:rsidRDefault="00960C44" w:rsidP="0012768D">
      <w:pPr>
        <w:widowControl/>
        <w:spacing w:line="360" w:lineRule="auto"/>
        <w:rPr>
          <w:sz w:val="26"/>
          <w:szCs w:val="26"/>
        </w:rPr>
      </w:pPr>
    </w:p>
    <w:p w14:paraId="4836F80F" w14:textId="77777777" w:rsidR="00960C44" w:rsidRPr="00ED7A73" w:rsidRDefault="00960C44" w:rsidP="00BE5FF4">
      <w:pPr>
        <w:pStyle w:val="Heading3"/>
        <w:widowControl/>
        <w:rPr>
          <w:rFonts w:ascii="Times New Roman" w:hAnsi="Times New Roman" w:cs="Times New Roman"/>
          <w:b w:val="0"/>
          <w:sz w:val="26"/>
          <w:szCs w:val="26"/>
        </w:rPr>
      </w:pPr>
      <w:r w:rsidRPr="002915C6">
        <w:rPr>
          <w:sz w:val="26"/>
          <w:szCs w:val="26"/>
        </w:rPr>
        <w:tab/>
      </w:r>
      <w:r w:rsidRPr="002915C6">
        <w:rPr>
          <w:sz w:val="26"/>
          <w:szCs w:val="26"/>
        </w:rPr>
        <w:tab/>
      </w:r>
      <w:bookmarkStart w:id="17" w:name="_Toc499121834"/>
      <w:r w:rsidR="00547F71">
        <w:rPr>
          <w:rFonts w:ascii="Times New Roman" w:hAnsi="Times New Roman" w:cs="Times New Roman"/>
          <w:color w:val="auto"/>
          <w:sz w:val="26"/>
          <w:szCs w:val="26"/>
        </w:rPr>
        <w:t>7</w:t>
      </w:r>
      <w:r w:rsidRPr="00ED7A73">
        <w:rPr>
          <w:rFonts w:ascii="Times New Roman" w:hAnsi="Times New Roman" w:cs="Times New Roman"/>
          <w:color w:val="auto"/>
          <w:sz w:val="26"/>
          <w:szCs w:val="26"/>
        </w:rPr>
        <w:t>.</w:t>
      </w:r>
      <w:r w:rsidRPr="00ED7A73">
        <w:rPr>
          <w:rFonts w:ascii="Times New Roman" w:hAnsi="Times New Roman" w:cs="Times New Roman"/>
          <w:color w:val="auto"/>
          <w:sz w:val="26"/>
          <w:szCs w:val="26"/>
        </w:rPr>
        <w:tab/>
        <w:t>Imposition of 6-Month Statutory Deadline</w:t>
      </w:r>
      <w:bookmarkEnd w:id="17"/>
    </w:p>
    <w:p w14:paraId="7FD73615" w14:textId="77777777" w:rsidR="00960C44" w:rsidRPr="002915C6" w:rsidRDefault="00960C44" w:rsidP="0012768D">
      <w:pPr>
        <w:widowControl/>
        <w:spacing w:line="360" w:lineRule="auto"/>
        <w:rPr>
          <w:sz w:val="26"/>
          <w:szCs w:val="26"/>
        </w:rPr>
      </w:pPr>
    </w:p>
    <w:p w14:paraId="7E42AD46" w14:textId="77777777" w:rsidR="00F0101C" w:rsidRPr="002915C6" w:rsidRDefault="00960C44" w:rsidP="00BE5FF4">
      <w:pPr>
        <w:widowControl/>
        <w:spacing w:line="360" w:lineRule="auto"/>
        <w:rPr>
          <w:sz w:val="26"/>
          <w:szCs w:val="26"/>
        </w:rPr>
      </w:pPr>
      <w:r w:rsidRPr="002915C6">
        <w:rPr>
          <w:sz w:val="26"/>
          <w:szCs w:val="26"/>
        </w:rPr>
        <w:tab/>
      </w:r>
      <w:r w:rsidRPr="002915C6">
        <w:rPr>
          <w:sz w:val="26"/>
          <w:szCs w:val="26"/>
        </w:rPr>
        <w:tab/>
      </w:r>
      <w:r w:rsidR="00F0101C" w:rsidRPr="002915C6">
        <w:rPr>
          <w:sz w:val="26"/>
          <w:szCs w:val="26"/>
        </w:rPr>
        <w:t xml:space="preserve">The OCA argued that Section 1329(d) establishes a 6-month deadline for the Section 1329 determination but does not require the same 6-month limit for the Section 1102 determination.  The ALJ held that the Commission already decided this issue in the </w:t>
      </w:r>
      <w:r w:rsidR="00F0101C" w:rsidRPr="002915C6">
        <w:rPr>
          <w:i/>
          <w:sz w:val="26"/>
          <w:szCs w:val="26"/>
        </w:rPr>
        <w:t>Aqua - New Garden</w:t>
      </w:r>
      <w:r w:rsidR="00F0101C" w:rsidRPr="002915C6">
        <w:rPr>
          <w:sz w:val="26"/>
          <w:szCs w:val="26"/>
        </w:rPr>
        <w:t xml:space="preserve"> </w:t>
      </w:r>
      <w:r w:rsidR="00F0101C" w:rsidRPr="002915C6">
        <w:rPr>
          <w:i/>
          <w:sz w:val="26"/>
          <w:szCs w:val="26"/>
        </w:rPr>
        <w:t>Order</w:t>
      </w:r>
      <w:r w:rsidR="00F0101C" w:rsidRPr="002915C6">
        <w:rPr>
          <w:sz w:val="26"/>
          <w:szCs w:val="26"/>
        </w:rPr>
        <w:t xml:space="preserve"> that when the acquiring entity is a certificated public utility there will be no bifurcation and a decision on the Application must be issued within the statutory 6-month deadline.  R.D. at 47-48.</w:t>
      </w:r>
    </w:p>
    <w:p w14:paraId="5EFE5B20" w14:textId="77777777" w:rsidR="005D6027" w:rsidRDefault="005D6027" w:rsidP="0012768D">
      <w:pPr>
        <w:widowControl/>
        <w:spacing w:line="360" w:lineRule="auto"/>
        <w:rPr>
          <w:sz w:val="26"/>
          <w:szCs w:val="26"/>
        </w:rPr>
      </w:pPr>
    </w:p>
    <w:p w14:paraId="5EFACED6" w14:textId="77777777" w:rsidR="00960C44" w:rsidRPr="003C2BEC" w:rsidRDefault="005D6027" w:rsidP="00BE5FF4">
      <w:pPr>
        <w:pStyle w:val="Heading3"/>
        <w:widowControl/>
        <w:rPr>
          <w:rFonts w:ascii="Times New Roman" w:hAnsi="Times New Roman" w:cs="Times New Roman"/>
          <w:sz w:val="26"/>
          <w:szCs w:val="26"/>
        </w:rPr>
      </w:pPr>
      <w:r>
        <w:rPr>
          <w:sz w:val="26"/>
          <w:szCs w:val="26"/>
        </w:rPr>
        <w:tab/>
      </w:r>
      <w:r>
        <w:rPr>
          <w:sz w:val="26"/>
          <w:szCs w:val="26"/>
        </w:rPr>
        <w:tab/>
      </w:r>
      <w:bookmarkStart w:id="18" w:name="_Toc499121835"/>
      <w:r w:rsidR="00547F71" w:rsidRPr="003C2BEC">
        <w:rPr>
          <w:rFonts w:ascii="Times New Roman" w:hAnsi="Times New Roman" w:cs="Times New Roman"/>
          <w:color w:val="auto"/>
          <w:sz w:val="26"/>
          <w:szCs w:val="26"/>
        </w:rPr>
        <w:t>8</w:t>
      </w:r>
      <w:r w:rsidR="00F0101C" w:rsidRPr="003C2BEC">
        <w:rPr>
          <w:rFonts w:ascii="Times New Roman" w:hAnsi="Times New Roman" w:cs="Times New Roman"/>
          <w:color w:val="auto"/>
          <w:sz w:val="26"/>
          <w:szCs w:val="26"/>
        </w:rPr>
        <w:t>.</w:t>
      </w:r>
      <w:r w:rsidR="00F0101C" w:rsidRPr="003C2BEC">
        <w:rPr>
          <w:rFonts w:ascii="Times New Roman" w:hAnsi="Times New Roman" w:cs="Times New Roman"/>
          <w:color w:val="auto"/>
          <w:sz w:val="26"/>
          <w:szCs w:val="26"/>
        </w:rPr>
        <w:tab/>
        <w:t>Revised DSIC Tariff and LTIIP</w:t>
      </w:r>
      <w:bookmarkEnd w:id="18"/>
    </w:p>
    <w:p w14:paraId="56DDDD61" w14:textId="77777777" w:rsidR="003B57BF" w:rsidRPr="002915C6" w:rsidRDefault="003B57BF" w:rsidP="0012768D">
      <w:pPr>
        <w:widowControl/>
        <w:spacing w:line="360" w:lineRule="auto"/>
        <w:rPr>
          <w:sz w:val="26"/>
          <w:szCs w:val="26"/>
        </w:rPr>
      </w:pPr>
      <w:r w:rsidRPr="002915C6">
        <w:rPr>
          <w:sz w:val="26"/>
          <w:szCs w:val="26"/>
        </w:rPr>
        <w:tab/>
      </w:r>
    </w:p>
    <w:p w14:paraId="1882B2D3" w14:textId="77777777" w:rsidR="00044F06" w:rsidRPr="002915C6" w:rsidRDefault="00F0101C" w:rsidP="00BE5FF4">
      <w:pPr>
        <w:widowControl/>
        <w:spacing w:line="360" w:lineRule="auto"/>
        <w:rPr>
          <w:sz w:val="26"/>
          <w:szCs w:val="26"/>
        </w:rPr>
      </w:pPr>
      <w:r w:rsidRPr="002915C6">
        <w:rPr>
          <w:rFonts w:eastAsiaTheme="majorEastAsia"/>
          <w:b/>
          <w:bCs/>
          <w:sz w:val="26"/>
          <w:szCs w:val="26"/>
        </w:rPr>
        <w:tab/>
      </w:r>
      <w:r w:rsidRPr="002915C6">
        <w:rPr>
          <w:rFonts w:eastAsiaTheme="majorEastAsia"/>
          <w:b/>
          <w:bCs/>
          <w:sz w:val="26"/>
          <w:szCs w:val="26"/>
        </w:rPr>
        <w:tab/>
      </w:r>
      <w:r w:rsidR="00044F06" w:rsidRPr="002915C6">
        <w:rPr>
          <w:sz w:val="26"/>
          <w:szCs w:val="26"/>
        </w:rPr>
        <w:t xml:space="preserve">The ALJ explained that Section 1329(d)(4) authorizes an acquiring utility to begin collecting a Distribution System Improvement Charge (DSIC) from the time a tariff goes into effect until new rates are approved for the purchaser in a base rate case.  66 Pa. C.S. § 1329(d)(4).  If an acquiring utility decides to charge its customers a DSIC prior to its next base rate case, it is required, pursuant to the Commission’s </w:t>
      </w:r>
      <w:r w:rsidR="00044F06" w:rsidRPr="002915C6">
        <w:rPr>
          <w:i/>
          <w:sz w:val="26"/>
          <w:szCs w:val="26"/>
        </w:rPr>
        <w:t>Final Implementation Order</w:t>
      </w:r>
      <w:r w:rsidR="00044F06" w:rsidRPr="002915C6">
        <w:rPr>
          <w:sz w:val="26"/>
          <w:szCs w:val="26"/>
        </w:rPr>
        <w:t>, to file a revised tariff to reflect the charge, as well as a revised Long Term Infrastructure Improvement Plan (LTIIP).  R.D. at 48.</w:t>
      </w:r>
    </w:p>
    <w:p w14:paraId="6913014C" w14:textId="77777777" w:rsidR="00044F06" w:rsidRPr="002915C6" w:rsidRDefault="00044F06" w:rsidP="00BE5FF4">
      <w:pPr>
        <w:widowControl/>
        <w:spacing w:line="360" w:lineRule="auto"/>
        <w:rPr>
          <w:sz w:val="26"/>
          <w:szCs w:val="26"/>
        </w:rPr>
      </w:pPr>
    </w:p>
    <w:p w14:paraId="1925A6BD" w14:textId="23E82DDD" w:rsidR="00044F06" w:rsidRPr="002915C6" w:rsidRDefault="00044F06" w:rsidP="00BE5FF4">
      <w:pPr>
        <w:widowControl/>
        <w:spacing w:line="360" w:lineRule="auto"/>
        <w:rPr>
          <w:sz w:val="26"/>
          <w:szCs w:val="26"/>
        </w:rPr>
      </w:pPr>
      <w:r w:rsidRPr="002915C6">
        <w:rPr>
          <w:sz w:val="26"/>
          <w:szCs w:val="26"/>
        </w:rPr>
        <w:tab/>
      </w:r>
      <w:r w:rsidRPr="002915C6">
        <w:rPr>
          <w:sz w:val="26"/>
          <w:szCs w:val="26"/>
        </w:rPr>
        <w:tab/>
        <w:t xml:space="preserve">The ALJ noted the OCA’s argument that if the Limerick customers begin paying a DSIC charge prior to the effective date of rates established in </w:t>
      </w:r>
      <w:proofErr w:type="spellStart"/>
      <w:r w:rsidRPr="002915C6">
        <w:rPr>
          <w:sz w:val="26"/>
          <w:szCs w:val="26"/>
        </w:rPr>
        <w:t>Aqua’s</w:t>
      </w:r>
      <w:proofErr w:type="spellEnd"/>
      <w:r w:rsidRPr="002915C6">
        <w:rPr>
          <w:sz w:val="26"/>
          <w:szCs w:val="26"/>
        </w:rPr>
        <w:t xml:space="preserve"> next base rate case, the Commission should require, as a condition of approval of the application, that Aqua file the required tariff changes and revised LTIIP no later than thirty days after entry of the final Commission Order in this proceeding.  The ALJ rejected the OCA’s propos</w:t>
      </w:r>
      <w:r w:rsidR="00B529B5">
        <w:rPr>
          <w:sz w:val="26"/>
          <w:szCs w:val="26"/>
        </w:rPr>
        <w:t>ed</w:t>
      </w:r>
      <w:r w:rsidRPr="002915C6">
        <w:rPr>
          <w:sz w:val="26"/>
          <w:szCs w:val="26"/>
        </w:rPr>
        <w:t xml:space="preserve"> finding that it was not necessary to include a requirement mandating compliance with the Commission’s </w:t>
      </w:r>
      <w:r w:rsidRPr="002915C6">
        <w:rPr>
          <w:i/>
          <w:sz w:val="26"/>
          <w:szCs w:val="26"/>
        </w:rPr>
        <w:t>Final Implementation Order</w:t>
      </w:r>
      <w:r w:rsidRPr="002915C6">
        <w:rPr>
          <w:sz w:val="26"/>
          <w:szCs w:val="26"/>
        </w:rPr>
        <w:t>.  R.D. at 48-49.</w:t>
      </w:r>
    </w:p>
    <w:p w14:paraId="547A6A3D" w14:textId="77777777" w:rsidR="005C7648" w:rsidRPr="002915C6" w:rsidRDefault="005C7648" w:rsidP="0012768D">
      <w:pPr>
        <w:widowControl/>
        <w:spacing w:line="360" w:lineRule="auto"/>
        <w:rPr>
          <w:rFonts w:eastAsiaTheme="majorEastAsia"/>
          <w:b/>
          <w:bCs/>
          <w:sz w:val="26"/>
          <w:szCs w:val="26"/>
        </w:rPr>
      </w:pPr>
    </w:p>
    <w:p w14:paraId="774A8E3C" w14:textId="77777777" w:rsidR="003625CF" w:rsidRPr="003C2BEC" w:rsidRDefault="003625CF" w:rsidP="00BE5FF4">
      <w:pPr>
        <w:pStyle w:val="Heading3"/>
        <w:widowControl/>
        <w:rPr>
          <w:rFonts w:ascii="Times New Roman" w:hAnsi="Times New Roman" w:cs="Times New Roman"/>
          <w:bCs w:val="0"/>
          <w:sz w:val="26"/>
          <w:szCs w:val="26"/>
        </w:rPr>
      </w:pPr>
      <w:r w:rsidRPr="002915C6">
        <w:rPr>
          <w:b w:val="0"/>
          <w:bCs w:val="0"/>
          <w:sz w:val="26"/>
          <w:szCs w:val="26"/>
        </w:rPr>
        <w:tab/>
      </w:r>
      <w:r w:rsidRPr="002915C6">
        <w:rPr>
          <w:b w:val="0"/>
          <w:bCs w:val="0"/>
          <w:sz w:val="26"/>
          <w:szCs w:val="26"/>
        </w:rPr>
        <w:tab/>
      </w:r>
      <w:bookmarkStart w:id="19" w:name="_Toc499121836"/>
      <w:r w:rsidR="00547F71" w:rsidRPr="003C2BEC">
        <w:rPr>
          <w:rFonts w:ascii="Times New Roman" w:hAnsi="Times New Roman" w:cs="Times New Roman"/>
          <w:bCs w:val="0"/>
          <w:color w:val="auto"/>
          <w:sz w:val="26"/>
          <w:szCs w:val="26"/>
        </w:rPr>
        <w:t>9</w:t>
      </w:r>
      <w:r w:rsidRPr="003C2BEC">
        <w:rPr>
          <w:rFonts w:ascii="Times New Roman" w:hAnsi="Times New Roman" w:cs="Times New Roman"/>
          <w:bCs w:val="0"/>
          <w:color w:val="auto"/>
          <w:sz w:val="26"/>
          <w:szCs w:val="26"/>
        </w:rPr>
        <w:t>.</w:t>
      </w:r>
      <w:r w:rsidRPr="003C2BEC">
        <w:rPr>
          <w:rFonts w:ascii="Times New Roman" w:hAnsi="Times New Roman" w:cs="Times New Roman"/>
          <w:bCs w:val="0"/>
          <w:color w:val="auto"/>
          <w:sz w:val="26"/>
          <w:szCs w:val="26"/>
        </w:rPr>
        <w:tab/>
        <w:t>66 Pa. C.S. § 507 Approvals</w:t>
      </w:r>
      <w:bookmarkEnd w:id="19"/>
    </w:p>
    <w:p w14:paraId="023F791B" w14:textId="77777777" w:rsidR="003625CF" w:rsidRPr="002915C6" w:rsidRDefault="003625CF" w:rsidP="0012768D">
      <w:pPr>
        <w:widowControl/>
        <w:spacing w:line="360" w:lineRule="auto"/>
        <w:rPr>
          <w:rFonts w:eastAsiaTheme="majorEastAsia"/>
          <w:b/>
          <w:bCs/>
          <w:sz w:val="26"/>
          <w:szCs w:val="26"/>
        </w:rPr>
      </w:pPr>
    </w:p>
    <w:p w14:paraId="5815A419" w14:textId="77777777" w:rsidR="003625CF" w:rsidRPr="002915C6" w:rsidRDefault="003625CF" w:rsidP="0012768D">
      <w:pPr>
        <w:widowControl/>
        <w:spacing w:line="360" w:lineRule="auto"/>
        <w:rPr>
          <w:sz w:val="26"/>
          <w:szCs w:val="26"/>
        </w:rPr>
      </w:pPr>
      <w:r w:rsidRPr="002915C6">
        <w:rPr>
          <w:rFonts w:eastAsiaTheme="majorEastAsia"/>
          <w:b/>
          <w:bCs/>
          <w:sz w:val="26"/>
          <w:szCs w:val="26"/>
        </w:rPr>
        <w:tab/>
      </w:r>
      <w:r w:rsidRPr="002915C6">
        <w:rPr>
          <w:rFonts w:eastAsiaTheme="majorEastAsia"/>
          <w:b/>
          <w:bCs/>
          <w:sz w:val="26"/>
          <w:szCs w:val="26"/>
        </w:rPr>
        <w:tab/>
      </w:r>
      <w:r w:rsidR="00B033BC" w:rsidRPr="002915C6">
        <w:rPr>
          <w:sz w:val="26"/>
          <w:szCs w:val="26"/>
        </w:rPr>
        <w:t xml:space="preserve">The ALJ directed Aqua to file the APA and all relevant municipal agreements it is assuming under the APA with the Commission under separate “U” dockets within 20 days of Order entry.  The ALJ indicated that this filing requirement is for the purpose of administrative efficiency and completeness and is consistent with the disposition of the Section 507 </w:t>
      </w:r>
      <w:r w:rsidR="00A677A9" w:rsidRPr="002915C6">
        <w:rPr>
          <w:sz w:val="26"/>
          <w:szCs w:val="26"/>
        </w:rPr>
        <w:t xml:space="preserve">issue </w:t>
      </w:r>
      <w:r w:rsidR="00B033BC" w:rsidRPr="002915C6">
        <w:rPr>
          <w:sz w:val="26"/>
          <w:szCs w:val="26"/>
        </w:rPr>
        <w:t xml:space="preserve">in the </w:t>
      </w:r>
      <w:r w:rsidR="00A677A9" w:rsidRPr="002915C6">
        <w:rPr>
          <w:i/>
          <w:sz w:val="26"/>
          <w:szCs w:val="26"/>
        </w:rPr>
        <w:t>Joint Application of Pennsylvania-American Water Company and the Sewer Authority of the City of Scranton</w:t>
      </w:r>
      <w:r w:rsidR="00A677A9" w:rsidRPr="002915C6">
        <w:rPr>
          <w:sz w:val="26"/>
          <w:szCs w:val="26"/>
        </w:rPr>
        <w:t>, Docket No. A-2016-2537209 (Order entered October 19, 2016) (</w:t>
      </w:r>
      <w:r w:rsidR="00A677A9" w:rsidRPr="002915C6">
        <w:rPr>
          <w:i/>
          <w:sz w:val="26"/>
          <w:szCs w:val="26"/>
          <w:lang w:val="en"/>
        </w:rPr>
        <w:t>PAWC Scranton Order</w:t>
      </w:r>
      <w:r w:rsidR="00A677A9" w:rsidRPr="002915C6">
        <w:rPr>
          <w:sz w:val="26"/>
          <w:szCs w:val="26"/>
        </w:rPr>
        <w:t>)</w:t>
      </w:r>
      <w:r w:rsidR="00B033BC" w:rsidRPr="002915C6">
        <w:rPr>
          <w:sz w:val="26"/>
          <w:szCs w:val="26"/>
        </w:rPr>
        <w:t>.  R.D. at 50.</w:t>
      </w:r>
    </w:p>
    <w:p w14:paraId="51454221" w14:textId="77777777" w:rsidR="00D6505D" w:rsidRPr="002915C6" w:rsidRDefault="00D6505D" w:rsidP="0012768D">
      <w:pPr>
        <w:widowControl/>
        <w:spacing w:line="360" w:lineRule="auto"/>
        <w:rPr>
          <w:sz w:val="26"/>
          <w:szCs w:val="26"/>
        </w:rPr>
      </w:pPr>
    </w:p>
    <w:p w14:paraId="6906BDCF" w14:textId="77777777" w:rsidR="00B033BC" w:rsidRPr="003C2BEC" w:rsidRDefault="00D6505D" w:rsidP="00BE5FF4">
      <w:pPr>
        <w:pStyle w:val="Heading3"/>
        <w:widowControl/>
        <w:rPr>
          <w:rFonts w:ascii="Times New Roman" w:hAnsi="Times New Roman" w:cs="Times New Roman"/>
          <w:sz w:val="26"/>
          <w:szCs w:val="26"/>
        </w:rPr>
      </w:pPr>
      <w:r w:rsidRPr="002915C6">
        <w:rPr>
          <w:b w:val="0"/>
          <w:sz w:val="26"/>
          <w:szCs w:val="26"/>
        </w:rPr>
        <w:tab/>
      </w:r>
      <w:r w:rsidRPr="002915C6">
        <w:rPr>
          <w:b w:val="0"/>
          <w:sz w:val="26"/>
          <w:szCs w:val="26"/>
        </w:rPr>
        <w:tab/>
      </w:r>
      <w:bookmarkStart w:id="20" w:name="_Toc499121837"/>
      <w:r w:rsidR="003C2BEC" w:rsidRPr="003C2BEC">
        <w:rPr>
          <w:rFonts w:ascii="Times New Roman" w:hAnsi="Times New Roman" w:cs="Times New Roman"/>
          <w:color w:val="auto"/>
          <w:sz w:val="26"/>
          <w:szCs w:val="26"/>
        </w:rPr>
        <w:t>10</w:t>
      </w:r>
      <w:r w:rsidR="00B033BC" w:rsidRPr="003C2BEC">
        <w:rPr>
          <w:rFonts w:ascii="Times New Roman" w:hAnsi="Times New Roman" w:cs="Times New Roman"/>
          <w:color w:val="auto"/>
          <w:sz w:val="26"/>
          <w:szCs w:val="26"/>
        </w:rPr>
        <w:t>.</w:t>
      </w:r>
      <w:r w:rsidR="00B033BC" w:rsidRPr="003C2BEC">
        <w:rPr>
          <w:rFonts w:ascii="Times New Roman" w:hAnsi="Times New Roman" w:cs="Times New Roman"/>
          <w:color w:val="auto"/>
          <w:sz w:val="26"/>
          <w:szCs w:val="26"/>
        </w:rPr>
        <w:tab/>
        <w:t>Separate Cost of Service Study</w:t>
      </w:r>
      <w:bookmarkEnd w:id="20"/>
    </w:p>
    <w:p w14:paraId="42AC9587" w14:textId="77777777" w:rsidR="00B033BC" w:rsidRPr="002915C6" w:rsidRDefault="00B033BC" w:rsidP="0012768D">
      <w:pPr>
        <w:widowControl/>
        <w:spacing w:line="360" w:lineRule="auto"/>
        <w:rPr>
          <w:b/>
          <w:sz w:val="26"/>
          <w:szCs w:val="26"/>
        </w:rPr>
      </w:pPr>
    </w:p>
    <w:p w14:paraId="71F12206" w14:textId="77777777" w:rsidR="00B033BC" w:rsidRPr="002915C6" w:rsidRDefault="00B033BC" w:rsidP="0012768D">
      <w:pPr>
        <w:widowControl/>
        <w:spacing w:line="360" w:lineRule="auto"/>
        <w:rPr>
          <w:sz w:val="26"/>
          <w:szCs w:val="26"/>
        </w:rPr>
      </w:pPr>
      <w:r w:rsidRPr="002915C6">
        <w:rPr>
          <w:b/>
          <w:sz w:val="26"/>
          <w:szCs w:val="26"/>
        </w:rPr>
        <w:tab/>
      </w:r>
      <w:r w:rsidRPr="002915C6">
        <w:rPr>
          <w:b/>
          <w:sz w:val="26"/>
          <w:szCs w:val="26"/>
        </w:rPr>
        <w:tab/>
      </w:r>
      <w:r w:rsidRPr="002915C6">
        <w:rPr>
          <w:sz w:val="26"/>
          <w:szCs w:val="26"/>
        </w:rPr>
        <w:t xml:space="preserve">Within the discussion of the </w:t>
      </w:r>
      <w:r w:rsidR="00F779BA" w:rsidRPr="002915C6">
        <w:rPr>
          <w:sz w:val="26"/>
          <w:szCs w:val="26"/>
        </w:rPr>
        <w:t xml:space="preserve">affirmative public benefits disposition, the ALJ emphasized that this proceeding contains concerns of subsidization by </w:t>
      </w:r>
      <w:proofErr w:type="spellStart"/>
      <w:r w:rsidR="00F779BA" w:rsidRPr="002915C6">
        <w:rPr>
          <w:sz w:val="26"/>
          <w:szCs w:val="26"/>
        </w:rPr>
        <w:t>Aqua’s</w:t>
      </w:r>
      <w:proofErr w:type="spellEnd"/>
      <w:r w:rsidR="00F779BA" w:rsidRPr="002915C6">
        <w:rPr>
          <w:sz w:val="26"/>
          <w:szCs w:val="26"/>
        </w:rPr>
        <w:t xml:space="preserve"> existing customers of the Limerick customers.  According to the ALJ, the Commission expressed similar concerns in the </w:t>
      </w:r>
      <w:r w:rsidR="00F779BA" w:rsidRPr="002915C6">
        <w:rPr>
          <w:i/>
          <w:sz w:val="26"/>
          <w:szCs w:val="26"/>
        </w:rPr>
        <w:t>Aqua – New Garden Order</w:t>
      </w:r>
      <w:r w:rsidR="00F779BA" w:rsidRPr="002915C6">
        <w:rPr>
          <w:sz w:val="26"/>
          <w:szCs w:val="26"/>
        </w:rPr>
        <w:t xml:space="preserve"> and determined that a cost of service study was necessary to address the issue in that proceeding.  Similarly, here the ALJ concluded that Aqua, at the time of filing its next base rate case, must submit a cost of service study or analysis that separates, costs, capital, and operating expenses of providing wastewater service to the Limerick customers as a separate class.  R.D. at 47.</w:t>
      </w:r>
    </w:p>
    <w:p w14:paraId="4AB3330B" w14:textId="77777777" w:rsidR="00F779BA" w:rsidRPr="002915C6" w:rsidRDefault="00F779BA" w:rsidP="0012768D">
      <w:pPr>
        <w:widowControl/>
        <w:spacing w:line="360" w:lineRule="auto"/>
        <w:rPr>
          <w:rFonts w:eastAsiaTheme="majorEastAsia"/>
          <w:bCs/>
          <w:sz w:val="26"/>
          <w:szCs w:val="26"/>
        </w:rPr>
      </w:pPr>
    </w:p>
    <w:p w14:paraId="57BA185E" w14:textId="77777777" w:rsidR="00EA7856" w:rsidRPr="002915C6" w:rsidRDefault="00705918" w:rsidP="00AE56F5">
      <w:pPr>
        <w:pStyle w:val="Heading2"/>
        <w:widowControl/>
        <w:spacing w:before="0" w:line="360" w:lineRule="auto"/>
        <w:rPr>
          <w:rFonts w:ascii="Times New Roman" w:hAnsi="Times New Roman" w:cs="Times New Roman"/>
          <w:color w:val="auto"/>
        </w:rPr>
      </w:pPr>
      <w:bookmarkStart w:id="21" w:name="_Toc499121838"/>
      <w:r w:rsidRPr="002915C6">
        <w:rPr>
          <w:rFonts w:ascii="Times New Roman" w:hAnsi="Times New Roman" w:cs="Times New Roman"/>
          <w:color w:val="auto"/>
        </w:rPr>
        <w:t xml:space="preserve">C. </w:t>
      </w:r>
      <w:r w:rsidR="0088191A" w:rsidRPr="002915C6">
        <w:rPr>
          <w:rFonts w:ascii="Times New Roman" w:hAnsi="Times New Roman" w:cs="Times New Roman"/>
          <w:color w:val="auto"/>
        </w:rPr>
        <w:tab/>
      </w:r>
      <w:r w:rsidR="00EA7856" w:rsidRPr="002915C6">
        <w:rPr>
          <w:rFonts w:ascii="Times New Roman" w:hAnsi="Times New Roman" w:cs="Times New Roman"/>
          <w:bCs w:val="0"/>
          <w:color w:val="auto"/>
          <w:lang w:val="en"/>
        </w:rPr>
        <w:t>Rate Stabilization Plan</w:t>
      </w:r>
      <w:bookmarkEnd w:id="21"/>
      <w:r w:rsidR="00EA7856" w:rsidRPr="002915C6">
        <w:rPr>
          <w:rFonts w:ascii="Times New Roman" w:hAnsi="Times New Roman" w:cs="Times New Roman"/>
          <w:bCs w:val="0"/>
          <w:color w:val="auto"/>
          <w:lang w:val="en"/>
        </w:rPr>
        <w:t xml:space="preserve"> </w:t>
      </w:r>
    </w:p>
    <w:p w14:paraId="1945B328" w14:textId="77777777" w:rsidR="00EA7856" w:rsidRPr="002915C6" w:rsidRDefault="00EA7856" w:rsidP="00AE56F5">
      <w:pPr>
        <w:pStyle w:val="Heading3"/>
        <w:widowControl/>
        <w:spacing w:before="0" w:line="360" w:lineRule="auto"/>
        <w:rPr>
          <w:sz w:val="26"/>
          <w:szCs w:val="26"/>
        </w:rPr>
      </w:pPr>
    </w:p>
    <w:p w14:paraId="21F6B351" w14:textId="77777777" w:rsidR="00EA7856" w:rsidRPr="002915C6" w:rsidRDefault="00EA7856" w:rsidP="00AE56F5">
      <w:pPr>
        <w:pStyle w:val="Heading3"/>
        <w:widowControl/>
        <w:spacing w:before="0" w:line="360" w:lineRule="auto"/>
        <w:rPr>
          <w:rFonts w:ascii="Times New Roman" w:hAnsi="Times New Roman" w:cs="Times New Roman"/>
          <w:bCs w:val="0"/>
          <w:sz w:val="26"/>
          <w:szCs w:val="26"/>
          <w:lang w:val="en"/>
        </w:rPr>
      </w:pPr>
      <w:r w:rsidRPr="002915C6">
        <w:rPr>
          <w:b w:val="0"/>
          <w:bCs w:val="0"/>
          <w:sz w:val="26"/>
          <w:szCs w:val="26"/>
          <w:lang w:val="en"/>
        </w:rPr>
        <w:tab/>
      </w:r>
      <w:r w:rsidRPr="002915C6">
        <w:rPr>
          <w:b w:val="0"/>
          <w:bCs w:val="0"/>
          <w:sz w:val="26"/>
          <w:szCs w:val="26"/>
          <w:lang w:val="en"/>
        </w:rPr>
        <w:tab/>
      </w:r>
      <w:bookmarkStart w:id="22" w:name="_Toc499121839"/>
      <w:r w:rsidRPr="002915C6">
        <w:rPr>
          <w:rFonts w:ascii="Times New Roman" w:hAnsi="Times New Roman" w:cs="Times New Roman"/>
          <w:bCs w:val="0"/>
          <w:color w:val="auto"/>
          <w:sz w:val="26"/>
          <w:szCs w:val="26"/>
          <w:lang w:val="en"/>
        </w:rPr>
        <w:t>1.</w:t>
      </w:r>
      <w:r w:rsidRPr="002915C6">
        <w:rPr>
          <w:rFonts w:ascii="Times New Roman" w:hAnsi="Times New Roman" w:cs="Times New Roman"/>
          <w:bCs w:val="0"/>
          <w:color w:val="auto"/>
          <w:sz w:val="26"/>
          <w:szCs w:val="26"/>
          <w:lang w:val="en"/>
        </w:rPr>
        <w:tab/>
        <w:t>Rate Stabilization Plan – Rate Freeze</w:t>
      </w:r>
      <w:bookmarkEnd w:id="22"/>
    </w:p>
    <w:p w14:paraId="1049DD3B" w14:textId="77777777" w:rsidR="00EA7856" w:rsidRPr="002915C6" w:rsidRDefault="00EA7856" w:rsidP="00AE56F5">
      <w:pPr>
        <w:keepNext/>
        <w:keepLines/>
        <w:widowControl/>
        <w:autoSpaceDE w:val="0"/>
        <w:autoSpaceDN w:val="0"/>
        <w:adjustRightInd w:val="0"/>
        <w:spacing w:line="360" w:lineRule="auto"/>
        <w:contextualSpacing/>
        <w:rPr>
          <w:b/>
          <w:bCs/>
          <w:sz w:val="26"/>
          <w:szCs w:val="26"/>
          <w:lang w:val="en"/>
        </w:rPr>
      </w:pPr>
    </w:p>
    <w:p w14:paraId="7CB8D9C0" w14:textId="77777777" w:rsidR="00EA7856" w:rsidRPr="002915C6" w:rsidRDefault="00EA7856" w:rsidP="00AE56F5">
      <w:pPr>
        <w:keepNext/>
        <w:keepLines/>
        <w:widowControl/>
        <w:autoSpaceDE w:val="0"/>
        <w:autoSpaceDN w:val="0"/>
        <w:adjustRightInd w:val="0"/>
        <w:spacing w:line="360" w:lineRule="auto"/>
        <w:contextualSpacing/>
        <w:rPr>
          <w:b/>
          <w:sz w:val="26"/>
          <w:szCs w:val="26"/>
          <w:lang w:val="en"/>
        </w:rPr>
      </w:pPr>
      <w:r w:rsidRPr="002915C6">
        <w:rPr>
          <w:b/>
          <w:bCs/>
          <w:sz w:val="26"/>
          <w:szCs w:val="26"/>
          <w:lang w:val="en"/>
        </w:rPr>
        <w:tab/>
      </w:r>
      <w:r w:rsidRPr="002915C6">
        <w:rPr>
          <w:sz w:val="26"/>
          <w:szCs w:val="26"/>
          <w:lang w:val="en"/>
        </w:rPr>
        <w:tab/>
      </w:r>
      <w:r w:rsidRPr="002915C6">
        <w:rPr>
          <w:sz w:val="26"/>
          <w:szCs w:val="26"/>
          <w:lang w:val="en"/>
        </w:rPr>
        <w:tab/>
      </w:r>
      <w:r w:rsidR="00AE56F5">
        <w:rPr>
          <w:b/>
          <w:sz w:val="26"/>
          <w:szCs w:val="26"/>
          <w:lang w:val="en"/>
        </w:rPr>
        <w:t>a.</w:t>
      </w:r>
      <w:r w:rsidRPr="002915C6">
        <w:rPr>
          <w:b/>
          <w:sz w:val="26"/>
          <w:szCs w:val="26"/>
          <w:lang w:val="en"/>
        </w:rPr>
        <w:tab/>
      </w:r>
      <w:proofErr w:type="spellStart"/>
      <w:r w:rsidR="00063C24">
        <w:rPr>
          <w:b/>
          <w:sz w:val="26"/>
          <w:szCs w:val="26"/>
          <w:lang w:val="en"/>
        </w:rPr>
        <w:t>Aqua’s</w:t>
      </w:r>
      <w:proofErr w:type="spellEnd"/>
      <w:r w:rsidR="00063C24">
        <w:rPr>
          <w:b/>
          <w:sz w:val="26"/>
          <w:szCs w:val="26"/>
          <w:lang w:val="en"/>
        </w:rPr>
        <w:t xml:space="preserve"> </w:t>
      </w:r>
      <w:r w:rsidRPr="002915C6">
        <w:rPr>
          <w:b/>
          <w:sz w:val="26"/>
          <w:szCs w:val="26"/>
        </w:rPr>
        <w:t>Exceptions</w:t>
      </w:r>
    </w:p>
    <w:p w14:paraId="5A86993A" w14:textId="77777777" w:rsidR="00EA7856" w:rsidRPr="002915C6" w:rsidRDefault="00EA7856" w:rsidP="00AE56F5">
      <w:pPr>
        <w:keepNext/>
        <w:keepLines/>
        <w:widowControl/>
        <w:autoSpaceDE w:val="0"/>
        <w:autoSpaceDN w:val="0"/>
        <w:adjustRightInd w:val="0"/>
        <w:spacing w:line="360" w:lineRule="auto"/>
        <w:ind w:left="720" w:firstLine="720"/>
        <w:contextualSpacing/>
        <w:rPr>
          <w:sz w:val="26"/>
          <w:szCs w:val="26"/>
          <w:lang w:val="en"/>
        </w:rPr>
      </w:pPr>
    </w:p>
    <w:p w14:paraId="78B13749" w14:textId="2375F7B7" w:rsidR="00EA7856" w:rsidRPr="002915C6" w:rsidRDefault="00EA7856" w:rsidP="0012768D">
      <w:pPr>
        <w:widowControl/>
        <w:spacing w:line="360" w:lineRule="auto"/>
        <w:ind w:firstLine="720"/>
        <w:contextualSpacing/>
        <w:rPr>
          <w:sz w:val="26"/>
          <w:szCs w:val="26"/>
          <w:lang w:val="en"/>
        </w:rPr>
      </w:pPr>
      <w:r w:rsidRPr="002915C6">
        <w:rPr>
          <w:sz w:val="26"/>
          <w:szCs w:val="26"/>
          <w:lang w:val="en"/>
        </w:rPr>
        <w:tab/>
        <w:t>In its Exception No. 1, Aqua disputes the ALJ’s recommendation that, as a condition for approval of the instant Application, the Commission retain</w:t>
      </w:r>
      <w:r w:rsidR="00862CDC">
        <w:rPr>
          <w:sz w:val="26"/>
          <w:szCs w:val="26"/>
          <w:lang w:val="en"/>
        </w:rPr>
        <w:t>s</w:t>
      </w:r>
      <w:r w:rsidRPr="002915C6">
        <w:rPr>
          <w:sz w:val="26"/>
          <w:szCs w:val="26"/>
          <w:lang w:val="en"/>
        </w:rPr>
        <w:t xml:space="preserve"> the authority to allocate revenues, if appropriate, to Limerick customers in excess of the restrictions in the APA</w:t>
      </w:r>
      <w:r w:rsidRPr="002915C6">
        <w:rPr>
          <w:rStyle w:val="FootnoteReference"/>
          <w:sz w:val="26"/>
          <w:szCs w:val="26"/>
          <w:lang w:val="en"/>
        </w:rPr>
        <w:footnoteReference w:id="5"/>
      </w:r>
      <w:r w:rsidRPr="002915C6">
        <w:rPr>
          <w:sz w:val="26"/>
          <w:szCs w:val="26"/>
          <w:lang w:val="en"/>
        </w:rPr>
        <w:t xml:space="preserve"> and that Aqua and its shareholders bear all risks of a shortfall between revenues it is permitted to recover and costs it incurs with respect to the Limerick system.</w:t>
      </w:r>
      <w:r w:rsidRPr="002915C6">
        <w:rPr>
          <w:rStyle w:val="FootnoteReference"/>
          <w:sz w:val="26"/>
          <w:szCs w:val="26"/>
          <w:lang w:val="en"/>
        </w:rPr>
        <w:footnoteReference w:id="6"/>
      </w:r>
      <w:r w:rsidRPr="002915C6">
        <w:rPr>
          <w:sz w:val="26"/>
          <w:szCs w:val="26"/>
          <w:lang w:val="en"/>
        </w:rPr>
        <w:t xml:space="preserve">  Aqua Exc. at 3 (citing R.D. at 18-21, 53).  Aqua contends that consistent with Section 1329(d)(1)(v), it included, as Exhibit G to its Application, a tariff that establishes rates equal to the existing Limerick rates at the time of the acquisition.  Aqua further notes th</w:t>
      </w:r>
      <w:r w:rsidR="005D6027">
        <w:rPr>
          <w:sz w:val="26"/>
          <w:szCs w:val="26"/>
          <w:lang w:val="en"/>
        </w:rPr>
        <w:t>at consistent with Section 1329</w:t>
      </w:r>
      <w:r w:rsidRPr="002915C6">
        <w:rPr>
          <w:sz w:val="26"/>
          <w:szCs w:val="26"/>
          <w:lang w:val="en"/>
        </w:rPr>
        <w:t>(d)(4), the tariff will remain in effect until new rates are approved by the Commission in a base rate proceeding.  Aqua Exc. at 3 (citing Aqua Stmt</w:t>
      </w:r>
      <w:r w:rsidR="00B35010">
        <w:rPr>
          <w:sz w:val="26"/>
          <w:szCs w:val="26"/>
          <w:lang w:val="en"/>
        </w:rPr>
        <w:t>.</w:t>
      </w:r>
      <w:r w:rsidRPr="002915C6">
        <w:rPr>
          <w:sz w:val="26"/>
          <w:szCs w:val="26"/>
          <w:lang w:val="en"/>
        </w:rPr>
        <w:t xml:space="preserve"> 1 at 6).</w:t>
      </w:r>
    </w:p>
    <w:p w14:paraId="41A2D6F8" w14:textId="77777777" w:rsidR="00EA7856" w:rsidRPr="002915C6" w:rsidRDefault="00EA7856" w:rsidP="0012768D">
      <w:pPr>
        <w:widowControl/>
        <w:spacing w:line="360" w:lineRule="auto"/>
        <w:ind w:firstLine="720"/>
        <w:contextualSpacing/>
        <w:rPr>
          <w:sz w:val="26"/>
          <w:szCs w:val="26"/>
          <w:lang w:val="en"/>
        </w:rPr>
      </w:pPr>
    </w:p>
    <w:p w14:paraId="1F1DADDB" w14:textId="77777777" w:rsidR="00EA7856" w:rsidRPr="002915C6" w:rsidRDefault="00EA7856" w:rsidP="0012768D">
      <w:pPr>
        <w:widowControl/>
        <w:spacing w:line="360" w:lineRule="auto"/>
        <w:ind w:left="-90" w:firstLine="1530"/>
        <w:contextualSpacing/>
        <w:rPr>
          <w:sz w:val="26"/>
          <w:szCs w:val="26"/>
          <w:lang w:val="en"/>
        </w:rPr>
      </w:pPr>
      <w:r w:rsidRPr="002915C6">
        <w:rPr>
          <w:sz w:val="26"/>
          <w:szCs w:val="26"/>
          <w:lang w:val="en"/>
        </w:rPr>
        <w:t>In arguing against the ALJ’s recommended conditional approval, Aqua is of the opinion that the proposed condition assumes that the Commission will, at sometime within the three-year rate freeze period, approve rates for Limerick customers that are different from the contract rates agreed to by Aqua and Limerick in the APA.  Aqua believes the proposed condition is not reflective of any existing or proposed tariff circumstances and that the assumption that the Commission might approve rates that are different from the contract rates is purely speculative.  Aqua Exc</w:t>
      </w:r>
      <w:r w:rsidRPr="002915C6">
        <w:rPr>
          <w:i/>
          <w:sz w:val="26"/>
          <w:szCs w:val="26"/>
          <w:lang w:val="en"/>
        </w:rPr>
        <w:t>.</w:t>
      </w:r>
      <w:r w:rsidRPr="002915C6">
        <w:rPr>
          <w:sz w:val="26"/>
          <w:szCs w:val="26"/>
          <w:lang w:val="en"/>
        </w:rPr>
        <w:t xml:space="preserve"> at 3-4.</w:t>
      </w:r>
    </w:p>
    <w:p w14:paraId="50A36228" w14:textId="77777777" w:rsidR="00EA7856" w:rsidRPr="002915C6" w:rsidRDefault="00EA7856" w:rsidP="0012768D">
      <w:pPr>
        <w:widowControl/>
        <w:spacing w:line="360" w:lineRule="auto"/>
        <w:ind w:left="-90" w:firstLine="1530"/>
        <w:contextualSpacing/>
        <w:rPr>
          <w:sz w:val="26"/>
          <w:szCs w:val="26"/>
          <w:lang w:val="en"/>
        </w:rPr>
      </w:pPr>
    </w:p>
    <w:p w14:paraId="26F969D5" w14:textId="77777777" w:rsidR="00EA7856" w:rsidRPr="002915C6" w:rsidRDefault="00EA7856" w:rsidP="0012768D">
      <w:pPr>
        <w:widowControl/>
        <w:spacing w:line="360" w:lineRule="auto"/>
        <w:ind w:left="-90" w:firstLine="1530"/>
        <w:contextualSpacing/>
        <w:rPr>
          <w:sz w:val="26"/>
          <w:szCs w:val="26"/>
          <w:lang w:val="en"/>
        </w:rPr>
      </w:pPr>
      <w:r w:rsidRPr="002915C6">
        <w:rPr>
          <w:sz w:val="26"/>
          <w:szCs w:val="26"/>
          <w:lang w:val="en"/>
        </w:rPr>
        <w:t xml:space="preserve">Aqua further argues that the proposed condition in the instant proceeding attempts to address ratemaking issues which are supposed to be reserved for adjudication in a future base rate proceeding.  </w:t>
      </w:r>
      <w:r w:rsidRPr="002915C6">
        <w:rPr>
          <w:i/>
          <w:sz w:val="26"/>
          <w:szCs w:val="26"/>
          <w:lang w:val="en"/>
        </w:rPr>
        <w:t>Id.</w:t>
      </w:r>
      <w:r w:rsidRPr="002915C6">
        <w:rPr>
          <w:sz w:val="26"/>
          <w:szCs w:val="26"/>
          <w:lang w:val="en"/>
        </w:rPr>
        <w:t xml:space="preserve"> at 4 (citing </w:t>
      </w:r>
      <w:r w:rsidR="005D6027">
        <w:rPr>
          <w:i/>
          <w:sz w:val="26"/>
          <w:szCs w:val="26"/>
          <w:lang w:val="en"/>
        </w:rPr>
        <w:t xml:space="preserve">PAWC </w:t>
      </w:r>
      <w:r w:rsidRPr="002915C6">
        <w:rPr>
          <w:i/>
          <w:sz w:val="26"/>
          <w:szCs w:val="26"/>
          <w:lang w:val="en"/>
        </w:rPr>
        <w:t>Scranton Order</w:t>
      </w:r>
      <w:r w:rsidRPr="002915C6">
        <w:rPr>
          <w:sz w:val="26"/>
          <w:szCs w:val="26"/>
          <w:lang w:val="en"/>
        </w:rPr>
        <w:t xml:space="preserve"> at 50).  Aqua, nonetheless, acknowledges the Commission’s authority to set rates in </w:t>
      </w:r>
      <w:proofErr w:type="spellStart"/>
      <w:r w:rsidRPr="002915C6">
        <w:rPr>
          <w:sz w:val="26"/>
          <w:szCs w:val="26"/>
          <w:lang w:val="en"/>
        </w:rPr>
        <w:t>Aqua’s</w:t>
      </w:r>
      <w:proofErr w:type="spellEnd"/>
      <w:r w:rsidRPr="002915C6">
        <w:rPr>
          <w:sz w:val="26"/>
          <w:szCs w:val="26"/>
          <w:lang w:val="en"/>
        </w:rPr>
        <w:t xml:space="preserve"> next base rate case and that nothing Aqua has proposed in this application proceeding is binding on the ratemaking authority of the Commission or limiting on the Commission’s ability to set rates.  Aqua Exc. at 4-5 (citing Aqua Stmt. 1 at 6; Aqua Stmt. 1R at 8).  Therefore, Aqua argues the Commission should not include the proposed condition in its Final Order.  Aqua Exc. at 3-5.</w:t>
      </w:r>
    </w:p>
    <w:p w14:paraId="495DC6ED" w14:textId="77777777" w:rsidR="00EA46A4" w:rsidRDefault="00EA46A4" w:rsidP="0012768D">
      <w:pPr>
        <w:widowControl/>
        <w:spacing w:line="360" w:lineRule="auto"/>
        <w:ind w:left="-90" w:firstLine="1530"/>
        <w:contextualSpacing/>
        <w:rPr>
          <w:sz w:val="26"/>
          <w:szCs w:val="26"/>
          <w:lang w:val="en"/>
        </w:rPr>
      </w:pPr>
    </w:p>
    <w:p w14:paraId="2DA554EE" w14:textId="77777777" w:rsidR="00EA46A4" w:rsidRDefault="00EA46A4" w:rsidP="0012768D">
      <w:pPr>
        <w:widowControl/>
        <w:spacing w:line="360" w:lineRule="auto"/>
        <w:ind w:left="-90" w:firstLine="1530"/>
        <w:contextualSpacing/>
        <w:rPr>
          <w:sz w:val="26"/>
          <w:szCs w:val="26"/>
          <w:lang w:val="en"/>
        </w:rPr>
      </w:pPr>
      <w:r>
        <w:rPr>
          <w:sz w:val="26"/>
          <w:szCs w:val="26"/>
          <w:lang w:val="en"/>
        </w:rPr>
        <w:tab/>
      </w:r>
      <w:r w:rsidRPr="00EA46A4">
        <w:rPr>
          <w:b/>
          <w:sz w:val="26"/>
          <w:szCs w:val="26"/>
          <w:lang w:val="en"/>
        </w:rPr>
        <w:t>b.</w:t>
      </w:r>
      <w:r w:rsidRPr="00EA46A4">
        <w:rPr>
          <w:b/>
          <w:sz w:val="26"/>
          <w:szCs w:val="26"/>
          <w:lang w:val="en"/>
        </w:rPr>
        <w:tab/>
      </w:r>
      <w:r w:rsidR="00063C24">
        <w:rPr>
          <w:b/>
          <w:sz w:val="26"/>
          <w:szCs w:val="26"/>
          <w:lang w:val="en"/>
        </w:rPr>
        <w:t xml:space="preserve">OCA’s </w:t>
      </w:r>
      <w:r w:rsidRPr="00EA46A4">
        <w:rPr>
          <w:b/>
          <w:sz w:val="26"/>
          <w:szCs w:val="26"/>
        </w:rPr>
        <w:t>Replies to</w:t>
      </w:r>
      <w:r>
        <w:rPr>
          <w:b/>
          <w:sz w:val="26"/>
          <w:szCs w:val="26"/>
        </w:rPr>
        <w:t xml:space="preserve"> </w:t>
      </w:r>
      <w:proofErr w:type="spellStart"/>
      <w:r w:rsidR="00051B4E">
        <w:rPr>
          <w:b/>
          <w:sz w:val="26"/>
          <w:szCs w:val="26"/>
        </w:rPr>
        <w:t>Aqua’s</w:t>
      </w:r>
      <w:proofErr w:type="spellEnd"/>
      <w:r w:rsidR="00051B4E">
        <w:rPr>
          <w:b/>
          <w:sz w:val="26"/>
          <w:szCs w:val="26"/>
        </w:rPr>
        <w:t xml:space="preserve"> </w:t>
      </w:r>
      <w:r>
        <w:rPr>
          <w:b/>
          <w:sz w:val="26"/>
          <w:szCs w:val="26"/>
        </w:rPr>
        <w:t>Exceptions</w:t>
      </w:r>
    </w:p>
    <w:p w14:paraId="3AB7F857" w14:textId="77777777" w:rsidR="00EA46A4" w:rsidRPr="002915C6" w:rsidRDefault="00EA46A4" w:rsidP="0012768D">
      <w:pPr>
        <w:widowControl/>
        <w:spacing w:line="360" w:lineRule="auto"/>
        <w:ind w:left="-90" w:firstLine="1530"/>
        <w:contextualSpacing/>
        <w:rPr>
          <w:sz w:val="26"/>
          <w:szCs w:val="26"/>
          <w:lang w:val="en"/>
        </w:rPr>
      </w:pPr>
    </w:p>
    <w:p w14:paraId="3EBEFF31" w14:textId="77777777" w:rsidR="00EA7856" w:rsidRPr="002915C6" w:rsidRDefault="00EA7856" w:rsidP="0012768D">
      <w:pPr>
        <w:widowControl/>
        <w:spacing w:line="360" w:lineRule="auto"/>
        <w:ind w:left="-90" w:firstLine="1530"/>
        <w:contextualSpacing/>
        <w:rPr>
          <w:sz w:val="26"/>
          <w:szCs w:val="26"/>
          <w:lang w:val="en"/>
        </w:rPr>
      </w:pPr>
      <w:r w:rsidRPr="002915C6">
        <w:rPr>
          <w:sz w:val="26"/>
          <w:szCs w:val="26"/>
          <w:lang w:val="en"/>
        </w:rPr>
        <w:t xml:space="preserve">In its Replies to Aqua Exception No. 1, the OCA avers that ALJ Haas appropriately imposed conditions for approval of the Application and that </w:t>
      </w:r>
      <w:proofErr w:type="spellStart"/>
      <w:r w:rsidRPr="002915C6">
        <w:rPr>
          <w:sz w:val="26"/>
          <w:szCs w:val="26"/>
          <w:lang w:val="en"/>
        </w:rPr>
        <w:t>Aqua’s</w:t>
      </w:r>
      <w:proofErr w:type="spellEnd"/>
      <w:r w:rsidRPr="002915C6">
        <w:rPr>
          <w:sz w:val="26"/>
          <w:szCs w:val="26"/>
          <w:lang w:val="en"/>
        </w:rPr>
        <w:t xml:space="preserve"> reference to the PAWC-Scranton proceeding as a basis for its argument against the conditions is misguided.  Specifically, the OCA points out that unlike the PAWC-Scranton proceeding, the instant proceeding is filed under both Sections 1102 and 1329, in which Aqua requested that the purchase price be included in </w:t>
      </w:r>
      <w:proofErr w:type="spellStart"/>
      <w:r w:rsidRPr="002915C6">
        <w:rPr>
          <w:sz w:val="26"/>
          <w:szCs w:val="26"/>
          <w:lang w:val="en"/>
        </w:rPr>
        <w:t>Aqua’s</w:t>
      </w:r>
      <w:proofErr w:type="spellEnd"/>
      <w:r w:rsidRPr="002915C6">
        <w:rPr>
          <w:sz w:val="26"/>
          <w:szCs w:val="26"/>
          <w:lang w:val="en"/>
        </w:rPr>
        <w:t xml:space="preserve"> ratemaking rate base.  Furthermore, the OCA argues that the fact that Aqua included a rate stabilization plan in the instant filing makes </w:t>
      </w:r>
      <w:proofErr w:type="spellStart"/>
      <w:r w:rsidRPr="002915C6">
        <w:rPr>
          <w:sz w:val="26"/>
          <w:szCs w:val="26"/>
          <w:lang w:val="en"/>
        </w:rPr>
        <w:t>Aqua’s</w:t>
      </w:r>
      <w:proofErr w:type="spellEnd"/>
      <w:r w:rsidRPr="002915C6">
        <w:rPr>
          <w:sz w:val="26"/>
          <w:szCs w:val="26"/>
          <w:lang w:val="en"/>
        </w:rPr>
        <w:t xml:space="preserve"> argument baseless.  OCA R. Exc. at 2.  In responding to </w:t>
      </w:r>
      <w:proofErr w:type="spellStart"/>
      <w:r w:rsidRPr="002915C6">
        <w:rPr>
          <w:sz w:val="26"/>
          <w:szCs w:val="26"/>
          <w:lang w:val="en"/>
        </w:rPr>
        <w:t>Aqua’s</w:t>
      </w:r>
      <w:proofErr w:type="spellEnd"/>
      <w:r w:rsidRPr="002915C6">
        <w:rPr>
          <w:sz w:val="26"/>
          <w:szCs w:val="26"/>
          <w:lang w:val="en"/>
        </w:rPr>
        <w:t xml:space="preserve"> argument that the proposed condition is “not reflective of any existing or proposed tariff circumstances,” the OCA retorts that although the impact of the rate freeze cannot be ascertained at this time, the rate impact of the freeze on </w:t>
      </w:r>
      <w:proofErr w:type="spellStart"/>
      <w:r w:rsidRPr="002915C6">
        <w:rPr>
          <w:sz w:val="26"/>
          <w:szCs w:val="26"/>
          <w:lang w:val="en"/>
        </w:rPr>
        <w:t>Aqua’s</w:t>
      </w:r>
      <w:proofErr w:type="spellEnd"/>
      <w:r w:rsidRPr="002915C6">
        <w:rPr>
          <w:sz w:val="26"/>
          <w:szCs w:val="26"/>
          <w:lang w:val="en"/>
        </w:rPr>
        <w:t xml:space="preserve"> existing customers and Limerick’s customers may be substantial.</w:t>
      </w:r>
      <w:r w:rsidRPr="002915C6">
        <w:rPr>
          <w:rStyle w:val="FootnoteReference"/>
          <w:sz w:val="26"/>
          <w:szCs w:val="26"/>
          <w:lang w:val="en"/>
        </w:rPr>
        <w:footnoteReference w:id="7"/>
      </w:r>
      <w:r w:rsidRPr="002915C6">
        <w:rPr>
          <w:sz w:val="26"/>
          <w:szCs w:val="26"/>
          <w:lang w:val="en"/>
        </w:rPr>
        <w:t xml:space="preserve">  OCA R. Exc. at 3 (citing Aqua Exc. at 4; OCA M.B. at 47-48; OCA Stmt</w:t>
      </w:r>
      <w:r w:rsidR="005D6027">
        <w:rPr>
          <w:sz w:val="26"/>
          <w:szCs w:val="26"/>
          <w:lang w:val="en"/>
        </w:rPr>
        <w:t>.</w:t>
      </w:r>
      <w:r w:rsidRPr="002915C6">
        <w:rPr>
          <w:sz w:val="26"/>
          <w:szCs w:val="26"/>
          <w:lang w:val="en"/>
        </w:rPr>
        <w:t xml:space="preserve"> 1S at 16; Aqua St. 1 at 13-16; Aqua </w:t>
      </w:r>
      <w:proofErr w:type="spellStart"/>
      <w:r w:rsidRPr="002915C6">
        <w:rPr>
          <w:sz w:val="26"/>
          <w:szCs w:val="26"/>
          <w:lang w:val="en"/>
        </w:rPr>
        <w:t>Exhs</w:t>
      </w:r>
      <w:proofErr w:type="spellEnd"/>
      <w:r w:rsidRPr="002915C6">
        <w:rPr>
          <w:sz w:val="26"/>
          <w:szCs w:val="26"/>
          <w:lang w:val="en"/>
        </w:rPr>
        <w:t xml:space="preserve">. C and D).  </w:t>
      </w:r>
    </w:p>
    <w:p w14:paraId="4050CF9F" w14:textId="77777777" w:rsidR="00EA7856" w:rsidRPr="002915C6" w:rsidRDefault="00EA7856" w:rsidP="0012768D">
      <w:pPr>
        <w:widowControl/>
        <w:spacing w:line="360" w:lineRule="auto"/>
        <w:ind w:left="-90" w:firstLine="1530"/>
        <w:contextualSpacing/>
        <w:rPr>
          <w:sz w:val="26"/>
          <w:szCs w:val="26"/>
          <w:lang w:val="en"/>
        </w:rPr>
      </w:pPr>
    </w:p>
    <w:p w14:paraId="7739D1E9" w14:textId="77777777" w:rsidR="00EA7856" w:rsidRPr="002915C6" w:rsidRDefault="00EA7856" w:rsidP="0012768D">
      <w:pPr>
        <w:widowControl/>
        <w:spacing w:line="360" w:lineRule="auto"/>
        <w:ind w:left="-90" w:firstLine="1530"/>
        <w:contextualSpacing/>
        <w:rPr>
          <w:sz w:val="26"/>
          <w:szCs w:val="26"/>
          <w:lang w:val="en"/>
        </w:rPr>
      </w:pPr>
      <w:r w:rsidRPr="002915C6">
        <w:rPr>
          <w:sz w:val="26"/>
          <w:szCs w:val="26"/>
          <w:lang w:val="en"/>
        </w:rPr>
        <w:t>OCA points out that in the Aqua-New Garden proceeding, the Commission imposed</w:t>
      </w:r>
      <w:r w:rsidR="004E6DE6">
        <w:rPr>
          <w:sz w:val="26"/>
          <w:szCs w:val="26"/>
          <w:lang w:val="en"/>
        </w:rPr>
        <w:t xml:space="preserve"> similar conditions stating it </w:t>
      </w:r>
      <w:r w:rsidRPr="002915C6">
        <w:rPr>
          <w:sz w:val="26"/>
          <w:szCs w:val="26"/>
          <w:lang w:val="en"/>
        </w:rPr>
        <w:t>was concerned that the acquisition might cause potential future cross-subsidization of New Garden customers by cur</w:t>
      </w:r>
      <w:r w:rsidR="004E6DE6">
        <w:rPr>
          <w:sz w:val="26"/>
          <w:szCs w:val="26"/>
          <w:lang w:val="en"/>
        </w:rPr>
        <w:t>rent Aqua customers.</w:t>
      </w:r>
      <w:r w:rsidRPr="002915C6">
        <w:rPr>
          <w:sz w:val="26"/>
          <w:szCs w:val="26"/>
          <w:lang w:val="en"/>
        </w:rPr>
        <w:t xml:space="preserve">  According to the OCA, the Commission reasoned that the conditions “will ensure that all Parties and the Commission will be informed of the overall rate impact that the acquisition will have on Aqua customers.”  OCA R. Exc. at 3 (</w:t>
      </w:r>
      <w:r w:rsidR="004E6DE6">
        <w:rPr>
          <w:sz w:val="26"/>
          <w:szCs w:val="26"/>
          <w:lang w:val="en"/>
        </w:rPr>
        <w:t xml:space="preserve">quoting </w:t>
      </w:r>
      <w:r w:rsidR="004E6DE6" w:rsidRPr="004E6DE6">
        <w:rPr>
          <w:i/>
          <w:sz w:val="26"/>
          <w:szCs w:val="26"/>
          <w:lang w:val="en"/>
        </w:rPr>
        <w:t>Aqua</w:t>
      </w:r>
      <w:r w:rsidR="004E6DE6">
        <w:rPr>
          <w:sz w:val="26"/>
          <w:szCs w:val="26"/>
          <w:lang w:val="en"/>
        </w:rPr>
        <w:t xml:space="preserve"> –</w:t>
      </w:r>
      <w:r w:rsidRPr="002915C6">
        <w:rPr>
          <w:sz w:val="26"/>
          <w:szCs w:val="26"/>
          <w:lang w:val="en"/>
        </w:rPr>
        <w:t xml:space="preserve"> </w:t>
      </w:r>
      <w:r w:rsidRPr="002915C6">
        <w:rPr>
          <w:i/>
          <w:sz w:val="26"/>
          <w:szCs w:val="26"/>
          <w:lang w:val="en"/>
        </w:rPr>
        <w:t>New Garden</w:t>
      </w:r>
      <w:r w:rsidRPr="002915C6">
        <w:rPr>
          <w:sz w:val="26"/>
          <w:szCs w:val="26"/>
          <w:lang w:val="en"/>
        </w:rPr>
        <w:t xml:space="preserve"> </w:t>
      </w:r>
      <w:r w:rsidRPr="002915C6">
        <w:rPr>
          <w:i/>
          <w:sz w:val="26"/>
          <w:szCs w:val="26"/>
          <w:lang w:val="en"/>
        </w:rPr>
        <w:t xml:space="preserve">Reconsideration Order </w:t>
      </w:r>
      <w:r w:rsidRPr="002915C6">
        <w:rPr>
          <w:sz w:val="26"/>
          <w:szCs w:val="26"/>
          <w:lang w:val="en"/>
        </w:rPr>
        <w:t xml:space="preserve">at 13-14).  Thus, the OCA requests that the Commission deny </w:t>
      </w:r>
      <w:proofErr w:type="spellStart"/>
      <w:r w:rsidRPr="002915C6">
        <w:rPr>
          <w:sz w:val="26"/>
          <w:szCs w:val="26"/>
          <w:lang w:val="en"/>
        </w:rPr>
        <w:t>Aqua’s</w:t>
      </w:r>
      <w:proofErr w:type="spellEnd"/>
      <w:r w:rsidRPr="002915C6">
        <w:rPr>
          <w:sz w:val="26"/>
          <w:szCs w:val="26"/>
          <w:lang w:val="en"/>
        </w:rPr>
        <w:t xml:space="preserve"> Exception No. 1 and adopt the ALJ’s recommendation regarding this matter.  OCA R. Exc. at 3.</w:t>
      </w:r>
    </w:p>
    <w:p w14:paraId="0036DEF8" w14:textId="77777777" w:rsidR="00EA7856" w:rsidRDefault="00EA7856" w:rsidP="0012768D">
      <w:pPr>
        <w:widowControl/>
        <w:spacing w:line="360" w:lineRule="auto"/>
        <w:ind w:firstLine="720"/>
        <w:contextualSpacing/>
        <w:rPr>
          <w:sz w:val="26"/>
          <w:szCs w:val="26"/>
          <w:lang w:val="en"/>
        </w:rPr>
      </w:pPr>
    </w:p>
    <w:p w14:paraId="5414855E" w14:textId="77777777" w:rsidR="000C22D0" w:rsidRPr="000C22D0" w:rsidRDefault="000C22D0" w:rsidP="0012768D">
      <w:pPr>
        <w:widowControl/>
        <w:spacing w:line="360" w:lineRule="auto"/>
        <w:ind w:firstLine="720"/>
        <w:contextualSpacing/>
        <w:rPr>
          <w:b/>
          <w:sz w:val="26"/>
          <w:szCs w:val="26"/>
          <w:lang w:val="en"/>
        </w:rPr>
      </w:pPr>
      <w:r>
        <w:rPr>
          <w:sz w:val="26"/>
          <w:szCs w:val="26"/>
          <w:lang w:val="en"/>
        </w:rPr>
        <w:tab/>
      </w:r>
      <w:r>
        <w:rPr>
          <w:sz w:val="26"/>
          <w:szCs w:val="26"/>
          <w:lang w:val="en"/>
        </w:rPr>
        <w:tab/>
      </w:r>
      <w:r w:rsidR="00063C24">
        <w:rPr>
          <w:b/>
          <w:sz w:val="26"/>
          <w:szCs w:val="26"/>
          <w:lang w:val="en"/>
        </w:rPr>
        <w:t>c</w:t>
      </w:r>
      <w:r w:rsidRPr="000C22D0">
        <w:rPr>
          <w:b/>
          <w:sz w:val="26"/>
          <w:szCs w:val="26"/>
          <w:lang w:val="en"/>
        </w:rPr>
        <w:t>.</w:t>
      </w:r>
      <w:r w:rsidRPr="000C22D0">
        <w:rPr>
          <w:b/>
          <w:sz w:val="26"/>
          <w:szCs w:val="26"/>
          <w:lang w:val="en"/>
        </w:rPr>
        <w:tab/>
        <w:t>Disposition</w:t>
      </w:r>
    </w:p>
    <w:p w14:paraId="324D469C" w14:textId="77777777" w:rsidR="000C22D0" w:rsidRPr="002915C6" w:rsidRDefault="000C22D0" w:rsidP="0012768D">
      <w:pPr>
        <w:widowControl/>
        <w:spacing w:line="360" w:lineRule="auto"/>
        <w:ind w:firstLine="720"/>
        <w:contextualSpacing/>
        <w:rPr>
          <w:sz w:val="26"/>
          <w:szCs w:val="26"/>
          <w:lang w:val="en"/>
        </w:rPr>
      </w:pPr>
    </w:p>
    <w:p w14:paraId="599AA044" w14:textId="77777777" w:rsidR="00EA7856" w:rsidRPr="002915C6" w:rsidRDefault="00EA7856" w:rsidP="0012768D">
      <w:pPr>
        <w:widowControl/>
        <w:autoSpaceDE w:val="0"/>
        <w:autoSpaceDN w:val="0"/>
        <w:adjustRightInd w:val="0"/>
        <w:spacing w:line="360" w:lineRule="auto"/>
        <w:ind w:firstLine="1440"/>
        <w:contextualSpacing/>
        <w:rPr>
          <w:sz w:val="26"/>
          <w:szCs w:val="26"/>
          <w:lang w:val="en"/>
        </w:rPr>
      </w:pPr>
      <w:r w:rsidRPr="002915C6">
        <w:rPr>
          <w:sz w:val="26"/>
          <w:szCs w:val="26"/>
        </w:rPr>
        <w:t xml:space="preserve">Based on our review of the record, the positions of the Parties, and the applicable law, </w:t>
      </w:r>
      <w:r w:rsidRPr="002915C6">
        <w:rPr>
          <w:sz w:val="26"/>
          <w:szCs w:val="26"/>
          <w:lang w:val="en"/>
        </w:rPr>
        <w:t xml:space="preserve">we will deny </w:t>
      </w:r>
      <w:proofErr w:type="spellStart"/>
      <w:r w:rsidRPr="002915C6">
        <w:rPr>
          <w:sz w:val="26"/>
          <w:szCs w:val="26"/>
          <w:lang w:val="en"/>
        </w:rPr>
        <w:t>Aqua’s</w:t>
      </w:r>
      <w:proofErr w:type="spellEnd"/>
      <w:r w:rsidRPr="002915C6">
        <w:rPr>
          <w:sz w:val="26"/>
          <w:szCs w:val="26"/>
          <w:lang w:val="en"/>
        </w:rPr>
        <w:t xml:space="preserve"> Exception No. 1.  We agree with the ALJ’s adoption of the OCA’s suggested conditions of approval of the instant Application in his Recommended Decision.  We disagree with </w:t>
      </w:r>
      <w:proofErr w:type="spellStart"/>
      <w:r w:rsidRPr="002915C6">
        <w:rPr>
          <w:sz w:val="26"/>
          <w:szCs w:val="26"/>
          <w:lang w:val="en"/>
        </w:rPr>
        <w:t>Aqua’s</w:t>
      </w:r>
      <w:proofErr w:type="spellEnd"/>
      <w:r w:rsidRPr="002915C6">
        <w:rPr>
          <w:sz w:val="26"/>
          <w:szCs w:val="26"/>
          <w:lang w:val="en"/>
        </w:rPr>
        <w:t xml:space="preserve"> comparison of this case with the PAWC-Scranton proceeding as a basis for its argument against the conditions for approval.  We concur with the OCA’s contention that both cases are not entirely analogous.  First, we note that while the PAWC-Scranton proceeding involved a Section 1102 proceeding, the instant proceeding is a Section 1102 as well as a Section 1329 proceeding, where the purchase price or appraised fair market value of the selling utility may be considered the ratemaking rate base of the acquiring utility in its next base rate case proceeding.  66 Pa. C.S. § 1329(c).</w:t>
      </w:r>
    </w:p>
    <w:p w14:paraId="1C03497D" w14:textId="77777777" w:rsidR="00EA7856" w:rsidRPr="002915C6" w:rsidRDefault="00EA7856" w:rsidP="0012768D">
      <w:pPr>
        <w:widowControl/>
        <w:autoSpaceDE w:val="0"/>
        <w:autoSpaceDN w:val="0"/>
        <w:adjustRightInd w:val="0"/>
        <w:spacing w:line="360" w:lineRule="auto"/>
        <w:ind w:firstLine="1440"/>
        <w:contextualSpacing/>
        <w:rPr>
          <w:sz w:val="26"/>
          <w:szCs w:val="26"/>
          <w:lang w:val="en"/>
        </w:rPr>
      </w:pPr>
    </w:p>
    <w:p w14:paraId="452712C2" w14:textId="77777777" w:rsidR="00EA7856" w:rsidRPr="002915C6" w:rsidRDefault="00EA7856" w:rsidP="0012768D">
      <w:pPr>
        <w:widowControl/>
        <w:autoSpaceDE w:val="0"/>
        <w:autoSpaceDN w:val="0"/>
        <w:adjustRightInd w:val="0"/>
        <w:spacing w:line="360" w:lineRule="auto"/>
        <w:ind w:firstLine="1440"/>
        <w:contextualSpacing/>
        <w:rPr>
          <w:sz w:val="26"/>
          <w:szCs w:val="26"/>
          <w:lang w:val="en"/>
        </w:rPr>
      </w:pPr>
      <w:r w:rsidRPr="002915C6">
        <w:rPr>
          <w:sz w:val="26"/>
          <w:szCs w:val="26"/>
          <w:lang w:val="en"/>
        </w:rPr>
        <w:t xml:space="preserve">Specifically, </w:t>
      </w:r>
      <w:r w:rsidR="0071095E">
        <w:rPr>
          <w:sz w:val="26"/>
          <w:szCs w:val="26"/>
          <w:lang w:val="en"/>
        </w:rPr>
        <w:t>our</w:t>
      </w:r>
      <w:r w:rsidRPr="002915C6">
        <w:rPr>
          <w:sz w:val="26"/>
          <w:szCs w:val="26"/>
          <w:lang w:val="en"/>
        </w:rPr>
        <w:t xml:space="preserve"> </w:t>
      </w:r>
      <w:r w:rsidRPr="002915C6">
        <w:rPr>
          <w:i/>
          <w:sz w:val="26"/>
          <w:szCs w:val="26"/>
          <w:lang w:val="en"/>
        </w:rPr>
        <w:t>Final Implementation Order</w:t>
      </w:r>
      <w:r w:rsidRPr="002915C6">
        <w:rPr>
          <w:sz w:val="26"/>
          <w:szCs w:val="26"/>
          <w:lang w:val="en"/>
        </w:rPr>
        <w:t xml:space="preserve"> highlights the ratemaking rate base as follows:</w:t>
      </w:r>
    </w:p>
    <w:p w14:paraId="070767DC" w14:textId="77777777" w:rsidR="00EA7856" w:rsidRPr="002915C6" w:rsidRDefault="00EA7856" w:rsidP="0012768D">
      <w:pPr>
        <w:widowControl/>
        <w:autoSpaceDE w:val="0"/>
        <w:autoSpaceDN w:val="0"/>
        <w:adjustRightInd w:val="0"/>
        <w:spacing w:line="360" w:lineRule="auto"/>
        <w:ind w:firstLine="1440"/>
        <w:contextualSpacing/>
        <w:rPr>
          <w:sz w:val="26"/>
          <w:szCs w:val="26"/>
          <w:lang w:val="en"/>
        </w:rPr>
      </w:pPr>
    </w:p>
    <w:p w14:paraId="42280C0F" w14:textId="77777777" w:rsidR="00EA7856" w:rsidRPr="002915C6" w:rsidRDefault="00EA7856" w:rsidP="0012768D">
      <w:pPr>
        <w:widowControl/>
        <w:ind w:left="1454" w:right="1440" w:hanging="14"/>
        <w:rPr>
          <w:sz w:val="26"/>
          <w:szCs w:val="26"/>
        </w:rPr>
      </w:pPr>
      <w:r w:rsidRPr="002915C6">
        <w:rPr>
          <w:sz w:val="26"/>
          <w:szCs w:val="26"/>
        </w:rPr>
        <w:t>Generally, Section 1329(c) allows for the rate base of the selling utility to be incorporated into the rate base of the acquiring utility during the acquiring utility’s next rate base rate case or the initial tariff filing of an entity.  The rate base to be incorporated will be the lesser of the purchase price or the fair market value of the seller.</w:t>
      </w:r>
    </w:p>
    <w:p w14:paraId="15636A94" w14:textId="77777777" w:rsidR="00EA7856" w:rsidRPr="002915C6" w:rsidRDefault="00EA7856" w:rsidP="0012768D">
      <w:pPr>
        <w:widowControl/>
        <w:ind w:left="1454" w:right="1440" w:hanging="14"/>
        <w:rPr>
          <w:sz w:val="26"/>
          <w:szCs w:val="26"/>
        </w:rPr>
      </w:pPr>
    </w:p>
    <w:p w14:paraId="21FC5C0D" w14:textId="77777777" w:rsidR="00EA7856" w:rsidRPr="002915C6" w:rsidRDefault="00EA7856" w:rsidP="0012768D">
      <w:pPr>
        <w:widowControl/>
        <w:ind w:left="1440" w:right="1440"/>
        <w:rPr>
          <w:sz w:val="26"/>
          <w:szCs w:val="26"/>
        </w:rPr>
      </w:pPr>
      <w:r w:rsidRPr="002915C6">
        <w:rPr>
          <w:sz w:val="26"/>
          <w:szCs w:val="26"/>
        </w:rPr>
        <w:t xml:space="preserve">We acknowledged that there is </w:t>
      </w:r>
      <w:r w:rsidR="00327E58">
        <w:rPr>
          <w:sz w:val="26"/>
          <w:szCs w:val="26"/>
        </w:rPr>
        <w:t xml:space="preserve">some ambiguity in Section 1329.  First, subsection </w:t>
      </w:r>
      <w:r w:rsidRPr="002915C6">
        <w:rPr>
          <w:sz w:val="26"/>
          <w:szCs w:val="26"/>
        </w:rPr>
        <w:t>(c)(1)(ii) could be construed to require that the “ratemaking rate base” be immediately incorporated i</w:t>
      </w:r>
      <w:r w:rsidR="00327E58">
        <w:rPr>
          <w:sz w:val="26"/>
          <w:szCs w:val="26"/>
        </w:rPr>
        <w:t xml:space="preserve">nto the entity’s initial rates. </w:t>
      </w:r>
      <w:r w:rsidRPr="002915C6">
        <w:rPr>
          <w:sz w:val="26"/>
          <w:szCs w:val="26"/>
        </w:rPr>
        <w:t xml:space="preserve"> However, subsections (e) and (d)(1)(v) could be construed together to require entities to file a tariff with rates equal to the existing rates of the selling utility.  In the interest of equity, the Commission tentatively proposed that entities be required to file tariffs consistent with (d)(1)(v).  This was in no way to inhibit the right of a newly certificated utility to incorporate the ratemaking rate base into its tariff via a Section 1308 proceeding.</w:t>
      </w:r>
    </w:p>
    <w:p w14:paraId="69641F9C" w14:textId="77777777" w:rsidR="00EA7856" w:rsidRPr="002915C6" w:rsidRDefault="00EA7856" w:rsidP="0012768D">
      <w:pPr>
        <w:widowControl/>
        <w:ind w:left="1454" w:right="1440" w:hanging="14"/>
        <w:rPr>
          <w:sz w:val="26"/>
          <w:szCs w:val="26"/>
        </w:rPr>
      </w:pPr>
    </w:p>
    <w:p w14:paraId="411D890D" w14:textId="77777777" w:rsidR="00EA7856" w:rsidRPr="002915C6" w:rsidRDefault="00EA7856" w:rsidP="0012768D">
      <w:pPr>
        <w:widowControl/>
        <w:ind w:left="1454" w:right="1440" w:hanging="14"/>
        <w:rPr>
          <w:sz w:val="26"/>
          <w:szCs w:val="26"/>
        </w:rPr>
      </w:pPr>
    </w:p>
    <w:p w14:paraId="251F8859" w14:textId="77777777" w:rsidR="00EA7856" w:rsidRPr="002915C6" w:rsidRDefault="00EA7856" w:rsidP="0012768D">
      <w:pPr>
        <w:widowControl/>
        <w:autoSpaceDE w:val="0"/>
        <w:autoSpaceDN w:val="0"/>
        <w:adjustRightInd w:val="0"/>
        <w:spacing w:line="360" w:lineRule="auto"/>
        <w:contextualSpacing/>
        <w:rPr>
          <w:sz w:val="26"/>
          <w:szCs w:val="26"/>
        </w:rPr>
      </w:pPr>
      <w:r w:rsidRPr="002915C6">
        <w:rPr>
          <w:i/>
          <w:sz w:val="26"/>
          <w:szCs w:val="26"/>
          <w:lang w:val="en"/>
        </w:rPr>
        <w:t>Final Implementation Order</w:t>
      </w:r>
      <w:r w:rsidRPr="002915C6">
        <w:rPr>
          <w:sz w:val="26"/>
          <w:szCs w:val="26"/>
          <w:lang w:val="en"/>
        </w:rPr>
        <w:t xml:space="preserve"> at 15, 28-29.  We note that </w:t>
      </w:r>
      <w:r w:rsidRPr="002915C6">
        <w:rPr>
          <w:iCs/>
          <w:sz w:val="26"/>
          <w:szCs w:val="26"/>
          <w:lang w:val="en"/>
        </w:rPr>
        <w:t>in the instant proceeding, Aqua</w:t>
      </w:r>
      <w:r w:rsidRPr="002915C6">
        <w:rPr>
          <w:sz w:val="26"/>
          <w:szCs w:val="26"/>
        </w:rPr>
        <w:t xml:space="preserve"> requests that the Commission issue an Order establishing the ratemaking rate base of the acquired assets at $75.1 million, pursuant to Section 1329.</w:t>
      </w:r>
    </w:p>
    <w:p w14:paraId="45BE82E4" w14:textId="77777777" w:rsidR="00EA7856" w:rsidRPr="002915C6" w:rsidRDefault="00EA7856" w:rsidP="0012768D">
      <w:pPr>
        <w:widowControl/>
        <w:autoSpaceDE w:val="0"/>
        <w:autoSpaceDN w:val="0"/>
        <w:adjustRightInd w:val="0"/>
        <w:spacing w:line="360" w:lineRule="auto"/>
        <w:contextualSpacing/>
        <w:rPr>
          <w:iCs/>
          <w:sz w:val="26"/>
          <w:szCs w:val="26"/>
          <w:lang w:val="en"/>
        </w:rPr>
      </w:pPr>
    </w:p>
    <w:p w14:paraId="38B04663" w14:textId="77777777" w:rsidR="00EA7856" w:rsidRPr="002915C6" w:rsidRDefault="00EA7856" w:rsidP="0012768D">
      <w:pPr>
        <w:widowControl/>
        <w:autoSpaceDE w:val="0"/>
        <w:autoSpaceDN w:val="0"/>
        <w:adjustRightInd w:val="0"/>
        <w:spacing w:line="360" w:lineRule="auto"/>
        <w:contextualSpacing/>
        <w:rPr>
          <w:sz w:val="26"/>
          <w:szCs w:val="26"/>
          <w:lang w:val="en"/>
        </w:rPr>
      </w:pPr>
      <w:r w:rsidRPr="002915C6">
        <w:rPr>
          <w:sz w:val="26"/>
          <w:szCs w:val="26"/>
          <w:lang w:val="en"/>
        </w:rPr>
        <w:tab/>
      </w:r>
      <w:r w:rsidRPr="002915C6">
        <w:rPr>
          <w:sz w:val="26"/>
          <w:szCs w:val="26"/>
          <w:lang w:val="en"/>
        </w:rPr>
        <w:tab/>
        <w:t xml:space="preserve">Second, in the </w:t>
      </w:r>
      <w:r w:rsidRPr="002915C6">
        <w:rPr>
          <w:i/>
          <w:sz w:val="26"/>
          <w:szCs w:val="26"/>
          <w:lang w:val="en"/>
        </w:rPr>
        <w:t>PAWC Scranton Order</w:t>
      </w:r>
      <w:r w:rsidRPr="002915C6">
        <w:rPr>
          <w:sz w:val="26"/>
          <w:szCs w:val="26"/>
          <w:lang w:val="en"/>
        </w:rPr>
        <w:t>, we stated as follows:</w:t>
      </w:r>
    </w:p>
    <w:p w14:paraId="5D890A79" w14:textId="77777777" w:rsidR="00EA7856" w:rsidRPr="002915C6" w:rsidRDefault="00EA7856" w:rsidP="0012768D">
      <w:pPr>
        <w:widowControl/>
        <w:autoSpaceDE w:val="0"/>
        <w:autoSpaceDN w:val="0"/>
        <w:adjustRightInd w:val="0"/>
        <w:spacing w:line="360" w:lineRule="auto"/>
        <w:contextualSpacing/>
        <w:rPr>
          <w:sz w:val="26"/>
          <w:szCs w:val="26"/>
          <w:lang w:val="en"/>
        </w:rPr>
      </w:pPr>
    </w:p>
    <w:p w14:paraId="6D639ADF" w14:textId="77777777" w:rsidR="00EA7856" w:rsidRPr="002915C6" w:rsidRDefault="00EA7856" w:rsidP="0012768D">
      <w:pPr>
        <w:widowControl/>
        <w:ind w:left="1440" w:right="1440"/>
        <w:contextualSpacing/>
        <w:rPr>
          <w:sz w:val="26"/>
          <w:szCs w:val="26"/>
        </w:rPr>
      </w:pPr>
      <w:r w:rsidRPr="002915C6">
        <w:rPr>
          <w:sz w:val="26"/>
          <w:szCs w:val="26"/>
          <w:lang w:val="en"/>
        </w:rPr>
        <w:t>Nevertheless, we note that the OCA argued that, even without the variance adjustment, the $195 million purchase price set forth in the APA is more than the book value of all of [Scranton Sewer Authority’s (SSA’s)] property, plant and equipment.</w:t>
      </w:r>
      <w:r w:rsidRPr="002915C6">
        <w:rPr>
          <w:sz w:val="26"/>
          <w:szCs w:val="26"/>
          <w:vertAlign w:val="superscript"/>
          <w:lang w:val="en"/>
        </w:rPr>
        <w:footnoteReference w:id="8"/>
      </w:r>
      <w:r w:rsidRPr="002915C6">
        <w:rPr>
          <w:sz w:val="26"/>
          <w:szCs w:val="26"/>
          <w:lang w:val="en"/>
        </w:rPr>
        <w:t xml:space="preserve">  OCA M.B. at 33.  However, the Joint Applicants have indicated that following closing and prior to its next base rate filing, PAWC would prepare an original cost study of the plant-in-service, which would then be used to make a determination of the need for an acquisition adjustment claim for this transaction in a future base rate proceeding.  Joint Applicants’ M.B. at 83-84.  Consequently, </w:t>
      </w:r>
      <w:r w:rsidRPr="002915C6">
        <w:rPr>
          <w:sz w:val="26"/>
          <w:szCs w:val="26"/>
        </w:rPr>
        <w:t xml:space="preserve">due to the significant difference in the book value of SSA’s wastewater plant and the purchase price of this transaction, should PAWC claim an acquisition adjustment in its next rate case filing, the original cost study may be reviewed to determine the reasonableness of the claim, consistent with Section </w:t>
      </w:r>
      <w:r w:rsidRPr="002915C6">
        <w:rPr>
          <w:sz w:val="26"/>
          <w:szCs w:val="26"/>
          <w:lang w:val="en"/>
        </w:rPr>
        <w:t xml:space="preserve">1327(a) of the Code, 66 Pa. C.S. § 1327(a), and </w:t>
      </w:r>
      <w:r w:rsidRPr="002915C6">
        <w:rPr>
          <w:sz w:val="26"/>
          <w:szCs w:val="26"/>
        </w:rPr>
        <w:t xml:space="preserve">the Commission’s policy statement at </w:t>
      </w:r>
      <w:r w:rsidRPr="002915C6">
        <w:rPr>
          <w:sz w:val="26"/>
          <w:szCs w:val="26"/>
          <w:lang w:val="en"/>
        </w:rPr>
        <w:t xml:space="preserve">52 Pa. Code § 69.721, </w:t>
      </w:r>
      <w:r w:rsidRPr="002915C6">
        <w:rPr>
          <w:sz w:val="26"/>
          <w:szCs w:val="26"/>
        </w:rPr>
        <w:t>regarding acquisitions of viable water and wastewater systems.  This review may also address any contributions-in-aid-of-construction.</w:t>
      </w:r>
    </w:p>
    <w:p w14:paraId="213951D4" w14:textId="77777777" w:rsidR="00EA7856" w:rsidRPr="002915C6" w:rsidRDefault="00EA7856" w:rsidP="0012768D">
      <w:pPr>
        <w:widowControl/>
        <w:ind w:left="1440" w:right="1440"/>
        <w:contextualSpacing/>
        <w:rPr>
          <w:sz w:val="26"/>
          <w:szCs w:val="26"/>
        </w:rPr>
      </w:pPr>
    </w:p>
    <w:p w14:paraId="2F04EC63" w14:textId="77777777" w:rsidR="00EA7856" w:rsidRPr="002915C6" w:rsidRDefault="00EA7856" w:rsidP="0012768D">
      <w:pPr>
        <w:widowControl/>
        <w:ind w:left="1440" w:right="1440"/>
        <w:contextualSpacing/>
        <w:rPr>
          <w:sz w:val="26"/>
          <w:szCs w:val="26"/>
        </w:rPr>
      </w:pPr>
    </w:p>
    <w:p w14:paraId="6AED588C" w14:textId="77777777" w:rsidR="00EA7856" w:rsidRPr="002915C6" w:rsidRDefault="00EA7856" w:rsidP="0012768D">
      <w:pPr>
        <w:widowControl/>
        <w:autoSpaceDE w:val="0"/>
        <w:autoSpaceDN w:val="0"/>
        <w:adjustRightInd w:val="0"/>
        <w:spacing w:line="360" w:lineRule="auto"/>
        <w:contextualSpacing/>
        <w:rPr>
          <w:sz w:val="26"/>
          <w:szCs w:val="26"/>
          <w:lang w:val="en"/>
        </w:rPr>
      </w:pPr>
      <w:r w:rsidRPr="002915C6">
        <w:rPr>
          <w:i/>
          <w:sz w:val="26"/>
          <w:szCs w:val="26"/>
          <w:lang w:val="en"/>
        </w:rPr>
        <w:t>PAWC Scranton Order</w:t>
      </w:r>
      <w:r w:rsidRPr="002915C6">
        <w:rPr>
          <w:sz w:val="26"/>
          <w:szCs w:val="26"/>
          <w:lang w:val="en"/>
        </w:rPr>
        <w:t xml:space="preserve"> at 69.</w:t>
      </w:r>
    </w:p>
    <w:p w14:paraId="2E6AD0BF" w14:textId="77777777" w:rsidR="00EA7856" w:rsidRPr="002915C6" w:rsidRDefault="00EA7856" w:rsidP="0012768D">
      <w:pPr>
        <w:widowControl/>
        <w:autoSpaceDE w:val="0"/>
        <w:autoSpaceDN w:val="0"/>
        <w:adjustRightInd w:val="0"/>
        <w:spacing w:line="360" w:lineRule="auto"/>
        <w:contextualSpacing/>
        <w:rPr>
          <w:sz w:val="26"/>
          <w:szCs w:val="26"/>
          <w:lang w:val="en"/>
        </w:rPr>
      </w:pPr>
    </w:p>
    <w:p w14:paraId="52D6F9CA" w14:textId="77777777" w:rsidR="00EA7856" w:rsidRPr="002915C6" w:rsidRDefault="00EA7856" w:rsidP="0012768D">
      <w:pPr>
        <w:widowControl/>
        <w:autoSpaceDE w:val="0"/>
        <w:autoSpaceDN w:val="0"/>
        <w:adjustRightInd w:val="0"/>
        <w:spacing w:line="360" w:lineRule="auto"/>
        <w:ind w:firstLine="1440"/>
        <w:contextualSpacing/>
        <w:rPr>
          <w:sz w:val="26"/>
          <w:szCs w:val="26"/>
          <w:lang w:val="en"/>
        </w:rPr>
      </w:pPr>
      <w:r w:rsidRPr="002915C6">
        <w:rPr>
          <w:sz w:val="26"/>
          <w:szCs w:val="26"/>
          <w:lang w:val="en"/>
        </w:rPr>
        <w:t xml:space="preserve">We note that the original cost study, which is reviewed to determine the reasonableness of a utility’s acquisition adjustment claim in a future base rate proceeding, </w:t>
      </w:r>
      <w:r w:rsidRPr="002915C6">
        <w:rPr>
          <w:sz w:val="26"/>
          <w:szCs w:val="26"/>
        </w:rPr>
        <w:t xml:space="preserve">consistent with Section </w:t>
      </w:r>
      <w:r w:rsidRPr="002915C6">
        <w:rPr>
          <w:sz w:val="26"/>
          <w:szCs w:val="26"/>
          <w:lang w:val="en"/>
        </w:rPr>
        <w:t xml:space="preserve">1327(a) of the Code, 66 Pa. C.S. § 1327(a), and </w:t>
      </w:r>
      <w:r w:rsidRPr="002915C6">
        <w:rPr>
          <w:sz w:val="26"/>
          <w:szCs w:val="26"/>
        </w:rPr>
        <w:t xml:space="preserve">the Commission’s policy statement at </w:t>
      </w:r>
      <w:r w:rsidRPr="002915C6">
        <w:rPr>
          <w:sz w:val="26"/>
          <w:szCs w:val="26"/>
          <w:lang w:val="en"/>
        </w:rPr>
        <w:t xml:space="preserve">52 Pa. Code § 69.721, </w:t>
      </w:r>
      <w:r w:rsidRPr="002915C6">
        <w:rPr>
          <w:sz w:val="26"/>
          <w:szCs w:val="26"/>
        </w:rPr>
        <w:t xml:space="preserve">regarding acquisitions of viable water and wastewater systems, </w:t>
      </w:r>
      <w:r w:rsidRPr="002915C6">
        <w:rPr>
          <w:sz w:val="26"/>
          <w:szCs w:val="26"/>
          <w:lang w:val="en"/>
        </w:rPr>
        <w:t xml:space="preserve">is not applicable in a Section 1329 proceeding.  Accordingly, while the record evidence in the instant proceeding places the depreciated value of Limerick’s wastewater system </w:t>
      </w:r>
      <w:r w:rsidRPr="002915C6">
        <w:rPr>
          <w:sz w:val="26"/>
          <w:szCs w:val="26"/>
        </w:rPr>
        <w:t xml:space="preserve">at $46,153,867, Aqua has requested that the Commission issue an Order establishing the ratemaking rate base of Limerick’s wastewater assets at $75.1 million pursuant to Section 1329.  Application at 17; Aqua </w:t>
      </w:r>
      <w:proofErr w:type="spellStart"/>
      <w:r w:rsidRPr="002915C6">
        <w:rPr>
          <w:sz w:val="26"/>
          <w:szCs w:val="26"/>
        </w:rPr>
        <w:t>Exh</w:t>
      </w:r>
      <w:proofErr w:type="spellEnd"/>
      <w:r w:rsidRPr="002915C6">
        <w:rPr>
          <w:sz w:val="26"/>
          <w:szCs w:val="26"/>
        </w:rPr>
        <w:t xml:space="preserve">. Q.  </w:t>
      </w:r>
      <w:r w:rsidRPr="002915C6">
        <w:rPr>
          <w:sz w:val="26"/>
          <w:szCs w:val="26"/>
          <w:lang w:val="en"/>
        </w:rPr>
        <w:t xml:space="preserve">Particularly, Section 1329 allows the rate base of the municipal system being purchased to be incorporated into the rate base of the purchasing investor-owned utility at the lesser of either the purchase price or the fair market value established by the independent appraisals conducted by two UVEs.  </w:t>
      </w:r>
      <w:r w:rsidRPr="002915C6">
        <w:rPr>
          <w:i/>
          <w:sz w:val="26"/>
          <w:szCs w:val="26"/>
          <w:lang w:val="en"/>
        </w:rPr>
        <w:t>Final Implementation Order</w:t>
      </w:r>
      <w:r w:rsidRPr="002915C6">
        <w:rPr>
          <w:sz w:val="26"/>
          <w:szCs w:val="26"/>
          <w:lang w:val="en"/>
        </w:rPr>
        <w:t xml:space="preserve"> at 15; </w:t>
      </w:r>
      <w:r w:rsidRPr="002915C6">
        <w:rPr>
          <w:sz w:val="26"/>
          <w:szCs w:val="26"/>
        </w:rPr>
        <w:t xml:space="preserve">66 Pa. C.S. § 1329(c).  </w:t>
      </w:r>
      <w:r w:rsidRPr="002915C6">
        <w:rPr>
          <w:sz w:val="26"/>
          <w:szCs w:val="26"/>
          <w:lang w:val="en"/>
        </w:rPr>
        <w:t>Therefore, to the extent that Aqua is comparing the ratemaking rate base in the instant proceeding to the PAWC-Scranton case, we see no correlation between the two cases.</w:t>
      </w:r>
    </w:p>
    <w:p w14:paraId="1C39A263" w14:textId="77777777" w:rsidR="00EA7856" w:rsidRPr="002915C6" w:rsidRDefault="00EA7856" w:rsidP="0012768D">
      <w:pPr>
        <w:widowControl/>
        <w:autoSpaceDE w:val="0"/>
        <w:autoSpaceDN w:val="0"/>
        <w:adjustRightInd w:val="0"/>
        <w:spacing w:line="360" w:lineRule="auto"/>
        <w:ind w:firstLine="1440"/>
        <w:contextualSpacing/>
        <w:rPr>
          <w:sz w:val="26"/>
          <w:szCs w:val="26"/>
          <w:lang w:val="en"/>
        </w:rPr>
      </w:pPr>
    </w:p>
    <w:p w14:paraId="6A1767EF" w14:textId="4C4B5F67" w:rsidR="00EA7856" w:rsidRPr="002915C6" w:rsidRDefault="00EA7856" w:rsidP="0012768D">
      <w:pPr>
        <w:widowControl/>
        <w:autoSpaceDE w:val="0"/>
        <w:autoSpaceDN w:val="0"/>
        <w:adjustRightInd w:val="0"/>
        <w:spacing w:line="360" w:lineRule="auto"/>
        <w:ind w:firstLine="1440"/>
        <w:contextualSpacing/>
        <w:rPr>
          <w:sz w:val="26"/>
          <w:szCs w:val="26"/>
        </w:rPr>
      </w:pPr>
      <w:r w:rsidRPr="002915C6">
        <w:rPr>
          <w:sz w:val="26"/>
          <w:szCs w:val="26"/>
        </w:rPr>
        <w:t xml:space="preserve">Additionally, in our </w:t>
      </w:r>
      <w:r w:rsidR="004E6DE6">
        <w:rPr>
          <w:i/>
          <w:sz w:val="26"/>
          <w:szCs w:val="26"/>
        </w:rPr>
        <w:t>Aqua – New Garden Application Order</w:t>
      </w:r>
      <w:r w:rsidRPr="002915C6">
        <w:rPr>
          <w:i/>
          <w:sz w:val="26"/>
          <w:szCs w:val="26"/>
        </w:rPr>
        <w:t xml:space="preserve"> </w:t>
      </w:r>
      <w:r w:rsidRPr="002915C6">
        <w:rPr>
          <w:sz w:val="26"/>
          <w:szCs w:val="26"/>
        </w:rPr>
        <w:t xml:space="preserve">and the </w:t>
      </w:r>
      <w:r w:rsidR="00512857">
        <w:rPr>
          <w:i/>
          <w:sz w:val="26"/>
          <w:szCs w:val="26"/>
        </w:rPr>
        <w:t>Aqua – N</w:t>
      </w:r>
      <w:r w:rsidRPr="002915C6">
        <w:rPr>
          <w:i/>
          <w:sz w:val="26"/>
          <w:szCs w:val="26"/>
        </w:rPr>
        <w:t>ew Garden Reconsideration Order,</w:t>
      </w:r>
      <w:r w:rsidRPr="002915C6">
        <w:rPr>
          <w:sz w:val="26"/>
          <w:szCs w:val="26"/>
        </w:rPr>
        <w:t xml:space="preserve"> we reasoned that the ALJ’s determination about the rate commitment provision contained in the APA did not trump the Commission’s ultimate authority to set and allocate rates.  We explained </w:t>
      </w:r>
      <w:proofErr w:type="spellStart"/>
      <w:r w:rsidRPr="002915C6">
        <w:rPr>
          <w:sz w:val="26"/>
          <w:szCs w:val="26"/>
        </w:rPr>
        <w:t>Aqua’s</w:t>
      </w:r>
      <w:proofErr w:type="spellEnd"/>
      <w:r w:rsidRPr="002915C6">
        <w:rPr>
          <w:sz w:val="26"/>
          <w:szCs w:val="26"/>
        </w:rPr>
        <w:t xml:space="preserve"> acknowledgement that the Commission will ultimately decide the appropriate rates for the customers of the acquired utility in </w:t>
      </w:r>
      <w:proofErr w:type="spellStart"/>
      <w:r w:rsidRPr="002915C6">
        <w:rPr>
          <w:sz w:val="26"/>
          <w:szCs w:val="26"/>
        </w:rPr>
        <w:t>Aqua’s</w:t>
      </w:r>
      <w:proofErr w:type="spellEnd"/>
      <w:r w:rsidRPr="002915C6">
        <w:rPr>
          <w:sz w:val="26"/>
          <w:szCs w:val="26"/>
        </w:rPr>
        <w:t xml:space="preserve"> next base rate case proceeding and that Aqua and its shareholders will bear any rate differential during the contract period stipulated in the APA. </w:t>
      </w:r>
      <w:r w:rsidRPr="002915C6">
        <w:rPr>
          <w:color w:val="212121"/>
          <w:sz w:val="26"/>
          <w:szCs w:val="26"/>
          <w:shd w:val="clear" w:color="auto" w:fill="FFFFFF"/>
        </w:rPr>
        <w:t xml:space="preserve"> Explaining that the provision was an arm’s length negotiation between two independent parties, we determined that it does not bind the future rate-setting authority of the Commission.  </w:t>
      </w:r>
      <w:r w:rsidRPr="002915C6">
        <w:rPr>
          <w:sz w:val="26"/>
          <w:szCs w:val="26"/>
        </w:rPr>
        <w:t>Thus, we adopted the ALJ’s alternative recommendations pertaining to the revenue</w:t>
      </w:r>
      <w:r w:rsidR="00862CDC">
        <w:rPr>
          <w:sz w:val="26"/>
          <w:szCs w:val="26"/>
        </w:rPr>
        <w:t xml:space="preserve"> requirement allocation</w:t>
      </w:r>
      <w:r w:rsidRPr="002915C6">
        <w:rPr>
          <w:sz w:val="26"/>
          <w:szCs w:val="26"/>
        </w:rPr>
        <w:t xml:space="preserve"> to the New Garden customers that might be in excess of the restrictions outlined in the APA.  </w:t>
      </w:r>
      <w:r w:rsidR="00512857">
        <w:rPr>
          <w:i/>
          <w:sz w:val="26"/>
          <w:szCs w:val="26"/>
        </w:rPr>
        <w:t>Aqua – New Garden Application Order</w:t>
      </w:r>
      <w:r w:rsidRPr="002915C6">
        <w:rPr>
          <w:i/>
          <w:sz w:val="26"/>
          <w:szCs w:val="26"/>
        </w:rPr>
        <w:t xml:space="preserve"> </w:t>
      </w:r>
      <w:r w:rsidRPr="002915C6">
        <w:rPr>
          <w:sz w:val="26"/>
          <w:szCs w:val="26"/>
        </w:rPr>
        <w:t xml:space="preserve">at 42; </w:t>
      </w:r>
      <w:r w:rsidR="00512857">
        <w:rPr>
          <w:i/>
          <w:sz w:val="26"/>
          <w:szCs w:val="26"/>
        </w:rPr>
        <w:t>Aqua – N</w:t>
      </w:r>
      <w:r w:rsidRPr="002915C6">
        <w:rPr>
          <w:i/>
          <w:sz w:val="26"/>
          <w:szCs w:val="26"/>
        </w:rPr>
        <w:t xml:space="preserve">ew Garden Reconsideration </w:t>
      </w:r>
      <w:r w:rsidRPr="002915C6">
        <w:rPr>
          <w:sz w:val="26"/>
          <w:szCs w:val="26"/>
        </w:rPr>
        <w:t xml:space="preserve">at 10-11.  Similarly, we believe the same conditions apply in this case and we see no reason to overturn the ALJ’s Recommended Decision that imposes similar conditions in the instant proceeding.  As such, we shall deny </w:t>
      </w:r>
      <w:proofErr w:type="spellStart"/>
      <w:r w:rsidRPr="002915C6">
        <w:rPr>
          <w:sz w:val="26"/>
          <w:szCs w:val="26"/>
        </w:rPr>
        <w:t>Aqua’s</w:t>
      </w:r>
      <w:proofErr w:type="spellEnd"/>
      <w:r w:rsidRPr="002915C6">
        <w:rPr>
          <w:sz w:val="26"/>
          <w:szCs w:val="26"/>
        </w:rPr>
        <w:t xml:space="preserve"> Exception No. 1.</w:t>
      </w:r>
    </w:p>
    <w:p w14:paraId="1EFB2FF7" w14:textId="77777777" w:rsidR="00EA7856" w:rsidRPr="002915C6" w:rsidRDefault="00EA7856" w:rsidP="0012768D">
      <w:pPr>
        <w:widowControl/>
        <w:spacing w:line="360" w:lineRule="auto"/>
        <w:contextualSpacing/>
        <w:rPr>
          <w:sz w:val="26"/>
          <w:szCs w:val="26"/>
          <w:lang w:val="en"/>
        </w:rPr>
      </w:pPr>
    </w:p>
    <w:p w14:paraId="256BDF0A" w14:textId="77777777" w:rsidR="00EA7856" w:rsidRPr="00BE5FF4" w:rsidRDefault="00EA7856" w:rsidP="00BE5FF4">
      <w:pPr>
        <w:pStyle w:val="Heading3"/>
        <w:widowControl/>
        <w:rPr>
          <w:rFonts w:ascii="Times New Roman" w:hAnsi="Times New Roman"/>
          <w:color w:val="auto"/>
          <w:sz w:val="26"/>
          <w:lang w:val="en"/>
        </w:rPr>
      </w:pPr>
      <w:r w:rsidRPr="002915C6">
        <w:rPr>
          <w:sz w:val="26"/>
          <w:szCs w:val="26"/>
          <w:lang w:val="en"/>
        </w:rPr>
        <w:tab/>
      </w:r>
      <w:r w:rsidRPr="002915C6">
        <w:rPr>
          <w:sz w:val="26"/>
          <w:szCs w:val="26"/>
          <w:lang w:val="en"/>
        </w:rPr>
        <w:tab/>
      </w:r>
      <w:bookmarkStart w:id="23" w:name="_Toc499121840"/>
      <w:r w:rsidRPr="00187E39">
        <w:rPr>
          <w:rFonts w:ascii="Times New Roman" w:hAnsi="Times New Roman" w:cs="Times New Roman"/>
          <w:color w:val="auto"/>
          <w:sz w:val="26"/>
          <w:szCs w:val="26"/>
          <w:lang w:val="en"/>
        </w:rPr>
        <w:t>2.</w:t>
      </w:r>
      <w:r w:rsidRPr="00187E39">
        <w:rPr>
          <w:rFonts w:ascii="Times New Roman" w:hAnsi="Times New Roman" w:cs="Times New Roman"/>
          <w:color w:val="auto"/>
          <w:sz w:val="26"/>
          <w:szCs w:val="26"/>
          <w:lang w:val="en"/>
        </w:rPr>
        <w:tab/>
        <w:t>Rate Stabilization – Regulatory Asset Treatment</w:t>
      </w:r>
      <w:bookmarkEnd w:id="23"/>
    </w:p>
    <w:p w14:paraId="365840F9" w14:textId="77777777" w:rsidR="00EA7856" w:rsidRPr="002915C6" w:rsidRDefault="00EA7856" w:rsidP="0012768D">
      <w:pPr>
        <w:keepNext/>
        <w:keepLines/>
        <w:widowControl/>
        <w:autoSpaceDE w:val="0"/>
        <w:autoSpaceDN w:val="0"/>
        <w:adjustRightInd w:val="0"/>
        <w:spacing w:line="360" w:lineRule="auto"/>
        <w:contextualSpacing/>
        <w:rPr>
          <w:b/>
          <w:bCs/>
          <w:sz w:val="26"/>
          <w:szCs w:val="26"/>
          <w:lang w:val="en"/>
        </w:rPr>
      </w:pPr>
    </w:p>
    <w:p w14:paraId="72C16F17" w14:textId="77777777" w:rsidR="00EA7856" w:rsidRPr="002915C6" w:rsidRDefault="00EA7856" w:rsidP="0012768D">
      <w:pPr>
        <w:keepNext/>
        <w:keepLines/>
        <w:widowControl/>
        <w:autoSpaceDE w:val="0"/>
        <w:autoSpaceDN w:val="0"/>
        <w:adjustRightInd w:val="0"/>
        <w:spacing w:line="360" w:lineRule="auto"/>
        <w:contextualSpacing/>
        <w:rPr>
          <w:b/>
          <w:sz w:val="26"/>
          <w:szCs w:val="26"/>
          <w:lang w:val="en"/>
        </w:rPr>
      </w:pPr>
      <w:r w:rsidRPr="002915C6">
        <w:rPr>
          <w:b/>
          <w:bCs/>
          <w:sz w:val="26"/>
          <w:szCs w:val="26"/>
          <w:lang w:val="en"/>
        </w:rPr>
        <w:tab/>
      </w:r>
      <w:r w:rsidRPr="002915C6">
        <w:rPr>
          <w:b/>
          <w:bCs/>
          <w:sz w:val="26"/>
          <w:szCs w:val="26"/>
          <w:lang w:val="en"/>
        </w:rPr>
        <w:tab/>
      </w:r>
      <w:r w:rsidRPr="002915C6">
        <w:rPr>
          <w:b/>
          <w:sz w:val="26"/>
          <w:szCs w:val="26"/>
          <w:lang w:val="en"/>
        </w:rPr>
        <w:tab/>
      </w:r>
      <w:r w:rsidR="00AE56F5">
        <w:rPr>
          <w:b/>
          <w:sz w:val="26"/>
          <w:szCs w:val="26"/>
          <w:lang w:val="en"/>
        </w:rPr>
        <w:t>a.</w:t>
      </w:r>
      <w:r w:rsidRPr="002915C6">
        <w:rPr>
          <w:b/>
          <w:sz w:val="26"/>
          <w:szCs w:val="26"/>
          <w:lang w:val="en"/>
        </w:rPr>
        <w:tab/>
      </w:r>
      <w:proofErr w:type="spellStart"/>
      <w:r w:rsidRPr="002915C6">
        <w:rPr>
          <w:b/>
          <w:sz w:val="26"/>
          <w:szCs w:val="26"/>
          <w:lang w:val="en"/>
        </w:rPr>
        <w:t>Aqua’s</w:t>
      </w:r>
      <w:proofErr w:type="spellEnd"/>
      <w:r w:rsidRPr="002915C6">
        <w:rPr>
          <w:b/>
          <w:sz w:val="26"/>
          <w:szCs w:val="26"/>
          <w:lang w:val="en"/>
        </w:rPr>
        <w:t xml:space="preserve"> </w:t>
      </w:r>
      <w:r w:rsidRPr="002915C6">
        <w:rPr>
          <w:b/>
          <w:sz w:val="26"/>
          <w:szCs w:val="26"/>
        </w:rPr>
        <w:t>Exceptions</w:t>
      </w:r>
    </w:p>
    <w:p w14:paraId="01CFAF02" w14:textId="77777777" w:rsidR="00EA7856" w:rsidRPr="002915C6" w:rsidRDefault="00EA7856" w:rsidP="0012768D">
      <w:pPr>
        <w:keepNext/>
        <w:keepLines/>
        <w:widowControl/>
        <w:autoSpaceDE w:val="0"/>
        <w:autoSpaceDN w:val="0"/>
        <w:adjustRightInd w:val="0"/>
        <w:spacing w:line="360" w:lineRule="auto"/>
        <w:ind w:firstLine="1440"/>
        <w:contextualSpacing/>
        <w:rPr>
          <w:b/>
          <w:sz w:val="26"/>
          <w:szCs w:val="26"/>
          <w:lang w:val="en"/>
        </w:rPr>
      </w:pPr>
    </w:p>
    <w:p w14:paraId="177997B3" w14:textId="77777777" w:rsidR="00EA7856" w:rsidRPr="002915C6" w:rsidRDefault="00EA7856" w:rsidP="0012768D">
      <w:pPr>
        <w:widowControl/>
        <w:autoSpaceDE w:val="0"/>
        <w:autoSpaceDN w:val="0"/>
        <w:adjustRightInd w:val="0"/>
        <w:spacing w:line="360" w:lineRule="auto"/>
        <w:ind w:firstLine="1440"/>
        <w:contextualSpacing/>
        <w:rPr>
          <w:sz w:val="26"/>
          <w:szCs w:val="26"/>
          <w:lang w:val="en"/>
        </w:rPr>
      </w:pPr>
      <w:r w:rsidRPr="002915C6">
        <w:rPr>
          <w:sz w:val="26"/>
          <w:szCs w:val="26"/>
          <w:lang w:val="en"/>
        </w:rPr>
        <w:t xml:space="preserve">In its Exception No. 2, Aqua disagrees with the ALJ’s denial of its proposal to split the $75.1 million ratemaking rate base into an initial rate base of $60 million and a regulatory asset of $15.1 million.  Aqua Exc. at 5 (citing Aqua Stmt. 1R at 8).  Aqua argues that </w:t>
      </w:r>
      <w:r w:rsidR="00A30F65">
        <w:rPr>
          <w:sz w:val="26"/>
          <w:szCs w:val="26"/>
          <w:lang w:val="en"/>
        </w:rPr>
        <w:t xml:space="preserve">its </w:t>
      </w:r>
      <w:r w:rsidR="00A30F65" w:rsidRPr="002915C6">
        <w:rPr>
          <w:sz w:val="26"/>
          <w:szCs w:val="26"/>
          <w:lang w:val="en"/>
        </w:rPr>
        <w:t>proposal is a reasonable approach to address rate stabilization for its customers</w:t>
      </w:r>
      <w:r w:rsidR="00A30F65">
        <w:rPr>
          <w:sz w:val="26"/>
          <w:szCs w:val="26"/>
          <w:lang w:val="en"/>
        </w:rPr>
        <w:t xml:space="preserve"> and is </w:t>
      </w:r>
      <w:r w:rsidRPr="002915C6">
        <w:rPr>
          <w:sz w:val="26"/>
          <w:szCs w:val="26"/>
          <w:lang w:val="en"/>
        </w:rPr>
        <w:t xml:space="preserve">consistent with the Commission’s explanation in </w:t>
      </w:r>
      <w:r w:rsidR="003109E9">
        <w:rPr>
          <w:sz w:val="26"/>
          <w:szCs w:val="26"/>
          <w:lang w:val="en"/>
        </w:rPr>
        <w:t>the</w:t>
      </w:r>
      <w:r w:rsidRPr="002915C6">
        <w:rPr>
          <w:sz w:val="26"/>
          <w:szCs w:val="26"/>
          <w:lang w:val="en"/>
        </w:rPr>
        <w:t xml:space="preserve"> </w:t>
      </w:r>
      <w:r w:rsidRPr="002915C6">
        <w:rPr>
          <w:i/>
          <w:sz w:val="26"/>
          <w:szCs w:val="26"/>
          <w:lang w:val="en"/>
        </w:rPr>
        <w:t>Final Implementation Order</w:t>
      </w:r>
      <w:r w:rsidR="003109E9">
        <w:rPr>
          <w:sz w:val="26"/>
          <w:szCs w:val="26"/>
          <w:lang w:val="en"/>
        </w:rPr>
        <w:t xml:space="preserve"> that </w:t>
      </w:r>
      <w:r w:rsidRPr="002915C6">
        <w:rPr>
          <w:sz w:val="26"/>
          <w:szCs w:val="26"/>
          <w:lang w:val="en"/>
        </w:rPr>
        <w:t>rate stabilization plans will be subject to review in each rate case for reasonableness and should not place long</w:t>
      </w:r>
      <w:r w:rsidR="00A30F65">
        <w:rPr>
          <w:sz w:val="26"/>
          <w:szCs w:val="26"/>
          <w:lang w:val="en"/>
        </w:rPr>
        <w:t>-</w:t>
      </w:r>
      <w:r w:rsidRPr="002915C6">
        <w:rPr>
          <w:sz w:val="26"/>
          <w:szCs w:val="26"/>
          <w:lang w:val="en"/>
        </w:rPr>
        <w:t xml:space="preserve">term burdens on the acquiring </w:t>
      </w:r>
      <w:r w:rsidR="003109E9">
        <w:rPr>
          <w:sz w:val="26"/>
          <w:szCs w:val="26"/>
          <w:lang w:val="en"/>
        </w:rPr>
        <w:t>utility’s existing ratepayers</w:t>
      </w:r>
      <w:r w:rsidR="00A30F65">
        <w:rPr>
          <w:sz w:val="26"/>
          <w:szCs w:val="26"/>
          <w:lang w:val="en"/>
        </w:rPr>
        <w:t>.</w:t>
      </w:r>
      <w:r w:rsidRPr="002915C6">
        <w:rPr>
          <w:rStyle w:val="FootnoteReference"/>
          <w:sz w:val="26"/>
          <w:szCs w:val="26"/>
          <w:lang w:val="en"/>
        </w:rPr>
        <w:footnoteReference w:id="9"/>
      </w:r>
      <w:r w:rsidRPr="002915C6">
        <w:rPr>
          <w:sz w:val="26"/>
          <w:szCs w:val="26"/>
          <w:lang w:val="en"/>
        </w:rPr>
        <w:t xml:space="preserve">  Aqua Exc. at 5-6 (citing </w:t>
      </w:r>
      <w:proofErr w:type="spellStart"/>
      <w:r w:rsidRPr="002915C6">
        <w:rPr>
          <w:sz w:val="26"/>
          <w:szCs w:val="26"/>
          <w:lang w:val="en"/>
        </w:rPr>
        <w:t>Exh</w:t>
      </w:r>
      <w:proofErr w:type="spellEnd"/>
      <w:r w:rsidRPr="002915C6">
        <w:rPr>
          <w:sz w:val="26"/>
          <w:szCs w:val="26"/>
          <w:lang w:val="en"/>
        </w:rPr>
        <w:t xml:space="preserve">. D; Tr. at 22-25; Aqua Stmt. 1 at 13; Aqua Stmt. 1 at 16-17).  Aqua disagrees with the fact that the ALJ denied the proposal because it is atypical and there is no provision in Section 1329 for splitting rate base.  Aqua contends that contrary to the ALJ’s determination, the proposal does not conflict with the provisions of Section 1329 because it is just a proposal at this time and that any further questions about the proposal can be fully vetted in </w:t>
      </w:r>
      <w:proofErr w:type="spellStart"/>
      <w:r w:rsidRPr="002915C6">
        <w:rPr>
          <w:sz w:val="26"/>
          <w:szCs w:val="26"/>
          <w:lang w:val="en"/>
        </w:rPr>
        <w:t>Aqua’s</w:t>
      </w:r>
      <w:proofErr w:type="spellEnd"/>
      <w:r w:rsidRPr="002915C6">
        <w:rPr>
          <w:sz w:val="26"/>
          <w:szCs w:val="26"/>
          <w:lang w:val="en"/>
        </w:rPr>
        <w:t xml:space="preserve"> next base rate case proceeding.  Aqua further argues that regulatory assets have a great deal of flexibility in their use and that its proposal is reasonable and should be permitted.</w:t>
      </w:r>
      <w:r w:rsidRPr="002915C6">
        <w:rPr>
          <w:rStyle w:val="FootnoteReference"/>
          <w:sz w:val="26"/>
          <w:szCs w:val="26"/>
          <w:lang w:val="en"/>
        </w:rPr>
        <w:footnoteReference w:id="10"/>
      </w:r>
      <w:r w:rsidRPr="002915C6">
        <w:rPr>
          <w:sz w:val="26"/>
          <w:szCs w:val="26"/>
          <w:lang w:val="en"/>
        </w:rPr>
        <w:t xml:space="preserve">  Aqua Exc. at 7.  According to Aqua, if approved by the Commission in a future base rate proceeding, the rate stabilization plan would result in a delayed recovery of the portion of the ratemaking rate base attributed to the regulatory asset.  Aqua believes the delay in rate base recognition benefits customers as it lowers the cost of service.  </w:t>
      </w:r>
      <w:r w:rsidRPr="002915C6">
        <w:rPr>
          <w:i/>
          <w:sz w:val="26"/>
          <w:szCs w:val="26"/>
          <w:lang w:val="en"/>
        </w:rPr>
        <w:t>Id.</w:t>
      </w:r>
      <w:r w:rsidRPr="002915C6">
        <w:rPr>
          <w:sz w:val="26"/>
          <w:szCs w:val="26"/>
          <w:lang w:val="en"/>
        </w:rPr>
        <w:t xml:space="preserve"> at 7-8.</w:t>
      </w:r>
    </w:p>
    <w:p w14:paraId="2EBD7BCE" w14:textId="77777777" w:rsidR="00EA7856" w:rsidRPr="002915C6" w:rsidRDefault="00EA7856" w:rsidP="0012768D">
      <w:pPr>
        <w:widowControl/>
        <w:autoSpaceDE w:val="0"/>
        <w:autoSpaceDN w:val="0"/>
        <w:adjustRightInd w:val="0"/>
        <w:spacing w:line="360" w:lineRule="auto"/>
        <w:ind w:firstLine="1440"/>
        <w:contextualSpacing/>
        <w:rPr>
          <w:sz w:val="26"/>
          <w:szCs w:val="26"/>
          <w:lang w:val="en"/>
        </w:rPr>
      </w:pPr>
    </w:p>
    <w:p w14:paraId="36436D25" w14:textId="77777777" w:rsidR="00EA7856" w:rsidRPr="002915C6" w:rsidRDefault="00856390" w:rsidP="0012768D">
      <w:pPr>
        <w:keepNext/>
        <w:keepLines/>
        <w:widowControl/>
        <w:autoSpaceDE w:val="0"/>
        <w:autoSpaceDN w:val="0"/>
        <w:adjustRightInd w:val="0"/>
        <w:spacing w:line="360" w:lineRule="auto"/>
        <w:ind w:left="720" w:firstLine="720"/>
        <w:contextualSpacing/>
        <w:rPr>
          <w:b/>
          <w:sz w:val="26"/>
          <w:szCs w:val="26"/>
          <w:lang w:val="en"/>
        </w:rPr>
      </w:pPr>
      <w:r>
        <w:rPr>
          <w:b/>
          <w:sz w:val="26"/>
          <w:szCs w:val="26"/>
          <w:lang w:val="en"/>
        </w:rPr>
        <w:tab/>
      </w:r>
      <w:r w:rsidR="00EA7856" w:rsidRPr="002915C6">
        <w:rPr>
          <w:b/>
          <w:sz w:val="26"/>
          <w:szCs w:val="26"/>
          <w:lang w:val="en"/>
        </w:rPr>
        <w:t>b.</w:t>
      </w:r>
      <w:r w:rsidR="00EA7856" w:rsidRPr="002915C6">
        <w:rPr>
          <w:b/>
          <w:sz w:val="26"/>
          <w:szCs w:val="26"/>
          <w:lang w:val="en"/>
        </w:rPr>
        <w:tab/>
        <w:t>I&amp;E</w:t>
      </w:r>
      <w:r w:rsidR="00A64A91">
        <w:rPr>
          <w:b/>
          <w:sz w:val="26"/>
          <w:szCs w:val="26"/>
          <w:lang w:val="en"/>
        </w:rPr>
        <w:t xml:space="preserve">’s Replies to </w:t>
      </w:r>
      <w:proofErr w:type="spellStart"/>
      <w:r w:rsidR="00051B4E">
        <w:rPr>
          <w:b/>
          <w:sz w:val="26"/>
          <w:szCs w:val="26"/>
          <w:lang w:val="en"/>
        </w:rPr>
        <w:t>Aqua’s</w:t>
      </w:r>
      <w:proofErr w:type="spellEnd"/>
      <w:r w:rsidR="00051B4E">
        <w:rPr>
          <w:b/>
          <w:sz w:val="26"/>
          <w:szCs w:val="26"/>
          <w:lang w:val="en"/>
        </w:rPr>
        <w:t xml:space="preserve"> </w:t>
      </w:r>
      <w:r w:rsidR="00A64A91">
        <w:rPr>
          <w:b/>
          <w:sz w:val="26"/>
          <w:szCs w:val="26"/>
          <w:lang w:val="en"/>
        </w:rPr>
        <w:t>Exceptions</w:t>
      </w:r>
    </w:p>
    <w:p w14:paraId="53BF0014" w14:textId="77777777" w:rsidR="00EA7856" w:rsidRPr="002915C6" w:rsidRDefault="00EA7856" w:rsidP="0012768D">
      <w:pPr>
        <w:widowControl/>
        <w:autoSpaceDE w:val="0"/>
        <w:autoSpaceDN w:val="0"/>
        <w:adjustRightInd w:val="0"/>
        <w:spacing w:line="360" w:lineRule="auto"/>
        <w:ind w:firstLine="1440"/>
        <w:contextualSpacing/>
        <w:rPr>
          <w:sz w:val="26"/>
          <w:szCs w:val="26"/>
          <w:lang w:val="en"/>
        </w:rPr>
      </w:pPr>
    </w:p>
    <w:p w14:paraId="6172DEB9" w14:textId="77777777" w:rsidR="00EA7856" w:rsidRPr="002915C6" w:rsidRDefault="004F095D" w:rsidP="0012768D">
      <w:pPr>
        <w:widowControl/>
        <w:spacing w:line="360" w:lineRule="auto"/>
        <w:ind w:firstLine="1440"/>
        <w:contextualSpacing/>
        <w:rPr>
          <w:sz w:val="26"/>
          <w:szCs w:val="26"/>
          <w:lang w:val="en"/>
        </w:rPr>
      </w:pPr>
      <w:r>
        <w:rPr>
          <w:sz w:val="26"/>
          <w:szCs w:val="26"/>
          <w:lang w:val="en"/>
        </w:rPr>
        <w:t>In its r</w:t>
      </w:r>
      <w:r w:rsidR="00EA7856" w:rsidRPr="002915C6">
        <w:rPr>
          <w:sz w:val="26"/>
          <w:szCs w:val="26"/>
          <w:lang w:val="en"/>
        </w:rPr>
        <w:t xml:space="preserve">eply to </w:t>
      </w:r>
      <w:proofErr w:type="spellStart"/>
      <w:r w:rsidR="00EA7856" w:rsidRPr="002915C6">
        <w:rPr>
          <w:sz w:val="26"/>
          <w:szCs w:val="26"/>
          <w:lang w:val="en"/>
        </w:rPr>
        <w:t>Aqua’s</w:t>
      </w:r>
      <w:proofErr w:type="spellEnd"/>
      <w:r w:rsidR="00EA7856" w:rsidRPr="002915C6">
        <w:rPr>
          <w:sz w:val="26"/>
          <w:szCs w:val="26"/>
          <w:lang w:val="en"/>
        </w:rPr>
        <w:t xml:space="preserve"> Exception No. 2, I&amp;E avers the ALJ correctly determined that </w:t>
      </w:r>
      <w:proofErr w:type="spellStart"/>
      <w:r w:rsidR="00EA7856" w:rsidRPr="002915C6">
        <w:rPr>
          <w:sz w:val="26"/>
          <w:szCs w:val="26"/>
          <w:lang w:val="en"/>
        </w:rPr>
        <w:t>Aqua’s</w:t>
      </w:r>
      <w:proofErr w:type="spellEnd"/>
      <w:r w:rsidR="00EA7856" w:rsidRPr="002915C6">
        <w:rPr>
          <w:sz w:val="26"/>
          <w:szCs w:val="26"/>
          <w:lang w:val="en"/>
        </w:rPr>
        <w:t xml:space="preserve"> proposal to split the $75.1 million ratemaking rate base into an initial rate base of $60 million and a regulatory asset of $15.1 million is inconsistent with the procedural requirements articulated in Section 1329 and with traditional ratemaking principles.  I&amp;E R. Exc. at 2.  I&amp;E asserts that </w:t>
      </w:r>
      <w:proofErr w:type="spellStart"/>
      <w:r w:rsidR="00EA7856" w:rsidRPr="002915C6">
        <w:rPr>
          <w:sz w:val="26"/>
          <w:szCs w:val="26"/>
          <w:lang w:val="en"/>
        </w:rPr>
        <w:t>Aqua’s</w:t>
      </w:r>
      <w:proofErr w:type="spellEnd"/>
      <w:r w:rsidR="00EA7856" w:rsidRPr="002915C6">
        <w:rPr>
          <w:sz w:val="26"/>
          <w:szCs w:val="26"/>
          <w:lang w:val="en"/>
        </w:rPr>
        <w:t xml:space="preserve"> argument that the regulatory asset was “simply a proposal” that can be fully vetted in its next base rate case proceeding undermines the fact that the proposal, in of itself, violates the clear language of Section 1329.  </w:t>
      </w:r>
      <w:r w:rsidR="003109E9">
        <w:rPr>
          <w:i/>
          <w:sz w:val="26"/>
          <w:szCs w:val="26"/>
          <w:lang w:val="en"/>
        </w:rPr>
        <w:t xml:space="preserve">Id. </w:t>
      </w:r>
      <w:r w:rsidR="003109E9">
        <w:rPr>
          <w:sz w:val="26"/>
          <w:szCs w:val="26"/>
          <w:lang w:val="en"/>
        </w:rPr>
        <w:t>(</w:t>
      </w:r>
      <w:r w:rsidR="003109E9" w:rsidRPr="002915C6">
        <w:rPr>
          <w:sz w:val="26"/>
          <w:szCs w:val="26"/>
          <w:lang w:val="en"/>
        </w:rPr>
        <w:t>citing Aqua Exc. at 6-7</w:t>
      </w:r>
      <w:r w:rsidR="003109E9">
        <w:rPr>
          <w:sz w:val="26"/>
          <w:szCs w:val="26"/>
          <w:lang w:val="en"/>
        </w:rPr>
        <w:t xml:space="preserve">).  </w:t>
      </w:r>
      <w:r w:rsidR="00EA7856" w:rsidRPr="002915C6">
        <w:rPr>
          <w:sz w:val="26"/>
          <w:szCs w:val="26"/>
          <w:lang w:val="en"/>
        </w:rPr>
        <w:t>Specifically, I&amp;E argues that Section 1329(c)(1) mandates that:</w:t>
      </w:r>
    </w:p>
    <w:p w14:paraId="0ED748C9" w14:textId="77777777" w:rsidR="00EA7856" w:rsidRPr="002915C6" w:rsidRDefault="00EA7856" w:rsidP="0012768D">
      <w:pPr>
        <w:widowControl/>
        <w:spacing w:line="360" w:lineRule="auto"/>
        <w:ind w:firstLine="1440"/>
        <w:contextualSpacing/>
        <w:rPr>
          <w:sz w:val="26"/>
          <w:szCs w:val="26"/>
          <w:lang w:val="en"/>
        </w:rPr>
      </w:pPr>
    </w:p>
    <w:p w14:paraId="740FF7DF" w14:textId="77777777" w:rsidR="00EA7856" w:rsidRPr="002915C6" w:rsidRDefault="00EA7856" w:rsidP="00BE5FF4">
      <w:pPr>
        <w:pStyle w:val="ListParagraph"/>
        <w:keepNext/>
        <w:keepLines/>
        <w:widowControl/>
        <w:numPr>
          <w:ilvl w:val="0"/>
          <w:numId w:val="3"/>
        </w:numPr>
        <w:ind w:left="1440" w:right="1440"/>
        <w:rPr>
          <w:sz w:val="26"/>
          <w:szCs w:val="26"/>
          <w:lang w:val="en"/>
        </w:rPr>
      </w:pPr>
      <w:r w:rsidRPr="002915C6">
        <w:rPr>
          <w:sz w:val="26"/>
          <w:szCs w:val="26"/>
          <w:lang w:val="en"/>
        </w:rPr>
        <w:t>The ratemaking rate base of the selling utility shall be incorporated into the rate base of:</w:t>
      </w:r>
    </w:p>
    <w:p w14:paraId="23A51056" w14:textId="77777777" w:rsidR="00EA7856" w:rsidRPr="002915C6" w:rsidRDefault="00EA7856" w:rsidP="00BE5FF4">
      <w:pPr>
        <w:pStyle w:val="ListParagraph"/>
        <w:keepNext/>
        <w:keepLines/>
        <w:widowControl/>
        <w:ind w:left="1440" w:right="1440"/>
        <w:rPr>
          <w:sz w:val="26"/>
          <w:szCs w:val="26"/>
          <w:lang w:val="en"/>
        </w:rPr>
      </w:pPr>
    </w:p>
    <w:p w14:paraId="0E70837E" w14:textId="77777777" w:rsidR="00EA7856" w:rsidRPr="002915C6" w:rsidRDefault="00EA7856" w:rsidP="00BE5FF4">
      <w:pPr>
        <w:pStyle w:val="ListParagraph"/>
        <w:keepNext/>
        <w:keepLines/>
        <w:widowControl/>
        <w:numPr>
          <w:ilvl w:val="0"/>
          <w:numId w:val="4"/>
        </w:numPr>
        <w:ind w:right="1440"/>
        <w:rPr>
          <w:sz w:val="26"/>
          <w:szCs w:val="26"/>
          <w:lang w:val="en"/>
        </w:rPr>
      </w:pPr>
      <w:r w:rsidRPr="002915C6">
        <w:rPr>
          <w:sz w:val="26"/>
          <w:szCs w:val="26"/>
          <w:lang w:val="en"/>
        </w:rPr>
        <w:t xml:space="preserve">the acquiring public utility during the acquiring public utility’s next base rate case; or </w:t>
      </w:r>
    </w:p>
    <w:p w14:paraId="0D7140DC" w14:textId="77777777" w:rsidR="00EA7856" w:rsidRPr="002915C6" w:rsidRDefault="00EA7856" w:rsidP="00BE5FF4">
      <w:pPr>
        <w:pStyle w:val="ListParagraph"/>
        <w:keepNext/>
        <w:keepLines/>
        <w:widowControl/>
        <w:ind w:left="1440" w:right="1440"/>
        <w:rPr>
          <w:sz w:val="26"/>
          <w:szCs w:val="26"/>
          <w:lang w:val="en"/>
        </w:rPr>
      </w:pPr>
    </w:p>
    <w:p w14:paraId="4CD1E15B" w14:textId="77777777" w:rsidR="00EA7856" w:rsidRPr="002915C6" w:rsidRDefault="00EA7856" w:rsidP="00BE5FF4">
      <w:pPr>
        <w:pStyle w:val="ListParagraph"/>
        <w:keepNext/>
        <w:keepLines/>
        <w:widowControl/>
        <w:numPr>
          <w:ilvl w:val="0"/>
          <w:numId w:val="4"/>
        </w:numPr>
        <w:ind w:right="1440"/>
        <w:rPr>
          <w:sz w:val="26"/>
          <w:szCs w:val="26"/>
          <w:lang w:val="en"/>
        </w:rPr>
      </w:pPr>
      <w:r w:rsidRPr="002915C6">
        <w:rPr>
          <w:sz w:val="26"/>
          <w:szCs w:val="26"/>
          <w:lang w:val="en"/>
        </w:rPr>
        <w:t>the entity in its initial tariff filing</w:t>
      </w:r>
      <w:r w:rsidR="003109E9">
        <w:rPr>
          <w:sz w:val="26"/>
          <w:szCs w:val="26"/>
          <w:lang w:val="en"/>
        </w:rPr>
        <w:t>.</w:t>
      </w:r>
    </w:p>
    <w:p w14:paraId="2ABF4B0F" w14:textId="77777777" w:rsidR="00EA7856" w:rsidRDefault="00EA7856" w:rsidP="00BE5FF4">
      <w:pPr>
        <w:keepNext/>
        <w:keepLines/>
        <w:widowControl/>
        <w:rPr>
          <w:sz w:val="26"/>
          <w:szCs w:val="26"/>
          <w:lang w:val="en"/>
        </w:rPr>
      </w:pPr>
    </w:p>
    <w:p w14:paraId="07AF409D" w14:textId="77777777" w:rsidR="00A64A91" w:rsidRPr="002915C6" w:rsidRDefault="00A64A91" w:rsidP="00A64A91">
      <w:pPr>
        <w:keepNext/>
        <w:keepLines/>
        <w:widowControl/>
        <w:rPr>
          <w:sz w:val="26"/>
          <w:szCs w:val="26"/>
          <w:lang w:val="en"/>
        </w:rPr>
      </w:pPr>
    </w:p>
    <w:p w14:paraId="694E896B" w14:textId="77777777" w:rsidR="00EA7856" w:rsidRPr="002915C6" w:rsidRDefault="003109E9" w:rsidP="00BE5FF4">
      <w:pPr>
        <w:widowControl/>
        <w:rPr>
          <w:sz w:val="26"/>
          <w:szCs w:val="26"/>
        </w:rPr>
      </w:pPr>
      <w:r w:rsidRPr="002915C6">
        <w:rPr>
          <w:sz w:val="26"/>
          <w:szCs w:val="26"/>
          <w:lang w:val="en"/>
        </w:rPr>
        <w:t>I&amp;E R. Exc. at 2</w:t>
      </w:r>
      <w:r w:rsidR="00EA7856" w:rsidRPr="002915C6">
        <w:rPr>
          <w:sz w:val="26"/>
          <w:szCs w:val="26"/>
          <w:lang w:val="en"/>
        </w:rPr>
        <w:t xml:space="preserve"> (citing </w:t>
      </w:r>
      <w:r w:rsidR="00EA7856" w:rsidRPr="002915C6">
        <w:rPr>
          <w:sz w:val="26"/>
          <w:szCs w:val="26"/>
        </w:rPr>
        <w:t>66 Pa. C.S. § 1329(c)(1)).</w:t>
      </w:r>
    </w:p>
    <w:p w14:paraId="04FACB88" w14:textId="77777777" w:rsidR="00EA7856" w:rsidRPr="002915C6" w:rsidRDefault="00EA7856" w:rsidP="0012768D">
      <w:pPr>
        <w:widowControl/>
        <w:spacing w:line="360" w:lineRule="auto"/>
        <w:rPr>
          <w:sz w:val="26"/>
          <w:szCs w:val="26"/>
        </w:rPr>
      </w:pPr>
    </w:p>
    <w:p w14:paraId="245EC4F9" w14:textId="77777777" w:rsidR="00EA7856" w:rsidRPr="002915C6" w:rsidRDefault="00EA7856" w:rsidP="0012768D">
      <w:pPr>
        <w:widowControl/>
        <w:spacing w:line="360" w:lineRule="auto"/>
        <w:ind w:firstLine="1440"/>
        <w:rPr>
          <w:sz w:val="26"/>
          <w:szCs w:val="26"/>
          <w:lang w:val="en"/>
        </w:rPr>
      </w:pPr>
      <w:r w:rsidRPr="002915C6">
        <w:rPr>
          <w:sz w:val="26"/>
          <w:szCs w:val="26"/>
        </w:rPr>
        <w:t xml:space="preserve">I&amp;E avers that as clearly indicated above, </w:t>
      </w:r>
      <w:proofErr w:type="spellStart"/>
      <w:r w:rsidRPr="002915C6">
        <w:rPr>
          <w:sz w:val="26"/>
          <w:szCs w:val="26"/>
        </w:rPr>
        <w:t>Aqua’s</w:t>
      </w:r>
      <w:proofErr w:type="spellEnd"/>
      <w:r w:rsidRPr="002915C6">
        <w:rPr>
          <w:sz w:val="26"/>
          <w:szCs w:val="26"/>
        </w:rPr>
        <w:t xml:space="preserve"> proposal is contrary to the clear language of Section 1329</w:t>
      </w:r>
      <w:r w:rsidR="007D5E30">
        <w:rPr>
          <w:sz w:val="26"/>
          <w:szCs w:val="26"/>
        </w:rPr>
        <w:t>,</w:t>
      </w:r>
      <w:r w:rsidRPr="002915C6">
        <w:rPr>
          <w:sz w:val="26"/>
          <w:szCs w:val="26"/>
        </w:rPr>
        <w:t xml:space="preserve"> which states that the ratemaking rate base “shall be” incorporated into the rate base of the acquiring entity during the next base rate case or in its initial tariff filing.  I&amp;E asserts there is no need to vet questions about </w:t>
      </w:r>
      <w:proofErr w:type="spellStart"/>
      <w:r w:rsidRPr="002915C6">
        <w:rPr>
          <w:sz w:val="26"/>
          <w:szCs w:val="26"/>
        </w:rPr>
        <w:t>Aqua’s</w:t>
      </w:r>
      <w:proofErr w:type="spellEnd"/>
      <w:r w:rsidRPr="002915C6">
        <w:rPr>
          <w:sz w:val="26"/>
          <w:szCs w:val="26"/>
        </w:rPr>
        <w:t xml:space="preserve"> proposal as the ALJ has rightly determined that the proposal violates the plain language of Section 1329.  </w:t>
      </w:r>
      <w:r w:rsidRPr="002915C6">
        <w:rPr>
          <w:sz w:val="26"/>
          <w:szCs w:val="26"/>
          <w:lang w:val="en"/>
        </w:rPr>
        <w:t>I&amp;E R. Exc. at 2-3.</w:t>
      </w:r>
    </w:p>
    <w:p w14:paraId="62B75082" w14:textId="77777777" w:rsidR="00EA7856" w:rsidRPr="002915C6" w:rsidRDefault="00EA7856" w:rsidP="0012768D">
      <w:pPr>
        <w:widowControl/>
        <w:spacing w:line="360" w:lineRule="auto"/>
        <w:ind w:firstLine="1440"/>
        <w:rPr>
          <w:sz w:val="26"/>
          <w:szCs w:val="26"/>
          <w:lang w:val="en"/>
        </w:rPr>
      </w:pPr>
    </w:p>
    <w:p w14:paraId="2D987314" w14:textId="77777777" w:rsidR="00EA7856" w:rsidRPr="002915C6" w:rsidRDefault="00EA7856" w:rsidP="0012768D">
      <w:pPr>
        <w:widowControl/>
        <w:spacing w:line="360" w:lineRule="auto"/>
        <w:ind w:firstLine="1440"/>
        <w:rPr>
          <w:sz w:val="26"/>
          <w:szCs w:val="26"/>
          <w:lang w:val="en"/>
        </w:rPr>
      </w:pPr>
      <w:r w:rsidRPr="002915C6">
        <w:rPr>
          <w:sz w:val="26"/>
          <w:szCs w:val="26"/>
          <w:lang w:val="en"/>
        </w:rPr>
        <w:t xml:space="preserve">Additionally, I&amp;E argues that the ALJ also correctly found that </w:t>
      </w:r>
      <w:proofErr w:type="spellStart"/>
      <w:r w:rsidRPr="002915C6">
        <w:rPr>
          <w:sz w:val="26"/>
          <w:szCs w:val="26"/>
          <w:lang w:val="en"/>
        </w:rPr>
        <w:t>Aqua’s</w:t>
      </w:r>
      <w:proofErr w:type="spellEnd"/>
      <w:r w:rsidRPr="002915C6">
        <w:rPr>
          <w:sz w:val="26"/>
          <w:szCs w:val="26"/>
          <w:lang w:val="en"/>
        </w:rPr>
        <w:t xml:space="preserve"> regulatory asset proposal is inconsistent with longstanding ratemaking principles.  I&amp;E contends that regulatory assets are typically used for expense items to prevent a sudden steep increase in costs for certain expenses and are not used for deferring rate base recognition of utility plants.  I&amp;E R. Exc. at 3 (citing R.D. at 22; I&amp;E Stmt</w:t>
      </w:r>
      <w:r w:rsidR="00597059">
        <w:rPr>
          <w:sz w:val="26"/>
          <w:szCs w:val="26"/>
          <w:lang w:val="en"/>
        </w:rPr>
        <w:t>.</w:t>
      </w:r>
      <w:r w:rsidRPr="002915C6">
        <w:rPr>
          <w:sz w:val="26"/>
          <w:szCs w:val="26"/>
          <w:lang w:val="en"/>
        </w:rPr>
        <w:t xml:space="preserve"> 2 at 4).  Furthermore, I&amp;E points out that delaying the $15.1 million through the regulatory asset mechanism will cause a mismatch between the expected life of the asset and the period over which the asset is recovered, especially for utility plants, which are generally depreciated over thirty to forty years.  I&amp;E R. Exc. at 3-4 (citing I&amp;E Stmt</w:t>
      </w:r>
      <w:r w:rsidR="00597059">
        <w:rPr>
          <w:sz w:val="26"/>
          <w:szCs w:val="26"/>
          <w:lang w:val="en"/>
        </w:rPr>
        <w:t>.</w:t>
      </w:r>
      <w:r w:rsidRPr="002915C6">
        <w:rPr>
          <w:sz w:val="26"/>
          <w:szCs w:val="26"/>
          <w:lang w:val="en"/>
        </w:rPr>
        <w:t xml:space="preserve"> 2 at 6-7).  </w:t>
      </w:r>
    </w:p>
    <w:p w14:paraId="4C8396AA" w14:textId="77777777" w:rsidR="00597059" w:rsidRDefault="00597059" w:rsidP="0012768D">
      <w:pPr>
        <w:widowControl/>
        <w:spacing w:after="200" w:line="276" w:lineRule="auto"/>
        <w:rPr>
          <w:b/>
          <w:sz w:val="26"/>
          <w:szCs w:val="26"/>
          <w:lang w:val="en"/>
        </w:rPr>
      </w:pPr>
    </w:p>
    <w:p w14:paraId="6F37CDC6" w14:textId="77777777" w:rsidR="00EA7856" w:rsidRPr="002915C6" w:rsidRDefault="00856390" w:rsidP="008B056A">
      <w:pPr>
        <w:keepNext/>
        <w:keepLines/>
        <w:widowControl/>
        <w:autoSpaceDE w:val="0"/>
        <w:autoSpaceDN w:val="0"/>
        <w:adjustRightInd w:val="0"/>
        <w:spacing w:line="360" w:lineRule="auto"/>
        <w:ind w:left="720" w:firstLine="720"/>
        <w:contextualSpacing/>
        <w:rPr>
          <w:b/>
          <w:sz w:val="26"/>
          <w:szCs w:val="26"/>
          <w:lang w:val="en"/>
        </w:rPr>
      </w:pPr>
      <w:r>
        <w:rPr>
          <w:b/>
          <w:sz w:val="26"/>
          <w:szCs w:val="26"/>
          <w:lang w:val="en"/>
        </w:rPr>
        <w:tab/>
      </w:r>
      <w:r w:rsidR="00EA7856" w:rsidRPr="002915C6">
        <w:rPr>
          <w:b/>
          <w:sz w:val="26"/>
          <w:szCs w:val="26"/>
          <w:lang w:val="en"/>
        </w:rPr>
        <w:t>c.</w:t>
      </w:r>
      <w:r w:rsidR="00EA7856" w:rsidRPr="002915C6">
        <w:rPr>
          <w:b/>
          <w:sz w:val="26"/>
          <w:szCs w:val="26"/>
          <w:lang w:val="en"/>
        </w:rPr>
        <w:tab/>
        <w:t>OCA</w:t>
      </w:r>
      <w:r w:rsidR="00051B4E">
        <w:rPr>
          <w:b/>
          <w:sz w:val="26"/>
          <w:szCs w:val="26"/>
          <w:lang w:val="en"/>
        </w:rPr>
        <w:t xml:space="preserve">’s Replies to </w:t>
      </w:r>
      <w:proofErr w:type="spellStart"/>
      <w:r w:rsidR="00051B4E">
        <w:rPr>
          <w:b/>
          <w:sz w:val="26"/>
          <w:szCs w:val="26"/>
          <w:lang w:val="en"/>
        </w:rPr>
        <w:t>Aqua’s</w:t>
      </w:r>
      <w:proofErr w:type="spellEnd"/>
      <w:r w:rsidR="00051B4E">
        <w:rPr>
          <w:b/>
          <w:sz w:val="26"/>
          <w:szCs w:val="26"/>
          <w:lang w:val="en"/>
        </w:rPr>
        <w:t xml:space="preserve"> Exceptions</w:t>
      </w:r>
    </w:p>
    <w:p w14:paraId="4ADE12D9" w14:textId="77777777" w:rsidR="00EA7856" w:rsidRPr="002915C6" w:rsidRDefault="00EA7856" w:rsidP="00BE5FF4">
      <w:pPr>
        <w:keepNext/>
        <w:keepLines/>
        <w:widowControl/>
        <w:spacing w:line="360" w:lineRule="auto"/>
        <w:ind w:firstLine="1440"/>
        <w:contextualSpacing/>
        <w:rPr>
          <w:sz w:val="26"/>
          <w:szCs w:val="26"/>
          <w:lang w:val="en"/>
        </w:rPr>
      </w:pPr>
    </w:p>
    <w:p w14:paraId="4485FAA7" w14:textId="060D1ED6" w:rsidR="00EA7856" w:rsidRPr="002915C6" w:rsidRDefault="00EA7856" w:rsidP="0012768D">
      <w:pPr>
        <w:widowControl/>
        <w:spacing w:line="360" w:lineRule="auto"/>
        <w:ind w:firstLine="1440"/>
        <w:contextualSpacing/>
        <w:rPr>
          <w:sz w:val="26"/>
          <w:szCs w:val="26"/>
          <w:lang w:val="en"/>
        </w:rPr>
      </w:pPr>
      <w:r w:rsidRPr="002915C6">
        <w:rPr>
          <w:sz w:val="26"/>
          <w:szCs w:val="26"/>
          <w:lang w:val="en"/>
        </w:rPr>
        <w:t xml:space="preserve">In its Replies to </w:t>
      </w:r>
      <w:proofErr w:type="spellStart"/>
      <w:r w:rsidRPr="002915C6">
        <w:rPr>
          <w:sz w:val="26"/>
          <w:szCs w:val="26"/>
          <w:lang w:val="en"/>
        </w:rPr>
        <w:t>Aqua’s</w:t>
      </w:r>
      <w:proofErr w:type="spellEnd"/>
      <w:r w:rsidRPr="002915C6">
        <w:rPr>
          <w:sz w:val="26"/>
          <w:szCs w:val="26"/>
          <w:lang w:val="en"/>
        </w:rPr>
        <w:t xml:space="preserve"> Exception No. 2, the OCA also disputes </w:t>
      </w:r>
      <w:proofErr w:type="spellStart"/>
      <w:r w:rsidRPr="002915C6">
        <w:rPr>
          <w:sz w:val="26"/>
          <w:szCs w:val="26"/>
          <w:lang w:val="en"/>
        </w:rPr>
        <w:t>Aqua’s</w:t>
      </w:r>
      <w:proofErr w:type="spellEnd"/>
      <w:r w:rsidRPr="002915C6">
        <w:rPr>
          <w:sz w:val="26"/>
          <w:szCs w:val="26"/>
          <w:lang w:val="en"/>
        </w:rPr>
        <w:t xml:space="preserve"> argument stating that </w:t>
      </w:r>
      <w:proofErr w:type="spellStart"/>
      <w:r w:rsidRPr="002915C6">
        <w:rPr>
          <w:sz w:val="26"/>
          <w:szCs w:val="26"/>
          <w:lang w:val="en"/>
        </w:rPr>
        <w:t>Aqua’s</w:t>
      </w:r>
      <w:proofErr w:type="spellEnd"/>
      <w:r w:rsidRPr="002915C6">
        <w:rPr>
          <w:sz w:val="26"/>
          <w:szCs w:val="26"/>
          <w:lang w:val="en"/>
        </w:rPr>
        <w:t xml:space="preserve"> proposal is inconsistent with the typical use of a regulatory asset.  OCA R. Exc. at 4.  Similar to I&amp;E’s arguments against the proposal, the OCA avers that regulatory assets are generally used for expense items </w:t>
      </w:r>
      <w:r w:rsidR="00597059">
        <w:rPr>
          <w:sz w:val="26"/>
          <w:szCs w:val="26"/>
          <w:lang w:val="en"/>
        </w:rPr>
        <w:t xml:space="preserve">– </w:t>
      </w:r>
      <w:r w:rsidRPr="002915C6">
        <w:rPr>
          <w:sz w:val="26"/>
          <w:szCs w:val="26"/>
          <w:lang w:val="en"/>
        </w:rPr>
        <w:t xml:space="preserve">not deferring utility plant in service </w:t>
      </w:r>
      <w:r w:rsidR="00597059">
        <w:rPr>
          <w:sz w:val="26"/>
          <w:szCs w:val="26"/>
          <w:lang w:val="en"/>
        </w:rPr>
        <w:t xml:space="preserve">– </w:t>
      </w:r>
      <w:r w:rsidRPr="002915C6">
        <w:rPr>
          <w:sz w:val="26"/>
          <w:szCs w:val="26"/>
          <w:lang w:val="en"/>
        </w:rPr>
        <w:t xml:space="preserve">and that regulatory assets are amortized over a fixed period of time and not in increments.  </w:t>
      </w:r>
      <w:r w:rsidR="00043D05">
        <w:rPr>
          <w:sz w:val="26"/>
          <w:szCs w:val="26"/>
          <w:lang w:val="en"/>
        </w:rPr>
        <w:t xml:space="preserve">The </w:t>
      </w:r>
      <w:r w:rsidRPr="002915C6">
        <w:rPr>
          <w:sz w:val="26"/>
          <w:szCs w:val="26"/>
          <w:lang w:val="en"/>
        </w:rPr>
        <w:t xml:space="preserve">OCA argues </w:t>
      </w:r>
      <w:proofErr w:type="spellStart"/>
      <w:r w:rsidRPr="002915C6">
        <w:rPr>
          <w:sz w:val="26"/>
          <w:szCs w:val="26"/>
          <w:lang w:val="en"/>
        </w:rPr>
        <w:t>Aqua’s</w:t>
      </w:r>
      <w:proofErr w:type="spellEnd"/>
      <w:r w:rsidRPr="002915C6">
        <w:rPr>
          <w:sz w:val="26"/>
          <w:szCs w:val="26"/>
          <w:lang w:val="en"/>
        </w:rPr>
        <w:t xml:space="preserve"> proposal should be denied because it would be impossible to know when the asset would be fully amortized and added to rate base which would subject </w:t>
      </w:r>
      <w:proofErr w:type="spellStart"/>
      <w:r w:rsidRPr="002915C6">
        <w:rPr>
          <w:sz w:val="26"/>
          <w:szCs w:val="26"/>
          <w:lang w:val="en"/>
        </w:rPr>
        <w:t>Aqua’s</w:t>
      </w:r>
      <w:proofErr w:type="spellEnd"/>
      <w:r w:rsidRPr="002915C6">
        <w:rPr>
          <w:sz w:val="26"/>
          <w:szCs w:val="26"/>
          <w:lang w:val="en"/>
        </w:rPr>
        <w:t xml:space="preserve"> customers to some form of uncertainty.  </w:t>
      </w:r>
      <w:r w:rsidRPr="002915C6">
        <w:rPr>
          <w:i/>
          <w:sz w:val="26"/>
          <w:szCs w:val="26"/>
          <w:lang w:val="en"/>
        </w:rPr>
        <w:t>Id.</w:t>
      </w:r>
      <w:r w:rsidRPr="002915C6">
        <w:rPr>
          <w:sz w:val="26"/>
          <w:szCs w:val="26"/>
          <w:lang w:val="en"/>
        </w:rPr>
        <w:t xml:space="preserve"> (citing OCA M.B. at 49-50; OCA Stmt</w:t>
      </w:r>
      <w:r w:rsidR="00597059">
        <w:rPr>
          <w:sz w:val="26"/>
          <w:szCs w:val="26"/>
          <w:lang w:val="en"/>
        </w:rPr>
        <w:t>.</w:t>
      </w:r>
      <w:r w:rsidRPr="002915C6">
        <w:rPr>
          <w:sz w:val="26"/>
          <w:szCs w:val="26"/>
          <w:lang w:val="en"/>
        </w:rPr>
        <w:t xml:space="preserve"> 1 at 5-6).  In addition, the OCA indicates that because the benefits Aqua claims are associated with the proposal do not outweigh the potential harm the proposal may cause to </w:t>
      </w:r>
      <w:proofErr w:type="spellStart"/>
      <w:r w:rsidRPr="002915C6">
        <w:rPr>
          <w:sz w:val="26"/>
          <w:szCs w:val="26"/>
          <w:lang w:val="en"/>
        </w:rPr>
        <w:t>Aqua’s</w:t>
      </w:r>
      <w:proofErr w:type="spellEnd"/>
      <w:r w:rsidRPr="002915C6">
        <w:rPr>
          <w:sz w:val="26"/>
          <w:szCs w:val="26"/>
          <w:lang w:val="en"/>
        </w:rPr>
        <w:t xml:space="preserve"> customers, the Commission should deny the proposal.  OCA R. Exc. at 4-5 (citing OCA M.B. at 50, 55; OCA R.B. at 14, 16; OCA S</w:t>
      </w:r>
      <w:r w:rsidR="00597059">
        <w:rPr>
          <w:sz w:val="26"/>
          <w:szCs w:val="26"/>
          <w:lang w:val="en"/>
        </w:rPr>
        <w:t>tm</w:t>
      </w:r>
      <w:r w:rsidRPr="002915C6">
        <w:rPr>
          <w:sz w:val="26"/>
          <w:szCs w:val="26"/>
          <w:lang w:val="en"/>
        </w:rPr>
        <w:t>t. 1S at</w:t>
      </w:r>
      <w:r w:rsidR="008B056A">
        <w:rPr>
          <w:sz w:val="26"/>
          <w:szCs w:val="26"/>
          <w:lang w:val="en"/>
        </w:rPr>
        <w:t> </w:t>
      </w:r>
      <w:r w:rsidRPr="002915C6">
        <w:rPr>
          <w:sz w:val="26"/>
          <w:szCs w:val="26"/>
          <w:lang w:val="en"/>
        </w:rPr>
        <w:t>3).</w:t>
      </w:r>
    </w:p>
    <w:p w14:paraId="62EDC11E" w14:textId="77777777" w:rsidR="00EA7856" w:rsidRPr="002915C6" w:rsidRDefault="00EA7856" w:rsidP="0012768D">
      <w:pPr>
        <w:widowControl/>
        <w:spacing w:line="360" w:lineRule="auto"/>
        <w:ind w:firstLine="1440"/>
        <w:contextualSpacing/>
        <w:rPr>
          <w:sz w:val="26"/>
          <w:szCs w:val="26"/>
          <w:lang w:val="en"/>
        </w:rPr>
      </w:pPr>
    </w:p>
    <w:p w14:paraId="56167DAE" w14:textId="77777777" w:rsidR="00EA7856" w:rsidRPr="002915C6" w:rsidRDefault="00856390" w:rsidP="0012768D">
      <w:pPr>
        <w:keepNext/>
        <w:keepLines/>
        <w:widowControl/>
        <w:autoSpaceDE w:val="0"/>
        <w:autoSpaceDN w:val="0"/>
        <w:adjustRightInd w:val="0"/>
        <w:spacing w:line="360" w:lineRule="auto"/>
        <w:ind w:left="720" w:firstLine="720"/>
        <w:contextualSpacing/>
        <w:rPr>
          <w:b/>
          <w:sz w:val="26"/>
          <w:szCs w:val="26"/>
          <w:lang w:val="en"/>
        </w:rPr>
      </w:pPr>
      <w:r>
        <w:rPr>
          <w:b/>
          <w:sz w:val="26"/>
          <w:szCs w:val="26"/>
          <w:lang w:val="en"/>
        </w:rPr>
        <w:tab/>
        <w:t>d</w:t>
      </w:r>
      <w:r w:rsidR="00EA7856" w:rsidRPr="002915C6">
        <w:rPr>
          <w:b/>
          <w:sz w:val="26"/>
          <w:szCs w:val="26"/>
          <w:lang w:val="en"/>
        </w:rPr>
        <w:t>.</w:t>
      </w:r>
      <w:r w:rsidR="00EA7856" w:rsidRPr="002915C6">
        <w:rPr>
          <w:b/>
          <w:sz w:val="26"/>
          <w:szCs w:val="26"/>
          <w:lang w:val="en"/>
        </w:rPr>
        <w:tab/>
        <w:t>Disposition</w:t>
      </w:r>
    </w:p>
    <w:p w14:paraId="37E057A0" w14:textId="77777777" w:rsidR="00EA7856" w:rsidRPr="002915C6" w:rsidRDefault="00EA7856" w:rsidP="0012768D">
      <w:pPr>
        <w:keepNext/>
        <w:keepLines/>
        <w:widowControl/>
        <w:autoSpaceDE w:val="0"/>
        <w:autoSpaceDN w:val="0"/>
        <w:adjustRightInd w:val="0"/>
        <w:spacing w:line="360" w:lineRule="auto"/>
        <w:ind w:left="720" w:firstLine="720"/>
        <w:contextualSpacing/>
        <w:rPr>
          <w:b/>
          <w:sz w:val="26"/>
          <w:szCs w:val="26"/>
          <w:lang w:val="en"/>
        </w:rPr>
      </w:pPr>
    </w:p>
    <w:p w14:paraId="348E5FAE" w14:textId="77777777" w:rsidR="00EA7856" w:rsidRPr="002915C6" w:rsidRDefault="00EA7856" w:rsidP="0012768D">
      <w:pPr>
        <w:widowControl/>
        <w:spacing w:line="360" w:lineRule="auto"/>
        <w:ind w:firstLine="1440"/>
        <w:contextualSpacing/>
        <w:rPr>
          <w:sz w:val="26"/>
          <w:szCs w:val="26"/>
          <w:lang w:val="en"/>
        </w:rPr>
      </w:pPr>
      <w:r w:rsidRPr="002915C6">
        <w:rPr>
          <w:sz w:val="26"/>
          <w:szCs w:val="26"/>
        </w:rPr>
        <w:t xml:space="preserve">Based on our review of the record, the positions of the Parties, and the applicable law, </w:t>
      </w:r>
      <w:r w:rsidRPr="002915C6">
        <w:rPr>
          <w:sz w:val="26"/>
          <w:szCs w:val="26"/>
          <w:lang w:val="en"/>
        </w:rPr>
        <w:t xml:space="preserve">we will deny </w:t>
      </w:r>
      <w:proofErr w:type="spellStart"/>
      <w:r w:rsidRPr="002915C6">
        <w:rPr>
          <w:sz w:val="26"/>
          <w:szCs w:val="26"/>
          <w:lang w:val="en"/>
        </w:rPr>
        <w:t>Aqua’s</w:t>
      </w:r>
      <w:proofErr w:type="spellEnd"/>
      <w:r w:rsidRPr="002915C6">
        <w:rPr>
          <w:sz w:val="26"/>
          <w:szCs w:val="26"/>
          <w:lang w:val="en"/>
        </w:rPr>
        <w:t xml:space="preserve"> Exception No. 2.  We agree with the ALJ’s recommendation and the arguments put forth by the opposing Parties regarding this issue.  We concur that </w:t>
      </w:r>
      <w:proofErr w:type="spellStart"/>
      <w:r w:rsidRPr="002915C6">
        <w:rPr>
          <w:sz w:val="26"/>
          <w:szCs w:val="26"/>
          <w:lang w:val="en"/>
        </w:rPr>
        <w:t>Aqua’s</w:t>
      </w:r>
      <w:proofErr w:type="spellEnd"/>
      <w:r w:rsidRPr="002915C6">
        <w:rPr>
          <w:sz w:val="26"/>
          <w:szCs w:val="26"/>
          <w:lang w:val="en"/>
        </w:rPr>
        <w:t xml:space="preserve"> proposal is inconsistent with the procedural requirements articulated in Section 1329 and with traditional ratemaking principles.  We agree that the circumstances for allowing a regulatory asset does not prevail in the instant proceeding.  </w:t>
      </w:r>
      <w:r w:rsidR="00597059">
        <w:rPr>
          <w:sz w:val="26"/>
          <w:szCs w:val="26"/>
          <w:lang w:val="en"/>
        </w:rPr>
        <w:t>Accordingly, w</w:t>
      </w:r>
      <w:r w:rsidRPr="002915C6">
        <w:rPr>
          <w:sz w:val="26"/>
          <w:szCs w:val="26"/>
          <w:lang w:val="en"/>
        </w:rPr>
        <w:t xml:space="preserve">e do not believe </w:t>
      </w:r>
      <w:proofErr w:type="spellStart"/>
      <w:r w:rsidRPr="002915C6">
        <w:rPr>
          <w:sz w:val="26"/>
          <w:szCs w:val="26"/>
          <w:lang w:val="en"/>
        </w:rPr>
        <w:t>Aqua’s</w:t>
      </w:r>
      <w:proofErr w:type="spellEnd"/>
      <w:r w:rsidRPr="002915C6">
        <w:rPr>
          <w:sz w:val="26"/>
          <w:szCs w:val="26"/>
          <w:lang w:val="en"/>
        </w:rPr>
        <w:t xml:space="preserve"> regulatory asset proposal is appropriate in this proceeding.  </w:t>
      </w:r>
      <w:r w:rsidRPr="002915C6">
        <w:rPr>
          <w:sz w:val="26"/>
          <w:szCs w:val="26"/>
        </w:rPr>
        <w:t xml:space="preserve">As such, we will deny </w:t>
      </w:r>
      <w:proofErr w:type="spellStart"/>
      <w:r w:rsidRPr="002915C6">
        <w:rPr>
          <w:sz w:val="26"/>
          <w:szCs w:val="26"/>
        </w:rPr>
        <w:t>Aqua</w:t>
      </w:r>
      <w:r w:rsidR="00597059">
        <w:rPr>
          <w:sz w:val="26"/>
          <w:szCs w:val="26"/>
        </w:rPr>
        <w:t>’s</w:t>
      </w:r>
      <w:proofErr w:type="spellEnd"/>
      <w:r w:rsidRPr="002915C6">
        <w:rPr>
          <w:sz w:val="26"/>
          <w:szCs w:val="26"/>
        </w:rPr>
        <w:t xml:space="preserve"> Exception No. 2.</w:t>
      </w:r>
    </w:p>
    <w:p w14:paraId="54F965C9" w14:textId="77777777" w:rsidR="00597059" w:rsidRDefault="00597059" w:rsidP="0012768D">
      <w:pPr>
        <w:widowControl/>
        <w:spacing w:after="200" w:line="276" w:lineRule="auto"/>
        <w:rPr>
          <w:rFonts w:eastAsiaTheme="majorEastAsia"/>
          <w:b/>
          <w:bCs/>
          <w:sz w:val="26"/>
          <w:szCs w:val="26"/>
        </w:rPr>
      </w:pPr>
    </w:p>
    <w:p w14:paraId="7EC2A61C" w14:textId="77777777" w:rsidR="00EA7856" w:rsidRPr="002915C6" w:rsidRDefault="00EA7856" w:rsidP="005C7530">
      <w:pPr>
        <w:pStyle w:val="Heading2"/>
        <w:widowControl/>
        <w:spacing w:before="0" w:line="360" w:lineRule="auto"/>
        <w:rPr>
          <w:rFonts w:ascii="Times New Roman" w:hAnsi="Times New Roman" w:cs="Times New Roman"/>
          <w:color w:val="auto"/>
        </w:rPr>
      </w:pPr>
      <w:bookmarkStart w:id="24" w:name="_Toc499121841"/>
      <w:r w:rsidRPr="002915C6">
        <w:rPr>
          <w:rFonts w:ascii="Times New Roman" w:hAnsi="Times New Roman" w:cs="Times New Roman"/>
          <w:color w:val="auto"/>
        </w:rPr>
        <w:t xml:space="preserve">D. </w:t>
      </w:r>
      <w:r w:rsidRPr="002915C6">
        <w:rPr>
          <w:rFonts w:ascii="Times New Roman" w:hAnsi="Times New Roman" w:cs="Times New Roman"/>
          <w:color w:val="auto"/>
        </w:rPr>
        <w:tab/>
      </w:r>
      <w:r w:rsidRPr="002915C6">
        <w:rPr>
          <w:rFonts w:ascii="Times New Roman" w:hAnsi="Times New Roman" w:cs="Times New Roman"/>
          <w:bCs w:val="0"/>
          <w:color w:val="auto"/>
          <w:lang w:val="en"/>
        </w:rPr>
        <w:t>Approval of Rate Base Value</w:t>
      </w:r>
      <w:bookmarkEnd w:id="24"/>
    </w:p>
    <w:p w14:paraId="0C6B7510" w14:textId="77777777" w:rsidR="00EA7856" w:rsidRPr="002915C6" w:rsidRDefault="00EA7856" w:rsidP="00BE5FF4">
      <w:pPr>
        <w:keepNext/>
        <w:keepLines/>
        <w:widowControl/>
        <w:autoSpaceDE w:val="0"/>
        <w:autoSpaceDN w:val="0"/>
        <w:adjustRightInd w:val="0"/>
        <w:spacing w:line="360" w:lineRule="auto"/>
        <w:contextualSpacing/>
        <w:rPr>
          <w:sz w:val="26"/>
          <w:szCs w:val="26"/>
        </w:rPr>
      </w:pPr>
    </w:p>
    <w:p w14:paraId="1176A814" w14:textId="77777777" w:rsidR="00EA7856" w:rsidRPr="002915C6" w:rsidRDefault="00EA7856" w:rsidP="005C7530">
      <w:pPr>
        <w:pStyle w:val="Heading3"/>
        <w:widowControl/>
        <w:numPr>
          <w:ilvl w:val="0"/>
          <w:numId w:val="6"/>
        </w:numPr>
        <w:spacing w:before="0" w:line="360" w:lineRule="auto"/>
        <w:rPr>
          <w:rFonts w:ascii="Times New Roman" w:hAnsi="Times New Roman" w:cs="Times New Roman"/>
          <w:bCs w:val="0"/>
          <w:color w:val="auto"/>
          <w:sz w:val="26"/>
          <w:szCs w:val="26"/>
          <w:lang w:val="en"/>
        </w:rPr>
      </w:pPr>
      <w:bookmarkStart w:id="25" w:name="_Toc499121842"/>
      <w:r w:rsidRPr="002915C6">
        <w:rPr>
          <w:rFonts w:ascii="Times New Roman" w:hAnsi="Times New Roman" w:cs="Times New Roman"/>
          <w:color w:val="auto"/>
          <w:sz w:val="26"/>
          <w:szCs w:val="26"/>
          <w:lang w:val="en"/>
        </w:rPr>
        <w:t>Ability to Challenge Fair Market Value Appraisals</w:t>
      </w:r>
      <w:bookmarkEnd w:id="25"/>
    </w:p>
    <w:p w14:paraId="101AC2C3" w14:textId="77777777" w:rsidR="00EA7856" w:rsidRPr="002915C6" w:rsidRDefault="00EA7856" w:rsidP="00BE5FF4">
      <w:pPr>
        <w:keepNext/>
        <w:keepLines/>
        <w:widowControl/>
        <w:autoSpaceDE w:val="0"/>
        <w:autoSpaceDN w:val="0"/>
        <w:adjustRightInd w:val="0"/>
        <w:spacing w:line="360" w:lineRule="auto"/>
        <w:contextualSpacing/>
        <w:rPr>
          <w:b/>
          <w:bCs/>
          <w:sz w:val="26"/>
          <w:szCs w:val="26"/>
          <w:lang w:val="en"/>
        </w:rPr>
      </w:pPr>
    </w:p>
    <w:p w14:paraId="6DAE6EDB" w14:textId="77777777" w:rsidR="008B251B" w:rsidRPr="002915C6" w:rsidRDefault="008B251B" w:rsidP="005C7530">
      <w:pPr>
        <w:keepNext/>
        <w:keepLines/>
        <w:widowControl/>
        <w:spacing w:line="360" w:lineRule="auto"/>
        <w:rPr>
          <w:b/>
          <w:sz w:val="26"/>
          <w:szCs w:val="26"/>
        </w:rPr>
      </w:pPr>
      <w:r w:rsidRPr="002915C6">
        <w:rPr>
          <w:sz w:val="26"/>
          <w:szCs w:val="26"/>
        </w:rPr>
        <w:tab/>
      </w:r>
      <w:r w:rsidRPr="002915C6">
        <w:rPr>
          <w:sz w:val="26"/>
          <w:szCs w:val="26"/>
        </w:rPr>
        <w:tab/>
      </w:r>
      <w:r w:rsidRPr="002915C6">
        <w:rPr>
          <w:sz w:val="26"/>
          <w:szCs w:val="26"/>
        </w:rPr>
        <w:tab/>
      </w:r>
      <w:r w:rsidR="006320F6">
        <w:rPr>
          <w:b/>
          <w:sz w:val="26"/>
          <w:szCs w:val="26"/>
        </w:rPr>
        <w:t>a.</w:t>
      </w:r>
      <w:r w:rsidRPr="002915C6">
        <w:rPr>
          <w:b/>
          <w:sz w:val="26"/>
          <w:szCs w:val="26"/>
        </w:rPr>
        <w:tab/>
      </w:r>
      <w:proofErr w:type="spellStart"/>
      <w:r w:rsidR="00C560D7">
        <w:rPr>
          <w:b/>
          <w:sz w:val="26"/>
          <w:szCs w:val="26"/>
        </w:rPr>
        <w:t>Aqua’s</w:t>
      </w:r>
      <w:proofErr w:type="spellEnd"/>
      <w:r w:rsidR="00C560D7">
        <w:rPr>
          <w:b/>
          <w:sz w:val="26"/>
          <w:szCs w:val="26"/>
        </w:rPr>
        <w:t xml:space="preserve"> </w:t>
      </w:r>
      <w:r w:rsidRPr="002915C6">
        <w:rPr>
          <w:b/>
          <w:sz w:val="26"/>
          <w:szCs w:val="26"/>
        </w:rPr>
        <w:t>Exception</w:t>
      </w:r>
      <w:r w:rsidR="00C560D7">
        <w:rPr>
          <w:b/>
          <w:sz w:val="26"/>
          <w:szCs w:val="26"/>
        </w:rPr>
        <w:t>s</w:t>
      </w:r>
    </w:p>
    <w:p w14:paraId="57DFB45A" w14:textId="77777777" w:rsidR="008B251B" w:rsidRPr="002915C6" w:rsidRDefault="008B251B" w:rsidP="00BE5FF4">
      <w:pPr>
        <w:keepNext/>
        <w:keepLines/>
        <w:widowControl/>
        <w:spacing w:line="360" w:lineRule="auto"/>
        <w:rPr>
          <w:sz w:val="26"/>
          <w:szCs w:val="26"/>
        </w:rPr>
      </w:pPr>
    </w:p>
    <w:p w14:paraId="3C16D702" w14:textId="77777777" w:rsidR="008B251B" w:rsidRPr="002915C6" w:rsidRDefault="008B251B" w:rsidP="0012768D">
      <w:pPr>
        <w:widowControl/>
        <w:spacing w:line="360" w:lineRule="auto"/>
        <w:rPr>
          <w:sz w:val="26"/>
          <w:szCs w:val="26"/>
        </w:rPr>
      </w:pPr>
      <w:r w:rsidRPr="002915C6">
        <w:rPr>
          <w:sz w:val="26"/>
          <w:szCs w:val="26"/>
        </w:rPr>
        <w:tab/>
      </w:r>
      <w:r w:rsidRPr="002915C6">
        <w:rPr>
          <w:sz w:val="26"/>
          <w:szCs w:val="26"/>
        </w:rPr>
        <w:tab/>
        <w:t xml:space="preserve">The Parties dispute the interpretation of Section 1329 and whether the Commission and the litigants are permitted to challenge the appropriateness of the fair market value determinations of the UVEs in their appraisals and the rate base value proposed by the Applicant for those assets for ratemaking purposes.  </w:t>
      </w:r>
      <w:r w:rsidR="00597059">
        <w:rPr>
          <w:sz w:val="26"/>
          <w:szCs w:val="26"/>
        </w:rPr>
        <w:t>In its Exception No.</w:t>
      </w:r>
      <w:r w:rsidR="005C7530">
        <w:rPr>
          <w:sz w:val="26"/>
          <w:szCs w:val="26"/>
        </w:rPr>
        <w:t> </w:t>
      </w:r>
      <w:r w:rsidR="00597059">
        <w:rPr>
          <w:sz w:val="26"/>
          <w:szCs w:val="26"/>
        </w:rPr>
        <w:t xml:space="preserve">3, </w:t>
      </w:r>
      <w:r w:rsidRPr="002915C6">
        <w:rPr>
          <w:sz w:val="26"/>
          <w:szCs w:val="26"/>
        </w:rPr>
        <w:t>Aqua contends that the General Assembly did not intend for fair market valuation to be a matter of traditional litigation.  Rather, in Section 1329 proceedings the acquiring utility and the selling municipality agree to use Section 1329 procedures which contain consumer protections built into the statute.  According to the Company, the statutory language, requiring fair market value to be determined by the UVEs, must be followed and the Recommended Decision should be reversed.  Aqua Exc. at 8-11.</w:t>
      </w:r>
    </w:p>
    <w:p w14:paraId="53433A4C" w14:textId="77777777" w:rsidR="008B251B" w:rsidRDefault="008B251B" w:rsidP="0012768D">
      <w:pPr>
        <w:widowControl/>
        <w:spacing w:line="360" w:lineRule="auto"/>
        <w:rPr>
          <w:sz w:val="26"/>
          <w:szCs w:val="26"/>
        </w:rPr>
      </w:pPr>
    </w:p>
    <w:p w14:paraId="552055E4" w14:textId="77777777" w:rsidR="00C560D7" w:rsidRPr="00C560D7" w:rsidRDefault="00C560D7" w:rsidP="00667804">
      <w:pPr>
        <w:keepNext/>
        <w:keepLines/>
        <w:widowControl/>
        <w:spacing w:line="360" w:lineRule="auto"/>
        <w:rPr>
          <w:b/>
          <w:sz w:val="26"/>
          <w:szCs w:val="26"/>
        </w:rPr>
      </w:pPr>
      <w:r w:rsidRPr="00C560D7">
        <w:rPr>
          <w:b/>
          <w:sz w:val="26"/>
          <w:szCs w:val="26"/>
        </w:rPr>
        <w:tab/>
      </w:r>
      <w:r w:rsidR="00A10A99">
        <w:rPr>
          <w:b/>
          <w:sz w:val="26"/>
          <w:szCs w:val="26"/>
        </w:rPr>
        <w:tab/>
      </w:r>
      <w:r w:rsidRPr="00C560D7">
        <w:rPr>
          <w:b/>
          <w:sz w:val="26"/>
          <w:szCs w:val="26"/>
        </w:rPr>
        <w:tab/>
        <w:t>b.</w:t>
      </w:r>
      <w:r w:rsidRPr="00C560D7">
        <w:rPr>
          <w:b/>
          <w:sz w:val="26"/>
          <w:szCs w:val="26"/>
        </w:rPr>
        <w:tab/>
        <w:t xml:space="preserve">OCA’s and I&amp;E’s Replies to </w:t>
      </w:r>
      <w:proofErr w:type="spellStart"/>
      <w:r w:rsidRPr="00C560D7">
        <w:rPr>
          <w:b/>
          <w:sz w:val="26"/>
          <w:szCs w:val="26"/>
        </w:rPr>
        <w:t>Aqua’s</w:t>
      </w:r>
      <w:proofErr w:type="spellEnd"/>
      <w:r w:rsidRPr="00C560D7">
        <w:rPr>
          <w:b/>
          <w:sz w:val="26"/>
          <w:szCs w:val="26"/>
        </w:rPr>
        <w:t xml:space="preserve"> Exceptions</w:t>
      </w:r>
    </w:p>
    <w:p w14:paraId="548BF554" w14:textId="77777777" w:rsidR="00C560D7" w:rsidRPr="002915C6" w:rsidRDefault="00C560D7" w:rsidP="00667804">
      <w:pPr>
        <w:keepNext/>
        <w:keepLines/>
        <w:widowControl/>
        <w:spacing w:line="360" w:lineRule="auto"/>
        <w:rPr>
          <w:sz w:val="26"/>
          <w:szCs w:val="26"/>
        </w:rPr>
      </w:pPr>
    </w:p>
    <w:p w14:paraId="184F67C4" w14:textId="77777777" w:rsidR="008B251B" w:rsidRPr="002915C6" w:rsidRDefault="008B251B" w:rsidP="0012768D">
      <w:pPr>
        <w:widowControl/>
        <w:spacing w:line="360" w:lineRule="auto"/>
        <w:rPr>
          <w:sz w:val="26"/>
          <w:szCs w:val="26"/>
        </w:rPr>
      </w:pPr>
      <w:r w:rsidRPr="002915C6">
        <w:rPr>
          <w:sz w:val="26"/>
          <w:szCs w:val="26"/>
        </w:rPr>
        <w:tab/>
      </w:r>
      <w:r w:rsidRPr="002915C6">
        <w:rPr>
          <w:sz w:val="26"/>
          <w:szCs w:val="26"/>
        </w:rPr>
        <w:tab/>
        <w:t xml:space="preserve">In response, both I&amp;E and the OCA argue that the ALJ correctly found that Section 1329 does not strip the Commission of its duty to assure the public interest and compliance with the Code.  </w:t>
      </w:r>
      <w:r w:rsidR="00A10A99">
        <w:rPr>
          <w:sz w:val="26"/>
          <w:szCs w:val="26"/>
        </w:rPr>
        <w:t>They are of the opinion that o</w:t>
      </w:r>
      <w:r w:rsidRPr="002915C6">
        <w:rPr>
          <w:sz w:val="26"/>
          <w:szCs w:val="26"/>
        </w:rPr>
        <w:t>ther parties are permitted to fully review and analyze the fair market appraisals.  I&amp;E R. Exc. at 4-6; OCA R. Exc. at</w:t>
      </w:r>
      <w:r w:rsidR="00A10A99">
        <w:rPr>
          <w:sz w:val="26"/>
          <w:szCs w:val="26"/>
        </w:rPr>
        <w:t> </w:t>
      </w:r>
      <w:r w:rsidRPr="002915C6">
        <w:rPr>
          <w:sz w:val="26"/>
          <w:szCs w:val="26"/>
        </w:rPr>
        <w:t>5-9.</w:t>
      </w:r>
    </w:p>
    <w:p w14:paraId="394C9249" w14:textId="77777777" w:rsidR="008B251B" w:rsidRDefault="008B251B" w:rsidP="0012768D">
      <w:pPr>
        <w:widowControl/>
        <w:spacing w:line="360" w:lineRule="auto"/>
        <w:rPr>
          <w:sz w:val="26"/>
          <w:szCs w:val="26"/>
        </w:rPr>
      </w:pPr>
    </w:p>
    <w:p w14:paraId="4994CA51" w14:textId="77777777" w:rsidR="00A10A99" w:rsidRPr="00A10A99" w:rsidRDefault="00A10A99" w:rsidP="00667804">
      <w:pPr>
        <w:keepNext/>
        <w:keepLines/>
        <w:widowControl/>
        <w:spacing w:line="360" w:lineRule="auto"/>
        <w:rPr>
          <w:b/>
          <w:sz w:val="26"/>
          <w:szCs w:val="26"/>
        </w:rPr>
      </w:pPr>
      <w:r w:rsidRPr="00A10A99">
        <w:rPr>
          <w:b/>
          <w:sz w:val="26"/>
          <w:szCs w:val="26"/>
        </w:rPr>
        <w:tab/>
      </w:r>
      <w:r w:rsidRPr="00A10A99">
        <w:rPr>
          <w:b/>
          <w:sz w:val="26"/>
          <w:szCs w:val="26"/>
        </w:rPr>
        <w:tab/>
      </w:r>
      <w:r w:rsidRPr="00A10A99">
        <w:rPr>
          <w:b/>
          <w:sz w:val="26"/>
          <w:szCs w:val="26"/>
        </w:rPr>
        <w:tab/>
        <w:t>c.</w:t>
      </w:r>
      <w:r w:rsidRPr="00A10A99">
        <w:rPr>
          <w:b/>
          <w:sz w:val="26"/>
          <w:szCs w:val="26"/>
        </w:rPr>
        <w:tab/>
        <w:t>Disposition</w:t>
      </w:r>
    </w:p>
    <w:p w14:paraId="6C22706C" w14:textId="77777777" w:rsidR="00A10A99" w:rsidRPr="002915C6" w:rsidRDefault="00A10A99" w:rsidP="00BE5FF4">
      <w:pPr>
        <w:keepNext/>
        <w:keepLines/>
        <w:widowControl/>
        <w:spacing w:line="360" w:lineRule="auto"/>
        <w:rPr>
          <w:sz w:val="26"/>
          <w:szCs w:val="26"/>
        </w:rPr>
      </w:pPr>
    </w:p>
    <w:p w14:paraId="003FC7C3" w14:textId="601C0AB6" w:rsidR="008B251B" w:rsidRDefault="008B251B" w:rsidP="0012768D">
      <w:pPr>
        <w:widowControl/>
        <w:spacing w:line="360" w:lineRule="auto"/>
        <w:rPr>
          <w:sz w:val="26"/>
          <w:szCs w:val="26"/>
        </w:rPr>
      </w:pPr>
      <w:r w:rsidRPr="002915C6">
        <w:rPr>
          <w:sz w:val="26"/>
          <w:szCs w:val="26"/>
        </w:rPr>
        <w:tab/>
      </w:r>
      <w:r w:rsidRPr="002915C6">
        <w:rPr>
          <w:sz w:val="26"/>
          <w:szCs w:val="26"/>
        </w:rPr>
        <w:tab/>
        <w:t xml:space="preserve">In the </w:t>
      </w:r>
      <w:r w:rsidRPr="002915C6">
        <w:rPr>
          <w:i/>
          <w:sz w:val="26"/>
          <w:szCs w:val="26"/>
        </w:rPr>
        <w:t>Aqua – New Garden Order</w:t>
      </w:r>
      <w:r w:rsidRPr="002915C6">
        <w:rPr>
          <w:sz w:val="26"/>
          <w:szCs w:val="26"/>
        </w:rPr>
        <w:t xml:space="preserve">, we concluded that Section 1329 permits the Commission and the Parties to develop a record pertaining to the review and analysis of the fair market value appraisals of the UVEs.  Here, the ALJ appropriately relied on our prior ruling in allowing the Parties to question and challenge the fair market value appraisals and the proposed rate base value of the acquired assets, and to submit evidence and develop a record in support of their respective positions.  We find no error in the ALJ’s handling of the evidentiary record and shall deny </w:t>
      </w:r>
      <w:proofErr w:type="spellStart"/>
      <w:r w:rsidRPr="002915C6">
        <w:rPr>
          <w:sz w:val="26"/>
          <w:szCs w:val="26"/>
        </w:rPr>
        <w:t>Aqua’s</w:t>
      </w:r>
      <w:proofErr w:type="spellEnd"/>
      <w:r w:rsidRPr="002915C6">
        <w:rPr>
          <w:sz w:val="26"/>
          <w:szCs w:val="26"/>
        </w:rPr>
        <w:t xml:space="preserve"> Exception </w:t>
      </w:r>
      <w:r w:rsidR="00240EC7">
        <w:rPr>
          <w:sz w:val="26"/>
          <w:szCs w:val="26"/>
        </w:rPr>
        <w:t>No. 3.</w:t>
      </w:r>
    </w:p>
    <w:p w14:paraId="29DF464E" w14:textId="77777777" w:rsidR="002F7ACC" w:rsidRDefault="002F7ACC" w:rsidP="0012768D">
      <w:pPr>
        <w:widowControl/>
        <w:spacing w:line="360" w:lineRule="auto"/>
        <w:rPr>
          <w:sz w:val="26"/>
          <w:szCs w:val="26"/>
        </w:rPr>
      </w:pPr>
    </w:p>
    <w:p w14:paraId="7598D63B" w14:textId="77777777" w:rsidR="002F7ACC" w:rsidRDefault="002F7ACC" w:rsidP="002F7ACC">
      <w:pPr>
        <w:widowControl/>
        <w:spacing w:line="360" w:lineRule="auto"/>
        <w:rPr>
          <w:sz w:val="26"/>
          <w:szCs w:val="26"/>
          <w:lang w:val="en"/>
        </w:rPr>
      </w:pPr>
      <w:r>
        <w:rPr>
          <w:sz w:val="26"/>
          <w:szCs w:val="26"/>
        </w:rPr>
        <w:tab/>
      </w:r>
      <w:r>
        <w:rPr>
          <w:sz w:val="26"/>
          <w:szCs w:val="26"/>
        </w:rPr>
        <w:tab/>
        <w:t xml:space="preserve">In the beginning of </w:t>
      </w:r>
      <w:proofErr w:type="spellStart"/>
      <w:r>
        <w:rPr>
          <w:sz w:val="26"/>
          <w:szCs w:val="26"/>
        </w:rPr>
        <w:t>Aqua’s</w:t>
      </w:r>
      <w:proofErr w:type="spellEnd"/>
      <w:r>
        <w:rPr>
          <w:sz w:val="26"/>
          <w:szCs w:val="26"/>
        </w:rPr>
        <w:t xml:space="preserve"> Exception No. 4, below, pertaining to the adjustments of HRG’s income approach valuation, the Company repeats its arguments that the adopted adjustments are contrary to the clear intent of the Section 1329 and that the Parties’ should not be able to challenge the fair market value appraisals.  </w:t>
      </w:r>
      <w:r w:rsidRPr="002915C6">
        <w:rPr>
          <w:sz w:val="26"/>
          <w:szCs w:val="26"/>
          <w:lang w:val="en"/>
        </w:rPr>
        <w:t xml:space="preserve">Aqua </w:t>
      </w:r>
      <w:r>
        <w:rPr>
          <w:sz w:val="26"/>
          <w:szCs w:val="26"/>
          <w:lang w:val="en"/>
        </w:rPr>
        <w:t xml:space="preserve">further </w:t>
      </w:r>
      <w:r w:rsidRPr="002915C6">
        <w:rPr>
          <w:sz w:val="26"/>
          <w:szCs w:val="26"/>
          <w:lang w:val="en"/>
        </w:rPr>
        <w:t>argues that because the OCA’s adjustments are based on the “just and reasonable” ratemaking standard rather than the USPAP standard, they should be rejected and the ALJ’s recommendations should be denied.  Aqua Exc. at 11-14.</w:t>
      </w:r>
    </w:p>
    <w:p w14:paraId="035F90FF" w14:textId="77777777" w:rsidR="002F7ACC" w:rsidRDefault="002F7ACC" w:rsidP="002F7ACC">
      <w:pPr>
        <w:widowControl/>
        <w:spacing w:line="360" w:lineRule="auto"/>
        <w:rPr>
          <w:sz w:val="26"/>
          <w:szCs w:val="26"/>
          <w:lang w:val="en"/>
        </w:rPr>
      </w:pPr>
    </w:p>
    <w:p w14:paraId="044A27FC" w14:textId="77777777" w:rsidR="002F7ACC" w:rsidRPr="002915C6" w:rsidRDefault="002F7ACC" w:rsidP="002F7ACC">
      <w:pPr>
        <w:widowControl/>
        <w:spacing w:line="360" w:lineRule="auto"/>
        <w:rPr>
          <w:sz w:val="26"/>
          <w:szCs w:val="26"/>
        </w:rPr>
      </w:pPr>
      <w:r>
        <w:rPr>
          <w:sz w:val="26"/>
          <w:szCs w:val="26"/>
          <w:lang w:val="en"/>
        </w:rPr>
        <w:tab/>
      </w:r>
      <w:r>
        <w:rPr>
          <w:sz w:val="26"/>
          <w:szCs w:val="26"/>
          <w:lang w:val="en"/>
        </w:rPr>
        <w:tab/>
        <w:t>In response, t</w:t>
      </w:r>
      <w:r w:rsidRPr="002915C6">
        <w:rPr>
          <w:sz w:val="26"/>
          <w:szCs w:val="26"/>
          <w:lang w:val="en"/>
        </w:rPr>
        <w:t xml:space="preserve">he OCA </w:t>
      </w:r>
      <w:r>
        <w:rPr>
          <w:sz w:val="26"/>
          <w:szCs w:val="26"/>
          <w:lang w:val="en"/>
        </w:rPr>
        <w:t xml:space="preserve">states </w:t>
      </w:r>
      <w:r w:rsidRPr="002915C6">
        <w:rPr>
          <w:sz w:val="26"/>
          <w:szCs w:val="26"/>
          <w:lang w:val="en"/>
        </w:rPr>
        <w:t xml:space="preserve">that “Section 1329 contains no prohibitions on the ability of the Parties to review the UVE appraisals as to their </w:t>
      </w:r>
      <w:r w:rsidRPr="00EC243C">
        <w:rPr>
          <w:i/>
          <w:sz w:val="26"/>
          <w:szCs w:val="26"/>
          <w:lang w:val="en"/>
        </w:rPr>
        <w:t>reasonableness</w:t>
      </w:r>
      <w:r w:rsidRPr="002915C6">
        <w:rPr>
          <w:sz w:val="26"/>
          <w:szCs w:val="26"/>
          <w:lang w:val="en"/>
        </w:rPr>
        <w:t xml:space="preserve">.”  OCA R. Exc. at 9 (citing </w:t>
      </w:r>
      <w:r>
        <w:rPr>
          <w:i/>
          <w:sz w:val="26"/>
          <w:szCs w:val="26"/>
        </w:rPr>
        <w:t xml:space="preserve">Aqua – New Garden Application </w:t>
      </w:r>
      <w:r w:rsidRPr="002915C6">
        <w:rPr>
          <w:i/>
          <w:sz w:val="26"/>
          <w:szCs w:val="26"/>
        </w:rPr>
        <w:t>Order</w:t>
      </w:r>
      <w:r w:rsidRPr="002915C6">
        <w:rPr>
          <w:sz w:val="26"/>
          <w:szCs w:val="26"/>
        </w:rPr>
        <w:t xml:space="preserve"> at 53).</w:t>
      </w:r>
      <w:r>
        <w:rPr>
          <w:sz w:val="26"/>
          <w:szCs w:val="26"/>
        </w:rPr>
        <w:t xml:space="preserve">  The OCA also </w:t>
      </w:r>
      <w:r w:rsidRPr="002915C6">
        <w:rPr>
          <w:sz w:val="26"/>
          <w:szCs w:val="26"/>
        </w:rPr>
        <w:t xml:space="preserve">notes that while Section 1329 requires that UVEs adhere to the USPAP standards in their valuations, the legislation </w:t>
      </w:r>
      <w:r>
        <w:rPr>
          <w:sz w:val="26"/>
          <w:szCs w:val="26"/>
        </w:rPr>
        <w:t xml:space="preserve">does not prohibit a review of the assumptions utilized by the </w:t>
      </w:r>
      <w:r w:rsidRPr="002915C6">
        <w:rPr>
          <w:sz w:val="26"/>
          <w:szCs w:val="26"/>
        </w:rPr>
        <w:t xml:space="preserve">UVEs for reasonableness and conformance to the standards of the industry being valued.  OCA </w:t>
      </w:r>
      <w:r w:rsidRPr="002915C6">
        <w:rPr>
          <w:sz w:val="26"/>
          <w:szCs w:val="26"/>
          <w:lang w:val="en"/>
        </w:rPr>
        <w:t xml:space="preserve">R. Exc. at 9-10 (citing </w:t>
      </w:r>
      <w:r w:rsidRPr="002915C6">
        <w:rPr>
          <w:sz w:val="26"/>
          <w:szCs w:val="26"/>
        </w:rPr>
        <w:t>66 Pa. C.S. §</w:t>
      </w:r>
      <w:r>
        <w:rPr>
          <w:sz w:val="26"/>
          <w:szCs w:val="26"/>
        </w:rPr>
        <w:t> </w:t>
      </w:r>
      <w:r w:rsidRPr="002915C6">
        <w:rPr>
          <w:sz w:val="26"/>
          <w:szCs w:val="26"/>
        </w:rPr>
        <w:t>1329(a)(3)).</w:t>
      </w:r>
      <w:r>
        <w:rPr>
          <w:sz w:val="26"/>
          <w:szCs w:val="26"/>
        </w:rPr>
        <w:t xml:space="preserve">  We agree that Section 1329 does not prevent a review of the UVE assumptions for reasonableness, and for the reasons discussed below, we find that the </w:t>
      </w:r>
      <w:r w:rsidRPr="002915C6">
        <w:rPr>
          <w:sz w:val="26"/>
          <w:szCs w:val="26"/>
        </w:rPr>
        <w:t xml:space="preserve">ALJ appropriately </w:t>
      </w:r>
      <w:r>
        <w:rPr>
          <w:sz w:val="26"/>
          <w:szCs w:val="26"/>
        </w:rPr>
        <w:t xml:space="preserve">considered several of the </w:t>
      </w:r>
      <w:r w:rsidRPr="002915C6">
        <w:rPr>
          <w:sz w:val="26"/>
          <w:szCs w:val="26"/>
        </w:rPr>
        <w:t>recommendations to the fair market appr</w:t>
      </w:r>
      <w:r>
        <w:rPr>
          <w:sz w:val="26"/>
          <w:szCs w:val="26"/>
        </w:rPr>
        <w:t>aisals of the Limerick system.</w:t>
      </w:r>
    </w:p>
    <w:p w14:paraId="2BEC9B81" w14:textId="77777777" w:rsidR="002F7ACC" w:rsidRPr="002915C6" w:rsidRDefault="002F7ACC" w:rsidP="0012768D">
      <w:pPr>
        <w:widowControl/>
        <w:spacing w:line="360" w:lineRule="auto"/>
        <w:rPr>
          <w:sz w:val="26"/>
          <w:szCs w:val="26"/>
        </w:rPr>
      </w:pPr>
    </w:p>
    <w:p w14:paraId="2F167D1B" w14:textId="77777777" w:rsidR="00EA7856" w:rsidRPr="002915C6" w:rsidRDefault="00EA7856" w:rsidP="00E543F4">
      <w:pPr>
        <w:pStyle w:val="ListParagraph"/>
        <w:keepNext/>
        <w:keepLines/>
        <w:widowControl/>
        <w:numPr>
          <w:ilvl w:val="0"/>
          <w:numId w:val="6"/>
        </w:numPr>
        <w:autoSpaceDE w:val="0"/>
        <w:autoSpaceDN w:val="0"/>
        <w:adjustRightInd w:val="0"/>
        <w:spacing w:line="360" w:lineRule="auto"/>
        <w:outlineLvl w:val="2"/>
        <w:rPr>
          <w:b/>
          <w:bCs/>
          <w:sz w:val="26"/>
          <w:szCs w:val="26"/>
          <w:lang w:val="en"/>
        </w:rPr>
      </w:pPr>
      <w:bookmarkStart w:id="26" w:name="_Toc499121843"/>
      <w:r w:rsidRPr="002915C6">
        <w:rPr>
          <w:b/>
          <w:bCs/>
          <w:sz w:val="26"/>
          <w:szCs w:val="26"/>
          <w:lang w:val="en"/>
        </w:rPr>
        <w:t>Rate Base Valuation</w:t>
      </w:r>
      <w:bookmarkEnd w:id="26"/>
    </w:p>
    <w:p w14:paraId="0CCA351A" w14:textId="77777777" w:rsidR="00EA7856" w:rsidRPr="002915C6" w:rsidRDefault="00EA7856" w:rsidP="00E543F4">
      <w:pPr>
        <w:pStyle w:val="ListParagraph"/>
        <w:keepNext/>
        <w:keepLines/>
        <w:widowControl/>
        <w:rPr>
          <w:b/>
          <w:bCs/>
          <w:sz w:val="26"/>
          <w:szCs w:val="26"/>
          <w:lang w:val="en"/>
        </w:rPr>
      </w:pPr>
    </w:p>
    <w:p w14:paraId="4463D414" w14:textId="77777777" w:rsidR="00685E9D" w:rsidRDefault="00EA7856" w:rsidP="00E543F4">
      <w:pPr>
        <w:pStyle w:val="ListParagraph"/>
        <w:keepNext/>
        <w:keepLines/>
        <w:widowControl/>
        <w:spacing w:line="360" w:lineRule="auto"/>
        <w:ind w:left="0" w:firstLine="1440"/>
        <w:rPr>
          <w:bCs/>
          <w:sz w:val="26"/>
          <w:szCs w:val="26"/>
          <w:lang w:val="en"/>
        </w:rPr>
      </w:pPr>
      <w:r w:rsidRPr="002915C6">
        <w:rPr>
          <w:bCs/>
          <w:sz w:val="26"/>
          <w:szCs w:val="26"/>
          <w:lang w:val="en"/>
        </w:rPr>
        <w:t xml:space="preserve">As stated earlier, the OCA made certain adjustments to both Gannett and HRG’s fair market appraisals, some of which </w:t>
      </w:r>
      <w:r w:rsidR="00597059">
        <w:rPr>
          <w:bCs/>
          <w:sz w:val="26"/>
          <w:szCs w:val="26"/>
          <w:lang w:val="en"/>
        </w:rPr>
        <w:t xml:space="preserve">were adopted by the ALJ in his </w:t>
      </w:r>
    </w:p>
    <w:p w14:paraId="44CBCE7E" w14:textId="77777777" w:rsidR="00EA7856" w:rsidRPr="002915C6" w:rsidRDefault="00597059" w:rsidP="00685E9D">
      <w:pPr>
        <w:pStyle w:val="ListParagraph"/>
        <w:widowControl/>
        <w:spacing w:line="360" w:lineRule="auto"/>
        <w:ind w:left="0"/>
        <w:rPr>
          <w:bCs/>
          <w:sz w:val="26"/>
          <w:szCs w:val="26"/>
          <w:lang w:val="en"/>
        </w:rPr>
      </w:pPr>
      <w:r>
        <w:rPr>
          <w:bCs/>
          <w:sz w:val="26"/>
          <w:szCs w:val="26"/>
          <w:lang w:val="en"/>
        </w:rPr>
        <w:t>R</w:t>
      </w:r>
      <w:r w:rsidR="00EA7856" w:rsidRPr="002915C6">
        <w:rPr>
          <w:bCs/>
          <w:sz w:val="26"/>
          <w:szCs w:val="26"/>
          <w:lang w:val="en"/>
        </w:rPr>
        <w:t xml:space="preserve">ecommended Decision.  In particular, the OCA made two adjustments to Gannett’s income approach but the ALJ </w:t>
      </w:r>
      <w:r>
        <w:rPr>
          <w:bCs/>
          <w:sz w:val="26"/>
          <w:szCs w:val="26"/>
          <w:lang w:val="en"/>
        </w:rPr>
        <w:t>did not adopt them</w:t>
      </w:r>
      <w:r w:rsidR="00EA7856" w:rsidRPr="002915C6">
        <w:rPr>
          <w:bCs/>
          <w:sz w:val="26"/>
          <w:szCs w:val="26"/>
          <w:lang w:val="en"/>
        </w:rPr>
        <w:t xml:space="preserve">.  </w:t>
      </w:r>
      <w:r>
        <w:rPr>
          <w:bCs/>
          <w:sz w:val="26"/>
          <w:szCs w:val="26"/>
          <w:lang w:val="en"/>
        </w:rPr>
        <w:t xml:space="preserve">The </w:t>
      </w:r>
      <w:r w:rsidR="00EA7856" w:rsidRPr="002915C6">
        <w:rPr>
          <w:bCs/>
          <w:sz w:val="26"/>
          <w:szCs w:val="26"/>
          <w:lang w:val="en"/>
        </w:rPr>
        <w:t>OCA also made five adjustments to HRG’s income approach, all of which were adopted by the ALJ.  In addition, the OCA made four adjustments to HRG’s cost approach, three of which were adopted by the ALJ.  Lastly, the OCA made two adjustments to HRG’s market approach.  The ALJ adopted one of the adjustments regarding customer count and rejected the OCA’s adjustment regarding the inclusion of future capital improvements under HRG’s market approach.  R.D. at 27-31.</w:t>
      </w:r>
    </w:p>
    <w:p w14:paraId="59BD9FB3" w14:textId="77777777" w:rsidR="00D75B67" w:rsidRPr="00BE5FF4" w:rsidRDefault="00D75B67" w:rsidP="00BE5FF4">
      <w:pPr>
        <w:widowControl/>
        <w:tabs>
          <w:tab w:val="left" w:pos="2610"/>
        </w:tabs>
        <w:ind w:left="1872" w:hanging="432"/>
        <w:rPr>
          <w:b/>
          <w:sz w:val="26"/>
          <w:lang w:val="en"/>
        </w:rPr>
      </w:pPr>
    </w:p>
    <w:p w14:paraId="5AA46D64" w14:textId="77777777" w:rsidR="00EA7856" w:rsidRPr="002534FF" w:rsidRDefault="007D0295" w:rsidP="001560BC">
      <w:pPr>
        <w:keepNext/>
        <w:keepLines/>
        <w:widowControl/>
        <w:tabs>
          <w:tab w:val="left" w:pos="2610"/>
        </w:tabs>
        <w:ind w:left="1872" w:hanging="432"/>
        <w:rPr>
          <w:sz w:val="26"/>
          <w:szCs w:val="26"/>
          <w:lang w:val="en"/>
        </w:rPr>
      </w:pPr>
      <w:r>
        <w:rPr>
          <w:b/>
          <w:sz w:val="26"/>
          <w:szCs w:val="26"/>
          <w:lang w:val="en"/>
        </w:rPr>
        <w:tab/>
      </w:r>
      <w:r w:rsidR="00751C2E">
        <w:rPr>
          <w:b/>
          <w:sz w:val="26"/>
          <w:szCs w:val="26"/>
          <w:lang w:val="en"/>
        </w:rPr>
        <w:t>a</w:t>
      </w:r>
      <w:r w:rsidR="0026671B">
        <w:rPr>
          <w:b/>
          <w:sz w:val="26"/>
          <w:szCs w:val="26"/>
          <w:lang w:val="en"/>
        </w:rPr>
        <w:t>.</w:t>
      </w:r>
      <w:r w:rsidR="002534FF">
        <w:rPr>
          <w:b/>
          <w:sz w:val="26"/>
          <w:szCs w:val="26"/>
          <w:lang w:val="en"/>
        </w:rPr>
        <w:tab/>
      </w:r>
      <w:r w:rsidR="00EA7856" w:rsidRPr="002534FF">
        <w:rPr>
          <w:b/>
          <w:sz w:val="26"/>
          <w:szCs w:val="26"/>
          <w:lang w:val="en"/>
        </w:rPr>
        <w:t>HRG’s Income Approach</w:t>
      </w:r>
    </w:p>
    <w:p w14:paraId="71058D96" w14:textId="77777777" w:rsidR="00EA7856" w:rsidRDefault="00EA7856" w:rsidP="001560BC">
      <w:pPr>
        <w:keepNext/>
        <w:keepLines/>
        <w:widowControl/>
        <w:spacing w:line="360" w:lineRule="auto"/>
        <w:ind w:firstLine="720"/>
        <w:contextualSpacing/>
        <w:rPr>
          <w:sz w:val="26"/>
          <w:szCs w:val="26"/>
          <w:lang w:val="en"/>
        </w:rPr>
      </w:pPr>
    </w:p>
    <w:p w14:paraId="7D15A1C9" w14:textId="77777777" w:rsidR="00EC5D5E" w:rsidRPr="00EC5D5E" w:rsidRDefault="00EC5D5E" w:rsidP="001560BC">
      <w:pPr>
        <w:keepNext/>
        <w:keepLines/>
        <w:widowControl/>
        <w:spacing w:line="360" w:lineRule="auto"/>
        <w:ind w:firstLine="720"/>
        <w:contextualSpacing/>
        <w:rPr>
          <w:b/>
          <w:sz w:val="26"/>
          <w:szCs w:val="26"/>
          <w:lang w:val="en"/>
        </w:rPr>
      </w:pPr>
      <w:r w:rsidRPr="00EC5D5E">
        <w:rPr>
          <w:b/>
          <w:sz w:val="26"/>
          <w:szCs w:val="26"/>
          <w:lang w:val="en"/>
        </w:rPr>
        <w:tab/>
      </w:r>
      <w:r w:rsidRPr="00EC5D5E">
        <w:rPr>
          <w:b/>
          <w:sz w:val="26"/>
          <w:szCs w:val="26"/>
          <w:lang w:val="en"/>
        </w:rPr>
        <w:tab/>
      </w:r>
      <w:r w:rsidR="00751C2E">
        <w:rPr>
          <w:b/>
          <w:sz w:val="26"/>
          <w:szCs w:val="26"/>
          <w:lang w:val="en"/>
        </w:rPr>
        <w:t>(1)</w:t>
      </w:r>
      <w:r w:rsidRPr="00EC5D5E">
        <w:rPr>
          <w:b/>
          <w:sz w:val="26"/>
          <w:szCs w:val="26"/>
          <w:lang w:val="en"/>
        </w:rPr>
        <w:tab/>
        <w:t>Income Tax Expenses and the Discount Rate</w:t>
      </w:r>
    </w:p>
    <w:p w14:paraId="41EC843F" w14:textId="77777777" w:rsidR="00EC5D5E" w:rsidRDefault="00EC5D5E" w:rsidP="001560BC">
      <w:pPr>
        <w:keepNext/>
        <w:keepLines/>
        <w:widowControl/>
        <w:spacing w:line="360" w:lineRule="auto"/>
        <w:ind w:firstLine="720"/>
        <w:contextualSpacing/>
        <w:rPr>
          <w:sz w:val="26"/>
          <w:szCs w:val="26"/>
          <w:lang w:val="en"/>
        </w:rPr>
      </w:pPr>
    </w:p>
    <w:p w14:paraId="299A31D7" w14:textId="77777777" w:rsidR="00D75B67" w:rsidRPr="00D75B67" w:rsidRDefault="00D75B67" w:rsidP="001560BC">
      <w:pPr>
        <w:keepNext/>
        <w:keepLines/>
        <w:widowControl/>
        <w:spacing w:line="360" w:lineRule="auto"/>
        <w:ind w:firstLine="720"/>
        <w:contextualSpacing/>
        <w:rPr>
          <w:b/>
          <w:sz w:val="26"/>
          <w:szCs w:val="26"/>
          <w:lang w:val="en"/>
        </w:rPr>
      </w:pPr>
      <w:r w:rsidRPr="00D75B67">
        <w:rPr>
          <w:b/>
          <w:sz w:val="26"/>
          <w:szCs w:val="26"/>
          <w:lang w:val="en"/>
        </w:rPr>
        <w:tab/>
      </w:r>
      <w:r w:rsidRPr="00D75B67">
        <w:rPr>
          <w:b/>
          <w:sz w:val="26"/>
          <w:szCs w:val="26"/>
          <w:lang w:val="en"/>
        </w:rPr>
        <w:tab/>
      </w:r>
      <w:r w:rsidR="00EC5D5E">
        <w:rPr>
          <w:b/>
          <w:sz w:val="26"/>
          <w:szCs w:val="26"/>
          <w:lang w:val="en"/>
        </w:rPr>
        <w:tab/>
        <w:t>(</w:t>
      </w:r>
      <w:proofErr w:type="spellStart"/>
      <w:r w:rsidR="00751C2E">
        <w:rPr>
          <w:b/>
          <w:sz w:val="26"/>
          <w:szCs w:val="26"/>
          <w:lang w:val="en"/>
        </w:rPr>
        <w:t>i</w:t>
      </w:r>
      <w:proofErr w:type="spellEnd"/>
      <w:r w:rsidR="00EC5D5E">
        <w:rPr>
          <w:b/>
          <w:sz w:val="26"/>
          <w:szCs w:val="26"/>
          <w:lang w:val="en"/>
        </w:rPr>
        <w:t>)</w:t>
      </w:r>
      <w:r w:rsidRPr="00D75B67">
        <w:rPr>
          <w:b/>
          <w:sz w:val="26"/>
          <w:szCs w:val="26"/>
          <w:lang w:val="en"/>
        </w:rPr>
        <w:tab/>
      </w:r>
      <w:proofErr w:type="spellStart"/>
      <w:r w:rsidRPr="00D75B67">
        <w:rPr>
          <w:b/>
          <w:sz w:val="26"/>
          <w:szCs w:val="26"/>
          <w:lang w:val="en"/>
        </w:rPr>
        <w:t>Aqua’s</w:t>
      </w:r>
      <w:proofErr w:type="spellEnd"/>
      <w:r w:rsidRPr="00D75B67">
        <w:rPr>
          <w:b/>
          <w:sz w:val="26"/>
          <w:szCs w:val="26"/>
          <w:lang w:val="en"/>
        </w:rPr>
        <w:t xml:space="preserve"> Exceptions</w:t>
      </w:r>
    </w:p>
    <w:p w14:paraId="1B76CD7D" w14:textId="77777777" w:rsidR="00D75B67" w:rsidRPr="002915C6" w:rsidRDefault="00D75B67" w:rsidP="00BE5FF4">
      <w:pPr>
        <w:keepNext/>
        <w:keepLines/>
        <w:widowControl/>
        <w:spacing w:line="360" w:lineRule="auto"/>
        <w:ind w:firstLine="720"/>
        <w:contextualSpacing/>
        <w:rPr>
          <w:sz w:val="26"/>
          <w:szCs w:val="26"/>
          <w:lang w:val="en"/>
        </w:rPr>
      </w:pPr>
    </w:p>
    <w:p w14:paraId="37B5F9B8" w14:textId="77777777" w:rsidR="00EA7856" w:rsidRPr="002915C6" w:rsidRDefault="00EA7856" w:rsidP="0012768D">
      <w:pPr>
        <w:widowControl/>
        <w:spacing w:line="360" w:lineRule="auto"/>
        <w:ind w:firstLine="1440"/>
        <w:contextualSpacing/>
        <w:rPr>
          <w:sz w:val="26"/>
          <w:szCs w:val="26"/>
          <w:lang w:val="en"/>
        </w:rPr>
      </w:pPr>
      <w:r w:rsidRPr="002915C6">
        <w:rPr>
          <w:sz w:val="26"/>
          <w:szCs w:val="26"/>
          <w:lang w:val="en"/>
        </w:rPr>
        <w:t xml:space="preserve">The ALJ adopted all five adjustments </w:t>
      </w:r>
      <w:r w:rsidR="00215338">
        <w:rPr>
          <w:sz w:val="26"/>
          <w:szCs w:val="26"/>
          <w:lang w:val="en"/>
        </w:rPr>
        <w:t xml:space="preserve">that </w:t>
      </w:r>
      <w:r w:rsidRPr="002915C6">
        <w:rPr>
          <w:sz w:val="26"/>
          <w:szCs w:val="26"/>
          <w:lang w:val="en"/>
        </w:rPr>
        <w:t>the OCA made under HRG’s income approach.  Four of the adjustments relate to the DCF analysis within the income approach while the fifth adjustment disregards HRG’s rate of return/rate base analysis.  HRG’s appraisal under the income approach is $77,855,000</w:t>
      </w:r>
      <w:r w:rsidR="00994EB8">
        <w:rPr>
          <w:sz w:val="26"/>
          <w:szCs w:val="26"/>
          <w:lang w:val="en"/>
        </w:rPr>
        <w:t>.  T</w:t>
      </w:r>
      <w:r w:rsidRPr="002915C6">
        <w:rPr>
          <w:sz w:val="26"/>
          <w:szCs w:val="26"/>
          <w:lang w:val="en"/>
        </w:rPr>
        <w:t>he ALJ adopted the OCA’s adjustment of HRG’s appraisal fro</w:t>
      </w:r>
      <w:r w:rsidR="0026671B">
        <w:rPr>
          <w:sz w:val="26"/>
          <w:szCs w:val="26"/>
          <w:lang w:val="en"/>
        </w:rPr>
        <w:t xml:space="preserve">m $77,855,000 to $36,560,000.  </w:t>
      </w:r>
      <w:r w:rsidRPr="002915C6">
        <w:rPr>
          <w:sz w:val="26"/>
          <w:szCs w:val="26"/>
          <w:lang w:val="en"/>
        </w:rPr>
        <w:t>According to Aqua, the adjusted value of $36,560,000 is $10,000,000 less than the depreciated original cost value of $46,153,867 for the Limerick system, which makes it unreasonable even on its face.  Aqua Exc. at 14.</w:t>
      </w:r>
    </w:p>
    <w:p w14:paraId="5B39E25B" w14:textId="77777777" w:rsidR="00EA7856" w:rsidRPr="002915C6" w:rsidRDefault="00EA7856" w:rsidP="0012768D">
      <w:pPr>
        <w:widowControl/>
        <w:spacing w:line="360" w:lineRule="auto"/>
        <w:ind w:firstLine="720"/>
        <w:contextualSpacing/>
        <w:rPr>
          <w:sz w:val="26"/>
          <w:szCs w:val="26"/>
          <w:lang w:val="en"/>
        </w:rPr>
      </w:pPr>
    </w:p>
    <w:p w14:paraId="56ADA715" w14:textId="77777777" w:rsidR="00EA7856" w:rsidRPr="002915C6" w:rsidRDefault="00EA7856" w:rsidP="0012768D">
      <w:pPr>
        <w:widowControl/>
        <w:spacing w:line="360" w:lineRule="auto"/>
        <w:ind w:firstLine="1440"/>
        <w:contextualSpacing/>
        <w:rPr>
          <w:sz w:val="26"/>
          <w:szCs w:val="26"/>
          <w:lang w:val="en"/>
        </w:rPr>
      </w:pPr>
      <w:r w:rsidRPr="002915C6">
        <w:rPr>
          <w:sz w:val="26"/>
          <w:szCs w:val="26"/>
          <w:lang w:val="en"/>
        </w:rPr>
        <w:t>With regard to the ALJ’s adoption of the OCA’s adjustments to income tax expenses and the discount rate in HRG’s DCF analysis under the income approach, Aqua avers t</w:t>
      </w:r>
      <w:r w:rsidR="00215338">
        <w:rPr>
          <w:sz w:val="26"/>
          <w:szCs w:val="26"/>
          <w:lang w:val="en"/>
        </w:rPr>
        <w:t>hat t</w:t>
      </w:r>
      <w:r w:rsidRPr="002915C6">
        <w:rPr>
          <w:sz w:val="26"/>
          <w:szCs w:val="26"/>
          <w:lang w:val="en"/>
        </w:rPr>
        <w:t>he ALJ’s adoption of the OCA’s adjustments is inappropriate.</w:t>
      </w:r>
      <w:r w:rsidRPr="002915C6">
        <w:rPr>
          <w:rStyle w:val="FootnoteReference"/>
          <w:sz w:val="26"/>
          <w:szCs w:val="26"/>
          <w:lang w:val="en"/>
        </w:rPr>
        <w:footnoteReference w:id="11"/>
      </w:r>
      <w:r w:rsidRPr="002915C6">
        <w:rPr>
          <w:sz w:val="26"/>
          <w:szCs w:val="26"/>
          <w:lang w:val="en"/>
        </w:rPr>
        <w:t xml:space="preserve">  </w:t>
      </w:r>
      <w:r w:rsidRPr="002915C6">
        <w:rPr>
          <w:i/>
          <w:sz w:val="26"/>
          <w:szCs w:val="26"/>
          <w:lang w:val="en"/>
        </w:rPr>
        <w:t>Id.</w:t>
      </w:r>
      <w:r w:rsidRPr="002915C6">
        <w:rPr>
          <w:sz w:val="26"/>
          <w:szCs w:val="26"/>
          <w:lang w:val="en"/>
        </w:rPr>
        <w:t xml:space="preserve"> at 14-15.  On the income tax expenses, Aqua avers that to the extent that the taxes increase, the revenue requirement also increases, which makes the adjustments to income taxes a concomitant adjustment to the revenue requirement used in HRG’s DCF analysis.  Aqua argues that because a regulated utility is permitted to recover the full cost of rendering utility service, the assumed rate increases would correspondingly increase, and result in a greater income value.  Aqua believes, the ALJ’s recommended changes to income tax rates leaves no room for any necessary concomitant rate allowances.  </w:t>
      </w:r>
      <w:r w:rsidRPr="002915C6">
        <w:rPr>
          <w:i/>
          <w:sz w:val="26"/>
          <w:szCs w:val="26"/>
          <w:lang w:val="en"/>
        </w:rPr>
        <w:t>Id.</w:t>
      </w:r>
      <w:r w:rsidRPr="002915C6">
        <w:rPr>
          <w:sz w:val="26"/>
          <w:szCs w:val="26"/>
          <w:lang w:val="en"/>
        </w:rPr>
        <w:t xml:space="preserve"> at 15.  </w:t>
      </w:r>
    </w:p>
    <w:p w14:paraId="5EEFAB4A" w14:textId="77777777" w:rsidR="00EA7856" w:rsidRPr="002915C6" w:rsidRDefault="00EA7856" w:rsidP="0012768D">
      <w:pPr>
        <w:widowControl/>
        <w:spacing w:line="360" w:lineRule="auto"/>
        <w:ind w:firstLine="1440"/>
        <w:contextualSpacing/>
        <w:rPr>
          <w:sz w:val="26"/>
          <w:szCs w:val="26"/>
          <w:lang w:val="en"/>
        </w:rPr>
      </w:pPr>
    </w:p>
    <w:p w14:paraId="2B8B2DD8" w14:textId="77777777" w:rsidR="00EA7856" w:rsidRPr="002915C6" w:rsidRDefault="00EA7856" w:rsidP="0012768D">
      <w:pPr>
        <w:widowControl/>
        <w:spacing w:line="360" w:lineRule="auto"/>
        <w:ind w:firstLine="1440"/>
        <w:contextualSpacing/>
        <w:rPr>
          <w:sz w:val="26"/>
          <w:szCs w:val="26"/>
          <w:lang w:val="en"/>
        </w:rPr>
      </w:pPr>
      <w:r w:rsidRPr="002915C6">
        <w:rPr>
          <w:sz w:val="26"/>
          <w:szCs w:val="26"/>
          <w:lang w:val="en"/>
        </w:rPr>
        <w:t xml:space="preserve">Regarding the ALJ’s recommended discount rate of 6.97%, Aqua asserts that due to the changes in revenues, expenses and utility plant investments following its most recent base rate case, which was several years ago, the recommended discount rate of 6.97% is overstated in that it fails to reflect the aforementioned changes.  According to Aqua, in 2015 alone, its utility plant in service increased by $18,152,894, which is an increase in the return that will not be reflected in base rates until </w:t>
      </w:r>
      <w:proofErr w:type="spellStart"/>
      <w:r w:rsidRPr="002915C6">
        <w:rPr>
          <w:sz w:val="26"/>
          <w:szCs w:val="26"/>
          <w:lang w:val="en"/>
        </w:rPr>
        <w:t>Aqua’s</w:t>
      </w:r>
      <w:proofErr w:type="spellEnd"/>
      <w:r w:rsidRPr="002915C6">
        <w:rPr>
          <w:sz w:val="26"/>
          <w:szCs w:val="26"/>
          <w:lang w:val="en"/>
        </w:rPr>
        <w:t xml:space="preserve"> next general rate increase.  </w:t>
      </w:r>
      <w:r w:rsidRPr="002915C6">
        <w:rPr>
          <w:i/>
          <w:sz w:val="26"/>
          <w:szCs w:val="26"/>
          <w:lang w:val="en"/>
        </w:rPr>
        <w:t xml:space="preserve">Id. </w:t>
      </w:r>
      <w:r w:rsidRPr="002915C6">
        <w:rPr>
          <w:sz w:val="26"/>
          <w:szCs w:val="26"/>
          <w:lang w:val="en"/>
        </w:rPr>
        <w:t>(citing Aqua S</w:t>
      </w:r>
      <w:r w:rsidR="00215338">
        <w:rPr>
          <w:sz w:val="26"/>
          <w:szCs w:val="26"/>
          <w:lang w:val="en"/>
        </w:rPr>
        <w:t>tm</w:t>
      </w:r>
      <w:r w:rsidRPr="002915C6">
        <w:rPr>
          <w:sz w:val="26"/>
          <w:szCs w:val="26"/>
          <w:lang w:val="en"/>
        </w:rPr>
        <w:t xml:space="preserve">t. 4R at 13).  From </w:t>
      </w:r>
      <w:proofErr w:type="spellStart"/>
      <w:r w:rsidRPr="002915C6">
        <w:rPr>
          <w:sz w:val="26"/>
          <w:szCs w:val="26"/>
          <w:lang w:val="en"/>
        </w:rPr>
        <w:t>Aqua’s</w:t>
      </w:r>
      <w:proofErr w:type="spellEnd"/>
      <w:r w:rsidRPr="002915C6">
        <w:rPr>
          <w:sz w:val="26"/>
          <w:szCs w:val="26"/>
          <w:lang w:val="en"/>
        </w:rPr>
        <w:t xml:space="preserve"> point of view, a reflection of these changes would result in a lower rate of return and a lower discount factor.</w:t>
      </w:r>
      <w:r w:rsidRPr="002915C6">
        <w:rPr>
          <w:rStyle w:val="FootnoteReference"/>
          <w:sz w:val="26"/>
          <w:szCs w:val="26"/>
          <w:lang w:val="en"/>
        </w:rPr>
        <w:footnoteReference w:id="12"/>
      </w:r>
      <w:r w:rsidRPr="002915C6">
        <w:rPr>
          <w:sz w:val="26"/>
          <w:szCs w:val="26"/>
          <w:lang w:val="en"/>
        </w:rPr>
        <w:t xml:space="preserve">  According to Aqua, while the ALJ’s recommendation increases the discount rate to a rate case level, it makes no estimate of, and no allowance for erosion of return.  Aqua Exc. at</w:t>
      </w:r>
      <w:r w:rsidR="00EF693C">
        <w:rPr>
          <w:sz w:val="26"/>
          <w:szCs w:val="26"/>
          <w:lang w:val="en"/>
        </w:rPr>
        <w:t> </w:t>
      </w:r>
      <w:r w:rsidRPr="002915C6">
        <w:rPr>
          <w:sz w:val="26"/>
          <w:szCs w:val="26"/>
          <w:lang w:val="en"/>
        </w:rPr>
        <w:t>15-16 (citing Aqua S</w:t>
      </w:r>
      <w:r w:rsidR="00215338">
        <w:rPr>
          <w:sz w:val="26"/>
          <w:szCs w:val="26"/>
          <w:lang w:val="en"/>
        </w:rPr>
        <w:t>tm</w:t>
      </w:r>
      <w:r w:rsidRPr="002915C6">
        <w:rPr>
          <w:sz w:val="26"/>
          <w:szCs w:val="26"/>
          <w:lang w:val="en"/>
        </w:rPr>
        <w:t xml:space="preserve">t. 4R at 13).  Therefore, Aqua requests that the Commission reject ALJ Haas’ recommended adjustments to income taxes and the discount rate in HRG’s DCF analysis under the income approach.  Aqua Exc. at 16. </w:t>
      </w:r>
    </w:p>
    <w:p w14:paraId="156A89E5" w14:textId="77777777" w:rsidR="00EA7856" w:rsidRDefault="00EA7856" w:rsidP="0012768D">
      <w:pPr>
        <w:widowControl/>
        <w:spacing w:line="360" w:lineRule="auto"/>
        <w:ind w:firstLine="1440"/>
        <w:contextualSpacing/>
        <w:rPr>
          <w:sz w:val="26"/>
          <w:szCs w:val="26"/>
          <w:lang w:val="en"/>
        </w:rPr>
      </w:pPr>
    </w:p>
    <w:p w14:paraId="3338C22D" w14:textId="77777777" w:rsidR="00EF693C" w:rsidRPr="00EF693C" w:rsidRDefault="00EF693C" w:rsidP="00F13D8C">
      <w:pPr>
        <w:keepNext/>
        <w:keepLines/>
        <w:widowControl/>
        <w:spacing w:line="360" w:lineRule="auto"/>
        <w:ind w:firstLine="1440"/>
        <w:contextualSpacing/>
        <w:rPr>
          <w:b/>
          <w:sz w:val="26"/>
          <w:szCs w:val="26"/>
          <w:lang w:val="en"/>
        </w:rPr>
      </w:pPr>
      <w:r w:rsidRPr="00EF693C">
        <w:rPr>
          <w:b/>
          <w:sz w:val="26"/>
          <w:szCs w:val="26"/>
          <w:lang w:val="en"/>
        </w:rPr>
        <w:tab/>
      </w:r>
      <w:r w:rsidR="005055ED">
        <w:rPr>
          <w:b/>
          <w:sz w:val="26"/>
          <w:szCs w:val="26"/>
          <w:lang w:val="en"/>
        </w:rPr>
        <w:tab/>
        <w:t>(</w:t>
      </w:r>
      <w:r w:rsidR="00751C2E">
        <w:rPr>
          <w:b/>
          <w:sz w:val="26"/>
          <w:szCs w:val="26"/>
          <w:lang w:val="en"/>
        </w:rPr>
        <w:t>ii</w:t>
      </w:r>
      <w:r w:rsidR="005055ED">
        <w:rPr>
          <w:b/>
          <w:sz w:val="26"/>
          <w:szCs w:val="26"/>
          <w:lang w:val="en"/>
        </w:rPr>
        <w:t>)</w:t>
      </w:r>
      <w:r w:rsidRPr="00EF693C">
        <w:rPr>
          <w:b/>
          <w:sz w:val="26"/>
          <w:szCs w:val="26"/>
          <w:lang w:val="en"/>
        </w:rPr>
        <w:tab/>
        <w:t xml:space="preserve">OCA Replies to </w:t>
      </w:r>
      <w:proofErr w:type="spellStart"/>
      <w:r w:rsidRPr="00EF693C">
        <w:rPr>
          <w:b/>
          <w:sz w:val="26"/>
          <w:szCs w:val="26"/>
          <w:lang w:val="en"/>
        </w:rPr>
        <w:t>Aqua’s</w:t>
      </w:r>
      <w:proofErr w:type="spellEnd"/>
      <w:r w:rsidRPr="00EF693C">
        <w:rPr>
          <w:b/>
          <w:sz w:val="26"/>
          <w:szCs w:val="26"/>
          <w:lang w:val="en"/>
        </w:rPr>
        <w:t xml:space="preserve"> Exceptions</w:t>
      </w:r>
    </w:p>
    <w:p w14:paraId="237E03BA" w14:textId="77777777" w:rsidR="00EF693C" w:rsidRPr="002915C6" w:rsidRDefault="00EF693C" w:rsidP="00F13D8C">
      <w:pPr>
        <w:keepNext/>
        <w:keepLines/>
        <w:widowControl/>
        <w:spacing w:line="360" w:lineRule="auto"/>
        <w:ind w:firstLine="1440"/>
        <w:contextualSpacing/>
        <w:rPr>
          <w:sz w:val="26"/>
          <w:szCs w:val="26"/>
          <w:lang w:val="en"/>
        </w:rPr>
      </w:pPr>
    </w:p>
    <w:p w14:paraId="3461C612" w14:textId="77777777" w:rsidR="00EA7856" w:rsidRPr="002915C6" w:rsidRDefault="008829CD" w:rsidP="0012768D">
      <w:pPr>
        <w:widowControl/>
        <w:spacing w:line="360" w:lineRule="auto"/>
        <w:ind w:firstLine="1440"/>
        <w:contextualSpacing/>
        <w:rPr>
          <w:sz w:val="26"/>
          <w:szCs w:val="26"/>
          <w:lang w:val="en"/>
        </w:rPr>
      </w:pPr>
      <w:r>
        <w:rPr>
          <w:sz w:val="26"/>
          <w:szCs w:val="26"/>
          <w:lang w:val="en"/>
        </w:rPr>
        <w:t>In r</w:t>
      </w:r>
      <w:r w:rsidR="00EA7856" w:rsidRPr="002915C6">
        <w:rPr>
          <w:sz w:val="26"/>
          <w:szCs w:val="26"/>
          <w:lang w:val="en"/>
        </w:rPr>
        <w:t xml:space="preserve">eply, the OCA avers </w:t>
      </w:r>
      <w:r>
        <w:rPr>
          <w:sz w:val="26"/>
          <w:szCs w:val="26"/>
          <w:lang w:val="en"/>
        </w:rPr>
        <w:t xml:space="preserve">that </w:t>
      </w:r>
      <w:proofErr w:type="spellStart"/>
      <w:r w:rsidR="00EA7856" w:rsidRPr="002915C6">
        <w:rPr>
          <w:sz w:val="26"/>
          <w:szCs w:val="26"/>
          <w:lang w:val="en"/>
        </w:rPr>
        <w:t>Aqua’s</w:t>
      </w:r>
      <w:proofErr w:type="spellEnd"/>
      <w:r w:rsidR="00EA7856" w:rsidRPr="002915C6">
        <w:rPr>
          <w:sz w:val="26"/>
          <w:szCs w:val="26"/>
          <w:lang w:val="en"/>
        </w:rPr>
        <w:t xml:space="preserve"> argument regarding the adjustments is without merit and should be rejected.  On the issue of income tax expenses, the OCA highlights several problems with the assumptions in HRG’s analysis including the fact that HRG assumed there were no federal or state income taxes for the first four years of its DCF analysis.  </w:t>
      </w:r>
      <w:r>
        <w:rPr>
          <w:sz w:val="26"/>
          <w:szCs w:val="26"/>
          <w:lang w:val="en"/>
        </w:rPr>
        <w:t xml:space="preserve">The </w:t>
      </w:r>
      <w:r w:rsidR="00EA7856" w:rsidRPr="002915C6">
        <w:rPr>
          <w:sz w:val="26"/>
          <w:szCs w:val="26"/>
          <w:lang w:val="en"/>
        </w:rPr>
        <w:t>OCA reiterates its arguments that HRG used a tax rate of 38.9%, whereas a total incremental tax rate of 41.49% should have be</w:t>
      </w:r>
      <w:r>
        <w:rPr>
          <w:sz w:val="26"/>
          <w:szCs w:val="26"/>
          <w:lang w:val="en"/>
        </w:rPr>
        <w:t>en</w:t>
      </w:r>
      <w:r w:rsidR="00EA7856" w:rsidRPr="002915C6">
        <w:rPr>
          <w:sz w:val="26"/>
          <w:szCs w:val="26"/>
          <w:lang w:val="en"/>
        </w:rPr>
        <w:t xml:space="preserve"> used, based </w:t>
      </w:r>
      <w:r>
        <w:rPr>
          <w:sz w:val="26"/>
          <w:szCs w:val="26"/>
          <w:lang w:val="en"/>
        </w:rPr>
        <w:t>on</w:t>
      </w:r>
      <w:r w:rsidR="00EA7856" w:rsidRPr="002915C6">
        <w:rPr>
          <w:sz w:val="26"/>
          <w:szCs w:val="26"/>
          <w:lang w:val="en"/>
        </w:rPr>
        <w:t xml:space="preserve"> the Pennsylvania income tax rate of 9.99% and the Federal income tax rate of 35%.  </w:t>
      </w:r>
      <w:r>
        <w:rPr>
          <w:sz w:val="26"/>
          <w:szCs w:val="26"/>
          <w:lang w:val="en"/>
        </w:rPr>
        <w:t xml:space="preserve">The </w:t>
      </w:r>
      <w:r w:rsidR="00EA7856" w:rsidRPr="002915C6">
        <w:rPr>
          <w:sz w:val="26"/>
          <w:szCs w:val="26"/>
          <w:lang w:val="en"/>
        </w:rPr>
        <w:t xml:space="preserve">OCA further argues that HRG treated capital expenditures as a tax-deductible expense, when only the depreciation of those capital expenditures should be tax deductible.  Moreover, the OCA argues that HRG’s taxable income did not include any deduction for depreciation expense or reflect a deduction for interest expense.  OCA R. Exc. at 10-11.  Lastly, the OCA states that contrary to </w:t>
      </w:r>
      <w:proofErr w:type="spellStart"/>
      <w:r w:rsidR="00EA7856" w:rsidRPr="002915C6">
        <w:rPr>
          <w:sz w:val="26"/>
          <w:szCs w:val="26"/>
          <w:lang w:val="en"/>
        </w:rPr>
        <w:t>Aqua’s</w:t>
      </w:r>
      <w:proofErr w:type="spellEnd"/>
      <w:r w:rsidR="00EA7856" w:rsidRPr="002915C6">
        <w:rPr>
          <w:sz w:val="26"/>
          <w:szCs w:val="26"/>
          <w:lang w:val="en"/>
        </w:rPr>
        <w:t xml:space="preserve"> averments, there are no concomitant adjustments that need to be made as a result of its adjustments to HRG’s income tax calculation.  </w:t>
      </w:r>
      <w:r w:rsidR="00EA7856" w:rsidRPr="002915C6">
        <w:rPr>
          <w:i/>
          <w:sz w:val="26"/>
          <w:szCs w:val="26"/>
          <w:lang w:val="en"/>
        </w:rPr>
        <w:t xml:space="preserve">Id. </w:t>
      </w:r>
      <w:r w:rsidR="00EA7856" w:rsidRPr="002915C6">
        <w:rPr>
          <w:sz w:val="26"/>
          <w:szCs w:val="26"/>
          <w:lang w:val="en"/>
        </w:rPr>
        <w:t>at 11.</w:t>
      </w:r>
    </w:p>
    <w:p w14:paraId="25F86FAA" w14:textId="77777777" w:rsidR="00EA7856" w:rsidRPr="002915C6" w:rsidRDefault="00EA7856" w:rsidP="0012768D">
      <w:pPr>
        <w:widowControl/>
        <w:spacing w:line="360" w:lineRule="auto"/>
        <w:ind w:firstLine="1440"/>
        <w:contextualSpacing/>
        <w:rPr>
          <w:sz w:val="26"/>
          <w:szCs w:val="26"/>
          <w:lang w:val="en"/>
        </w:rPr>
      </w:pPr>
    </w:p>
    <w:p w14:paraId="46E09F67" w14:textId="77777777" w:rsidR="00EA7856" w:rsidRPr="002915C6" w:rsidRDefault="00EA7856" w:rsidP="0012768D">
      <w:pPr>
        <w:widowControl/>
        <w:spacing w:line="360" w:lineRule="auto"/>
        <w:ind w:firstLine="1440"/>
        <w:contextualSpacing/>
        <w:rPr>
          <w:sz w:val="26"/>
          <w:szCs w:val="26"/>
          <w:lang w:val="en"/>
        </w:rPr>
      </w:pPr>
      <w:r w:rsidRPr="002915C6">
        <w:rPr>
          <w:sz w:val="26"/>
          <w:szCs w:val="26"/>
          <w:lang w:val="en"/>
        </w:rPr>
        <w:t xml:space="preserve">With regard to the discount rate, the OCA argues </w:t>
      </w:r>
      <w:r w:rsidR="008829CD">
        <w:rPr>
          <w:sz w:val="26"/>
          <w:szCs w:val="26"/>
          <w:lang w:val="en"/>
        </w:rPr>
        <w:t xml:space="preserve">that </w:t>
      </w:r>
      <w:r w:rsidRPr="002915C6">
        <w:rPr>
          <w:sz w:val="26"/>
          <w:szCs w:val="26"/>
          <w:lang w:val="en"/>
        </w:rPr>
        <w:t xml:space="preserve">the 2.5% discount rate used by HRG in its analysis is significantly lower and does not represent </w:t>
      </w:r>
      <w:proofErr w:type="spellStart"/>
      <w:r w:rsidRPr="002915C6">
        <w:rPr>
          <w:sz w:val="26"/>
          <w:szCs w:val="26"/>
          <w:lang w:val="en"/>
        </w:rPr>
        <w:t>Aqua’s</w:t>
      </w:r>
      <w:proofErr w:type="spellEnd"/>
      <w:r w:rsidRPr="002915C6">
        <w:rPr>
          <w:sz w:val="26"/>
          <w:szCs w:val="26"/>
          <w:lang w:val="en"/>
        </w:rPr>
        <w:t xml:space="preserve"> total cost of capital, which includes the weighted cost of debt and the weighted cost of equity.  OCA R. Exc. at 11-12.  </w:t>
      </w:r>
      <w:r w:rsidR="008829CD">
        <w:rPr>
          <w:sz w:val="26"/>
          <w:szCs w:val="26"/>
          <w:lang w:val="en"/>
        </w:rPr>
        <w:t xml:space="preserve">The </w:t>
      </w:r>
      <w:r w:rsidRPr="002915C6">
        <w:rPr>
          <w:sz w:val="26"/>
          <w:szCs w:val="26"/>
          <w:lang w:val="en"/>
        </w:rPr>
        <w:t>OCA contends</w:t>
      </w:r>
      <w:r w:rsidR="008829CD">
        <w:rPr>
          <w:sz w:val="26"/>
          <w:szCs w:val="26"/>
          <w:lang w:val="en"/>
        </w:rPr>
        <w:t xml:space="preserve"> that</w:t>
      </w:r>
      <w:r w:rsidRPr="002915C6">
        <w:rPr>
          <w:sz w:val="26"/>
          <w:szCs w:val="26"/>
          <w:lang w:val="en"/>
        </w:rPr>
        <w:t xml:space="preserve"> its witness, Mr. Watkins, developed a more appropriate discount rate using </w:t>
      </w:r>
      <w:proofErr w:type="spellStart"/>
      <w:r w:rsidRPr="002915C6">
        <w:rPr>
          <w:sz w:val="26"/>
          <w:szCs w:val="26"/>
          <w:lang w:val="en"/>
        </w:rPr>
        <w:t>Aqua’s</w:t>
      </w:r>
      <w:proofErr w:type="spellEnd"/>
      <w:r w:rsidRPr="002915C6">
        <w:rPr>
          <w:sz w:val="26"/>
          <w:szCs w:val="26"/>
          <w:lang w:val="en"/>
        </w:rPr>
        <w:t xml:space="preserve"> actual capital structure of 48.5% debt and 51.5%, </w:t>
      </w:r>
      <w:proofErr w:type="spellStart"/>
      <w:r w:rsidRPr="002915C6">
        <w:rPr>
          <w:sz w:val="26"/>
          <w:szCs w:val="26"/>
          <w:lang w:val="en"/>
        </w:rPr>
        <w:t>Aqua’s</w:t>
      </w:r>
      <w:proofErr w:type="spellEnd"/>
      <w:r w:rsidRPr="002915C6">
        <w:rPr>
          <w:sz w:val="26"/>
          <w:szCs w:val="26"/>
          <w:lang w:val="en"/>
        </w:rPr>
        <w:t xml:space="preserve"> actual cost of debt of 4.5%, and a reasonable cost of equity of 9.3%.  According to the OCA, this results in a total cost of capital or a discount rate of 6.97%.</w:t>
      </w:r>
      <w:r w:rsidRPr="002915C6">
        <w:rPr>
          <w:i/>
          <w:sz w:val="26"/>
          <w:szCs w:val="26"/>
          <w:lang w:val="en"/>
        </w:rPr>
        <w:t xml:space="preserve">  Id.</w:t>
      </w:r>
      <w:r w:rsidRPr="002915C6">
        <w:rPr>
          <w:sz w:val="26"/>
          <w:szCs w:val="26"/>
          <w:lang w:val="en"/>
        </w:rPr>
        <w:t xml:space="preserve"> at 12.  </w:t>
      </w:r>
      <w:r w:rsidR="008829CD">
        <w:rPr>
          <w:sz w:val="26"/>
          <w:szCs w:val="26"/>
          <w:lang w:val="en"/>
        </w:rPr>
        <w:t xml:space="preserve">The </w:t>
      </w:r>
      <w:r w:rsidRPr="002915C6">
        <w:rPr>
          <w:sz w:val="26"/>
          <w:szCs w:val="26"/>
          <w:lang w:val="en"/>
        </w:rPr>
        <w:t>OCA further contends that</w:t>
      </w:r>
      <w:r w:rsidR="008829CD">
        <w:rPr>
          <w:sz w:val="26"/>
          <w:szCs w:val="26"/>
          <w:lang w:val="en"/>
        </w:rPr>
        <w:t>,</w:t>
      </w:r>
      <w:r w:rsidRPr="002915C6">
        <w:rPr>
          <w:sz w:val="26"/>
          <w:szCs w:val="26"/>
          <w:lang w:val="en"/>
        </w:rPr>
        <w:t xml:space="preserve"> contrary to </w:t>
      </w:r>
      <w:proofErr w:type="spellStart"/>
      <w:r w:rsidRPr="002915C6">
        <w:rPr>
          <w:sz w:val="26"/>
          <w:szCs w:val="26"/>
          <w:lang w:val="en"/>
        </w:rPr>
        <w:t>Aqua’s</w:t>
      </w:r>
      <w:proofErr w:type="spellEnd"/>
      <w:r w:rsidRPr="002915C6">
        <w:rPr>
          <w:sz w:val="26"/>
          <w:szCs w:val="26"/>
          <w:lang w:val="en"/>
        </w:rPr>
        <w:t xml:space="preserve"> argument that the OCA’s recommended discount rate is based on conditions at the time </w:t>
      </w:r>
      <w:r w:rsidR="008829CD">
        <w:rPr>
          <w:sz w:val="26"/>
          <w:szCs w:val="26"/>
          <w:lang w:val="en"/>
        </w:rPr>
        <w:t xml:space="preserve">of </w:t>
      </w:r>
      <w:proofErr w:type="spellStart"/>
      <w:r w:rsidR="008829CD">
        <w:rPr>
          <w:sz w:val="26"/>
          <w:szCs w:val="26"/>
          <w:lang w:val="en"/>
        </w:rPr>
        <w:t>Aqua’s</w:t>
      </w:r>
      <w:proofErr w:type="spellEnd"/>
      <w:r w:rsidR="008829CD">
        <w:rPr>
          <w:sz w:val="26"/>
          <w:szCs w:val="26"/>
          <w:lang w:val="en"/>
        </w:rPr>
        <w:t xml:space="preserve"> prior rate filing, it</w:t>
      </w:r>
      <w:r w:rsidRPr="002915C6">
        <w:rPr>
          <w:sz w:val="26"/>
          <w:szCs w:val="26"/>
          <w:lang w:val="en"/>
        </w:rPr>
        <w:t xml:space="preserve">s proposed discount rate is based on </w:t>
      </w:r>
      <w:proofErr w:type="spellStart"/>
      <w:r w:rsidRPr="002915C6">
        <w:rPr>
          <w:sz w:val="26"/>
          <w:szCs w:val="26"/>
          <w:lang w:val="en"/>
        </w:rPr>
        <w:t>Aqua’s</w:t>
      </w:r>
      <w:proofErr w:type="spellEnd"/>
      <w:r w:rsidRPr="002915C6">
        <w:rPr>
          <w:sz w:val="26"/>
          <w:szCs w:val="26"/>
          <w:lang w:val="en"/>
        </w:rPr>
        <w:t xml:space="preserve"> current actual cost of debt and capital structure and the most recently Commission-determined water utility return on equity.  </w:t>
      </w:r>
      <w:r w:rsidRPr="002915C6">
        <w:rPr>
          <w:i/>
          <w:sz w:val="26"/>
          <w:szCs w:val="26"/>
          <w:lang w:val="en"/>
        </w:rPr>
        <w:t xml:space="preserve">Id. </w:t>
      </w:r>
      <w:r w:rsidRPr="002915C6">
        <w:rPr>
          <w:sz w:val="26"/>
          <w:szCs w:val="26"/>
          <w:lang w:val="en"/>
        </w:rPr>
        <w:t xml:space="preserve">(citing Aqua Exc. at 16).  In addition, the OCA disputes </w:t>
      </w:r>
      <w:proofErr w:type="spellStart"/>
      <w:r w:rsidRPr="002915C6">
        <w:rPr>
          <w:sz w:val="26"/>
          <w:szCs w:val="26"/>
          <w:lang w:val="en"/>
        </w:rPr>
        <w:t>Aqua’s</w:t>
      </w:r>
      <w:proofErr w:type="spellEnd"/>
      <w:r w:rsidRPr="002915C6">
        <w:rPr>
          <w:sz w:val="26"/>
          <w:szCs w:val="26"/>
          <w:lang w:val="en"/>
        </w:rPr>
        <w:t xml:space="preserve"> argument that the 6.97% discount rate does not reflect investments made by Aqua since its last rate case and erosion of return.  OCA R. Exc. at 12.  The OCA asserts that its witness, Mr. Watkins, addressed this issue as follows:</w:t>
      </w:r>
    </w:p>
    <w:p w14:paraId="325019AC" w14:textId="77777777" w:rsidR="00EA7856" w:rsidRPr="002915C6" w:rsidRDefault="00EA7856" w:rsidP="0012768D">
      <w:pPr>
        <w:widowControl/>
        <w:spacing w:line="360" w:lineRule="auto"/>
        <w:ind w:firstLine="1440"/>
        <w:contextualSpacing/>
        <w:rPr>
          <w:sz w:val="26"/>
          <w:szCs w:val="26"/>
          <w:lang w:val="en"/>
        </w:rPr>
      </w:pPr>
    </w:p>
    <w:p w14:paraId="45F59A80" w14:textId="77777777" w:rsidR="00EA7856" w:rsidRPr="002915C6" w:rsidRDefault="00EA7856" w:rsidP="0012768D">
      <w:pPr>
        <w:widowControl/>
        <w:ind w:left="1440" w:right="1440"/>
        <w:contextualSpacing/>
        <w:rPr>
          <w:sz w:val="26"/>
          <w:szCs w:val="26"/>
          <w:lang w:val="en"/>
        </w:rPr>
      </w:pPr>
      <w:r w:rsidRPr="002915C6">
        <w:rPr>
          <w:sz w:val="26"/>
          <w:szCs w:val="26"/>
          <w:lang w:val="en"/>
        </w:rPr>
        <w:t xml:space="preserve">Put simply, the appropriate discount rate is the rate at which a firm requires a return on its investment; i.e., its cost of capital.  </w:t>
      </w:r>
      <w:proofErr w:type="spellStart"/>
      <w:r w:rsidRPr="002915C6">
        <w:rPr>
          <w:sz w:val="26"/>
          <w:szCs w:val="26"/>
          <w:lang w:val="en"/>
        </w:rPr>
        <w:t>Aqua’s</w:t>
      </w:r>
      <w:proofErr w:type="spellEnd"/>
      <w:r w:rsidRPr="002915C6">
        <w:rPr>
          <w:sz w:val="26"/>
          <w:szCs w:val="26"/>
          <w:lang w:val="en"/>
        </w:rPr>
        <w:t xml:space="preserve"> historical or current performance (rate of return) on its existing business has absolutely nothing to do with its opportunity cost</w:t>
      </w:r>
      <w:r w:rsidR="008829CD">
        <w:rPr>
          <w:sz w:val="26"/>
          <w:szCs w:val="26"/>
          <w:lang w:val="en"/>
        </w:rPr>
        <w:t>s</w:t>
      </w:r>
      <w:r w:rsidRPr="002915C6">
        <w:rPr>
          <w:sz w:val="26"/>
          <w:szCs w:val="26"/>
          <w:lang w:val="en"/>
        </w:rPr>
        <w:t xml:space="preserve"> or a required hurdle rate in evaluating the risks and required return as a result of purchasing the Limerick Wastewater System.  This of course would be true if Aqua was the buyer or some other IOU.  Indeed, Ms. </w:t>
      </w:r>
      <w:proofErr w:type="spellStart"/>
      <w:r w:rsidRPr="002915C6">
        <w:rPr>
          <w:sz w:val="26"/>
          <w:szCs w:val="26"/>
          <w:lang w:val="en"/>
        </w:rPr>
        <w:t>Vicari’s</w:t>
      </w:r>
      <w:proofErr w:type="spellEnd"/>
      <w:r w:rsidRPr="002915C6">
        <w:rPr>
          <w:sz w:val="26"/>
          <w:szCs w:val="26"/>
          <w:lang w:val="en"/>
        </w:rPr>
        <w:t xml:space="preserve"> position defies logic.</w:t>
      </w:r>
    </w:p>
    <w:p w14:paraId="7A34F11F" w14:textId="77777777" w:rsidR="00EA7856" w:rsidRPr="002915C6" w:rsidRDefault="00EA7856" w:rsidP="0012768D">
      <w:pPr>
        <w:widowControl/>
        <w:spacing w:line="360" w:lineRule="auto"/>
        <w:ind w:firstLine="1440"/>
        <w:contextualSpacing/>
        <w:rPr>
          <w:sz w:val="26"/>
          <w:szCs w:val="26"/>
          <w:lang w:val="en"/>
        </w:rPr>
      </w:pPr>
    </w:p>
    <w:p w14:paraId="5C131D2F" w14:textId="77777777" w:rsidR="00EA7856" w:rsidRPr="002915C6" w:rsidRDefault="00EA7856" w:rsidP="0012768D">
      <w:pPr>
        <w:widowControl/>
        <w:spacing w:line="360" w:lineRule="auto"/>
        <w:contextualSpacing/>
        <w:rPr>
          <w:sz w:val="26"/>
          <w:szCs w:val="26"/>
          <w:lang w:val="en"/>
        </w:rPr>
      </w:pPr>
      <w:r w:rsidRPr="002915C6">
        <w:rPr>
          <w:sz w:val="26"/>
          <w:szCs w:val="26"/>
          <w:lang w:val="en"/>
        </w:rPr>
        <w:t xml:space="preserve">OCA R. Exc. at 12-13 (citing OCA M.B. at 27; OCA Stmt. 2S at 2).  Thus, the OCA asserts </w:t>
      </w:r>
      <w:r w:rsidR="008829CD">
        <w:rPr>
          <w:sz w:val="26"/>
          <w:szCs w:val="26"/>
          <w:lang w:val="en"/>
        </w:rPr>
        <w:t xml:space="preserve">that </w:t>
      </w:r>
      <w:r w:rsidRPr="002915C6">
        <w:rPr>
          <w:sz w:val="26"/>
          <w:szCs w:val="26"/>
          <w:lang w:val="en"/>
        </w:rPr>
        <w:t xml:space="preserve">the Commission should deny </w:t>
      </w:r>
      <w:proofErr w:type="spellStart"/>
      <w:r w:rsidRPr="002915C6">
        <w:rPr>
          <w:sz w:val="26"/>
          <w:szCs w:val="26"/>
          <w:lang w:val="en"/>
        </w:rPr>
        <w:t>Aqua’s</w:t>
      </w:r>
      <w:proofErr w:type="spellEnd"/>
      <w:r w:rsidRPr="002915C6">
        <w:rPr>
          <w:sz w:val="26"/>
          <w:szCs w:val="26"/>
          <w:lang w:val="en"/>
        </w:rPr>
        <w:t xml:space="preserve"> Exceptions regarding this matter because the ALJ appropriately adopted the OCA’s adjustments to HRG’s income tax calculation and the discount rate.  OCA R. Exc. at 11, 13.  </w:t>
      </w:r>
    </w:p>
    <w:p w14:paraId="645375B4" w14:textId="77777777" w:rsidR="00EA7856" w:rsidRDefault="00EA7856" w:rsidP="0012768D">
      <w:pPr>
        <w:widowControl/>
        <w:spacing w:line="360" w:lineRule="auto"/>
        <w:ind w:firstLine="1440"/>
        <w:contextualSpacing/>
        <w:rPr>
          <w:sz w:val="26"/>
          <w:szCs w:val="26"/>
          <w:lang w:val="en"/>
        </w:rPr>
      </w:pPr>
    </w:p>
    <w:p w14:paraId="70D76E3A" w14:textId="77777777" w:rsidR="00EC5526" w:rsidRPr="005055ED" w:rsidRDefault="00EC5526" w:rsidP="005055ED">
      <w:pPr>
        <w:keepNext/>
        <w:keepLines/>
        <w:widowControl/>
        <w:spacing w:line="360" w:lineRule="auto"/>
        <w:ind w:firstLine="1440"/>
        <w:contextualSpacing/>
        <w:rPr>
          <w:b/>
          <w:sz w:val="26"/>
          <w:szCs w:val="26"/>
          <w:lang w:val="en"/>
        </w:rPr>
      </w:pPr>
      <w:r>
        <w:rPr>
          <w:sz w:val="26"/>
          <w:szCs w:val="26"/>
          <w:lang w:val="en"/>
        </w:rPr>
        <w:tab/>
      </w:r>
      <w:r w:rsidR="005055ED">
        <w:rPr>
          <w:sz w:val="26"/>
          <w:szCs w:val="26"/>
          <w:lang w:val="en"/>
        </w:rPr>
        <w:tab/>
      </w:r>
      <w:r w:rsidR="005055ED" w:rsidRPr="005055ED">
        <w:rPr>
          <w:b/>
          <w:sz w:val="26"/>
          <w:szCs w:val="26"/>
          <w:lang w:val="en"/>
        </w:rPr>
        <w:t>(</w:t>
      </w:r>
      <w:r w:rsidR="00751C2E">
        <w:rPr>
          <w:b/>
          <w:sz w:val="26"/>
          <w:szCs w:val="26"/>
          <w:lang w:val="en"/>
        </w:rPr>
        <w:t>iii</w:t>
      </w:r>
      <w:r w:rsidR="005055ED" w:rsidRPr="005055ED">
        <w:rPr>
          <w:b/>
          <w:sz w:val="26"/>
          <w:szCs w:val="26"/>
          <w:lang w:val="en"/>
        </w:rPr>
        <w:t>)</w:t>
      </w:r>
      <w:r w:rsidRPr="005055ED">
        <w:rPr>
          <w:b/>
          <w:sz w:val="26"/>
          <w:szCs w:val="26"/>
          <w:lang w:val="en"/>
        </w:rPr>
        <w:tab/>
        <w:t>Disposition</w:t>
      </w:r>
    </w:p>
    <w:p w14:paraId="13ACA03B" w14:textId="77777777" w:rsidR="00EC5526" w:rsidRPr="002915C6" w:rsidRDefault="00EC5526" w:rsidP="005055ED">
      <w:pPr>
        <w:keepNext/>
        <w:keepLines/>
        <w:widowControl/>
        <w:spacing w:line="360" w:lineRule="auto"/>
        <w:ind w:firstLine="1440"/>
        <w:contextualSpacing/>
        <w:rPr>
          <w:sz w:val="26"/>
          <w:szCs w:val="26"/>
          <w:lang w:val="en"/>
        </w:rPr>
      </w:pPr>
    </w:p>
    <w:p w14:paraId="608BC655" w14:textId="77777777" w:rsidR="00EA7856" w:rsidRPr="002915C6" w:rsidRDefault="00EA7856" w:rsidP="0012768D">
      <w:pPr>
        <w:widowControl/>
        <w:spacing w:line="360" w:lineRule="auto"/>
        <w:ind w:firstLine="1440"/>
        <w:contextualSpacing/>
        <w:rPr>
          <w:sz w:val="26"/>
          <w:szCs w:val="26"/>
          <w:lang w:val="en"/>
        </w:rPr>
      </w:pPr>
      <w:r w:rsidRPr="002915C6">
        <w:rPr>
          <w:sz w:val="26"/>
          <w:szCs w:val="26"/>
          <w:lang w:val="en"/>
        </w:rPr>
        <w:t xml:space="preserve">Upon consideration of the record evidence, we will adopt the ALJ’s recommended discount rate of 6.97% and income tax expense adjustments under HRG’s income approach.  We are not convinced by </w:t>
      </w:r>
      <w:proofErr w:type="spellStart"/>
      <w:r w:rsidRPr="002915C6">
        <w:rPr>
          <w:sz w:val="26"/>
          <w:szCs w:val="26"/>
          <w:lang w:val="en"/>
        </w:rPr>
        <w:t>Aqua’s</w:t>
      </w:r>
      <w:proofErr w:type="spellEnd"/>
      <w:r w:rsidRPr="002915C6">
        <w:rPr>
          <w:sz w:val="26"/>
          <w:szCs w:val="26"/>
          <w:lang w:val="en"/>
        </w:rPr>
        <w:t xml:space="preserve"> arguments opposing the OCA’s adjustments that were adopted by the ALJ.  We agree that contrary to </w:t>
      </w:r>
      <w:proofErr w:type="spellStart"/>
      <w:r w:rsidRPr="002915C6">
        <w:rPr>
          <w:sz w:val="26"/>
          <w:szCs w:val="26"/>
          <w:lang w:val="en"/>
        </w:rPr>
        <w:t>Aqua’s</w:t>
      </w:r>
      <w:proofErr w:type="spellEnd"/>
      <w:r w:rsidRPr="002915C6">
        <w:rPr>
          <w:sz w:val="26"/>
          <w:szCs w:val="26"/>
          <w:lang w:val="en"/>
        </w:rPr>
        <w:t xml:space="preserve"> proposed discount rate of 2.5%, the 6.97% discount rate more appropriately reflects </w:t>
      </w:r>
      <w:proofErr w:type="spellStart"/>
      <w:r w:rsidRPr="002915C6">
        <w:rPr>
          <w:sz w:val="26"/>
          <w:szCs w:val="26"/>
          <w:lang w:val="en"/>
        </w:rPr>
        <w:t>Aqua’s</w:t>
      </w:r>
      <w:proofErr w:type="spellEnd"/>
      <w:r w:rsidRPr="002915C6">
        <w:rPr>
          <w:sz w:val="26"/>
          <w:szCs w:val="26"/>
          <w:lang w:val="en"/>
        </w:rPr>
        <w:t xml:space="preserve"> total cost of capital.  We also note that the 6.97% discount rate is within the range of rates (6.63% to 7.99%) Gannett indicated is the appropriate IOU discount rate and the current pre-tax overall cost of capital on December 31, 2016.  Aqua </w:t>
      </w:r>
      <w:proofErr w:type="spellStart"/>
      <w:r w:rsidRPr="002915C6">
        <w:rPr>
          <w:sz w:val="26"/>
          <w:szCs w:val="26"/>
          <w:lang w:val="en"/>
        </w:rPr>
        <w:t>Exh</w:t>
      </w:r>
      <w:proofErr w:type="spellEnd"/>
      <w:r w:rsidRPr="002915C6">
        <w:rPr>
          <w:sz w:val="26"/>
          <w:szCs w:val="26"/>
          <w:lang w:val="en"/>
        </w:rPr>
        <w:t xml:space="preserve">. Q at 28.  As such, we shall deny </w:t>
      </w:r>
      <w:proofErr w:type="spellStart"/>
      <w:r w:rsidRPr="002915C6">
        <w:rPr>
          <w:sz w:val="26"/>
          <w:szCs w:val="26"/>
          <w:lang w:val="en"/>
        </w:rPr>
        <w:t>Aqua’s</w:t>
      </w:r>
      <w:proofErr w:type="spellEnd"/>
      <w:r w:rsidRPr="002915C6">
        <w:rPr>
          <w:sz w:val="26"/>
          <w:szCs w:val="26"/>
          <w:lang w:val="en"/>
        </w:rPr>
        <w:t xml:space="preserve"> Exceptions regarding the ALJ’s recommendation concerning the income tax expense and the appropriate discount rate under HRG’s income approach.</w:t>
      </w:r>
    </w:p>
    <w:p w14:paraId="6D448EFB" w14:textId="77777777" w:rsidR="00EA7856" w:rsidRDefault="00EA7856" w:rsidP="0012768D">
      <w:pPr>
        <w:widowControl/>
        <w:spacing w:line="360" w:lineRule="auto"/>
        <w:ind w:firstLine="1440"/>
        <w:contextualSpacing/>
        <w:rPr>
          <w:sz w:val="26"/>
          <w:szCs w:val="26"/>
          <w:lang w:val="en"/>
        </w:rPr>
      </w:pPr>
    </w:p>
    <w:p w14:paraId="7A2E26CB" w14:textId="77777777" w:rsidR="0095737A" w:rsidRPr="00F13D8C" w:rsidRDefault="00751C2E" w:rsidP="00DB0999">
      <w:pPr>
        <w:keepNext/>
        <w:keepLines/>
        <w:widowControl/>
        <w:ind w:left="2592" w:hanging="432"/>
        <w:contextualSpacing/>
        <w:rPr>
          <w:b/>
          <w:sz w:val="26"/>
          <w:szCs w:val="26"/>
          <w:lang w:val="en"/>
        </w:rPr>
      </w:pPr>
      <w:r>
        <w:rPr>
          <w:b/>
          <w:sz w:val="26"/>
          <w:szCs w:val="26"/>
          <w:lang w:val="en"/>
        </w:rPr>
        <w:t>(2)</w:t>
      </w:r>
      <w:r w:rsidR="0095737A" w:rsidRPr="00F13D8C">
        <w:rPr>
          <w:b/>
          <w:sz w:val="26"/>
          <w:szCs w:val="26"/>
          <w:lang w:val="en"/>
        </w:rPr>
        <w:tab/>
      </w:r>
      <w:r w:rsidR="00DB0999">
        <w:rPr>
          <w:b/>
          <w:sz w:val="26"/>
          <w:szCs w:val="26"/>
          <w:lang w:val="en"/>
        </w:rPr>
        <w:t xml:space="preserve"> </w:t>
      </w:r>
      <w:r w:rsidR="0095737A" w:rsidRPr="00F13D8C">
        <w:rPr>
          <w:b/>
          <w:sz w:val="26"/>
          <w:szCs w:val="26"/>
          <w:lang w:val="en"/>
        </w:rPr>
        <w:t>“</w:t>
      </w:r>
      <w:r w:rsidR="00F13D8C" w:rsidRPr="00F13D8C">
        <w:rPr>
          <w:b/>
          <w:sz w:val="26"/>
          <w:szCs w:val="26"/>
          <w:lang w:val="en"/>
        </w:rPr>
        <w:t>G</w:t>
      </w:r>
      <w:r w:rsidR="0095737A" w:rsidRPr="00F13D8C">
        <w:rPr>
          <w:b/>
          <w:sz w:val="26"/>
          <w:szCs w:val="26"/>
          <w:lang w:val="en"/>
        </w:rPr>
        <w:t xml:space="preserve">oing </w:t>
      </w:r>
      <w:r w:rsidR="00F13D8C" w:rsidRPr="00F13D8C">
        <w:rPr>
          <w:b/>
          <w:sz w:val="26"/>
          <w:szCs w:val="26"/>
          <w:lang w:val="en"/>
        </w:rPr>
        <w:t>V</w:t>
      </w:r>
      <w:r w:rsidR="0095737A" w:rsidRPr="00F13D8C">
        <w:rPr>
          <w:b/>
          <w:sz w:val="26"/>
          <w:szCs w:val="26"/>
          <w:lang w:val="en"/>
        </w:rPr>
        <w:t xml:space="preserve">alue” </w:t>
      </w:r>
      <w:r w:rsidR="00F13D8C" w:rsidRPr="00F13D8C">
        <w:rPr>
          <w:b/>
          <w:sz w:val="26"/>
          <w:szCs w:val="26"/>
          <w:lang w:val="en"/>
        </w:rPr>
        <w:t>A</w:t>
      </w:r>
      <w:r w:rsidR="0095737A" w:rsidRPr="00F13D8C">
        <w:rPr>
          <w:b/>
          <w:sz w:val="26"/>
          <w:szCs w:val="26"/>
          <w:lang w:val="en"/>
        </w:rPr>
        <w:t xml:space="preserve">dder </w:t>
      </w:r>
      <w:r w:rsidR="00F13D8C" w:rsidRPr="00F13D8C">
        <w:rPr>
          <w:b/>
          <w:sz w:val="26"/>
          <w:szCs w:val="26"/>
          <w:lang w:val="en"/>
        </w:rPr>
        <w:t>and C</w:t>
      </w:r>
      <w:r w:rsidR="0095737A" w:rsidRPr="00F13D8C">
        <w:rPr>
          <w:b/>
          <w:sz w:val="26"/>
          <w:szCs w:val="26"/>
          <w:lang w:val="en"/>
        </w:rPr>
        <w:t xml:space="preserve">ash </w:t>
      </w:r>
      <w:r w:rsidR="00F13D8C" w:rsidRPr="00F13D8C">
        <w:rPr>
          <w:b/>
          <w:sz w:val="26"/>
          <w:szCs w:val="26"/>
          <w:lang w:val="en"/>
        </w:rPr>
        <w:t>F</w:t>
      </w:r>
      <w:r w:rsidR="0095737A" w:rsidRPr="00F13D8C">
        <w:rPr>
          <w:b/>
          <w:sz w:val="26"/>
          <w:szCs w:val="26"/>
          <w:lang w:val="en"/>
        </w:rPr>
        <w:t xml:space="preserve">low </w:t>
      </w:r>
      <w:r w:rsidR="00F13D8C" w:rsidRPr="00F13D8C">
        <w:rPr>
          <w:b/>
          <w:sz w:val="26"/>
          <w:szCs w:val="26"/>
          <w:lang w:val="en"/>
        </w:rPr>
        <w:t>D</w:t>
      </w:r>
      <w:r w:rsidR="0095737A" w:rsidRPr="00F13D8C">
        <w:rPr>
          <w:b/>
          <w:sz w:val="26"/>
          <w:szCs w:val="26"/>
          <w:lang w:val="en"/>
        </w:rPr>
        <w:t>eduction</w:t>
      </w:r>
    </w:p>
    <w:p w14:paraId="57934470" w14:textId="77777777" w:rsidR="0095737A" w:rsidRDefault="0095737A" w:rsidP="00F13D8C">
      <w:pPr>
        <w:keepNext/>
        <w:keepLines/>
        <w:widowControl/>
        <w:spacing w:line="360" w:lineRule="auto"/>
        <w:ind w:firstLine="1440"/>
        <w:contextualSpacing/>
        <w:rPr>
          <w:sz w:val="26"/>
          <w:szCs w:val="26"/>
          <w:lang w:val="en"/>
        </w:rPr>
      </w:pPr>
    </w:p>
    <w:p w14:paraId="47B55EEB" w14:textId="77777777" w:rsidR="0095737A" w:rsidRPr="00F13D8C" w:rsidRDefault="00F13D8C" w:rsidP="00F13D8C">
      <w:pPr>
        <w:keepNext/>
        <w:keepLines/>
        <w:widowControl/>
        <w:spacing w:line="360" w:lineRule="auto"/>
        <w:ind w:firstLine="1440"/>
        <w:contextualSpacing/>
        <w:rPr>
          <w:b/>
          <w:sz w:val="26"/>
          <w:szCs w:val="26"/>
          <w:lang w:val="en"/>
        </w:rPr>
      </w:pPr>
      <w:r w:rsidRPr="00F13D8C">
        <w:rPr>
          <w:b/>
          <w:sz w:val="26"/>
          <w:szCs w:val="26"/>
          <w:lang w:val="en"/>
        </w:rPr>
        <w:tab/>
      </w:r>
      <w:r w:rsidRPr="00F13D8C">
        <w:rPr>
          <w:b/>
          <w:sz w:val="26"/>
          <w:szCs w:val="26"/>
          <w:lang w:val="en"/>
        </w:rPr>
        <w:tab/>
        <w:t>(</w:t>
      </w:r>
      <w:proofErr w:type="spellStart"/>
      <w:r w:rsidR="00751C2E">
        <w:rPr>
          <w:b/>
          <w:sz w:val="26"/>
          <w:szCs w:val="26"/>
          <w:lang w:val="en"/>
        </w:rPr>
        <w:t>i</w:t>
      </w:r>
      <w:proofErr w:type="spellEnd"/>
      <w:r w:rsidRPr="00F13D8C">
        <w:rPr>
          <w:b/>
          <w:sz w:val="26"/>
          <w:szCs w:val="26"/>
          <w:lang w:val="en"/>
        </w:rPr>
        <w:t>)</w:t>
      </w:r>
      <w:r w:rsidRPr="00F13D8C">
        <w:rPr>
          <w:b/>
          <w:sz w:val="26"/>
          <w:szCs w:val="26"/>
          <w:lang w:val="en"/>
        </w:rPr>
        <w:tab/>
      </w:r>
      <w:proofErr w:type="spellStart"/>
      <w:r w:rsidRPr="00F13D8C">
        <w:rPr>
          <w:b/>
          <w:sz w:val="26"/>
          <w:szCs w:val="26"/>
          <w:lang w:val="en"/>
        </w:rPr>
        <w:t>Aqua’s</w:t>
      </w:r>
      <w:proofErr w:type="spellEnd"/>
      <w:r w:rsidRPr="00F13D8C">
        <w:rPr>
          <w:b/>
          <w:sz w:val="26"/>
          <w:szCs w:val="26"/>
          <w:lang w:val="en"/>
        </w:rPr>
        <w:t xml:space="preserve"> Exceptions</w:t>
      </w:r>
    </w:p>
    <w:p w14:paraId="14073C3C" w14:textId="77777777" w:rsidR="0095737A" w:rsidRPr="002915C6" w:rsidRDefault="0095737A" w:rsidP="00BE5FF4">
      <w:pPr>
        <w:keepNext/>
        <w:keepLines/>
        <w:widowControl/>
        <w:spacing w:line="360" w:lineRule="auto"/>
        <w:ind w:firstLine="1440"/>
        <w:contextualSpacing/>
        <w:rPr>
          <w:sz w:val="26"/>
          <w:szCs w:val="26"/>
          <w:lang w:val="en"/>
        </w:rPr>
      </w:pPr>
    </w:p>
    <w:p w14:paraId="749E7B9F" w14:textId="77777777" w:rsidR="00EA7856" w:rsidRPr="002915C6" w:rsidRDefault="00EA7856" w:rsidP="0012768D">
      <w:pPr>
        <w:widowControl/>
        <w:spacing w:line="360" w:lineRule="auto"/>
        <w:ind w:firstLine="1440"/>
        <w:contextualSpacing/>
        <w:rPr>
          <w:sz w:val="26"/>
          <w:szCs w:val="26"/>
          <w:lang w:val="en"/>
        </w:rPr>
      </w:pPr>
      <w:r w:rsidRPr="002915C6">
        <w:rPr>
          <w:sz w:val="26"/>
          <w:szCs w:val="26"/>
          <w:lang w:val="en"/>
        </w:rPr>
        <w:t xml:space="preserve">With regard to the ALJ’s recommended removal of the “going value” adder of $4,000,000 from HRG’s income approach, Aqua believes this adjustment was made as a result of the OCA’s misunderstanding of the adder and its purpose.  Aqua states </w:t>
      </w:r>
      <w:r w:rsidR="008829CD">
        <w:rPr>
          <w:sz w:val="26"/>
          <w:szCs w:val="26"/>
          <w:lang w:val="en"/>
        </w:rPr>
        <w:t xml:space="preserve">that </w:t>
      </w:r>
      <w:r w:rsidRPr="002915C6">
        <w:rPr>
          <w:sz w:val="26"/>
          <w:szCs w:val="26"/>
          <w:lang w:val="en"/>
        </w:rPr>
        <w:t xml:space="preserve">the “going value” adder represents the costs incurred by Limerick when it began operations including start-up costs, </w:t>
      </w:r>
      <w:r w:rsidR="008829CD">
        <w:rPr>
          <w:sz w:val="26"/>
          <w:szCs w:val="26"/>
          <w:lang w:val="en"/>
        </w:rPr>
        <w:t>which</w:t>
      </w:r>
      <w:r w:rsidRPr="002915C6">
        <w:rPr>
          <w:sz w:val="26"/>
          <w:szCs w:val="26"/>
          <w:lang w:val="en"/>
        </w:rPr>
        <w:t xml:space="preserve"> can legitimately be included in a fair market value appraisal, and for which Limerick Township should be compensated.  Aqua Exc. at 16 (citing R.D. at 32; Aqua Stmt. 4R at 14).  According to Aqua, contrary to the ALJ’s suggestion that it is the estimate of expected working capital requirements, the “going value” adder is a calculation of the working capital already expended by Limerick to become operational.  Aqua argues </w:t>
      </w:r>
      <w:r w:rsidR="008829CD">
        <w:rPr>
          <w:sz w:val="26"/>
          <w:szCs w:val="26"/>
          <w:lang w:val="en"/>
        </w:rPr>
        <w:t xml:space="preserve">that </w:t>
      </w:r>
      <w:r w:rsidRPr="002915C6">
        <w:rPr>
          <w:sz w:val="26"/>
          <w:szCs w:val="26"/>
          <w:lang w:val="en"/>
        </w:rPr>
        <w:t>the record evidence supports the inclusion of this adder in HRG’s income approach.  Aqua Exc. at 16 -17 (citing Aqua R.B. at 22-23; Aqua Stmt. 4R at 14).</w:t>
      </w:r>
    </w:p>
    <w:p w14:paraId="7EF97AF1" w14:textId="77777777" w:rsidR="00EA7856" w:rsidRPr="002915C6" w:rsidRDefault="00EA7856" w:rsidP="0012768D">
      <w:pPr>
        <w:widowControl/>
        <w:spacing w:line="360" w:lineRule="auto"/>
        <w:ind w:firstLine="1440"/>
        <w:contextualSpacing/>
        <w:rPr>
          <w:sz w:val="26"/>
          <w:szCs w:val="26"/>
          <w:lang w:val="en"/>
        </w:rPr>
      </w:pPr>
    </w:p>
    <w:p w14:paraId="43EE7D3E" w14:textId="77777777" w:rsidR="00EA7856" w:rsidRPr="002915C6" w:rsidRDefault="00EA7856" w:rsidP="0012768D">
      <w:pPr>
        <w:widowControl/>
        <w:spacing w:line="360" w:lineRule="auto"/>
        <w:ind w:firstLine="1440"/>
        <w:contextualSpacing/>
        <w:rPr>
          <w:sz w:val="26"/>
          <w:szCs w:val="26"/>
          <w:lang w:val="en"/>
        </w:rPr>
      </w:pPr>
      <w:r w:rsidRPr="002915C6">
        <w:rPr>
          <w:sz w:val="26"/>
          <w:szCs w:val="26"/>
          <w:lang w:val="en"/>
        </w:rPr>
        <w:t>Aqua also disagrees with the ALJ’s removal of the provision for erosion of cash flow between rate cases that HRG included in its income approach appraisal.</w:t>
      </w:r>
      <w:r w:rsidRPr="002915C6">
        <w:rPr>
          <w:rStyle w:val="FootnoteReference"/>
          <w:sz w:val="26"/>
          <w:szCs w:val="26"/>
          <w:lang w:val="en"/>
        </w:rPr>
        <w:footnoteReference w:id="13"/>
      </w:r>
      <w:r w:rsidRPr="002915C6">
        <w:rPr>
          <w:sz w:val="26"/>
          <w:szCs w:val="26"/>
          <w:lang w:val="en"/>
        </w:rPr>
        <w:t xml:space="preserve">  Aqua contends that contrary to the ALJ’s recommendation, erosion of cash flow is reasonably expected to occur between rate cases and that the record evidence supports its inclusion in the income approach valuation as proposed by HRG.  Therefore, Aqua requests that the Commission reject the ALJ’s recommended removal of the going value adder and the provision for cash flow erosion from HRG’s DCF analysis under the income approach.  Aqua Exc. at 17.</w:t>
      </w:r>
    </w:p>
    <w:p w14:paraId="2F477995" w14:textId="77777777" w:rsidR="00EA7856" w:rsidRDefault="00EA7856" w:rsidP="0012768D">
      <w:pPr>
        <w:widowControl/>
        <w:spacing w:line="360" w:lineRule="auto"/>
        <w:ind w:firstLine="1440"/>
        <w:contextualSpacing/>
        <w:rPr>
          <w:sz w:val="26"/>
          <w:szCs w:val="26"/>
          <w:lang w:val="en"/>
        </w:rPr>
      </w:pPr>
    </w:p>
    <w:p w14:paraId="64101C99" w14:textId="77777777" w:rsidR="0039702C" w:rsidRPr="005A28A4" w:rsidRDefault="0039702C" w:rsidP="0012768D">
      <w:pPr>
        <w:widowControl/>
        <w:spacing w:line="360" w:lineRule="auto"/>
        <w:ind w:firstLine="1440"/>
        <w:contextualSpacing/>
        <w:rPr>
          <w:b/>
          <w:sz w:val="26"/>
          <w:szCs w:val="26"/>
          <w:lang w:val="en"/>
        </w:rPr>
      </w:pPr>
      <w:r>
        <w:rPr>
          <w:sz w:val="26"/>
          <w:szCs w:val="26"/>
          <w:lang w:val="en"/>
        </w:rPr>
        <w:tab/>
      </w:r>
      <w:r>
        <w:rPr>
          <w:sz w:val="26"/>
          <w:szCs w:val="26"/>
          <w:lang w:val="en"/>
        </w:rPr>
        <w:tab/>
      </w:r>
      <w:r w:rsidRPr="005A28A4">
        <w:rPr>
          <w:b/>
          <w:sz w:val="26"/>
          <w:szCs w:val="26"/>
          <w:lang w:val="en"/>
        </w:rPr>
        <w:t>(</w:t>
      </w:r>
      <w:r w:rsidR="00751C2E">
        <w:rPr>
          <w:b/>
          <w:sz w:val="26"/>
          <w:szCs w:val="26"/>
          <w:lang w:val="en"/>
        </w:rPr>
        <w:t>ii</w:t>
      </w:r>
      <w:r w:rsidRPr="005A28A4">
        <w:rPr>
          <w:b/>
          <w:sz w:val="26"/>
          <w:szCs w:val="26"/>
          <w:lang w:val="en"/>
        </w:rPr>
        <w:t>)</w:t>
      </w:r>
      <w:r w:rsidR="005A28A4" w:rsidRPr="005A28A4">
        <w:rPr>
          <w:b/>
          <w:sz w:val="26"/>
          <w:szCs w:val="26"/>
          <w:lang w:val="en"/>
        </w:rPr>
        <w:tab/>
      </w:r>
      <w:r w:rsidRPr="005A28A4">
        <w:rPr>
          <w:b/>
          <w:sz w:val="26"/>
          <w:szCs w:val="26"/>
          <w:lang w:val="en"/>
        </w:rPr>
        <w:t xml:space="preserve">OCA’s Replies to </w:t>
      </w:r>
      <w:proofErr w:type="spellStart"/>
      <w:r w:rsidRPr="005A28A4">
        <w:rPr>
          <w:b/>
          <w:sz w:val="26"/>
          <w:szCs w:val="26"/>
          <w:lang w:val="en"/>
        </w:rPr>
        <w:t>Aqua’s</w:t>
      </w:r>
      <w:proofErr w:type="spellEnd"/>
      <w:r w:rsidRPr="005A28A4">
        <w:rPr>
          <w:b/>
          <w:sz w:val="26"/>
          <w:szCs w:val="26"/>
          <w:lang w:val="en"/>
        </w:rPr>
        <w:t xml:space="preserve"> Exceptions</w:t>
      </w:r>
    </w:p>
    <w:p w14:paraId="592600C2" w14:textId="77777777" w:rsidR="0039702C" w:rsidRPr="002915C6" w:rsidRDefault="0039702C" w:rsidP="0012768D">
      <w:pPr>
        <w:widowControl/>
        <w:spacing w:line="360" w:lineRule="auto"/>
        <w:ind w:firstLine="1440"/>
        <w:contextualSpacing/>
        <w:rPr>
          <w:sz w:val="26"/>
          <w:szCs w:val="26"/>
          <w:lang w:val="en"/>
        </w:rPr>
      </w:pPr>
    </w:p>
    <w:p w14:paraId="21F7F0E3" w14:textId="77777777" w:rsidR="00EA7856" w:rsidRPr="002915C6" w:rsidRDefault="005A28A4" w:rsidP="0012768D">
      <w:pPr>
        <w:widowControl/>
        <w:spacing w:line="360" w:lineRule="auto"/>
        <w:ind w:firstLine="1440"/>
        <w:contextualSpacing/>
        <w:rPr>
          <w:sz w:val="26"/>
          <w:szCs w:val="26"/>
          <w:lang w:val="en"/>
        </w:rPr>
      </w:pPr>
      <w:r>
        <w:rPr>
          <w:sz w:val="26"/>
          <w:szCs w:val="26"/>
          <w:lang w:val="en"/>
        </w:rPr>
        <w:t>In r</w:t>
      </w:r>
      <w:r w:rsidR="00EA7856" w:rsidRPr="002915C6">
        <w:rPr>
          <w:sz w:val="26"/>
          <w:szCs w:val="26"/>
          <w:lang w:val="en"/>
        </w:rPr>
        <w:t xml:space="preserve">eply, the OCA asserts that its witness, Mr. Watkins disputed </w:t>
      </w:r>
      <w:proofErr w:type="spellStart"/>
      <w:r w:rsidR="00EA7856" w:rsidRPr="002915C6">
        <w:rPr>
          <w:sz w:val="26"/>
          <w:szCs w:val="26"/>
          <w:lang w:val="en"/>
        </w:rPr>
        <w:t>Aqua’s</w:t>
      </w:r>
      <w:proofErr w:type="spellEnd"/>
      <w:r w:rsidR="00EA7856" w:rsidRPr="002915C6">
        <w:rPr>
          <w:sz w:val="26"/>
          <w:szCs w:val="26"/>
          <w:lang w:val="en"/>
        </w:rPr>
        <w:t xml:space="preserve"> arguments above stating:</w:t>
      </w:r>
    </w:p>
    <w:p w14:paraId="3FE10936" w14:textId="77777777" w:rsidR="00EA7856" w:rsidRPr="002915C6" w:rsidRDefault="00EA7856" w:rsidP="0012768D">
      <w:pPr>
        <w:widowControl/>
        <w:spacing w:line="360" w:lineRule="auto"/>
        <w:ind w:firstLine="1440"/>
        <w:contextualSpacing/>
        <w:rPr>
          <w:sz w:val="26"/>
          <w:szCs w:val="26"/>
          <w:lang w:val="en"/>
        </w:rPr>
      </w:pPr>
    </w:p>
    <w:p w14:paraId="372B20CE" w14:textId="77777777" w:rsidR="00EA7856" w:rsidRPr="002915C6" w:rsidRDefault="00EA7856" w:rsidP="0012768D">
      <w:pPr>
        <w:widowControl/>
        <w:ind w:left="1440" w:right="1440"/>
        <w:contextualSpacing/>
        <w:rPr>
          <w:sz w:val="26"/>
          <w:szCs w:val="26"/>
          <w:lang w:val="en"/>
        </w:rPr>
      </w:pPr>
      <w:r w:rsidRPr="002915C6">
        <w:rPr>
          <w:sz w:val="26"/>
          <w:szCs w:val="26"/>
          <w:lang w:val="en"/>
        </w:rPr>
        <w:t xml:space="preserve">First, with respect to Ms. </w:t>
      </w:r>
      <w:proofErr w:type="spellStart"/>
      <w:r w:rsidRPr="002915C6">
        <w:rPr>
          <w:sz w:val="26"/>
          <w:szCs w:val="26"/>
          <w:lang w:val="en"/>
        </w:rPr>
        <w:t>Vicari’s</w:t>
      </w:r>
      <w:proofErr w:type="spellEnd"/>
      <w:r w:rsidRPr="002915C6">
        <w:rPr>
          <w:sz w:val="26"/>
          <w:szCs w:val="26"/>
          <w:lang w:val="en"/>
        </w:rPr>
        <w:t xml:space="preserve"> assertion that there should be an additional value added as it relates </w:t>
      </w:r>
      <w:r w:rsidR="008829CD">
        <w:rPr>
          <w:sz w:val="26"/>
          <w:szCs w:val="26"/>
          <w:lang w:val="en"/>
        </w:rPr>
        <w:t xml:space="preserve">to </w:t>
      </w:r>
      <w:r w:rsidRPr="002915C6">
        <w:rPr>
          <w:sz w:val="26"/>
          <w:szCs w:val="26"/>
          <w:lang w:val="en"/>
        </w:rPr>
        <w:t>the avoided cost of the purchaser not being required to acquire and develop a customer base, Limerick is a regulated monopoly with a captive customer base.  Residences, commercial, and industrial entities within Limerick’s service area have no other choice than to obtain sewerage service from Limerick.  As such, this customer base is known with certainty such that there are no costs required to attract customers to this business.</w:t>
      </w:r>
    </w:p>
    <w:p w14:paraId="0C963D8E" w14:textId="77777777" w:rsidR="00EA7856" w:rsidRPr="002915C6" w:rsidRDefault="00EA7856" w:rsidP="0012768D">
      <w:pPr>
        <w:widowControl/>
        <w:ind w:left="1440" w:right="1440"/>
        <w:contextualSpacing/>
        <w:rPr>
          <w:sz w:val="26"/>
          <w:szCs w:val="26"/>
          <w:lang w:val="en"/>
        </w:rPr>
      </w:pPr>
    </w:p>
    <w:p w14:paraId="7AC42555" w14:textId="77777777" w:rsidR="00EA7856" w:rsidRPr="002915C6" w:rsidRDefault="00EA7856" w:rsidP="0012768D">
      <w:pPr>
        <w:widowControl/>
        <w:ind w:left="1440" w:right="1440"/>
        <w:contextualSpacing/>
        <w:rPr>
          <w:sz w:val="26"/>
          <w:szCs w:val="26"/>
          <w:lang w:val="en"/>
        </w:rPr>
      </w:pPr>
      <w:r w:rsidRPr="002915C6">
        <w:rPr>
          <w:sz w:val="26"/>
          <w:szCs w:val="26"/>
          <w:lang w:val="en"/>
        </w:rPr>
        <w:t xml:space="preserve">[Second, with] regard to Ms. </w:t>
      </w:r>
      <w:proofErr w:type="spellStart"/>
      <w:r w:rsidRPr="002915C6">
        <w:rPr>
          <w:sz w:val="26"/>
          <w:szCs w:val="26"/>
          <w:lang w:val="en"/>
        </w:rPr>
        <w:t>Vicari’s</w:t>
      </w:r>
      <w:proofErr w:type="spellEnd"/>
      <w:r w:rsidRPr="002915C6">
        <w:rPr>
          <w:sz w:val="26"/>
          <w:szCs w:val="26"/>
          <w:lang w:val="en"/>
        </w:rPr>
        <w:t xml:space="preserve"> assertion that there should be an additional value added as it relates to the avoided cost of the purchaser not being required to hire employees, develop an accounting and record keeping process and develop operating and management policies and procedures, it must also be remembered that Aqua is a large established corporation specializing in the services provided by Limerick.  As indicated in its Application, Aqua already contains the resources and expertise required to effectively and efficiently operate the Limerick Wastewater System.</w:t>
      </w:r>
    </w:p>
    <w:p w14:paraId="51D92949" w14:textId="77777777" w:rsidR="00EA7856" w:rsidRPr="002915C6" w:rsidRDefault="00EA7856" w:rsidP="0012768D">
      <w:pPr>
        <w:widowControl/>
        <w:spacing w:line="360" w:lineRule="auto"/>
        <w:contextualSpacing/>
        <w:rPr>
          <w:sz w:val="26"/>
          <w:szCs w:val="26"/>
          <w:lang w:val="en"/>
        </w:rPr>
      </w:pPr>
    </w:p>
    <w:p w14:paraId="1311B5A8" w14:textId="77777777" w:rsidR="00EA7856" w:rsidRPr="002915C6" w:rsidRDefault="00EA7856" w:rsidP="0012768D">
      <w:pPr>
        <w:widowControl/>
        <w:spacing w:line="360" w:lineRule="auto"/>
        <w:contextualSpacing/>
        <w:rPr>
          <w:sz w:val="26"/>
          <w:szCs w:val="26"/>
          <w:lang w:val="en"/>
        </w:rPr>
      </w:pPr>
      <w:r w:rsidRPr="002915C6">
        <w:rPr>
          <w:sz w:val="26"/>
          <w:szCs w:val="26"/>
          <w:lang w:val="en"/>
        </w:rPr>
        <w:t>OCA R. Exc. at 14-15 (citing OCA M.B. at 19-20; OCA Stmt</w:t>
      </w:r>
      <w:r w:rsidR="008829CD">
        <w:rPr>
          <w:sz w:val="26"/>
          <w:szCs w:val="26"/>
          <w:lang w:val="en"/>
        </w:rPr>
        <w:t>.</w:t>
      </w:r>
      <w:r w:rsidRPr="002915C6">
        <w:rPr>
          <w:sz w:val="26"/>
          <w:szCs w:val="26"/>
          <w:lang w:val="en"/>
        </w:rPr>
        <w:t xml:space="preserve"> 2 at 14-15).  </w:t>
      </w:r>
      <w:r w:rsidR="008829CD">
        <w:rPr>
          <w:sz w:val="26"/>
          <w:szCs w:val="26"/>
          <w:lang w:val="en"/>
        </w:rPr>
        <w:t xml:space="preserve">The </w:t>
      </w:r>
      <w:r w:rsidRPr="002915C6">
        <w:rPr>
          <w:sz w:val="26"/>
          <w:szCs w:val="26"/>
          <w:lang w:val="en"/>
        </w:rPr>
        <w:t xml:space="preserve">OCA concludes that because Aqua essentially repeats the same arguments the ALJ already considered in reaching his decision to adopt the OCA’s adjustments, </w:t>
      </w:r>
      <w:proofErr w:type="spellStart"/>
      <w:r w:rsidRPr="002915C6">
        <w:rPr>
          <w:sz w:val="26"/>
          <w:szCs w:val="26"/>
          <w:lang w:val="en"/>
        </w:rPr>
        <w:t>Aqua’s</w:t>
      </w:r>
      <w:proofErr w:type="spellEnd"/>
      <w:r w:rsidRPr="002915C6">
        <w:rPr>
          <w:sz w:val="26"/>
          <w:szCs w:val="26"/>
          <w:lang w:val="en"/>
        </w:rPr>
        <w:t xml:space="preserve"> Exceptions regarding this matter should be denied.  OCA R. Exc. at 15.</w:t>
      </w:r>
    </w:p>
    <w:p w14:paraId="2972A33B" w14:textId="77777777" w:rsidR="00EA7856" w:rsidRDefault="00EA7856" w:rsidP="0012768D">
      <w:pPr>
        <w:widowControl/>
        <w:spacing w:line="360" w:lineRule="auto"/>
        <w:contextualSpacing/>
        <w:rPr>
          <w:sz w:val="26"/>
          <w:szCs w:val="26"/>
          <w:lang w:val="en"/>
        </w:rPr>
      </w:pPr>
    </w:p>
    <w:p w14:paraId="2DECE6ED" w14:textId="77777777" w:rsidR="005A28A4" w:rsidRPr="00A119F7" w:rsidRDefault="00234CE8" w:rsidP="007D58E1">
      <w:pPr>
        <w:keepNext/>
        <w:keepLines/>
        <w:widowControl/>
        <w:spacing w:line="360" w:lineRule="auto"/>
        <w:contextualSpacing/>
        <w:rPr>
          <w:b/>
          <w:sz w:val="26"/>
          <w:szCs w:val="26"/>
          <w:lang w:val="en"/>
        </w:rPr>
      </w:pPr>
      <w:r>
        <w:rPr>
          <w:b/>
          <w:sz w:val="26"/>
          <w:szCs w:val="26"/>
          <w:lang w:val="en"/>
        </w:rPr>
        <w:tab/>
      </w:r>
      <w:r>
        <w:rPr>
          <w:b/>
          <w:sz w:val="26"/>
          <w:szCs w:val="26"/>
          <w:lang w:val="en"/>
        </w:rPr>
        <w:tab/>
      </w:r>
      <w:r>
        <w:rPr>
          <w:b/>
          <w:sz w:val="26"/>
          <w:szCs w:val="26"/>
          <w:lang w:val="en"/>
        </w:rPr>
        <w:tab/>
      </w:r>
      <w:r>
        <w:rPr>
          <w:b/>
          <w:sz w:val="26"/>
          <w:szCs w:val="26"/>
          <w:lang w:val="en"/>
        </w:rPr>
        <w:tab/>
      </w:r>
      <w:r w:rsidR="005A28A4" w:rsidRPr="00A119F7">
        <w:rPr>
          <w:b/>
          <w:sz w:val="26"/>
          <w:szCs w:val="26"/>
          <w:lang w:val="en"/>
        </w:rPr>
        <w:t>(</w:t>
      </w:r>
      <w:r w:rsidR="00751C2E">
        <w:rPr>
          <w:b/>
          <w:sz w:val="26"/>
          <w:szCs w:val="26"/>
          <w:lang w:val="en"/>
        </w:rPr>
        <w:t>iii</w:t>
      </w:r>
      <w:r w:rsidR="00A119F7" w:rsidRPr="00A119F7">
        <w:rPr>
          <w:b/>
          <w:sz w:val="26"/>
          <w:szCs w:val="26"/>
          <w:lang w:val="en"/>
        </w:rPr>
        <w:t>)</w:t>
      </w:r>
      <w:r w:rsidR="00A119F7" w:rsidRPr="00A119F7">
        <w:rPr>
          <w:b/>
          <w:sz w:val="26"/>
          <w:szCs w:val="26"/>
          <w:lang w:val="en"/>
        </w:rPr>
        <w:tab/>
        <w:t>Disposition</w:t>
      </w:r>
    </w:p>
    <w:p w14:paraId="7463D96D" w14:textId="77777777" w:rsidR="005A28A4" w:rsidRPr="002915C6" w:rsidRDefault="005A28A4" w:rsidP="007D58E1">
      <w:pPr>
        <w:keepNext/>
        <w:keepLines/>
        <w:widowControl/>
        <w:spacing w:line="360" w:lineRule="auto"/>
        <w:contextualSpacing/>
        <w:rPr>
          <w:sz w:val="26"/>
          <w:szCs w:val="26"/>
          <w:lang w:val="en"/>
        </w:rPr>
      </w:pPr>
    </w:p>
    <w:p w14:paraId="359927CE" w14:textId="77777777" w:rsidR="007D58E1" w:rsidRDefault="00D27970" w:rsidP="007D58E1">
      <w:pPr>
        <w:keepNext/>
        <w:keepLines/>
        <w:widowControl/>
        <w:spacing w:line="360" w:lineRule="auto"/>
        <w:contextualSpacing/>
        <w:rPr>
          <w:sz w:val="26"/>
          <w:szCs w:val="26"/>
          <w:lang w:val="en"/>
        </w:rPr>
      </w:pPr>
      <w:r>
        <w:rPr>
          <w:sz w:val="26"/>
          <w:szCs w:val="26"/>
          <w:lang w:val="en"/>
        </w:rPr>
        <w:tab/>
      </w:r>
      <w:r>
        <w:rPr>
          <w:sz w:val="26"/>
          <w:szCs w:val="26"/>
          <w:lang w:val="en"/>
        </w:rPr>
        <w:tab/>
        <w:t xml:space="preserve">Upon consideration of the record evidence, we will deny </w:t>
      </w:r>
      <w:proofErr w:type="spellStart"/>
      <w:r>
        <w:rPr>
          <w:sz w:val="26"/>
          <w:szCs w:val="26"/>
          <w:lang w:val="en"/>
        </w:rPr>
        <w:t>Aqua’s</w:t>
      </w:r>
      <w:proofErr w:type="spellEnd"/>
      <w:r>
        <w:rPr>
          <w:sz w:val="26"/>
          <w:szCs w:val="26"/>
          <w:lang w:val="en"/>
        </w:rPr>
        <w:t xml:space="preserve"> Exceptions and adopt the ALJ’s recommended removal of the “going value” adder in the amount of $4,000,000 and the cash flow deduction of $370,000 under HRG’s income </w:t>
      </w:r>
    </w:p>
    <w:p w14:paraId="4F98D164" w14:textId="77777777" w:rsidR="00EA7856" w:rsidRDefault="00D27970" w:rsidP="0012768D">
      <w:pPr>
        <w:widowControl/>
        <w:spacing w:line="360" w:lineRule="auto"/>
        <w:contextualSpacing/>
        <w:rPr>
          <w:sz w:val="26"/>
          <w:szCs w:val="26"/>
          <w:lang w:val="en"/>
        </w:rPr>
      </w:pPr>
      <w:r>
        <w:rPr>
          <w:sz w:val="26"/>
          <w:szCs w:val="26"/>
          <w:lang w:val="en"/>
        </w:rPr>
        <w:t xml:space="preserve">approach appraisal of the Limerick system.  We are not convinced by </w:t>
      </w:r>
      <w:proofErr w:type="spellStart"/>
      <w:r>
        <w:rPr>
          <w:sz w:val="26"/>
          <w:szCs w:val="26"/>
          <w:lang w:val="en"/>
        </w:rPr>
        <w:t>Aqua’s</w:t>
      </w:r>
      <w:proofErr w:type="spellEnd"/>
      <w:r>
        <w:rPr>
          <w:sz w:val="26"/>
          <w:szCs w:val="26"/>
          <w:lang w:val="en"/>
        </w:rPr>
        <w:t xml:space="preserve"> argument and HRG’s basis for including this adder in its analysis.  We agree with the OCA that unlike other businesses, Limerick is a regulated monopoly with a captive customer base that does not need investments in time and resources to acquire new customers.  Moreover, because Limerick’s investment in its collection, treatment and disposal plant has already been accounted for in its original cost analysis, we do not see a need for this adder.  Therefore, we agree that the adders are not appropriate and should not be utilized for the appraisal of the Limerick system under HRG’s income approach appraisal.  R.D. at</w:t>
      </w:r>
      <w:r w:rsidR="00A119F7">
        <w:rPr>
          <w:sz w:val="26"/>
          <w:szCs w:val="26"/>
          <w:lang w:val="en"/>
        </w:rPr>
        <w:t> </w:t>
      </w:r>
      <w:r>
        <w:rPr>
          <w:sz w:val="26"/>
          <w:szCs w:val="26"/>
          <w:lang w:val="en"/>
        </w:rPr>
        <w:t>33.</w:t>
      </w:r>
    </w:p>
    <w:p w14:paraId="34A5D513" w14:textId="77777777" w:rsidR="00D27970" w:rsidRDefault="00D27970" w:rsidP="0012768D">
      <w:pPr>
        <w:widowControl/>
        <w:spacing w:line="360" w:lineRule="auto"/>
        <w:contextualSpacing/>
        <w:rPr>
          <w:sz w:val="26"/>
          <w:szCs w:val="26"/>
          <w:lang w:val="en"/>
        </w:rPr>
      </w:pPr>
    </w:p>
    <w:p w14:paraId="58EC1B62" w14:textId="77777777" w:rsidR="009A3E4B" w:rsidRPr="00AB37F7" w:rsidRDefault="009A3E4B" w:rsidP="00AB37F7">
      <w:pPr>
        <w:keepNext/>
        <w:keepLines/>
        <w:widowControl/>
        <w:spacing w:line="360" w:lineRule="auto"/>
        <w:ind w:firstLine="720"/>
        <w:contextualSpacing/>
        <w:rPr>
          <w:b/>
          <w:sz w:val="26"/>
          <w:szCs w:val="26"/>
          <w:lang w:val="en"/>
        </w:rPr>
      </w:pPr>
      <w:r w:rsidRPr="00EC5D5E">
        <w:rPr>
          <w:b/>
          <w:sz w:val="26"/>
          <w:szCs w:val="26"/>
          <w:lang w:val="en"/>
        </w:rPr>
        <w:tab/>
      </w:r>
      <w:r w:rsidRPr="00EC5D5E">
        <w:rPr>
          <w:b/>
          <w:sz w:val="26"/>
          <w:szCs w:val="26"/>
          <w:lang w:val="en"/>
        </w:rPr>
        <w:tab/>
      </w:r>
      <w:r w:rsidR="005555CA">
        <w:rPr>
          <w:b/>
          <w:sz w:val="26"/>
          <w:szCs w:val="26"/>
          <w:lang w:val="en"/>
        </w:rPr>
        <w:t>(3)</w:t>
      </w:r>
      <w:r w:rsidRPr="00AB37F7">
        <w:rPr>
          <w:b/>
          <w:sz w:val="26"/>
          <w:szCs w:val="26"/>
          <w:lang w:val="en"/>
        </w:rPr>
        <w:tab/>
      </w:r>
      <w:r w:rsidR="00AB37F7" w:rsidRPr="00AB37F7">
        <w:rPr>
          <w:b/>
          <w:sz w:val="26"/>
          <w:szCs w:val="26"/>
          <w:lang w:val="en"/>
        </w:rPr>
        <w:t>Rate of Return/Rate Base A</w:t>
      </w:r>
      <w:r w:rsidR="00EB3097">
        <w:rPr>
          <w:b/>
          <w:sz w:val="26"/>
          <w:szCs w:val="26"/>
          <w:lang w:val="en"/>
        </w:rPr>
        <w:t>nalysis</w:t>
      </w:r>
    </w:p>
    <w:p w14:paraId="74E36480" w14:textId="77777777" w:rsidR="009A3E4B" w:rsidRDefault="009A3E4B" w:rsidP="00AB37F7">
      <w:pPr>
        <w:keepNext/>
        <w:keepLines/>
        <w:widowControl/>
        <w:spacing w:line="360" w:lineRule="auto"/>
        <w:ind w:firstLine="720"/>
        <w:contextualSpacing/>
        <w:rPr>
          <w:sz w:val="26"/>
          <w:szCs w:val="26"/>
          <w:lang w:val="en"/>
        </w:rPr>
      </w:pPr>
    </w:p>
    <w:p w14:paraId="529383E6" w14:textId="77777777" w:rsidR="009A3E4B" w:rsidRPr="00D75B67" w:rsidRDefault="009A3E4B" w:rsidP="00AB37F7">
      <w:pPr>
        <w:keepNext/>
        <w:keepLines/>
        <w:widowControl/>
        <w:spacing w:line="360" w:lineRule="auto"/>
        <w:ind w:firstLine="720"/>
        <w:contextualSpacing/>
        <w:rPr>
          <w:b/>
          <w:sz w:val="26"/>
          <w:szCs w:val="26"/>
          <w:lang w:val="en"/>
        </w:rPr>
      </w:pPr>
      <w:r w:rsidRPr="00D75B67">
        <w:rPr>
          <w:b/>
          <w:sz w:val="26"/>
          <w:szCs w:val="26"/>
          <w:lang w:val="en"/>
        </w:rPr>
        <w:tab/>
      </w:r>
      <w:r w:rsidRPr="00D75B67">
        <w:rPr>
          <w:b/>
          <w:sz w:val="26"/>
          <w:szCs w:val="26"/>
          <w:lang w:val="en"/>
        </w:rPr>
        <w:tab/>
      </w:r>
      <w:r>
        <w:rPr>
          <w:b/>
          <w:sz w:val="26"/>
          <w:szCs w:val="26"/>
          <w:lang w:val="en"/>
        </w:rPr>
        <w:tab/>
        <w:t>(</w:t>
      </w:r>
      <w:proofErr w:type="spellStart"/>
      <w:r w:rsidR="005555CA">
        <w:rPr>
          <w:b/>
          <w:sz w:val="26"/>
          <w:szCs w:val="26"/>
          <w:lang w:val="en"/>
        </w:rPr>
        <w:t>i</w:t>
      </w:r>
      <w:proofErr w:type="spellEnd"/>
      <w:r>
        <w:rPr>
          <w:b/>
          <w:sz w:val="26"/>
          <w:szCs w:val="26"/>
          <w:lang w:val="en"/>
        </w:rPr>
        <w:t>)</w:t>
      </w:r>
      <w:r w:rsidRPr="00D75B67">
        <w:rPr>
          <w:b/>
          <w:sz w:val="26"/>
          <w:szCs w:val="26"/>
          <w:lang w:val="en"/>
        </w:rPr>
        <w:tab/>
      </w:r>
      <w:proofErr w:type="spellStart"/>
      <w:r w:rsidRPr="00D75B67">
        <w:rPr>
          <w:b/>
          <w:sz w:val="26"/>
          <w:szCs w:val="26"/>
          <w:lang w:val="en"/>
        </w:rPr>
        <w:t>Aqua’s</w:t>
      </w:r>
      <w:proofErr w:type="spellEnd"/>
      <w:r w:rsidRPr="00D75B67">
        <w:rPr>
          <w:b/>
          <w:sz w:val="26"/>
          <w:szCs w:val="26"/>
          <w:lang w:val="en"/>
        </w:rPr>
        <w:t xml:space="preserve"> Exceptions</w:t>
      </w:r>
    </w:p>
    <w:p w14:paraId="00380313" w14:textId="77777777" w:rsidR="009A3E4B" w:rsidRPr="002915C6" w:rsidRDefault="009A3E4B" w:rsidP="00BE5FF4">
      <w:pPr>
        <w:keepNext/>
        <w:keepLines/>
        <w:widowControl/>
        <w:spacing w:line="360" w:lineRule="auto"/>
        <w:contextualSpacing/>
        <w:rPr>
          <w:sz w:val="26"/>
          <w:szCs w:val="26"/>
          <w:lang w:val="en"/>
        </w:rPr>
      </w:pPr>
    </w:p>
    <w:p w14:paraId="7FDA8E52" w14:textId="77777777" w:rsidR="00EA7856" w:rsidRDefault="00EA7856" w:rsidP="0012768D">
      <w:pPr>
        <w:widowControl/>
        <w:spacing w:line="360" w:lineRule="auto"/>
        <w:ind w:firstLine="1440"/>
        <w:contextualSpacing/>
        <w:rPr>
          <w:sz w:val="26"/>
          <w:szCs w:val="26"/>
          <w:lang w:val="en"/>
        </w:rPr>
      </w:pPr>
      <w:r w:rsidRPr="002915C6">
        <w:rPr>
          <w:sz w:val="26"/>
          <w:szCs w:val="26"/>
          <w:lang w:val="en"/>
        </w:rPr>
        <w:t>With regard to the ALJ’s adjustment which disregards HRG’s rate of return/rate base analysis in its entirety due to flaws and unreasonable assumptions in HRG’s income approach analysis, Aqua disagrees.</w:t>
      </w:r>
      <w:r w:rsidRPr="002915C6">
        <w:rPr>
          <w:rStyle w:val="FootnoteReference"/>
          <w:sz w:val="26"/>
          <w:szCs w:val="26"/>
          <w:lang w:val="en"/>
        </w:rPr>
        <w:footnoteReference w:id="14"/>
      </w:r>
      <w:r w:rsidRPr="002915C6">
        <w:rPr>
          <w:sz w:val="26"/>
          <w:szCs w:val="26"/>
          <w:lang w:val="en"/>
        </w:rPr>
        <w:t xml:space="preserve">  Aqua Exc.</w:t>
      </w:r>
      <w:r w:rsidRPr="002915C6">
        <w:rPr>
          <w:i/>
          <w:sz w:val="26"/>
          <w:szCs w:val="26"/>
          <w:lang w:val="en"/>
        </w:rPr>
        <w:t xml:space="preserve"> </w:t>
      </w:r>
      <w:r w:rsidRPr="002915C6">
        <w:rPr>
          <w:sz w:val="26"/>
          <w:szCs w:val="26"/>
          <w:lang w:val="en"/>
        </w:rPr>
        <w:t>at 17 (citing R.D. at</w:t>
      </w:r>
      <w:r w:rsidR="00AB37F7">
        <w:rPr>
          <w:sz w:val="26"/>
          <w:szCs w:val="26"/>
          <w:lang w:val="en"/>
        </w:rPr>
        <w:t> </w:t>
      </w:r>
      <w:r w:rsidRPr="002915C6">
        <w:rPr>
          <w:sz w:val="26"/>
          <w:szCs w:val="26"/>
          <w:lang w:val="en"/>
        </w:rPr>
        <w:t>33</w:t>
      </w:r>
      <w:r w:rsidR="00AB37F7">
        <w:rPr>
          <w:sz w:val="26"/>
          <w:szCs w:val="26"/>
          <w:lang w:val="en"/>
        </w:rPr>
        <w:noBreakHyphen/>
      </w:r>
      <w:r w:rsidRPr="002915C6">
        <w:rPr>
          <w:sz w:val="26"/>
          <w:szCs w:val="26"/>
          <w:lang w:val="en"/>
        </w:rPr>
        <w:t xml:space="preserve">34).  Aqua argues </w:t>
      </w:r>
      <w:r w:rsidR="008829CD">
        <w:rPr>
          <w:sz w:val="26"/>
          <w:szCs w:val="26"/>
          <w:lang w:val="en"/>
        </w:rPr>
        <w:t xml:space="preserve">that </w:t>
      </w:r>
      <w:r w:rsidRPr="002915C6">
        <w:rPr>
          <w:sz w:val="26"/>
          <w:szCs w:val="26"/>
          <w:lang w:val="en"/>
        </w:rPr>
        <w:t>HRG’s use of reproduction cost new instead of original cost in its present value analysis is neither flawed nor unreasonable.  Aqua reiterates its argument that while traditional ratemaking is based on original cost, Section 1329 departs from traditional ratemaking practices and that “fair market valuation is not tied to the original cost of construction minus accumulated depreciation.”  Aqua Exc.</w:t>
      </w:r>
      <w:r w:rsidRPr="002915C6">
        <w:rPr>
          <w:i/>
          <w:sz w:val="26"/>
          <w:szCs w:val="26"/>
          <w:lang w:val="en"/>
        </w:rPr>
        <w:t xml:space="preserve"> </w:t>
      </w:r>
      <w:r w:rsidRPr="002915C6">
        <w:rPr>
          <w:sz w:val="26"/>
          <w:szCs w:val="26"/>
          <w:lang w:val="en"/>
        </w:rPr>
        <w:t xml:space="preserve">at 17-18.  Aqua believes HRG’s use of reproduction cost new is consistent with the fair market value objectives of Section 1329.  </w:t>
      </w:r>
      <w:r w:rsidRPr="002915C6">
        <w:rPr>
          <w:i/>
          <w:sz w:val="26"/>
          <w:szCs w:val="26"/>
          <w:lang w:val="en"/>
        </w:rPr>
        <w:t xml:space="preserve">Id. </w:t>
      </w:r>
      <w:r w:rsidRPr="002915C6">
        <w:rPr>
          <w:sz w:val="26"/>
          <w:szCs w:val="26"/>
          <w:lang w:val="en"/>
        </w:rPr>
        <w:t>at 18-19 (citing Aqua Stmt</w:t>
      </w:r>
      <w:r w:rsidR="008829CD">
        <w:rPr>
          <w:sz w:val="26"/>
          <w:szCs w:val="26"/>
          <w:lang w:val="en"/>
        </w:rPr>
        <w:t>.</w:t>
      </w:r>
      <w:r w:rsidRPr="002915C6">
        <w:rPr>
          <w:sz w:val="26"/>
          <w:szCs w:val="26"/>
          <w:lang w:val="en"/>
        </w:rPr>
        <w:t xml:space="preserve"> 4R at 16-17).  Aqua further acknowledges the ALJ’s adoption of the OCA’s proposed 6.97% rate of return rather than HRG’s estimated rate of return of 7.5% in its present value analysis.  Aqua, however, questions the ALJ’s recommendation which describes HRG’s analysis as flawed and unreasonable when the two rates of return are almost the same.  Aqua Exc. at</w:t>
      </w:r>
      <w:r w:rsidR="009E1B4E">
        <w:rPr>
          <w:sz w:val="26"/>
          <w:szCs w:val="26"/>
          <w:lang w:val="en"/>
        </w:rPr>
        <w:t> </w:t>
      </w:r>
      <w:r w:rsidRPr="002915C6">
        <w:rPr>
          <w:sz w:val="26"/>
          <w:szCs w:val="26"/>
          <w:lang w:val="en"/>
        </w:rPr>
        <w:t xml:space="preserve">18.  Aqua further questions the ALJ’s reliance on the OCA’s criticism of HRG’s use of a discount rate of 2.5% as a basis for his recommended adjustment.  Aqua argues </w:t>
      </w:r>
      <w:r w:rsidR="008829CD">
        <w:rPr>
          <w:sz w:val="26"/>
          <w:szCs w:val="26"/>
          <w:lang w:val="en"/>
        </w:rPr>
        <w:t xml:space="preserve">that </w:t>
      </w:r>
      <w:r w:rsidRPr="002915C6">
        <w:rPr>
          <w:sz w:val="26"/>
          <w:szCs w:val="26"/>
          <w:lang w:val="en"/>
        </w:rPr>
        <w:t xml:space="preserve">the OCA failed to acknowledge in its criticism of HRG’s present value analysis, the changes in revenues, expenses and utility plant investments that have occurred since </w:t>
      </w:r>
      <w:proofErr w:type="spellStart"/>
      <w:r w:rsidRPr="002915C6">
        <w:rPr>
          <w:sz w:val="26"/>
          <w:szCs w:val="26"/>
          <w:lang w:val="en"/>
        </w:rPr>
        <w:t>Aqua’s</w:t>
      </w:r>
      <w:proofErr w:type="spellEnd"/>
      <w:r w:rsidRPr="002915C6">
        <w:rPr>
          <w:sz w:val="26"/>
          <w:szCs w:val="26"/>
          <w:lang w:val="en"/>
        </w:rPr>
        <w:t xml:space="preserve"> most recent base rate case.  Aqua, therefore, requests that the Commission reject the ALJ’s recommendation and adopt HRG’s rate of return/rate base present value analysis.  </w:t>
      </w:r>
      <w:r w:rsidRPr="002915C6">
        <w:rPr>
          <w:i/>
          <w:sz w:val="26"/>
          <w:szCs w:val="26"/>
          <w:lang w:val="en"/>
        </w:rPr>
        <w:t>Id.</w:t>
      </w:r>
      <w:r w:rsidRPr="002915C6">
        <w:rPr>
          <w:sz w:val="26"/>
          <w:szCs w:val="26"/>
          <w:lang w:val="en"/>
        </w:rPr>
        <w:t xml:space="preserve"> at</w:t>
      </w:r>
      <w:r w:rsidR="009E1B4E">
        <w:rPr>
          <w:sz w:val="26"/>
          <w:szCs w:val="26"/>
          <w:lang w:val="en"/>
        </w:rPr>
        <w:t> </w:t>
      </w:r>
      <w:r w:rsidRPr="002915C6">
        <w:rPr>
          <w:sz w:val="26"/>
          <w:szCs w:val="26"/>
          <w:lang w:val="en"/>
        </w:rPr>
        <w:t>18-19.</w:t>
      </w:r>
    </w:p>
    <w:p w14:paraId="7E92D640" w14:textId="77777777" w:rsidR="000B764E" w:rsidRPr="002915C6" w:rsidRDefault="000B764E" w:rsidP="0012768D">
      <w:pPr>
        <w:widowControl/>
        <w:spacing w:line="360" w:lineRule="auto"/>
        <w:ind w:firstLine="1440"/>
        <w:contextualSpacing/>
        <w:rPr>
          <w:sz w:val="26"/>
          <w:szCs w:val="26"/>
          <w:lang w:val="en"/>
        </w:rPr>
      </w:pPr>
    </w:p>
    <w:p w14:paraId="62324438" w14:textId="77777777" w:rsidR="00EA7856" w:rsidRDefault="009E1B4E" w:rsidP="009E1B4E">
      <w:pPr>
        <w:widowControl/>
        <w:spacing w:line="360" w:lineRule="auto"/>
        <w:contextualSpacing/>
        <w:rPr>
          <w:b/>
          <w:sz w:val="26"/>
          <w:szCs w:val="26"/>
          <w:lang w:val="en"/>
        </w:rPr>
      </w:pPr>
      <w:r>
        <w:rPr>
          <w:sz w:val="26"/>
          <w:szCs w:val="26"/>
          <w:lang w:val="en"/>
        </w:rPr>
        <w:tab/>
      </w:r>
      <w:r>
        <w:rPr>
          <w:sz w:val="26"/>
          <w:szCs w:val="26"/>
          <w:lang w:val="en"/>
        </w:rPr>
        <w:tab/>
      </w:r>
      <w:r>
        <w:rPr>
          <w:sz w:val="26"/>
          <w:szCs w:val="26"/>
          <w:lang w:val="en"/>
        </w:rPr>
        <w:tab/>
      </w:r>
      <w:r w:rsidR="000E1491">
        <w:rPr>
          <w:sz w:val="26"/>
          <w:szCs w:val="26"/>
          <w:lang w:val="en"/>
        </w:rPr>
        <w:tab/>
      </w:r>
      <w:r w:rsidRPr="009E1B4E">
        <w:rPr>
          <w:b/>
          <w:sz w:val="26"/>
          <w:szCs w:val="26"/>
          <w:lang w:val="en"/>
        </w:rPr>
        <w:t>(</w:t>
      </w:r>
      <w:r w:rsidR="005555CA">
        <w:rPr>
          <w:b/>
          <w:sz w:val="26"/>
          <w:szCs w:val="26"/>
          <w:lang w:val="en"/>
        </w:rPr>
        <w:t>ii</w:t>
      </w:r>
      <w:r w:rsidRPr="009E1B4E">
        <w:rPr>
          <w:b/>
          <w:sz w:val="26"/>
          <w:szCs w:val="26"/>
          <w:lang w:val="en"/>
        </w:rPr>
        <w:t>)</w:t>
      </w:r>
      <w:r w:rsidRPr="009E1B4E">
        <w:rPr>
          <w:b/>
          <w:sz w:val="26"/>
          <w:szCs w:val="26"/>
          <w:lang w:val="en"/>
        </w:rPr>
        <w:tab/>
        <w:t xml:space="preserve">OCA’s Replies to </w:t>
      </w:r>
      <w:proofErr w:type="spellStart"/>
      <w:r w:rsidRPr="009E1B4E">
        <w:rPr>
          <w:b/>
          <w:sz w:val="26"/>
          <w:szCs w:val="26"/>
          <w:lang w:val="en"/>
        </w:rPr>
        <w:t>Aqua’s</w:t>
      </w:r>
      <w:proofErr w:type="spellEnd"/>
      <w:r w:rsidRPr="009E1B4E">
        <w:rPr>
          <w:b/>
          <w:sz w:val="26"/>
          <w:szCs w:val="26"/>
          <w:lang w:val="en"/>
        </w:rPr>
        <w:t xml:space="preserve"> Exceptions</w:t>
      </w:r>
    </w:p>
    <w:p w14:paraId="3D6FF2A2" w14:textId="77777777" w:rsidR="009E1B4E" w:rsidRPr="00BE5FF4" w:rsidRDefault="009E1B4E" w:rsidP="0012768D">
      <w:pPr>
        <w:widowControl/>
        <w:spacing w:line="360" w:lineRule="auto"/>
        <w:ind w:firstLine="1440"/>
        <w:contextualSpacing/>
        <w:rPr>
          <w:b/>
          <w:sz w:val="26"/>
          <w:lang w:val="en"/>
        </w:rPr>
      </w:pPr>
    </w:p>
    <w:p w14:paraId="0ABC05F9" w14:textId="77777777" w:rsidR="00EA7856" w:rsidRPr="002915C6" w:rsidRDefault="008829CD" w:rsidP="0012768D">
      <w:pPr>
        <w:widowControl/>
        <w:spacing w:line="360" w:lineRule="auto"/>
        <w:ind w:firstLine="1440"/>
        <w:contextualSpacing/>
        <w:rPr>
          <w:sz w:val="26"/>
          <w:szCs w:val="26"/>
          <w:lang w:val="en"/>
        </w:rPr>
      </w:pPr>
      <w:r>
        <w:rPr>
          <w:sz w:val="26"/>
          <w:szCs w:val="26"/>
          <w:lang w:val="en"/>
        </w:rPr>
        <w:t>In r</w:t>
      </w:r>
      <w:r w:rsidR="00EA7856" w:rsidRPr="002915C6">
        <w:rPr>
          <w:sz w:val="26"/>
          <w:szCs w:val="26"/>
          <w:lang w:val="en"/>
        </w:rPr>
        <w:t xml:space="preserve">eply, the OCA disagrees with </w:t>
      </w:r>
      <w:proofErr w:type="spellStart"/>
      <w:r w:rsidR="00EA7856" w:rsidRPr="002915C6">
        <w:rPr>
          <w:sz w:val="26"/>
          <w:szCs w:val="26"/>
          <w:lang w:val="en"/>
        </w:rPr>
        <w:t>Aqua’s</w:t>
      </w:r>
      <w:proofErr w:type="spellEnd"/>
      <w:r w:rsidR="00EA7856" w:rsidRPr="002915C6">
        <w:rPr>
          <w:sz w:val="26"/>
          <w:szCs w:val="26"/>
          <w:lang w:val="en"/>
        </w:rPr>
        <w:t xml:space="preserve"> argument that Section 1329 departs from traditional ratemaking practices because it uses fair market valuation.  OCA R.</w:t>
      </w:r>
      <w:r w:rsidR="009131B2">
        <w:rPr>
          <w:sz w:val="26"/>
          <w:szCs w:val="26"/>
          <w:lang w:val="en"/>
        </w:rPr>
        <w:t> </w:t>
      </w:r>
      <w:r w:rsidR="00EA7856" w:rsidRPr="002915C6">
        <w:rPr>
          <w:sz w:val="26"/>
          <w:szCs w:val="26"/>
          <w:lang w:val="en"/>
        </w:rPr>
        <w:t xml:space="preserve">Exc. at 15 (citing Aqua Exc. at 17-18).  </w:t>
      </w:r>
      <w:r>
        <w:rPr>
          <w:sz w:val="26"/>
          <w:szCs w:val="26"/>
          <w:lang w:val="en"/>
        </w:rPr>
        <w:t xml:space="preserve">The </w:t>
      </w:r>
      <w:r w:rsidR="00EA7856" w:rsidRPr="002915C6">
        <w:rPr>
          <w:sz w:val="26"/>
          <w:szCs w:val="26"/>
          <w:lang w:val="en"/>
        </w:rPr>
        <w:t xml:space="preserve">OCA disputes </w:t>
      </w:r>
      <w:proofErr w:type="spellStart"/>
      <w:r w:rsidR="00EA7856" w:rsidRPr="002915C6">
        <w:rPr>
          <w:sz w:val="26"/>
          <w:szCs w:val="26"/>
          <w:lang w:val="en"/>
        </w:rPr>
        <w:t>Aqua’s</w:t>
      </w:r>
      <w:proofErr w:type="spellEnd"/>
      <w:r w:rsidR="00EA7856" w:rsidRPr="002915C6">
        <w:rPr>
          <w:sz w:val="26"/>
          <w:szCs w:val="26"/>
          <w:lang w:val="en"/>
        </w:rPr>
        <w:t xml:space="preserve"> view regarding Section 1329 and HRG’s rate of return/rate base analysis stating:</w:t>
      </w:r>
    </w:p>
    <w:p w14:paraId="6A3DE21E" w14:textId="77777777" w:rsidR="00EA7856" w:rsidRPr="002915C6" w:rsidRDefault="00EA7856" w:rsidP="0012768D">
      <w:pPr>
        <w:widowControl/>
        <w:spacing w:line="360" w:lineRule="auto"/>
        <w:contextualSpacing/>
        <w:rPr>
          <w:sz w:val="26"/>
          <w:szCs w:val="26"/>
          <w:lang w:val="en"/>
        </w:rPr>
      </w:pPr>
    </w:p>
    <w:p w14:paraId="63188FBC" w14:textId="77777777" w:rsidR="00EA7856" w:rsidRPr="002915C6" w:rsidRDefault="00EA7856" w:rsidP="0012768D">
      <w:pPr>
        <w:widowControl/>
        <w:ind w:left="1440" w:right="1440"/>
        <w:contextualSpacing/>
        <w:rPr>
          <w:sz w:val="26"/>
          <w:szCs w:val="26"/>
          <w:lang w:val="en"/>
        </w:rPr>
      </w:pPr>
      <w:r w:rsidRPr="002915C6">
        <w:rPr>
          <w:sz w:val="26"/>
          <w:szCs w:val="26"/>
          <w:lang w:val="en"/>
        </w:rPr>
        <w:t xml:space="preserve">To the extent that Section 1329 allows for a higher rate base than depreciated original cost, the resulting returns will be based on this higher rate base.  This higher rate base will then be based on the lower of the purchase price or the average of the various valuation studies.  Therefore, Ms. </w:t>
      </w:r>
      <w:proofErr w:type="spellStart"/>
      <w:r w:rsidRPr="002915C6">
        <w:rPr>
          <w:sz w:val="26"/>
          <w:szCs w:val="26"/>
          <w:lang w:val="en"/>
        </w:rPr>
        <w:t>Vicari’s</w:t>
      </w:r>
      <w:proofErr w:type="spellEnd"/>
      <w:r w:rsidRPr="002915C6">
        <w:rPr>
          <w:sz w:val="26"/>
          <w:szCs w:val="26"/>
          <w:lang w:val="en"/>
        </w:rPr>
        <w:t xml:space="preserve"> rate base/rate of return analysis is not only circular, but meaningless and provides no value in this proceeding.</w:t>
      </w:r>
    </w:p>
    <w:p w14:paraId="404EFC48" w14:textId="77777777" w:rsidR="00EA7856" w:rsidRPr="002915C6" w:rsidRDefault="00EA7856" w:rsidP="0012768D">
      <w:pPr>
        <w:widowControl/>
        <w:spacing w:line="360" w:lineRule="auto"/>
        <w:contextualSpacing/>
        <w:rPr>
          <w:sz w:val="26"/>
          <w:szCs w:val="26"/>
          <w:lang w:val="en"/>
        </w:rPr>
      </w:pPr>
    </w:p>
    <w:p w14:paraId="31313FF5" w14:textId="77777777" w:rsidR="00EA7856" w:rsidRPr="002915C6" w:rsidRDefault="00EA7856" w:rsidP="0012768D">
      <w:pPr>
        <w:widowControl/>
        <w:spacing w:line="360" w:lineRule="auto"/>
        <w:contextualSpacing/>
        <w:rPr>
          <w:sz w:val="26"/>
          <w:szCs w:val="26"/>
          <w:lang w:val="en"/>
        </w:rPr>
      </w:pPr>
      <w:r w:rsidRPr="002915C6">
        <w:rPr>
          <w:sz w:val="26"/>
          <w:szCs w:val="26"/>
          <w:lang w:val="en"/>
        </w:rPr>
        <w:t>OCA R. Exc. at 15-16 (citing OCA Stmt</w:t>
      </w:r>
      <w:r w:rsidR="008829CD">
        <w:rPr>
          <w:sz w:val="26"/>
          <w:szCs w:val="26"/>
          <w:lang w:val="en"/>
        </w:rPr>
        <w:t>.</w:t>
      </w:r>
      <w:r w:rsidRPr="002915C6">
        <w:rPr>
          <w:sz w:val="26"/>
          <w:szCs w:val="26"/>
          <w:lang w:val="en"/>
        </w:rPr>
        <w:t xml:space="preserve"> 2 at 21-22).  Furthermore, responding to </w:t>
      </w:r>
      <w:proofErr w:type="spellStart"/>
      <w:r w:rsidRPr="002915C6">
        <w:rPr>
          <w:sz w:val="26"/>
          <w:szCs w:val="26"/>
          <w:lang w:val="en"/>
        </w:rPr>
        <w:t>Aqua’s</w:t>
      </w:r>
      <w:proofErr w:type="spellEnd"/>
      <w:r w:rsidRPr="002915C6">
        <w:rPr>
          <w:sz w:val="26"/>
          <w:szCs w:val="26"/>
          <w:lang w:val="en"/>
        </w:rPr>
        <w:t xml:space="preserve"> argument that its proposed rate of return of 7.5% should be considered because it is almost the same as the OCA’s 6.97% rate of return, the OCA reiterates its argument that while it established that the 6.97% rate of return is the appropriate cost of capital derived from </w:t>
      </w:r>
      <w:proofErr w:type="spellStart"/>
      <w:r w:rsidRPr="002915C6">
        <w:rPr>
          <w:sz w:val="26"/>
          <w:szCs w:val="26"/>
          <w:lang w:val="en"/>
        </w:rPr>
        <w:t>Aqua’s</w:t>
      </w:r>
      <w:proofErr w:type="spellEnd"/>
      <w:r w:rsidRPr="002915C6">
        <w:rPr>
          <w:sz w:val="26"/>
          <w:szCs w:val="26"/>
          <w:lang w:val="en"/>
        </w:rPr>
        <w:t xml:space="preserve"> current cost of debt and capital structure, with a recently determined cost of equity, HRG failed to present any evidence or support for its proposed 7.5% rate of return.  OCA R. Exc. at 15-16.  In addition, the OCA argues that </w:t>
      </w:r>
      <w:proofErr w:type="spellStart"/>
      <w:r w:rsidRPr="002915C6">
        <w:rPr>
          <w:sz w:val="26"/>
          <w:szCs w:val="26"/>
          <w:lang w:val="en"/>
        </w:rPr>
        <w:t>Aqua’s</w:t>
      </w:r>
      <w:proofErr w:type="spellEnd"/>
      <w:r w:rsidRPr="002915C6">
        <w:rPr>
          <w:sz w:val="26"/>
          <w:szCs w:val="26"/>
          <w:lang w:val="en"/>
        </w:rPr>
        <w:t xml:space="preserve"> rate base/rate of return analysis is also riddled with several errors including overstated estimated annual depreciation expenses.  For instance, the OCA avers that while HRG showed an estimated annual cash flow associated with depreciated expense of $3,416,000, the actual depreciation on existing plant is $1,410,000 with an additional depreciation of about $283,000 in future years associated with future capital investments. </w:t>
      </w:r>
      <w:r w:rsidR="008829CD">
        <w:rPr>
          <w:sz w:val="26"/>
          <w:szCs w:val="26"/>
          <w:lang w:val="en"/>
        </w:rPr>
        <w:t xml:space="preserve"> The </w:t>
      </w:r>
      <w:r w:rsidRPr="002915C6">
        <w:rPr>
          <w:sz w:val="26"/>
          <w:szCs w:val="26"/>
          <w:lang w:val="en"/>
        </w:rPr>
        <w:t>OCA notes that based on the above, HRG’s annual cash flows are overstated by approximately $1,723,000.</w:t>
      </w:r>
      <w:r w:rsidRPr="002915C6">
        <w:rPr>
          <w:rStyle w:val="FootnoteReference"/>
          <w:sz w:val="26"/>
          <w:szCs w:val="26"/>
          <w:lang w:val="en"/>
        </w:rPr>
        <w:footnoteReference w:id="15"/>
      </w:r>
      <w:r w:rsidRPr="002915C6">
        <w:rPr>
          <w:sz w:val="26"/>
          <w:szCs w:val="26"/>
          <w:lang w:val="en"/>
        </w:rPr>
        <w:t xml:space="preserve">  OCA R. Exc. at 17.  The OCA asserts that because Aqua essentially repeats the same arguments that were considered and rejected by the ALJ in his Recommended Decision, </w:t>
      </w:r>
      <w:proofErr w:type="spellStart"/>
      <w:r w:rsidRPr="002915C6">
        <w:rPr>
          <w:sz w:val="26"/>
          <w:szCs w:val="26"/>
          <w:lang w:val="en"/>
        </w:rPr>
        <w:t>Aqua’s</w:t>
      </w:r>
      <w:proofErr w:type="spellEnd"/>
      <w:r w:rsidRPr="002915C6">
        <w:rPr>
          <w:sz w:val="26"/>
          <w:szCs w:val="26"/>
          <w:lang w:val="en"/>
        </w:rPr>
        <w:t xml:space="preserve"> Exceptions should be denied.  </w:t>
      </w:r>
      <w:r w:rsidRPr="002915C6">
        <w:rPr>
          <w:i/>
          <w:sz w:val="26"/>
          <w:szCs w:val="26"/>
          <w:lang w:val="en"/>
        </w:rPr>
        <w:t xml:space="preserve">Id. </w:t>
      </w:r>
    </w:p>
    <w:p w14:paraId="496F5FC3" w14:textId="77777777" w:rsidR="00EA7856" w:rsidRDefault="00EA7856" w:rsidP="0012768D">
      <w:pPr>
        <w:widowControl/>
        <w:spacing w:line="360" w:lineRule="auto"/>
        <w:contextualSpacing/>
        <w:rPr>
          <w:sz w:val="26"/>
          <w:szCs w:val="26"/>
          <w:lang w:val="en"/>
        </w:rPr>
      </w:pPr>
    </w:p>
    <w:p w14:paraId="50B999CD" w14:textId="77777777" w:rsidR="00A8574F" w:rsidRPr="00A8574F" w:rsidRDefault="00A8574F" w:rsidP="0012768D">
      <w:pPr>
        <w:widowControl/>
        <w:spacing w:line="360" w:lineRule="auto"/>
        <w:contextualSpacing/>
        <w:rPr>
          <w:b/>
          <w:sz w:val="26"/>
          <w:szCs w:val="26"/>
          <w:lang w:val="en"/>
        </w:rPr>
      </w:pPr>
      <w:r>
        <w:rPr>
          <w:sz w:val="26"/>
          <w:szCs w:val="26"/>
          <w:lang w:val="en"/>
        </w:rPr>
        <w:tab/>
      </w:r>
      <w:r>
        <w:rPr>
          <w:sz w:val="26"/>
          <w:szCs w:val="26"/>
          <w:lang w:val="en"/>
        </w:rPr>
        <w:tab/>
      </w:r>
      <w:r>
        <w:rPr>
          <w:sz w:val="26"/>
          <w:szCs w:val="26"/>
          <w:lang w:val="en"/>
        </w:rPr>
        <w:tab/>
      </w:r>
      <w:r w:rsidR="000E1491">
        <w:rPr>
          <w:sz w:val="26"/>
          <w:szCs w:val="26"/>
          <w:lang w:val="en"/>
        </w:rPr>
        <w:tab/>
      </w:r>
      <w:r w:rsidRPr="00A8574F">
        <w:rPr>
          <w:b/>
          <w:sz w:val="26"/>
          <w:szCs w:val="26"/>
          <w:lang w:val="en"/>
        </w:rPr>
        <w:t>(</w:t>
      </w:r>
      <w:r w:rsidR="005555CA">
        <w:rPr>
          <w:b/>
          <w:sz w:val="26"/>
          <w:szCs w:val="26"/>
          <w:lang w:val="en"/>
        </w:rPr>
        <w:t>iii</w:t>
      </w:r>
      <w:r w:rsidRPr="00A8574F">
        <w:rPr>
          <w:b/>
          <w:sz w:val="26"/>
          <w:szCs w:val="26"/>
          <w:lang w:val="en"/>
        </w:rPr>
        <w:t>)</w:t>
      </w:r>
      <w:r w:rsidRPr="00A8574F">
        <w:rPr>
          <w:b/>
          <w:sz w:val="26"/>
          <w:szCs w:val="26"/>
          <w:lang w:val="en"/>
        </w:rPr>
        <w:tab/>
        <w:t>Disposition</w:t>
      </w:r>
    </w:p>
    <w:p w14:paraId="7B4E1EC4" w14:textId="77777777" w:rsidR="00A8574F" w:rsidRPr="002915C6" w:rsidRDefault="00A8574F" w:rsidP="0012768D">
      <w:pPr>
        <w:widowControl/>
        <w:spacing w:line="360" w:lineRule="auto"/>
        <w:contextualSpacing/>
        <w:rPr>
          <w:sz w:val="26"/>
          <w:szCs w:val="26"/>
          <w:lang w:val="en"/>
        </w:rPr>
      </w:pPr>
    </w:p>
    <w:p w14:paraId="7EFF4879" w14:textId="77777777" w:rsidR="007D0295" w:rsidRPr="002915C6" w:rsidRDefault="00EA7856" w:rsidP="0012768D">
      <w:pPr>
        <w:widowControl/>
        <w:spacing w:line="360" w:lineRule="auto"/>
        <w:ind w:firstLine="1440"/>
        <w:contextualSpacing/>
        <w:rPr>
          <w:sz w:val="26"/>
          <w:szCs w:val="26"/>
          <w:lang w:val="en"/>
        </w:rPr>
      </w:pPr>
      <w:r w:rsidRPr="002915C6">
        <w:rPr>
          <w:sz w:val="26"/>
          <w:szCs w:val="26"/>
          <w:lang w:val="en"/>
        </w:rPr>
        <w:t xml:space="preserve">Upon review, we will deny </w:t>
      </w:r>
      <w:proofErr w:type="spellStart"/>
      <w:r w:rsidRPr="002915C6">
        <w:rPr>
          <w:sz w:val="26"/>
          <w:szCs w:val="26"/>
          <w:lang w:val="en"/>
        </w:rPr>
        <w:t>Aqua’s</w:t>
      </w:r>
      <w:proofErr w:type="spellEnd"/>
      <w:r w:rsidRPr="002915C6">
        <w:rPr>
          <w:sz w:val="26"/>
          <w:szCs w:val="26"/>
          <w:lang w:val="en"/>
        </w:rPr>
        <w:t xml:space="preserve"> Exceptions and adopt the ALJ’s recommendation that disregards HRG’s rate of return/rate base analysis in its entirety.  We agree with the OCA and the ALJ that the record evidence does not support </w:t>
      </w:r>
      <w:proofErr w:type="spellStart"/>
      <w:r w:rsidRPr="002915C6">
        <w:rPr>
          <w:sz w:val="26"/>
          <w:szCs w:val="26"/>
          <w:lang w:val="en"/>
        </w:rPr>
        <w:t>Aqua’s</w:t>
      </w:r>
      <w:proofErr w:type="spellEnd"/>
      <w:r w:rsidRPr="002915C6">
        <w:rPr>
          <w:sz w:val="26"/>
          <w:szCs w:val="26"/>
          <w:lang w:val="en"/>
        </w:rPr>
        <w:t xml:space="preserve"> proposed rate of return/rate base analysis.  We will therefore adopt the ALJ’s recommended adjusted income of $36,560,000 for HRG’s income approach appraisal.</w:t>
      </w:r>
    </w:p>
    <w:p w14:paraId="228C5327" w14:textId="77777777" w:rsidR="00234CE8" w:rsidRDefault="00234CE8">
      <w:pPr>
        <w:widowControl/>
        <w:spacing w:after="200" w:line="276" w:lineRule="auto"/>
        <w:rPr>
          <w:b/>
          <w:sz w:val="26"/>
          <w:szCs w:val="26"/>
          <w:lang w:val="en"/>
        </w:rPr>
      </w:pPr>
      <w:r>
        <w:rPr>
          <w:b/>
          <w:sz w:val="26"/>
          <w:szCs w:val="26"/>
          <w:lang w:val="en"/>
        </w:rPr>
        <w:br w:type="page"/>
      </w:r>
    </w:p>
    <w:p w14:paraId="7C5EC91E" w14:textId="77777777" w:rsidR="005555CA" w:rsidRPr="00C14FE4" w:rsidRDefault="005555CA" w:rsidP="007A5AFC">
      <w:pPr>
        <w:widowControl/>
        <w:spacing w:line="360" w:lineRule="auto"/>
        <w:ind w:firstLine="1440"/>
        <w:contextualSpacing/>
        <w:rPr>
          <w:b/>
          <w:sz w:val="26"/>
          <w:lang w:val="en"/>
        </w:rPr>
      </w:pPr>
      <w:r>
        <w:rPr>
          <w:b/>
          <w:sz w:val="26"/>
          <w:szCs w:val="26"/>
          <w:lang w:val="en"/>
        </w:rPr>
        <w:t>b.</w:t>
      </w:r>
      <w:r>
        <w:rPr>
          <w:b/>
          <w:sz w:val="26"/>
          <w:szCs w:val="26"/>
          <w:lang w:val="en"/>
        </w:rPr>
        <w:tab/>
      </w:r>
      <w:r w:rsidRPr="007C1CA9">
        <w:rPr>
          <w:b/>
          <w:sz w:val="26"/>
          <w:szCs w:val="26"/>
          <w:lang w:val="en"/>
        </w:rPr>
        <w:t>Gannett’s Income Approach</w:t>
      </w:r>
      <w:r w:rsidR="004C4611">
        <w:rPr>
          <w:b/>
          <w:sz w:val="26"/>
          <w:szCs w:val="26"/>
          <w:lang w:val="en"/>
        </w:rPr>
        <w:t xml:space="preserve"> </w:t>
      </w:r>
    </w:p>
    <w:p w14:paraId="5B568ED0" w14:textId="77777777" w:rsidR="005555CA" w:rsidRDefault="005555CA" w:rsidP="007A5AFC">
      <w:pPr>
        <w:keepNext/>
        <w:keepLines/>
        <w:widowControl/>
        <w:tabs>
          <w:tab w:val="left" w:pos="2610"/>
        </w:tabs>
        <w:autoSpaceDE w:val="0"/>
        <w:autoSpaceDN w:val="0"/>
        <w:adjustRightInd w:val="0"/>
        <w:spacing w:line="360" w:lineRule="auto"/>
        <w:ind w:left="2592" w:hanging="432"/>
        <w:rPr>
          <w:b/>
          <w:sz w:val="26"/>
          <w:szCs w:val="26"/>
          <w:lang w:val="en"/>
        </w:rPr>
      </w:pPr>
    </w:p>
    <w:p w14:paraId="22B1B8C7" w14:textId="77777777" w:rsidR="005555CA" w:rsidRDefault="007A5AFC" w:rsidP="007A5AFC">
      <w:pPr>
        <w:pStyle w:val="ListParagraph"/>
        <w:keepNext/>
        <w:keepLines/>
        <w:widowControl/>
        <w:autoSpaceDE w:val="0"/>
        <w:autoSpaceDN w:val="0"/>
        <w:adjustRightInd w:val="0"/>
        <w:spacing w:line="360" w:lineRule="auto"/>
        <w:ind w:left="0"/>
        <w:rPr>
          <w:b/>
          <w:sz w:val="26"/>
          <w:szCs w:val="26"/>
          <w:lang w:val="en"/>
        </w:rPr>
      </w:pPr>
      <w:r>
        <w:rPr>
          <w:b/>
          <w:sz w:val="26"/>
          <w:szCs w:val="26"/>
          <w:lang w:val="en"/>
        </w:rPr>
        <w:tab/>
      </w:r>
      <w:r>
        <w:rPr>
          <w:b/>
          <w:sz w:val="26"/>
          <w:szCs w:val="26"/>
          <w:lang w:val="en"/>
        </w:rPr>
        <w:tab/>
      </w:r>
      <w:r>
        <w:rPr>
          <w:b/>
          <w:sz w:val="26"/>
          <w:szCs w:val="26"/>
          <w:lang w:val="en"/>
        </w:rPr>
        <w:tab/>
        <w:t>(1)</w:t>
      </w:r>
      <w:r>
        <w:rPr>
          <w:b/>
          <w:sz w:val="26"/>
          <w:szCs w:val="26"/>
          <w:lang w:val="en"/>
        </w:rPr>
        <w:tab/>
      </w:r>
      <w:r w:rsidR="005555CA" w:rsidRPr="00BE5FF4">
        <w:rPr>
          <w:b/>
          <w:sz w:val="26"/>
          <w:szCs w:val="26"/>
          <w:lang w:val="en"/>
        </w:rPr>
        <w:t xml:space="preserve">Calculation and Reasonableness of the Terminal Value </w:t>
      </w:r>
    </w:p>
    <w:p w14:paraId="170A5D66" w14:textId="77777777" w:rsidR="005555CA" w:rsidRPr="00BE5FF4" w:rsidRDefault="005555CA" w:rsidP="007A5AFC">
      <w:pPr>
        <w:pStyle w:val="ListParagraph"/>
        <w:keepNext/>
        <w:keepLines/>
        <w:widowControl/>
        <w:autoSpaceDE w:val="0"/>
        <w:autoSpaceDN w:val="0"/>
        <w:adjustRightInd w:val="0"/>
        <w:spacing w:line="360" w:lineRule="auto"/>
        <w:ind w:left="0"/>
        <w:rPr>
          <w:b/>
          <w:sz w:val="26"/>
          <w:szCs w:val="26"/>
          <w:lang w:val="en"/>
        </w:rPr>
      </w:pPr>
    </w:p>
    <w:p w14:paraId="03ADC0E4" w14:textId="77777777" w:rsidR="005555CA" w:rsidRPr="00BE5FF4" w:rsidRDefault="007A5AFC" w:rsidP="007A5AFC">
      <w:pPr>
        <w:pStyle w:val="ListParagraph"/>
        <w:keepNext/>
        <w:keepLines/>
        <w:widowControl/>
        <w:autoSpaceDE w:val="0"/>
        <w:autoSpaceDN w:val="0"/>
        <w:adjustRightInd w:val="0"/>
        <w:spacing w:line="360" w:lineRule="auto"/>
        <w:ind w:left="0"/>
        <w:rPr>
          <w:b/>
          <w:sz w:val="26"/>
          <w:szCs w:val="26"/>
          <w:lang w:val="en"/>
        </w:rPr>
      </w:pPr>
      <w:r>
        <w:rPr>
          <w:b/>
          <w:sz w:val="26"/>
          <w:szCs w:val="26"/>
          <w:lang w:val="en"/>
        </w:rPr>
        <w:tab/>
      </w:r>
      <w:r>
        <w:rPr>
          <w:b/>
          <w:sz w:val="26"/>
          <w:szCs w:val="26"/>
          <w:lang w:val="en"/>
        </w:rPr>
        <w:tab/>
      </w:r>
      <w:r>
        <w:rPr>
          <w:b/>
          <w:sz w:val="26"/>
          <w:szCs w:val="26"/>
          <w:lang w:val="en"/>
        </w:rPr>
        <w:tab/>
      </w:r>
      <w:r>
        <w:rPr>
          <w:b/>
          <w:sz w:val="26"/>
          <w:szCs w:val="26"/>
          <w:lang w:val="en"/>
        </w:rPr>
        <w:tab/>
        <w:t>(i)</w:t>
      </w:r>
      <w:r>
        <w:rPr>
          <w:b/>
          <w:sz w:val="26"/>
          <w:szCs w:val="26"/>
          <w:lang w:val="en"/>
        </w:rPr>
        <w:tab/>
      </w:r>
      <w:r w:rsidR="005555CA" w:rsidRPr="00BE5FF4">
        <w:rPr>
          <w:b/>
          <w:sz w:val="26"/>
          <w:szCs w:val="26"/>
          <w:lang w:val="en"/>
        </w:rPr>
        <w:t>OCA’s Exceptions</w:t>
      </w:r>
    </w:p>
    <w:p w14:paraId="3BCD8C19" w14:textId="77777777" w:rsidR="005555CA" w:rsidRPr="00C14FE4" w:rsidRDefault="005555CA" w:rsidP="007A5AFC">
      <w:pPr>
        <w:keepNext/>
        <w:keepLines/>
        <w:widowControl/>
        <w:tabs>
          <w:tab w:val="left" w:pos="2610"/>
        </w:tabs>
        <w:autoSpaceDE w:val="0"/>
        <w:autoSpaceDN w:val="0"/>
        <w:adjustRightInd w:val="0"/>
        <w:spacing w:line="360" w:lineRule="auto"/>
        <w:ind w:left="2592" w:hanging="432"/>
        <w:rPr>
          <w:b/>
          <w:sz w:val="26"/>
          <w:lang w:val="en"/>
        </w:rPr>
      </w:pPr>
    </w:p>
    <w:p w14:paraId="5784676F" w14:textId="65318A09" w:rsidR="005555CA" w:rsidRPr="002915C6" w:rsidRDefault="005555CA" w:rsidP="005555CA">
      <w:pPr>
        <w:widowControl/>
        <w:autoSpaceDE w:val="0"/>
        <w:autoSpaceDN w:val="0"/>
        <w:adjustRightInd w:val="0"/>
        <w:spacing w:line="360" w:lineRule="auto"/>
        <w:ind w:firstLine="1440"/>
        <w:contextualSpacing/>
        <w:rPr>
          <w:sz w:val="26"/>
          <w:szCs w:val="26"/>
        </w:rPr>
      </w:pPr>
      <w:r w:rsidRPr="002915C6">
        <w:rPr>
          <w:sz w:val="26"/>
          <w:szCs w:val="26"/>
          <w:lang w:val="en"/>
        </w:rPr>
        <w:t xml:space="preserve">In its Exception No. 3, the OCA disagrees with the ALJ’s failure to adopt its proposed removal of the terminal value under Gannett’s income approach.  The OCA avers its proposal stems from the fact that utilizing a forecasted terminal value as used by Gannett’s witness, Mr. Walker, is unreliable and produces unreasonable results.  Alternatively, </w:t>
      </w:r>
      <w:r>
        <w:rPr>
          <w:sz w:val="26"/>
          <w:szCs w:val="26"/>
          <w:lang w:val="en"/>
        </w:rPr>
        <w:t xml:space="preserve">the </w:t>
      </w:r>
      <w:r w:rsidRPr="002915C6">
        <w:rPr>
          <w:sz w:val="26"/>
          <w:szCs w:val="26"/>
          <w:lang w:val="en"/>
        </w:rPr>
        <w:t>OCA’s witness, Mr. Watkins, condu</w:t>
      </w:r>
      <w:r>
        <w:rPr>
          <w:sz w:val="26"/>
          <w:szCs w:val="26"/>
          <w:lang w:val="en"/>
        </w:rPr>
        <w:t xml:space="preserve">cted his DCF valuation using fifty </w:t>
      </w:r>
      <w:r w:rsidRPr="002915C6">
        <w:rPr>
          <w:sz w:val="26"/>
          <w:szCs w:val="26"/>
          <w:lang w:val="en"/>
        </w:rPr>
        <w:t xml:space="preserve">years of discounted net cash flows (Debt Free Cash Flow) with no terminal value.  </w:t>
      </w:r>
      <w:r w:rsidRPr="002915C6">
        <w:rPr>
          <w:sz w:val="26"/>
          <w:szCs w:val="26"/>
        </w:rPr>
        <w:t xml:space="preserve">OCA Exc. at 10 (citing Aqua </w:t>
      </w:r>
      <w:proofErr w:type="spellStart"/>
      <w:r w:rsidRPr="002915C6">
        <w:rPr>
          <w:sz w:val="26"/>
          <w:szCs w:val="26"/>
        </w:rPr>
        <w:t>Exh</w:t>
      </w:r>
      <w:proofErr w:type="spellEnd"/>
      <w:r w:rsidRPr="002915C6">
        <w:rPr>
          <w:sz w:val="26"/>
          <w:szCs w:val="26"/>
        </w:rPr>
        <w:t xml:space="preserve">. 8 at 4, 24-25).  Specifically, </w:t>
      </w:r>
      <w:r w:rsidRPr="002915C6">
        <w:rPr>
          <w:sz w:val="26"/>
          <w:szCs w:val="26"/>
          <w:lang w:val="en"/>
        </w:rPr>
        <w:t>the OCA asserts that while Mr. Walker calculated discount</w:t>
      </w:r>
      <w:r w:rsidR="008C2BD6">
        <w:rPr>
          <w:sz w:val="26"/>
          <w:szCs w:val="26"/>
          <w:lang w:val="en"/>
        </w:rPr>
        <w:t>ed</w:t>
      </w:r>
      <w:r w:rsidRPr="002915C6">
        <w:rPr>
          <w:sz w:val="26"/>
          <w:szCs w:val="26"/>
          <w:lang w:val="en"/>
        </w:rPr>
        <w:t xml:space="preserve"> cash flows net of capital expenditures and changes in working capital or Debt Free Net Cash Flow, he nonetheless</w:t>
      </w:r>
      <w:r>
        <w:rPr>
          <w:sz w:val="26"/>
          <w:szCs w:val="26"/>
          <w:lang w:val="en"/>
        </w:rPr>
        <w:t xml:space="preserve"> discounted</w:t>
      </w:r>
      <w:r w:rsidRPr="002915C6">
        <w:rPr>
          <w:sz w:val="26"/>
          <w:szCs w:val="26"/>
          <w:lang w:val="en"/>
        </w:rPr>
        <w:t xml:space="preserve"> these annual Debt Free Net Cash Flows </w:t>
      </w:r>
      <w:r>
        <w:rPr>
          <w:sz w:val="26"/>
          <w:szCs w:val="26"/>
          <w:lang w:val="en"/>
        </w:rPr>
        <w:t>for 13 years, and then estimated a terminal value</w:t>
      </w:r>
      <w:r w:rsidRPr="002915C6">
        <w:rPr>
          <w:sz w:val="26"/>
          <w:szCs w:val="26"/>
          <w:lang w:val="en"/>
        </w:rPr>
        <w:t xml:space="preserve"> after which annual cash flows are projected to grow at a constant rate.  </w:t>
      </w:r>
      <w:r w:rsidRPr="002915C6">
        <w:rPr>
          <w:sz w:val="26"/>
          <w:szCs w:val="26"/>
        </w:rPr>
        <w:t xml:space="preserve">OCA Exc. at 10 (citing OCA Stmt. 2 at 24; OCA Stmt. 2S at 8).  </w:t>
      </w:r>
    </w:p>
    <w:p w14:paraId="0D80EAB0" w14:textId="77777777" w:rsidR="005555CA" w:rsidRPr="002915C6" w:rsidRDefault="005555CA" w:rsidP="005555CA">
      <w:pPr>
        <w:widowControl/>
        <w:autoSpaceDE w:val="0"/>
        <w:autoSpaceDN w:val="0"/>
        <w:adjustRightInd w:val="0"/>
        <w:spacing w:line="360" w:lineRule="auto"/>
        <w:ind w:firstLine="1440"/>
        <w:contextualSpacing/>
        <w:rPr>
          <w:sz w:val="26"/>
          <w:szCs w:val="26"/>
        </w:rPr>
      </w:pPr>
    </w:p>
    <w:p w14:paraId="25B821DA" w14:textId="77777777" w:rsidR="005555CA" w:rsidRPr="002915C6" w:rsidRDefault="005555CA" w:rsidP="005555CA">
      <w:pPr>
        <w:widowControl/>
        <w:autoSpaceDE w:val="0"/>
        <w:autoSpaceDN w:val="0"/>
        <w:adjustRightInd w:val="0"/>
        <w:spacing w:line="360" w:lineRule="auto"/>
        <w:ind w:firstLine="1440"/>
        <w:contextualSpacing/>
        <w:rPr>
          <w:sz w:val="26"/>
          <w:szCs w:val="26"/>
        </w:rPr>
      </w:pPr>
      <w:r w:rsidRPr="002915C6">
        <w:rPr>
          <w:sz w:val="26"/>
          <w:szCs w:val="26"/>
        </w:rPr>
        <w:t>The OCA highlights two problems with Mr. Walker’s analysis.  First, the OCA avers that Mr. Walker’s estimation of Limerick’s market value is extremely speculative and</w:t>
      </w:r>
      <w:r>
        <w:rPr>
          <w:sz w:val="26"/>
          <w:szCs w:val="26"/>
        </w:rPr>
        <w:t xml:space="preserve"> uncertain because he calculated</w:t>
      </w:r>
      <w:r w:rsidRPr="002915C6">
        <w:rPr>
          <w:sz w:val="26"/>
          <w:szCs w:val="26"/>
        </w:rPr>
        <w:t xml:space="preserve"> the terminal values ranging from $44.084 million to $137.436 million.  OCA Exc. at 10 (citing Aqua </w:t>
      </w:r>
      <w:proofErr w:type="spellStart"/>
      <w:r w:rsidRPr="002915C6">
        <w:rPr>
          <w:sz w:val="26"/>
          <w:szCs w:val="26"/>
        </w:rPr>
        <w:t>Exh</w:t>
      </w:r>
      <w:proofErr w:type="spellEnd"/>
      <w:r w:rsidRPr="002915C6">
        <w:rPr>
          <w:sz w:val="26"/>
          <w:szCs w:val="26"/>
        </w:rPr>
        <w:t xml:space="preserve">. Q).   </w:t>
      </w:r>
      <w:r>
        <w:rPr>
          <w:sz w:val="26"/>
          <w:szCs w:val="26"/>
        </w:rPr>
        <w:t xml:space="preserve">The </w:t>
      </w:r>
      <w:r w:rsidRPr="002915C6">
        <w:rPr>
          <w:sz w:val="26"/>
          <w:szCs w:val="26"/>
        </w:rPr>
        <w:t>OCA believes this large range in Mr. Walker’s calculated terminal values significantly impacts his ultimate DCF valuations.  OCA Exc. at 10 (citing OCA Stmt. 2 at 24).  Second, the OCA avers that pursuant to standard financial and business concepts, the terminal value must reflect the capital investments required to maintain and continue an entity’s operations as a going concern.  However, according to the OCA, the 13-year DCF model reflects minimal capital expenditures because the cost of replacing Limerick’s plant-in-service in the thirteenth year is in excess of $161 million</w:t>
      </w:r>
      <w:r w:rsidRPr="002915C6">
        <w:rPr>
          <w:rStyle w:val="FootnoteReference"/>
          <w:sz w:val="26"/>
          <w:szCs w:val="26"/>
        </w:rPr>
        <w:footnoteReference w:id="16"/>
      </w:r>
      <w:r w:rsidRPr="002915C6">
        <w:rPr>
          <w:sz w:val="26"/>
          <w:szCs w:val="26"/>
        </w:rPr>
        <w:t xml:space="preserve"> but the assumed annual capital investments after year thirteen are only 0.80 percent of that total replacement cost.  OCA Exc. at 10-11 (citing OCA Stmt. 2S at 8-9).  </w:t>
      </w:r>
    </w:p>
    <w:p w14:paraId="23F77FB7" w14:textId="77777777" w:rsidR="005555CA" w:rsidRPr="002915C6" w:rsidRDefault="005555CA" w:rsidP="005555CA">
      <w:pPr>
        <w:widowControl/>
        <w:autoSpaceDE w:val="0"/>
        <w:autoSpaceDN w:val="0"/>
        <w:adjustRightInd w:val="0"/>
        <w:spacing w:line="360" w:lineRule="auto"/>
        <w:ind w:firstLine="1440"/>
        <w:contextualSpacing/>
        <w:rPr>
          <w:sz w:val="26"/>
          <w:szCs w:val="26"/>
        </w:rPr>
      </w:pPr>
    </w:p>
    <w:p w14:paraId="68EB48F3" w14:textId="77777777" w:rsidR="005555CA" w:rsidRPr="002915C6" w:rsidRDefault="005555CA" w:rsidP="005555CA">
      <w:pPr>
        <w:widowControl/>
        <w:autoSpaceDE w:val="0"/>
        <w:autoSpaceDN w:val="0"/>
        <w:adjustRightInd w:val="0"/>
        <w:spacing w:line="360" w:lineRule="auto"/>
        <w:ind w:firstLine="1440"/>
        <w:contextualSpacing/>
        <w:rPr>
          <w:sz w:val="26"/>
          <w:szCs w:val="26"/>
        </w:rPr>
      </w:pPr>
      <w:r>
        <w:rPr>
          <w:sz w:val="26"/>
          <w:szCs w:val="26"/>
        </w:rPr>
        <w:t xml:space="preserve">The </w:t>
      </w:r>
      <w:r w:rsidRPr="002915C6">
        <w:rPr>
          <w:sz w:val="26"/>
          <w:szCs w:val="26"/>
        </w:rPr>
        <w:t xml:space="preserve">OCA argues </w:t>
      </w:r>
      <w:r>
        <w:rPr>
          <w:sz w:val="26"/>
          <w:szCs w:val="26"/>
        </w:rPr>
        <w:t xml:space="preserve">that </w:t>
      </w:r>
      <w:r w:rsidRPr="002915C6">
        <w:rPr>
          <w:sz w:val="26"/>
          <w:szCs w:val="26"/>
        </w:rPr>
        <w:t xml:space="preserve">the underlying assumption in Mr. Walker’s valuation model that the Limerick system will operate in perpetuity at that level of reinvestment, with an effective service life of new plant of 125 years, is flawed and unreasonable.  OCA Exc. at 11 (citing OCA Stmt. 2S at 8-9).  </w:t>
      </w:r>
      <w:r w:rsidRPr="002915C6">
        <w:rPr>
          <w:sz w:val="26"/>
          <w:szCs w:val="26"/>
          <w:lang w:val="en"/>
        </w:rPr>
        <w:t xml:space="preserve">According to the OCA, to address these concerns, it proposed </w:t>
      </w:r>
      <w:r>
        <w:rPr>
          <w:sz w:val="26"/>
          <w:szCs w:val="26"/>
          <w:lang w:val="en"/>
        </w:rPr>
        <w:t>using</w:t>
      </w:r>
      <w:r w:rsidRPr="002915C6">
        <w:rPr>
          <w:sz w:val="26"/>
          <w:szCs w:val="26"/>
          <w:lang w:val="en"/>
        </w:rPr>
        <w:t xml:space="preserve"> a 50-year model with no terminal value.  </w:t>
      </w:r>
      <w:r>
        <w:rPr>
          <w:sz w:val="26"/>
          <w:szCs w:val="26"/>
          <w:lang w:val="en"/>
        </w:rPr>
        <w:t xml:space="preserve">The </w:t>
      </w:r>
      <w:r w:rsidRPr="002915C6">
        <w:rPr>
          <w:sz w:val="26"/>
          <w:szCs w:val="26"/>
          <w:lang w:val="en"/>
        </w:rPr>
        <w:t xml:space="preserve">OCA asserts that the use of a longer investment horizon allows the ultimate DCF valuation to incorporate the going concern aspects of Limerick’s wastewater operations.  It also allows for more reasonable assumptions regarding the useful remaining life of Limerick’s system without total or significant replacement as it wears out over 50 years.  </w:t>
      </w:r>
      <w:r w:rsidRPr="002915C6">
        <w:rPr>
          <w:sz w:val="26"/>
          <w:szCs w:val="26"/>
        </w:rPr>
        <w:t>OCA Exc. at 11 (citing OCA Stmt. 2 at 24, 26).</w:t>
      </w:r>
    </w:p>
    <w:p w14:paraId="255A7855" w14:textId="77777777" w:rsidR="005555CA" w:rsidRPr="002915C6" w:rsidRDefault="005555CA" w:rsidP="005555CA">
      <w:pPr>
        <w:widowControl/>
        <w:autoSpaceDE w:val="0"/>
        <w:autoSpaceDN w:val="0"/>
        <w:adjustRightInd w:val="0"/>
        <w:spacing w:line="360" w:lineRule="auto"/>
        <w:ind w:firstLine="1440"/>
        <w:contextualSpacing/>
        <w:rPr>
          <w:sz w:val="26"/>
          <w:szCs w:val="26"/>
        </w:rPr>
      </w:pPr>
    </w:p>
    <w:p w14:paraId="1AC7177E" w14:textId="77777777" w:rsidR="005555CA" w:rsidRPr="002915C6" w:rsidRDefault="005555CA" w:rsidP="005555CA">
      <w:pPr>
        <w:widowControl/>
        <w:autoSpaceDE w:val="0"/>
        <w:autoSpaceDN w:val="0"/>
        <w:adjustRightInd w:val="0"/>
        <w:spacing w:line="360" w:lineRule="auto"/>
        <w:ind w:firstLine="1440"/>
        <w:contextualSpacing/>
        <w:rPr>
          <w:sz w:val="26"/>
          <w:szCs w:val="26"/>
        </w:rPr>
      </w:pPr>
      <w:r>
        <w:rPr>
          <w:sz w:val="26"/>
          <w:szCs w:val="26"/>
        </w:rPr>
        <w:t xml:space="preserve">The </w:t>
      </w:r>
      <w:r w:rsidRPr="002915C6">
        <w:rPr>
          <w:sz w:val="26"/>
          <w:szCs w:val="26"/>
        </w:rPr>
        <w:t xml:space="preserve">OCA also dismisses </w:t>
      </w:r>
      <w:proofErr w:type="spellStart"/>
      <w:r w:rsidRPr="002915C6">
        <w:rPr>
          <w:sz w:val="26"/>
          <w:szCs w:val="26"/>
        </w:rPr>
        <w:t>Aqua’s</w:t>
      </w:r>
      <w:proofErr w:type="spellEnd"/>
      <w:r w:rsidRPr="002915C6">
        <w:rPr>
          <w:sz w:val="26"/>
          <w:szCs w:val="26"/>
        </w:rPr>
        <w:t xml:space="preserve"> argument in favor of the </w:t>
      </w:r>
      <w:r>
        <w:rPr>
          <w:sz w:val="26"/>
          <w:szCs w:val="26"/>
        </w:rPr>
        <w:t>1</w:t>
      </w:r>
      <w:r w:rsidRPr="002915C6">
        <w:rPr>
          <w:sz w:val="26"/>
          <w:szCs w:val="26"/>
        </w:rPr>
        <w:t>3-year model.</w:t>
      </w:r>
      <w:r w:rsidRPr="002915C6">
        <w:rPr>
          <w:rStyle w:val="FootnoteReference"/>
          <w:sz w:val="26"/>
          <w:szCs w:val="26"/>
        </w:rPr>
        <w:footnoteReference w:id="17"/>
      </w:r>
      <w:r w:rsidRPr="002915C6">
        <w:rPr>
          <w:sz w:val="26"/>
          <w:szCs w:val="26"/>
        </w:rPr>
        <w:t xml:space="preserve">  OCA Exc. at 11 (citing R.D</w:t>
      </w:r>
      <w:r>
        <w:rPr>
          <w:sz w:val="26"/>
          <w:szCs w:val="26"/>
        </w:rPr>
        <w:t>.</w:t>
      </w:r>
      <w:r w:rsidRPr="002915C6">
        <w:rPr>
          <w:sz w:val="26"/>
          <w:szCs w:val="26"/>
        </w:rPr>
        <w:t xml:space="preserve"> at 36).  The OCA argues that the annual capital expenditure and historical book depreciation are similar for both models, </w:t>
      </w:r>
      <w:r>
        <w:rPr>
          <w:sz w:val="26"/>
          <w:szCs w:val="26"/>
        </w:rPr>
        <w:t>and are thus</w:t>
      </w:r>
      <w:r w:rsidRPr="002915C6">
        <w:rPr>
          <w:sz w:val="26"/>
          <w:szCs w:val="26"/>
        </w:rPr>
        <w:t xml:space="preserve"> irrelevant in this case.  The OCA illustrates the problem with </w:t>
      </w:r>
      <w:proofErr w:type="spellStart"/>
      <w:r w:rsidRPr="002915C6">
        <w:rPr>
          <w:sz w:val="26"/>
          <w:szCs w:val="26"/>
        </w:rPr>
        <w:t>Aqua’s</w:t>
      </w:r>
      <w:proofErr w:type="spellEnd"/>
      <w:r w:rsidRPr="002915C6">
        <w:rPr>
          <w:sz w:val="26"/>
          <w:szCs w:val="26"/>
        </w:rPr>
        <w:t xml:space="preserve"> 13-year model as follows:</w:t>
      </w:r>
    </w:p>
    <w:p w14:paraId="62DD029B" w14:textId="77777777" w:rsidR="005555CA" w:rsidRPr="002915C6" w:rsidRDefault="005555CA" w:rsidP="005555CA">
      <w:pPr>
        <w:widowControl/>
        <w:autoSpaceDE w:val="0"/>
        <w:autoSpaceDN w:val="0"/>
        <w:adjustRightInd w:val="0"/>
        <w:spacing w:line="360" w:lineRule="auto"/>
        <w:ind w:firstLine="1440"/>
        <w:contextualSpacing/>
        <w:rPr>
          <w:sz w:val="26"/>
          <w:szCs w:val="26"/>
        </w:rPr>
      </w:pPr>
    </w:p>
    <w:p w14:paraId="53B9D93C" w14:textId="77777777" w:rsidR="005555CA" w:rsidRPr="002915C6" w:rsidRDefault="005555CA" w:rsidP="005555CA">
      <w:pPr>
        <w:widowControl/>
        <w:autoSpaceDE w:val="0"/>
        <w:autoSpaceDN w:val="0"/>
        <w:adjustRightInd w:val="0"/>
        <w:ind w:left="1440" w:right="1440"/>
        <w:contextualSpacing/>
        <w:rPr>
          <w:sz w:val="26"/>
          <w:szCs w:val="26"/>
          <w:lang w:val="en"/>
        </w:rPr>
      </w:pPr>
      <w:r w:rsidRPr="002915C6">
        <w:rPr>
          <w:sz w:val="26"/>
          <w:szCs w:val="26"/>
        </w:rPr>
        <w:t>[S]</w:t>
      </w:r>
      <w:proofErr w:type="spellStart"/>
      <w:r w:rsidRPr="002915C6">
        <w:rPr>
          <w:sz w:val="26"/>
          <w:szCs w:val="26"/>
        </w:rPr>
        <w:t>uppose</w:t>
      </w:r>
      <w:proofErr w:type="spellEnd"/>
      <w:r w:rsidRPr="002915C6">
        <w:rPr>
          <w:sz w:val="26"/>
          <w:szCs w:val="26"/>
        </w:rPr>
        <w:t xml:space="preserve"> a taxicab company has a fleet of five taxicabs with an expected life of ten years.  In the eleventh year, these taxicabs must then be replaced in order to continue its operations and generate cash flows.  It would be an error to estimate the net cash flows from this fleet of existing taxicabs for ten years and then assume that the cash flows generated in the tenth year will continue in perpetuity without an extensive reinvestment of its plant in service (fleet of taxicabs) that needs to be replaced starting the eleventh year.  In other words, the net cash flows in the tenth year are fairly strong based on the almost worn out fleet of cabs.  However, in the eleventh year, a significant capital investment will be required to replace the fleet of taxicabs, which will significantly impact (if not eliminate) the positive net cash flows in the eleventh year.  This same concept is true for Limerick’s wastewater operations.  However, Mr. Walker’s terminal value calculations assume that the minimal level of capital expenditures reflected in the thirteenth year of his DCF analysis will continue in perpetuity.  Such an assumption is clearly unreasonable, which in turn, significantly overstates Mr. Walker’s assumed terminal value of Limerick’s wastewater operations.</w:t>
      </w:r>
    </w:p>
    <w:p w14:paraId="1BCFC657" w14:textId="77777777" w:rsidR="005555CA" w:rsidRPr="002915C6" w:rsidRDefault="005555CA" w:rsidP="005555CA">
      <w:pPr>
        <w:widowControl/>
        <w:autoSpaceDE w:val="0"/>
        <w:autoSpaceDN w:val="0"/>
        <w:adjustRightInd w:val="0"/>
        <w:spacing w:line="360" w:lineRule="auto"/>
        <w:contextualSpacing/>
        <w:rPr>
          <w:sz w:val="26"/>
          <w:szCs w:val="26"/>
          <w:lang w:val="en"/>
        </w:rPr>
      </w:pPr>
    </w:p>
    <w:p w14:paraId="0CF8AE88" w14:textId="77777777" w:rsidR="005555CA" w:rsidRDefault="005555CA" w:rsidP="005555CA">
      <w:pPr>
        <w:pStyle w:val="FootnoteText"/>
        <w:widowControl/>
        <w:spacing w:line="360" w:lineRule="auto"/>
        <w:rPr>
          <w:sz w:val="26"/>
          <w:szCs w:val="26"/>
        </w:rPr>
      </w:pPr>
      <w:r w:rsidRPr="002915C6">
        <w:rPr>
          <w:sz w:val="26"/>
          <w:szCs w:val="26"/>
        </w:rPr>
        <w:t xml:space="preserve">OCA Exc. at 12 (citing OCA Stmt. 2S at 8-9).  </w:t>
      </w:r>
      <w:r>
        <w:rPr>
          <w:sz w:val="26"/>
          <w:szCs w:val="26"/>
        </w:rPr>
        <w:t xml:space="preserve">The </w:t>
      </w:r>
      <w:r w:rsidRPr="002915C6">
        <w:rPr>
          <w:sz w:val="26"/>
          <w:szCs w:val="26"/>
        </w:rPr>
        <w:t xml:space="preserve">OCA states that contrary to the underlying assumptions in </w:t>
      </w:r>
      <w:proofErr w:type="spellStart"/>
      <w:r w:rsidRPr="002915C6">
        <w:rPr>
          <w:sz w:val="26"/>
          <w:szCs w:val="26"/>
        </w:rPr>
        <w:t>Aqua’s</w:t>
      </w:r>
      <w:proofErr w:type="spellEnd"/>
      <w:r w:rsidRPr="002915C6">
        <w:rPr>
          <w:sz w:val="26"/>
          <w:szCs w:val="26"/>
        </w:rPr>
        <w:t xml:space="preserve"> 13-year model, while the Limerick system has a longer service life than a taxicab, it cannot be operated in perpetuity with minimal levels of investment.  OCA Exc. at 12.  </w:t>
      </w:r>
      <w:r>
        <w:rPr>
          <w:sz w:val="26"/>
          <w:szCs w:val="26"/>
        </w:rPr>
        <w:t xml:space="preserve">The </w:t>
      </w:r>
      <w:r w:rsidRPr="002915C6">
        <w:rPr>
          <w:sz w:val="26"/>
          <w:szCs w:val="26"/>
        </w:rPr>
        <w:t xml:space="preserve">OCA also discounts </w:t>
      </w:r>
      <w:proofErr w:type="spellStart"/>
      <w:r w:rsidRPr="002915C6">
        <w:rPr>
          <w:sz w:val="26"/>
          <w:szCs w:val="26"/>
        </w:rPr>
        <w:t>Aqua’s</w:t>
      </w:r>
      <w:proofErr w:type="spellEnd"/>
      <w:r w:rsidRPr="002915C6">
        <w:rPr>
          <w:sz w:val="26"/>
          <w:szCs w:val="26"/>
        </w:rPr>
        <w:t xml:space="preserve"> argument against the 50</w:t>
      </w:r>
      <w:r>
        <w:rPr>
          <w:sz w:val="26"/>
          <w:szCs w:val="26"/>
        </w:rPr>
        <w:noBreakHyphen/>
        <w:t>y</w:t>
      </w:r>
      <w:r w:rsidRPr="002915C6">
        <w:rPr>
          <w:sz w:val="26"/>
          <w:szCs w:val="26"/>
        </w:rPr>
        <w:t>ear model stating that the present value factor (using a 6.89% discount rate) is 3.7%.  OCA Exc. at 12 (citing OCA Stmt. 2, Sch. GAW-5).  According to the OCA, this means every $100 of cash flow in year 50 is valued at only $3.70.  Hence, an actual service life beyond the 50-year mark would make little or no difference to the result.  Thus, the OCA requests that the Commission adopt its recommended 50-year model without a terminal value and reject the ALJ’s recommended 13-year model.  OCA Exc. at 13.</w:t>
      </w:r>
    </w:p>
    <w:p w14:paraId="3B4C505A" w14:textId="77777777" w:rsidR="005555CA" w:rsidRDefault="005555CA" w:rsidP="005555CA">
      <w:pPr>
        <w:pStyle w:val="FootnoteText"/>
        <w:widowControl/>
        <w:spacing w:line="360" w:lineRule="auto"/>
        <w:rPr>
          <w:sz w:val="26"/>
          <w:szCs w:val="26"/>
        </w:rPr>
      </w:pPr>
    </w:p>
    <w:p w14:paraId="79B36854" w14:textId="77777777" w:rsidR="005555CA" w:rsidRPr="00931127" w:rsidRDefault="005555CA" w:rsidP="005555CA">
      <w:pPr>
        <w:pStyle w:val="FootnoteText"/>
        <w:keepNext/>
        <w:keepLines/>
        <w:widowControl/>
        <w:spacing w:line="360" w:lineRule="auto"/>
        <w:rPr>
          <w:b/>
          <w:sz w:val="26"/>
          <w:szCs w:val="26"/>
        </w:rPr>
      </w:pPr>
      <w:r>
        <w:rPr>
          <w:sz w:val="26"/>
          <w:szCs w:val="26"/>
        </w:rPr>
        <w:tab/>
      </w:r>
      <w:r>
        <w:rPr>
          <w:sz w:val="26"/>
          <w:szCs w:val="26"/>
        </w:rPr>
        <w:tab/>
      </w:r>
      <w:r>
        <w:rPr>
          <w:sz w:val="26"/>
          <w:szCs w:val="26"/>
        </w:rPr>
        <w:tab/>
      </w:r>
      <w:r>
        <w:rPr>
          <w:sz w:val="26"/>
          <w:szCs w:val="26"/>
        </w:rPr>
        <w:tab/>
      </w:r>
      <w:r>
        <w:rPr>
          <w:b/>
          <w:sz w:val="26"/>
          <w:szCs w:val="26"/>
        </w:rPr>
        <w:t>(ii</w:t>
      </w:r>
      <w:r w:rsidRPr="00931127">
        <w:rPr>
          <w:b/>
          <w:sz w:val="26"/>
          <w:szCs w:val="26"/>
        </w:rPr>
        <w:t>)</w:t>
      </w:r>
      <w:r w:rsidRPr="00931127">
        <w:rPr>
          <w:b/>
          <w:sz w:val="26"/>
          <w:szCs w:val="26"/>
        </w:rPr>
        <w:tab/>
        <w:t xml:space="preserve">OCA’s Replies to </w:t>
      </w:r>
      <w:proofErr w:type="spellStart"/>
      <w:r w:rsidRPr="00931127">
        <w:rPr>
          <w:b/>
          <w:sz w:val="26"/>
          <w:szCs w:val="26"/>
        </w:rPr>
        <w:t>Aqua’s</w:t>
      </w:r>
      <w:proofErr w:type="spellEnd"/>
      <w:r w:rsidRPr="00931127">
        <w:rPr>
          <w:b/>
          <w:sz w:val="26"/>
          <w:szCs w:val="26"/>
        </w:rPr>
        <w:t xml:space="preserve"> Exceptions</w:t>
      </w:r>
    </w:p>
    <w:p w14:paraId="72B66456" w14:textId="77777777" w:rsidR="005555CA" w:rsidRPr="002915C6" w:rsidRDefault="005555CA" w:rsidP="005555CA">
      <w:pPr>
        <w:pStyle w:val="FootnoteText"/>
        <w:keepNext/>
        <w:keepLines/>
        <w:widowControl/>
        <w:spacing w:line="360" w:lineRule="auto"/>
        <w:rPr>
          <w:sz w:val="26"/>
          <w:szCs w:val="26"/>
        </w:rPr>
      </w:pPr>
    </w:p>
    <w:p w14:paraId="5A3420F7" w14:textId="77777777" w:rsidR="005555CA" w:rsidRPr="002915C6" w:rsidRDefault="005555CA" w:rsidP="005555CA">
      <w:pPr>
        <w:pStyle w:val="FootnoteText"/>
        <w:widowControl/>
        <w:spacing w:line="360" w:lineRule="auto"/>
        <w:rPr>
          <w:sz w:val="26"/>
          <w:szCs w:val="26"/>
        </w:rPr>
      </w:pPr>
      <w:r w:rsidRPr="002915C6">
        <w:rPr>
          <w:sz w:val="26"/>
          <w:szCs w:val="26"/>
        </w:rPr>
        <w:tab/>
      </w:r>
      <w:r w:rsidRPr="002915C6">
        <w:rPr>
          <w:sz w:val="26"/>
          <w:szCs w:val="26"/>
        </w:rPr>
        <w:tab/>
      </w:r>
      <w:r>
        <w:rPr>
          <w:sz w:val="26"/>
          <w:szCs w:val="26"/>
        </w:rPr>
        <w:t>In r</w:t>
      </w:r>
      <w:r w:rsidRPr="002915C6">
        <w:rPr>
          <w:sz w:val="26"/>
          <w:szCs w:val="26"/>
        </w:rPr>
        <w:t xml:space="preserve">eply, Aqua states </w:t>
      </w:r>
      <w:r>
        <w:rPr>
          <w:sz w:val="26"/>
          <w:szCs w:val="26"/>
        </w:rPr>
        <w:t xml:space="preserve">that </w:t>
      </w:r>
      <w:r w:rsidRPr="002915C6">
        <w:rPr>
          <w:sz w:val="26"/>
          <w:szCs w:val="26"/>
        </w:rPr>
        <w:t>the OCA’s argument against the 13-year model is based on a lack of understa</w:t>
      </w:r>
      <w:r>
        <w:rPr>
          <w:sz w:val="26"/>
          <w:szCs w:val="26"/>
        </w:rPr>
        <w:t xml:space="preserve">nding regarding the use of the </w:t>
      </w:r>
      <w:r w:rsidRPr="002915C6">
        <w:rPr>
          <w:sz w:val="26"/>
          <w:szCs w:val="26"/>
        </w:rPr>
        <w:t>termin</w:t>
      </w:r>
      <w:r>
        <w:rPr>
          <w:sz w:val="26"/>
          <w:szCs w:val="26"/>
        </w:rPr>
        <w:t>al value.  Aqua explains that within the DCF analyses “the ‘terminal value’</w:t>
      </w:r>
      <w:r w:rsidRPr="002915C6">
        <w:rPr>
          <w:sz w:val="26"/>
          <w:szCs w:val="26"/>
        </w:rPr>
        <w:t xml:space="preserve"> is simply a point in time in which the growth in annual Debt Free Net Cash Flows changes from multiple growth rates to a constant growth rate.”  Aqua R. Exc. at 11.  According to Aqua, subsequent to time period 13 or year 2030, the growth in annual Debt Free Net Cash Flows is a constant gro</w:t>
      </w:r>
      <w:r>
        <w:rPr>
          <w:sz w:val="26"/>
          <w:szCs w:val="26"/>
        </w:rPr>
        <w:t xml:space="preserve">wth rate.  Aqua clarifies that </w:t>
      </w:r>
      <w:r w:rsidRPr="002915C6">
        <w:rPr>
          <w:sz w:val="26"/>
          <w:szCs w:val="26"/>
        </w:rPr>
        <w:t>the use of a</w:t>
      </w:r>
      <w:r>
        <w:rPr>
          <w:sz w:val="26"/>
          <w:szCs w:val="26"/>
        </w:rPr>
        <w:t xml:space="preserve"> terminal value in a DCF analysi</w:t>
      </w:r>
      <w:r w:rsidRPr="002915C6">
        <w:rPr>
          <w:sz w:val="26"/>
          <w:szCs w:val="26"/>
        </w:rPr>
        <w:t xml:space="preserve">s is a mathematical shortcut to avoid having to show and/or calculate annual Debt Free Net Cash Flows for hundreds of time periods, or hundreds of years, which Aqua believes is a reasonable and generally accepted valuation practice.  </w:t>
      </w:r>
      <w:r w:rsidRPr="002915C6">
        <w:rPr>
          <w:i/>
          <w:sz w:val="26"/>
          <w:szCs w:val="26"/>
        </w:rPr>
        <w:t xml:space="preserve">Id. </w:t>
      </w:r>
      <w:r w:rsidRPr="002915C6">
        <w:rPr>
          <w:sz w:val="26"/>
          <w:szCs w:val="26"/>
        </w:rPr>
        <w:t>(citing Aqua Stmt</w:t>
      </w:r>
      <w:r>
        <w:rPr>
          <w:sz w:val="26"/>
          <w:szCs w:val="26"/>
        </w:rPr>
        <w:t>.</w:t>
      </w:r>
      <w:r w:rsidRPr="002915C6">
        <w:rPr>
          <w:sz w:val="26"/>
          <w:szCs w:val="26"/>
        </w:rPr>
        <w:t xml:space="preserve"> 3R at 9-12; Aqua Sch. 2).</w:t>
      </w:r>
    </w:p>
    <w:p w14:paraId="1CE188F6" w14:textId="77777777" w:rsidR="005555CA" w:rsidRPr="002915C6" w:rsidRDefault="005555CA" w:rsidP="005555CA">
      <w:pPr>
        <w:pStyle w:val="FootnoteText"/>
        <w:widowControl/>
        <w:spacing w:line="360" w:lineRule="auto"/>
        <w:rPr>
          <w:sz w:val="26"/>
          <w:szCs w:val="26"/>
        </w:rPr>
      </w:pPr>
    </w:p>
    <w:p w14:paraId="1350080E" w14:textId="77777777" w:rsidR="005555CA" w:rsidRPr="002915C6" w:rsidRDefault="005555CA" w:rsidP="005555CA">
      <w:pPr>
        <w:pStyle w:val="FootnoteText"/>
        <w:widowControl/>
        <w:spacing w:line="360" w:lineRule="auto"/>
        <w:rPr>
          <w:sz w:val="26"/>
          <w:szCs w:val="26"/>
        </w:rPr>
      </w:pPr>
      <w:r w:rsidRPr="002915C6">
        <w:rPr>
          <w:sz w:val="26"/>
          <w:szCs w:val="26"/>
        </w:rPr>
        <w:tab/>
      </w:r>
      <w:r w:rsidRPr="002915C6">
        <w:rPr>
          <w:sz w:val="26"/>
          <w:szCs w:val="26"/>
        </w:rPr>
        <w:tab/>
        <w:t xml:space="preserve">Furthermore, Aqua argues </w:t>
      </w:r>
      <w:r>
        <w:rPr>
          <w:sz w:val="26"/>
          <w:szCs w:val="26"/>
        </w:rPr>
        <w:t xml:space="preserve">that </w:t>
      </w:r>
      <w:r w:rsidRPr="002915C6">
        <w:rPr>
          <w:sz w:val="26"/>
          <w:szCs w:val="26"/>
        </w:rPr>
        <w:t>the OCA’s proposed 50-year model, is not in accordance with accepted valuation practice and fails to represent the valuation of a going concern.  According to Aqua, this model understates the OCA’s indicated value by 10% to 19% under the OCA’s assumed Limerick ownership and by 10% to 14% under the OCA’s assumed Aqua ownership.  Aqua R. Exc. at 11 (citing Aqua Stmt</w:t>
      </w:r>
      <w:r>
        <w:rPr>
          <w:sz w:val="26"/>
          <w:szCs w:val="26"/>
        </w:rPr>
        <w:t>.</w:t>
      </w:r>
      <w:r w:rsidRPr="002915C6">
        <w:rPr>
          <w:sz w:val="26"/>
          <w:szCs w:val="26"/>
        </w:rPr>
        <w:t xml:space="preserve"> 3R at 4).  Aqua reiterates its argument that both the 13-year and 50-year models appropriately reflect the same 1.5% growth in capital expenditures and depreciation.  Aqua asserts that over the first fifty years, the model reflects $77.3 million of capital investment and over 100 years, the model reflects $244 million of capital investment.  Aqua avers that the ca</w:t>
      </w:r>
      <w:r>
        <w:rPr>
          <w:sz w:val="26"/>
          <w:szCs w:val="26"/>
        </w:rPr>
        <w:t>pital expenditure shown in the thirteenth</w:t>
      </w:r>
      <w:r w:rsidRPr="002915C6">
        <w:rPr>
          <w:sz w:val="26"/>
          <w:szCs w:val="26"/>
        </w:rPr>
        <w:t xml:space="preserve"> year of the model is $1.292 million and almost matches dollar for dollar the depreciation shown on the line above it.  Aqua concludes that contrary to the OCA’s argument, if the dollars of capital investment being reinvested into the system are matching the depreciation dollars, there is every possibility that the system would remain in a “state of good repair.”  R. Exc. at 12 (citing OCA Stmt</w:t>
      </w:r>
      <w:r>
        <w:rPr>
          <w:sz w:val="26"/>
          <w:szCs w:val="26"/>
        </w:rPr>
        <w:t>.</w:t>
      </w:r>
      <w:r w:rsidRPr="002915C6">
        <w:rPr>
          <w:sz w:val="26"/>
          <w:szCs w:val="26"/>
        </w:rPr>
        <w:t xml:space="preserve"> 2; OCA Sch. GAW-7 at 2; Tr. at 47-50).  Thus, Aqua requests that the Commission reject OCA Exception No. 3, because the OCA has failed to demonstrate that Gannett’s income approach methods are unreasonable.  Aqua R. Exc. at 12 (citing R.D. at 36).</w:t>
      </w:r>
    </w:p>
    <w:p w14:paraId="0051CDE4" w14:textId="77777777" w:rsidR="005555CA" w:rsidRDefault="005555CA" w:rsidP="005555CA">
      <w:pPr>
        <w:pStyle w:val="FootnoteText"/>
        <w:widowControl/>
        <w:spacing w:line="360" w:lineRule="auto"/>
        <w:rPr>
          <w:sz w:val="26"/>
          <w:szCs w:val="26"/>
        </w:rPr>
      </w:pPr>
    </w:p>
    <w:p w14:paraId="5D545E45" w14:textId="77777777" w:rsidR="005555CA" w:rsidRPr="00EB1E1E" w:rsidRDefault="005555CA" w:rsidP="005555CA">
      <w:pPr>
        <w:pStyle w:val="FootnoteText"/>
        <w:keepNext/>
        <w:keepLines/>
        <w:widowControl/>
        <w:spacing w:line="360" w:lineRule="auto"/>
        <w:rPr>
          <w:b/>
          <w:sz w:val="26"/>
          <w:szCs w:val="26"/>
        </w:rPr>
      </w:pPr>
      <w:r w:rsidRPr="00EB1E1E">
        <w:rPr>
          <w:b/>
          <w:sz w:val="26"/>
          <w:szCs w:val="26"/>
        </w:rPr>
        <w:tab/>
      </w:r>
      <w:r w:rsidRPr="00EB1E1E">
        <w:rPr>
          <w:b/>
          <w:sz w:val="26"/>
          <w:szCs w:val="26"/>
        </w:rPr>
        <w:tab/>
      </w:r>
      <w:r w:rsidRPr="00EB1E1E">
        <w:rPr>
          <w:b/>
          <w:sz w:val="26"/>
          <w:szCs w:val="26"/>
        </w:rPr>
        <w:tab/>
      </w:r>
      <w:r>
        <w:rPr>
          <w:b/>
          <w:sz w:val="26"/>
          <w:szCs w:val="26"/>
        </w:rPr>
        <w:tab/>
        <w:t>(iii</w:t>
      </w:r>
      <w:r w:rsidRPr="00EB1E1E">
        <w:rPr>
          <w:b/>
          <w:sz w:val="26"/>
          <w:szCs w:val="26"/>
        </w:rPr>
        <w:t>)</w:t>
      </w:r>
      <w:r w:rsidRPr="00EB1E1E">
        <w:rPr>
          <w:b/>
          <w:sz w:val="26"/>
          <w:szCs w:val="26"/>
        </w:rPr>
        <w:tab/>
        <w:t>Disposition</w:t>
      </w:r>
    </w:p>
    <w:p w14:paraId="08B170FC" w14:textId="77777777" w:rsidR="005555CA" w:rsidRPr="002915C6" w:rsidRDefault="005555CA" w:rsidP="005555CA">
      <w:pPr>
        <w:pStyle w:val="FootnoteText"/>
        <w:keepNext/>
        <w:keepLines/>
        <w:widowControl/>
        <w:spacing w:line="360" w:lineRule="auto"/>
        <w:rPr>
          <w:sz w:val="26"/>
          <w:szCs w:val="26"/>
        </w:rPr>
      </w:pPr>
    </w:p>
    <w:p w14:paraId="1A483556" w14:textId="77777777" w:rsidR="005555CA" w:rsidRPr="002915C6" w:rsidRDefault="005555CA" w:rsidP="005555CA">
      <w:pPr>
        <w:widowControl/>
        <w:autoSpaceDE w:val="0"/>
        <w:autoSpaceDN w:val="0"/>
        <w:adjustRightInd w:val="0"/>
        <w:spacing w:line="360" w:lineRule="auto"/>
        <w:ind w:firstLine="1440"/>
        <w:contextualSpacing/>
        <w:rPr>
          <w:sz w:val="26"/>
          <w:szCs w:val="26"/>
          <w:lang w:val="en"/>
        </w:rPr>
      </w:pPr>
      <w:r w:rsidRPr="002915C6">
        <w:rPr>
          <w:sz w:val="26"/>
          <w:szCs w:val="26"/>
          <w:lang w:val="en"/>
        </w:rPr>
        <w:t xml:space="preserve">Upon review of the record evidence and the arguments regarding this issue, we will deny OCA Exception No. 3.  We are convinced by </w:t>
      </w:r>
      <w:proofErr w:type="spellStart"/>
      <w:r w:rsidRPr="002915C6">
        <w:rPr>
          <w:sz w:val="26"/>
          <w:szCs w:val="26"/>
          <w:lang w:val="en"/>
        </w:rPr>
        <w:t>Aqua’s</w:t>
      </w:r>
      <w:proofErr w:type="spellEnd"/>
      <w:r w:rsidRPr="002915C6">
        <w:rPr>
          <w:sz w:val="26"/>
          <w:szCs w:val="26"/>
          <w:lang w:val="en"/>
        </w:rPr>
        <w:t xml:space="preserve"> arguments in support of the</w:t>
      </w:r>
      <w:r>
        <w:rPr>
          <w:sz w:val="26"/>
          <w:szCs w:val="26"/>
          <w:lang w:val="en"/>
        </w:rPr>
        <w:t xml:space="preserve"> </w:t>
      </w:r>
      <w:r w:rsidRPr="002915C6">
        <w:rPr>
          <w:sz w:val="26"/>
          <w:szCs w:val="26"/>
          <w:lang w:val="en"/>
        </w:rPr>
        <w:t xml:space="preserve">13-year model.  </w:t>
      </w:r>
      <w:r>
        <w:rPr>
          <w:sz w:val="26"/>
          <w:szCs w:val="26"/>
          <w:lang w:val="en"/>
        </w:rPr>
        <w:t>Further, we agree with the ALJ that the OCA has not provided sufficient evidence, or the necessary reasoning, to determine that Gannett’s income approach methods are unreasonable.  Accordingly, we find that Gannett’s income approach valuation of $75,204,407 as filed is just and reasonable.</w:t>
      </w:r>
    </w:p>
    <w:p w14:paraId="5F32EA26" w14:textId="77777777" w:rsidR="005555CA" w:rsidRDefault="005555CA" w:rsidP="005555CA">
      <w:pPr>
        <w:widowControl/>
        <w:autoSpaceDE w:val="0"/>
        <w:autoSpaceDN w:val="0"/>
        <w:adjustRightInd w:val="0"/>
        <w:spacing w:line="360" w:lineRule="auto"/>
        <w:ind w:firstLine="1440"/>
        <w:contextualSpacing/>
        <w:rPr>
          <w:sz w:val="26"/>
          <w:szCs w:val="26"/>
          <w:lang w:val="en"/>
        </w:rPr>
      </w:pPr>
    </w:p>
    <w:p w14:paraId="3F4D9FB4" w14:textId="77777777" w:rsidR="005555CA" w:rsidRPr="00BE5FF4" w:rsidRDefault="007A5AFC" w:rsidP="007A5AFC">
      <w:pPr>
        <w:pStyle w:val="ListParagraph"/>
        <w:keepNext/>
        <w:keepLines/>
        <w:widowControl/>
        <w:autoSpaceDE w:val="0"/>
        <w:autoSpaceDN w:val="0"/>
        <w:adjustRightInd w:val="0"/>
        <w:spacing w:line="360" w:lineRule="auto"/>
        <w:ind w:left="0"/>
        <w:rPr>
          <w:b/>
          <w:sz w:val="26"/>
          <w:szCs w:val="26"/>
          <w:lang w:val="en"/>
        </w:rPr>
      </w:pPr>
      <w:r>
        <w:rPr>
          <w:b/>
          <w:sz w:val="26"/>
          <w:szCs w:val="26"/>
          <w:lang w:val="en"/>
        </w:rPr>
        <w:tab/>
      </w:r>
      <w:r w:rsidR="006F3BBD">
        <w:rPr>
          <w:b/>
          <w:sz w:val="26"/>
          <w:szCs w:val="26"/>
          <w:lang w:val="en"/>
        </w:rPr>
        <w:tab/>
      </w:r>
      <w:r w:rsidR="006F3BBD">
        <w:rPr>
          <w:b/>
          <w:sz w:val="26"/>
          <w:szCs w:val="26"/>
          <w:lang w:val="en"/>
        </w:rPr>
        <w:tab/>
      </w:r>
      <w:r>
        <w:rPr>
          <w:b/>
          <w:sz w:val="26"/>
          <w:szCs w:val="26"/>
          <w:lang w:val="en"/>
        </w:rPr>
        <w:t>(</w:t>
      </w:r>
      <w:r w:rsidR="006F3BBD">
        <w:rPr>
          <w:b/>
          <w:sz w:val="26"/>
          <w:szCs w:val="26"/>
          <w:lang w:val="en"/>
        </w:rPr>
        <w:t>2</w:t>
      </w:r>
      <w:r>
        <w:rPr>
          <w:b/>
          <w:sz w:val="26"/>
          <w:szCs w:val="26"/>
          <w:lang w:val="en"/>
        </w:rPr>
        <w:t>)</w:t>
      </w:r>
      <w:r>
        <w:rPr>
          <w:b/>
          <w:sz w:val="26"/>
          <w:szCs w:val="26"/>
          <w:lang w:val="en"/>
        </w:rPr>
        <w:tab/>
      </w:r>
      <w:r w:rsidR="005555CA" w:rsidRPr="005555CA">
        <w:rPr>
          <w:b/>
          <w:sz w:val="26"/>
          <w:szCs w:val="26"/>
          <w:lang w:val="en"/>
        </w:rPr>
        <w:t>Discount</w:t>
      </w:r>
      <w:r w:rsidR="005555CA" w:rsidRPr="00BE5FF4">
        <w:rPr>
          <w:b/>
          <w:sz w:val="26"/>
          <w:szCs w:val="26"/>
          <w:lang w:val="en"/>
        </w:rPr>
        <w:t xml:space="preserve"> Rates</w:t>
      </w:r>
    </w:p>
    <w:p w14:paraId="1FF48573" w14:textId="77777777" w:rsidR="005555CA" w:rsidRDefault="005555CA" w:rsidP="007A5AFC">
      <w:pPr>
        <w:keepNext/>
        <w:keepLines/>
        <w:widowControl/>
        <w:autoSpaceDE w:val="0"/>
        <w:autoSpaceDN w:val="0"/>
        <w:adjustRightInd w:val="0"/>
        <w:spacing w:line="360" w:lineRule="auto"/>
        <w:rPr>
          <w:b/>
          <w:sz w:val="26"/>
          <w:szCs w:val="26"/>
          <w:lang w:val="en"/>
        </w:rPr>
      </w:pPr>
    </w:p>
    <w:p w14:paraId="02B04414" w14:textId="77777777" w:rsidR="005555CA" w:rsidRPr="00BE5FF4" w:rsidRDefault="006F3BBD" w:rsidP="007A5AFC">
      <w:pPr>
        <w:pStyle w:val="ListParagraph"/>
        <w:keepNext/>
        <w:keepLines/>
        <w:widowControl/>
        <w:autoSpaceDE w:val="0"/>
        <w:autoSpaceDN w:val="0"/>
        <w:adjustRightInd w:val="0"/>
        <w:spacing w:line="360" w:lineRule="auto"/>
        <w:ind w:left="0"/>
        <w:rPr>
          <w:b/>
          <w:sz w:val="26"/>
          <w:szCs w:val="26"/>
          <w:lang w:val="en"/>
        </w:rPr>
      </w:pPr>
      <w:r>
        <w:rPr>
          <w:b/>
          <w:sz w:val="26"/>
          <w:szCs w:val="26"/>
          <w:lang w:val="en"/>
        </w:rPr>
        <w:tab/>
      </w:r>
      <w:r>
        <w:rPr>
          <w:b/>
          <w:sz w:val="26"/>
          <w:szCs w:val="26"/>
          <w:lang w:val="en"/>
        </w:rPr>
        <w:tab/>
      </w:r>
      <w:r>
        <w:rPr>
          <w:b/>
          <w:sz w:val="26"/>
          <w:szCs w:val="26"/>
          <w:lang w:val="en"/>
        </w:rPr>
        <w:tab/>
      </w:r>
      <w:r>
        <w:rPr>
          <w:b/>
          <w:sz w:val="26"/>
          <w:szCs w:val="26"/>
          <w:lang w:val="en"/>
        </w:rPr>
        <w:tab/>
      </w:r>
      <w:r w:rsidR="007A5AFC">
        <w:rPr>
          <w:b/>
          <w:sz w:val="26"/>
          <w:szCs w:val="26"/>
          <w:lang w:val="en"/>
        </w:rPr>
        <w:t>(i)</w:t>
      </w:r>
      <w:r w:rsidR="007A5AFC">
        <w:rPr>
          <w:b/>
          <w:sz w:val="26"/>
          <w:szCs w:val="26"/>
          <w:lang w:val="en"/>
        </w:rPr>
        <w:tab/>
      </w:r>
      <w:r w:rsidR="005555CA" w:rsidRPr="00BE5FF4">
        <w:rPr>
          <w:b/>
          <w:sz w:val="26"/>
          <w:szCs w:val="26"/>
          <w:lang w:val="en"/>
        </w:rPr>
        <w:t>OCA’s Exception</w:t>
      </w:r>
    </w:p>
    <w:p w14:paraId="3F3068B1" w14:textId="77777777" w:rsidR="005555CA" w:rsidRDefault="005555CA" w:rsidP="007A5AFC">
      <w:pPr>
        <w:keepNext/>
        <w:keepLines/>
        <w:widowControl/>
        <w:autoSpaceDE w:val="0"/>
        <w:autoSpaceDN w:val="0"/>
        <w:adjustRightInd w:val="0"/>
        <w:spacing w:line="360" w:lineRule="auto"/>
        <w:rPr>
          <w:b/>
          <w:sz w:val="26"/>
          <w:szCs w:val="26"/>
          <w:lang w:val="en"/>
        </w:rPr>
      </w:pPr>
    </w:p>
    <w:p w14:paraId="3F2D1556" w14:textId="77777777" w:rsidR="005555CA" w:rsidRPr="002915C6" w:rsidRDefault="005555CA" w:rsidP="005555CA">
      <w:pPr>
        <w:widowControl/>
        <w:autoSpaceDE w:val="0"/>
        <w:autoSpaceDN w:val="0"/>
        <w:adjustRightInd w:val="0"/>
        <w:spacing w:line="360" w:lineRule="auto"/>
        <w:ind w:firstLine="1440"/>
        <w:contextualSpacing/>
        <w:rPr>
          <w:sz w:val="26"/>
          <w:szCs w:val="26"/>
        </w:rPr>
      </w:pPr>
      <w:r w:rsidRPr="002915C6">
        <w:rPr>
          <w:sz w:val="26"/>
          <w:szCs w:val="26"/>
          <w:lang w:val="en"/>
        </w:rPr>
        <w:t xml:space="preserve">With regard to </w:t>
      </w:r>
      <w:r>
        <w:rPr>
          <w:sz w:val="26"/>
          <w:szCs w:val="26"/>
          <w:lang w:val="en"/>
        </w:rPr>
        <w:t xml:space="preserve">the </w:t>
      </w:r>
      <w:r w:rsidRPr="002915C6">
        <w:rPr>
          <w:sz w:val="26"/>
          <w:szCs w:val="26"/>
          <w:lang w:val="en"/>
        </w:rPr>
        <w:t>OCA</w:t>
      </w:r>
      <w:r>
        <w:rPr>
          <w:sz w:val="26"/>
          <w:szCs w:val="26"/>
          <w:lang w:val="en"/>
        </w:rPr>
        <w:t>’s</w:t>
      </w:r>
      <w:r w:rsidRPr="002915C6">
        <w:rPr>
          <w:sz w:val="26"/>
          <w:szCs w:val="26"/>
          <w:lang w:val="en"/>
        </w:rPr>
        <w:t xml:space="preserve"> Exception No. 4, involving alternative discount rates, the OCA disagrees with the ALJ’s refusal to adopt the rates on the basis that the OCA did not show that Gannett’s discount rates were unreasonable.  </w:t>
      </w:r>
      <w:r>
        <w:rPr>
          <w:sz w:val="26"/>
          <w:szCs w:val="26"/>
          <w:lang w:val="en"/>
        </w:rPr>
        <w:t xml:space="preserve">The </w:t>
      </w:r>
      <w:r w:rsidRPr="002915C6">
        <w:rPr>
          <w:sz w:val="26"/>
          <w:szCs w:val="26"/>
          <w:lang w:val="en"/>
        </w:rPr>
        <w:t>OCA argues</w:t>
      </w:r>
      <w:r>
        <w:rPr>
          <w:sz w:val="26"/>
          <w:szCs w:val="26"/>
          <w:lang w:val="en"/>
        </w:rPr>
        <w:t xml:space="preserve"> that</w:t>
      </w:r>
      <w:r w:rsidRPr="002915C6">
        <w:rPr>
          <w:sz w:val="26"/>
          <w:szCs w:val="26"/>
          <w:lang w:val="en"/>
        </w:rPr>
        <w:t xml:space="preserve"> there is ample evidence demonstrating that Gannett’s failure to include equity in the discount rate from a municipal utility perspective and an IOU buyer’s perspective is unreasonable and serves to inflate the appraisal result.  OCA contends its witness provided more appropriate discount rates using a municipal utility’s cost of capital and an IOU’s cost of capital.  </w:t>
      </w:r>
      <w:r w:rsidRPr="002915C6">
        <w:rPr>
          <w:sz w:val="26"/>
          <w:szCs w:val="26"/>
        </w:rPr>
        <w:t xml:space="preserve">OCA Exc. at 13 (citing R.D. at 28-29).  </w:t>
      </w:r>
    </w:p>
    <w:p w14:paraId="3F985637" w14:textId="77777777" w:rsidR="005555CA" w:rsidRPr="002915C6" w:rsidRDefault="005555CA" w:rsidP="005555CA">
      <w:pPr>
        <w:widowControl/>
        <w:autoSpaceDE w:val="0"/>
        <w:autoSpaceDN w:val="0"/>
        <w:adjustRightInd w:val="0"/>
        <w:spacing w:line="360" w:lineRule="auto"/>
        <w:ind w:firstLine="1440"/>
        <w:contextualSpacing/>
        <w:rPr>
          <w:sz w:val="26"/>
          <w:szCs w:val="26"/>
        </w:rPr>
      </w:pPr>
    </w:p>
    <w:p w14:paraId="52304AE1" w14:textId="77777777" w:rsidR="005555CA" w:rsidRPr="002915C6" w:rsidRDefault="005555CA" w:rsidP="005555CA">
      <w:pPr>
        <w:widowControl/>
        <w:autoSpaceDE w:val="0"/>
        <w:autoSpaceDN w:val="0"/>
        <w:adjustRightInd w:val="0"/>
        <w:spacing w:line="360" w:lineRule="auto"/>
        <w:ind w:firstLine="1440"/>
        <w:contextualSpacing/>
        <w:rPr>
          <w:sz w:val="26"/>
          <w:szCs w:val="26"/>
        </w:rPr>
      </w:pPr>
      <w:r w:rsidRPr="002915C6">
        <w:rPr>
          <w:sz w:val="26"/>
          <w:szCs w:val="26"/>
        </w:rPr>
        <w:t xml:space="preserve">For emphasis, the OCA asserts that from a municipal utility seller’s perspective, </w:t>
      </w:r>
      <w:proofErr w:type="spellStart"/>
      <w:r w:rsidRPr="002915C6">
        <w:rPr>
          <w:sz w:val="26"/>
          <w:szCs w:val="26"/>
        </w:rPr>
        <w:t>Aqua’s</w:t>
      </w:r>
      <w:proofErr w:type="spellEnd"/>
      <w:r w:rsidRPr="002915C6">
        <w:rPr>
          <w:sz w:val="26"/>
          <w:szCs w:val="26"/>
        </w:rPr>
        <w:t xml:space="preserve"> use of a 4.37% discount rate based on the December 2016 municipal revenue bond yield is inappropriate because a firm’s cost of capital should reflect both its financial and business risks or the cost of debt and the opportunity cost of equity.   OCA Exc. at 13 (citing Aqua </w:t>
      </w:r>
      <w:proofErr w:type="spellStart"/>
      <w:r w:rsidRPr="002915C6">
        <w:rPr>
          <w:sz w:val="26"/>
          <w:szCs w:val="26"/>
        </w:rPr>
        <w:t>Exh</w:t>
      </w:r>
      <w:proofErr w:type="spellEnd"/>
      <w:r w:rsidRPr="002915C6">
        <w:rPr>
          <w:sz w:val="26"/>
          <w:szCs w:val="26"/>
        </w:rPr>
        <w:t xml:space="preserve">. Q at 28; OCA Stmt. 2 at 25).  </w:t>
      </w:r>
      <w:r>
        <w:rPr>
          <w:sz w:val="26"/>
          <w:szCs w:val="26"/>
        </w:rPr>
        <w:t xml:space="preserve">The </w:t>
      </w:r>
      <w:r w:rsidRPr="002915C6">
        <w:rPr>
          <w:sz w:val="26"/>
          <w:szCs w:val="26"/>
        </w:rPr>
        <w:t>OCA points out that Gannett’s witness, has, on numerous occasions in water and wastewater rate case proceedings, argued on behalf of municipalities for a significantly higher cost of equity than either the embedded or marginal cost of debt.  OCA Exc. at 13-14 (citing OCA Stmt. 2 at 25-26).  On the other hand, the OCA contends its witness developed a discount rate that utilized both equity and debt.  OCA Exc. at 14.</w:t>
      </w:r>
    </w:p>
    <w:p w14:paraId="21B57DD8" w14:textId="77777777" w:rsidR="005555CA" w:rsidRPr="002915C6" w:rsidRDefault="005555CA" w:rsidP="005555CA">
      <w:pPr>
        <w:widowControl/>
        <w:autoSpaceDE w:val="0"/>
        <w:autoSpaceDN w:val="0"/>
        <w:adjustRightInd w:val="0"/>
        <w:spacing w:line="360" w:lineRule="auto"/>
        <w:ind w:firstLine="1440"/>
        <w:contextualSpacing/>
        <w:rPr>
          <w:sz w:val="26"/>
          <w:szCs w:val="26"/>
        </w:rPr>
      </w:pPr>
    </w:p>
    <w:p w14:paraId="4AA994B8" w14:textId="56BAF463" w:rsidR="005555CA" w:rsidRDefault="005555CA" w:rsidP="005555CA">
      <w:pPr>
        <w:widowControl/>
        <w:autoSpaceDE w:val="0"/>
        <w:autoSpaceDN w:val="0"/>
        <w:adjustRightInd w:val="0"/>
        <w:spacing w:line="360" w:lineRule="auto"/>
        <w:ind w:firstLine="1440"/>
        <w:contextualSpacing/>
        <w:rPr>
          <w:sz w:val="26"/>
          <w:szCs w:val="26"/>
        </w:rPr>
      </w:pPr>
      <w:r w:rsidRPr="002915C6">
        <w:rPr>
          <w:sz w:val="26"/>
          <w:szCs w:val="26"/>
        </w:rPr>
        <w:t xml:space="preserve">Additionally, the OCA indicates that Mr. Watkins used the actual cost of equity for a municipal water utility that was recently involved in a fully litigated base rate case with the Commission.  </w:t>
      </w:r>
      <w:r>
        <w:rPr>
          <w:sz w:val="26"/>
          <w:szCs w:val="26"/>
        </w:rPr>
        <w:t xml:space="preserve">The </w:t>
      </w:r>
      <w:r w:rsidRPr="002915C6">
        <w:rPr>
          <w:sz w:val="26"/>
          <w:szCs w:val="26"/>
        </w:rPr>
        <w:t xml:space="preserve">OCA notes that Mr. Watkins also used Limerick’s actual embedded cost of debt of 3.39%, which is a conservative rate compared to the current cost of municipal bonds.  According to the OCA, Mr. Watkins then used Limerick’s actual capital structure and a hypothetical 50% debt/50% equity capital structure, which was also a conservative input.  </w:t>
      </w:r>
      <w:r>
        <w:rPr>
          <w:sz w:val="26"/>
          <w:szCs w:val="26"/>
        </w:rPr>
        <w:t xml:space="preserve">The </w:t>
      </w:r>
      <w:r w:rsidRPr="002915C6">
        <w:rPr>
          <w:sz w:val="26"/>
          <w:szCs w:val="26"/>
        </w:rPr>
        <w:t>OCA avers that the weighted cost of capital under these two capital structures results in total costs of capital of 6.89% and 5.50%, respectively.   OCA Exc. at 14 (citing OCA Stmt</w:t>
      </w:r>
      <w:r>
        <w:rPr>
          <w:sz w:val="26"/>
          <w:szCs w:val="26"/>
        </w:rPr>
        <w:t>.</w:t>
      </w:r>
      <w:r w:rsidRPr="002915C6">
        <w:rPr>
          <w:sz w:val="26"/>
          <w:szCs w:val="26"/>
        </w:rPr>
        <w:t xml:space="preserve"> 2 at 9-10, 26-29; OCA Sch. GAW-5, GAW-6).  </w:t>
      </w:r>
      <w:r>
        <w:rPr>
          <w:sz w:val="26"/>
          <w:szCs w:val="26"/>
        </w:rPr>
        <w:t xml:space="preserve">Also, the </w:t>
      </w:r>
      <w:r w:rsidRPr="002915C6">
        <w:rPr>
          <w:sz w:val="26"/>
          <w:szCs w:val="26"/>
        </w:rPr>
        <w:t xml:space="preserve">OCA contends </w:t>
      </w:r>
      <w:r>
        <w:rPr>
          <w:sz w:val="26"/>
          <w:szCs w:val="26"/>
        </w:rPr>
        <w:t xml:space="preserve">that </w:t>
      </w:r>
      <w:r w:rsidRPr="002915C6">
        <w:rPr>
          <w:sz w:val="26"/>
          <w:szCs w:val="26"/>
        </w:rPr>
        <w:t xml:space="preserve">it decided to use the embedded cost of debt </w:t>
      </w:r>
      <w:r>
        <w:rPr>
          <w:sz w:val="26"/>
          <w:szCs w:val="26"/>
        </w:rPr>
        <w:t xml:space="preserve">rather than Gannett’s marginal debt </w:t>
      </w:r>
      <w:r w:rsidRPr="002915C6">
        <w:rPr>
          <w:sz w:val="26"/>
          <w:szCs w:val="26"/>
        </w:rPr>
        <w:t>because it is lower</w:t>
      </w:r>
      <w:r>
        <w:rPr>
          <w:sz w:val="26"/>
          <w:szCs w:val="26"/>
        </w:rPr>
        <w:t xml:space="preserve">.  The OCA posits </w:t>
      </w:r>
      <w:r w:rsidRPr="002915C6">
        <w:rPr>
          <w:sz w:val="26"/>
          <w:szCs w:val="26"/>
        </w:rPr>
        <w:t>that using a higher marginal cost of debt would have resulted in higher cost of capital and ultimately, a higher discount rate</w:t>
      </w:r>
      <w:r>
        <w:rPr>
          <w:sz w:val="26"/>
          <w:szCs w:val="26"/>
        </w:rPr>
        <w:t xml:space="preserve"> and a reduction in</w:t>
      </w:r>
      <w:r w:rsidRPr="002915C6">
        <w:rPr>
          <w:sz w:val="26"/>
          <w:szCs w:val="26"/>
        </w:rPr>
        <w:t xml:space="preserve"> the DCF valuations.  </w:t>
      </w:r>
      <w:r>
        <w:rPr>
          <w:sz w:val="26"/>
          <w:szCs w:val="26"/>
        </w:rPr>
        <w:t xml:space="preserve">The </w:t>
      </w:r>
      <w:r w:rsidRPr="002915C6">
        <w:rPr>
          <w:sz w:val="26"/>
          <w:szCs w:val="26"/>
        </w:rPr>
        <w:t>OCA believes its proposed discount rate produces a more conservative and higher valuation.  OCA Exc. at</w:t>
      </w:r>
      <w:r>
        <w:rPr>
          <w:sz w:val="26"/>
          <w:szCs w:val="26"/>
        </w:rPr>
        <w:t> </w:t>
      </w:r>
      <w:r w:rsidRPr="002915C6">
        <w:rPr>
          <w:sz w:val="26"/>
          <w:szCs w:val="26"/>
        </w:rPr>
        <w:t xml:space="preserve">14-15.  Based on the above, the OCA asserts that its recommended valuation from the municipal utility perspective of $51,320,000, is reasonable and should therefore be adopted.  </w:t>
      </w:r>
      <w:r w:rsidRPr="002915C6">
        <w:rPr>
          <w:i/>
          <w:sz w:val="26"/>
          <w:szCs w:val="26"/>
        </w:rPr>
        <w:t>Id.</w:t>
      </w:r>
      <w:r w:rsidRPr="002915C6">
        <w:rPr>
          <w:sz w:val="26"/>
          <w:szCs w:val="26"/>
        </w:rPr>
        <w:t xml:space="preserve"> at 15 (citing OCA M.B. at 38; OCA Stmt</w:t>
      </w:r>
      <w:r>
        <w:rPr>
          <w:sz w:val="26"/>
          <w:szCs w:val="26"/>
        </w:rPr>
        <w:t>.</w:t>
      </w:r>
      <w:r w:rsidRPr="002915C6">
        <w:rPr>
          <w:sz w:val="26"/>
          <w:szCs w:val="26"/>
        </w:rPr>
        <w:t xml:space="preserve"> 2 at 29; OCA Sch. GAW-5, GAW-6).</w:t>
      </w:r>
    </w:p>
    <w:p w14:paraId="66BB3B19" w14:textId="77777777" w:rsidR="005555CA" w:rsidRPr="002915C6" w:rsidRDefault="005555CA" w:rsidP="005555CA">
      <w:pPr>
        <w:widowControl/>
        <w:autoSpaceDE w:val="0"/>
        <w:autoSpaceDN w:val="0"/>
        <w:adjustRightInd w:val="0"/>
        <w:spacing w:line="360" w:lineRule="auto"/>
        <w:ind w:firstLine="1440"/>
        <w:contextualSpacing/>
        <w:rPr>
          <w:sz w:val="26"/>
          <w:szCs w:val="26"/>
        </w:rPr>
      </w:pPr>
    </w:p>
    <w:p w14:paraId="37D70945" w14:textId="77777777" w:rsidR="005555CA" w:rsidRPr="002915C6" w:rsidRDefault="005555CA" w:rsidP="005555CA">
      <w:pPr>
        <w:widowControl/>
        <w:autoSpaceDE w:val="0"/>
        <w:autoSpaceDN w:val="0"/>
        <w:adjustRightInd w:val="0"/>
        <w:spacing w:line="360" w:lineRule="auto"/>
        <w:ind w:firstLine="1440"/>
        <w:contextualSpacing/>
        <w:rPr>
          <w:sz w:val="26"/>
          <w:szCs w:val="26"/>
        </w:rPr>
      </w:pPr>
      <w:r w:rsidRPr="002915C6">
        <w:rPr>
          <w:sz w:val="26"/>
          <w:szCs w:val="26"/>
        </w:rPr>
        <w:t xml:space="preserve">From an IOU buyer’s perspective, the OCA contends there is sufficient evidence in the record to show that Mr. Walker’s discount rate is unreasonable and serves to inflate the appraisal value.  OCA Exc. at 15.  </w:t>
      </w:r>
      <w:r>
        <w:rPr>
          <w:sz w:val="26"/>
          <w:szCs w:val="26"/>
        </w:rPr>
        <w:t xml:space="preserve">The </w:t>
      </w:r>
      <w:r w:rsidRPr="002915C6">
        <w:rPr>
          <w:sz w:val="26"/>
          <w:szCs w:val="26"/>
        </w:rPr>
        <w:t xml:space="preserve">OCA argues that rather than using Mr. Walker’s capital structure of 24.5% debt/75.5% equity, which is based on market ratios instead of book ratios, it recommended using </w:t>
      </w:r>
      <w:proofErr w:type="spellStart"/>
      <w:r w:rsidRPr="002915C6">
        <w:rPr>
          <w:sz w:val="26"/>
          <w:szCs w:val="26"/>
        </w:rPr>
        <w:t>Aqua’s</w:t>
      </w:r>
      <w:proofErr w:type="spellEnd"/>
      <w:r w:rsidRPr="002915C6">
        <w:rPr>
          <w:sz w:val="26"/>
          <w:szCs w:val="26"/>
        </w:rPr>
        <w:t xml:space="preserve"> actual book equity ratio of 51.5% because Aqua will be financing the Limerick transaction with a combination of book equity and book debt.  From the OCA’s point of view, the use of book equity ratio would produce a more reasonable valuation result.  OCA Exc. at 15-16 (citing OCA Stmt</w:t>
      </w:r>
      <w:r>
        <w:rPr>
          <w:sz w:val="26"/>
          <w:szCs w:val="26"/>
        </w:rPr>
        <w:t>.</w:t>
      </w:r>
      <w:r w:rsidRPr="002915C6">
        <w:rPr>
          <w:sz w:val="26"/>
          <w:szCs w:val="26"/>
        </w:rPr>
        <w:t xml:space="preserve"> 2 at 27-28).  Further, the OCA avers </w:t>
      </w:r>
      <w:r>
        <w:rPr>
          <w:sz w:val="26"/>
          <w:szCs w:val="26"/>
        </w:rPr>
        <w:t xml:space="preserve">that </w:t>
      </w:r>
      <w:r w:rsidRPr="002915C6">
        <w:rPr>
          <w:sz w:val="26"/>
          <w:szCs w:val="26"/>
        </w:rPr>
        <w:t xml:space="preserve">its proposed cost of equity of 9.3%, which is also within </w:t>
      </w:r>
      <w:proofErr w:type="spellStart"/>
      <w:r w:rsidRPr="002915C6">
        <w:rPr>
          <w:sz w:val="26"/>
          <w:szCs w:val="26"/>
        </w:rPr>
        <w:t>Aqua’s</w:t>
      </w:r>
      <w:proofErr w:type="spellEnd"/>
      <w:r w:rsidRPr="002915C6">
        <w:rPr>
          <w:sz w:val="26"/>
          <w:szCs w:val="26"/>
        </w:rPr>
        <w:t xml:space="preserve"> equity range of 7.96% to 9.76%, is derived from the most recent base rate case of a comparable municipal entity.  </w:t>
      </w:r>
      <w:r>
        <w:rPr>
          <w:sz w:val="26"/>
          <w:szCs w:val="26"/>
        </w:rPr>
        <w:t>OCA Exc. at 16 (citing</w:t>
      </w:r>
      <w:r w:rsidRPr="005E7D9B">
        <w:rPr>
          <w:i/>
          <w:sz w:val="26"/>
          <w:szCs w:val="26"/>
        </w:rPr>
        <w:t xml:space="preserve"> </w:t>
      </w:r>
      <w:r w:rsidRPr="00046BC8">
        <w:rPr>
          <w:i/>
          <w:sz w:val="26"/>
          <w:szCs w:val="26"/>
        </w:rPr>
        <w:t>Pa. P.U.C. City of Dubois – Bureau of Water,</w:t>
      </w:r>
      <w:r w:rsidRPr="00046BC8">
        <w:rPr>
          <w:sz w:val="26"/>
          <w:szCs w:val="26"/>
        </w:rPr>
        <w:t xml:space="preserve"> Docket No. R-2016-2554150 (Order entered March 28, 2017)</w:t>
      </w:r>
      <w:r>
        <w:rPr>
          <w:sz w:val="26"/>
          <w:szCs w:val="26"/>
        </w:rPr>
        <w:t xml:space="preserve"> at 97-98).  </w:t>
      </w:r>
      <w:r w:rsidRPr="002915C6">
        <w:rPr>
          <w:sz w:val="26"/>
          <w:szCs w:val="26"/>
        </w:rPr>
        <w:t>According to the OCA, this results in a total cost of capital of 6.09% after considering net of tax cost debt, and produces the OCA’s adjusted income valuation of $55,864,000.  OCA Exc. at 16 (citing OCA Stmt</w:t>
      </w:r>
      <w:r>
        <w:rPr>
          <w:sz w:val="26"/>
          <w:szCs w:val="26"/>
        </w:rPr>
        <w:t>.</w:t>
      </w:r>
      <w:r w:rsidRPr="002915C6">
        <w:rPr>
          <w:sz w:val="26"/>
          <w:szCs w:val="26"/>
        </w:rPr>
        <w:t xml:space="preserve"> 2 at 28; OCA Stmt</w:t>
      </w:r>
      <w:r>
        <w:rPr>
          <w:sz w:val="26"/>
          <w:szCs w:val="26"/>
        </w:rPr>
        <w:t>.</w:t>
      </w:r>
      <w:r w:rsidRPr="002915C6">
        <w:rPr>
          <w:sz w:val="26"/>
          <w:szCs w:val="26"/>
        </w:rPr>
        <w:t xml:space="preserve"> 2S at 6-7).  </w:t>
      </w:r>
      <w:r>
        <w:rPr>
          <w:sz w:val="26"/>
          <w:szCs w:val="26"/>
        </w:rPr>
        <w:t xml:space="preserve">The </w:t>
      </w:r>
      <w:r w:rsidRPr="002915C6">
        <w:rPr>
          <w:sz w:val="26"/>
          <w:szCs w:val="26"/>
        </w:rPr>
        <w:t xml:space="preserve">OCA further rejects </w:t>
      </w:r>
      <w:proofErr w:type="spellStart"/>
      <w:r w:rsidRPr="002915C6">
        <w:rPr>
          <w:sz w:val="26"/>
          <w:szCs w:val="26"/>
        </w:rPr>
        <w:t>Aqua’s</w:t>
      </w:r>
      <w:proofErr w:type="spellEnd"/>
      <w:r w:rsidRPr="002915C6">
        <w:rPr>
          <w:sz w:val="26"/>
          <w:szCs w:val="26"/>
        </w:rPr>
        <w:t xml:space="preserve"> argument that the OCA’s proposed rates are unreasonable because Limerick is not regulated by the Commission.  </w:t>
      </w:r>
      <w:r>
        <w:rPr>
          <w:sz w:val="26"/>
          <w:szCs w:val="26"/>
        </w:rPr>
        <w:t xml:space="preserve">The </w:t>
      </w:r>
      <w:r w:rsidRPr="002915C6">
        <w:rPr>
          <w:sz w:val="26"/>
          <w:szCs w:val="26"/>
        </w:rPr>
        <w:t xml:space="preserve">OCA argues that because Limerick will be regulated by the Commission once this transaction is finalized, it is appropriate to use a Commission-authorized return for the analysis.  Thus, the OCA requests that the Commission reject the ALJ’s recommendation and adopt the OCA’s proposed valuation of $55,864,000.  OCA Exc. at 16-17.  </w:t>
      </w:r>
    </w:p>
    <w:p w14:paraId="4F8B7814" w14:textId="77777777" w:rsidR="005555CA" w:rsidRDefault="005555CA" w:rsidP="005555CA">
      <w:pPr>
        <w:widowControl/>
        <w:autoSpaceDE w:val="0"/>
        <w:autoSpaceDN w:val="0"/>
        <w:adjustRightInd w:val="0"/>
        <w:spacing w:line="360" w:lineRule="auto"/>
        <w:ind w:firstLine="1440"/>
        <w:contextualSpacing/>
        <w:rPr>
          <w:sz w:val="26"/>
          <w:szCs w:val="26"/>
        </w:rPr>
      </w:pPr>
    </w:p>
    <w:p w14:paraId="348A7334" w14:textId="77777777" w:rsidR="005555CA" w:rsidRPr="0062542F" w:rsidRDefault="005555CA" w:rsidP="005555CA">
      <w:pPr>
        <w:widowControl/>
        <w:autoSpaceDE w:val="0"/>
        <w:autoSpaceDN w:val="0"/>
        <w:adjustRightInd w:val="0"/>
        <w:spacing w:line="360" w:lineRule="auto"/>
        <w:ind w:firstLine="1440"/>
        <w:contextualSpacing/>
        <w:rPr>
          <w:b/>
          <w:sz w:val="26"/>
          <w:szCs w:val="26"/>
        </w:rPr>
      </w:pPr>
      <w:r>
        <w:rPr>
          <w:sz w:val="26"/>
          <w:szCs w:val="26"/>
        </w:rPr>
        <w:tab/>
      </w:r>
      <w:r>
        <w:rPr>
          <w:sz w:val="26"/>
          <w:szCs w:val="26"/>
        </w:rPr>
        <w:tab/>
      </w:r>
      <w:r w:rsidR="004C4611">
        <w:rPr>
          <w:b/>
          <w:sz w:val="26"/>
          <w:szCs w:val="26"/>
        </w:rPr>
        <w:t>(ii</w:t>
      </w:r>
      <w:r w:rsidRPr="0062542F">
        <w:rPr>
          <w:b/>
          <w:sz w:val="26"/>
          <w:szCs w:val="26"/>
        </w:rPr>
        <w:t>)</w:t>
      </w:r>
      <w:r w:rsidRPr="0062542F">
        <w:rPr>
          <w:b/>
          <w:sz w:val="26"/>
          <w:szCs w:val="26"/>
        </w:rPr>
        <w:tab/>
      </w:r>
      <w:proofErr w:type="spellStart"/>
      <w:r w:rsidRPr="0062542F">
        <w:rPr>
          <w:b/>
          <w:sz w:val="26"/>
          <w:szCs w:val="26"/>
        </w:rPr>
        <w:t>Aqua’s</w:t>
      </w:r>
      <w:proofErr w:type="spellEnd"/>
      <w:r w:rsidRPr="0062542F">
        <w:rPr>
          <w:b/>
          <w:sz w:val="26"/>
          <w:szCs w:val="26"/>
        </w:rPr>
        <w:t xml:space="preserve"> Replies to the OCA’s Exceptions</w:t>
      </w:r>
    </w:p>
    <w:p w14:paraId="3E7266DC" w14:textId="77777777" w:rsidR="005555CA" w:rsidRPr="002915C6" w:rsidRDefault="005555CA" w:rsidP="005555CA">
      <w:pPr>
        <w:widowControl/>
        <w:autoSpaceDE w:val="0"/>
        <w:autoSpaceDN w:val="0"/>
        <w:adjustRightInd w:val="0"/>
        <w:spacing w:line="360" w:lineRule="auto"/>
        <w:ind w:firstLine="1440"/>
        <w:contextualSpacing/>
        <w:rPr>
          <w:sz w:val="26"/>
          <w:szCs w:val="26"/>
        </w:rPr>
      </w:pPr>
    </w:p>
    <w:p w14:paraId="45E0DF03" w14:textId="77777777" w:rsidR="005555CA" w:rsidRPr="002915C6" w:rsidRDefault="005555CA" w:rsidP="005555CA">
      <w:pPr>
        <w:pStyle w:val="FootnoteText"/>
        <w:widowControl/>
        <w:spacing w:line="360" w:lineRule="auto"/>
        <w:ind w:firstLine="1440"/>
        <w:rPr>
          <w:sz w:val="26"/>
          <w:szCs w:val="26"/>
          <w:lang w:val="en"/>
        </w:rPr>
      </w:pPr>
      <w:r>
        <w:rPr>
          <w:sz w:val="26"/>
          <w:szCs w:val="26"/>
        </w:rPr>
        <w:t>In r</w:t>
      </w:r>
      <w:r w:rsidRPr="002915C6">
        <w:rPr>
          <w:sz w:val="26"/>
          <w:szCs w:val="26"/>
        </w:rPr>
        <w:t xml:space="preserve">eply, Aqua avers </w:t>
      </w:r>
      <w:r>
        <w:rPr>
          <w:sz w:val="26"/>
          <w:szCs w:val="26"/>
        </w:rPr>
        <w:t xml:space="preserve">that </w:t>
      </w:r>
      <w:r w:rsidRPr="002915C6">
        <w:rPr>
          <w:sz w:val="26"/>
          <w:szCs w:val="26"/>
        </w:rPr>
        <w:t>the OCA’s proposed d</w:t>
      </w:r>
      <w:r>
        <w:rPr>
          <w:sz w:val="26"/>
          <w:szCs w:val="26"/>
        </w:rPr>
        <w:t xml:space="preserve">iscount rate, which is based on Township </w:t>
      </w:r>
      <w:r w:rsidRPr="002915C6">
        <w:rPr>
          <w:sz w:val="26"/>
          <w:szCs w:val="26"/>
        </w:rPr>
        <w:t xml:space="preserve">equity capital and debt, is neither reasonable nor in accordance with accepted valuation practice for the following reasons.  First, the </w:t>
      </w:r>
      <w:r>
        <w:rPr>
          <w:sz w:val="26"/>
          <w:szCs w:val="26"/>
        </w:rPr>
        <w:t xml:space="preserve">Company contends that the </w:t>
      </w:r>
      <w:r w:rsidRPr="002915C6">
        <w:rPr>
          <w:sz w:val="26"/>
          <w:szCs w:val="26"/>
        </w:rPr>
        <w:t xml:space="preserve">OCA’s proposed cost of capital is “based on methods used by witnesses who provide testimony before the Commission who are tasked with determining a cost of capital for </w:t>
      </w:r>
      <w:r w:rsidRPr="002915C6">
        <w:rPr>
          <w:i/>
          <w:sz w:val="26"/>
          <w:szCs w:val="26"/>
        </w:rPr>
        <w:t>a portion</w:t>
      </w:r>
      <w:r w:rsidRPr="002915C6">
        <w:rPr>
          <w:sz w:val="26"/>
          <w:szCs w:val="26"/>
        </w:rPr>
        <w:t xml:space="preserve"> of the asset of a municipality that provides utility service </w:t>
      </w:r>
      <w:r w:rsidRPr="002915C6">
        <w:rPr>
          <w:i/>
          <w:sz w:val="26"/>
          <w:szCs w:val="26"/>
        </w:rPr>
        <w:t xml:space="preserve">outside </w:t>
      </w:r>
      <w:r w:rsidRPr="002915C6">
        <w:rPr>
          <w:sz w:val="26"/>
          <w:szCs w:val="26"/>
        </w:rPr>
        <w:t xml:space="preserve">its corporate limits or boundaries.”  Aqua R. Exc. at 13.  Aqua avers that unlike those municipalities, Limerick is not regulated by the Commission.  </w:t>
      </w:r>
      <w:r w:rsidRPr="002915C6">
        <w:rPr>
          <w:i/>
          <w:sz w:val="26"/>
          <w:szCs w:val="26"/>
        </w:rPr>
        <w:t>Id</w:t>
      </w:r>
      <w:r w:rsidRPr="002915C6">
        <w:rPr>
          <w:sz w:val="26"/>
          <w:szCs w:val="26"/>
        </w:rPr>
        <w:t xml:space="preserve">.  Aqua also asserts that the embedded cost of debt and the book capitalization ratios used by the OCA in its analysis are used only in rate proceedings, whereas the marginal cost of debt and market value capitalization ratios used by Gannett are the most appropriate and generally accepted measures for market valuation.  </w:t>
      </w:r>
      <w:r w:rsidRPr="002915C6">
        <w:rPr>
          <w:i/>
          <w:sz w:val="26"/>
          <w:szCs w:val="26"/>
        </w:rPr>
        <w:t>Id</w:t>
      </w:r>
      <w:r w:rsidRPr="002915C6">
        <w:rPr>
          <w:sz w:val="26"/>
          <w:szCs w:val="26"/>
        </w:rPr>
        <w:t>. at 13-14 (Aqua Stmt. 3R at 6-7).  In addition, Aqua disagrees with the OCA’s use of book equity in determining the cost of capital since Limerick or any other municipal or government entity can never marginally finance a project with equity.  Aqua contends that municipal entities can only finance with debt capital not equity capital.  Aqua argues that for market valuation purposes, municipal capital structure must be 100% marginal debt.  Finally, Aqua asserts that the OCA’s use of Limerick’s cost of capital does not conform to the “hypothetical buyer” or “hypothetical seller” of fair market valuation.  Aqua R. Exc. at 14 (citing Aqua Stmt</w:t>
      </w:r>
      <w:r>
        <w:rPr>
          <w:sz w:val="26"/>
          <w:szCs w:val="26"/>
        </w:rPr>
        <w:t>.</w:t>
      </w:r>
      <w:r w:rsidRPr="002915C6">
        <w:rPr>
          <w:sz w:val="26"/>
          <w:szCs w:val="26"/>
        </w:rPr>
        <w:t xml:space="preserve"> 3R at 6-7).</w:t>
      </w:r>
    </w:p>
    <w:p w14:paraId="5ED84ECE" w14:textId="77777777" w:rsidR="005555CA" w:rsidRDefault="005555CA" w:rsidP="005555CA">
      <w:pPr>
        <w:widowControl/>
        <w:autoSpaceDE w:val="0"/>
        <w:autoSpaceDN w:val="0"/>
        <w:adjustRightInd w:val="0"/>
        <w:spacing w:line="360" w:lineRule="auto"/>
        <w:ind w:firstLine="1440"/>
        <w:contextualSpacing/>
        <w:rPr>
          <w:sz w:val="26"/>
          <w:szCs w:val="26"/>
          <w:lang w:val="en"/>
        </w:rPr>
      </w:pPr>
    </w:p>
    <w:p w14:paraId="2B541113" w14:textId="77777777" w:rsidR="005555CA" w:rsidRPr="00185C7A" w:rsidRDefault="005555CA" w:rsidP="005555CA">
      <w:pPr>
        <w:widowControl/>
        <w:autoSpaceDE w:val="0"/>
        <w:autoSpaceDN w:val="0"/>
        <w:adjustRightInd w:val="0"/>
        <w:spacing w:line="360" w:lineRule="auto"/>
        <w:ind w:firstLine="1440"/>
        <w:contextualSpacing/>
        <w:rPr>
          <w:b/>
          <w:sz w:val="26"/>
          <w:szCs w:val="26"/>
          <w:lang w:val="en"/>
        </w:rPr>
      </w:pPr>
      <w:r>
        <w:rPr>
          <w:sz w:val="26"/>
          <w:szCs w:val="26"/>
          <w:lang w:val="en"/>
        </w:rPr>
        <w:tab/>
      </w:r>
      <w:r>
        <w:rPr>
          <w:sz w:val="26"/>
          <w:szCs w:val="26"/>
          <w:lang w:val="en"/>
        </w:rPr>
        <w:tab/>
      </w:r>
      <w:r w:rsidR="004C4611">
        <w:rPr>
          <w:b/>
          <w:sz w:val="26"/>
          <w:szCs w:val="26"/>
          <w:lang w:val="en"/>
        </w:rPr>
        <w:t>(iii</w:t>
      </w:r>
      <w:r w:rsidRPr="00185C7A">
        <w:rPr>
          <w:b/>
          <w:sz w:val="26"/>
          <w:szCs w:val="26"/>
          <w:lang w:val="en"/>
        </w:rPr>
        <w:t>)</w:t>
      </w:r>
      <w:r>
        <w:rPr>
          <w:b/>
          <w:sz w:val="26"/>
          <w:szCs w:val="26"/>
          <w:lang w:val="en"/>
        </w:rPr>
        <w:tab/>
      </w:r>
      <w:r w:rsidRPr="00185C7A">
        <w:rPr>
          <w:b/>
          <w:sz w:val="26"/>
          <w:szCs w:val="26"/>
          <w:lang w:val="en"/>
        </w:rPr>
        <w:t>Disposition</w:t>
      </w:r>
    </w:p>
    <w:p w14:paraId="531FD061" w14:textId="77777777" w:rsidR="005555CA" w:rsidRPr="002915C6" w:rsidRDefault="005555CA" w:rsidP="005555CA">
      <w:pPr>
        <w:widowControl/>
        <w:autoSpaceDE w:val="0"/>
        <w:autoSpaceDN w:val="0"/>
        <w:adjustRightInd w:val="0"/>
        <w:spacing w:line="360" w:lineRule="auto"/>
        <w:ind w:firstLine="1440"/>
        <w:contextualSpacing/>
        <w:rPr>
          <w:sz w:val="26"/>
          <w:szCs w:val="26"/>
          <w:lang w:val="en"/>
        </w:rPr>
      </w:pPr>
    </w:p>
    <w:p w14:paraId="068A0836" w14:textId="77777777" w:rsidR="005555CA" w:rsidRPr="002915C6" w:rsidRDefault="005555CA" w:rsidP="005555CA">
      <w:pPr>
        <w:keepNext/>
        <w:keepLines/>
        <w:widowControl/>
        <w:spacing w:line="360" w:lineRule="auto"/>
        <w:ind w:firstLine="1440"/>
        <w:contextualSpacing/>
        <w:rPr>
          <w:sz w:val="26"/>
          <w:szCs w:val="26"/>
          <w:lang w:val="en"/>
        </w:rPr>
      </w:pPr>
      <w:r w:rsidRPr="002915C6">
        <w:rPr>
          <w:sz w:val="26"/>
          <w:szCs w:val="26"/>
          <w:lang w:val="en"/>
        </w:rPr>
        <w:t>Upon review of the record evidence and the argument</w:t>
      </w:r>
      <w:r>
        <w:rPr>
          <w:sz w:val="26"/>
          <w:szCs w:val="26"/>
          <w:lang w:val="en"/>
        </w:rPr>
        <w:t>s</w:t>
      </w:r>
      <w:r w:rsidRPr="002915C6">
        <w:rPr>
          <w:sz w:val="26"/>
          <w:szCs w:val="26"/>
          <w:lang w:val="en"/>
        </w:rPr>
        <w:t xml:space="preserve"> put forth by the Parties, we will </w:t>
      </w:r>
      <w:r>
        <w:rPr>
          <w:sz w:val="26"/>
          <w:szCs w:val="26"/>
          <w:lang w:val="en"/>
        </w:rPr>
        <w:t xml:space="preserve">adopt the ALJ’s recommendation regarding this matter and </w:t>
      </w:r>
      <w:r w:rsidRPr="002915C6">
        <w:rPr>
          <w:sz w:val="26"/>
          <w:szCs w:val="26"/>
          <w:lang w:val="en"/>
        </w:rPr>
        <w:t>deny the OCA’s Exception No. 4.  We are not convinced that the OCA provided sufficient evidence to demonstrate that Gannett’s discount rate calculations are unreasonable from a municipal seller or IOU buyer’s perspective.  As such, we will deny the OCA’s Exceptions and accept Gannett’s income approach valuation of $75,204,407</w:t>
      </w:r>
      <w:r>
        <w:rPr>
          <w:sz w:val="26"/>
          <w:szCs w:val="26"/>
          <w:lang w:val="en"/>
        </w:rPr>
        <w:t xml:space="preserve"> as filed.</w:t>
      </w:r>
    </w:p>
    <w:p w14:paraId="7869B377" w14:textId="77777777" w:rsidR="00EA7856" w:rsidRPr="002915C6" w:rsidRDefault="00EA7856" w:rsidP="0012768D">
      <w:pPr>
        <w:widowControl/>
        <w:tabs>
          <w:tab w:val="left" w:pos="2610"/>
        </w:tabs>
        <w:spacing w:line="360" w:lineRule="auto"/>
        <w:rPr>
          <w:sz w:val="26"/>
          <w:szCs w:val="26"/>
          <w:lang w:val="en"/>
        </w:rPr>
      </w:pPr>
    </w:p>
    <w:p w14:paraId="0A16D0BF" w14:textId="77777777" w:rsidR="004C4611" w:rsidRDefault="00EB3097" w:rsidP="00CD2D67">
      <w:pPr>
        <w:keepNext/>
        <w:keepLines/>
        <w:widowControl/>
        <w:spacing w:line="360" w:lineRule="auto"/>
        <w:rPr>
          <w:b/>
          <w:sz w:val="26"/>
          <w:szCs w:val="26"/>
          <w:lang w:val="en"/>
        </w:rPr>
      </w:pPr>
      <w:r>
        <w:rPr>
          <w:b/>
          <w:sz w:val="26"/>
          <w:szCs w:val="26"/>
          <w:lang w:val="en"/>
        </w:rPr>
        <w:tab/>
      </w:r>
      <w:r w:rsidR="00CD2D67">
        <w:rPr>
          <w:b/>
          <w:sz w:val="26"/>
          <w:szCs w:val="26"/>
          <w:lang w:val="en"/>
        </w:rPr>
        <w:tab/>
      </w:r>
      <w:r w:rsidR="006F3BBD">
        <w:rPr>
          <w:b/>
          <w:sz w:val="26"/>
          <w:szCs w:val="26"/>
          <w:lang w:val="en"/>
        </w:rPr>
        <w:t>c</w:t>
      </w:r>
      <w:r w:rsidR="004C4611">
        <w:rPr>
          <w:b/>
          <w:sz w:val="26"/>
          <w:szCs w:val="26"/>
          <w:lang w:val="en"/>
        </w:rPr>
        <w:t xml:space="preserve">. </w:t>
      </w:r>
      <w:r w:rsidR="00252E54">
        <w:rPr>
          <w:b/>
          <w:sz w:val="26"/>
          <w:szCs w:val="26"/>
          <w:lang w:val="en"/>
        </w:rPr>
        <w:tab/>
      </w:r>
      <w:r w:rsidR="004C4611">
        <w:rPr>
          <w:b/>
          <w:sz w:val="26"/>
          <w:szCs w:val="26"/>
          <w:lang w:val="en"/>
        </w:rPr>
        <w:t>HRG’s Cost Approach</w:t>
      </w:r>
      <w:r w:rsidR="002534FF">
        <w:rPr>
          <w:b/>
          <w:sz w:val="26"/>
          <w:szCs w:val="26"/>
          <w:lang w:val="en"/>
        </w:rPr>
        <w:t>.</w:t>
      </w:r>
    </w:p>
    <w:p w14:paraId="2852F43F" w14:textId="77777777" w:rsidR="004C4611" w:rsidRDefault="004C4611" w:rsidP="00CD2D67">
      <w:pPr>
        <w:keepNext/>
        <w:keepLines/>
        <w:widowControl/>
        <w:spacing w:line="360" w:lineRule="auto"/>
        <w:rPr>
          <w:b/>
          <w:sz w:val="26"/>
          <w:szCs w:val="26"/>
          <w:lang w:val="en"/>
        </w:rPr>
      </w:pPr>
    </w:p>
    <w:p w14:paraId="1170EBF5" w14:textId="77777777" w:rsidR="00EA7856" w:rsidRPr="00BE5FF4" w:rsidRDefault="00CD2D67" w:rsidP="00CD2D67">
      <w:pPr>
        <w:pStyle w:val="ListParagraph"/>
        <w:keepNext/>
        <w:keepLines/>
        <w:widowControl/>
        <w:spacing w:line="360" w:lineRule="auto"/>
        <w:ind w:left="0"/>
        <w:contextualSpacing w:val="0"/>
        <w:rPr>
          <w:b/>
          <w:sz w:val="26"/>
          <w:szCs w:val="26"/>
          <w:lang w:val="en"/>
        </w:rPr>
      </w:pPr>
      <w:r>
        <w:rPr>
          <w:b/>
          <w:sz w:val="26"/>
          <w:szCs w:val="26"/>
          <w:lang w:val="en"/>
        </w:rPr>
        <w:tab/>
      </w:r>
      <w:r>
        <w:rPr>
          <w:b/>
          <w:sz w:val="26"/>
          <w:szCs w:val="26"/>
          <w:lang w:val="en"/>
        </w:rPr>
        <w:tab/>
      </w:r>
      <w:r>
        <w:rPr>
          <w:b/>
          <w:sz w:val="26"/>
          <w:szCs w:val="26"/>
          <w:lang w:val="en"/>
        </w:rPr>
        <w:tab/>
        <w:t>(1)</w:t>
      </w:r>
      <w:r>
        <w:rPr>
          <w:b/>
          <w:sz w:val="26"/>
          <w:szCs w:val="26"/>
          <w:lang w:val="en"/>
        </w:rPr>
        <w:tab/>
      </w:r>
      <w:r w:rsidR="005B7B39" w:rsidRPr="00BE5FF4">
        <w:rPr>
          <w:b/>
          <w:sz w:val="26"/>
          <w:szCs w:val="26"/>
          <w:lang w:val="en"/>
        </w:rPr>
        <w:t>Valuation of Collection System Mains</w:t>
      </w:r>
    </w:p>
    <w:p w14:paraId="3418CC07" w14:textId="77777777" w:rsidR="00821681" w:rsidRDefault="00821681" w:rsidP="00CD2D67">
      <w:pPr>
        <w:keepNext/>
        <w:keepLines/>
        <w:widowControl/>
        <w:spacing w:line="360" w:lineRule="auto"/>
        <w:rPr>
          <w:b/>
          <w:sz w:val="26"/>
          <w:szCs w:val="26"/>
          <w:lang w:val="en"/>
        </w:rPr>
      </w:pPr>
    </w:p>
    <w:p w14:paraId="365800F6" w14:textId="77777777" w:rsidR="00EB3097" w:rsidRPr="00BE5FF4" w:rsidRDefault="00821681" w:rsidP="00CD2D67">
      <w:pPr>
        <w:keepNext/>
        <w:keepLines/>
        <w:widowControl/>
        <w:spacing w:line="360" w:lineRule="auto"/>
        <w:rPr>
          <w:b/>
          <w:sz w:val="26"/>
          <w:lang w:val="en"/>
        </w:rPr>
      </w:pPr>
      <w:r>
        <w:rPr>
          <w:b/>
          <w:sz w:val="26"/>
          <w:szCs w:val="26"/>
          <w:lang w:val="en"/>
        </w:rPr>
        <w:tab/>
      </w:r>
      <w:r>
        <w:rPr>
          <w:b/>
          <w:sz w:val="26"/>
          <w:szCs w:val="26"/>
          <w:lang w:val="en"/>
        </w:rPr>
        <w:tab/>
      </w:r>
      <w:r>
        <w:rPr>
          <w:b/>
          <w:sz w:val="26"/>
          <w:szCs w:val="26"/>
          <w:lang w:val="en"/>
        </w:rPr>
        <w:tab/>
      </w:r>
      <w:r w:rsidR="004C4611">
        <w:rPr>
          <w:b/>
          <w:sz w:val="26"/>
          <w:szCs w:val="26"/>
          <w:lang w:val="en"/>
        </w:rPr>
        <w:tab/>
      </w:r>
      <w:r w:rsidR="00CD2D67">
        <w:rPr>
          <w:b/>
          <w:sz w:val="26"/>
          <w:szCs w:val="26"/>
          <w:lang w:val="en"/>
        </w:rPr>
        <w:t>(</w:t>
      </w:r>
      <w:proofErr w:type="spellStart"/>
      <w:r w:rsidR="00CD2D67">
        <w:rPr>
          <w:b/>
          <w:sz w:val="26"/>
          <w:szCs w:val="26"/>
          <w:lang w:val="en"/>
        </w:rPr>
        <w:t>i</w:t>
      </w:r>
      <w:proofErr w:type="spellEnd"/>
      <w:r w:rsidR="00CD2D67">
        <w:rPr>
          <w:b/>
          <w:sz w:val="26"/>
          <w:szCs w:val="26"/>
          <w:lang w:val="en"/>
        </w:rPr>
        <w:t>)</w:t>
      </w:r>
      <w:r w:rsidR="00CD2D67">
        <w:rPr>
          <w:b/>
          <w:sz w:val="26"/>
          <w:szCs w:val="26"/>
          <w:lang w:val="en"/>
        </w:rPr>
        <w:tab/>
      </w:r>
      <w:proofErr w:type="spellStart"/>
      <w:r>
        <w:rPr>
          <w:b/>
          <w:sz w:val="26"/>
          <w:szCs w:val="26"/>
          <w:lang w:val="en"/>
        </w:rPr>
        <w:t>Aqua’s</w:t>
      </w:r>
      <w:proofErr w:type="spellEnd"/>
      <w:r>
        <w:rPr>
          <w:b/>
          <w:sz w:val="26"/>
          <w:szCs w:val="26"/>
          <w:lang w:val="en"/>
        </w:rPr>
        <w:t xml:space="preserve"> Exceptions</w:t>
      </w:r>
    </w:p>
    <w:p w14:paraId="69299DBA" w14:textId="77777777" w:rsidR="00821681" w:rsidRPr="00BE5FF4" w:rsidRDefault="00821681" w:rsidP="00CD2D67">
      <w:pPr>
        <w:keepNext/>
        <w:keepLines/>
        <w:widowControl/>
        <w:spacing w:line="360" w:lineRule="auto"/>
        <w:rPr>
          <w:b/>
          <w:sz w:val="26"/>
          <w:lang w:val="en"/>
        </w:rPr>
      </w:pPr>
    </w:p>
    <w:p w14:paraId="7C94E9E5" w14:textId="79734BC3" w:rsidR="00EA7856" w:rsidRPr="002915C6" w:rsidRDefault="00EA7856" w:rsidP="0012768D">
      <w:pPr>
        <w:widowControl/>
        <w:spacing w:line="360" w:lineRule="auto"/>
        <w:ind w:firstLine="1440"/>
        <w:contextualSpacing/>
        <w:rPr>
          <w:sz w:val="26"/>
          <w:szCs w:val="26"/>
          <w:lang w:val="en"/>
        </w:rPr>
      </w:pPr>
      <w:r w:rsidRPr="002915C6">
        <w:rPr>
          <w:sz w:val="26"/>
          <w:szCs w:val="26"/>
          <w:lang w:val="en"/>
        </w:rPr>
        <w:t xml:space="preserve">As stated, the ALJ adopted three out of four adjustments the OCA made to HRG’s cost approach.  Based on these adjustments, HRG’s </w:t>
      </w:r>
      <w:r w:rsidR="009C2902">
        <w:rPr>
          <w:sz w:val="26"/>
          <w:szCs w:val="26"/>
          <w:lang w:val="en"/>
        </w:rPr>
        <w:t xml:space="preserve">reproduction </w:t>
      </w:r>
      <w:r w:rsidRPr="002915C6">
        <w:rPr>
          <w:sz w:val="26"/>
          <w:szCs w:val="26"/>
          <w:lang w:val="en"/>
        </w:rPr>
        <w:t>cost approach appraisal was reduced from $90,050,000 to $62,321,571.  However, Aqua disagrees with the ALJ’s recommended adoption of the adjustments.  Aqua Exc. at 19.</w:t>
      </w:r>
    </w:p>
    <w:p w14:paraId="77DDE3A9" w14:textId="77777777" w:rsidR="00EA7856" w:rsidRPr="002915C6" w:rsidRDefault="00EA7856" w:rsidP="0012768D">
      <w:pPr>
        <w:widowControl/>
        <w:spacing w:line="360" w:lineRule="auto"/>
        <w:ind w:firstLine="1440"/>
        <w:contextualSpacing/>
        <w:rPr>
          <w:sz w:val="26"/>
          <w:szCs w:val="26"/>
          <w:lang w:val="en"/>
        </w:rPr>
      </w:pPr>
    </w:p>
    <w:p w14:paraId="1673B2C6" w14:textId="572E5EA4" w:rsidR="00EA7856" w:rsidRPr="002915C6" w:rsidRDefault="00EA7856" w:rsidP="0012768D">
      <w:pPr>
        <w:widowControl/>
        <w:spacing w:line="360" w:lineRule="auto"/>
        <w:ind w:firstLine="1440"/>
        <w:contextualSpacing/>
        <w:rPr>
          <w:sz w:val="26"/>
          <w:szCs w:val="26"/>
          <w:lang w:val="en"/>
        </w:rPr>
      </w:pPr>
      <w:r w:rsidRPr="002915C6">
        <w:rPr>
          <w:sz w:val="26"/>
          <w:szCs w:val="26"/>
          <w:lang w:val="en"/>
        </w:rPr>
        <w:t xml:space="preserve">Specifically, regarding HRG’s reproduction cost valuation, Aqua disputes the ALJ’s adoption of the OCA’s argument that HRG did not establish a reasonable basis for separately valuing collector mains, thereby decreasing the reproduction cost by $19,195,429.  </w:t>
      </w:r>
      <w:r w:rsidRPr="002915C6">
        <w:rPr>
          <w:i/>
          <w:sz w:val="26"/>
          <w:szCs w:val="26"/>
          <w:lang w:val="en"/>
        </w:rPr>
        <w:t>Id.</w:t>
      </w:r>
      <w:r w:rsidRPr="002915C6">
        <w:rPr>
          <w:sz w:val="26"/>
          <w:szCs w:val="26"/>
          <w:lang w:val="en"/>
        </w:rPr>
        <w:t xml:space="preserve"> (citing R.D. at 36-37).  In this case, HRG used </w:t>
      </w:r>
      <w:r w:rsidR="009C2902">
        <w:rPr>
          <w:sz w:val="26"/>
          <w:szCs w:val="26"/>
          <w:lang w:val="en"/>
        </w:rPr>
        <w:t xml:space="preserve">the </w:t>
      </w:r>
      <w:r w:rsidRPr="002915C6">
        <w:rPr>
          <w:sz w:val="26"/>
          <w:szCs w:val="26"/>
          <w:lang w:val="en"/>
        </w:rPr>
        <w:t>ENR Construction Cost Index (CII) as an indicator of general inflation in order to determine an approximate reproduction cost for all plant items with the exception of collection system mains.  According to Aqua, collection system mains were treated as a special circumstance because the original cost for those mains was significantly understated.  For instance, Aqua notes that the original cost of Limerick’s gravity collection sewer mains which totaled 355,000 linear feet, and is valued at $15,213,236 or $42.85 per linear feet, is a very low number when compared to historical construction costs and is also not in line with current industry unit costs for collection system m</w:t>
      </w:r>
      <w:r w:rsidR="00EB3097">
        <w:rPr>
          <w:sz w:val="26"/>
          <w:szCs w:val="26"/>
          <w:lang w:val="en"/>
        </w:rPr>
        <w:t>ain construction.  Aqua Exc. at </w:t>
      </w:r>
      <w:r w:rsidRPr="002915C6">
        <w:rPr>
          <w:sz w:val="26"/>
          <w:szCs w:val="26"/>
          <w:lang w:val="en"/>
        </w:rPr>
        <w:t>19 (citing Aqua Stmt. 4R at 8).</w:t>
      </w:r>
      <w:r w:rsidRPr="002915C6">
        <w:rPr>
          <w:rStyle w:val="FootnoteReference"/>
          <w:sz w:val="26"/>
          <w:szCs w:val="26"/>
          <w:lang w:val="en"/>
        </w:rPr>
        <w:footnoteReference w:id="18"/>
      </w:r>
      <w:r w:rsidRPr="002915C6">
        <w:rPr>
          <w:sz w:val="26"/>
          <w:szCs w:val="26"/>
          <w:lang w:val="en"/>
        </w:rPr>
        <w:t xml:space="preserve">  Aqua asserts that to arrive at an appropriate reproduction cost value for collection system mains, HRG developed a profile of 2016 construction costs for wastewater mains of various sizes installed in the Montgomery and Chester County area.  Aqua avers that these actual costs for projects in the same vicinity as Limerick, are more representative than the cost reflected in the ENR Index.  Aqua Exc. at 20 (citing Aqua Stmt</w:t>
      </w:r>
      <w:r w:rsidR="00610C13">
        <w:rPr>
          <w:sz w:val="26"/>
          <w:szCs w:val="26"/>
          <w:lang w:val="en"/>
        </w:rPr>
        <w:t>.</w:t>
      </w:r>
      <w:r w:rsidRPr="002915C6">
        <w:rPr>
          <w:sz w:val="26"/>
          <w:szCs w:val="26"/>
          <w:lang w:val="en"/>
        </w:rPr>
        <w:t xml:space="preserve"> 4R at 8).  Hence, Aqua argues </w:t>
      </w:r>
      <w:r w:rsidR="00610C13">
        <w:rPr>
          <w:sz w:val="26"/>
          <w:szCs w:val="26"/>
          <w:lang w:val="en"/>
        </w:rPr>
        <w:t xml:space="preserve">that </w:t>
      </w:r>
      <w:r w:rsidRPr="002915C6">
        <w:rPr>
          <w:sz w:val="26"/>
          <w:szCs w:val="26"/>
          <w:lang w:val="en"/>
        </w:rPr>
        <w:t xml:space="preserve">HRG presented sufficient basis for the treatment of collection system mains as a special circumstance under the cost approach. </w:t>
      </w:r>
      <w:r w:rsidR="00EB3097">
        <w:rPr>
          <w:sz w:val="26"/>
          <w:szCs w:val="26"/>
          <w:lang w:val="en"/>
        </w:rPr>
        <w:t xml:space="preserve"> </w:t>
      </w:r>
      <w:r w:rsidRPr="002915C6">
        <w:rPr>
          <w:sz w:val="26"/>
          <w:szCs w:val="26"/>
          <w:lang w:val="en"/>
        </w:rPr>
        <w:t>Therefore, Aqua requests that the Commission reject ALJ Haas’ recommendation regarding this matter.  Aqua Exc. at 20.</w:t>
      </w:r>
    </w:p>
    <w:p w14:paraId="6F9E0A74" w14:textId="77777777" w:rsidR="00EA7856" w:rsidRDefault="00EA7856" w:rsidP="0012768D">
      <w:pPr>
        <w:widowControl/>
        <w:spacing w:line="360" w:lineRule="auto"/>
        <w:ind w:firstLine="1440"/>
        <w:contextualSpacing/>
        <w:rPr>
          <w:sz w:val="26"/>
          <w:szCs w:val="26"/>
          <w:lang w:val="en"/>
        </w:rPr>
      </w:pPr>
    </w:p>
    <w:p w14:paraId="1D03EAA5" w14:textId="77777777" w:rsidR="00B52480" w:rsidRPr="00585E38" w:rsidRDefault="00B52480" w:rsidP="0012768D">
      <w:pPr>
        <w:widowControl/>
        <w:spacing w:line="360" w:lineRule="auto"/>
        <w:ind w:firstLine="1440"/>
        <w:contextualSpacing/>
        <w:rPr>
          <w:b/>
          <w:sz w:val="26"/>
          <w:szCs w:val="26"/>
          <w:lang w:val="en"/>
        </w:rPr>
      </w:pPr>
      <w:r>
        <w:rPr>
          <w:sz w:val="26"/>
          <w:szCs w:val="26"/>
          <w:lang w:val="en"/>
        </w:rPr>
        <w:tab/>
      </w:r>
      <w:r>
        <w:rPr>
          <w:sz w:val="26"/>
          <w:szCs w:val="26"/>
          <w:lang w:val="en"/>
        </w:rPr>
        <w:tab/>
      </w:r>
      <w:r w:rsidRPr="00585E38">
        <w:rPr>
          <w:b/>
          <w:sz w:val="26"/>
          <w:szCs w:val="26"/>
          <w:lang w:val="en"/>
        </w:rPr>
        <w:t>(</w:t>
      </w:r>
      <w:r w:rsidR="004C4611">
        <w:rPr>
          <w:b/>
          <w:sz w:val="26"/>
          <w:szCs w:val="26"/>
          <w:lang w:val="en"/>
        </w:rPr>
        <w:t>ii</w:t>
      </w:r>
      <w:r w:rsidRPr="00585E38">
        <w:rPr>
          <w:b/>
          <w:sz w:val="26"/>
          <w:szCs w:val="26"/>
          <w:lang w:val="en"/>
        </w:rPr>
        <w:t>)</w:t>
      </w:r>
      <w:r w:rsidRPr="00585E38">
        <w:rPr>
          <w:b/>
          <w:sz w:val="26"/>
          <w:szCs w:val="26"/>
          <w:lang w:val="en"/>
        </w:rPr>
        <w:tab/>
        <w:t xml:space="preserve">OCA’s Replies to </w:t>
      </w:r>
      <w:proofErr w:type="spellStart"/>
      <w:r w:rsidRPr="00585E38">
        <w:rPr>
          <w:b/>
          <w:sz w:val="26"/>
          <w:szCs w:val="26"/>
          <w:lang w:val="en"/>
        </w:rPr>
        <w:t>Aqua’s</w:t>
      </w:r>
      <w:proofErr w:type="spellEnd"/>
      <w:r w:rsidRPr="00585E38">
        <w:rPr>
          <w:b/>
          <w:sz w:val="26"/>
          <w:szCs w:val="26"/>
          <w:lang w:val="en"/>
        </w:rPr>
        <w:t xml:space="preserve"> Exceptions</w:t>
      </w:r>
    </w:p>
    <w:p w14:paraId="3A4D8200" w14:textId="77777777" w:rsidR="00B52480" w:rsidRDefault="00B52480" w:rsidP="0012768D">
      <w:pPr>
        <w:widowControl/>
        <w:spacing w:line="360" w:lineRule="auto"/>
        <w:ind w:firstLine="1440"/>
        <w:contextualSpacing/>
        <w:rPr>
          <w:sz w:val="26"/>
          <w:szCs w:val="26"/>
          <w:lang w:val="en"/>
        </w:rPr>
      </w:pPr>
    </w:p>
    <w:p w14:paraId="4A810D78" w14:textId="77777777" w:rsidR="00EA7856" w:rsidRPr="002915C6" w:rsidRDefault="00610C13" w:rsidP="0012768D">
      <w:pPr>
        <w:widowControl/>
        <w:spacing w:line="360" w:lineRule="auto"/>
        <w:ind w:firstLine="1440"/>
        <w:contextualSpacing/>
        <w:rPr>
          <w:sz w:val="26"/>
          <w:szCs w:val="26"/>
          <w:lang w:val="en"/>
        </w:rPr>
      </w:pPr>
      <w:r>
        <w:rPr>
          <w:sz w:val="26"/>
          <w:szCs w:val="26"/>
          <w:lang w:val="en"/>
        </w:rPr>
        <w:t>In r</w:t>
      </w:r>
      <w:r w:rsidR="00EA7856" w:rsidRPr="002915C6">
        <w:rPr>
          <w:sz w:val="26"/>
          <w:szCs w:val="26"/>
          <w:lang w:val="en"/>
        </w:rPr>
        <w:t xml:space="preserve">eply, the OCA reiterates </w:t>
      </w:r>
      <w:r w:rsidR="00585E38">
        <w:rPr>
          <w:sz w:val="26"/>
          <w:szCs w:val="26"/>
          <w:lang w:val="en"/>
        </w:rPr>
        <w:t xml:space="preserve">its position </w:t>
      </w:r>
      <w:r w:rsidR="00EA7856" w:rsidRPr="002915C6">
        <w:rPr>
          <w:sz w:val="26"/>
          <w:szCs w:val="26"/>
          <w:lang w:val="en"/>
        </w:rPr>
        <w:t xml:space="preserve">that Aqua failed to present any reasonable basis for treating collection system mains differently.  </w:t>
      </w:r>
      <w:r>
        <w:rPr>
          <w:sz w:val="26"/>
          <w:szCs w:val="26"/>
          <w:lang w:val="en"/>
        </w:rPr>
        <w:t xml:space="preserve">The </w:t>
      </w:r>
      <w:r w:rsidR="00EA7856" w:rsidRPr="002915C6">
        <w:rPr>
          <w:sz w:val="26"/>
          <w:szCs w:val="26"/>
          <w:lang w:val="en"/>
        </w:rPr>
        <w:t xml:space="preserve">OCA contends that contrary to </w:t>
      </w:r>
      <w:proofErr w:type="spellStart"/>
      <w:r w:rsidR="00EA7856" w:rsidRPr="002915C6">
        <w:rPr>
          <w:sz w:val="26"/>
          <w:szCs w:val="26"/>
          <w:lang w:val="en"/>
        </w:rPr>
        <w:t>Aqua’s</w:t>
      </w:r>
      <w:proofErr w:type="spellEnd"/>
      <w:r w:rsidR="00EA7856" w:rsidRPr="002915C6">
        <w:rPr>
          <w:sz w:val="26"/>
          <w:szCs w:val="26"/>
          <w:lang w:val="en"/>
        </w:rPr>
        <w:t xml:space="preserve"> argument, the engineering study does include contributed mains.  OCA R. Exc. at</w:t>
      </w:r>
      <w:r w:rsidR="00B52480">
        <w:rPr>
          <w:sz w:val="26"/>
          <w:szCs w:val="26"/>
          <w:lang w:val="en"/>
        </w:rPr>
        <w:t> </w:t>
      </w:r>
      <w:r w:rsidR="00EA7856" w:rsidRPr="002915C6">
        <w:rPr>
          <w:sz w:val="26"/>
          <w:szCs w:val="26"/>
          <w:lang w:val="en"/>
        </w:rPr>
        <w:t xml:space="preserve">17-18 (citing OCA M.B. at 15-16; Aqua </w:t>
      </w:r>
      <w:proofErr w:type="spellStart"/>
      <w:r w:rsidR="00EA7856" w:rsidRPr="002915C6">
        <w:rPr>
          <w:sz w:val="26"/>
          <w:szCs w:val="26"/>
          <w:lang w:val="en"/>
        </w:rPr>
        <w:t>Exh</w:t>
      </w:r>
      <w:proofErr w:type="spellEnd"/>
      <w:r w:rsidR="00EA7856" w:rsidRPr="002915C6">
        <w:rPr>
          <w:sz w:val="26"/>
          <w:szCs w:val="26"/>
          <w:lang w:val="en"/>
        </w:rPr>
        <w:t>. R at 6; OCA Stmt</w:t>
      </w:r>
      <w:r w:rsidR="00B35010">
        <w:rPr>
          <w:sz w:val="26"/>
          <w:szCs w:val="26"/>
          <w:lang w:val="en"/>
        </w:rPr>
        <w:t>.</w:t>
      </w:r>
      <w:r w:rsidR="00EA7856" w:rsidRPr="002915C6">
        <w:rPr>
          <w:sz w:val="26"/>
          <w:szCs w:val="26"/>
          <w:lang w:val="en"/>
        </w:rPr>
        <w:t xml:space="preserve"> 1 at 26).  </w:t>
      </w:r>
      <w:r>
        <w:rPr>
          <w:sz w:val="26"/>
          <w:szCs w:val="26"/>
          <w:lang w:val="en"/>
        </w:rPr>
        <w:t xml:space="preserve">The </w:t>
      </w:r>
      <w:r w:rsidR="00EA7856" w:rsidRPr="002915C6">
        <w:rPr>
          <w:sz w:val="26"/>
          <w:szCs w:val="26"/>
          <w:lang w:val="en"/>
        </w:rPr>
        <w:t xml:space="preserve">OCA also disputes HRG’s use of sample costs from regional municipalities to reflect a more realistic measure of the reproduction cost value.  </w:t>
      </w:r>
      <w:r>
        <w:rPr>
          <w:sz w:val="26"/>
          <w:szCs w:val="26"/>
          <w:lang w:val="en"/>
        </w:rPr>
        <w:t xml:space="preserve">The </w:t>
      </w:r>
      <w:r w:rsidR="00EA7856" w:rsidRPr="002915C6">
        <w:rPr>
          <w:sz w:val="26"/>
          <w:szCs w:val="26"/>
          <w:lang w:val="en"/>
        </w:rPr>
        <w:t xml:space="preserve">OCA argues </w:t>
      </w:r>
      <w:r>
        <w:rPr>
          <w:sz w:val="26"/>
          <w:szCs w:val="26"/>
          <w:lang w:val="en"/>
        </w:rPr>
        <w:t xml:space="preserve">that </w:t>
      </w:r>
      <w:r w:rsidR="00EA7856" w:rsidRPr="002915C6">
        <w:rPr>
          <w:sz w:val="26"/>
          <w:szCs w:val="26"/>
          <w:lang w:val="en"/>
        </w:rPr>
        <w:t xml:space="preserve">HRG failed to provide a reasonable basis to conclude that the unit costs from the surrounding municipalities are more accurate than the costs that have been specifically reported for the Limerick system.  OCA R. Exc. at 18-19.  Thus, the OCA requests that the Commission deny </w:t>
      </w:r>
      <w:proofErr w:type="spellStart"/>
      <w:r w:rsidR="00EA7856" w:rsidRPr="002915C6">
        <w:rPr>
          <w:sz w:val="26"/>
          <w:szCs w:val="26"/>
          <w:lang w:val="en"/>
        </w:rPr>
        <w:t>Aqua’s</w:t>
      </w:r>
      <w:proofErr w:type="spellEnd"/>
      <w:r w:rsidR="00EA7856" w:rsidRPr="002915C6">
        <w:rPr>
          <w:sz w:val="26"/>
          <w:szCs w:val="26"/>
          <w:lang w:val="en"/>
        </w:rPr>
        <w:t xml:space="preserve"> Exceptions to the ALJ’s recommendation regarding the reproduction cost under HRG’s cost approach.  </w:t>
      </w:r>
      <w:r w:rsidR="00EA7856" w:rsidRPr="002915C6">
        <w:rPr>
          <w:i/>
          <w:sz w:val="26"/>
          <w:szCs w:val="26"/>
          <w:lang w:val="en"/>
        </w:rPr>
        <w:t>Id.</w:t>
      </w:r>
      <w:r w:rsidR="00EA7856" w:rsidRPr="002915C6">
        <w:rPr>
          <w:sz w:val="26"/>
          <w:szCs w:val="26"/>
          <w:lang w:val="en"/>
        </w:rPr>
        <w:t xml:space="preserve"> at 19.</w:t>
      </w:r>
    </w:p>
    <w:p w14:paraId="53EE9BC5" w14:textId="77777777" w:rsidR="00EA7856" w:rsidRDefault="00EA7856" w:rsidP="0012768D">
      <w:pPr>
        <w:widowControl/>
        <w:spacing w:line="360" w:lineRule="auto"/>
        <w:ind w:firstLine="1440"/>
        <w:contextualSpacing/>
        <w:rPr>
          <w:sz w:val="26"/>
          <w:szCs w:val="26"/>
          <w:lang w:val="en"/>
        </w:rPr>
      </w:pPr>
    </w:p>
    <w:p w14:paraId="03DAB2FB" w14:textId="77777777" w:rsidR="00585E38" w:rsidRPr="00585E38" w:rsidRDefault="00585E38" w:rsidP="0012768D">
      <w:pPr>
        <w:widowControl/>
        <w:spacing w:line="360" w:lineRule="auto"/>
        <w:ind w:firstLine="1440"/>
        <w:contextualSpacing/>
        <w:rPr>
          <w:b/>
          <w:sz w:val="26"/>
          <w:szCs w:val="26"/>
          <w:lang w:val="en"/>
        </w:rPr>
      </w:pPr>
      <w:r>
        <w:rPr>
          <w:sz w:val="26"/>
          <w:szCs w:val="26"/>
          <w:lang w:val="en"/>
        </w:rPr>
        <w:tab/>
      </w:r>
      <w:r>
        <w:rPr>
          <w:sz w:val="26"/>
          <w:szCs w:val="26"/>
          <w:lang w:val="en"/>
        </w:rPr>
        <w:tab/>
      </w:r>
      <w:r w:rsidRPr="00585E38">
        <w:rPr>
          <w:b/>
          <w:sz w:val="26"/>
          <w:szCs w:val="26"/>
          <w:lang w:val="en"/>
        </w:rPr>
        <w:t>(</w:t>
      </w:r>
      <w:r w:rsidR="004C4611">
        <w:rPr>
          <w:b/>
          <w:sz w:val="26"/>
          <w:szCs w:val="26"/>
          <w:lang w:val="en"/>
        </w:rPr>
        <w:t>iii</w:t>
      </w:r>
      <w:r w:rsidRPr="00585E38">
        <w:rPr>
          <w:b/>
          <w:sz w:val="26"/>
          <w:szCs w:val="26"/>
          <w:lang w:val="en"/>
        </w:rPr>
        <w:t>)</w:t>
      </w:r>
      <w:r w:rsidRPr="00585E38">
        <w:rPr>
          <w:b/>
          <w:sz w:val="26"/>
          <w:szCs w:val="26"/>
          <w:lang w:val="en"/>
        </w:rPr>
        <w:tab/>
        <w:t>Disposition</w:t>
      </w:r>
    </w:p>
    <w:p w14:paraId="7810F590" w14:textId="77777777" w:rsidR="00585E38" w:rsidRPr="002915C6" w:rsidRDefault="00585E38" w:rsidP="0012768D">
      <w:pPr>
        <w:widowControl/>
        <w:spacing w:line="360" w:lineRule="auto"/>
        <w:ind w:firstLine="1440"/>
        <w:contextualSpacing/>
        <w:rPr>
          <w:sz w:val="26"/>
          <w:szCs w:val="26"/>
          <w:lang w:val="en"/>
        </w:rPr>
      </w:pPr>
    </w:p>
    <w:p w14:paraId="3DA97FDC" w14:textId="28F19B83" w:rsidR="00EA7856" w:rsidRDefault="009B7B55" w:rsidP="0012768D">
      <w:pPr>
        <w:widowControl/>
        <w:spacing w:line="360" w:lineRule="auto"/>
        <w:ind w:firstLine="1440"/>
        <w:contextualSpacing/>
        <w:rPr>
          <w:sz w:val="26"/>
          <w:szCs w:val="26"/>
          <w:lang w:val="en"/>
        </w:rPr>
      </w:pPr>
      <w:r w:rsidRPr="002915C6">
        <w:rPr>
          <w:sz w:val="26"/>
          <w:szCs w:val="26"/>
          <w:lang w:val="en"/>
        </w:rPr>
        <w:t xml:space="preserve">Upon review of the record evidence and the arguments put forth by the Parties, we will deny </w:t>
      </w:r>
      <w:proofErr w:type="spellStart"/>
      <w:r w:rsidRPr="002915C6">
        <w:rPr>
          <w:sz w:val="26"/>
          <w:szCs w:val="26"/>
          <w:lang w:val="en"/>
        </w:rPr>
        <w:t>Aqua’s</w:t>
      </w:r>
      <w:proofErr w:type="spellEnd"/>
      <w:r w:rsidRPr="002915C6">
        <w:rPr>
          <w:sz w:val="26"/>
          <w:szCs w:val="26"/>
          <w:lang w:val="en"/>
        </w:rPr>
        <w:t xml:space="preserve"> Exceptions and adopt the ALJ’s recommendation regarding the reproduction cost under HRG’s cost approach.  We agree that Aqua failed to provide any reasonable basis or any convincing evidence as to why the collection system mains should be treated differently or as a special circumstance in HRG’s valuation under the </w:t>
      </w:r>
      <w:r w:rsidR="009C2902">
        <w:rPr>
          <w:sz w:val="26"/>
          <w:szCs w:val="26"/>
          <w:lang w:val="en"/>
        </w:rPr>
        <w:t xml:space="preserve">reproduction </w:t>
      </w:r>
      <w:r w:rsidRPr="002915C6">
        <w:rPr>
          <w:sz w:val="26"/>
          <w:szCs w:val="26"/>
          <w:lang w:val="en"/>
        </w:rPr>
        <w:t xml:space="preserve">cost approach.  We also agree that the ENR Index should, similarly, be applied across all utility plant.  As such, </w:t>
      </w:r>
      <w:proofErr w:type="spellStart"/>
      <w:r w:rsidRPr="002915C6">
        <w:rPr>
          <w:sz w:val="26"/>
          <w:szCs w:val="26"/>
          <w:lang w:val="en"/>
        </w:rPr>
        <w:t>Aqua’s</w:t>
      </w:r>
      <w:proofErr w:type="spellEnd"/>
      <w:r w:rsidRPr="002915C6">
        <w:rPr>
          <w:sz w:val="26"/>
          <w:szCs w:val="26"/>
          <w:lang w:val="en"/>
        </w:rPr>
        <w:t xml:space="preserve"> Exceptions regarding this matter are hereby denied.</w:t>
      </w:r>
    </w:p>
    <w:p w14:paraId="2A9B0027" w14:textId="77777777" w:rsidR="009B7B55" w:rsidRDefault="009B7B55" w:rsidP="0012768D">
      <w:pPr>
        <w:widowControl/>
        <w:spacing w:line="360" w:lineRule="auto"/>
        <w:ind w:firstLine="1440"/>
        <w:contextualSpacing/>
        <w:rPr>
          <w:sz w:val="26"/>
          <w:szCs w:val="26"/>
          <w:lang w:val="en"/>
        </w:rPr>
      </w:pPr>
    </w:p>
    <w:p w14:paraId="17619ADB" w14:textId="77777777" w:rsidR="005B7B39" w:rsidRPr="00193F0E" w:rsidRDefault="00193F0E" w:rsidP="0012768D">
      <w:pPr>
        <w:widowControl/>
        <w:spacing w:line="360" w:lineRule="auto"/>
        <w:ind w:firstLine="1440"/>
        <w:contextualSpacing/>
        <w:rPr>
          <w:b/>
          <w:sz w:val="26"/>
          <w:szCs w:val="26"/>
          <w:lang w:val="en"/>
        </w:rPr>
      </w:pPr>
      <w:r>
        <w:rPr>
          <w:sz w:val="26"/>
          <w:szCs w:val="26"/>
          <w:lang w:val="en"/>
        </w:rPr>
        <w:tab/>
      </w:r>
      <w:r w:rsidR="004C4611">
        <w:rPr>
          <w:b/>
          <w:sz w:val="26"/>
          <w:szCs w:val="26"/>
          <w:lang w:val="en"/>
        </w:rPr>
        <w:t>(2)</w:t>
      </w:r>
      <w:r w:rsidRPr="00193F0E">
        <w:rPr>
          <w:b/>
          <w:sz w:val="26"/>
          <w:szCs w:val="26"/>
          <w:lang w:val="en"/>
        </w:rPr>
        <w:tab/>
        <w:t>Disallowance of Future Capital Projects</w:t>
      </w:r>
    </w:p>
    <w:p w14:paraId="167E905D" w14:textId="77777777" w:rsidR="005B7B39" w:rsidRDefault="005B7B39" w:rsidP="0012768D">
      <w:pPr>
        <w:widowControl/>
        <w:spacing w:line="360" w:lineRule="auto"/>
        <w:ind w:firstLine="1440"/>
        <w:contextualSpacing/>
        <w:rPr>
          <w:sz w:val="26"/>
          <w:szCs w:val="26"/>
          <w:lang w:val="en"/>
        </w:rPr>
      </w:pPr>
    </w:p>
    <w:p w14:paraId="1074FA3C" w14:textId="77777777" w:rsidR="00193F0E" w:rsidRPr="00E915BA" w:rsidRDefault="00193F0E" w:rsidP="0012768D">
      <w:pPr>
        <w:widowControl/>
        <w:spacing w:line="360" w:lineRule="auto"/>
        <w:ind w:firstLine="1440"/>
        <w:contextualSpacing/>
        <w:rPr>
          <w:b/>
          <w:sz w:val="26"/>
          <w:szCs w:val="26"/>
          <w:lang w:val="en"/>
        </w:rPr>
      </w:pPr>
      <w:r>
        <w:rPr>
          <w:sz w:val="26"/>
          <w:szCs w:val="26"/>
          <w:lang w:val="en"/>
        </w:rPr>
        <w:tab/>
      </w:r>
      <w:r>
        <w:rPr>
          <w:sz w:val="26"/>
          <w:szCs w:val="26"/>
          <w:lang w:val="en"/>
        </w:rPr>
        <w:tab/>
      </w:r>
      <w:r w:rsidRPr="00E915BA">
        <w:rPr>
          <w:b/>
          <w:sz w:val="26"/>
          <w:szCs w:val="26"/>
          <w:lang w:val="en"/>
        </w:rPr>
        <w:t>(</w:t>
      </w:r>
      <w:proofErr w:type="spellStart"/>
      <w:r w:rsidR="004C4611">
        <w:rPr>
          <w:b/>
          <w:sz w:val="26"/>
          <w:szCs w:val="26"/>
          <w:lang w:val="en"/>
        </w:rPr>
        <w:t>i</w:t>
      </w:r>
      <w:proofErr w:type="spellEnd"/>
      <w:r w:rsidRPr="00E915BA">
        <w:rPr>
          <w:b/>
          <w:sz w:val="26"/>
          <w:szCs w:val="26"/>
          <w:lang w:val="en"/>
        </w:rPr>
        <w:t>)</w:t>
      </w:r>
      <w:r w:rsidRPr="00E915BA">
        <w:rPr>
          <w:b/>
          <w:sz w:val="26"/>
          <w:szCs w:val="26"/>
          <w:lang w:val="en"/>
        </w:rPr>
        <w:tab/>
      </w:r>
      <w:proofErr w:type="spellStart"/>
      <w:r w:rsidR="00E915BA" w:rsidRPr="00E915BA">
        <w:rPr>
          <w:b/>
          <w:sz w:val="26"/>
          <w:szCs w:val="26"/>
          <w:lang w:val="en"/>
        </w:rPr>
        <w:t>Aqua’s</w:t>
      </w:r>
      <w:proofErr w:type="spellEnd"/>
      <w:r w:rsidR="00E915BA" w:rsidRPr="00E915BA">
        <w:rPr>
          <w:b/>
          <w:sz w:val="26"/>
          <w:szCs w:val="26"/>
          <w:lang w:val="en"/>
        </w:rPr>
        <w:t xml:space="preserve"> Exceptions</w:t>
      </w:r>
    </w:p>
    <w:p w14:paraId="72B076FB" w14:textId="77777777" w:rsidR="00193F0E" w:rsidRDefault="00193F0E" w:rsidP="0012768D">
      <w:pPr>
        <w:widowControl/>
        <w:spacing w:line="360" w:lineRule="auto"/>
        <w:ind w:firstLine="1440"/>
        <w:contextualSpacing/>
        <w:rPr>
          <w:sz w:val="26"/>
          <w:szCs w:val="26"/>
          <w:lang w:val="en"/>
        </w:rPr>
      </w:pPr>
    </w:p>
    <w:p w14:paraId="76D17B4F" w14:textId="455C3DE1" w:rsidR="00EA7856" w:rsidRPr="002915C6" w:rsidRDefault="00EA7856" w:rsidP="0012768D">
      <w:pPr>
        <w:widowControl/>
        <w:spacing w:line="360" w:lineRule="auto"/>
        <w:ind w:firstLine="1440"/>
        <w:contextualSpacing/>
        <w:rPr>
          <w:sz w:val="26"/>
          <w:szCs w:val="26"/>
          <w:lang w:val="en"/>
        </w:rPr>
      </w:pPr>
      <w:r w:rsidRPr="002915C6">
        <w:rPr>
          <w:sz w:val="26"/>
          <w:szCs w:val="26"/>
          <w:lang w:val="en"/>
        </w:rPr>
        <w:t xml:space="preserve">With regard to the ALJ’s adoption of the OCA’s recommended removal of the cost of future capital projects in the amount of $4,500,000 under HRG’s </w:t>
      </w:r>
      <w:r w:rsidR="00723698">
        <w:rPr>
          <w:sz w:val="26"/>
          <w:szCs w:val="26"/>
          <w:lang w:val="en"/>
        </w:rPr>
        <w:t xml:space="preserve">reproduction </w:t>
      </w:r>
      <w:r w:rsidRPr="002915C6">
        <w:rPr>
          <w:sz w:val="26"/>
          <w:szCs w:val="26"/>
          <w:lang w:val="en"/>
        </w:rPr>
        <w:t xml:space="preserve">cost approach, Aqua </w:t>
      </w:r>
      <w:r w:rsidR="00686D5E">
        <w:rPr>
          <w:sz w:val="26"/>
          <w:szCs w:val="26"/>
          <w:lang w:val="en"/>
        </w:rPr>
        <w:t>questions</w:t>
      </w:r>
      <w:r w:rsidRPr="002915C6">
        <w:rPr>
          <w:sz w:val="26"/>
          <w:szCs w:val="26"/>
          <w:lang w:val="en"/>
        </w:rPr>
        <w:t xml:space="preserve"> why the ALJ adopted the OCA’s adjustment of this item under the </w:t>
      </w:r>
      <w:r w:rsidR="00723698">
        <w:rPr>
          <w:sz w:val="26"/>
          <w:szCs w:val="26"/>
          <w:lang w:val="en"/>
        </w:rPr>
        <w:t xml:space="preserve">reproduction </w:t>
      </w:r>
      <w:r w:rsidRPr="002915C6">
        <w:rPr>
          <w:sz w:val="26"/>
          <w:szCs w:val="26"/>
          <w:lang w:val="en"/>
        </w:rPr>
        <w:t xml:space="preserve">cost approach, yet rejected the same adjustment under HRG’s market approach.  Aqua Exc. at 20 (citing R.D. at 37, 39).  Aqua argues </w:t>
      </w:r>
      <w:r w:rsidR="00610C13">
        <w:rPr>
          <w:sz w:val="26"/>
          <w:szCs w:val="26"/>
          <w:lang w:val="en"/>
        </w:rPr>
        <w:t xml:space="preserve">that </w:t>
      </w:r>
      <w:r w:rsidRPr="002915C6">
        <w:rPr>
          <w:sz w:val="26"/>
          <w:szCs w:val="26"/>
          <w:lang w:val="en"/>
        </w:rPr>
        <w:t xml:space="preserve">the USPAP and the </w:t>
      </w:r>
      <w:r w:rsidRPr="002915C6">
        <w:rPr>
          <w:i/>
          <w:sz w:val="26"/>
          <w:szCs w:val="26"/>
          <w:lang w:val="en"/>
        </w:rPr>
        <w:t>Final</w:t>
      </w:r>
      <w:r w:rsidRPr="002915C6">
        <w:rPr>
          <w:i/>
          <w:sz w:val="26"/>
          <w:szCs w:val="26"/>
        </w:rPr>
        <w:t xml:space="preserve"> Implementation Order</w:t>
      </w:r>
      <w:r w:rsidRPr="002915C6">
        <w:rPr>
          <w:sz w:val="26"/>
          <w:szCs w:val="26"/>
        </w:rPr>
        <w:t xml:space="preserve"> require consideration of future capital improvements in a fair market valuation and that even the ALJ recognized Limerick’s planned capital improvements in the amount of $4,533,000 in the engineering report.  </w:t>
      </w:r>
      <w:r w:rsidRPr="002915C6">
        <w:rPr>
          <w:sz w:val="26"/>
          <w:szCs w:val="26"/>
          <w:lang w:val="en"/>
        </w:rPr>
        <w:t>Aqua Exc. at</w:t>
      </w:r>
      <w:r w:rsidR="006E0C78">
        <w:rPr>
          <w:sz w:val="26"/>
          <w:szCs w:val="26"/>
          <w:lang w:val="en"/>
        </w:rPr>
        <w:t> </w:t>
      </w:r>
      <w:r w:rsidRPr="002915C6">
        <w:rPr>
          <w:sz w:val="26"/>
          <w:szCs w:val="26"/>
          <w:lang w:val="en"/>
        </w:rPr>
        <w:t xml:space="preserve">20 (R.D. at 39; Tr. at 61).  Aqua asserts that these future improvements are germane to the acquisition and are needed for future growth and additional revenue.  Aqua contends that as long as these improvements will not be paid for by Limerick but by Aqua, they should be considered a real cost for compensation.  </w:t>
      </w:r>
      <w:r w:rsidR="00610C13">
        <w:rPr>
          <w:sz w:val="26"/>
          <w:szCs w:val="26"/>
          <w:lang w:val="en"/>
        </w:rPr>
        <w:t>The Company</w:t>
      </w:r>
      <w:r w:rsidRPr="002915C6">
        <w:rPr>
          <w:sz w:val="26"/>
          <w:szCs w:val="26"/>
          <w:lang w:val="en"/>
        </w:rPr>
        <w:t xml:space="preserve"> believes</w:t>
      </w:r>
      <w:r w:rsidR="00610C13">
        <w:rPr>
          <w:sz w:val="26"/>
          <w:szCs w:val="26"/>
          <w:lang w:val="en"/>
        </w:rPr>
        <w:t xml:space="preserve"> that</w:t>
      </w:r>
      <w:r w:rsidRPr="002915C6">
        <w:rPr>
          <w:sz w:val="26"/>
          <w:szCs w:val="26"/>
          <w:lang w:val="en"/>
        </w:rPr>
        <w:t xml:space="preserve"> failure to do so would result in an understatement of the fair market value of the system.  Aqua Exc. at 21 (citing Tr. at 60-61).  Therefore, Aqua requests that the Commission reject the ALJ’s recommended removal of the cost of future capital projects from HRG’s </w:t>
      </w:r>
      <w:r w:rsidR="00723698">
        <w:rPr>
          <w:sz w:val="26"/>
          <w:szCs w:val="26"/>
          <w:lang w:val="en"/>
        </w:rPr>
        <w:t xml:space="preserve">reproduction </w:t>
      </w:r>
      <w:r w:rsidRPr="002915C6">
        <w:rPr>
          <w:sz w:val="26"/>
          <w:szCs w:val="26"/>
          <w:lang w:val="en"/>
        </w:rPr>
        <w:t xml:space="preserve">cost approach.  </w:t>
      </w:r>
      <w:r w:rsidR="009B7B55">
        <w:rPr>
          <w:sz w:val="26"/>
          <w:szCs w:val="26"/>
          <w:lang w:val="en"/>
        </w:rPr>
        <w:t xml:space="preserve">Aqua </w:t>
      </w:r>
      <w:r w:rsidRPr="002915C6">
        <w:rPr>
          <w:sz w:val="26"/>
          <w:szCs w:val="26"/>
          <w:lang w:val="en"/>
        </w:rPr>
        <w:t>Exc. at 21.</w:t>
      </w:r>
    </w:p>
    <w:p w14:paraId="5D7476EA" w14:textId="77777777" w:rsidR="00EA7856" w:rsidRDefault="00EA7856" w:rsidP="0012768D">
      <w:pPr>
        <w:widowControl/>
        <w:spacing w:line="360" w:lineRule="auto"/>
        <w:ind w:firstLine="1440"/>
        <w:contextualSpacing/>
        <w:rPr>
          <w:sz w:val="26"/>
          <w:szCs w:val="26"/>
          <w:lang w:val="en"/>
        </w:rPr>
      </w:pPr>
    </w:p>
    <w:p w14:paraId="5802DA87" w14:textId="77777777" w:rsidR="004C0CF7" w:rsidRPr="004C0CF7" w:rsidRDefault="004C0CF7" w:rsidP="0012768D">
      <w:pPr>
        <w:widowControl/>
        <w:spacing w:line="360" w:lineRule="auto"/>
        <w:ind w:firstLine="1440"/>
        <w:contextualSpacing/>
        <w:rPr>
          <w:b/>
          <w:sz w:val="26"/>
          <w:szCs w:val="26"/>
          <w:lang w:val="en"/>
        </w:rPr>
      </w:pPr>
      <w:r>
        <w:rPr>
          <w:sz w:val="26"/>
          <w:szCs w:val="26"/>
          <w:lang w:val="en"/>
        </w:rPr>
        <w:tab/>
      </w:r>
      <w:r>
        <w:rPr>
          <w:sz w:val="26"/>
          <w:szCs w:val="26"/>
          <w:lang w:val="en"/>
        </w:rPr>
        <w:tab/>
      </w:r>
      <w:r w:rsidR="00667804">
        <w:rPr>
          <w:b/>
          <w:sz w:val="26"/>
          <w:szCs w:val="26"/>
          <w:lang w:val="en"/>
        </w:rPr>
        <w:t>(</w:t>
      </w:r>
      <w:r w:rsidR="004C4611">
        <w:rPr>
          <w:b/>
          <w:sz w:val="26"/>
          <w:szCs w:val="26"/>
          <w:lang w:val="en"/>
        </w:rPr>
        <w:t>ii</w:t>
      </w:r>
      <w:r w:rsidRPr="004C0CF7">
        <w:rPr>
          <w:b/>
          <w:sz w:val="26"/>
          <w:szCs w:val="26"/>
          <w:lang w:val="en"/>
        </w:rPr>
        <w:t>)</w:t>
      </w:r>
      <w:r w:rsidRPr="004C0CF7">
        <w:rPr>
          <w:b/>
          <w:sz w:val="26"/>
          <w:szCs w:val="26"/>
          <w:lang w:val="en"/>
        </w:rPr>
        <w:tab/>
        <w:t xml:space="preserve">OCA’s Replies to </w:t>
      </w:r>
      <w:proofErr w:type="spellStart"/>
      <w:r w:rsidRPr="004C0CF7">
        <w:rPr>
          <w:b/>
          <w:sz w:val="26"/>
          <w:szCs w:val="26"/>
          <w:lang w:val="en"/>
        </w:rPr>
        <w:t>Aqua’s</w:t>
      </w:r>
      <w:proofErr w:type="spellEnd"/>
      <w:r w:rsidRPr="004C0CF7">
        <w:rPr>
          <w:b/>
          <w:sz w:val="26"/>
          <w:szCs w:val="26"/>
          <w:lang w:val="en"/>
        </w:rPr>
        <w:t xml:space="preserve"> Exceptions</w:t>
      </w:r>
    </w:p>
    <w:p w14:paraId="00865FFD" w14:textId="77777777" w:rsidR="004C0CF7" w:rsidRPr="002915C6" w:rsidRDefault="004C0CF7" w:rsidP="0012768D">
      <w:pPr>
        <w:widowControl/>
        <w:spacing w:line="360" w:lineRule="auto"/>
        <w:ind w:firstLine="1440"/>
        <w:contextualSpacing/>
        <w:rPr>
          <w:sz w:val="26"/>
          <w:szCs w:val="26"/>
          <w:lang w:val="en"/>
        </w:rPr>
      </w:pPr>
    </w:p>
    <w:p w14:paraId="3E1D1273" w14:textId="7EBEB4E1" w:rsidR="00EA7856" w:rsidRPr="002915C6" w:rsidRDefault="009B7B55" w:rsidP="0012768D">
      <w:pPr>
        <w:widowControl/>
        <w:spacing w:line="360" w:lineRule="auto"/>
        <w:ind w:firstLine="1440"/>
        <w:contextualSpacing/>
        <w:rPr>
          <w:sz w:val="26"/>
          <w:szCs w:val="26"/>
          <w:lang w:val="en"/>
        </w:rPr>
      </w:pPr>
      <w:r>
        <w:rPr>
          <w:sz w:val="26"/>
          <w:szCs w:val="26"/>
          <w:lang w:val="en"/>
        </w:rPr>
        <w:t>In r</w:t>
      </w:r>
      <w:r w:rsidR="00EA7856" w:rsidRPr="002915C6">
        <w:rPr>
          <w:sz w:val="26"/>
          <w:szCs w:val="26"/>
          <w:lang w:val="en"/>
        </w:rPr>
        <w:t>eply, the OCA reiterates its argument that the inclusion of the cost of future capital projects in the va</w:t>
      </w:r>
      <w:r w:rsidR="004C0CF7">
        <w:rPr>
          <w:sz w:val="26"/>
          <w:szCs w:val="26"/>
          <w:lang w:val="en"/>
        </w:rPr>
        <w:t xml:space="preserve">luation of the Limerick system </w:t>
      </w:r>
      <w:r w:rsidR="00EA7856" w:rsidRPr="002915C6">
        <w:rPr>
          <w:sz w:val="26"/>
          <w:szCs w:val="26"/>
          <w:lang w:val="en"/>
        </w:rPr>
        <w:t>is not appropriate as the projects do not add value to the Limerick system at the time of acquisition.  OCA R. Exc. at</w:t>
      </w:r>
      <w:r w:rsidR="004C0CF7">
        <w:rPr>
          <w:sz w:val="26"/>
          <w:szCs w:val="26"/>
          <w:lang w:val="en"/>
        </w:rPr>
        <w:t> </w:t>
      </w:r>
      <w:r w:rsidR="00EA7856" w:rsidRPr="002915C6">
        <w:rPr>
          <w:sz w:val="26"/>
          <w:szCs w:val="26"/>
          <w:lang w:val="en"/>
        </w:rPr>
        <w:t>19 (</w:t>
      </w:r>
      <w:r w:rsidR="00610C13">
        <w:rPr>
          <w:sz w:val="26"/>
          <w:szCs w:val="26"/>
          <w:lang w:val="en"/>
        </w:rPr>
        <w:t>quoting</w:t>
      </w:r>
      <w:r w:rsidR="00EA7856" w:rsidRPr="002915C6">
        <w:rPr>
          <w:sz w:val="26"/>
          <w:szCs w:val="26"/>
          <w:lang w:val="en"/>
        </w:rPr>
        <w:t xml:space="preserve"> R.D. at 37).  </w:t>
      </w:r>
      <w:r w:rsidR="00610C13">
        <w:rPr>
          <w:sz w:val="26"/>
          <w:szCs w:val="26"/>
          <w:lang w:val="en"/>
        </w:rPr>
        <w:t xml:space="preserve">The </w:t>
      </w:r>
      <w:r w:rsidR="00EA7856" w:rsidRPr="002915C6">
        <w:rPr>
          <w:sz w:val="26"/>
          <w:szCs w:val="26"/>
          <w:lang w:val="en"/>
        </w:rPr>
        <w:t>OCA further contends that adding these costs for valuation</w:t>
      </w:r>
      <w:r w:rsidR="006954C3">
        <w:rPr>
          <w:sz w:val="26"/>
          <w:szCs w:val="26"/>
          <w:lang w:val="en"/>
        </w:rPr>
        <w:t xml:space="preserve"> purposes would permit Aqua to </w:t>
      </w:r>
      <w:r w:rsidR="00EA7856" w:rsidRPr="002915C6">
        <w:rPr>
          <w:sz w:val="26"/>
          <w:szCs w:val="26"/>
          <w:lang w:val="en"/>
        </w:rPr>
        <w:t>double</w:t>
      </w:r>
      <w:r w:rsidR="006954C3">
        <w:rPr>
          <w:sz w:val="26"/>
          <w:szCs w:val="26"/>
          <w:lang w:val="en"/>
        </w:rPr>
        <w:t>-</w:t>
      </w:r>
      <w:r w:rsidR="00EA7856" w:rsidRPr="002915C6">
        <w:rPr>
          <w:sz w:val="26"/>
          <w:szCs w:val="26"/>
          <w:lang w:val="en"/>
        </w:rPr>
        <w:t>recover the same costs since Aqua w</w:t>
      </w:r>
      <w:r w:rsidR="006954C3">
        <w:rPr>
          <w:sz w:val="26"/>
          <w:szCs w:val="26"/>
          <w:lang w:val="en"/>
        </w:rPr>
        <w:t xml:space="preserve">ould </w:t>
      </w:r>
      <w:r w:rsidR="00EA7856" w:rsidRPr="002915C6">
        <w:rPr>
          <w:sz w:val="26"/>
          <w:szCs w:val="26"/>
          <w:lang w:val="en"/>
        </w:rPr>
        <w:t>later be compensated for capital expenditures through the traditional ratemaking methodology.  OCA R. Exc. at 19-20 (citing OCA M.B. at 44; OCA R.B. at 11; OCA Stmt</w:t>
      </w:r>
      <w:r w:rsidR="00610C13">
        <w:rPr>
          <w:sz w:val="26"/>
          <w:szCs w:val="26"/>
          <w:lang w:val="en"/>
        </w:rPr>
        <w:t>.</w:t>
      </w:r>
      <w:r w:rsidR="00EA7856" w:rsidRPr="002915C6">
        <w:rPr>
          <w:sz w:val="26"/>
          <w:szCs w:val="26"/>
          <w:lang w:val="en"/>
        </w:rPr>
        <w:t xml:space="preserve"> 1S at 14-15).  </w:t>
      </w:r>
      <w:r w:rsidR="00610C13">
        <w:rPr>
          <w:sz w:val="26"/>
          <w:szCs w:val="26"/>
          <w:lang w:val="en"/>
        </w:rPr>
        <w:t xml:space="preserve">The </w:t>
      </w:r>
      <w:r w:rsidR="00EA7856" w:rsidRPr="002915C6">
        <w:rPr>
          <w:sz w:val="26"/>
          <w:szCs w:val="26"/>
          <w:lang w:val="en"/>
        </w:rPr>
        <w:t xml:space="preserve">OCA therefore requests that the Commission adopt the ALJ’s recommendation which removes the cost of future capital projects in HRG’s valuation of the Limerick system under the </w:t>
      </w:r>
      <w:r w:rsidR="00723698">
        <w:rPr>
          <w:sz w:val="26"/>
          <w:szCs w:val="26"/>
          <w:lang w:val="en"/>
        </w:rPr>
        <w:t xml:space="preserve">reproduction </w:t>
      </w:r>
      <w:r w:rsidR="00EA7856" w:rsidRPr="002915C6">
        <w:rPr>
          <w:sz w:val="26"/>
          <w:szCs w:val="26"/>
          <w:lang w:val="en"/>
        </w:rPr>
        <w:t>cost approach.</w:t>
      </w:r>
      <w:r w:rsidR="00EA7856" w:rsidRPr="002915C6">
        <w:rPr>
          <w:rStyle w:val="FootnoteReference"/>
          <w:sz w:val="26"/>
          <w:szCs w:val="26"/>
          <w:lang w:val="en"/>
        </w:rPr>
        <w:footnoteReference w:id="19"/>
      </w:r>
      <w:r w:rsidR="00EA7856" w:rsidRPr="002915C6">
        <w:rPr>
          <w:sz w:val="26"/>
          <w:szCs w:val="26"/>
          <w:lang w:val="en"/>
        </w:rPr>
        <w:t xml:space="preserve">  OCA R. Exc. at 20.</w:t>
      </w:r>
    </w:p>
    <w:p w14:paraId="7C599FB0" w14:textId="77777777" w:rsidR="00EA7856" w:rsidRDefault="00EA7856" w:rsidP="0012768D">
      <w:pPr>
        <w:widowControl/>
        <w:spacing w:line="360" w:lineRule="auto"/>
        <w:ind w:firstLine="1440"/>
        <w:contextualSpacing/>
        <w:rPr>
          <w:sz w:val="26"/>
          <w:szCs w:val="26"/>
          <w:lang w:val="en"/>
        </w:rPr>
      </w:pPr>
    </w:p>
    <w:p w14:paraId="15502D68" w14:textId="77777777" w:rsidR="006954C3" w:rsidRPr="006954C3" w:rsidRDefault="006954C3" w:rsidP="00E915BA">
      <w:pPr>
        <w:keepNext/>
        <w:keepLines/>
        <w:widowControl/>
        <w:spacing w:line="360" w:lineRule="auto"/>
        <w:ind w:firstLine="1440"/>
        <w:contextualSpacing/>
        <w:rPr>
          <w:b/>
          <w:sz w:val="26"/>
          <w:szCs w:val="26"/>
          <w:lang w:val="en"/>
        </w:rPr>
      </w:pPr>
      <w:r>
        <w:rPr>
          <w:sz w:val="26"/>
          <w:szCs w:val="26"/>
          <w:lang w:val="en"/>
        </w:rPr>
        <w:tab/>
      </w:r>
      <w:r>
        <w:rPr>
          <w:sz w:val="26"/>
          <w:szCs w:val="26"/>
          <w:lang w:val="en"/>
        </w:rPr>
        <w:tab/>
      </w:r>
      <w:r w:rsidRPr="006954C3">
        <w:rPr>
          <w:b/>
          <w:sz w:val="26"/>
          <w:szCs w:val="26"/>
          <w:lang w:val="en"/>
        </w:rPr>
        <w:t>(</w:t>
      </w:r>
      <w:r w:rsidR="004C4611">
        <w:rPr>
          <w:b/>
          <w:sz w:val="26"/>
          <w:szCs w:val="26"/>
          <w:lang w:val="en"/>
        </w:rPr>
        <w:t>iii</w:t>
      </w:r>
      <w:r w:rsidRPr="006954C3">
        <w:rPr>
          <w:b/>
          <w:sz w:val="26"/>
          <w:szCs w:val="26"/>
          <w:lang w:val="en"/>
        </w:rPr>
        <w:t>)</w:t>
      </w:r>
      <w:r w:rsidRPr="006954C3">
        <w:rPr>
          <w:b/>
          <w:sz w:val="26"/>
          <w:szCs w:val="26"/>
          <w:lang w:val="en"/>
        </w:rPr>
        <w:tab/>
        <w:t>Disposition</w:t>
      </w:r>
    </w:p>
    <w:p w14:paraId="3FEABC08" w14:textId="77777777" w:rsidR="006954C3" w:rsidRPr="002915C6" w:rsidRDefault="006954C3" w:rsidP="00E915BA">
      <w:pPr>
        <w:keepNext/>
        <w:keepLines/>
        <w:widowControl/>
        <w:spacing w:line="360" w:lineRule="auto"/>
        <w:ind w:firstLine="1440"/>
        <w:contextualSpacing/>
        <w:rPr>
          <w:sz w:val="26"/>
          <w:szCs w:val="26"/>
          <w:lang w:val="en"/>
        </w:rPr>
      </w:pPr>
    </w:p>
    <w:p w14:paraId="2B3C6329" w14:textId="752E1B43" w:rsidR="00EA7856" w:rsidRDefault="009B7B55" w:rsidP="0012768D">
      <w:pPr>
        <w:widowControl/>
        <w:spacing w:line="360" w:lineRule="auto"/>
        <w:ind w:firstLine="1440"/>
        <w:contextualSpacing/>
        <w:rPr>
          <w:sz w:val="26"/>
          <w:szCs w:val="26"/>
          <w:lang w:val="en"/>
        </w:rPr>
      </w:pPr>
      <w:r>
        <w:rPr>
          <w:sz w:val="26"/>
          <w:szCs w:val="26"/>
          <w:lang w:val="en"/>
        </w:rPr>
        <w:t xml:space="preserve">Upon review of the record evidence, we will deny </w:t>
      </w:r>
      <w:proofErr w:type="spellStart"/>
      <w:r>
        <w:rPr>
          <w:sz w:val="26"/>
          <w:szCs w:val="26"/>
          <w:lang w:val="en"/>
        </w:rPr>
        <w:t>Aqua’s</w:t>
      </w:r>
      <w:proofErr w:type="spellEnd"/>
      <w:r>
        <w:rPr>
          <w:sz w:val="26"/>
          <w:szCs w:val="26"/>
          <w:lang w:val="en"/>
        </w:rPr>
        <w:t xml:space="preserve"> Exceptions and adopt the ALJ’s recommendation.  We agree with the ALJ that future capital projects do not add value to the Limerick system at this time and because Aqua will be compensated for the capital expenditures in the future through the traditional ratemaking methodology, there is no basis to include these costs in Limerick’s current valuation, as reflected in HRG’s </w:t>
      </w:r>
      <w:r w:rsidR="00723698">
        <w:rPr>
          <w:sz w:val="26"/>
          <w:szCs w:val="26"/>
          <w:lang w:val="en"/>
        </w:rPr>
        <w:t xml:space="preserve">reproduction </w:t>
      </w:r>
      <w:r>
        <w:rPr>
          <w:sz w:val="26"/>
          <w:szCs w:val="26"/>
          <w:lang w:val="en"/>
        </w:rPr>
        <w:t xml:space="preserve">cost approach.  R.D. at 37.  Moreover, while Limerick </w:t>
      </w:r>
      <w:r w:rsidR="00296421">
        <w:rPr>
          <w:sz w:val="26"/>
          <w:szCs w:val="26"/>
          <w:lang w:val="en"/>
        </w:rPr>
        <w:t>i</w:t>
      </w:r>
      <w:r>
        <w:rPr>
          <w:sz w:val="26"/>
          <w:szCs w:val="26"/>
          <w:lang w:val="en"/>
        </w:rPr>
        <w:t>dentif</w:t>
      </w:r>
      <w:r w:rsidR="00296421">
        <w:rPr>
          <w:sz w:val="26"/>
          <w:szCs w:val="26"/>
          <w:lang w:val="en"/>
        </w:rPr>
        <w:t>ied</w:t>
      </w:r>
      <w:r>
        <w:rPr>
          <w:sz w:val="26"/>
          <w:szCs w:val="26"/>
          <w:lang w:val="en"/>
        </w:rPr>
        <w:t xml:space="preserve"> the necessary future capital improvements in this transaction, no funds have been expended by Limerick for </w:t>
      </w:r>
      <w:r w:rsidR="00296421">
        <w:rPr>
          <w:sz w:val="26"/>
          <w:szCs w:val="26"/>
          <w:lang w:val="en"/>
        </w:rPr>
        <w:t xml:space="preserve">any </w:t>
      </w:r>
      <w:r>
        <w:rPr>
          <w:sz w:val="26"/>
          <w:szCs w:val="26"/>
          <w:lang w:val="en"/>
        </w:rPr>
        <w:t xml:space="preserve">improvements that would require us </w:t>
      </w:r>
      <w:r w:rsidR="00296421">
        <w:rPr>
          <w:sz w:val="26"/>
          <w:szCs w:val="26"/>
          <w:lang w:val="en"/>
        </w:rPr>
        <w:t xml:space="preserve">to permit </w:t>
      </w:r>
      <w:r>
        <w:rPr>
          <w:sz w:val="26"/>
          <w:szCs w:val="26"/>
          <w:lang w:val="en"/>
        </w:rPr>
        <w:t>compensat</w:t>
      </w:r>
      <w:r w:rsidR="00296421">
        <w:rPr>
          <w:sz w:val="26"/>
          <w:szCs w:val="26"/>
          <w:lang w:val="en"/>
        </w:rPr>
        <w:t xml:space="preserve">ion to </w:t>
      </w:r>
      <w:r>
        <w:rPr>
          <w:sz w:val="26"/>
          <w:szCs w:val="26"/>
          <w:lang w:val="en"/>
        </w:rPr>
        <w:t xml:space="preserve">Limerick in the instant proceeding.  Further, while we agree that the USPAP and the </w:t>
      </w:r>
      <w:r w:rsidRPr="00A0126B">
        <w:rPr>
          <w:i/>
          <w:sz w:val="26"/>
          <w:szCs w:val="26"/>
          <w:lang w:val="en"/>
        </w:rPr>
        <w:t>Final Implementation Order</w:t>
      </w:r>
      <w:r>
        <w:rPr>
          <w:sz w:val="26"/>
          <w:szCs w:val="26"/>
          <w:lang w:val="en"/>
        </w:rPr>
        <w:t xml:space="preserve"> did require the appraiser to take into consideration future improvements, we are not convinced that Limerick should be compensated prior to expending funds for such improvements</w:t>
      </w:r>
      <w:r w:rsidR="00425268">
        <w:rPr>
          <w:sz w:val="26"/>
          <w:szCs w:val="26"/>
          <w:lang w:val="en"/>
        </w:rPr>
        <w:t>;</w:t>
      </w:r>
      <w:r>
        <w:rPr>
          <w:sz w:val="26"/>
          <w:szCs w:val="26"/>
          <w:lang w:val="en"/>
        </w:rPr>
        <w:t xml:space="preserve"> nor do we believe it is reasonable to do so at this time.  Tr. at 60-61.  As such, we will deny </w:t>
      </w:r>
      <w:proofErr w:type="spellStart"/>
      <w:r>
        <w:rPr>
          <w:sz w:val="26"/>
          <w:szCs w:val="26"/>
          <w:lang w:val="en"/>
        </w:rPr>
        <w:t>Aqua’s</w:t>
      </w:r>
      <w:proofErr w:type="spellEnd"/>
      <w:r>
        <w:rPr>
          <w:sz w:val="26"/>
          <w:szCs w:val="26"/>
          <w:lang w:val="en"/>
        </w:rPr>
        <w:t xml:space="preserve"> Exceptions regarding this matter.</w:t>
      </w:r>
    </w:p>
    <w:p w14:paraId="46B4F715" w14:textId="77777777" w:rsidR="009B7B55" w:rsidRDefault="009B7B55" w:rsidP="0012768D">
      <w:pPr>
        <w:widowControl/>
        <w:spacing w:line="360" w:lineRule="auto"/>
        <w:ind w:firstLine="1440"/>
        <w:contextualSpacing/>
        <w:rPr>
          <w:sz w:val="26"/>
          <w:szCs w:val="26"/>
          <w:lang w:val="en"/>
        </w:rPr>
      </w:pPr>
    </w:p>
    <w:p w14:paraId="2777BCA5" w14:textId="77777777" w:rsidR="0094403E" w:rsidRDefault="00A3085D" w:rsidP="00A3085D">
      <w:pPr>
        <w:widowControl/>
        <w:spacing w:line="360" w:lineRule="auto"/>
        <w:contextualSpacing/>
        <w:rPr>
          <w:sz w:val="26"/>
          <w:szCs w:val="26"/>
          <w:lang w:val="en"/>
        </w:rPr>
      </w:pPr>
      <w:r>
        <w:rPr>
          <w:b/>
          <w:sz w:val="26"/>
          <w:szCs w:val="26"/>
          <w:lang w:val="en"/>
        </w:rPr>
        <w:tab/>
      </w:r>
      <w:r>
        <w:rPr>
          <w:b/>
          <w:sz w:val="26"/>
          <w:szCs w:val="26"/>
          <w:lang w:val="en"/>
        </w:rPr>
        <w:tab/>
      </w:r>
      <w:r>
        <w:rPr>
          <w:b/>
          <w:sz w:val="26"/>
          <w:szCs w:val="26"/>
          <w:lang w:val="en"/>
        </w:rPr>
        <w:tab/>
      </w:r>
      <w:r w:rsidR="004C4611">
        <w:rPr>
          <w:b/>
          <w:sz w:val="26"/>
          <w:szCs w:val="26"/>
          <w:lang w:val="en"/>
        </w:rPr>
        <w:t>(3)</w:t>
      </w:r>
      <w:r w:rsidR="001224AC" w:rsidRPr="001224AC">
        <w:rPr>
          <w:b/>
          <w:sz w:val="26"/>
          <w:szCs w:val="26"/>
          <w:lang w:val="en"/>
        </w:rPr>
        <w:tab/>
        <w:t xml:space="preserve"> </w:t>
      </w:r>
      <w:r w:rsidR="001224AC" w:rsidRPr="00F13D8C">
        <w:rPr>
          <w:b/>
          <w:sz w:val="26"/>
          <w:szCs w:val="26"/>
          <w:lang w:val="en"/>
        </w:rPr>
        <w:t>“Going Value” Adder</w:t>
      </w:r>
    </w:p>
    <w:p w14:paraId="378CBB84" w14:textId="77777777" w:rsidR="0094403E" w:rsidRDefault="0094403E" w:rsidP="00A3085D">
      <w:pPr>
        <w:widowControl/>
        <w:spacing w:line="360" w:lineRule="auto"/>
        <w:contextualSpacing/>
        <w:rPr>
          <w:sz w:val="26"/>
          <w:szCs w:val="26"/>
          <w:lang w:val="en"/>
        </w:rPr>
      </w:pPr>
    </w:p>
    <w:p w14:paraId="2D028BEC" w14:textId="77777777" w:rsidR="001224AC" w:rsidRPr="001224AC" w:rsidRDefault="001224AC" w:rsidP="00A3085D">
      <w:pPr>
        <w:widowControl/>
        <w:spacing w:line="360" w:lineRule="auto"/>
        <w:contextualSpacing/>
        <w:rPr>
          <w:b/>
          <w:sz w:val="26"/>
          <w:szCs w:val="26"/>
          <w:lang w:val="en"/>
        </w:rPr>
      </w:pPr>
      <w:r>
        <w:rPr>
          <w:sz w:val="26"/>
          <w:szCs w:val="26"/>
          <w:lang w:val="en"/>
        </w:rPr>
        <w:tab/>
      </w:r>
      <w:r>
        <w:rPr>
          <w:sz w:val="26"/>
          <w:szCs w:val="26"/>
          <w:lang w:val="en"/>
        </w:rPr>
        <w:tab/>
      </w:r>
      <w:r w:rsidR="00A3085D">
        <w:rPr>
          <w:sz w:val="26"/>
          <w:szCs w:val="26"/>
          <w:lang w:val="en"/>
        </w:rPr>
        <w:tab/>
      </w:r>
      <w:r w:rsidR="004C4611">
        <w:rPr>
          <w:sz w:val="26"/>
          <w:szCs w:val="26"/>
          <w:lang w:val="en"/>
        </w:rPr>
        <w:tab/>
      </w:r>
      <w:r>
        <w:rPr>
          <w:b/>
          <w:sz w:val="26"/>
          <w:szCs w:val="26"/>
          <w:lang w:val="en"/>
        </w:rPr>
        <w:t>(</w:t>
      </w:r>
      <w:proofErr w:type="spellStart"/>
      <w:r w:rsidR="004C4611">
        <w:rPr>
          <w:b/>
          <w:sz w:val="26"/>
          <w:szCs w:val="26"/>
          <w:lang w:val="en"/>
        </w:rPr>
        <w:t>i</w:t>
      </w:r>
      <w:proofErr w:type="spellEnd"/>
      <w:r>
        <w:rPr>
          <w:b/>
          <w:sz w:val="26"/>
          <w:szCs w:val="26"/>
          <w:lang w:val="en"/>
        </w:rPr>
        <w:t xml:space="preserve">) </w:t>
      </w:r>
      <w:proofErr w:type="spellStart"/>
      <w:r>
        <w:rPr>
          <w:b/>
          <w:sz w:val="26"/>
          <w:szCs w:val="26"/>
          <w:lang w:val="en"/>
        </w:rPr>
        <w:t>A</w:t>
      </w:r>
      <w:r w:rsidRPr="001224AC">
        <w:rPr>
          <w:b/>
          <w:sz w:val="26"/>
          <w:szCs w:val="26"/>
          <w:lang w:val="en"/>
        </w:rPr>
        <w:t>qua’s</w:t>
      </w:r>
      <w:proofErr w:type="spellEnd"/>
      <w:r w:rsidRPr="001224AC">
        <w:rPr>
          <w:b/>
          <w:sz w:val="26"/>
          <w:szCs w:val="26"/>
          <w:lang w:val="en"/>
        </w:rPr>
        <w:t xml:space="preserve"> Exceptions</w:t>
      </w:r>
    </w:p>
    <w:p w14:paraId="55BEB5D3" w14:textId="77777777" w:rsidR="001224AC" w:rsidRDefault="001224AC" w:rsidP="0012768D">
      <w:pPr>
        <w:widowControl/>
        <w:spacing w:line="360" w:lineRule="auto"/>
        <w:ind w:firstLine="1440"/>
        <w:contextualSpacing/>
        <w:rPr>
          <w:sz w:val="26"/>
          <w:szCs w:val="26"/>
          <w:lang w:val="en"/>
        </w:rPr>
      </w:pPr>
    </w:p>
    <w:p w14:paraId="1052385F" w14:textId="77777777" w:rsidR="00EA7856" w:rsidRPr="002915C6" w:rsidRDefault="00EA7856" w:rsidP="0012768D">
      <w:pPr>
        <w:widowControl/>
        <w:spacing w:line="360" w:lineRule="auto"/>
        <w:ind w:firstLine="1440"/>
        <w:contextualSpacing/>
        <w:rPr>
          <w:sz w:val="26"/>
          <w:szCs w:val="26"/>
          <w:lang w:val="en"/>
        </w:rPr>
      </w:pPr>
      <w:r w:rsidRPr="002915C6">
        <w:rPr>
          <w:sz w:val="26"/>
          <w:szCs w:val="26"/>
          <w:lang w:val="en"/>
        </w:rPr>
        <w:t xml:space="preserve">With regard to the ALJ’s adoption of the OCA’s proposal that the “going value” adder in the amount of $4,000,000 be removed from HRG’s cost approach, similar to its argument in the income approach, Aqua believes this recommendation was made as a result of the OCA’s misunderstanding of the adder and its purpose, and should therefore be rejected.  Aqua Exc. at 21 (citing R.D. at 32).  Aqua argues that contrary to the ALJ’s suggestion that the adder is a marketing cost to acquire customers, it represents the costs associated with forming an entity.  Aqua avers the “going value” represents the costs incurred by Limerick when it began operations or a start-up cost that should be appropriately included in the fair market value appraisal.  Aqua Exc. at 21 (citing Aqua Stmt. 4R at 14).  Aqua argues </w:t>
      </w:r>
      <w:r w:rsidR="00610C13">
        <w:rPr>
          <w:sz w:val="26"/>
          <w:szCs w:val="26"/>
          <w:lang w:val="en"/>
        </w:rPr>
        <w:t xml:space="preserve">that </w:t>
      </w:r>
      <w:r w:rsidRPr="002915C6">
        <w:rPr>
          <w:sz w:val="26"/>
          <w:szCs w:val="26"/>
          <w:lang w:val="en"/>
        </w:rPr>
        <w:t>because these costs represent funds that have already been expended by Limerick Township to get the system up and going, Limerick should be compensated for the “going value.”  Aqua Exc. at 21-22 (citing Aqua Stmt. 4R at 14).   Therefore, Aqua requests that the Commission reject the ALJ’s recommended removal of the going value adder from HRG’s cost approach.  Aqua Exc. at 22.</w:t>
      </w:r>
    </w:p>
    <w:p w14:paraId="3D494A63" w14:textId="77777777" w:rsidR="00EA7856" w:rsidRDefault="00EA7856" w:rsidP="0012768D">
      <w:pPr>
        <w:widowControl/>
        <w:spacing w:line="360" w:lineRule="auto"/>
        <w:ind w:firstLine="1440"/>
        <w:contextualSpacing/>
        <w:rPr>
          <w:sz w:val="26"/>
          <w:szCs w:val="26"/>
          <w:lang w:val="en"/>
        </w:rPr>
      </w:pPr>
    </w:p>
    <w:p w14:paraId="3FB78272" w14:textId="77777777" w:rsidR="001224AC" w:rsidRPr="001224AC" w:rsidRDefault="001224AC" w:rsidP="0012768D">
      <w:pPr>
        <w:widowControl/>
        <w:spacing w:line="360" w:lineRule="auto"/>
        <w:ind w:firstLine="1440"/>
        <w:contextualSpacing/>
        <w:rPr>
          <w:b/>
          <w:sz w:val="26"/>
          <w:szCs w:val="26"/>
          <w:lang w:val="en"/>
        </w:rPr>
      </w:pPr>
      <w:r>
        <w:rPr>
          <w:sz w:val="26"/>
          <w:szCs w:val="26"/>
          <w:lang w:val="en"/>
        </w:rPr>
        <w:tab/>
      </w:r>
      <w:r>
        <w:rPr>
          <w:sz w:val="26"/>
          <w:szCs w:val="26"/>
          <w:lang w:val="en"/>
        </w:rPr>
        <w:tab/>
      </w:r>
      <w:r w:rsidRPr="001224AC">
        <w:rPr>
          <w:b/>
          <w:sz w:val="26"/>
          <w:szCs w:val="26"/>
          <w:lang w:val="en"/>
        </w:rPr>
        <w:t>(</w:t>
      </w:r>
      <w:r w:rsidR="004C4611">
        <w:rPr>
          <w:b/>
          <w:sz w:val="26"/>
          <w:szCs w:val="26"/>
          <w:lang w:val="en"/>
        </w:rPr>
        <w:t>ii</w:t>
      </w:r>
      <w:r w:rsidRPr="001224AC">
        <w:rPr>
          <w:b/>
          <w:sz w:val="26"/>
          <w:szCs w:val="26"/>
          <w:lang w:val="en"/>
        </w:rPr>
        <w:t>)</w:t>
      </w:r>
      <w:r w:rsidRPr="001224AC">
        <w:rPr>
          <w:b/>
          <w:sz w:val="26"/>
          <w:szCs w:val="26"/>
          <w:lang w:val="en"/>
        </w:rPr>
        <w:tab/>
        <w:t xml:space="preserve">OCA’s Replies to </w:t>
      </w:r>
      <w:proofErr w:type="spellStart"/>
      <w:r w:rsidRPr="001224AC">
        <w:rPr>
          <w:b/>
          <w:sz w:val="26"/>
          <w:szCs w:val="26"/>
          <w:lang w:val="en"/>
        </w:rPr>
        <w:t>Aqua’s</w:t>
      </w:r>
      <w:proofErr w:type="spellEnd"/>
      <w:r w:rsidRPr="001224AC">
        <w:rPr>
          <w:b/>
          <w:sz w:val="26"/>
          <w:szCs w:val="26"/>
          <w:lang w:val="en"/>
        </w:rPr>
        <w:t xml:space="preserve"> Exceptions</w:t>
      </w:r>
    </w:p>
    <w:p w14:paraId="7E141804" w14:textId="77777777" w:rsidR="001224AC" w:rsidRPr="002915C6" w:rsidRDefault="001224AC" w:rsidP="0012768D">
      <w:pPr>
        <w:widowControl/>
        <w:spacing w:line="360" w:lineRule="auto"/>
        <w:ind w:firstLine="1440"/>
        <w:contextualSpacing/>
        <w:rPr>
          <w:sz w:val="26"/>
          <w:szCs w:val="26"/>
          <w:lang w:val="en"/>
        </w:rPr>
      </w:pPr>
    </w:p>
    <w:p w14:paraId="63EA5207" w14:textId="77777777" w:rsidR="00EA7856" w:rsidRPr="002915C6" w:rsidRDefault="00610C13" w:rsidP="0012768D">
      <w:pPr>
        <w:widowControl/>
        <w:spacing w:line="360" w:lineRule="auto"/>
        <w:ind w:firstLine="1440"/>
        <w:contextualSpacing/>
        <w:rPr>
          <w:sz w:val="26"/>
          <w:szCs w:val="26"/>
          <w:lang w:val="en"/>
        </w:rPr>
      </w:pPr>
      <w:r>
        <w:rPr>
          <w:sz w:val="26"/>
          <w:szCs w:val="26"/>
          <w:lang w:val="en"/>
        </w:rPr>
        <w:t>In r</w:t>
      </w:r>
      <w:r w:rsidR="00EA7856" w:rsidRPr="002915C6">
        <w:rPr>
          <w:sz w:val="26"/>
          <w:szCs w:val="26"/>
          <w:lang w:val="en"/>
        </w:rPr>
        <w:t xml:space="preserve">eply, the OCA disagrees, stating that </w:t>
      </w:r>
      <w:proofErr w:type="spellStart"/>
      <w:r w:rsidR="00EA7856" w:rsidRPr="002915C6">
        <w:rPr>
          <w:sz w:val="26"/>
          <w:szCs w:val="26"/>
          <w:lang w:val="en"/>
        </w:rPr>
        <w:t>Aqua’s</w:t>
      </w:r>
      <w:proofErr w:type="spellEnd"/>
      <w:r w:rsidR="00EA7856" w:rsidRPr="002915C6">
        <w:rPr>
          <w:sz w:val="26"/>
          <w:szCs w:val="26"/>
          <w:lang w:val="en"/>
        </w:rPr>
        <w:t xml:space="preserve"> reasoning for including the “going value” adder does not comport with reality.  </w:t>
      </w:r>
      <w:r>
        <w:rPr>
          <w:sz w:val="26"/>
          <w:szCs w:val="26"/>
          <w:lang w:val="en"/>
        </w:rPr>
        <w:t xml:space="preserve">The </w:t>
      </w:r>
      <w:r w:rsidR="00EA7856" w:rsidRPr="002915C6">
        <w:rPr>
          <w:sz w:val="26"/>
          <w:szCs w:val="26"/>
          <w:lang w:val="en"/>
        </w:rPr>
        <w:t>OCA asserts that HRG’s analysis regarding the “going value” adder is beset with contradictions and flaws.  OCA further asserts that HRG’s calculation of the adder itself contained errors including an unreasonable revenue growth and an illogical “net income” calculation.  OCA R. Exc. at</w:t>
      </w:r>
      <w:r w:rsidR="005B71B1">
        <w:rPr>
          <w:sz w:val="26"/>
          <w:szCs w:val="26"/>
          <w:lang w:val="en"/>
        </w:rPr>
        <w:t> </w:t>
      </w:r>
      <w:r w:rsidR="00EA7856" w:rsidRPr="002915C6">
        <w:rPr>
          <w:sz w:val="26"/>
          <w:szCs w:val="26"/>
          <w:lang w:val="en"/>
        </w:rPr>
        <w:t>20.  Therefore, the OCA requests that the Commission adopt the ALJ’s d</w:t>
      </w:r>
      <w:r>
        <w:rPr>
          <w:sz w:val="26"/>
          <w:szCs w:val="26"/>
          <w:lang w:val="en"/>
        </w:rPr>
        <w:t xml:space="preserve">etermination that the adder is </w:t>
      </w:r>
      <w:r w:rsidR="00EA7856" w:rsidRPr="002915C6">
        <w:rPr>
          <w:sz w:val="26"/>
          <w:szCs w:val="26"/>
          <w:lang w:val="en"/>
        </w:rPr>
        <w:t xml:space="preserve">without merit and should not be considered.  OCA R. Exc. at 20-21 (citing R.D. at 38). </w:t>
      </w:r>
    </w:p>
    <w:p w14:paraId="2F59CB0F" w14:textId="77777777" w:rsidR="00EA7856" w:rsidRDefault="00EA7856" w:rsidP="0012768D">
      <w:pPr>
        <w:widowControl/>
        <w:spacing w:line="360" w:lineRule="auto"/>
        <w:ind w:firstLine="1440"/>
        <w:contextualSpacing/>
        <w:rPr>
          <w:sz w:val="26"/>
          <w:szCs w:val="26"/>
          <w:lang w:val="en"/>
        </w:rPr>
      </w:pPr>
    </w:p>
    <w:p w14:paraId="22CFC33C" w14:textId="77777777" w:rsidR="005B71B1" w:rsidRPr="005B71B1" w:rsidRDefault="005B71B1" w:rsidP="0012768D">
      <w:pPr>
        <w:widowControl/>
        <w:spacing w:line="360" w:lineRule="auto"/>
        <w:ind w:firstLine="1440"/>
        <w:contextualSpacing/>
        <w:rPr>
          <w:b/>
          <w:sz w:val="26"/>
          <w:szCs w:val="26"/>
          <w:lang w:val="en"/>
        </w:rPr>
      </w:pPr>
      <w:r>
        <w:rPr>
          <w:sz w:val="26"/>
          <w:szCs w:val="26"/>
          <w:lang w:val="en"/>
        </w:rPr>
        <w:tab/>
      </w:r>
      <w:r>
        <w:rPr>
          <w:sz w:val="26"/>
          <w:szCs w:val="26"/>
          <w:lang w:val="en"/>
        </w:rPr>
        <w:tab/>
      </w:r>
      <w:r w:rsidRPr="005B71B1">
        <w:rPr>
          <w:b/>
          <w:sz w:val="26"/>
          <w:szCs w:val="26"/>
          <w:lang w:val="en"/>
        </w:rPr>
        <w:t>(</w:t>
      </w:r>
      <w:r w:rsidR="004C4611">
        <w:rPr>
          <w:b/>
          <w:sz w:val="26"/>
          <w:szCs w:val="26"/>
          <w:lang w:val="en"/>
        </w:rPr>
        <w:t>iii</w:t>
      </w:r>
      <w:r w:rsidRPr="005B71B1">
        <w:rPr>
          <w:b/>
          <w:sz w:val="26"/>
          <w:szCs w:val="26"/>
          <w:lang w:val="en"/>
        </w:rPr>
        <w:t>)</w:t>
      </w:r>
      <w:r w:rsidRPr="005B71B1">
        <w:rPr>
          <w:b/>
          <w:sz w:val="26"/>
          <w:szCs w:val="26"/>
          <w:lang w:val="en"/>
        </w:rPr>
        <w:tab/>
        <w:t>Disposition</w:t>
      </w:r>
    </w:p>
    <w:p w14:paraId="1781A4E6" w14:textId="77777777" w:rsidR="005B71B1" w:rsidRPr="002915C6" w:rsidRDefault="005B71B1" w:rsidP="0012768D">
      <w:pPr>
        <w:widowControl/>
        <w:spacing w:line="360" w:lineRule="auto"/>
        <w:ind w:firstLine="1440"/>
        <w:contextualSpacing/>
        <w:rPr>
          <w:sz w:val="26"/>
          <w:szCs w:val="26"/>
          <w:lang w:val="en"/>
        </w:rPr>
      </w:pPr>
    </w:p>
    <w:p w14:paraId="639FC5B2" w14:textId="77777777" w:rsidR="00EA7856" w:rsidRDefault="00EA7856" w:rsidP="0012768D">
      <w:pPr>
        <w:widowControl/>
        <w:spacing w:line="360" w:lineRule="auto"/>
        <w:ind w:firstLine="1440"/>
        <w:contextualSpacing/>
        <w:rPr>
          <w:sz w:val="26"/>
          <w:szCs w:val="26"/>
          <w:lang w:val="en"/>
        </w:rPr>
      </w:pPr>
      <w:r w:rsidRPr="002915C6">
        <w:rPr>
          <w:sz w:val="26"/>
          <w:szCs w:val="26"/>
          <w:lang w:val="en"/>
        </w:rPr>
        <w:t xml:space="preserve">Upon review, we will deny </w:t>
      </w:r>
      <w:proofErr w:type="spellStart"/>
      <w:r w:rsidRPr="002915C6">
        <w:rPr>
          <w:sz w:val="26"/>
          <w:szCs w:val="26"/>
          <w:lang w:val="en"/>
        </w:rPr>
        <w:t>Aqua’s</w:t>
      </w:r>
      <w:proofErr w:type="spellEnd"/>
      <w:r w:rsidRPr="002915C6">
        <w:rPr>
          <w:sz w:val="26"/>
          <w:szCs w:val="26"/>
          <w:lang w:val="en"/>
        </w:rPr>
        <w:t xml:space="preserve"> Exceptions and adopt the ALJ’s recommendation regarding the “going value” adder under HRG’s cost approach.  We agree </w:t>
      </w:r>
      <w:r w:rsidR="005B71B1">
        <w:rPr>
          <w:sz w:val="26"/>
          <w:szCs w:val="26"/>
          <w:lang w:val="en"/>
        </w:rPr>
        <w:t xml:space="preserve">with the ALJ and the OCA </w:t>
      </w:r>
      <w:r w:rsidRPr="002915C6">
        <w:rPr>
          <w:sz w:val="26"/>
          <w:szCs w:val="26"/>
          <w:lang w:val="en"/>
        </w:rPr>
        <w:t xml:space="preserve">that there is no basis for including this adder in the valuation of the Limerick system.  As such, </w:t>
      </w:r>
      <w:proofErr w:type="spellStart"/>
      <w:r w:rsidRPr="002915C6">
        <w:rPr>
          <w:sz w:val="26"/>
          <w:szCs w:val="26"/>
          <w:lang w:val="en"/>
        </w:rPr>
        <w:t>Aqua’s</w:t>
      </w:r>
      <w:proofErr w:type="spellEnd"/>
      <w:r w:rsidRPr="002915C6">
        <w:rPr>
          <w:sz w:val="26"/>
          <w:szCs w:val="26"/>
          <w:lang w:val="en"/>
        </w:rPr>
        <w:t xml:space="preserve"> Exception regarding this matter is hereby denied.  </w:t>
      </w:r>
    </w:p>
    <w:p w14:paraId="03703C12" w14:textId="77777777" w:rsidR="00CA094F" w:rsidRPr="002915C6" w:rsidRDefault="00CA094F" w:rsidP="0012768D">
      <w:pPr>
        <w:widowControl/>
        <w:spacing w:line="360" w:lineRule="auto"/>
        <w:ind w:firstLine="1440"/>
        <w:contextualSpacing/>
        <w:rPr>
          <w:sz w:val="26"/>
          <w:szCs w:val="26"/>
          <w:lang w:val="en"/>
        </w:rPr>
      </w:pPr>
    </w:p>
    <w:p w14:paraId="03BD426E" w14:textId="77777777" w:rsidR="004C4611" w:rsidRDefault="004C4611" w:rsidP="004C4611">
      <w:pPr>
        <w:keepNext/>
        <w:keepLines/>
        <w:widowControl/>
        <w:autoSpaceDE w:val="0"/>
        <w:autoSpaceDN w:val="0"/>
        <w:adjustRightInd w:val="0"/>
        <w:ind w:left="2592" w:hanging="432"/>
        <w:contextualSpacing/>
        <w:rPr>
          <w:b/>
          <w:bCs/>
          <w:sz w:val="26"/>
          <w:szCs w:val="26"/>
          <w:lang w:val="en"/>
        </w:rPr>
      </w:pPr>
      <w:r>
        <w:rPr>
          <w:b/>
          <w:bCs/>
          <w:sz w:val="26"/>
          <w:szCs w:val="26"/>
          <w:lang w:val="en"/>
        </w:rPr>
        <w:t>(4)</w:t>
      </w:r>
      <w:r w:rsidRPr="002915C6">
        <w:rPr>
          <w:b/>
          <w:bCs/>
          <w:sz w:val="26"/>
          <w:szCs w:val="26"/>
          <w:lang w:val="en"/>
        </w:rPr>
        <w:tab/>
      </w:r>
      <w:r w:rsidRPr="00B63684">
        <w:rPr>
          <w:b/>
          <w:bCs/>
          <w:sz w:val="26"/>
          <w:szCs w:val="26"/>
          <w:lang w:val="en"/>
        </w:rPr>
        <w:t>Cost of Land</w:t>
      </w:r>
    </w:p>
    <w:p w14:paraId="0EAA18CE" w14:textId="77777777" w:rsidR="004C4611" w:rsidRDefault="004C4611" w:rsidP="004C4611">
      <w:pPr>
        <w:keepNext/>
        <w:keepLines/>
        <w:widowControl/>
        <w:autoSpaceDE w:val="0"/>
        <w:autoSpaceDN w:val="0"/>
        <w:adjustRightInd w:val="0"/>
        <w:ind w:left="2592" w:hanging="432"/>
        <w:contextualSpacing/>
        <w:rPr>
          <w:b/>
          <w:bCs/>
          <w:sz w:val="26"/>
          <w:szCs w:val="26"/>
          <w:lang w:val="en"/>
        </w:rPr>
      </w:pPr>
    </w:p>
    <w:p w14:paraId="2E865C12" w14:textId="77777777" w:rsidR="004C4611" w:rsidRDefault="004C4611" w:rsidP="00BE5FF4">
      <w:pPr>
        <w:pStyle w:val="ListParagraph"/>
        <w:keepNext/>
        <w:keepLines/>
        <w:widowControl/>
        <w:numPr>
          <w:ilvl w:val="0"/>
          <w:numId w:val="19"/>
        </w:numPr>
        <w:autoSpaceDE w:val="0"/>
        <w:autoSpaceDN w:val="0"/>
        <w:adjustRightInd w:val="0"/>
        <w:rPr>
          <w:b/>
          <w:bCs/>
          <w:sz w:val="26"/>
          <w:szCs w:val="26"/>
          <w:lang w:val="en"/>
        </w:rPr>
      </w:pPr>
      <w:r w:rsidRPr="00BE5FF4">
        <w:rPr>
          <w:b/>
          <w:bCs/>
          <w:sz w:val="26"/>
          <w:szCs w:val="26"/>
          <w:lang w:val="en"/>
        </w:rPr>
        <w:t>OCA’s Exceptions</w:t>
      </w:r>
    </w:p>
    <w:p w14:paraId="7386F215" w14:textId="77777777" w:rsidR="004C4611" w:rsidRPr="00BE5FF4" w:rsidRDefault="004C4611" w:rsidP="00BE5FF4">
      <w:pPr>
        <w:pStyle w:val="ListParagraph"/>
        <w:keepNext/>
        <w:keepLines/>
        <w:widowControl/>
        <w:autoSpaceDE w:val="0"/>
        <w:autoSpaceDN w:val="0"/>
        <w:adjustRightInd w:val="0"/>
        <w:ind w:left="3315"/>
        <w:rPr>
          <w:b/>
          <w:bCs/>
          <w:sz w:val="26"/>
          <w:szCs w:val="26"/>
          <w:lang w:val="en"/>
        </w:rPr>
      </w:pPr>
    </w:p>
    <w:p w14:paraId="1B01FDC7" w14:textId="77777777" w:rsidR="004C4611" w:rsidRPr="00C14FE4" w:rsidRDefault="004C4611" w:rsidP="004C4611">
      <w:pPr>
        <w:keepNext/>
        <w:keepLines/>
        <w:widowControl/>
        <w:autoSpaceDE w:val="0"/>
        <w:autoSpaceDN w:val="0"/>
        <w:adjustRightInd w:val="0"/>
        <w:ind w:left="2592" w:hanging="432"/>
        <w:contextualSpacing/>
        <w:rPr>
          <w:b/>
          <w:sz w:val="26"/>
          <w:lang w:val="en"/>
        </w:rPr>
      </w:pPr>
    </w:p>
    <w:p w14:paraId="36716F5E" w14:textId="7E044170" w:rsidR="004C4611" w:rsidRPr="002915C6" w:rsidRDefault="004C4611" w:rsidP="004C4611">
      <w:pPr>
        <w:widowControl/>
        <w:autoSpaceDE w:val="0"/>
        <w:autoSpaceDN w:val="0"/>
        <w:adjustRightInd w:val="0"/>
        <w:spacing w:line="360" w:lineRule="auto"/>
        <w:ind w:firstLine="1440"/>
        <w:contextualSpacing/>
        <w:rPr>
          <w:sz w:val="26"/>
          <w:szCs w:val="26"/>
          <w:lang w:val="en"/>
        </w:rPr>
      </w:pPr>
      <w:r w:rsidRPr="002915C6">
        <w:rPr>
          <w:sz w:val="26"/>
          <w:szCs w:val="26"/>
          <w:lang w:val="en"/>
        </w:rPr>
        <w:t xml:space="preserve">In its Exception No. 1, the OCA avers that the ALJ erred in failing to adopt </w:t>
      </w:r>
      <w:r>
        <w:rPr>
          <w:sz w:val="26"/>
          <w:szCs w:val="26"/>
          <w:lang w:val="en"/>
        </w:rPr>
        <w:t>its</w:t>
      </w:r>
      <w:r w:rsidRPr="002915C6">
        <w:rPr>
          <w:sz w:val="26"/>
          <w:szCs w:val="26"/>
          <w:lang w:val="en"/>
        </w:rPr>
        <w:t xml:space="preserve"> adjustment </w:t>
      </w:r>
      <w:r>
        <w:rPr>
          <w:sz w:val="26"/>
          <w:szCs w:val="26"/>
          <w:lang w:val="en"/>
        </w:rPr>
        <w:t xml:space="preserve">to </w:t>
      </w:r>
      <w:r w:rsidRPr="002915C6">
        <w:rPr>
          <w:sz w:val="26"/>
          <w:szCs w:val="26"/>
          <w:lang w:val="en"/>
        </w:rPr>
        <w:t xml:space="preserve">and proposed removal of the cost of land from HRG’s </w:t>
      </w:r>
      <w:r w:rsidR="00723698">
        <w:rPr>
          <w:sz w:val="26"/>
          <w:szCs w:val="26"/>
          <w:lang w:val="en"/>
        </w:rPr>
        <w:t xml:space="preserve">fair value </w:t>
      </w:r>
      <w:r w:rsidRPr="002915C6">
        <w:rPr>
          <w:sz w:val="26"/>
          <w:szCs w:val="26"/>
          <w:lang w:val="en"/>
        </w:rPr>
        <w:t xml:space="preserve">determination </w:t>
      </w:r>
      <w:r w:rsidR="00AC781C">
        <w:rPr>
          <w:sz w:val="26"/>
          <w:szCs w:val="26"/>
          <w:lang w:val="en"/>
        </w:rPr>
        <w:t xml:space="preserve">of </w:t>
      </w:r>
      <w:r w:rsidR="00723698">
        <w:rPr>
          <w:sz w:val="26"/>
          <w:szCs w:val="26"/>
          <w:lang w:val="en"/>
        </w:rPr>
        <w:t xml:space="preserve">reproduction </w:t>
      </w:r>
      <w:r w:rsidRPr="002915C6">
        <w:rPr>
          <w:sz w:val="26"/>
          <w:szCs w:val="26"/>
          <w:lang w:val="en"/>
        </w:rPr>
        <w:t>cost</w:t>
      </w:r>
      <w:r w:rsidR="00AC781C">
        <w:rPr>
          <w:sz w:val="26"/>
          <w:szCs w:val="26"/>
          <w:lang w:val="en"/>
        </w:rPr>
        <w:t>s</w:t>
      </w:r>
      <w:r w:rsidRPr="002915C6">
        <w:rPr>
          <w:sz w:val="26"/>
          <w:szCs w:val="26"/>
          <w:lang w:val="en"/>
        </w:rPr>
        <w:t xml:space="preserve">.  OCA Exc. at 5 (citing R.D. at 37).  </w:t>
      </w:r>
      <w:r>
        <w:rPr>
          <w:sz w:val="26"/>
          <w:szCs w:val="26"/>
          <w:lang w:val="en"/>
        </w:rPr>
        <w:t xml:space="preserve">The </w:t>
      </w:r>
      <w:r w:rsidRPr="002915C6">
        <w:rPr>
          <w:sz w:val="26"/>
          <w:szCs w:val="26"/>
          <w:lang w:val="en"/>
        </w:rPr>
        <w:t xml:space="preserve">OCA argues </w:t>
      </w:r>
      <w:r>
        <w:rPr>
          <w:sz w:val="26"/>
          <w:szCs w:val="26"/>
          <w:lang w:val="en"/>
        </w:rPr>
        <w:t xml:space="preserve">that </w:t>
      </w:r>
      <w:r w:rsidRPr="002915C6">
        <w:rPr>
          <w:sz w:val="26"/>
          <w:szCs w:val="26"/>
          <w:lang w:val="en"/>
        </w:rPr>
        <w:t xml:space="preserve">HRG included an inflated value for land using the ENR Index in its reproduction cost analysis.  OCA Exc. at 5 (citing Aqua </w:t>
      </w:r>
      <w:proofErr w:type="spellStart"/>
      <w:r w:rsidRPr="002915C6">
        <w:rPr>
          <w:sz w:val="26"/>
          <w:szCs w:val="26"/>
          <w:lang w:val="en"/>
        </w:rPr>
        <w:t>Exh</w:t>
      </w:r>
      <w:proofErr w:type="spellEnd"/>
      <w:r w:rsidRPr="002915C6">
        <w:rPr>
          <w:sz w:val="26"/>
          <w:szCs w:val="26"/>
          <w:lang w:val="en"/>
        </w:rPr>
        <w:t>. R; Sch. C; OCA Stmt</w:t>
      </w:r>
      <w:r>
        <w:rPr>
          <w:sz w:val="26"/>
          <w:szCs w:val="26"/>
          <w:lang w:val="en"/>
        </w:rPr>
        <w:t>.</w:t>
      </w:r>
      <w:r w:rsidRPr="002915C6">
        <w:rPr>
          <w:sz w:val="26"/>
          <w:szCs w:val="26"/>
          <w:lang w:val="en"/>
        </w:rPr>
        <w:t xml:space="preserve"> 1 at</w:t>
      </w:r>
      <w:r>
        <w:rPr>
          <w:sz w:val="26"/>
          <w:szCs w:val="26"/>
          <w:lang w:val="en"/>
        </w:rPr>
        <w:t> </w:t>
      </w:r>
      <w:r w:rsidRPr="002915C6">
        <w:rPr>
          <w:sz w:val="26"/>
          <w:szCs w:val="26"/>
          <w:lang w:val="en"/>
        </w:rPr>
        <w:t>26-27).  According to the OCA, its witness, Ms. Everette, explained two reasons why land should not be included in the reproduction cost:</w:t>
      </w:r>
    </w:p>
    <w:p w14:paraId="38CA4C34" w14:textId="77777777" w:rsidR="004C4611" w:rsidRPr="002915C6" w:rsidRDefault="004C4611" w:rsidP="004C4611">
      <w:pPr>
        <w:widowControl/>
        <w:autoSpaceDE w:val="0"/>
        <w:autoSpaceDN w:val="0"/>
        <w:adjustRightInd w:val="0"/>
        <w:spacing w:line="360" w:lineRule="auto"/>
        <w:ind w:firstLine="1440"/>
        <w:contextualSpacing/>
        <w:rPr>
          <w:sz w:val="26"/>
          <w:szCs w:val="26"/>
          <w:lang w:val="en"/>
        </w:rPr>
      </w:pPr>
    </w:p>
    <w:p w14:paraId="43DA45AD" w14:textId="77777777" w:rsidR="004C4611" w:rsidRDefault="004C4611" w:rsidP="004C4611">
      <w:pPr>
        <w:widowControl/>
        <w:autoSpaceDE w:val="0"/>
        <w:autoSpaceDN w:val="0"/>
        <w:adjustRightInd w:val="0"/>
        <w:ind w:left="1440" w:right="1440"/>
        <w:contextualSpacing/>
        <w:rPr>
          <w:sz w:val="26"/>
          <w:szCs w:val="26"/>
          <w:lang w:val="en"/>
        </w:rPr>
      </w:pPr>
      <w:r w:rsidRPr="002915C6">
        <w:rPr>
          <w:sz w:val="26"/>
          <w:szCs w:val="26"/>
          <w:lang w:val="en"/>
        </w:rPr>
        <w:t xml:space="preserve">First, it assumes that land would or could be “reproduced.”  Land is specific to its location and cannot be recreated or reproduced.  Second, as stated above, Ms. </w:t>
      </w:r>
      <w:proofErr w:type="spellStart"/>
      <w:r w:rsidRPr="002915C6">
        <w:rPr>
          <w:sz w:val="26"/>
          <w:szCs w:val="26"/>
          <w:lang w:val="en"/>
        </w:rPr>
        <w:t>Vicari</w:t>
      </w:r>
      <w:proofErr w:type="spellEnd"/>
      <w:r w:rsidRPr="002915C6">
        <w:rPr>
          <w:sz w:val="26"/>
          <w:szCs w:val="26"/>
          <w:lang w:val="en"/>
        </w:rPr>
        <w:t xml:space="preserve"> used the Construction Cost Index (CCI) to calculate her trend index.  The information Ms. </w:t>
      </w:r>
      <w:proofErr w:type="spellStart"/>
      <w:r w:rsidRPr="002915C6">
        <w:rPr>
          <w:sz w:val="26"/>
          <w:szCs w:val="26"/>
          <w:lang w:val="en"/>
        </w:rPr>
        <w:t>Vicari</w:t>
      </w:r>
      <w:proofErr w:type="spellEnd"/>
      <w:r w:rsidRPr="002915C6">
        <w:rPr>
          <w:sz w:val="26"/>
          <w:szCs w:val="26"/>
          <w:lang w:val="en"/>
        </w:rPr>
        <w:t xml:space="preserve"> provided on the ENR Index in response to OCA-III-14 states “The CCI can be used when labor costs are a high proportion of total costs.”  This is not true of land.  Therefore, even if calculating a reproduction cost of land were appropriate, Ms. </w:t>
      </w:r>
      <w:proofErr w:type="spellStart"/>
      <w:r w:rsidRPr="002915C6">
        <w:rPr>
          <w:sz w:val="26"/>
          <w:szCs w:val="26"/>
          <w:lang w:val="en"/>
        </w:rPr>
        <w:t>Vicari’s</w:t>
      </w:r>
      <w:proofErr w:type="spellEnd"/>
      <w:r w:rsidRPr="002915C6">
        <w:rPr>
          <w:sz w:val="26"/>
          <w:szCs w:val="26"/>
          <w:lang w:val="en"/>
        </w:rPr>
        <w:t xml:space="preserve"> own </w:t>
      </w:r>
      <w:proofErr w:type="spellStart"/>
      <w:r w:rsidRPr="002915C6">
        <w:rPr>
          <w:sz w:val="26"/>
          <w:szCs w:val="26"/>
          <w:lang w:val="en"/>
        </w:rPr>
        <w:t>documen</w:t>
      </w:r>
      <w:r>
        <w:rPr>
          <w:sz w:val="26"/>
          <w:szCs w:val="26"/>
          <w:lang w:val="en"/>
        </w:rPr>
        <w:t>-</w:t>
      </w:r>
      <w:r w:rsidRPr="002915C6">
        <w:rPr>
          <w:sz w:val="26"/>
          <w:szCs w:val="26"/>
          <w:lang w:val="en"/>
        </w:rPr>
        <w:t>tation</w:t>
      </w:r>
      <w:proofErr w:type="spellEnd"/>
      <w:r w:rsidRPr="002915C6">
        <w:rPr>
          <w:sz w:val="26"/>
          <w:szCs w:val="26"/>
          <w:lang w:val="en"/>
        </w:rPr>
        <w:t xml:space="preserve"> indicates that this index is inappropriate for the calculation.</w:t>
      </w:r>
    </w:p>
    <w:p w14:paraId="27AFCF12" w14:textId="77777777" w:rsidR="004C4611" w:rsidRDefault="004C4611" w:rsidP="004C4611">
      <w:pPr>
        <w:widowControl/>
        <w:autoSpaceDE w:val="0"/>
        <w:autoSpaceDN w:val="0"/>
        <w:adjustRightInd w:val="0"/>
        <w:ind w:left="1440" w:right="1440"/>
        <w:contextualSpacing/>
        <w:rPr>
          <w:sz w:val="26"/>
          <w:szCs w:val="26"/>
          <w:lang w:val="en"/>
        </w:rPr>
      </w:pPr>
    </w:p>
    <w:p w14:paraId="1EA7BB7C" w14:textId="77777777" w:rsidR="004C4611" w:rsidRPr="002915C6" w:rsidRDefault="004C4611" w:rsidP="004C4611">
      <w:pPr>
        <w:widowControl/>
        <w:autoSpaceDE w:val="0"/>
        <w:autoSpaceDN w:val="0"/>
        <w:adjustRightInd w:val="0"/>
        <w:ind w:left="1440" w:right="1440"/>
        <w:contextualSpacing/>
        <w:rPr>
          <w:sz w:val="26"/>
          <w:szCs w:val="26"/>
          <w:lang w:val="en"/>
        </w:rPr>
      </w:pPr>
    </w:p>
    <w:p w14:paraId="23D044A3" w14:textId="77777777" w:rsidR="004C4611" w:rsidRDefault="004C4611" w:rsidP="004C4611">
      <w:pPr>
        <w:widowControl/>
        <w:autoSpaceDE w:val="0"/>
        <w:autoSpaceDN w:val="0"/>
        <w:adjustRightInd w:val="0"/>
        <w:spacing w:line="360" w:lineRule="auto"/>
        <w:contextualSpacing/>
        <w:rPr>
          <w:sz w:val="26"/>
          <w:szCs w:val="26"/>
          <w:lang w:val="en"/>
        </w:rPr>
      </w:pPr>
      <w:r w:rsidRPr="002915C6">
        <w:rPr>
          <w:sz w:val="26"/>
          <w:szCs w:val="26"/>
          <w:lang w:val="en"/>
        </w:rPr>
        <w:t xml:space="preserve">OCA Exc. at 5-6 (citing Aqua </w:t>
      </w:r>
      <w:proofErr w:type="spellStart"/>
      <w:r w:rsidRPr="002915C6">
        <w:rPr>
          <w:sz w:val="26"/>
          <w:szCs w:val="26"/>
          <w:lang w:val="en"/>
        </w:rPr>
        <w:t>Exh</w:t>
      </w:r>
      <w:proofErr w:type="spellEnd"/>
      <w:r w:rsidRPr="002915C6">
        <w:rPr>
          <w:sz w:val="26"/>
          <w:szCs w:val="26"/>
          <w:lang w:val="en"/>
        </w:rPr>
        <w:t>. R; Sch. C; OCA Stmt</w:t>
      </w:r>
      <w:r>
        <w:rPr>
          <w:sz w:val="26"/>
          <w:szCs w:val="26"/>
          <w:lang w:val="en"/>
        </w:rPr>
        <w:t>.</w:t>
      </w:r>
      <w:r w:rsidRPr="002915C6">
        <w:rPr>
          <w:sz w:val="26"/>
          <w:szCs w:val="26"/>
          <w:lang w:val="en"/>
        </w:rPr>
        <w:t xml:space="preserve"> 1 at 26-27).  The OCA argues that based on the above, labor costs have no direct relation to the cost of land, and unlike other plant items, land cannot be reproduced.  OCA Exc. at 6 (citing Aqua </w:t>
      </w:r>
      <w:proofErr w:type="spellStart"/>
      <w:r w:rsidRPr="002915C6">
        <w:rPr>
          <w:sz w:val="26"/>
          <w:szCs w:val="26"/>
          <w:lang w:val="en"/>
        </w:rPr>
        <w:t>Exh</w:t>
      </w:r>
      <w:proofErr w:type="spellEnd"/>
      <w:r w:rsidRPr="002915C6">
        <w:rPr>
          <w:sz w:val="26"/>
          <w:szCs w:val="26"/>
          <w:lang w:val="en"/>
        </w:rPr>
        <w:t>. R; Sch. C; OCA Stmt</w:t>
      </w:r>
      <w:r>
        <w:rPr>
          <w:sz w:val="26"/>
          <w:szCs w:val="26"/>
          <w:lang w:val="en"/>
        </w:rPr>
        <w:t>.</w:t>
      </w:r>
      <w:r w:rsidRPr="002915C6">
        <w:rPr>
          <w:sz w:val="26"/>
          <w:szCs w:val="26"/>
          <w:lang w:val="en"/>
        </w:rPr>
        <w:t xml:space="preserve"> 1 at 26-27; OCA Stmt</w:t>
      </w:r>
      <w:r>
        <w:rPr>
          <w:sz w:val="26"/>
          <w:szCs w:val="26"/>
          <w:lang w:val="en"/>
        </w:rPr>
        <w:t>.</w:t>
      </w:r>
      <w:r w:rsidRPr="002915C6">
        <w:rPr>
          <w:sz w:val="26"/>
          <w:szCs w:val="26"/>
          <w:lang w:val="en"/>
        </w:rPr>
        <w:t xml:space="preserve"> 1S at 19).</w:t>
      </w:r>
    </w:p>
    <w:p w14:paraId="07E5EAB9" w14:textId="77777777" w:rsidR="004C4611" w:rsidRPr="002915C6" w:rsidRDefault="004C4611" w:rsidP="004C4611">
      <w:pPr>
        <w:widowControl/>
        <w:autoSpaceDE w:val="0"/>
        <w:autoSpaceDN w:val="0"/>
        <w:adjustRightInd w:val="0"/>
        <w:spacing w:line="360" w:lineRule="auto"/>
        <w:contextualSpacing/>
        <w:rPr>
          <w:sz w:val="26"/>
          <w:szCs w:val="26"/>
          <w:lang w:val="en"/>
        </w:rPr>
      </w:pPr>
    </w:p>
    <w:p w14:paraId="1A6A75F4" w14:textId="200E8D6E" w:rsidR="004C4611" w:rsidRDefault="004C4611" w:rsidP="004C4611">
      <w:pPr>
        <w:widowControl/>
        <w:autoSpaceDE w:val="0"/>
        <w:autoSpaceDN w:val="0"/>
        <w:adjustRightInd w:val="0"/>
        <w:spacing w:line="360" w:lineRule="auto"/>
        <w:contextualSpacing/>
        <w:rPr>
          <w:sz w:val="26"/>
          <w:szCs w:val="26"/>
          <w:lang w:val="en"/>
        </w:rPr>
      </w:pPr>
      <w:r w:rsidRPr="002915C6">
        <w:rPr>
          <w:sz w:val="26"/>
          <w:szCs w:val="26"/>
          <w:lang w:val="en"/>
        </w:rPr>
        <w:tab/>
      </w:r>
      <w:r w:rsidRPr="002915C6">
        <w:rPr>
          <w:sz w:val="26"/>
          <w:szCs w:val="26"/>
          <w:lang w:val="en"/>
        </w:rPr>
        <w:tab/>
        <w:t>The OCA also disagrees with the ALJ’s explanation that it is reasonable to treat land the same as all other type</w:t>
      </w:r>
      <w:r>
        <w:rPr>
          <w:sz w:val="26"/>
          <w:szCs w:val="26"/>
          <w:lang w:val="en"/>
        </w:rPr>
        <w:t>s</w:t>
      </w:r>
      <w:r w:rsidRPr="002915C6">
        <w:rPr>
          <w:sz w:val="26"/>
          <w:szCs w:val="26"/>
          <w:lang w:val="en"/>
        </w:rPr>
        <w:t xml:space="preserve"> of plant and that he “saw no reason why determining the reproduction cost of land to be the land’s original cost is more appropriate than the method HRG used.”  OCA Exc. at 6 (citing R.D. at 37).  First, the OCA explains that the purpose of the reproduction cost analysis is to restate the original cost of depreciable utility plant to a current price level, which is done by applying a trend factor to the original cost of depreciable plant to determine the replacement cost.  Nevertheless, per the OCA, because land does not depreciate, its original cost is an appropriate measure of its current price level. </w:t>
      </w:r>
      <w:r>
        <w:rPr>
          <w:sz w:val="26"/>
          <w:szCs w:val="26"/>
          <w:lang w:val="en"/>
        </w:rPr>
        <w:t xml:space="preserve"> </w:t>
      </w:r>
      <w:r w:rsidRPr="002915C6">
        <w:rPr>
          <w:sz w:val="26"/>
          <w:szCs w:val="26"/>
          <w:lang w:val="en"/>
        </w:rPr>
        <w:t xml:space="preserve">OCA Exc. at 6 (citing OCA M.B. at 15; Aqua </w:t>
      </w:r>
      <w:proofErr w:type="spellStart"/>
      <w:r w:rsidRPr="002915C6">
        <w:rPr>
          <w:sz w:val="26"/>
          <w:szCs w:val="26"/>
          <w:lang w:val="en"/>
        </w:rPr>
        <w:t>Exh</w:t>
      </w:r>
      <w:proofErr w:type="spellEnd"/>
      <w:r w:rsidRPr="002915C6">
        <w:rPr>
          <w:sz w:val="26"/>
          <w:szCs w:val="26"/>
          <w:lang w:val="en"/>
        </w:rPr>
        <w:t xml:space="preserve">. R at 6; Aqua </w:t>
      </w:r>
      <w:proofErr w:type="spellStart"/>
      <w:r w:rsidRPr="002915C6">
        <w:rPr>
          <w:sz w:val="26"/>
          <w:szCs w:val="26"/>
          <w:lang w:val="en"/>
        </w:rPr>
        <w:t>Exh</w:t>
      </w:r>
      <w:proofErr w:type="spellEnd"/>
      <w:r w:rsidRPr="002915C6">
        <w:rPr>
          <w:sz w:val="26"/>
          <w:szCs w:val="26"/>
          <w:lang w:val="en"/>
        </w:rPr>
        <w:t>. Q at 25).</w:t>
      </w:r>
      <w:r w:rsidRPr="002915C6">
        <w:rPr>
          <w:rStyle w:val="FootnoteReference"/>
          <w:sz w:val="26"/>
          <w:szCs w:val="26"/>
          <w:lang w:val="en"/>
        </w:rPr>
        <w:footnoteReference w:id="20"/>
      </w:r>
      <w:r w:rsidRPr="002915C6">
        <w:rPr>
          <w:sz w:val="26"/>
          <w:szCs w:val="26"/>
          <w:lang w:val="en"/>
        </w:rPr>
        <w:t xml:space="preserve">  Secondly, the OCA argues that because land is not depreciable and differs from all other types of plant, its original cost should be used without applying a trend factor.  The OCA, therefore, requests that the Commission reject the ALJ’s recommendation and adopt its proposal which reduces HRG’s </w:t>
      </w:r>
      <w:r w:rsidR="00723698">
        <w:rPr>
          <w:sz w:val="26"/>
          <w:szCs w:val="26"/>
          <w:lang w:val="en"/>
        </w:rPr>
        <w:t xml:space="preserve">reproduction </w:t>
      </w:r>
      <w:r w:rsidRPr="002915C6">
        <w:rPr>
          <w:sz w:val="26"/>
          <w:szCs w:val="26"/>
          <w:lang w:val="en"/>
        </w:rPr>
        <w:t>cost approach appraisal by $756,159.  OCA Exc. at 6-7.</w:t>
      </w:r>
    </w:p>
    <w:p w14:paraId="013BD4B5" w14:textId="77777777" w:rsidR="004C4611" w:rsidRDefault="004C4611" w:rsidP="004C4611">
      <w:pPr>
        <w:widowControl/>
        <w:autoSpaceDE w:val="0"/>
        <w:autoSpaceDN w:val="0"/>
        <w:adjustRightInd w:val="0"/>
        <w:spacing w:line="360" w:lineRule="auto"/>
        <w:contextualSpacing/>
        <w:rPr>
          <w:sz w:val="26"/>
          <w:szCs w:val="26"/>
          <w:lang w:val="en"/>
        </w:rPr>
      </w:pPr>
    </w:p>
    <w:p w14:paraId="6F5BC6AB" w14:textId="77777777" w:rsidR="004C4611" w:rsidRPr="00C170ED" w:rsidRDefault="004C4611" w:rsidP="004C4611">
      <w:pPr>
        <w:widowControl/>
        <w:autoSpaceDE w:val="0"/>
        <w:autoSpaceDN w:val="0"/>
        <w:adjustRightInd w:val="0"/>
        <w:spacing w:line="360" w:lineRule="auto"/>
        <w:contextualSpacing/>
        <w:rPr>
          <w:b/>
          <w:sz w:val="26"/>
          <w:szCs w:val="26"/>
          <w:lang w:val="en"/>
        </w:rPr>
      </w:pPr>
      <w:r>
        <w:rPr>
          <w:sz w:val="26"/>
          <w:szCs w:val="26"/>
          <w:lang w:val="en"/>
        </w:rPr>
        <w:tab/>
      </w:r>
      <w:r>
        <w:rPr>
          <w:sz w:val="26"/>
          <w:szCs w:val="26"/>
          <w:lang w:val="en"/>
        </w:rPr>
        <w:tab/>
      </w:r>
      <w:r>
        <w:rPr>
          <w:sz w:val="26"/>
          <w:szCs w:val="26"/>
          <w:lang w:val="en"/>
        </w:rPr>
        <w:tab/>
      </w:r>
      <w:r>
        <w:rPr>
          <w:sz w:val="26"/>
          <w:szCs w:val="26"/>
          <w:lang w:val="en"/>
        </w:rPr>
        <w:tab/>
      </w:r>
      <w:r>
        <w:rPr>
          <w:b/>
          <w:sz w:val="26"/>
          <w:szCs w:val="26"/>
          <w:lang w:val="en"/>
        </w:rPr>
        <w:t>(ii</w:t>
      </w:r>
      <w:r w:rsidRPr="00C170ED">
        <w:rPr>
          <w:b/>
          <w:sz w:val="26"/>
          <w:szCs w:val="26"/>
          <w:lang w:val="en"/>
        </w:rPr>
        <w:t>)</w:t>
      </w:r>
      <w:r w:rsidRPr="00C170ED">
        <w:rPr>
          <w:b/>
          <w:sz w:val="26"/>
          <w:szCs w:val="26"/>
          <w:lang w:val="en"/>
        </w:rPr>
        <w:tab/>
      </w:r>
      <w:proofErr w:type="spellStart"/>
      <w:r w:rsidRPr="00C170ED">
        <w:rPr>
          <w:b/>
          <w:sz w:val="26"/>
          <w:szCs w:val="26"/>
          <w:lang w:val="en"/>
        </w:rPr>
        <w:t>Aqua’s</w:t>
      </w:r>
      <w:proofErr w:type="spellEnd"/>
      <w:r w:rsidRPr="00C170ED">
        <w:rPr>
          <w:b/>
          <w:sz w:val="26"/>
          <w:szCs w:val="26"/>
          <w:lang w:val="en"/>
        </w:rPr>
        <w:t xml:space="preserve"> Replies to OCA’s Exceptions</w:t>
      </w:r>
    </w:p>
    <w:p w14:paraId="2EE180B0" w14:textId="77777777" w:rsidR="004C4611" w:rsidRPr="002915C6" w:rsidRDefault="004C4611" w:rsidP="004C4611">
      <w:pPr>
        <w:widowControl/>
        <w:autoSpaceDE w:val="0"/>
        <w:autoSpaceDN w:val="0"/>
        <w:adjustRightInd w:val="0"/>
        <w:spacing w:line="360" w:lineRule="auto"/>
        <w:contextualSpacing/>
        <w:rPr>
          <w:sz w:val="26"/>
          <w:szCs w:val="26"/>
          <w:lang w:val="en"/>
        </w:rPr>
      </w:pPr>
    </w:p>
    <w:p w14:paraId="1C12BAFA" w14:textId="77777777" w:rsidR="004C4611" w:rsidRPr="002915C6" w:rsidRDefault="004C4611" w:rsidP="004C4611">
      <w:pPr>
        <w:widowControl/>
        <w:autoSpaceDE w:val="0"/>
        <w:autoSpaceDN w:val="0"/>
        <w:adjustRightInd w:val="0"/>
        <w:spacing w:line="360" w:lineRule="auto"/>
        <w:contextualSpacing/>
        <w:rPr>
          <w:sz w:val="26"/>
          <w:szCs w:val="26"/>
          <w:lang w:val="en"/>
        </w:rPr>
      </w:pPr>
      <w:r w:rsidRPr="002915C6">
        <w:rPr>
          <w:sz w:val="26"/>
          <w:szCs w:val="26"/>
          <w:lang w:val="en"/>
        </w:rPr>
        <w:tab/>
      </w:r>
      <w:r w:rsidRPr="002915C6">
        <w:rPr>
          <w:sz w:val="26"/>
          <w:szCs w:val="26"/>
          <w:lang w:val="en"/>
        </w:rPr>
        <w:tab/>
      </w:r>
      <w:r>
        <w:rPr>
          <w:sz w:val="26"/>
          <w:szCs w:val="26"/>
          <w:lang w:val="en"/>
        </w:rPr>
        <w:t>In r</w:t>
      </w:r>
      <w:r w:rsidRPr="002915C6">
        <w:rPr>
          <w:sz w:val="26"/>
          <w:szCs w:val="26"/>
          <w:lang w:val="en"/>
        </w:rPr>
        <w:t>eply, Aqua states that the record evidence and the Recommended Decision support the application of the ENR Index to land.  According to Aqua, HRG explained that, in the absence of a cost trend index such as ENR, each parcel of land would have had to have been separately appraised based on its highest and best use.</w:t>
      </w:r>
      <w:r w:rsidRPr="002915C6">
        <w:rPr>
          <w:rStyle w:val="FootnoteReference"/>
          <w:sz w:val="26"/>
          <w:szCs w:val="26"/>
          <w:lang w:val="en"/>
        </w:rPr>
        <w:footnoteReference w:id="21"/>
      </w:r>
      <w:r w:rsidRPr="002915C6">
        <w:rPr>
          <w:sz w:val="26"/>
          <w:szCs w:val="26"/>
          <w:lang w:val="en"/>
        </w:rPr>
        <w:t xml:space="preserve">  Aqua asserts that HRG chose to use the cost trend index to restate the value of the land in lieu of a separate land appraisal report.  Per Aqua, HRG’s approach reasonably assumes that land values grow roughly along the lines of general inflation of the assets that it hosts, further justifying the use of the ENR Index.  Thus, Aqua requests that the Commission reject the OCA’s proposed adjustment to remove land from</w:t>
      </w:r>
      <w:r>
        <w:rPr>
          <w:sz w:val="26"/>
          <w:szCs w:val="26"/>
          <w:lang w:val="en"/>
        </w:rPr>
        <w:t xml:space="preserve"> HRG’s cost approach.  Aqua R. E</w:t>
      </w:r>
      <w:r w:rsidRPr="002915C6">
        <w:rPr>
          <w:sz w:val="26"/>
          <w:szCs w:val="26"/>
          <w:lang w:val="en"/>
        </w:rPr>
        <w:t>xc. at 8-9.</w:t>
      </w:r>
    </w:p>
    <w:p w14:paraId="159BD6E6" w14:textId="77777777" w:rsidR="008948DE" w:rsidRDefault="008948DE">
      <w:pPr>
        <w:widowControl/>
        <w:spacing w:after="200" w:line="276" w:lineRule="auto"/>
        <w:rPr>
          <w:b/>
          <w:sz w:val="26"/>
          <w:szCs w:val="26"/>
          <w:lang w:val="en"/>
        </w:rPr>
      </w:pPr>
    </w:p>
    <w:p w14:paraId="168FF360" w14:textId="77777777" w:rsidR="004C4611" w:rsidRPr="00C170ED" w:rsidRDefault="008948DE" w:rsidP="00CA094F">
      <w:pPr>
        <w:keepNext/>
        <w:keepLines/>
        <w:widowControl/>
        <w:autoSpaceDE w:val="0"/>
        <w:autoSpaceDN w:val="0"/>
        <w:adjustRightInd w:val="0"/>
        <w:spacing w:line="360" w:lineRule="auto"/>
        <w:contextualSpacing/>
        <w:rPr>
          <w:b/>
          <w:sz w:val="26"/>
          <w:szCs w:val="26"/>
          <w:lang w:val="en"/>
        </w:rPr>
      </w:pPr>
      <w:r>
        <w:rPr>
          <w:b/>
          <w:sz w:val="26"/>
          <w:szCs w:val="26"/>
          <w:lang w:val="en"/>
        </w:rPr>
        <w:tab/>
      </w:r>
      <w:r>
        <w:rPr>
          <w:b/>
          <w:sz w:val="26"/>
          <w:szCs w:val="26"/>
          <w:lang w:val="en"/>
        </w:rPr>
        <w:tab/>
      </w:r>
      <w:r w:rsidR="00CA094F">
        <w:rPr>
          <w:b/>
          <w:sz w:val="26"/>
          <w:szCs w:val="26"/>
          <w:lang w:val="en"/>
        </w:rPr>
        <w:tab/>
      </w:r>
      <w:r>
        <w:rPr>
          <w:b/>
          <w:sz w:val="26"/>
          <w:szCs w:val="26"/>
          <w:lang w:val="en"/>
        </w:rPr>
        <w:tab/>
      </w:r>
      <w:r w:rsidR="004C4611">
        <w:rPr>
          <w:b/>
          <w:sz w:val="26"/>
          <w:szCs w:val="26"/>
          <w:lang w:val="en"/>
        </w:rPr>
        <w:t>(iii</w:t>
      </w:r>
      <w:r w:rsidR="004C4611" w:rsidRPr="00C170ED">
        <w:rPr>
          <w:b/>
          <w:sz w:val="26"/>
          <w:szCs w:val="26"/>
          <w:lang w:val="en"/>
        </w:rPr>
        <w:t>)</w:t>
      </w:r>
      <w:r w:rsidR="004C4611" w:rsidRPr="00C170ED">
        <w:rPr>
          <w:b/>
          <w:sz w:val="26"/>
          <w:szCs w:val="26"/>
          <w:lang w:val="en"/>
        </w:rPr>
        <w:tab/>
        <w:t>Disposition</w:t>
      </w:r>
    </w:p>
    <w:p w14:paraId="2B7857BC" w14:textId="77777777" w:rsidR="004C4611" w:rsidRPr="002915C6" w:rsidRDefault="004C4611" w:rsidP="00CA094F">
      <w:pPr>
        <w:keepNext/>
        <w:keepLines/>
        <w:widowControl/>
        <w:autoSpaceDE w:val="0"/>
        <w:autoSpaceDN w:val="0"/>
        <w:adjustRightInd w:val="0"/>
        <w:spacing w:line="360" w:lineRule="auto"/>
        <w:contextualSpacing/>
        <w:rPr>
          <w:sz w:val="26"/>
          <w:szCs w:val="26"/>
          <w:lang w:val="en"/>
        </w:rPr>
      </w:pPr>
    </w:p>
    <w:p w14:paraId="42CA8111" w14:textId="77777777" w:rsidR="004C4611" w:rsidRDefault="004C4611" w:rsidP="004C4611">
      <w:pPr>
        <w:widowControl/>
        <w:autoSpaceDE w:val="0"/>
        <w:autoSpaceDN w:val="0"/>
        <w:adjustRightInd w:val="0"/>
        <w:spacing w:line="360" w:lineRule="auto"/>
        <w:contextualSpacing/>
        <w:rPr>
          <w:sz w:val="26"/>
          <w:szCs w:val="26"/>
          <w:lang w:val="en"/>
        </w:rPr>
      </w:pPr>
      <w:r w:rsidRPr="002915C6">
        <w:rPr>
          <w:sz w:val="26"/>
          <w:szCs w:val="26"/>
          <w:lang w:val="en"/>
        </w:rPr>
        <w:tab/>
      </w:r>
      <w:r w:rsidRPr="002915C6">
        <w:rPr>
          <w:sz w:val="26"/>
          <w:szCs w:val="26"/>
          <w:lang w:val="en"/>
        </w:rPr>
        <w:tab/>
        <w:t xml:space="preserve">Upon review, we will </w:t>
      </w:r>
      <w:r>
        <w:rPr>
          <w:sz w:val="26"/>
          <w:szCs w:val="26"/>
          <w:lang w:val="en"/>
        </w:rPr>
        <w:t>deny the</w:t>
      </w:r>
      <w:r w:rsidRPr="002915C6">
        <w:rPr>
          <w:sz w:val="26"/>
          <w:szCs w:val="26"/>
          <w:lang w:val="en"/>
        </w:rPr>
        <w:t xml:space="preserve"> OCA’s Exception No. 1.  We agree with the </w:t>
      </w:r>
      <w:r>
        <w:rPr>
          <w:sz w:val="26"/>
          <w:szCs w:val="26"/>
          <w:lang w:val="en"/>
        </w:rPr>
        <w:t>ALJ that, while the ENR index may not be the most appropriate index, there is no basis for finding that the land’s original cost is more appropriate than using HRG’s method for determining reproduction cost.  By utilizing an index that treats all plant the same, it is likely that some elements will be higher while some may be lower.  Here, the ALJ found that consistent with all other utility plant, the ENR index should be used.  We agree and shall adopt the ALJ’s finding in this regard.</w:t>
      </w:r>
    </w:p>
    <w:p w14:paraId="6DC644BC" w14:textId="77777777" w:rsidR="00234CE8" w:rsidRPr="002915C6" w:rsidRDefault="00234CE8" w:rsidP="004C4611">
      <w:pPr>
        <w:widowControl/>
        <w:autoSpaceDE w:val="0"/>
        <w:autoSpaceDN w:val="0"/>
        <w:adjustRightInd w:val="0"/>
        <w:spacing w:line="360" w:lineRule="auto"/>
        <w:contextualSpacing/>
        <w:rPr>
          <w:sz w:val="26"/>
          <w:szCs w:val="26"/>
          <w:lang w:val="en"/>
        </w:rPr>
      </w:pPr>
    </w:p>
    <w:p w14:paraId="6A47DF26" w14:textId="77777777" w:rsidR="00BA2E9C" w:rsidRDefault="00CA094F" w:rsidP="00CA094F">
      <w:pPr>
        <w:keepNext/>
        <w:keepLines/>
        <w:widowControl/>
        <w:spacing w:line="360" w:lineRule="auto"/>
        <w:contextualSpacing/>
        <w:rPr>
          <w:b/>
          <w:sz w:val="26"/>
          <w:szCs w:val="26"/>
          <w:lang w:val="en"/>
        </w:rPr>
      </w:pPr>
      <w:r>
        <w:rPr>
          <w:b/>
          <w:sz w:val="26"/>
          <w:szCs w:val="26"/>
          <w:lang w:val="en"/>
        </w:rPr>
        <w:tab/>
      </w:r>
      <w:r>
        <w:rPr>
          <w:b/>
          <w:sz w:val="26"/>
          <w:szCs w:val="26"/>
          <w:lang w:val="en"/>
        </w:rPr>
        <w:tab/>
      </w:r>
      <w:r w:rsidR="00BA2E9C">
        <w:rPr>
          <w:b/>
          <w:sz w:val="26"/>
          <w:szCs w:val="26"/>
          <w:lang w:val="en"/>
        </w:rPr>
        <w:t>c</w:t>
      </w:r>
      <w:r w:rsidR="009767D5" w:rsidRPr="001224AC">
        <w:rPr>
          <w:b/>
          <w:sz w:val="26"/>
          <w:szCs w:val="26"/>
          <w:lang w:val="en"/>
        </w:rPr>
        <w:t>.</w:t>
      </w:r>
      <w:r w:rsidR="009767D5" w:rsidRPr="001224AC">
        <w:rPr>
          <w:b/>
          <w:sz w:val="26"/>
          <w:szCs w:val="26"/>
          <w:lang w:val="en"/>
        </w:rPr>
        <w:tab/>
      </w:r>
      <w:r w:rsidR="009767D5" w:rsidRPr="002915C6">
        <w:rPr>
          <w:b/>
          <w:sz w:val="26"/>
          <w:szCs w:val="26"/>
          <w:lang w:val="en"/>
        </w:rPr>
        <w:t>HRG’s Market Approach</w:t>
      </w:r>
    </w:p>
    <w:p w14:paraId="6248A293" w14:textId="77777777" w:rsidR="00BA2E9C" w:rsidRDefault="00BA2E9C" w:rsidP="00CA094F">
      <w:pPr>
        <w:keepNext/>
        <w:keepLines/>
        <w:widowControl/>
        <w:spacing w:line="360" w:lineRule="auto"/>
        <w:contextualSpacing/>
        <w:rPr>
          <w:b/>
          <w:sz w:val="26"/>
          <w:szCs w:val="26"/>
          <w:lang w:val="en"/>
        </w:rPr>
      </w:pPr>
    </w:p>
    <w:p w14:paraId="1791BF37" w14:textId="77777777" w:rsidR="009767D5" w:rsidRPr="00CA094F" w:rsidRDefault="00CA094F" w:rsidP="00CA094F">
      <w:pPr>
        <w:keepNext/>
        <w:keepLines/>
        <w:widowControl/>
        <w:spacing w:line="360" w:lineRule="auto"/>
        <w:rPr>
          <w:sz w:val="26"/>
          <w:szCs w:val="26"/>
          <w:lang w:val="en"/>
        </w:rPr>
      </w:pPr>
      <w:r>
        <w:rPr>
          <w:b/>
          <w:sz w:val="26"/>
          <w:szCs w:val="26"/>
          <w:lang w:val="en"/>
        </w:rPr>
        <w:tab/>
      </w:r>
      <w:r>
        <w:rPr>
          <w:b/>
          <w:sz w:val="26"/>
          <w:szCs w:val="26"/>
          <w:lang w:val="en"/>
        </w:rPr>
        <w:tab/>
      </w:r>
      <w:r>
        <w:rPr>
          <w:b/>
          <w:sz w:val="26"/>
          <w:szCs w:val="26"/>
          <w:lang w:val="en"/>
        </w:rPr>
        <w:tab/>
        <w:t>(1)</w:t>
      </w:r>
      <w:r>
        <w:rPr>
          <w:b/>
          <w:sz w:val="26"/>
          <w:szCs w:val="26"/>
          <w:lang w:val="en"/>
        </w:rPr>
        <w:tab/>
      </w:r>
      <w:r w:rsidR="009767D5" w:rsidRPr="00CA094F">
        <w:rPr>
          <w:b/>
          <w:sz w:val="26"/>
          <w:szCs w:val="26"/>
          <w:lang w:val="en"/>
        </w:rPr>
        <w:t xml:space="preserve">Current Customer Count v. Projected Customer Count </w:t>
      </w:r>
    </w:p>
    <w:p w14:paraId="4D616457" w14:textId="77777777" w:rsidR="009767D5" w:rsidRDefault="009767D5" w:rsidP="00CA094F">
      <w:pPr>
        <w:keepNext/>
        <w:keepLines/>
        <w:widowControl/>
        <w:spacing w:line="360" w:lineRule="auto"/>
        <w:contextualSpacing/>
        <w:rPr>
          <w:sz w:val="26"/>
          <w:szCs w:val="26"/>
          <w:lang w:val="en"/>
        </w:rPr>
      </w:pPr>
    </w:p>
    <w:p w14:paraId="2C5342C3" w14:textId="77777777" w:rsidR="009767D5" w:rsidRPr="001224AC" w:rsidRDefault="009767D5" w:rsidP="00CA094F">
      <w:pPr>
        <w:keepNext/>
        <w:keepLines/>
        <w:widowControl/>
        <w:spacing w:line="360" w:lineRule="auto"/>
        <w:contextualSpacing/>
        <w:rPr>
          <w:b/>
          <w:sz w:val="26"/>
          <w:szCs w:val="26"/>
          <w:lang w:val="en"/>
        </w:rPr>
      </w:pPr>
      <w:r>
        <w:rPr>
          <w:sz w:val="26"/>
          <w:szCs w:val="26"/>
          <w:lang w:val="en"/>
        </w:rPr>
        <w:tab/>
      </w:r>
      <w:r w:rsidR="002B1CCF">
        <w:rPr>
          <w:sz w:val="26"/>
          <w:szCs w:val="26"/>
          <w:lang w:val="en"/>
        </w:rPr>
        <w:tab/>
      </w:r>
      <w:r>
        <w:rPr>
          <w:sz w:val="26"/>
          <w:szCs w:val="26"/>
          <w:lang w:val="en"/>
        </w:rPr>
        <w:tab/>
      </w:r>
      <w:r w:rsidR="00BA2E9C">
        <w:rPr>
          <w:sz w:val="26"/>
          <w:szCs w:val="26"/>
          <w:lang w:val="en"/>
        </w:rPr>
        <w:tab/>
      </w:r>
      <w:r>
        <w:rPr>
          <w:b/>
          <w:sz w:val="26"/>
          <w:szCs w:val="26"/>
          <w:lang w:val="en"/>
        </w:rPr>
        <w:t>(</w:t>
      </w:r>
      <w:proofErr w:type="spellStart"/>
      <w:r w:rsidR="00BA2E9C">
        <w:rPr>
          <w:b/>
          <w:sz w:val="26"/>
          <w:szCs w:val="26"/>
          <w:lang w:val="en"/>
        </w:rPr>
        <w:t>i</w:t>
      </w:r>
      <w:proofErr w:type="spellEnd"/>
      <w:r>
        <w:rPr>
          <w:b/>
          <w:sz w:val="26"/>
          <w:szCs w:val="26"/>
          <w:lang w:val="en"/>
        </w:rPr>
        <w:t>)</w:t>
      </w:r>
      <w:r>
        <w:rPr>
          <w:b/>
          <w:sz w:val="26"/>
          <w:szCs w:val="26"/>
          <w:lang w:val="en"/>
        </w:rPr>
        <w:tab/>
      </w:r>
      <w:proofErr w:type="spellStart"/>
      <w:r>
        <w:rPr>
          <w:b/>
          <w:sz w:val="26"/>
          <w:szCs w:val="26"/>
          <w:lang w:val="en"/>
        </w:rPr>
        <w:t>A</w:t>
      </w:r>
      <w:r w:rsidRPr="001224AC">
        <w:rPr>
          <w:b/>
          <w:sz w:val="26"/>
          <w:szCs w:val="26"/>
          <w:lang w:val="en"/>
        </w:rPr>
        <w:t>qua’s</w:t>
      </w:r>
      <w:proofErr w:type="spellEnd"/>
      <w:r w:rsidRPr="001224AC">
        <w:rPr>
          <w:b/>
          <w:sz w:val="26"/>
          <w:szCs w:val="26"/>
          <w:lang w:val="en"/>
        </w:rPr>
        <w:t xml:space="preserve"> Exceptions</w:t>
      </w:r>
    </w:p>
    <w:p w14:paraId="1134EE90" w14:textId="77777777" w:rsidR="00EA7856" w:rsidRPr="002915C6" w:rsidRDefault="00EA7856" w:rsidP="00CA094F">
      <w:pPr>
        <w:keepNext/>
        <w:keepLines/>
        <w:widowControl/>
        <w:spacing w:line="360" w:lineRule="auto"/>
        <w:contextualSpacing/>
        <w:rPr>
          <w:sz w:val="26"/>
          <w:szCs w:val="26"/>
          <w:lang w:val="en"/>
        </w:rPr>
      </w:pPr>
    </w:p>
    <w:p w14:paraId="36B0B4DF" w14:textId="77777777" w:rsidR="00EA7856" w:rsidRPr="002915C6" w:rsidRDefault="00EA7856" w:rsidP="00BE5FF4">
      <w:pPr>
        <w:pStyle w:val="FootnoteText"/>
        <w:widowControl/>
        <w:spacing w:line="360" w:lineRule="auto"/>
        <w:ind w:firstLine="1440"/>
        <w:rPr>
          <w:sz w:val="26"/>
          <w:szCs w:val="26"/>
          <w:lang w:val="en"/>
        </w:rPr>
      </w:pPr>
      <w:r w:rsidRPr="002915C6">
        <w:rPr>
          <w:sz w:val="26"/>
          <w:szCs w:val="26"/>
          <w:lang w:val="en"/>
        </w:rPr>
        <w:t>The ALJ adopted one OCA</w:t>
      </w:r>
      <w:r w:rsidR="00610C13">
        <w:rPr>
          <w:sz w:val="26"/>
          <w:szCs w:val="26"/>
          <w:lang w:val="en"/>
        </w:rPr>
        <w:t xml:space="preserve">-requested adjustment </w:t>
      </w:r>
      <w:r w:rsidRPr="002915C6">
        <w:rPr>
          <w:sz w:val="26"/>
          <w:szCs w:val="26"/>
          <w:lang w:val="en"/>
        </w:rPr>
        <w:t xml:space="preserve">to HRG’s market approach appraisal.  Based on this adjustment, HRG’s market approach appraisal was reduced from $62,760,000 to $47,064,553.  However, Aqua disagrees with the ALJ’s adoption of the adjustment and the ALJ’s recommendation regarding HRG’s market approach.  Aqua Exc. at 22 (citing R.D. at 38-39).  Here, </w:t>
      </w:r>
      <w:r w:rsidRPr="002915C6">
        <w:rPr>
          <w:sz w:val="26"/>
          <w:szCs w:val="26"/>
        </w:rPr>
        <w:t xml:space="preserve">the ALJ recommended the use of Limerick’s current actual customer count of 5,434 rather than the projected customer count of 7,246 used by HRG.  Aqua Exc. at 22 (citing </w:t>
      </w:r>
      <w:r w:rsidRPr="002915C6">
        <w:rPr>
          <w:sz w:val="26"/>
          <w:szCs w:val="26"/>
          <w:lang w:val="en"/>
        </w:rPr>
        <w:t>Aqua Stmt. 4R at 5-6; Tr. at</w:t>
      </w:r>
      <w:r w:rsidR="002B1CCF">
        <w:rPr>
          <w:sz w:val="26"/>
          <w:szCs w:val="26"/>
          <w:lang w:val="en"/>
        </w:rPr>
        <w:t> </w:t>
      </w:r>
      <w:r w:rsidRPr="002915C6">
        <w:rPr>
          <w:sz w:val="26"/>
          <w:szCs w:val="26"/>
          <w:lang w:val="en"/>
        </w:rPr>
        <w:t>62</w:t>
      </w:r>
      <w:r w:rsidR="002B1CCF">
        <w:rPr>
          <w:sz w:val="26"/>
          <w:szCs w:val="26"/>
          <w:lang w:val="en"/>
        </w:rPr>
        <w:noBreakHyphen/>
      </w:r>
      <w:r w:rsidRPr="002915C6">
        <w:rPr>
          <w:sz w:val="26"/>
          <w:szCs w:val="26"/>
          <w:lang w:val="en"/>
        </w:rPr>
        <w:t>63)</w:t>
      </w:r>
      <w:r w:rsidRPr="002915C6">
        <w:rPr>
          <w:sz w:val="26"/>
          <w:szCs w:val="26"/>
        </w:rPr>
        <w:t>.  A</w:t>
      </w:r>
      <w:r w:rsidRPr="002915C6">
        <w:rPr>
          <w:sz w:val="26"/>
          <w:szCs w:val="26"/>
          <w:lang w:val="en"/>
        </w:rPr>
        <w:t xml:space="preserve">qua argues </w:t>
      </w:r>
      <w:r w:rsidR="00610C13">
        <w:rPr>
          <w:sz w:val="26"/>
          <w:szCs w:val="26"/>
          <w:lang w:val="en"/>
        </w:rPr>
        <w:t xml:space="preserve">that </w:t>
      </w:r>
      <w:r w:rsidRPr="002915C6">
        <w:rPr>
          <w:sz w:val="26"/>
          <w:szCs w:val="26"/>
          <w:lang w:val="en"/>
        </w:rPr>
        <w:t>the USPAP requires consideration of customer growth in the fair market value appraisal because not only does Aqua acquire the physical assets, the customer base, all related utility property, and a franchise area in the transaction, but Aqua also benefits from an ongoing mandatory connection ordinance.</w:t>
      </w:r>
      <w:r w:rsidRPr="002915C6">
        <w:rPr>
          <w:rStyle w:val="FootnoteReference"/>
          <w:sz w:val="26"/>
          <w:szCs w:val="26"/>
          <w:lang w:val="en"/>
        </w:rPr>
        <w:footnoteReference w:id="22"/>
      </w:r>
      <w:r w:rsidRPr="002915C6">
        <w:rPr>
          <w:sz w:val="26"/>
          <w:szCs w:val="26"/>
          <w:lang w:val="en"/>
        </w:rPr>
        <w:t xml:space="preserve">  Aqua avers that while Limerick is currently billing 7,300 Equivalent Dwelling Units (EDUs), there are approximately 8,400 EDUs already purchased.  </w:t>
      </w:r>
      <w:r w:rsidRPr="002915C6">
        <w:rPr>
          <w:sz w:val="26"/>
          <w:szCs w:val="26"/>
        </w:rPr>
        <w:t xml:space="preserve">Aqua Exc. at 22-23 (citing </w:t>
      </w:r>
      <w:r w:rsidRPr="002915C6">
        <w:rPr>
          <w:sz w:val="26"/>
          <w:szCs w:val="26"/>
          <w:lang w:val="en"/>
        </w:rPr>
        <w:t>Aqua Stmt</w:t>
      </w:r>
      <w:r w:rsidR="00610C13">
        <w:rPr>
          <w:sz w:val="26"/>
          <w:szCs w:val="26"/>
          <w:lang w:val="en"/>
        </w:rPr>
        <w:t>.</w:t>
      </w:r>
      <w:r w:rsidRPr="002915C6">
        <w:rPr>
          <w:sz w:val="26"/>
          <w:szCs w:val="26"/>
          <w:lang w:val="en"/>
        </w:rPr>
        <w:t xml:space="preserve"> 1 at 10)</w:t>
      </w:r>
      <w:r w:rsidRPr="002915C6">
        <w:rPr>
          <w:sz w:val="26"/>
          <w:szCs w:val="26"/>
        </w:rPr>
        <w:t xml:space="preserve">.  </w:t>
      </w:r>
      <w:r w:rsidRPr="002915C6">
        <w:rPr>
          <w:sz w:val="26"/>
          <w:szCs w:val="26"/>
          <w:lang w:val="en"/>
        </w:rPr>
        <w:t xml:space="preserve">Therefore, Aqua requests that the Commission reject the ALJ’s recommendation regarding the customer count under HRG’s market approach.  </w:t>
      </w:r>
      <w:r w:rsidRPr="002915C6">
        <w:rPr>
          <w:sz w:val="26"/>
          <w:szCs w:val="26"/>
        </w:rPr>
        <w:t>Aqua Exc. at 23.</w:t>
      </w:r>
    </w:p>
    <w:p w14:paraId="3417AF72" w14:textId="77777777" w:rsidR="00EA7856" w:rsidRDefault="00EA7856" w:rsidP="00BE5FF4">
      <w:pPr>
        <w:pStyle w:val="FootnoteText"/>
        <w:widowControl/>
        <w:spacing w:line="360" w:lineRule="auto"/>
        <w:ind w:firstLine="1440"/>
        <w:rPr>
          <w:sz w:val="26"/>
          <w:szCs w:val="26"/>
          <w:lang w:val="en"/>
        </w:rPr>
      </w:pPr>
    </w:p>
    <w:p w14:paraId="0BB2797D" w14:textId="77777777" w:rsidR="002B1CCF" w:rsidRPr="002B1CCF" w:rsidRDefault="002B1CCF" w:rsidP="0012768D">
      <w:pPr>
        <w:pStyle w:val="FootnoteText"/>
        <w:widowControl/>
        <w:spacing w:line="360" w:lineRule="auto"/>
        <w:ind w:firstLine="1440"/>
        <w:rPr>
          <w:b/>
          <w:sz w:val="26"/>
          <w:szCs w:val="26"/>
          <w:lang w:val="en"/>
        </w:rPr>
      </w:pPr>
      <w:r>
        <w:rPr>
          <w:sz w:val="26"/>
          <w:szCs w:val="26"/>
          <w:lang w:val="en"/>
        </w:rPr>
        <w:tab/>
      </w:r>
      <w:r>
        <w:rPr>
          <w:sz w:val="26"/>
          <w:szCs w:val="26"/>
          <w:lang w:val="en"/>
        </w:rPr>
        <w:tab/>
      </w:r>
      <w:r w:rsidRPr="002B1CCF">
        <w:rPr>
          <w:b/>
          <w:sz w:val="26"/>
          <w:szCs w:val="26"/>
          <w:lang w:val="en"/>
        </w:rPr>
        <w:t>(</w:t>
      </w:r>
      <w:r w:rsidR="00BA2E9C">
        <w:rPr>
          <w:b/>
          <w:sz w:val="26"/>
          <w:szCs w:val="26"/>
          <w:lang w:val="en"/>
        </w:rPr>
        <w:t>ii</w:t>
      </w:r>
      <w:r w:rsidRPr="002B1CCF">
        <w:rPr>
          <w:b/>
          <w:sz w:val="26"/>
          <w:szCs w:val="26"/>
          <w:lang w:val="en"/>
        </w:rPr>
        <w:t>)</w:t>
      </w:r>
      <w:r w:rsidRPr="002B1CCF">
        <w:rPr>
          <w:b/>
          <w:sz w:val="26"/>
          <w:szCs w:val="26"/>
          <w:lang w:val="en"/>
        </w:rPr>
        <w:tab/>
        <w:t xml:space="preserve">OCA’s Replies to </w:t>
      </w:r>
      <w:proofErr w:type="spellStart"/>
      <w:r w:rsidRPr="002B1CCF">
        <w:rPr>
          <w:b/>
          <w:sz w:val="26"/>
          <w:szCs w:val="26"/>
          <w:lang w:val="en"/>
        </w:rPr>
        <w:t>Aqua’s</w:t>
      </w:r>
      <w:proofErr w:type="spellEnd"/>
      <w:r w:rsidRPr="002B1CCF">
        <w:rPr>
          <w:b/>
          <w:sz w:val="26"/>
          <w:szCs w:val="26"/>
          <w:lang w:val="en"/>
        </w:rPr>
        <w:t xml:space="preserve"> Exceptions</w:t>
      </w:r>
    </w:p>
    <w:p w14:paraId="58EB786A" w14:textId="77777777" w:rsidR="002B1CCF" w:rsidRPr="002915C6" w:rsidRDefault="002B1CCF" w:rsidP="0012768D">
      <w:pPr>
        <w:pStyle w:val="FootnoteText"/>
        <w:widowControl/>
        <w:spacing w:line="360" w:lineRule="auto"/>
        <w:ind w:firstLine="1440"/>
        <w:rPr>
          <w:sz w:val="26"/>
          <w:szCs w:val="26"/>
          <w:lang w:val="en"/>
        </w:rPr>
      </w:pPr>
    </w:p>
    <w:p w14:paraId="5C7769B3" w14:textId="0E70E162" w:rsidR="00EA7856" w:rsidRPr="00BE5FF4" w:rsidRDefault="00610C13" w:rsidP="00BE5FF4">
      <w:pPr>
        <w:widowControl/>
        <w:autoSpaceDE w:val="0"/>
        <w:autoSpaceDN w:val="0"/>
        <w:adjustRightInd w:val="0"/>
        <w:spacing w:line="360" w:lineRule="auto"/>
        <w:ind w:firstLine="1440"/>
        <w:contextualSpacing/>
        <w:rPr>
          <w:i/>
          <w:sz w:val="26"/>
          <w:lang w:val="en"/>
        </w:rPr>
      </w:pPr>
      <w:r>
        <w:rPr>
          <w:bCs/>
          <w:sz w:val="26"/>
          <w:szCs w:val="26"/>
          <w:lang w:val="en"/>
        </w:rPr>
        <w:t>In r</w:t>
      </w:r>
      <w:r w:rsidR="00EA7856" w:rsidRPr="002915C6">
        <w:rPr>
          <w:bCs/>
          <w:sz w:val="26"/>
          <w:szCs w:val="26"/>
          <w:lang w:val="en"/>
        </w:rPr>
        <w:t xml:space="preserve">eply, the OCA points out the inconsistencies in HRG’s analysis stating that not only did HRG elect to use </w:t>
      </w:r>
      <w:r w:rsidR="00D92356">
        <w:rPr>
          <w:bCs/>
          <w:sz w:val="26"/>
          <w:szCs w:val="26"/>
          <w:lang w:val="en"/>
        </w:rPr>
        <w:t xml:space="preserve">a </w:t>
      </w:r>
      <w:r w:rsidR="00EA7856" w:rsidRPr="002915C6">
        <w:rPr>
          <w:bCs/>
          <w:sz w:val="26"/>
          <w:szCs w:val="26"/>
          <w:lang w:val="en"/>
        </w:rPr>
        <w:t xml:space="preserve">projected rather than </w:t>
      </w:r>
      <w:r w:rsidR="00D92356">
        <w:rPr>
          <w:bCs/>
          <w:sz w:val="26"/>
          <w:szCs w:val="26"/>
          <w:lang w:val="en"/>
        </w:rPr>
        <w:t xml:space="preserve">a </w:t>
      </w:r>
      <w:r w:rsidR="00EA7856" w:rsidRPr="002915C6">
        <w:rPr>
          <w:bCs/>
          <w:sz w:val="26"/>
          <w:szCs w:val="26"/>
          <w:lang w:val="en"/>
        </w:rPr>
        <w:t xml:space="preserve">current customer count for the Limerick system valuation, HRG calculated the average cost per customer using the respective current number of customers of other acquisitions in its sample group.  </w:t>
      </w:r>
      <w:r>
        <w:rPr>
          <w:bCs/>
          <w:sz w:val="26"/>
          <w:szCs w:val="26"/>
          <w:lang w:val="en"/>
        </w:rPr>
        <w:t xml:space="preserve">The </w:t>
      </w:r>
      <w:r w:rsidR="00EA7856" w:rsidRPr="002915C6">
        <w:rPr>
          <w:bCs/>
          <w:sz w:val="26"/>
          <w:szCs w:val="26"/>
          <w:lang w:val="en"/>
        </w:rPr>
        <w:t xml:space="preserve">OCA avers that HRG compounded the initial error by using the current number of customers for other systems and multiplying this number by the projected number of customers for the Limerick system which resulted in an overstated cost per customer.  </w:t>
      </w:r>
      <w:r>
        <w:rPr>
          <w:bCs/>
          <w:sz w:val="26"/>
          <w:szCs w:val="26"/>
          <w:lang w:val="en"/>
        </w:rPr>
        <w:t xml:space="preserve">The </w:t>
      </w:r>
      <w:r w:rsidR="00EA7856" w:rsidRPr="002915C6">
        <w:rPr>
          <w:bCs/>
          <w:sz w:val="26"/>
          <w:szCs w:val="26"/>
          <w:lang w:val="en"/>
        </w:rPr>
        <w:t xml:space="preserve">OCA states that while Aqua claims the USPAP requires consideration of customer growth, Aqua fails to recognize, however, that “consideration” does not mean that the value should be inflated.  </w:t>
      </w:r>
      <w:r w:rsidR="00EA7856" w:rsidRPr="002915C6">
        <w:rPr>
          <w:sz w:val="26"/>
          <w:szCs w:val="26"/>
          <w:lang w:val="en"/>
        </w:rPr>
        <w:t xml:space="preserve">OCA R. Exc. at 21.  Therefore, the OCA requests that the Commission adopt the ALJ’s recommended appraisal market value of $47,060,000, rather than HRG’s market approach appraisal of $62,760,000.  </w:t>
      </w:r>
      <w:r w:rsidR="00EA7856" w:rsidRPr="002915C6">
        <w:rPr>
          <w:i/>
          <w:sz w:val="26"/>
          <w:szCs w:val="26"/>
          <w:lang w:val="en"/>
        </w:rPr>
        <w:t xml:space="preserve">Id. </w:t>
      </w:r>
    </w:p>
    <w:p w14:paraId="6C1EE725" w14:textId="77777777" w:rsidR="009F395C" w:rsidRPr="00BE5FF4" w:rsidRDefault="009F395C" w:rsidP="00BE5FF4">
      <w:pPr>
        <w:widowControl/>
        <w:autoSpaceDE w:val="0"/>
        <w:autoSpaceDN w:val="0"/>
        <w:adjustRightInd w:val="0"/>
        <w:spacing w:line="360" w:lineRule="auto"/>
        <w:ind w:firstLine="1440"/>
        <w:contextualSpacing/>
        <w:rPr>
          <w:i/>
          <w:sz w:val="26"/>
          <w:lang w:val="en"/>
        </w:rPr>
      </w:pPr>
    </w:p>
    <w:p w14:paraId="78965E97" w14:textId="77777777" w:rsidR="009F395C" w:rsidRPr="009F395C" w:rsidRDefault="009F395C" w:rsidP="009F395C">
      <w:pPr>
        <w:keepNext/>
        <w:keepLines/>
        <w:widowControl/>
        <w:autoSpaceDE w:val="0"/>
        <w:autoSpaceDN w:val="0"/>
        <w:adjustRightInd w:val="0"/>
        <w:spacing w:line="360" w:lineRule="auto"/>
        <w:ind w:firstLine="1440"/>
        <w:contextualSpacing/>
        <w:rPr>
          <w:b/>
          <w:bCs/>
          <w:sz w:val="26"/>
          <w:szCs w:val="26"/>
          <w:lang w:val="en"/>
        </w:rPr>
      </w:pPr>
      <w:r w:rsidRPr="009F395C">
        <w:rPr>
          <w:b/>
          <w:sz w:val="26"/>
          <w:szCs w:val="26"/>
          <w:lang w:val="en"/>
        </w:rPr>
        <w:tab/>
      </w:r>
      <w:r w:rsidRPr="009F395C">
        <w:rPr>
          <w:b/>
          <w:sz w:val="26"/>
          <w:szCs w:val="26"/>
          <w:lang w:val="en"/>
        </w:rPr>
        <w:tab/>
        <w:t>(</w:t>
      </w:r>
      <w:r w:rsidR="00BA2E9C">
        <w:rPr>
          <w:b/>
          <w:sz w:val="26"/>
          <w:szCs w:val="26"/>
          <w:lang w:val="en"/>
        </w:rPr>
        <w:t>iii</w:t>
      </w:r>
      <w:r w:rsidRPr="009F395C">
        <w:rPr>
          <w:b/>
          <w:sz w:val="26"/>
          <w:szCs w:val="26"/>
          <w:lang w:val="en"/>
        </w:rPr>
        <w:t>)</w:t>
      </w:r>
      <w:r w:rsidRPr="009F395C">
        <w:rPr>
          <w:b/>
          <w:sz w:val="26"/>
          <w:szCs w:val="26"/>
          <w:lang w:val="en"/>
        </w:rPr>
        <w:tab/>
        <w:t>Disposition</w:t>
      </w:r>
    </w:p>
    <w:p w14:paraId="3BB7B347" w14:textId="77777777" w:rsidR="00EA7856" w:rsidRPr="009F395C" w:rsidRDefault="00EA7856" w:rsidP="009F395C">
      <w:pPr>
        <w:keepNext/>
        <w:keepLines/>
        <w:widowControl/>
        <w:autoSpaceDE w:val="0"/>
        <w:autoSpaceDN w:val="0"/>
        <w:adjustRightInd w:val="0"/>
        <w:spacing w:line="360" w:lineRule="auto"/>
        <w:ind w:left="720" w:firstLine="720"/>
        <w:contextualSpacing/>
        <w:rPr>
          <w:bCs/>
          <w:sz w:val="26"/>
          <w:szCs w:val="26"/>
          <w:lang w:val="en"/>
        </w:rPr>
      </w:pPr>
    </w:p>
    <w:p w14:paraId="11657E57" w14:textId="77777777" w:rsidR="00D27970" w:rsidRDefault="00D27970" w:rsidP="0012768D">
      <w:pPr>
        <w:widowControl/>
        <w:spacing w:line="360" w:lineRule="auto"/>
        <w:ind w:firstLine="1440"/>
        <w:contextualSpacing/>
        <w:rPr>
          <w:sz w:val="26"/>
          <w:szCs w:val="26"/>
          <w:lang w:val="en"/>
        </w:rPr>
      </w:pPr>
      <w:r>
        <w:rPr>
          <w:sz w:val="26"/>
          <w:szCs w:val="26"/>
          <w:lang w:val="en"/>
        </w:rPr>
        <w:t xml:space="preserve">Upon review of the record evidence and the arguments put forth by the Parties, we will deny </w:t>
      </w:r>
      <w:proofErr w:type="spellStart"/>
      <w:r>
        <w:rPr>
          <w:sz w:val="26"/>
          <w:szCs w:val="26"/>
          <w:lang w:val="en"/>
        </w:rPr>
        <w:t>Aqua’s</w:t>
      </w:r>
      <w:proofErr w:type="spellEnd"/>
      <w:r>
        <w:rPr>
          <w:sz w:val="26"/>
          <w:szCs w:val="26"/>
          <w:lang w:val="en"/>
        </w:rPr>
        <w:t xml:space="preserve"> Exceptions and adopt the ALJ’s recommended value of $47,060,000 rather than </w:t>
      </w:r>
      <w:proofErr w:type="spellStart"/>
      <w:r>
        <w:rPr>
          <w:sz w:val="26"/>
          <w:szCs w:val="26"/>
          <w:lang w:val="en"/>
        </w:rPr>
        <w:t>Aqua’s</w:t>
      </w:r>
      <w:proofErr w:type="spellEnd"/>
      <w:r>
        <w:rPr>
          <w:sz w:val="26"/>
          <w:szCs w:val="26"/>
          <w:lang w:val="en"/>
        </w:rPr>
        <w:t xml:space="preserve"> $62,760,000 market approach appraisal.  We agree with the ALJ that Limerick’s current customer count of 5,434 is more appropriate for its valuation rather than the projected customer count of 7,246 used by HRG in its analysis.  In her argument for utilizing projected customer growth in HRG’s market approach appraisal of the Limerick system, Ms. </w:t>
      </w:r>
      <w:proofErr w:type="spellStart"/>
      <w:r>
        <w:rPr>
          <w:sz w:val="26"/>
          <w:szCs w:val="26"/>
          <w:lang w:val="en"/>
        </w:rPr>
        <w:t>Vicari</w:t>
      </w:r>
      <w:proofErr w:type="spellEnd"/>
      <w:r>
        <w:rPr>
          <w:sz w:val="26"/>
          <w:szCs w:val="26"/>
          <w:lang w:val="en"/>
        </w:rPr>
        <w:t xml:space="preserve"> explained that Limerick is giving up future revenue stream from future customer growth that would have resulted from its mandatory connection ordinance in this transaction.  Tr. at 63.  We are not convinced by </w:t>
      </w:r>
      <w:r w:rsidR="00BC7CCF">
        <w:rPr>
          <w:sz w:val="26"/>
          <w:szCs w:val="26"/>
          <w:lang w:val="en"/>
        </w:rPr>
        <w:t>her</w:t>
      </w:r>
      <w:r>
        <w:rPr>
          <w:sz w:val="26"/>
          <w:szCs w:val="26"/>
          <w:lang w:val="en"/>
        </w:rPr>
        <w:t xml:space="preserve"> argument and we see no reason to include such a projection in the appraisal of Limerick’s system at this time.  We note that this purported projected future revenue stream was not a sufficient incentive for Limerick to continue operating its system or prevent Limerick from deciding to sell its system.  As such, </w:t>
      </w:r>
      <w:proofErr w:type="spellStart"/>
      <w:r>
        <w:rPr>
          <w:sz w:val="26"/>
          <w:szCs w:val="26"/>
          <w:lang w:val="en"/>
        </w:rPr>
        <w:t>Aqua’s</w:t>
      </w:r>
      <w:proofErr w:type="spellEnd"/>
      <w:r>
        <w:rPr>
          <w:sz w:val="26"/>
          <w:szCs w:val="26"/>
          <w:lang w:val="en"/>
        </w:rPr>
        <w:t xml:space="preserve"> Exception is hereby denied.</w:t>
      </w:r>
    </w:p>
    <w:p w14:paraId="7DAC9762" w14:textId="77777777" w:rsidR="00EA7856" w:rsidRPr="002915C6" w:rsidRDefault="00EA7856" w:rsidP="0012768D">
      <w:pPr>
        <w:widowControl/>
        <w:spacing w:line="360" w:lineRule="auto"/>
        <w:ind w:firstLine="1440"/>
        <w:contextualSpacing/>
        <w:rPr>
          <w:sz w:val="26"/>
          <w:szCs w:val="26"/>
          <w:lang w:val="en"/>
        </w:rPr>
      </w:pPr>
    </w:p>
    <w:p w14:paraId="61388B40" w14:textId="77777777" w:rsidR="00EA7856" w:rsidRPr="002915C6" w:rsidRDefault="00EA7856" w:rsidP="0012768D">
      <w:pPr>
        <w:widowControl/>
        <w:tabs>
          <w:tab w:val="left" w:pos="2610"/>
        </w:tabs>
        <w:autoSpaceDE w:val="0"/>
        <w:autoSpaceDN w:val="0"/>
        <w:adjustRightInd w:val="0"/>
        <w:spacing w:line="360" w:lineRule="auto"/>
        <w:rPr>
          <w:b/>
          <w:sz w:val="26"/>
          <w:szCs w:val="26"/>
          <w:lang w:val="en"/>
        </w:rPr>
      </w:pPr>
    </w:p>
    <w:p w14:paraId="514311CE" w14:textId="77777777" w:rsidR="00EA7856" w:rsidRPr="00BE5FF4" w:rsidRDefault="00BA2E9C" w:rsidP="00BE5FF4">
      <w:pPr>
        <w:widowControl/>
        <w:tabs>
          <w:tab w:val="left" w:pos="2610"/>
        </w:tabs>
        <w:autoSpaceDE w:val="0"/>
        <w:autoSpaceDN w:val="0"/>
        <w:adjustRightInd w:val="0"/>
        <w:ind w:left="2592" w:hanging="432"/>
        <w:rPr>
          <w:b/>
          <w:sz w:val="26"/>
          <w:lang w:val="en"/>
        </w:rPr>
      </w:pPr>
      <w:r>
        <w:rPr>
          <w:b/>
          <w:sz w:val="26"/>
          <w:szCs w:val="26"/>
          <w:lang w:val="en"/>
        </w:rPr>
        <w:t>(2)</w:t>
      </w:r>
      <w:r w:rsidR="00252E54">
        <w:rPr>
          <w:b/>
          <w:sz w:val="26"/>
          <w:szCs w:val="26"/>
          <w:lang w:val="en"/>
        </w:rPr>
        <w:tab/>
      </w:r>
      <w:r w:rsidR="00EA7856" w:rsidRPr="006B1722">
        <w:rPr>
          <w:b/>
          <w:sz w:val="26"/>
          <w:szCs w:val="26"/>
          <w:lang w:val="en"/>
        </w:rPr>
        <w:t xml:space="preserve"> </w:t>
      </w:r>
      <w:r w:rsidR="007E71E6">
        <w:rPr>
          <w:b/>
          <w:sz w:val="26"/>
          <w:szCs w:val="26"/>
          <w:lang w:val="en"/>
        </w:rPr>
        <w:t xml:space="preserve">Adder </w:t>
      </w:r>
      <w:r w:rsidR="00582D05">
        <w:rPr>
          <w:b/>
          <w:sz w:val="26"/>
          <w:szCs w:val="26"/>
          <w:lang w:val="en"/>
        </w:rPr>
        <w:t>for</w:t>
      </w:r>
      <w:r w:rsidR="007E71E6">
        <w:rPr>
          <w:b/>
          <w:sz w:val="26"/>
          <w:szCs w:val="26"/>
          <w:lang w:val="en"/>
        </w:rPr>
        <w:t xml:space="preserve"> Future Capital Improvements</w:t>
      </w:r>
    </w:p>
    <w:p w14:paraId="150EF9D5" w14:textId="77777777" w:rsidR="00EA7856" w:rsidRDefault="00EA7856" w:rsidP="0012768D">
      <w:pPr>
        <w:widowControl/>
        <w:autoSpaceDE w:val="0"/>
        <w:autoSpaceDN w:val="0"/>
        <w:adjustRightInd w:val="0"/>
        <w:spacing w:line="360" w:lineRule="auto"/>
        <w:ind w:firstLine="1440"/>
        <w:contextualSpacing/>
        <w:rPr>
          <w:sz w:val="26"/>
          <w:szCs w:val="26"/>
          <w:lang w:val="en"/>
        </w:rPr>
      </w:pPr>
    </w:p>
    <w:p w14:paraId="7A932CBA" w14:textId="77777777" w:rsidR="00C85258" w:rsidRPr="00C85258" w:rsidRDefault="00C85258" w:rsidP="0012768D">
      <w:pPr>
        <w:widowControl/>
        <w:autoSpaceDE w:val="0"/>
        <w:autoSpaceDN w:val="0"/>
        <w:adjustRightInd w:val="0"/>
        <w:spacing w:line="360" w:lineRule="auto"/>
        <w:ind w:firstLine="1440"/>
        <w:contextualSpacing/>
        <w:rPr>
          <w:b/>
          <w:sz w:val="26"/>
          <w:szCs w:val="26"/>
          <w:lang w:val="en"/>
        </w:rPr>
      </w:pPr>
      <w:r>
        <w:rPr>
          <w:sz w:val="26"/>
          <w:szCs w:val="26"/>
          <w:lang w:val="en"/>
        </w:rPr>
        <w:tab/>
      </w:r>
      <w:r>
        <w:rPr>
          <w:sz w:val="26"/>
          <w:szCs w:val="26"/>
          <w:lang w:val="en"/>
        </w:rPr>
        <w:tab/>
      </w:r>
      <w:r w:rsidRPr="00C85258">
        <w:rPr>
          <w:b/>
          <w:sz w:val="26"/>
          <w:szCs w:val="26"/>
          <w:lang w:val="en"/>
        </w:rPr>
        <w:t>(</w:t>
      </w:r>
      <w:r w:rsidR="00BA2E9C">
        <w:rPr>
          <w:b/>
          <w:sz w:val="26"/>
          <w:szCs w:val="26"/>
          <w:lang w:val="en"/>
        </w:rPr>
        <w:t>i</w:t>
      </w:r>
      <w:r w:rsidRPr="00C85258">
        <w:rPr>
          <w:b/>
          <w:sz w:val="26"/>
          <w:szCs w:val="26"/>
          <w:lang w:val="en"/>
        </w:rPr>
        <w:t>)</w:t>
      </w:r>
      <w:r w:rsidRPr="00C85258">
        <w:rPr>
          <w:b/>
          <w:sz w:val="26"/>
          <w:szCs w:val="26"/>
          <w:lang w:val="en"/>
        </w:rPr>
        <w:tab/>
        <w:t>OCA’s Exceptions</w:t>
      </w:r>
    </w:p>
    <w:p w14:paraId="7B27DF4A" w14:textId="77777777" w:rsidR="00C85258" w:rsidRPr="002915C6" w:rsidRDefault="00C85258" w:rsidP="0012768D">
      <w:pPr>
        <w:widowControl/>
        <w:autoSpaceDE w:val="0"/>
        <w:autoSpaceDN w:val="0"/>
        <w:adjustRightInd w:val="0"/>
        <w:spacing w:line="360" w:lineRule="auto"/>
        <w:ind w:firstLine="1440"/>
        <w:contextualSpacing/>
        <w:rPr>
          <w:sz w:val="26"/>
          <w:szCs w:val="26"/>
          <w:lang w:val="en"/>
        </w:rPr>
      </w:pPr>
    </w:p>
    <w:p w14:paraId="43AE26AC" w14:textId="77777777" w:rsidR="00EA7856" w:rsidRPr="002915C6" w:rsidRDefault="00EA7856" w:rsidP="0012768D">
      <w:pPr>
        <w:widowControl/>
        <w:autoSpaceDE w:val="0"/>
        <w:autoSpaceDN w:val="0"/>
        <w:adjustRightInd w:val="0"/>
        <w:spacing w:line="360" w:lineRule="auto"/>
        <w:ind w:firstLine="1440"/>
        <w:contextualSpacing/>
        <w:rPr>
          <w:sz w:val="26"/>
          <w:szCs w:val="26"/>
          <w:lang w:val="en"/>
        </w:rPr>
      </w:pPr>
      <w:r w:rsidRPr="002915C6">
        <w:rPr>
          <w:sz w:val="26"/>
          <w:szCs w:val="26"/>
          <w:lang w:val="en"/>
        </w:rPr>
        <w:t xml:space="preserve">In its Exception No. 2, the OCA </w:t>
      </w:r>
      <w:r w:rsidR="005932E7">
        <w:rPr>
          <w:sz w:val="26"/>
          <w:szCs w:val="26"/>
          <w:lang w:val="en"/>
        </w:rPr>
        <w:t xml:space="preserve">submits that </w:t>
      </w:r>
      <w:r w:rsidRPr="002915C6">
        <w:rPr>
          <w:sz w:val="26"/>
          <w:szCs w:val="26"/>
          <w:lang w:val="en"/>
        </w:rPr>
        <w:t xml:space="preserve">the ALJ </w:t>
      </w:r>
      <w:r w:rsidR="005932E7">
        <w:rPr>
          <w:sz w:val="26"/>
          <w:szCs w:val="26"/>
          <w:lang w:val="en"/>
        </w:rPr>
        <w:t xml:space="preserve">erred by not </w:t>
      </w:r>
      <w:r w:rsidRPr="002915C6">
        <w:rPr>
          <w:sz w:val="26"/>
          <w:szCs w:val="26"/>
          <w:lang w:val="en"/>
        </w:rPr>
        <w:t>adopt</w:t>
      </w:r>
      <w:r w:rsidR="005932E7">
        <w:rPr>
          <w:sz w:val="26"/>
          <w:szCs w:val="26"/>
          <w:lang w:val="en"/>
        </w:rPr>
        <w:t>ing</w:t>
      </w:r>
      <w:r w:rsidRPr="002915C6">
        <w:rPr>
          <w:sz w:val="26"/>
          <w:szCs w:val="26"/>
          <w:lang w:val="en"/>
        </w:rPr>
        <w:t xml:space="preserve"> its adjustment pertaining to the purchase price values used to calculate the average cost per customer.  OCA Exc. at 7 (citing OCA Stmt. 1 at 23).  According to the OCA, although HRG used the purchase price plus the value of capital improvements required by the agreement of sale to calculate the purchase price values for comparable acquisitions, HRG used only the purchase price </w:t>
      </w:r>
      <w:r w:rsidR="00B7249E">
        <w:rPr>
          <w:sz w:val="26"/>
          <w:szCs w:val="26"/>
          <w:lang w:val="en"/>
        </w:rPr>
        <w:t xml:space="preserve">for the valuation of Limerick’s assets </w:t>
      </w:r>
      <w:r w:rsidRPr="002915C6">
        <w:rPr>
          <w:sz w:val="26"/>
          <w:szCs w:val="26"/>
          <w:lang w:val="en"/>
        </w:rPr>
        <w:t xml:space="preserve">and did </w:t>
      </w:r>
      <w:r w:rsidR="00B7249E">
        <w:rPr>
          <w:sz w:val="26"/>
          <w:szCs w:val="26"/>
          <w:lang w:val="en"/>
        </w:rPr>
        <w:t xml:space="preserve">not </w:t>
      </w:r>
      <w:r w:rsidRPr="002915C6">
        <w:rPr>
          <w:sz w:val="26"/>
          <w:szCs w:val="26"/>
          <w:lang w:val="en"/>
        </w:rPr>
        <w:t xml:space="preserve">include the $8.3 million of capital investments that Aqua anticipates making.  </w:t>
      </w:r>
      <w:r w:rsidR="00B7249E">
        <w:rPr>
          <w:sz w:val="26"/>
          <w:szCs w:val="26"/>
          <w:lang w:val="en"/>
        </w:rPr>
        <w:t xml:space="preserve">The </w:t>
      </w:r>
      <w:r w:rsidRPr="002915C6">
        <w:rPr>
          <w:sz w:val="26"/>
          <w:szCs w:val="26"/>
          <w:lang w:val="en"/>
        </w:rPr>
        <w:t xml:space="preserve">OCA believes this distorts the market comparison.  </w:t>
      </w:r>
      <w:r w:rsidR="00B7249E">
        <w:rPr>
          <w:sz w:val="26"/>
          <w:szCs w:val="26"/>
          <w:lang w:val="en"/>
        </w:rPr>
        <w:t xml:space="preserve">OCA </w:t>
      </w:r>
      <w:r w:rsidRPr="002915C6">
        <w:rPr>
          <w:sz w:val="26"/>
          <w:szCs w:val="26"/>
          <w:lang w:val="en"/>
        </w:rPr>
        <w:t>Exc. at 7 (citing OCA Stmt. 4R at</w:t>
      </w:r>
      <w:r w:rsidR="00D9459E">
        <w:rPr>
          <w:sz w:val="26"/>
          <w:szCs w:val="26"/>
          <w:lang w:val="en"/>
        </w:rPr>
        <w:t> </w:t>
      </w:r>
      <w:r w:rsidRPr="002915C6">
        <w:rPr>
          <w:sz w:val="26"/>
          <w:szCs w:val="26"/>
          <w:lang w:val="en"/>
        </w:rPr>
        <w:t xml:space="preserve">6; Aqua </w:t>
      </w:r>
      <w:proofErr w:type="spellStart"/>
      <w:r w:rsidRPr="002915C6">
        <w:rPr>
          <w:sz w:val="26"/>
          <w:szCs w:val="26"/>
          <w:lang w:val="en"/>
        </w:rPr>
        <w:t>Exh</w:t>
      </w:r>
      <w:proofErr w:type="spellEnd"/>
      <w:r w:rsidRPr="002915C6">
        <w:rPr>
          <w:sz w:val="26"/>
          <w:szCs w:val="26"/>
          <w:lang w:val="en"/>
        </w:rPr>
        <w:t xml:space="preserve">. V at 8).  Moreover, the OCA argues </w:t>
      </w:r>
      <w:r w:rsidR="00B7249E">
        <w:rPr>
          <w:sz w:val="26"/>
          <w:szCs w:val="26"/>
          <w:lang w:val="en"/>
        </w:rPr>
        <w:t xml:space="preserve">that </w:t>
      </w:r>
      <w:r w:rsidRPr="002915C6">
        <w:rPr>
          <w:sz w:val="26"/>
          <w:szCs w:val="26"/>
          <w:lang w:val="en"/>
        </w:rPr>
        <w:t xml:space="preserve">HRG did not include future capital improvements for all the comparable systems.  For instance, according to the OCA, the $195 million value HRG used for the acquisition of the Scranton system excludes the capital improvements for Scranton.  OCA Exc. at 7-8 (citing Aqua </w:t>
      </w:r>
      <w:proofErr w:type="spellStart"/>
      <w:r w:rsidRPr="002915C6">
        <w:rPr>
          <w:sz w:val="26"/>
          <w:szCs w:val="26"/>
          <w:lang w:val="en"/>
        </w:rPr>
        <w:t>Exh</w:t>
      </w:r>
      <w:proofErr w:type="spellEnd"/>
      <w:r w:rsidRPr="002915C6">
        <w:rPr>
          <w:sz w:val="26"/>
          <w:szCs w:val="26"/>
          <w:lang w:val="en"/>
        </w:rPr>
        <w:t>. R, Sch. D at 21).</w:t>
      </w:r>
      <w:r w:rsidR="002A46C2" w:rsidRPr="002915C6">
        <w:rPr>
          <w:rStyle w:val="FootnoteReference"/>
          <w:sz w:val="26"/>
          <w:szCs w:val="26"/>
          <w:lang w:val="en"/>
        </w:rPr>
        <w:footnoteReference w:id="23"/>
      </w:r>
    </w:p>
    <w:p w14:paraId="0B0E7A04" w14:textId="77777777" w:rsidR="00EA7856" w:rsidRPr="002915C6" w:rsidRDefault="00EA7856" w:rsidP="0012768D">
      <w:pPr>
        <w:widowControl/>
        <w:autoSpaceDE w:val="0"/>
        <w:autoSpaceDN w:val="0"/>
        <w:adjustRightInd w:val="0"/>
        <w:spacing w:line="360" w:lineRule="auto"/>
        <w:ind w:firstLine="1440"/>
        <w:contextualSpacing/>
        <w:rPr>
          <w:sz w:val="26"/>
          <w:szCs w:val="26"/>
          <w:lang w:val="en"/>
        </w:rPr>
      </w:pPr>
    </w:p>
    <w:p w14:paraId="456BA3A6" w14:textId="1B8312D1" w:rsidR="00EA7856" w:rsidRDefault="00EA7856" w:rsidP="0012768D">
      <w:pPr>
        <w:widowControl/>
        <w:autoSpaceDE w:val="0"/>
        <w:autoSpaceDN w:val="0"/>
        <w:adjustRightInd w:val="0"/>
        <w:spacing w:line="360" w:lineRule="auto"/>
        <w:ind w:firstLine="1440"/>
        <w:contextualSpacing/>
        <w:rPr>
          <w:sz w:val="26"/>
          <w:szCs w:val="26"/>
          <w:lang w:val="en"/>
        </w:rPr>
      </w:pPr>
      <w:r w:rsidRPr="002915C6">
        <w:rPr>
          <w:sz w:val="26"/>
          <w:szCs w:val="26"/>
          <w:lang w:val="en"/>
        </w:rPr>
        <w:t xml:space="preserve">Second, the OCA argues that the addition of future capital improvements for valuation purposes creates a double-count.  In </w:t>
      </w:r>
      <w:r w:rsidR="002A46C2">
        <w:rPr>
          <w:sz w:val="26"/>
          <w:szCs w:val="26"/>
          <w:lang w:val="en"/>
        </w:rPr>
        <w:t xml:space="preserve">the </w:t>
      </w:r>
      <w:r w:rsidRPr="002915C6">
        <w:rPr>
          <w:sz w:val="26"/>
          <w:szCs w:val="26"/>
          <w:lang w:val="en"/>
        </w:rPr>
        <w:t>OCA’s view, adding the cost of future improvements to the value of rate base and then adding the same improvements after Aqua makes the capital expenditures would amount to including the same costs twice, which is not fa</w:t>
      </w:r>
      <w:r w:rsidR="00D9459E">
        <w:rPr>
          <w:sz w:val="26"/>
          <w:szCs w:val="26"/>
          <w:lang w:val="en"/>
        </w:rPr>
        <w:t xml:space="preserve">vorable to </w:t>
      </w:r>
      <w:proofErr w:type="spellStart"/>
      <w:r w:rsidR="00D9459E">
        <w:rPr>
          <w:sz w:val="26"/>
          <w:szCs w:val="26"/>
          <w:lang w:val="en"/>
        </w:rPr>
        <w:t>Aqua’s</w:t>
      </w:r>
      <w:proofErr w:type="spellEnd"/>
      <w:r w:rsidR="00D9459E">
        <w:rPr>
          <w:sz w:val="26"/>
          <w:szCs w:val="26"/>
          <w:lang w:val="en"/>
        </w:rPr>
        <w:t xml:space="preserve"> ratepayers.  </w:t>
      </w:r>
      <w:r w:rsidRPr="002915C6">
        <w:rPr>
          <w:sz w:val="26"/>
          <w:szCs w:val="26"/>
          <w:lang w:val="en"/>
        </w:rPr>
        <w:t>OCA Exc. at 8 (citing Aqua Stmt</w:t>
      </w:r>
      <w:r w:rsidR="002A46C2">
        <w:rPr>
          <w:sz w:val="26"/>
          <w:szCs w:val="26"/>
          <w:lang w:val="en"/>
        </w:rPr>
        <w:t>.</w:t>
      </w:r>
      <w:r w:rsidRPr="002915C6">
        <w:rPr>
          <w:sz w:val="26"/>
          <w:szCs w:val="26"/>
          <w:lang w:val="en"/>
        </w:rPr>
        <w:t xml:space="preserve"> 1S at 13-15).  Third, the OCA argues that because the cost of capital improvements would be paid for by Aqua and is not beneficial to Aqua or its existing customers, it should not be included in the valuation.  </w:t>
      </w:r>
      <w:r w:rsidR="002A46C2">
        <w:rPr>
          <w:sz w:val="26"/>
          <w:szCs w:val="26"/>
          <w:lang w:val="en"/>
        </w:rPr>
        <w:t>T</w:t>
      </w:r>
      <w:r w:rsidRPr="002915C6">
        <w:rPr>
          <w:sz w:val="26"/>
          <w:szCs w:val="26"/>
          <w:lang w:val="en"/>
        </w:rPr>
        <w:t xml:space="preserve">he OCA questions why the ALJ adopted the OCA’s adjustment to remove the cost of future improvements from HRG’s </w:t>
      </w:r>
      <w:r w:rsidR="00D92356">
        <w:rPr>
          <w:sz w:val="26"/>
          <w:szCs w:val="26"/>
          <w:lang w:val="en"/>
        </w:rPr>
        <w:t xml:space="preserve">reproduction </w:t>
      </w:r>
      <w:r w:rsidRPr="002915C6">
        <w:rPr>
          <w:sz w:val="26"/>
          <w:szCs w:val="26"/>
          <w:lang w:val="en"/>
        </w:rPr>
        <w:t>cost approach yet refused to make the same adjustment under HRG’s market approach.  OCA Exc. at 8.</w:t>
      </w:r>
    </w:p>
    <w:p w14:paraId="4D71F9FC" w14:textId="77777777" w:rsidR="00D27970" w:rsidRPr="002915C6" w:rsidRDefault="00D27970" w:rsidP="0012768D">
      <w:pPr>
        <w:widowControl/>
        <w:autoSpaceDE w:val="0"/>
        <w:autoSpaceDN w:val="0"/>
        <w:adjustRightInd w:val="0"/>
        <w:spacing w:line="360" w:lineRule="auto"/>
        <w:ind w:firstLine="1440"/>
        <w:contextualSpacing/>
        <w:rPr>
          <w:sz w:val="26"/>
          <w:szCs w:val="26"/>
          <w:lang w:val="en"/>
        </w:rPr>
      </w:pPr>
    </w:p>
    <w:p w14:paraId="28901ADB" w14:textId="77777777" w:rsidR="00EA7856" w:rsidRPr="002915C6" w:rsidRDefault="002A46C2" w:rsidP="0012768D">
      <w:pPr>
        <w:widowControl/>
        <w:autoSpaceDE w:val="0"/>
        <w:autoSpaceDN w:val="0"/>
        <w:adjustRightInd w:val="0"/>
        <w:spacing w:line="360" w:lineRule="auto"/>
        <w:ind w:firstLine="1440"/>
        <w:contextualSpacing/>
        <w:rPr>
          <w:sz w:val="26"/>
          <w:szCs w:val="26"/>
          <w:lang w:val="en"/>
        </w:rPr>
      </w:pPr>
      <w:r>
        <w:rPr>
          <w:sz w:val="26"/>
          <w:szCs w:val="26"/>
          <w:lang w:val="en"/>
        </w:rPr>
        <w:t xml:space="preserve">The </w:t>
      </w:r>
      <w:r w:rsidR="00EA7856" w:rsidRPr="002915C6">
        <w:rPr>
          <w:sz w:val="26"/>
          <w:szCs w:val="26"/>
          <w:lang w:val="en"/>
        </w:rPr>
        <w:t xml:space="preserve">OCA disagrees with the ALJ’s reasoning that his recommendation is based on </w:t>
      </w:r>
      <w:proofErr w:type="spellStart"/>
      <w:r w:rsidR="00EA7856" w:rsidRPr="002915C6">
        <w:rPr>
          <w:sz w:val="26"/>
          <w:szCs w:val="26"/>
          <w:lang w:val="en"/>
        </w:rPr>
        <w:t>Aqua</w:t>
      </w:r>
      <w:r>
        <w:rPr>
          <w:sz w:val="26"/>
          <w:szCs w:val="26"/>
          <w:lang w:val="en"/>
        </w:rPr>
        <w:t>’s</w:t>
      </w:r>
      <w:proofErr w:type="spellEnd"/>
      <w:r w:rsidR="00EA7856" w:rsidRPr="002915C6">
        <w:rPr>
          <w:sz w:val="26"/>
          <w:szCs w:val="26"/>
          <w:lang w:val="en"/>
        </w:rPr>
        <w:t xml:space="preserve"> claims </w:t>
      </w:r>
      <w:r>
        <w:rPr>
          <w:sz w:val="26"/>
          <w:szCs w:val="26"/>
          <w:lang w:val="en"/>
        </w:rPr>
        <w:t xml:space="preserve">that </w:t>
      </w:r>
      <w:r w:rsidR="00EA7856" w:rsidRPr="002915C6">
        <w:rPr>
          <w:sz w:val="26"/>
          <w:szCs w:val="26"/>
          <w:lang w:val="en"/>
        </w:rPr>
        <w:t xml:space="preserve">the USPAP and the </w:t>
      </w:r>
      <w:r w:rsidR="00EA7856" w:rsidRPr="002915C6">
        <w:rPr>
          <w:i/>
          <w:sz w:val="26"/>
          <w:szCs w:val="26"/>
          <w:lang w:val="en"/>
        </w:rPr>
        <w:t>Final Implementation Order</w:t>
      </w:r>
      <w:r>
        <w:rPr>
          <w:sz w:val="26"/>
          <w:szCs w:val="26"/>
          <w:lang w:val="en"/>
        </w:rPr>
        <w:t xml:space="preserve"> </w:t>
      </w:r>
      <w:r w:rsidR="00EA7856" w:rsidRPr="002915C6">
        <w:rPr>
          <w:sz w:val="26"/>
          <w:szCs w:val="26"/>
          <w:lang w:val="en"/>
        </w:rPr>
        <w:t>require consid</w:t>
      </w:r>
      <w:r>
        <w:rPr>
          <w:sz w:val="26"/>
          <w:szCs w:val="26"/>
          <w:lang w:val="en"/>
        </w:rPr>
        <w:t>eration of capital improvements</w:t>
      </w:r>
      <w:r w:rsidR="00EA7856" w:rsidRPr="002915C6">
        <w:rPr>
          <w:sz w:val="26"/>
          <w:szCs w:val="26"/>
          <w:lang w:val="en"/>
        </w:rPr>
        <w:t xml:space="preserve"> in the fair market value appraisal.  OCA Exc. at</w:t>
      </w:r>
      <w:r w:rsidR="00D5306A">
        <w:rPr>
          <w:sz w:val="26"/>
          <w:szCs w:val="26"/>
          <w:lang w:val="en"/>
        </w:rPr>
        <w:t> </w:t>
      </w:r>
      <w:r w:rsidR="00EA7856" w:rsidRPr="002915C6">
        <w:rPr>
          <w:sz w:val="26"/>
          <w:szCs w:val="26"/>
          <w:lang w:val="en"/>
        </w:rPr>
        <w:t>8</w:t>
      </w:r>
      <w:r w:rsidR="00D5306A">
        <w:rPr>
          <w:sz w:val="26"/>
          <w:szCs w:val="26"/>
          <w:lang w:val="en"/>
        </w:rPr>
        <w:noBreakHyphen/>
      </w:r>
      <w:r w:rsidR="00EA7856" w:rsidRPr="002915C6">
        <w:rPr>
          <w:sz w:val="26"/>
          <w:szCs w:val="26"/>
          <w:lang w:val="en"/>
        </w:rPr>
        <w:t xml:space="preserve">9 (citing R.D. at 39).  According to the OCA, Aqua did not provide any specific citations to either the USPAP or the </w:t>
      </w:r>
      <w:r w:rsidR="00EA7856" w:rsidRPr="002915C6">
        <w:rPr>
          <w:i/>
          <w:sz w:val="26"/>
          <w:szCs w:val="26"/>
          <w:lang w:val="en"/>
        </w:rPr>
        <w:t>Final Implementation Order</w:t>
      </w:r>
      <w:r w:rsidR="00EA7856" w:rsidRPr="002915C6">
        <w:rPr>
          <w:sz w:val="26"/>
          <w:szCs w:val="26"/>
          <w:lang w:val="en"/>
        </w:rPr>
        <w:t xml:space="preserve"> supporting its argument.  Moreover, the OCA contends that go</w:t>
      </w:r>
      <w:r>
        <w:rPr>
          <w:sz w:val="26"/>
          <w:szCs w:val="26"/>
          <w:lang w:val="en"/>
        </w:rPr>
        <w:t xml:space="preserve">ing by </w:t>
      </w:r>
      <w:proofErr w:type="spellStart"/>
      <w:r>
        <w:rPr>
          <w:sz w:val="26"/>
          <w:szCs w:val="26"/>
          <w:lang w:val="en"/>
        </w:rPr>
        <w:t>Aqua’s</w:t>
      </w:r>
      <w:proofErr w:type="spellEnd"/>
      <w:r>
        <w:rPr>
          <w:sz w:val="26"/>
          <w:szCs w:val="26"/>
          <w:lang w:val="en"/>
        </w:rPr>
        <w:t xml:space="preserve"> argument, giving “</w:t>
      </w:r>
      <w:r w:rsidR="00EA7856" w:rsidRPr="002915C6">
        <w:rPr>
          <w:sz w:val="26"/>
          <w:szCs w:val="26"/>
          <w:lang w:val="en"/>
        </w:rPr>
        <w:t>consideration” as defined in the USPAP does not mandate a</w:t>
      </w:r>
      <w:r>
        <w:rPr>
          <w:sz w:val="26"/>
          <w:szCs w:val="26"/>
          <w:lang w:val="en"/>
        </w:rPr>
        <w:t>n increase of the market value.</w:t>
      </w:r>
      <w:r w:rsidR="00EA7856" w:rsidRPr="002915C6">
        <w:rPr>
          <w:sz w:val="26"/>
          <w:szCs w:val="26"/>
          <w:lang w:val="en"/>
        </w:rPr>
        <w:t xml:space="preserve"> </w:t>
      </w:r>
      <w:r>
        <w:rPr>
          <w:sz w:val="26"/>
          <w:szCs w:val="26"/>
          <w:lang w:val="en"/>
        </w:rPr>
        <w:t xml:space="preserve"> The </w:t>
      </w:r>
      <w:r w:rsidR="00EA7856" w:rsidRPr="002915C6">
        <w:rPr>
          <w:sz w:val="26"/>
          <w:szCs w:val="26"/>
          <w:lang w:val="en"/>
        </w:rPr>
        <w:t>OCA asserts that, in this case, while future capital improvements are an avoided cost and a benefit to Limerick Township, because Aqua will pay for these improvements, there is no basis to conclude that they would increase the value of the system to buyers in the market.</w:t>
      </w:r>
      <w:r w:rsidR="00EA7856" w:rsidRPr="002915C6">
        <w:rPr>
          <w:rStyle w:val="FootnoteReference"/>
          <w:sz w:val="26"/>
          <w:szCs w:val="26"/>
          <w:lang w:val="en"/>
        </w:rPr>
        <w:footnoteReference w:id="24"/>
      </w:r>
      <w:r w:rsidR="00EA7856" w:rsidRPr="002915C6">
        <w:rPr>
          <w:sz w:val="26"/>
          <w:szCs w:val="26"/>
          <w:lang w:val="en"/>
        </w:rPr>
        <w:t xml:space="preserve">  OCA Exc. at 9 (citing OCA Stmt</w:t>
      </w:r>
      <w:r w:rsidR="00D66948">
        <w:rPr>
          <w:sz w:val="26"/>
          <w:szCs w:val="26"/>
          <w:lang w:val="en"/>
        </w:rPr>
        <w:t>.</w:t>
      </w:r>
      <w:r w:rsidR="00EA7856" w:rsidRPr="002915C6">
        <w:rPr>
          <w:sz w:val="26"/>
          <w:szCs w:val="26"/>
          <w:lang w:val="en"/>
        </w:rPr>
        <w:t xml:space="preserve"> 1 at 23; OCA Stmt</w:t>
      </w:r>
      <w:r w:rsidR="00D66948">
        <w:rPr>
          <w:sz w:val="26"/>
          <w:szCs w:val="26"/>
          <w:lang w:val="en"/>
        </w:rPr>
        <w:t>.</w:t>
      </w:r>
      <w:r w:rsidR="00EA7856" w:rsidRPr="002915C6">
        <w:rPr>
          <w:sz w:val="26"/>
          <w:szCs w:val="26"/>
          <w:lang w:val="en"/>
        </w:rPr>
        <w:t xml:space="preserve"> 1S at 14).    </w:t>
      </w:r>
    </w:p>
    <w:p w14:paraId="3B630306" w14:textId="77777777" w:rsidR="00EA7856" w:rsidRPr="002915C6" w:rsidRDefault="00EA7856" w:rsidP="0012768D">
      <w:pPr>
        <w:widowControl/>
        <w:autoSpaceDE w:val="0"/>
        <w:autoSpaceDN w:val="0"/>
        <w:adjustRightInd w:val="0"/>
        <w:spacing w:line="360" w:lineRule="auto"/>
        <w:ind w:firstLine="1440"/>
        <w:contextualSpacing/>
        <w:rPr>
          <w:sz w:val="26"/>
          <w:szCs w:val="26"/>
          <w:lang w:val="en"/>
        </w:rPr>
      </w:pPr>
    </w:p>
    <w:p w14:paraId="6077D13F" w14:textId="77777777" w:rsidR="00EA7856" w:rsidRPr="002915C6" w:rsidRDefault="00EA7856" w:rsidP="0012768D">
      <w:pPr>
        <w:widowControl/>
        <w:autoSpaceDE w:val="0"/>
        <w:autoSpaceDN w:val="0"/>
        <w:adjustRightInd w:val="0"/>
        <w:spacing w:line="360" w:lineRule="auto"/>
        <w:ind w:firstLine="1440"/>
        <w:contextualSpacing/>
        <w:rPr>
          <w:sz w:val="26"/>
          <w:szCs w:val="26"/>
          <w:lang w:val="en"/>
        </w:rPr>
      </w:pPr>
      <w:r w:rsidRPr="002915C6">
        <w:rPr>
          <w:sz w:val="26"/>
          <w:szCs w:val="26"/>
          <w:lang w:val="en"/>
        </w:rPr>
        <w:t xml:space="preserve">The OCA further contends that a review of the </w:t>
      </w:r>
      <w:r w:rsidRPr="002915C6">
        <w:rPr>
          <w:i/>
          <w:sz w:val="26"/>
          <w:szCs w:val="26"/>
          <w:lang w:val="en"/>
        </w:rPr>
        <w:t>Final Implementation Order</w:t>
      </w:r>
      <w:r w:rsidRPr="002915C6">
        <w:rPr>
          <w:sz w:val="26"/>
          <w:szCs w:val="26"/>
          <w:lang w:val="en"/>
        </w:rPr>
        <w:t xml:space="preserve"> does not support </w:t>
      </w:r>
      <w:proofErr w:type="spellStart"/>
      <w:r w:rsidRPr="002915C6">
        <w:rPr>
          <w:sz w:val="26"/>
          <w:szCs w:val="26"/>
          <w:lang w:val="en"/>
        </w:rPr>
        <w:t>Aqua’s</w:t>
      </w:r>
      <w:proofErr w:type="spellEnd"/>
      <w:r w:rsidRPr="002915C6">
        <w:rPr>
          <w:sz w:val="26"/>
          <w:szCs w:val="26"/>
          <w:lang w:val="en"/>
        </w:rPr>
        <w:t xml:space="preserve"> claim.  The OCA avers that while the </w:t>
      </w:r>
      <w:r w:rsidRPr="002915C6">
        <w:rPr>
          <w:i/>
          <w:sz w:val="26"/>
          <w:szCs w:val="26"/>
          <w:lang w:val="en"/>
        </w:rPr>
        <w:t>Final Implementation Order</w:t>
      </w:r>
      <w:r w:rsidRPr="002915C6">
        <w:rPr>
          <w:sz w:val="26"/>
          <w:szCs w:val="26"/>
          <w:lang w:val="en"/>
        </w:rPr>
        <w:t xml:space="preserve"> mentions post-acquisition improvements only in one context, </w:t>
      </w:r>
      <w:r w:rsidRPr="002915C6">
        <w:rPr>
          <w:i/>
          <w:sz w:val="26"/>
          <w:szCs w:val="26"/>
          <w:lang w:val="en"/>
        </w:rPr>
        <w:t xml:space="preserve">i.e., </w:t>
      </w:r>
      <w:r w:rsidRPr="002915C6">
        <w:rPr>
          <w:sz w:val="26"/>
          <w:szCs w:val="26"/>
          <w:lang w:val="en"/>
        </w:rPr>
        <w:t xml:space="preserve">Section 1329(f) allows post-acquisition improvement costs to be deferred for book and ratemaking purposes if they are not recovered through a </w:t>
      </w:r>
      <w:r w:rsidR="00D66948">
        <w:rPr>
          <w:sz w:val="26"/>
          <w:szCs w:val="26"/>
          <w:lang w:val="en"/>
        </w:rPr>
        <w:t>DSIC,</w:t>
      </w:r>
      <w:r w:rsidRPr="002915C6">
        <w:rPr>
          <w:sz w:val="26"/>
          <w:szCs w:val="26"/>
          <w:lang w:val="en"/>
        </w:rPr>
        <w:t xml:space="preserve"> the </w:t>
      </w:r>
      <w:r w:rsidRPr="002915C6">
        <w:rPr>
          <w:i/>
          <w:sz w:val="26"/>
          <w:szCs w:val="26"/>
          <w:lang w:val="en"/>
        </w:rPr>
        <w:t>Final Implementation Order</w:t>
      </w:r>
      <w:r w:rsidRPr="002915C6">
        <w:rPr>
          <w:sz w:val="26"/>
          <w:szCs w:val="26"/>
          <w:lang w:val="en"/>
        </w:rPr>
        <w:t xml:space="preserve"> </w:t>
      </w:r>
      <w:r w:rsidR="00D66948">
        <w:rPr>
          <w:sz w:val="26"/>
          <w:szCs w:val="26"/>
          <w:lang w:val="en"/>
        </w:rPr>
        <w:t xml:space="preserve">does not </w:t>
      </w:r>
      <w:r w:rsidRPr="002915C6">
        <w:rPr>
          <w:sz w:val="26"/>
          <w:szCs w:val="26"/>
          <w:lang w:val="en"/>
        </w:rPr>
        <w:t xml:space="preserve">address future capital improvements or </w:t>
      </w:r>
      <w:r w:rsidR="00D66948">
        <w:rPr>
          <w:sz w:val="26"/>
          <w:szCs w:val="26"/>
          <w:lang w:val="en"/>
        </w:rPr>
        <w:t xml:space="preserve">the issue of whether </w:t>
      </w:r>
      <w:r w:rsidRPr="002915C6">
        <w:rPr>
          <w:sz w:val="26"/>
          <w:szCs w:val="26"/>
          <w:lang w:val="en"/>
        </w:rPr>
        <w:t xml:space="preserve">market value should be increased </w:t>
      </w:r>
      <w:r w:rsidR="00D66948">
        <w:rPr>
          <w:sz w:val="26"/>
          <w:szCs w:val="26"/>
          <w:lang w:val="en"/>
        </w:rPr>
        <w:t xml:space="preserve">if </w:t>
      </w:r>
      <w:r w:rsidRPr="002915C6">
        <w:rPr>
          <w:sz w:val="26"/>
          <w:szCs w:val="26"/>
          <w:lang w:val="en"/>
        </w:rPr>
        <w:t xml:space="preserve">the buyer plans to make future improvements.  OCA Exc. at 9 (citing </w:t>
      </w:r>
      <w:r w:rsidRPr="002915C6">
        <w:rPr>
          <w:i/>
          <w:sz w:val="26"/>
          <w:szCs w:val="26"/>
          <w:lang w:val="en"/>
        </w:rPr>
        <w:t>Final Implementation Order</w:t>
      </w:r>
      <w:r w:rsidRPr="002915C6">
        <w:rPr>
          <w:sz w:val="26"/>
          <w:szCs w:val="26"/>
          <w:lang w:val="en"/>
        </w:rPr>
        <w:t xml:space="preserve"> at 1-3, 28, 30, 40; 66 Pa. C.S. § 1329(f)).  Thus, the OCA requests that the Commission adopt its recommended removal of the adder for future capital improvements to HRG’s market approach.  OCA Exc. at 9.</w:t>
      </w:r>
    </w:p>
    <w:p w14:paraId="6FA35672" w14:textId="77777777" w:rsidR="00EA7856" w:rsidRPr="002915C6" w:rsidRDefault="00EA7856" w:rsidP="0012768D">
      <w:pPr>
        <w:widowControl/>
        <w:autoSpaceDE w:val="0"/>
        <w:autoSpaceDN w:val="0"/>
        <w:adjustRightInd w:val="0"/>
        <w:spacing w:line="360" w:lineRule="auto"/>
        <w:ind w:firstLine="1440"/>
        <w:contextualSpacing/>
        <w:rPr>
          <w:sz w:val="26"/>
          <w:szCs w:val="26"/>
          <w:lang w:val="en"/>
        </w:rPr>
      </w:pPr>
    </w:p>
    <w:p w14:paraId="68383737" w14:textId="77777777" w:rsidR="004C725F" w:rsidRPr="004C725F" w:rsidRDefault="004C725F" w:rsidP="004C725F">
      <w:pPr>
        <w:keepNext/>
        <w:keepLines/>
        <w:widowControl/>
        <w:autoSpaceDE w:val="0"/>
        <w:autoSpaceDN w:val="0"/>
        <w:adjustRightInd w:val="0"/>
        <w:spacing w:line="360" w:lineRule="auto"/>
        <w:ind w:firstLine="1440"/>
        <w:contextualSpacing/>
        <w:rPr>
          <w:b/>
          <w:sz w:val="26"/>
          <w:szCs w:val="26"/>
          <w:lang w:val="en"/>
        </w:rPr>
      </w:pPr>
      <w:r>
        <w:rPr>
          <w:sz w:val="26"/>
          <w:szCs w:val="26"/>
          <w:lang w:val="en"/>
        </w:rPr>
        <w:tab/>
      </w:r>
      <w:r>
        <w:rPr>
          <w:sz w:val="26"/>
          <w:szCs w:val="26"/>
          <w:lang w:val="en"/>
        </w:rPr>
        <w:tab/>
      </w:r>
      <w:r w:rsidRPr="004C725F">
        <w:rPr>
          <w:b/>
          <w:sz w:val="26"/>
          <w:szCs w:val="26"/>
          <w:lang w:val="en"/>
        </w:rPr>
        <w:t>(</w:t>
      </w:r>
      <w:r w:rsidR="00BA2E9C">
        <w:rPr>
          <w:b/>
          <w:sz w:val="26"/>
          <w:szCs w:val="26"/>
          <w:lang w:val="en"/>
        </w:rPr>
        <w:t>ii</w:t>
      </w:r>
      <w:r w:rsidRPr="004C725F">
        <w:rPr>
          <w:b/>
          <w:sz w:val="26"/>
          <w:szCs w:val="26"/>
          <w:lang w:val="en"/>
        </w:rPr>
        <w:t>)</w:t>
      </w:r>
      <w:r w:rsidRPr="004C725F">
        <w:rPr>
          <w:b/>
          <w:sz w:val="26"/>
          <w:szCs w:val="26"/>
          <w:lang w:val="en"/>
        </w:rPr>
        <w:tab/>
      </w:r>
      <w:proofErr w:type="spellStart"/>
      <w:r w:rsidRPr="004C725F">
        <w:rPr>
          <w:b/>
          <w:sz w:val="26"/>
          <w:szCs w:val="26"/>
          <w:lang w:val="en"/>
        </w:rPr>
        <w:t>Aqua’s</w:t>
      </w:r>
      <w:proofErr w:type="spellEnd"/>
      <w:r w:rsidRPr="004C725F">
        <w:rPr>
          <w:b/>
          <w:sz w:val="26"/>
          <w:szCs w:val="26"/>
          <w:lang w:val="en"/>
        </w:rPr>
        <w:t xml:space="preserve"> Replies to OCA’s Exceptions</w:t>
      </w:r>
    </w:p>
    <w:p w14:paraId="4FAB3716" w14:textId="77777777" w:rsidR="004C725F" w:rsidRDefault="004C725F" w:rsidP="00BE5FF4">
      <w:pPr>
        <w:keepNext/>
        <w:keepLines/>
        <w:widowControl/>
        <w:autoSpaceDE w:val="0"/>
        <w:autoSpaceDN w:val="0"/>
        <w:adjustRightInd w:val="0"/>
        <w:spacing w:line="360" w:lineRule="auto"/>
        <w:ind w:firstLine="1440"/>
        <w:contextualSpacing/>
        <w:rPr>
          <w:sz w:val="26"/>
          <w:szCs w:val="26"/>
          <w:lang w:val="en"/>
        </w:rPr>
      </w:pPr>
    </w:p>
    <w:p w14:paraId="766D155D" w14:textId="77777777" w:rsidR="00EA7856" w:rsidRPr="002915C6" w:rsidRDefault="00EA7856" w:rsidP="0012768D">
      <w:pPr>
        <w:widowControl/>
        <w:autoSpaceDE w:val="0"/>
        <w:autoSpaceDN w:val="0"/>
        <w:adjustRightInd w:val="0"/>
        <w:spacing w:line="360" w:lineRule="auto"/>
        <w:ind w:firstLine="1440"/>
        <w:contextualSpacing/>
        <w:rPr>
          <w:sz w:val="26"/>
          <w:szCs w:val="26"/>
          <w:lang w:val="en"/>
        </w:rPr>
      </w:pPr>
      <w:r w:rsidRPr="002915C6">
        <w:rPr>
          <w:sz w:val="26"/>
          <w:szCs w:val="26"/>
          <w:lang w:val="en"/>
        </w:rPr>
        <w:t xml:space="preserve">In its Replies to </w:t>
      </w:r>
      <w:r w:rsidR="00D66948">
        <w:rPr>
          <w:sz w:val="26"/>
          <w:szCs w:val="26"/>
          <w:lang w:val="en"/>
        </w:rPr>
        <w:t xml:space="preserve">the </w:t>
      </w:r>
      <w:r w:rsidRPr="002915C6">
        <w:rPr>
          <w:sz w:val="26"/>
          <w:szCs w:val="26"/>
          <w:lang w:val="en"/>
        </w:rPr>
        <w:t xml:space="preserve">OCA Exception No. 2, Aqua reiterates its argument that the USPAP and the </w:t>
      </w:r>
      <w:r w:rsidRPr="002915C6">
        <w:rPr>
          <w:i/>
          <w:sz w:val="26"/>
          <w:szCs w:val="26"/>
          <w:lang w:val="en"/>
        </w:rPr>
        <w:t>Final Implementation Order</w:t>
      </w:r>
      <w:r w:rsidRPr="002915C6">
        <w:rPr>
          <w:sz w:val="26"/>
          <w:szCs w:val="26"/>
          <w:lang w:val="en"/>
        </w:rPr>
        <w:t xml:space="preserve"> require consideration of future capital improvements in the fair ma</w:t>
      </w:r>
      <w:r w:rsidR="00D66948">
        <w:rPr>
          <w:sz w:val="26"/>
          <w:szCs w:val="26"/>
          <w:lang w:val="en"/>
        </w:rPr>
        <w:t>rket value appraisal.  Aqua R. E</w:t>
      </w:r>
      <w:r w:rsidRPr="002915C6">
        <w:rPr>
          <w:sz w:val="26"/>
          <w:szCs w:val="26"/>
          <w:lang w:val="en"/>
        </w:rPr>
        <w:t xml:space="preserve">xc. at 9-10 (citing Tr. at 61).  Aqua argues </w:t>
      </w:r>
      <w:r w:rsidR="00D66948">
        <w:rPr>
          <w:sz w:val="26"/>
          <w:szCs w:val="26"/>
          <w:lang w:val="en"/>
        </w:rPr>
        <w:t xml:space="preserve">that </w:t>
      </w:r>
      <w:r w:rsidRPr="002915C6">
        <w:rPr>
          <w:sz w:val="26"/>
          <w:szCs w:val="26"/>
          <w:lang w:val="en"/>
        </w:rPr>
        <w:t xml:space="preserve">the ALJ appropriately acknowledged the listing of Limerick assets and the planned capital improvements in the amount of $4,533,000 in the engineering report.  Aqua R. Exc. at 10 (citing R.D. at 39).  According to Aqua, future facilities are an integral part of the acquisition and are needed to allow for future growth and additional revenue.  Aqua argues that as long as the improvements will not be paid for by Limerick but by Aqua, they are a real cost and may be considered for compensation.  Aqua believes failure to recognize these costs would result in an understatement of the fair market value of the system.  Aqua R. Exc. at 10 (citing Tr. at 60-61).  Aqua concludes </w:t>
      </w:r>
      <w:r w:rsidR="00D66948">
        <w:rPr>
          <w:sz w:val="26"/>
          <w:szCs w:val="26"/>
          <w:lang w:val="en"/>
        </w:rPr>
        <w:t xml:space="preserve">that </w:t>
      </w:r>
      <w:r w:rsidRPr="002915C6">
        <w:rPr>
          <w:sz w:val="26"/>
          <w:szCs w:val="26"/>
          <w:lang w:val="en"/>
        </w:rPr>
        <w:t xml:space="preserve">the record evidence supports the inclusion of future capital projects in the fair market valuation under HRG’s market approach.  Therefore, Aqua requests that the Commission reject the OCA’s Exception No. 2.  Aqua R. Exc. at 10.  </w:t>
      </w:r>
    </w:p>
    <w:p w14:paraId="51D990D6" w14:textId="77777777" w:rsidR="00EA7856" w:rsidRDefault="00EA7856" w:rsidP="0012768D">
      <w:pPr>
        <w:widowControl/>
        <w:autoSpaceDE w:val="0"/>
        <w:autoSpaceDN w:val="0"/>
        <w:adjustRightInd w:val="0"/>
        <w:spacing w:line="360" w:lineRule="auto"/>
        <w:ind w:firstLine="1440"/>
        <w:contextualSpacing/>
        <w:rPr>
          <w:sz w:val="26"/>
          <w:szCs w:val="26"/>
          <w:lang w:val="en"/>
        </w:rPr>
      </w:pPr>
    </w:p>
    <w:p w14:paraId="22964BEB" w14:textId="77777777" w:rsidR="004C725F" w:rsidRPr="004C725F" w:rsidRDefault="004C725F" w:rsidP="0012768D">
      <w:pPr>
        <w:widowControl/>
        <w:autoSpaceDE w:val="0"/>
        <w:autoSpaceDN w:val="0"/>
        <w:adjustRightInd w:val="0"/>
        <w:spacing w:line="360" w:lineRule="auto"/>
        <w:ind w:firstLine="1440"/>
        <w:contextualSpacing/>
        <w:rPr>
          <w:b/>
          <w:sz w:val="26"/>
          <w:szCs w:val="26"/>
          <w:lang w:val="en"/>
        </w:rPr>
      </w:pPr>
      <w:r w:rsidRPr="004C725F">
        <w:rPr>
          <w:b/>
          <w:sz w:val="26"/>
          <w:szCs w:val="26"/>
          <w:lang w:val="en"/>
        </w:rPr>
        <w:tab/>
      </w:r>
      <w:r w:rsidRPr="004C725F">
        <w:rPr>
          <w:b/>
          <w:sz w:val="26"/>
          <w:szCs w:val="26"/>
          <w:lang w:val="en"/>
        </w:rPr>
        <w:tab/>
        <w:t>(</w:t>
      </w:r>
      <w:r w:rsidR="00BA2E9C">
        <w:rPr>
          <w:b/>
          <w:sz w:val="26"/>
          <w:szCs w:val="26"/>
          <w:lang w:val="en"/>
        </w:rPr>
        <w:t>iii</w:t>
      </w:r>
      <w:r w:rsidRPr="004C725F">
        <w:rPr>
          <w:b/>
          <w:sz w:val="26"/>
          <w:szCs w:val="26"/>
          <w:lang w:val="en"/>
        </w:rPr>
        <w:t>)</w:t>
      </w:r>
      <w:r w:rsidRPr="004C725F">
        <w:rPr>
          <w:b/>
          <w:sz w:val="26"/>
          <w:szCs w:val="26"/>
          <w:lang w:val="en"/>
        </w:rPr>
        <w:tab/>
        <w:t>Disposition</w:t>
      </w:r>
    </w:p>
    <w:p w14:paraId="7AEB389B" w14:textId="77777777" w:rsidR="004C725F" w:rsidRPr="002915C6" w:rsidRDefault="004C725F" w:rsidP="0012768D">
      <w:pPr>
        <w:widowControl/>
        <w:autoSpaceDE w:val="0"/>
        <w:autoSpaceDN w:val="0"/>
        <w:adjustRightInd w:val="0"/>
        <w:spacing w:line="360" w:lineRule="auto"/>
        <w:ind w:firstLine="1440"/>
        <w:contextualSpacing/>
        <w:rPr>
          <w:sz w:val="26"/>
          <w:szCs w:val="26"/>
          <w:lang w:val="en"/>
        </w:rPr>
      </w:pPr>
    </w:p>
    <w:p w14:paraId="2CE78207" w14:textId="77777777" w:rsidR="00EA7856" w:rsidRPr="002915C6" w:rsidRDefault="00EA7856" w:rsidP="0012768D">
      <w:pPr>
        <w:widowControl/>
        <w:autoSpaceDE w:val="0"/>
        <w:autoSpaceDN w:val="0"/>
        <w:adjustRightInd w:val="0"/>
        <w:spacing w:line="360" w:lineRule="auto"/>
        <w:ind w:firstLine="1440"/>
        <w:contextualSpacing/>
        <w:rPr>
          <w:sz w:val="26"/>
          <w:szCs w:val="26"/>
          <w:lang w:val="en"/>
        </w:rPr>
      </w:pPr>
      <w:r w:rsidRPr="002915C6">
        <w:rPr>
          <w:sz w:val="26"/>
          <w:szCs w:val="26"/>
          <w:lang w:val="en"/>
        </w:rPr>
        <w:t xml:space="preserve">Upon review, we will </w:t>
      </w:r>
      <w:r w:rsidR="00D66948">
        <w:rPr>
          <w:sz w:val="26"/>
          <w:szCs w:val="26"/>
          <w:lang w:val="en"/>
        </w:rPr>
        <w:t xml:space="preserve">deny </w:t>
      </w:r>
      <w:r w:rsidRPr="002915C6">
        <w:rPr>
          <w:sz w:val="26"/>
          <w:szCs w:val="26"/>
          <w:lang w:val="en"/>
        </w:rPr>
        <w:t>OCA</w:t>
      </w:r>
      <w:r w:rsidR="004C725F">
        <w:rPr>
          <w:sz w:val="26"/>
          <w:szCs w:val="26"/>
          <w:lang w:val="en"/>
        </w:rPr>
        <w:t>’s</w:t>
      </w:r>
      <w:r w:rsidRPr="002915C6">
        <w:rPr>
          <w:sz w:val="26"/>
          <w:szCs w:val="26"/>
          <w:lang w:val="en"/>
        </w:rPr>
        <w:t xml:space="preserve"> Exception No. 2.  </w:t>
      </w:r>
      <w:r w:rsidR="00146F94">
        <w:rPr>
          <w:sz w:val="26"/>
          <w:szCs w:val="26"/>
          <w:lang w:val="en"/>
        </w:rPr>
        <w:t>We agree with the ALJ’s finding that the calculation made by HRG should include an adder for future capital improvements.  In the assessment of the tangible assets conducted by the licensed engineers selected by Aqua and the Township, the engineers identified capital improvements planned by Limerick.  The ALJ correctly determined that it is reasonable to consider that</w:t>
      </w:r>
      <w:r w:rsidR="0046366B">
        <w:rPr>
          <w:sz w:val="26"/>
          <w:szCs w:val="26"/>
          <w:lang w:val="en"/>
        </w:rPr>
        <w:t>,</w:t>
      </w:r>
      <w:r w:rsidR="00146F94">
        <w:rPr>
          <w:sz w:val="26"/>
          <w:szCs w:val="26"/>
          <w:lang w:val="en"/>
        </w:rPr>
        <w:t xml:space="preserve"> if such improvements are not paid by Limerick, the</w:t>
      </w:r>
      <w:r w:rsidR="0046366B">
        <w:rPr>
          <w:sz w:val="26"/>
          <w:szCs w:val="26"/>
          <w:lang w:val="en"/>
        </w:rPr>
        <w:t xml:space="preserve"> </w:t>
      </w:r>
      <w:r w:rsidR="00146F94">
        <w:rPr>
          <w:sz w:val="26"/>
          <w:szCs w:val="26"/>
          <w:lang w:val="en"/>
        </w:rPr>
        <w:t xml:space="preserve">capital improvements </w:t>
      </w:r>
      <w:r w:rsidR="0046366B">
        <w:rPr>
          <w:sz w:val="26"/>
          <w:szCs w:val="26"/>
          <w:lang w:val="en"/>
        </w:rPr>
        <w:t>constitute</w:t>
      </w:r>
      <w:r w:rsidR="00146F94">
        <w:rPr>
          <w:sz w:val="26"/>
          <w:szCs w:val="26"/>
          <w:lang w:val="en"/>
        </w:rPr>
        <w:t xml:space="preserve"> a real cost to be borne by </w:t>
      </w:r>
      <w:r w:rsidR="0046366B">
        <w:rPr>
          <w:sz w:val="26"/>
          <w:szCs w:val="26"/>
          <w:lang w:val="en"/>
        </w:rPr>
        <w:t>an acquiring entity and may be considered part of the compensation</w:t>
      </w:r>
      <w:r w:rsidR="00D27970">
        <w:rPr>
          <w:sz w:val="26"/>
          <w:szCs w:val="26"/>
          <w:lang w:val="en"/>
        </w:rPr>
        <w:t xml:space="preserve"> under the market approach</w:t>
      </w:r>
      <w:r w:rsidR="0046366B">
        <w:rPr>
          <w:sz w:val="26"/>
          <w:szCs w:val="26"/>
          <w:lang w:val="en"/>
        </w:rPr>
        <w:t xml:space="preserve">.  </w:t>
      </w:r>
    </w:p>
    <w:p w14:paraId="487419CA" w14:textId="77777777" w:rsidR="00EA7856" w:rsidRPr="002915C6" w:rsidRDefault="00EA7856" w:rsidP="00BE5FF4">
      <w:pPr>
        <w:widowControl/>
        <w:spacing w:line="360" w:lineRule="auto"/>
        <w:ind w:firstLine="720"/>
        <w:contextualSpacing/>
        <w:rPr>
          <w:sz w:val="26"/>
          <w:szCs w:val="26"/>
          <w:lang w:val="en"/>
        </w:rPr>
      </w:pPr>
    </w:p>
    <w:p w14:paraId="290E2CA8" w14:textId="77777777" w:rsidR="00FB3A8E" w:rsidRPr="002915C6" w:rsidRDefault="00FB3A8E" w:rsidP="00BE5FF4">
      <w:pPr>
        <w:pStyle w:val="Heading2"/>
        <w:widowControl/>
        <w:rPr>
          <w:rFonts w:ascii="Times New Roman" w:hAnsi="Times New Roman" w:cs="Times New Roman"/>
          <w:bCs w:val="0"/>
          <w:color w:val="auto"/>
          <w:lang w:val="en"/>
        </w:rPr>
      </w:pPr>
      <w:bookmarkStart w:id="27" w:name="_Toc499121844"/>
      <w:r w:rsidRPr="002915C6">
        <w:rPr>
          <w:rFonts w:ascii="Times New Roman" w:hAnsi="Times New Roman" w:cs="Times New Roman"/>
          <w:bCs w:val="0"/>
          <w:color w:val="auto"/>
          <w:lang w:val="en"/>
        </w:rPr>
        <w:t>E.</w:t>
      </w:r>
      <w:r w:rsidRPr="002915C6">
        <w:rPr>
          <w:rFonts w:ascii="Times New Roman" w:hAnsi="Times New Roman" w:cs="Times New Roman"/>
          <w:bCs w:val="0"/>
          <w:color w:val="auto"/>
          <w:lang w:val="en"/>
        </w:rPr>
        <w:tab/>
        <w:t>Public Interest and Affirmative Public Benefits</w:t>
      </w:r>
      <w:bookmarkEnd w:id="27"/>
    </w:p>
    <w:p w14:paraId="1FD3ED71" w14:textId="77777777" w:rsidR="00FB3A8E" w:rsidRPr="002915C6" w:rsidRDefault="00FB3A8E" w:rsidP="00BE5FF4">
      <w:pPr>
        <w:keepNext/>
        <w:keepLines/>
        <w:widowControl/>
        <w:rPr>
          <w:sz w:val="26"/>
          <w:szCs w:val="26"/>
          <w:lang w:val="en"/>
        </w:rPr>
      </w:pPr>
    </w:p>
    <w:p w14:paraId="2048DBAC" w14:textId="77777777" w:rsidR="00FB3A8E" w:rsidRPr="00DE0816" w:rsidRDefault="00DE0816" w:rsidP="00BE5FF4">
      <w:pPr>
        <w:keepNext/>
        <w:keepLines/>
        <w:widowControl/>
        <w:ind w:left="720"/>
        <w:rPr>
          <w:b/>
          <w:sz w:val="26"/>
          <w:szCs w:val="26"/>
          <w:lang w:val="en"/>
        </w:rPr>
      </w:pPr>
      <w:r>
        <w:rPr>
          <w:b/>
          <w:sz w:val="26"/>
          <w:szCs w:val="26"/>
          <w:lang w:val="en"/>
        </w:rPr>
        <w:tab/>
        <w:t>1.</w:t>
      </w:r>
      <w:r>
        <w:rPr>
          <w:b/>
          <w:sz w:val="26"/>
          <w:szCs w:val="26"/>
          <w:lang w:val="en"/>
        </w:rPr>
        <w:tab/>
        <w:t>I&amp;E</w:t>
      </w:r>
      <w:r w:rsidR="00F61B7A" w:rsidRPr="00DE0816">
        <w:rPr>
          <w:b/>
          <w:sz w:val="26"/>
          <w:szCs w:val="26"/>
          <w:lang w:val="en"/>
        </w:rPr>
        <w:t xml:space="preserve">’s </w:t>
      </w:r>
      <w:r w:rsidR="000A0FF4" w:rsidRPr="00DE0816">
        <w:rPr>
          <w:b/>
          <w:sz w:val="26"/>
          <w:szCs w:val="26"/>
          <w:lang w:val="en"/>
        </w:rPr>
        <w:t xml:space="preserve">and OCA’s </w:t>
      </w:r>
      <w:r w:rsidR="00FB3A8E" w:rsidRPr="00DE0816">
        <w:rPr>
          <w:b/>
          <w:sz w:val="26"/>
          <w:szCs w:val="26"/>
          <w:lang w:val="en"/>
        </w:rPr>
        <w:t>Exceptions</w:t>
      </w:r>
    </w:p>
    <w:p w14:paraId="2620243C" w14:textId="77777777" w:rsidR="00FB3A8E" w:rsidRPr="002915C6" w:rsidRDefault="00FB3A8E" w:rsidP="00BE5FF4">
      <w:pPr>
        <w:keepNext/>
        <w:keepLines/>
        <w:widowControl/>
        <w:spacing w:line="360" w:lineRule="auto"/>
        <w:rPr>
          <w:b/>
          <w:sz w:val="26"/>
          <w:szCs w:val="26"/>
          <w:lang w:val="en"/>
        </w:rPr>
      </w:pPr>
    </w:p>
    <w:p w14:paraId="3A1AE7F7" w14:textId="194BEECA" w:rsidR="00FB3A8E" w:rsidRPr="002915C6" w:rsidRDefault="00FB3A8E" w:rsidP="00BE5FF4">
      <w:pPr>
        <w:widowControl/>
        <w:spacing w:line="360" w:lineRule="auto"/>
        <w:rPr>
          <w:sz w:val="26"/>
          <w:szCs w:val="26"/>
        </w:rPr>
      </w:pPr>
      <w:r w:rsidRPr="002915C6">
        <w:rPr>
          <w:b/>
          <w:sz w:val="26"/>
          <w:szCs w:val="26"/>
          <w:lang w:val="en"/>
        </w:rPr>
        <w:tab/>
      </w:r>
      <w:r w:rsidRPr="002915C6">
        <w:rPr>
          <w:b/>
          <w:sz w:val="26"/>
          <w:szCs w:val="26"/>
          <w:lang w:val="en"/>
        </w:rPr>
        <w:tab/>
      </w:r>
      <w:r w:rsidRPr="002915C6">
        <w:rPr>
          <w:sz w:val="26"/>
          <w:szCs w:val="26"/>
        </w:rPr>
        <w:t xml:space="preserve">I&amp;E argues that the ALJ erred by basing his decision solely on the Commission’s decision in </w:t>
      </w:r>
      <w:r w:rsidR="00627919" w:rsidRPr="002915C6">
        <w:rPr>
          <w:sz w:val="26"/>
          <w:szCs w:val="26"/>
        </w:rPr>
        <w:t xml:space="preserve">the </w:t>
      </w:r>
      <w:r w:rsidR="00627919" w:rsidRPr="002915C6">
        <w:rPr>
          <w:i/>
          <w:sz w:val="26"/>
          <w:szCs w:val="26"/>
        </w:rPr>
        <w:t>Aqua -</w:t>
      </w:r>
      <w:r w:rsidR="00627919" w:rsidRPr="002915C6">
        <w:rPr>
          <w:sz w:val="26"/>
          <w:szCs w:val="26"/>
        </w:rPr>
        <w:t xml:space="preserve"> </w:t>
      </w:r>
      <w:r w:rsidRPr="002915C6">
        <w:rPr>
          <w:i/>
          <w:sz w:val="26"/>
          <w:szCs w:val="26"/>
        </w:rPr>
        <w:t>New Garden</w:t>
      </w:r>
      <w:r w:rsidR="00627919" w:rsidRPr="002915C6">
        <w:rPr>
          <w:i/>
          <w:sz w:val="26"/>
          <w:szCs w:val="26"/>
        </w:rPr>
        <w:t xml:space="preserve"> Order</w:t>
      </w:r>
      <w:r w:rsidRPr="002915C6">
        <w:rPr>
          <w:sz w:val="26"/>
          <w:szCs w:val="26"/>
        </w:rPr>
        <w:t xml:space="preserve">.  According to I&amp;E, </w:t>
      </w:r>
      <w:proofErr w:type="spellStart"/>
      <w:r w:rsidRPr="002915C6">
        <w:rPr>
          <w:sz w:val="26"/>
          <w:szCs w:val="26"/>
        </w:rPr>
        <w:t>Aqua’s</w:t>
      </w:r>
      <w:proofErr w:type="spellEnd"/>
      <w:r w:rsidRPr="002915C6">
        <w:rPr>
          <w:sz w:val="26"/>
          <w:szCs w:val="26"/>
        </w:rPr>
        <w:t xml:space="preserve"> Application failed to identify any affirmative benefits for existing customers.  I&amp;E outlines the detriments in which </w:t>
      </w:r>
      <w:proofErr w:type="spellStart"/>
      <w:r w:rsidRPr="002915C6">
        <w:rPr>
          <w:sz w:val="26"/>
          <w:szCs w:val="26"/>
        </w:rPr>
        <w:t>Aqua’s</w:t>
      </w:r>
      <w:proofErr w:type="spellEnd"/>
      <w:r w:rsidRPr="002915C6">
        <w:rPr>
          <w:sz w:val="26"/>
          <w:szCs w:val="26"/>
        </w:rPr>
        <w:t xml:space="preserve"> existing ratepayers will be required to subsidize the Limerick customers and that Limerick’s customers will be expected to pay substantially higher rates after the 3-year rate freeze.  I&amp;E asserts that Limerick is not a system that needs to be acquired to prevent it from facing financial hardship.  The OCA argues that the ALJ compared </w:t>
      </w:r>
      <w:proofErr w:type="spellStart"/>
      <w:r w:rsidRPr="002915C6">
        <w:rPr>
          <w:sz w:val="26"/>
          <w:szCs w:val="26"/>
        </w:rPr>
        <w:t>Aqua’s</w:t>
      </w:r>
      <w:proofErr w:type="spellEnd"/>
      <w:r w:rsidRPr="002915C6">
        <w:rPr>
          <w:sz w:val="26"/>
          <w:szCs w:val="26"/>
        </w:rPr>
        <w:t xml:space="preserve"> acquisition of the Limerick system to the New Garden acquisition rather than reviewing Limerick on a stand-alone basis.  The OCA contends, in part, that the ALJ did not consider the substantial harm to customers and improperly concluded that long-term cost sharing and lack of adverse impact on management and operations equate to affirmative public benefits</w:t>
      </w:r>
      <w:r w:rsidR="00627919" w:rsidRPr="002915C6">
        <w:rPr>
          <w:sz w:val="26"/>
          <w:szCs w:val="26"/>
        </w:rPr>
        <w:t>.  I</w:t>
      </w:r>
      <w:r w:rsidR="00BB6AC0">
        <w:rPr>
          <w:sz w:val="26"/>
          <w:szCs w:val="26"/>
        </w:rPr>
        <w:t>&amp;</w:t>
      </w:r>
      <w:r w:rsidR="00627919" w:rsidRPr="002915C6">
        <w:rPr>
          <w:sz w:val="26"/>
          <w:szCs w:val="26"/>
        </w:rPr>
        <w:t>E Exc. at 3-8; OCA Exc. at 18-21.</w:t>
      </w:r>
    </w:p>
    <w:p w14:paraId="3541C43A" w14:textId="77777777" w:rsidR="00627919" w:rsidRDefault="00627919" w:rsidP="00BE5FF4">
      <w:pPr>
        <w:widowControl/>
        <w:spacing w:line="360" w:lineRule="auto"/>
        <w:rPr>
          <w:sz w:val="26"/>
          <w:szCs w:val="26"/>
        </w:rPr>
      </w:pPr>
    </w:p>
    <w:p w14:paraId="3711A236" w14:textId="77777777" w:rsidR="00F61B7A" w:rsidRPr="00F61B7A" w:rsidRDefault="00F61B7A" w:rsidP="0012768D">
      <w:pPr>
        <w:widowControl/>
        <w:spacing w:line="360" w:lineRule="auto"/>
        <w:rPr>
          <w:b/>
          <w:sz w:val="26"/>
          <w:szCs w:val="26"/>
        </w:rPr>
      </w:pPr>
      <w:r w:rsidRPr="00F61B7A">
        <w:rPr>
          <w:b/>
          <w:sz w:val="26"/>
          <w:szCs w:val="26"/>
        </w:rPr>
        <w:tab/>
      </w:r>
      <w:r w:rsidR="00DE0816">
        <w:rPr>
          <w:b/>
          <w:sz w:val="26"/>
          <w:szCs w:val="26"/>
        </w:rPr>
        <w:tab/>
      </w:r>
      <w:r w:rsidRPr="00F61B7A">
        <w:rPr>
          <w:b/>
          <w:sz w:val="26"/>
          <w:szCs w:val="26"/>
        </w:rPr>
        <w:t>2.</w:t>
      </w:r>
      <w:r w:rsidRPr="00F61B7A">
        <w:rPr>
          <w:b/>
          <w:sz w:val="26"/>
          <w:szCs w:val="26"/>
        </w:rPr>
        <w:tab/>
      </w:r>
      <w:proofErr w:type="spellStart"/>
      <w:r w:rsidRPr="00F61B7A">
        <w:rPr>
          <w:b/>
          <w:sz w:val="26"/>
          <w:szCs w:val="26"/>
        </w:rPr>
        <w:t>Aqua’s</w:t>
      </w:r>
      <w:proofErr w:type="spellEnd"/>
      <w:r w:rsidRPr="00F61B7A">
        <w:rPr>
          <w:b/>
          <w:sz w:val="26"/>
          <w:szCs w:val="26"/>
        </w:rPr>
        <w:t xml:space="preserve"> Replies to I&amp;E’s </w:t>
      </w:r>
      <w:r w:rsidR="000A0FF4">
        <w:rPr>
          <w:b/>
          <w:sz w:val="26"/>
          <w:szCs w:val="26"/>
        </w:rPr>
        <w:t xml:space="preserve">and OCA’s </w:t>
      </w:r>
      <w:r w:rsidRPr="00F61B7A">
        <w:rPr>
          <w:b/>
          <w:sz w:val="26"/>
          <w:szCs w:val="26"/>
        </w:rPr>
        <w:t>Exceptions</w:t>
      </w:r>
    </w:p>
    <w:p w14:paraId="3A88D3D9" w14:textId="77777777" w:rsidR="00F61B7A" w:rsidRPr="002915C6" w:rsidRDefault="00F61B7A" w:rsidP="0012768D">
      <w:pPr>
        <w:widowControl/>
        <w:spacing w:line="360" w:lineRule="auto"/>
        <w:rPr>
          <w:sz w:val="26"/>
          <w:szCs w:val="26"/>
        </w:rPr>
      </w:pPr>
    </w:p>
    <w:p w14:paraId="2E340AB1" w14:textId="77777777" w:rsidR="00627919" w:rsidRPr="002915C6" w:rsidRDefault="00627919" w:rsidP="00BE5FF4">
      <w:pPr>
        <w:widowControl/>
        <w:spacing w:line="360" w:lineRule="auto"/>
        <w:rPr>
          <w:sz w:val="26"/>
          <w:szCs w:val="26"/>
        </w:rPr>
      </w:pPr>
      <w:r w:rsidRPr="002915C6">
        <w:rPr>
          <w:sz w:val="26"/>
          <w:szCs w:val="26"/>
        </w:rPr>
        <w:tab/>
      </w:r>
      <w:r w:rsidRPr="002915C6">
        <w:rPr>
          <w:sz w:val="26"/>
          <w:szCs w:val="26"/>
        </w:rPr>
        <w:tab/>
        <w:t xml:space="preserve">In response, Aqua outlines its asserted public benefits and proffers that there is no basis to contend that the ALJ erred.  The Company argues that even with the required ratemaking rate base determination, Aqua is not proposing any change to existing rates of either Limerick customers or </w:t>
      </w:r>
      <w:proofErr w:type="spellStart"/>
      <w:r w:rsidRPr="002915C6">
        <w:rPr>
          <w:sz w:val="26"/>
          <w:szCs w:val="26"/>
        </w:rPr>
        <w:t>Aqua’s</w:t>
      </w:r>
      <w:proofErr w:type="spellEnd"/>
      <w:r w:rsidRPr="002915C6">
        <w:rPr>
          <w:sz w:val="26"/>
          <w:szCs w:val="26"/>
        </w:rPr>
        <w:t xml:space="preserve"> existing customers.  Rather, any potential rate effects are reserved for a future rate proceeding.  Aqua </w:t>
      </w:r>
      <w:r w:rsidR="00476C61">
        <w:rPr>
          <w:sz w:val="26"/>
          <w:szCs w:val="26"/>
        </w:rPr>
        <w:t>contends</w:t>
      </w:r>
      <w:r w:rsidRPr="002915C6">
        <w:rPr>
          <w:sz w:val="26"/>
          <w:szCs w:val="26"/>
        </w:rPr>
        <w:t xml:space="preserve"> that I&amp;E’s </w:t>
      </w:r>
      <w:r w:rsidR="000A0FF4">
        <w:rPr>
          <w:sz w:val="26"/>
          <w:szCs w:val="26"/>
        </w:rPr>
        <w:t>opinion</w:t>
      </w:r>
      <w:r w:rsidR="00476C61">
        <w:rPr>
          <w:sz w:val="26"/>
          <w:szCs w:val="26"/>
        </w:rPr>
        <w:t xml:space="preserve"> </w:t>
      </w:r>
      <w:r w:rsidRPr="002915C6">
        <w:rPr>
          <w:sz w:val="26"/>
          <w:szCs w:val="26"/>
        </w:rPr>
        <w:t xml:space="preserve">that Section 1329 is limited to financially troubled systems has no statutory support.  Aqua R. Exc. at 13-15.  </w:t>
      </w:r>
    </w:p>
    <w:p w14:paraId="1D8B007E" w14:textId="77777777" w:rsidR="00627919" w:rsidRDefault="00627919" w:rsidP="0012768D">
      <w:pPr>
        <w:widowControl/>
        <w:spacing w:line="360" w:lineRule="auto"/>
        <w:rPr>
          <w:sz w:val="26"/>
          <w:szCs w:val="26"/>
        </w:rPr>
      </w:pPr>
    </w:p>
    <w:p w14:paraId="789EB398" w14:textId="77777777" w:rsidR="00476C61" w:rsidRPr="00476C61" w:rsidRDefault="00476C61" w:rsidP="00476C61">
      <w:pPr>
        <w:keepNext/>
        <w:keepLines/>
        <w:widowControl/>
        <w:spacing w:line="360" w:lineRule="auto"/>
        <w:rPr>
          <w:b/>
          <w:sz w:val="26"/>
          <w:szCs w:val="26"/>
        </w:rPr>
      </w:pPr>
      <w:r w:rsidRPr="00476C61">
        <w:rPr>
          <w:b/>
          <w:sz w:val="26"/>
          <w:szCs w:val="26"/>
        </w:rPr>
        <w:tab/>
      </w:r>
      <w:r w:rsidR="00DE0816">
        <w:rPr>
          <w:b/>
          <w:sz w:val="26"/>
          <w:szCs w:val="26"/>
        </w:rPr>
        <w:tab/>
      </w:r>
      <w:r w:rsidRPr="00476C61">
        <w:rPr>
          <w:b/>
          <w:sz w:val="26"/>
          <w:szCs w:val="26"/>
        </w:rPr>
        <w:t>3.</w:t>
      </w:r>
      <w:r w:rsidRPr="00476C61">
        <w:rPr>
          <w:b/>
          <w:sz w:val="26"/>
          <w:szCs w:val="26"/>
        </w:rPr>
        <w:tab/>
        <w:t>Disposition</w:t>
      </w:r>
    </w:p>
    <w:p w14:paraId="7B5CB58B" w14:textId="77777777" w:rsidR="00476C61" w:rsidRPr="002915C6" w:rsidRDefault="00476C61" w:rsidP="00BE5FF4">
      <w:pPr>
        <w:keepNext/>
        <w:keepLines/>
        <w:widowControl/>
        <w:spacing w:line="360" w:lineRule="auto"/>
        <w:rPr>
          <w:sz w:val="26"/>
          <w:szCs w:val="26"/>
        </w:rPr>
      </w:pPr>
    </w:p>
    <w:p w14:paraId="2EAD81EB" w14:textId="77777777" w:rsidR="00627919" w:rsidRPr="00BE5FF4" w:rsidRDefault="00627919" w:rsidP="00BE5FF4">
      <w:pPr>
        <w:widowControl/>
        <w:spacing w:line="360" w:lineRule="auto"/>
        <w:rPr>
          <w:sz w:val="26"/>
        </w:rPr>
      </w:pPr>
      <w:r w:rsidRPr="002915C6">
        <w:rPr>
          <w:sz w:val="26"/>
          <w:szCs w:val="26"/>
        </w:rPr>
        <w:tab/>
      </w:r>
      <w:r w:rsidRPr="002915C6">
        <w:rPr>
          <w:sz w:val="26"/>
          <w:szCs w:val="26"/>
        </w:rPr>
        <w:tab/>
        <w:t>Upon review, we shall deny th</w:t>
      </w:r>
      <w:r w:rsidR="00C56235" w:rsidRPr="002915C6">
        <w:rPr>
          <w:sz w:val="26"/>
          <w:szCs w:val="26"/>
        </w:rPr>
        <w:t xml:space="preserve">e Exceptions of I&amp;E and the OCA.  </w:t>
      </w:r>
      <w:r w:rsidRPr="002915C6">
        <w:rPr>
          <w:sz w:val="26"/>
          <w:szCs w:val="26"/>
        </w:rPr>
        <w:t xml:space="preserve">Although the ALJ considered our guidance in the </w:t>
      </w:r>
      <w:r w:rsidRPr="002915C6">
        <w:rPr>
          <w:i/>
          <w:sz w:val="26"/>
          <w:szCs w:val="26"/>
        </w:rPr>
        <w:t>Aqua – New Garden Order</w:t>
      </w:r>
      <w:r w:rsidRPr="002915C6">
        <w:rPr>
          <w:sz w:val="26"/>
          <w:szCs w:val="26"/>
        </w:rPr>
        <w:t xml:space="preserve">, the ALJ </w:t>
      </w:r>
      <w:r w:rsidR="00C56235" w:rsidRPr="002915C6">
        <w:rPr>
          <w:sz w:val="26"/>
          <w:szCs w:val="26"/>
        </w:rPr>
        <w:t>independently</w:t>
      </w:r>
      <w:r w:rsidRPr="002915C6">
        <w:rPr>
          <w:sz w:val="26"/>
          <w:szCs w:val="26"/>
        </w:rPr>
        <w:t xml:space="preserve"> evaluated the record in this proceeding</w:t>
      </w:r>
      <w:r w:rsidR="00C56235" w:rsidRPr="002915C6">
        <w:rPr>
          <w:sz w:val="26"/>
          <w:szCs w:val="26"/>
        </w:rPr>
        <w:t xml:space="preserve"> and determined that the Company established that the transaction is in the public interest and that the public at large, including </w:t>
      </w:r>
      <w:proofErr w:type="spellStart"/>
      <w:r w:rsidR="00C56235" w:rsidRPr="002915C6">
        <w:rPr>
          <w:sz w:val="26"/>
          <w:szCs w:val="26"/>
        </w:rPr>
        <w:t>Aqua’s</w:t>
      </w:r>
      <w:proofErr w:type="spellEnd"/>
      <w:r w:rsidR="00C56235" w:rsidRPr="002915C6">
        <w:rPr>
          <w:sz w:val="26"/>
          <w:szCs w:val="26"/>
        </w:rPr>
        <w:t xml:space="preserve"> existing customers, will realize affirmative public benefits for purposes of the Application.  We agree that the affirmative public benefits shown by the Company and the additional condition</w:t>
      </w:r>
      <w:r w:rsidR="00404020" w:rsidRPr="002915C6">
        <w:rPr>
          <w:sz w:val="26"/>
          <w:szCs w:val="26"/>
        </w:rPr>
        <w:t>s</w:t>
      </w:r>
      <w:r w:rsidR="00C56235" w:rsidRPr="002915C6">
        <w:rPr>
          <w:sz w:val="26"/>
          <w:szCs w:val="26"/>
        </w:rPr>
        <w:t xml:space="preserve"> outlined in the Recommended Decision – requiring a cost of service study in the next rate case</w:t>
      </w:r>
      <w:r w:rsidR="00404020" w:rsidRPr="002915C6">
        <w:rPr>
          <w:sz w:val="26"/>
          <w:szCs w:val="26"/>
        </w:rPr>
        <w:t xml:space="preserve"> and mandating that </w:t>
      </w:r>
      <w:proofErr w:type="spellStart"/>
      <w:r w:rsidR="00404020" w:rsidRPr="002915C6">
        <w:rPr>
          <w:sz w:val="26"/>
          <w:szCs w:val="26"/>
        </w:rPr>
        <w:t>Aqua’s</w:t>
      </w:r>
      <w:proofErr w:type="spellEnd"/>
      <w:r w:rsidR="00404020" w:rsidRPr="002915C6">
        <w:rPr>
          <w:sz w:val="26"/>
          <w:szCs w:val="26"/>
        </w:rPr>
        <w:t xml:space="preserve"> shareholders bear the risk of any shortfall between revenue from Limerick’s customers and the cost of providing service – will assure that the public interest obligations under the Code are satisfied and that the Application will result in</w:t>
      </w:r>
      <w:r w:rsidR="00476C61">
        <w:rPr>
          <w:sz w:val="26"/>
          <w:szCs w:val="26"/>
        </w:rPr>
        <w:t xml:space="preserve"> affirmative public benefits.</w:t>
      </w:r>
    </w:p>
    <w:p w14:paraId="515DE7EA" w14:textId="77777777" w:rsidR="00476C61" w:rsidRPr="002915C6" w:rsidRDefault="00476C61" w:rsidP="0012768D">
      <w:pPr>
        <w:widowControl/>
        <w:spacing w:line="360" w:lineRule="auto"/>
        <w:rPr>
          <w:b/>
          <w:sz w:val="26"/>
          <w:szCs w:val="26"/>
          <w:lang w:val="en"/>
        </w:rPr>
      </w:pPr>
    </w:p>
    <w:p w14:paraId="1A96EA28" w14:textId="77777777" w:rsidR="000B0523" w:rsidRDefault="00FB3A8E" w:rsidP="00BE5FF4">
      <w:pPr>
        <w:pStyle w:val="Heading2"/>
        <w:widowControl/>
        <w:spacing w:line="360" w:lineRule="auto"/>
        <w:rPr>
          <w:rFonts w:ascii="Times New Roman" w:hAnsi="Times New Roman" w:cs="Times New Roman"/>
          <w:bCs w:val="0"/>
          <w:color w:val="auto"/>
          <w:lang w:val="en"/>
        </w:rPr>
      </w:pPr>
      <w:bookmarkStart w:id="28" w:name="_Toc499121845"/>
      <w:r w:rsidRPr="002915C6">
        <w:rPr>
          <w:rFonts w:ascii="Times New Roman" w:hAnsi="Times New Roman" w:cs="Times New Roman"/>
          <w:bCs w:val="0"/>
          <w:color w:val="auto"/>
          <w:lang w:val="en"/>
        </w:rPr>
        <w:t>F.</w:t>
      </w:r>
      <w:r w:rsidR="00EA7856" w:rsidRPr="002915C6">
        <w:rPr>
          <w:rFonts w:ascii="Times New Roman" w:hAnsi="Times New Roman" w:cs="Times New Roman"/>
          <w:bCs w:val="0"/>
          <w:color w:val="auto"/>
          <w:lang w:val="en"/>
        </w:rPr>
        <w:tab/>
      </w:r>
      <w:r w:rsidR="000B0523">
        <w:rPr>
          <w:rFonts w:ascii="Times New Roman" w:hAnsi="Times New Roman" w:cs="Times New Roman"/>
          <w:bCs w:val="0"/>
          <w:color w:val="auto"/>
          <w:lang w:val="en"/>
        </w:rPr>
        <w:t>Imposition of 6-Month Statute of Limitations</w:t>
      </w:r>
      <w:bookmarkEnd w:id="28"/>
    </w:p>
    <w:p w14:paraId="2AA1B475" w14:textId="77777777" w:rsidR="000B0523" w:rsidRPr="000B0523" w:rsidRDefault="000B0523" w:rsidP="00210739">
      <w:pPr>
        <w:keepNext/>
        <w:keepLines/>
        <w:widowControl/>
        <w:spacing w:line="360" w:lineRule="auto"/>
        <w:rPr>
          <w:sz w:val="26"/>
          <w:szCs w:val="26"/>
          <w:lang w:val="en"/>
        </w:rPr>
      </w:pPr>
    </w:p>
    <w:p w14:paraId="1894C1A0" w14:textId="77777777" w:rsidR="000B0523" w:rsidRDefault="000B0523" w:rsidP="00210739">
      <w:pPr>
        <w:keepNext/>
        <w:keepLines/>
        <w:widowControl/>
        <w:spacing w:line="360" w:lineRule="auto"/>
        <w:rPr>
          <w:b/>
          <w:bCs/>
          <w:sz w:val="26"/>
          <w:szCs w:val="26"/>
          <w:lang w:val="en"/>
        </w:rPr>
      </w:pPr>
      <w:r>
        <w:rPr>
          <w:bCs/>
          <w:sz w:val="26"/>
          <w:szCs w:val="26"/>
          <w:lang w:val="en"/>
        </w:rPr>
        <w:tab/>
      </w:r>
      <w:r>
        <w:rPr>
          <w:bCs/>
          <w:sz w:val="26"/>
          <w:szCs w:val="26"/>
          <w:lang w:val="en"/>
        </w:rPr>
        <w:tab/>
      </w:r>
      <w:r w:rsidR="008D5E8A" w:rsidRPr="008D5E8A">
        <w:rPr>
          <w:b/>
          <w:bCs/>
          <w:sz w:val="26"/>
          <w:szCs w:val="26"/>
          <w:lang w:val="en"/>
        </w:rPr>
        <w:t>1</w:t>
      </w:r>
      <w:r w:rsidRPr="008D5E8A">
        <w:rPr>
          <w:b/>
          <w:bCs/>
          <w:sz w:val="26"/>
          <w:szCs w:val="26"/>
          <w:lang w:val="en"/>
        </w:rPr>
        <w:t>.</w:t>
      </w:r>
      <w:r w:rsidRPr="008D5E8A">
        <w:rPr>
          <w:b/>
          <w:bCs/>
          <w:sz w:val="26"/>
          <w:szCs w:val="26"/>
          <w:lang w:val="en"/>
        </w:rPr>
        <w:tab/>
      </w:r>
      <w:r w:rsidR="00DE0816">
        <w:rPr>
          <w:b/>
          <w:bCs/>
          <w:sz w:val="26"/>
          <w:szCs w:val="26"/>
          <w:lang w:val="en"/>
        </w:rPr>
        <w:t xml:space="preserve">OCA’s </w:t>
      </w:r>
      <w:r w:rsidRPr="008D5E8A">
        <w:rPr>
          <w:b/>
          <w:bCs/>
          <w:sz w:val="26"/>
          <w:szCs w:val="26"/>
          <w:lang w:val="en"/>
        </w:rPr>
        <w:t>E</w:t>
      </w:r>
      <w:r w:rsidRPr="00187E39">
        <w:rPr>
          <w:b/>
          <w:bCs/>
          <w:sz w:val="26"/>
          <w:szCs w:val="26"/>
          <w:lang w:val="en"/>
        </w:rPr>
        <w:t>xception</w:t>
      </w:r>
      <w:r w:rsidR="00DE0816">
        <w:rPr>
          <w:b/>
          <w:bCs/>
          <w:sz w:val="26"/>
          <w:szCs w:val="26"/>
          <w:lang w:val="en"/>
        </w:rPr>
        <w:t>s</w:t>
      </w:r>
    </w:p>
    <w:p w14:paraId="1DD4D7CA" w14:textId="77777777" w:rsidR="00DE0816" w:rsidRPr="00BE5FF4" w:rsidRDefault="00DE0816" w:rsidP="00BE5FF4">
      <w:pPr>
        <w:keepNext/>
        <w:keepLines/>
        <w:widowControl/>
        <w:spacing w:line="360" w:lineRule="auto"/>
        <w:rPr>
          <w:b/>
          <w:sz w:val="26"/>
          <w:lang w:val="en"/>
        </w:rPr>
      </w:pPr>
    </w:p>
    <w:p w14:paraId="096730DC" w14:textId="77777777" w:rsidR="000B0523" w:rsidRDefault="000B0523" w:rsidP="00BE5FF4">
      <w:pPr>
        <w:widowControl/>
        <w:spacing w:line="360" w:lineRule="auto"/>
        <w:rPr>
          <w:sz w:val="26"/>
          <w:szCs w:val="26"/>
          <w:lang w:val="en"/>
        </w:rPr>
      </w:pPr>
      <w:r>
        <w:rPr>
          <w:lang w:val="en"/>
        </w:rPr>
        <w:tab/>
      </w:r>
      <w:r>
        <w:rPr>
          <w:lang w:val="en"/>
        </w:rPr>
        <w:tab/>
      </w:r>
      <w:r>
        <w:rPr>
          <w:sz w:val="26"/>
          <w:szCs w:val="26"/>
          <w:lang w:val="en"/>
        </w:rPr>
        <w:t>During the proceeding, the OCA argued that although Section 1329(d) of the Code establishes a six-month deadline for the Section 1329 determination</w:t>
      </w:r>
      <w:r w:rsidR="00474E5C">
        <w:rPr>
          <w:sz w:val="26"/>
          <w:szCs w:val="26"/>
          <w:lang w:val="en"/>
        </w:rPr>
        <w:t>,</w:t>
      </w:r>
      <w:r w:rsidR="00210739">
        <w:rPr>
          <w:sz w:val="26"/>
          <w:szCs w:val="26"/>
          <w:lang w:val="en"/>
        </w:rPr>
        <w:t xml:space="preserve"> </w:t>
      </w:r>
      <w:r>
        <w:rPr>
          <w:sz w:val="26"/>
          <w:szCs w:val="26"/>
          <w:lang w:val="en"/>
        </w:rPr>
        <w:t>there is no similar six-month deadline for the Section 1102 determination</w:t>
      </w:r>
      <w:r w:rsidR="00187AB9">
        <w:rPr>
          <w:sz w:val="26"/>
          <w:szCs w:val="26"/>
          <w:lang w:val="en"/>
        </w:rPr>
        <w:t xml:space="preserve"> pertaining to the application for a certificate of public convenience.  The ALJ </w:t>
      </w:r>
      <w:r w:rsidR="00474E5C">
        <w:rPr>
          <w:sz w:val="26"/>
          <w:szCs w:val="26"/>
          <w:lang w:val="en"/>
        </w:rPr>
        <w:t xml:space="preserve">indicated </w:t>
      </w:r>
      <w:r w:rsidR="00187AB9">
        <w:rPr>
          <w:sz w:val="26"/>
          <w:szCs w:val="26"/>
          <w:lang w:val="en"/>
        </w:rPr>
        <w:t>that the Commission had already decided this issue in the Aqua – New Garden proceeding in ruling on I&amp;E’s Petition for Interlocutory Review and Answer to a Material Question.</w:t>
      </w:r>
      <w:r w:rsidR="00187AB9">
        <w:rPr>
          <w:rStyle w:val="FootnoteReference"/>
          <w:sz w:val="26"/>
          <w:szCs w:val="26"/>
          <w:lang w:val="en"/>
        </w:rPr>
        <w:footnoteReference w:id="25"/>
      </w:r>
      <w:r w:rsidR="00187AB9">
        <w:rPr>
          <w:sz w:val="26"/>
          <w:szCs w:val="26"/>
          <w:lang w:val="en"/>
        </w:rPr>
        <w:t xml:space="preserve"> </w:t>
      </w:r>
      <w:r w:rsidR="00474E5C">
        <w:rPr>
          <w:sz w:val="26"/>
          <w:szCs w:val="26"/>
          <w:lang w:val="en"/>
        </w:rPr>
        <w:t>Thus, consistent with the Commission’s prior determination, t</w:t>
      </w:r>
      <w:r w:rsidR="007D7FF0">
        <w:rPr>
          <w:sz w:val="26"/>
          <w:szCs w:val="26"/>
          <w:lang w:val="en"/>
        </w:rPr>
        <w:t>he ALJ concluded that where the acquiring entity is a certificated public utility, there will be no bifurcation and a decision on the Application must be issued within the statutory si</w:t>
      </w:r>
      <w:r w:rsidR="00512522">
        <w:rPr>
          <w:sz w:val="26"/>
          <w:szCs w:val="26"/>
          <w:lang w:val="en"/>
        </w:rPr>
        <w:t>x-month deadline.  R.D.</w:t>
      </w:r>
      <w:r w:rsidR="009552EB">
        <w:rPr>
          <w:sz w:val="26"/>
          <w:szCs w:val="26"/>
          <w:lang w:val="en"/>
        </w:rPr>
        <w:t> </w:t>
      </w:r>
      <w:r w:rsidR="00512522">
        <w:rPr>
          <w:sz w:val="26"/>
          <w:szCs w:val="26"/>
          <w:lang w:val="en"/>
        </w:rPr>
        <w:t>at 48.</w:t>
      </w:r>
    </w:p>
    <w:p w14:paraId="56CA1E8B" w14:textId="77777777" w:rsidR="007D7FF0" w:rsidRDefault="007D7FF0" w:rsidP="00BE5FF4">
      <w:pPr>
        <w:widowControl/>
        <w:spacing w:line="360" w:lineRule="auto"/>
        <w:rPr>
          <w:sz w:val="26"/>
          <w:szCs w:val="26"/>
          <w:lang w:val="en"/>
        </w:rPr>
      </w:pPr>
    </w:p>
    <w:p w14:paraId="2302A44C" w14:textId="37C63B6A" w:rsidR="007D7FF0" w:rsidRDefault="007D7FF0" w:rsidP="00BE5FF4">
      <w:pPr>
        <w:widowControl/>
        <w:spacing w:line="360" w:lineRule="auto"/>
        <w:rPr>
          <w:sz w:val="26"/>
          <w:szCs w:val="26"/>
        </w:rPr>
      </w:pPr>
      <w:r>
        <w:rPr>
          <w:sz w:val="26"/>
          <w:szCs w:val="26"/>
          <w:lang w:val="en"/>
        </w:rPr>
        <w:tab/>
      </w:r>
      <w:r>
        <w:rPr>
          <w:sz w:val="26"/>
          <w:szCs w:val="26"/>
          <w:lang w:val="en"/>
        </w:rPr>
        <w:tab/>
        <w:t xml:space="preserve">In its Exception No. 6, the OCA contends that </w:t>
      </w:r>
      <w:r w:rsidRPr="007D7FF0">
        <w:rPr>
          <w:sz w:val="26"/>
          <w:szCs w:val="26"/>
        </w:rPr>
        <w:t>under the Rules of Statutory Construction,</w:t>
      </w:r>
      <w:r>
        <w:rPr>
          <w:sz w:val="26"/>
          <w:szCs w:val="26"/>
        </w:rPr>
        <w:t xml:space="preserve"> the six</w:t>
      </w:r>
      <w:r w:rsidRPr="007D7FF0">
        <w:rPr>
          <w:sz w:val="26"/>
          <w:szCs w:val="26"/>
        </w:rPr>
        <w:t>-month deadline applies only to the Section 1329 determination and that no language in the statute supports a finding that the deadline applies to a Sec</w:t>
      </w:r>
      <w:r>
        <w:rPr>
          <w:sz w:val="26"/>
          <w:szCs w:val="26"/>
        </w:rPr>
        <w:t>tion</w:t>
      </w:r>
      <w:r w:rsidR="009E6EC8">
        <w:rPr>
          <w:sz w:val="26"/>
          <w:szCs w:val="26"/>
        </w:rPr>
        <w:t> </w:t>
      </w:r>
      <w:r>
        <w:rPr>
          <w:sz w:val="26"/>
          <w:szCs w:val="26"/>
        </w:rPr>
        <w:t xml:space="preserve">1102 determination.  The OCA also asserts that </w:t>
      </w:r>
      <w:r w:rsidRPr="007D7FF0">
        <w:rPr>
          <w:sz w:val="26"/>
          <w:szCs w:val="26"/>
        </w:rPr>
        <w:t>applying the deadline to a Section</w:t>
      </w:r>
      <w:r w:rsidR="00240D92">
        <w:rPr>
          <w:sz w:val="26"/>
          <w:szCs w:val="26"/>
        </w:rPr>
        <w:t> </w:t>
      </w:r>
      <w:r w:rsidRPr="007D7FF0">
        <w:rPr>
          <w:sz w:val="26"/>
          <w:szCs w:val="26"/>
        </w:rPr>
        <w:t xml:space="preserve">1102 determination restricts the Commission from conducting a full and meaningful review of the record to perform the public interest analysis.  </w:t>
      </w:r>
      <w:r>
        <w:rPr>
          <w:sz w:val="26"/>
          <w:szCs w:val="26"/>
        </w:rPr>
        <w:t>According to the OCA, t</w:t>
      </w:r>
      <w:r w:rsidRPr="007D7FF0">
        <w:rPr>
          <w:sz w:val="26"/>
          <w:szCs w:val="26"/>
        </w:rPr>
        <w:t>he Commission should find that no deadline restricts the time in which the Commission may make Section 1102 determinations.</w:t>
      </w:r>
      <w:r>
        <w:rPr>
          <w:sz w:val="26"/>
          <w:szCs w:val="26"/>
        </w:rPr>
        <w:t xml:space="preserve">  OCA Exc. at 21-23.</w:t>
      </w:r>
    </w:p>
    <w:p w14:paraId="3765BD5E" w14:textId="77777777" w:rsidR="007D7FF0" w:rsidRDefault="007D7FF0" w:rsidP="00BE5FF4">
      <w:pPr>
        <w:widowControl/>
        <w:spacing w:line="360" w:lineRule="auto"/>
        <w:rPr>
          <w:sz w:val="26"/>
          <w:szCs w:val="26"/>
        </w:rPr>
      </w:pPr>
    </w:p>
    <w:p w14:paraId="551E9D1C" w14:textId="77777777" w:rsidR="006B6A02" w:rsidRPr="008D0468" w:rsidRDefault="006B6A02" w:rsidP="00240D92">
      <w:pPr>
        <w:keepNext/>
        <w:keepLines/>
        <w:widowControl/>
        <w:spacing w:line="360" w:lineRule="auto"/>
        <w:rPr>
          <w:b/>
          <w:sz w:val="26"/>
          <w:szCs w:val="26"/>
        </w:rPr>
      </w:pPr>
      <w:r w:rsidRPr="008D0468">
        <w:rPr>
          <w:b/>
          <w:sz w:val="26"/>
          <w:szCs w:val="26"/>
        </w:rPr>
        <w:tab/>
      </w:r>
      <w:r w:rsidRPr="008D0468">
        <w:rPr>
          <w:b/>
          <w:sz w:val="26"/>
          <w:szCs w:val="26"/>
        </w:rPr>
        <w:tab/>
        <w:t>2.</w:t>
      </w:r>
      <w:r w:rsidRPr="008D0468">
        <w:rPr>
          <w:b/>
          <w:sz w:val="26"/>
          <w:szCs w:val="26"/>
        </w:rPr>
        <w:tab/>
      </w:r>
      <w:proofErr w:type="spellStart"/>
      <w:r w:rsidRPr="008D0468">
        <w:rPr>
          <w:b/>
          <w:sz w:val="26"/>
          <w:szCs w:val="26"/>
        </w:rPr>
        <w:t>Aqua’s</w:t>
      </w:r>
      <w:proofErr w:type="spellEnd"/>
      <w:r w:rsidRPr="008D0468">
        <w:rPr>
          <w:b/>
          <w:sz w:val="26"/>
          <w:szCs w:val="26"/>
        </w:rPr>
        <w:t xml:space="preserve"> Replies to OCA’s Exceptions</w:t>
      </w:r>
    </w:p>
    <w:p w14:paraId="127E0C79" w14:textId="77777777" w:rsidR="006B6A02" w:rsidRDefault="006B6A02" w:rsidP="00240D92">
      <w:pPr>
        <w:keepNext/>
        <w:keepLines/>
        <w:widowControl/>
        <w:spacing w:line="360" w:lineRule="auto"/>
        <w:rPr>
          <w:sz w:val="26"/>
          <w:szCs w:val="26"/>
        </w:rPr>
      </w:pPr>
    </w:p>
    <w:p w14:paraId="08B13482" w14:textId="77777777" w:rsidR="007D7FF0" w:rsidRDefault="007D7FF0" w:rsidP="00BE5FF4">
      <w:pPr>
        <w:widowControl/>
        <w:spacing w:line="360" w:lineRule="auto"/>
        <w:rPr>
          <w:sz w:val="26"/>
          <w:szCs w:val="26"/>
        </w:rPr>
      </w:pPr>
      <w:r>
        <w:rPr>
          <w:sz w:val="26"/>
          <w:szCs w:val="26"/>
        </w:rPr>
        <w:tab/>
      </w:r>
      <w:r>
        <w:rPr>
          <w:sz w:val="26"/>
          <w:szCs w:val="26"/>
        </w:rPr>
        <w:tab/>
        <w:t xml:space="preserve">In its reply, the Company cites to the </w:t>
      </w:r>
      <w:r w:rsidR="00512522" w:rsidRPr="00BE5FF4">
        <w:rPr>
          <w:i/>
          <w:sz w:val="26"/>
        </w:rPr>
        <w:t>Interlocutory</w:t>
      </w:r>
      <w:r w:rsidR="00512522">
        <w:rPr>
          <w:i/>
          <w:sz w:val="26"/>
          <w:szCs w:val="26"/>
        </w:rPr>
        <w:t xml:space="preserve"> Review</w:t>
      </w:r>
      <w:r w:rsidR="00512522" w:rsidRPr="00BE5FF4">
        <w:rPr>
          <w:i/>
          <w:sz w:val="26"/>
        </w:rPr>
        <w:t xml:space="preserve"> Order</w:t>
      </w:r>
      <w:r w:rsidR="00512522">
        <w:rPr>
          <w:sz w:val="26"/>
          <w:szCs w:val="26"/>
        </w:rPr>
        <w:t xml:space="preserve"> </w:t>
      </w:r>
      <w:r>
        <w:rPr>
          <w:sz w:val="26"/>
          <w:szCs w:val="26"/>
        </w:rPr>
        <w:t xml:space="preserve">in the Aqua – New Garden proceeding and </w:t>
      </w:r>
      <w:r w:rsidRPr="007D7FF0">
        <w:rPr>
          <w:sz w:val="26"/>
          <w:szCs w:val="26"/>
        </w:rPr>
        <w:t>argues that the express language of the statute is clear and unambiguous and phrased in mandatory terms.  The Company contends that Section 1329 and Section 1102 considerations mus</w:t>
      </w:r>
      <w:r>
        <w:rPr>
          <w:sz w:val="26"/>
          <w:szCs w:val="26"/>
        </w:rPr>
        <w:t>t both be concluded within the six</w:t>
      </w:r>
      <w:r w:rsidRPr="007D7FF0">
        <w:rPr>
          <w:sz w:val="26"/>
          <w:szCs w:val="26"/>
        </w:rPr>
        <w:t>-month statutory limit.</w:t>
      </w:r>
      <w:r>
        <w:rPr>
          <w:sz w:val="26"/>
          <w:szCs w:val="26"/>
        </w:rPr>
        <w:t xml:space="preserve">  Aqua R. Exc. at 17-18.</w:t>
      </w:r>
    </w:p>
    <w:p w14:paraId="11381BB2" w14:textId="77777777" w:rsidR="007D7FF0" w:rsidRDefault="007D7FF0" w:rsidP="00BE5FF4">
      <w:pPr>
        <w:widowControl/>
        <w:spacing w:line="360" w:lineRule="auto"/>
        <w:rPr>
          <w:sz w:val="26"/>
          <w:szCs w:val="26"/>
        </w:rPr>
      </w:pPr>
    </w:p>
    <w:p w14:paraId="308B458B" w14:textId="77777777" w:rsidR="006B6A02" w:rsidRPr="00240D92" w:rsidRDefault="006B6A02" w:rsidP="00240D92">
      <w:pPr>
        <w:keepNext/>
        <w:keepLines/>
        <w:widowControl/>
        <w:spacing w:line="360" w:lineRule="auto"/>
        <w:rPr>
          <w:b/>
          <w:sz w:val="26"/>
          <w:szCs w:val="26"/>
        </w:rPr>
      </w:pPr>
      <w:r w:rsidRPr="00240D92">
        <w:rPr>
          <w:b/>
          <w:sz w:val="26"/>
          <w:szCs w:val="26"/>
        </w:rPr>
        <w:tab/>
      </w:r>
      <w:r w:rsidRPr="00240D92">
        <w:rPr>
          <w:b/>
          <w:sz w:val="26"/>
          <w:szCs w:val="26"/>
        </w:rPr>
        <w:tab/>
      </w:r>
      <w:r w:rsidR="00240D92" w:rsidRPr="00240D92">
        <w:rPr>
          <w:b/>
          <w:sz w:val="26"/>
          <w:szCs w:val="26"/>
        </w:rPr>
        <w:t>3.</w:t>
      </w:r>
      <w:r w:rsidR="00240D92" w:rsidRPr="00240D92">
        <w:rPr>
          <w:b/>
          <w:sz w:val="26"/>
          <w:szCs w:val="26"/>
        </w:rPr>
        <w:tab/>
        <w:t>Disposition</w:t>
      </w:r>
    </w:p>
    <w:p w14:paraId="69F7C314" w14:textId="77777777" w:rsidR="006B6A02" w:rsidRDefault="006B6A02" w:rsidP="00240D92">
      <w:pPr>
        <w:keepNext/>
        <w:keepLines/>
        <w:widowControl/>
        <w:spacing w:line="360" w:lineRule="auto"/>
        <w:rPr>
          <w:sz w:val="26"/>
          <w:szCs w:val="26"/>
        </w:rPr>
      </w:pPr>
    </w:p>
    <w:p w14:paraId="6103D172" w14:textId="77777777" w:rsidR="007D7FF0" w:rsidRDefault="007D7FF0" w:rsidP="00BE5FF4">
      <w:pPr>
        <w:widowControl/>
        <w:spacing w:line="360" w:lineRule="auto"/>
        <w:rPr>
          <w:sz w:val="26"/>
          <w:szCs w:val="26"/>
        </w:rPr>
      </w:pPr>
      <w:r>
        <w:rPr>
          <w:sz w:val="26"/>
          <w:szCs w:val="26"/>
        </w:rPr>
        <w:tab/>
      </w:r>
      <w:r>
        <w:rPr>
          <w:sz w:val="26"/>
          <w:szCs w:val="26"/>
        </w:rPr>
        <w:tab/>
        <w:t xml:space="preserve">We agree with the ALJ and shall deny the OCA Exception No. 6.  In this proceeding, and consistent with our prior determination in the Aqua – New Garden proceeding, </w:t>
      </w:r>
      <w:r w:rsidR="008D5277">
        <w:rPr>
          <w:sz w:val="26"/>
          <w:szCs w:val="26"/>
        </w:rPr>
        <w:t xml:space="preserve">both, </w:t>
      </w:r>
      <w:r>
        <w:rPr>
          <w:sz w:val="26"/>
          <w:szCs w:val="26"/>
        </w:rPr>
        <w:t>the Section 1329 and 1102 considerati</w:t>
      </w:r>
      <w:r w:rsidR="005A7705">
        <w:rPr>
          <w:sz w:val="26"/>
          <w:szCs w:val="26"/>
        </w:rPr>
        <w:t>ons must be concluded within the six-month deadline set forth in Section 1329(d)(2).</w:t>
      </w:r>
    </w:p>
    <w:p w14:paraId="6A86F3EE" w14:textId="77777777" w:rsidR="005A7705" w:rsidRPr="000B0523" w:rsidRDefault="005A7705" w:rsidP="00BE5FF4">
      <w:pPr>
        <w:widowControl/>
        <w:spacing w:line="360" w:lineRule="auto"/>
        <w:rPr>
          <w:sz w:val="26"/>
          <w:szCs w:val="26"/>
          <w:lang w:val="en"/>
        </w:rPr>
      </w:pPr>
    </w:p>
    <w:p w14:paraId="5648D26B" w14:textId="77777777" w:rsidR="00EA7856" w:rsidRDefault="000B0523" w:rsidP="00BE5FF4">
      <w:pPr>
        <w:pStyle w:val="Heading2"/>
        <w:widowControl/>
        <w:spacing w:line="360" w:lineRule="auto"/>
        <w:rPr>
          <w:rFonts w:ascii="Times New Roman" w:hAnsi="Times New Roman" w:cs="Times New Roman"/>
          <w:color w:val="auto"/>
        </w:rPr>
      </w:pPr>
      <w:bookmarkStart w:id="29" w:name="_Toc499121846"/>
      <w:r>
        <w:rPr>
          <w:rFonts w:ascii="Times New Roman" w:hAnsi="Times New Roman" w:cs="Times New Roman"/>
          <w:bCs w:val="0"/>
          <w:color w:val="auto"/>
          <w:lang w:val="en"/>
        </w:rPr>
        <w:t>G.</w:t>
      </w:r>
      <w:r w:rsidR="0051199F">
        <w:rPr>
          <w:rFonts w:ascii="Times New Roman" w:hAnsi="Times New Roman" w:cs="Times New Roman"/>
          <w:bCs w:val="0"/>
          <w:color w:val="auto"/>
          <w:lang w:val="en"/>
        </w:rPr>
        <w:tab/>
      </w:r>
      <w:r w:rsidR="00EA7856" w:rsidRPr="002915C6">
        <w:rPr>
          <w:rFonts w:ascii="Times New Roman" w:hAnsi="Times New Roman" w:cs="Times New Roman"/>
          <w:bCs w:val="0"/>
          <w:color w:val="auto"/>
          <w:lang w:val="en"/>
        </w:rPr>
        <w:t xml:space="preserve">66 Pa. C.S. </w:t>
      </w:r>
      <w:r w:rsidR="00EA7856" w:rsidRPr="002915C6">
        <w:rPr>
          <w:rFonts w:ascii="Times New Roman" w:hAnsi="Times New Roman" w:cs="Times New Roman"/>
          <w:color w:val="auto"/>
        </w:rPr>
        <w:t xml:space="preserve">§ 507 </w:t>
      </w:r>
      <w:r w:rsidR="006609E1">
        <w:rPr>
          <w:rFonts w:ascii="Times New Roman" w:hAnsi="Times New Roman" w:cs="Times New Roman"/>
          <w:color w:val="auto"/>
        </w:rPr>
        <w:t xml:space="preserve">– </w:t>
      </w:r>
      <w:r w:rsidR="00774295">
        <w:rPr>
          <w:rFonts w:ascii="Times New Roman" w:hAnsi="Times New Roman" w:cs="Times New Roman"/>
          <w:color w:val="auto"/>
        </w:rPr>
        <w:t>Contracts between Public Utilities and Municipalities</w:t>
      </w:r>
      <w:bookmarkEnd w:id="29"/>
    </w:p>
    <w:p w14:paraId="42BD2E5C" w14:textId="77777777" w:rsidR="00347446" w:rsidRPr="00347446" w:rsidRDefault="00347446" w:rsidP="00347446">
      <w:pPr>
        <w:rPr>
          <w:rFonts w:eastAsiaTheme="majorEastAsia"/>
          <w:b/>
          <w:sz w:val="26"/>
          <w:szCs w:val="26"/>
          <w:lang w:val="en"/>
        </w:rPr>
      </w:pPr>
    </w:p>
    <w:p w14:paraId="6EA850F1" w14:textId="77777777" w:rsidR="00EA7856" w:rsidRDefault="00866BD3" w:rsidP="00347446">
      <w:pPr>
        <w:keepNext/>
        <w:keepLines/>
        <w:widowControl/>
        <w:spacing w:line="360" w:lineRule="auto"/>
        <w:rPr>
          <w:b/>
          <w:sz w:val="26"/>
          <w:szCs w:val="26"/>
        </w:rPr>
      </w:pPr>
      <w:r w:rsidRPr="00347446">
        <w:rPr>
          <w:b/>
          <w:sz w:val="26"/>
          <w:szCs w:val="26"/>
        </w:rPr>
        <w:tab/>
      </w:r>
      <w:r w:rsidR="0051199F">
        <w:rPr>
          <w:b/>
          <w:sz w:val="26"/>
          <w:szCs w:val="26"/>
        </w:rPr>
        <w:tab/>
      </w:r>
      <w:r w:rsidRPr="00347446">
        <w:rPr>
          <w:b/>
          <w:sz w:val="26"/>
          <w:szCs w:val="26"/>
        </w:rPr>
        <w:t>1.</w:t>
      </w:r>
      <w:r w:rsidRPr="00347446">
        <w:rPr>
          <w:b/>
          <w:sz w:val="26"/>
          <w:szCs w:val="26"/>
        </w:rPr>
        <w:tab/>
      </w:r>
      <w:r w:rsidR="00347446" w:rsidRPr="00347446">
        <w:rPr>
          <w:b/>
          <w:sz w:val="26"/>
          <w:szCs w:val="26"/>
        </w:rPr>
        <w:t>Approval</w:t>
      </w:r>
      <w:r w:rsidR="006609E1">
        <w:rPr>
          <w:b/>
          <w:sz w:val="26"/>
          <w:szCs w:val="26"/>
        </w:rPr>
        <w:t xml:space="preserve"> of Municipal Contract</w:t>
      </w:r>
      <w:r w:rsidR="00347446" w:rsidRPr="00347446">
        <w:rPr>
          <w:b/>
          <w:sz w:val="26"/>
          <w:szCs w:val="26"/>
        </w:rPr>
        <w:t>s</w:t>
      </w:r>
    </w:p>
    <w:p w14:paraId="4A361F5E" w14:textId="77777777" w:rsidR="00347446" w:rsidRPr="00BE5FF4" w:rsidRDefault="00347446" w:rsidP="00BE5FF4">
      <w:pPr>
        <w:keepNext/>
        <w:keepLines/>
        <w:widowControl/>
        <w:spacing w:line="360" w:lineRule="auto"/>
        <w:rPr>
          <w:b/>
          <w:sz w:val="26"/>
        </w:rPr>
      </w:pPr>
    </w:p>
    <w:p w14:paraId="195E2FB1" w14:textId="77777777" w:rsidR="00EA7856" w:rsidRPr="002915C6" w:rsidRDefault="0051199F" w:rsidP="00BE5FF4">
      <w:pPr>
        <w:keepNext/>
        <w:keepLines/>
        <w:widowControl/>
        <w:autoSpaceDE w:val="0"/>
        <w:autoSpaceDN w:val="0"/>
        <w:adjustRightInd w:val="0"/>
        <w:spacing w:line="360" w:lineRule="auto"/>
        <w:ind w:left="720" w:firstLine="720"/>
        <w:contextualSpacing/>
        <w:rPr>
          <w:b/>
          <w:bCs/>
          <w:sz w:val="26"/>
          <w:szCs w:val="26"/>
          <w:lang w:val="en"/>
        </w:rPr>
      </w:pPr>
      <w:r>
        <w:rPr>
          <w:b/>
          <w:bCs/>
          <w:sz w:val="26"/>
          <w:szCs w:val="26"/>
          <w:lang w:val="en"/>
        </w:rPr>
        <w:tab/>
      </w:r>
      <w:r w:rsidR="00866BD3">
        <w:rPr>
          <w:b/>
          <w:bCs/>
          <w:sz w:val="26"/>
          <w:szCs w:val="26"/>
          <w:lang w:val="en"/>
        </w:rPr>
        <w:t>a</w:t>
      </w:r>
      <w:r w:rsidR="008D5277">
        <w:rPr>
          <w:b/>
          <w:bCs/>
          <w:sz w:val="26"/>
          <w:szCs w:val="26"/>
          <w:lang w:val="en"/>
        </w:rPr>
        <w:t>.</w:t>
      </w:r>
      <w:r w:rsidR="00EA7856" w:rsidRPr="002915C6">
        <w:rPr>
          <w:b/>
          <w:bCs/>
          <w:sz w:val="26"/>
          <w:szCs w:val="26"/>
          <w:lang w:val="en"/>
        </w:rPr>
        <w:tab/>
        <w:t xml:space="preserve">I&amp;E’s </w:t>
      </w:r>
      <w:r w:rsidR="008D5277">
        <w:rPr>
          <w:b/>
          <w:sz w:val="26"/>
          <w:szCs w:val="26"/>
        </w:rPr>
        <w:t>Exceptions</w:t>
      </w:r>
    </w:p>
    <w:p w14:paraId="4D586B46" w14:textId="77777777" w:rsidR="00EA7856" w:rsidRPr="002915C6" w:rsidRDefault="00EA7856" w:rsidP="00BE5FF4">
      <w:pPr>
        <w:keepNext/>
        <w:keepLines/>
        <w:widowControl/>
        <w:autoSpaceDE w:val="0"/>
        <w:autoSpaceDN w:val="0"/>
        <w:adjustRightInd w:val="0"/>
        <w:spacing w:line="360" w:lineRule="auto"/>
        <w:ind w:firstLine="720"/>
        <w:contextualSpacing/>
        <w:rPr>
          <w:b/>
          <w:bCs/>
          <w:sz w:val="26"/>
          <w:szCs w:val="26"/>
          <w:lang w:val="en"/>
        </w:rPr>
      </w:pPr>
    </w:p>
    <w:p w14:paraId="54182B54" w14:textId="77777777" w:rsidR="00EA7856" w:rsidRDefault="00EA7856" w:rsidP="00BE5FF4">
      <w:pPr>
        <w:widowControl/>
        <w:autoSpaceDE w:val="0"/>
        <w:autoSpaceDN w:val="0"/>
        <w:adjustRightInd w:val="0"/>
        <w:spacing w:line="360" w:lineRule="auto"/>
        <w:ind w:firstLine="720"/>
        <w:contextualSpacing/>
        <w:rPr>
          <w:sz w:val="26"/>
          <w:szCs w:val="26"/>
        </w:rPr>
      </w:pPr>
      <w:r w:rsidRPr="002915C6">
        <w:rPr>
          <w:b/>
          <w:bCs/>
          <w:sz w:val="26"/>
          <w:szCs w:val="26"/>
          <w:lang w:val="en"/>
        </w:rPr>
        <w:tab/>
      </w:r>
      <w:r w:rsidRPr="002915C6">
        <w:rPr>
          <w:sz w:val="26"/>
          <w:szCs w:val="26"/>
        </w:rPr>
        <w:t xml:space="preserve">In its Exception No. 2, I&amp;E asserts that Aqua failed to request approvals regarding the municipal agreements it plans to assume in this transaction pursuant to Section 507.  I&amp;E finds fault in </w:t>
      </w:r>
      <w:proofErr w:type="spellStart"/>
      <w:r w:rsidRPr="002915C6">
        <w:rPr>
          <w:sz w:val="26"/>
          <w:szCs w:val="26"/>
        </w:rPr>
        <w:t>Aqua’s</w:t>
      </w:r>
      <w:proofErr w:type="spellEnd"/>
      <w:r w:rsidRPr="002915C6">
        <w:rPr>
          <w:sz w:val="26"/>
          <w:szCs w:val="26"/>
        </w:rPr>
        <w:t xml:space="preserve"> assertion that its Application contained a catch-all clause requesting any approvals, certificates, registrations and relief that the Commission deemed necessary.  I&amp;E Exc. at 8-9 (citing </w:t>
      </w:r>
      <w:r w:rsidRPr="002915C6">
        <w:rPr>
          <w:bCs/>
          <w:sz w:val="26"/>
          <w:szCs w:val="26"/>
          <w:lang w:val="en"/>
        </w:rPr>
        <w:t xml:space="preserve">66 Pa. C.S. </w:t>
      </w:r>
      <w:r w:rsidRPr="002915C6">
        <w:rPr>
          <w:sz w:val="26"/>
          <w:szCs w:val="26"/>
        </w:rPr>
        <w:t xml:space="preserve">§ 507).  I&amp;E argues that, as the party seeking relief in the instant proceeding, Aqua has the burden of proof to provide substantial evidence in support of its </w:t>
      </w:r>
      <w:r w:rsidR="00C64216">
        <w:rPr>
          <w:sz w:val="26"/>
          <w:szCs w:val="26"/>
        </w:rPr>
        <w:t>Application.  I&amp;E believes the catch-all phrase</w:t>
      </w:r>
      <w:r w:rsidRPr="002915C6">
        <w:rPr>
          <w:sz w:val="26"/>
          <w:szCs w:val="26"/>
        </w:rPr>
        <w:t xml:space="preserve"> argument put forth by Aqua, is </w:t>
      </w:r>
      <w:proofErr w:type="spellStart"/>
      <w:r w:rsidRPr="002915C6">
        <w:rPr>
          <w:sz w:val="26"/>
          <w:szCs w:val="26"/>
        </w:rPr>
        <w:t>Aqua’s</w:t>
      </w:r>
      <w:proofErr w:type="spellEnd"/>
      <w:r w:rsidRPr="002915C6">
        <w:rPr>
          <w:sz w:val="26"/>
          <w:szCs w:val="26"/>
        </w:rPr>
        <w:t xml:space="preserve"> way of shifting the burden of determining what contracts need Section 507 approvals to the Commission.  I&amp;E also deems ineffective, the ALJ’s directive that Aqua file the APA and all other relevant municipal agreements it is assuming within twenty days of entry of the Commission’s Final Order in the instant proceeding.  I&amp;E Exc. at 9 (citing </w:t>
      </w:r>
      <w:r w:rsidRPr="002915C6">
        <w:rPr>
          <w:bCs/>
          <w:sz w:val="26"/>
          <w:szCs w:val="26"/>
          <w:lang w:val="en"/>
        </w:rPr>
        <w:t>R.D. at 50</w:t>
      </w:r>
      <w:r w:rsidRPr="002915C6">
        <w:rPr>
          <w:sz w:val="26"/>
          <w:szCs w:val="26"/>
        </w:rPr>
        <w:t xml:space="preserve">).  I&amp;E avers that the Commission may, prior to the effective date of the contract, institute proceedings to determine the reasonableness, legality, or any other matter affective of the contract or agreement.  According to I&amp;E, the Commission and the Parties to this proceeding will be deprived of these opportunities if the APA and the municipal contracts are not filed twenty days after the Final Order.  Therefore, I&amp;E </w:t>
      </w:r>
      <w:r w:rsidR="00C64216">
        <w:rPr>
          <w:sz w:val="26"/>
          <w:szCs w:val="26"/>
        </w:rPr>
        <w:t>seeks</w:t>
      </w:r>
      <w:r w:rsidRPr="002915C6">
        <w:rPr>
          <w:sz w:val="26"/>
          <w:szCs w:val="26"/>
        </w:rPr>
        <w:t xml:space="preserve"> the Commission</w:t>
      </w:r>
      <w:r w:rsidR="00C64216">
        <w:rPr>
          <w:sz w:val="26"/>
          <w:szCs w:val="26"/>
        </w:rPr>
        <w:t xml:space="preserve">’s denial of </w:t>
      </w:r>
      <w:r w:rsidRPr="002915C6">
        <w:rPr>
          <w:sz w:val="26"/>
          <w:szCs w:val="26"/>
        </w:rPr>
        <w:t xml:space="preserve">the instant Application for </w:t>
      </w:r>
      <w:proofErr w:type="spellStart"/>
      <w:r w:rsidRPr="002915C6">
        <w:rPr>
          <w:sz w:val="26"/>
          <w:szCs w:val="26"/>
        </w:rPr>
        <w:t>Aqua’s</w:t>
      </w:r>
      <w:proofErr w:type="spellEnd"/>
      <w:r w:rsidRPr="002915C6">
        <w:rPr>
          <w:sz w:val="26"/>
          <w:szCs w:val="26"/>
        </w:rPr>
        <w:t xml:space="preserve"> failure to request all the required approvals in the instant proceeding.  I&amp;E Exc. at 9-10.</w:t>
      </w:r>
    </w:p>
    <w:p w14:paraId="3E43199F" w14:textId="77777777" w:rsidR="00B818F1" w:rsidRPr="002915C6" w:rsidRDefault="00B818F1" w:rsidP="00BE5FF4">
      <w:pPr>
        <w:widowControl/>
        <w:autoSpaceDE w:val="0"/>
        <w:autoSpaceDN w:val="0"/>
        <w:adjustRightInd w:val="0"/>
        <w:spacing w:line="360" w:lineRule="auto"/>
        <w:ind w:firstLine="720"/>
        <w:contextualSpacing/>
        <w:rPr>
          <w:sz w:val="26"/>
          <w:szCs w:val="26"/>
        </w:rPr>
      </w:pPr>
    </w:p>
    <w:p w14:paraId="2F3AB604" w14:textId="77777777" w:rsidR="00B818F1" w:rsidRPr="00B818F1" w:rsidRDefault="00EF6330" w:rsidP="0012768D">
      <w:pPr>
        <w:keepNext/>
        <w:widowControl/>
        <w:autoSpaceDE w:val="0"/>
        <w:autoSpaceDN w:val="0"/>
        <w:adjustRightInd w:val="0"/>
        <w:spacing w:line="360" w:lineRule="auto"/>
        <w:ind w:firstLine="720"/>
        <w:contextualSpacing/>
        <w:rPr>
          <w:b/>
          <w:sz w:val="26"/>
          <w:szCs w:val="26"/>
        </w:rPr>
      </w:pPr>
      <w:r>
        <w:rPr>
          <w:b/>
          <w:sz w:val="26"/>
          <w:szCs w:val="26"/>
        </w:rPr>
        <w:tab/>
      </w:r>
      <w:r w:rsidR="0051199F">
        <w:rPr>
          <w:b/>
          <w:sz w:val="26"/>
          <w:szCs w:val="26"/>
        </w:rPr>
        <w:tab/>
      </w:r>
      <w:r>
        <w:rPr>
          <w:b/>
          <w:sz w:val="26"/>
          <w:szCs w:val="26"/>
        </w:rPr>
        <w:t>b</w:t>
      </w:r>
      <w:r w:rsidR="00B818F1" w:rsidRPr="00B818F1">
        <w:rPr>
          <w:b/>
          <w:sz w:val="26"/>
          <w:szCs w:val="26"/>
        </w:rPr>
        <w:t>.</w:t>
      </w:r>
      <w:r w:rsidR="00B818F1" w:rsidRPr="00B818F1">
        <w:rPr>
          <w:b/>
          <w:sz w:val="26"/>
          <w:szCs w:val="26"/>
        </w:rPr>
        <w:tab/>
      </w:r>
      <w:proofErr w:type="spellStart"/>
      <w:r w:rsidR="00B818F1" w:rsidRPr="00B818F1">
        <w:rPr>
          <w:b/>
          <w:sz w:val="26"/>
          <w:szCs w:val="26"/>
        </w:rPr>
        <w:t>Aqua’s</w:t>
      </w:r>
      <w:proofErr w:type="spellEnd"/>
      <w:r w:rsidR="00B818F1" w:rsidRPr="00B818F1">
        <w:rPr>
          <w:b/>
          <w:sz w:val="26"/>
          <w:szCs w:val="26"/>
        </w:rPr>
        <w:t xml:space="preserve"> Replies to I&amp;E’s Exceptions</w:t>
      </w:r>
    </w:p>
    <w:p w14:paraId="7A657557" w14:textId="77777777" w:rsidR="00B818F1" w:rsidRDefault="00B818F1" w:rsidP="0012768D">
      <w:pPr>
        <w:keepNext/>
        <w:widowControl/>
        <w:autoSpaceDE w:val="0"/>
        <w:autoSpaceDN w:val="0"/>
        <w:adjustRightInd w:val="0"/>
        <w:spacing w:line="360" w:lineRule="auto"/>
        <w:ind w:firstLine="720"/>
        <w:contextualSpacing/>
        <w:rPr>
          <w:sz w:val="26"/>
          <w:szCs w:val="26"/>
        </w:rPr>
      </w:pPr>
    </w:p>
    <w:p w14:paraId="21538C29" w14:textId="77777777" w:rsidR="00EA7856" w:rsidRPr="002915C6" w:rsidRDefault="00C64216" w:rsidP="0012768D">
      <w:pPr>
        <w:keepNext/>
        <w:widowControl/>
        <w:autoSpaceDE w:val="0"/>
        <w:autoSpaceDN w:val="0"/>
        <w:adjustRightInd w:val="0"/>
        <w:spacing w:line="360" w:lineRule="auto"/>
        <w:ind w:firstLine="1440"/>
        <w:contextualSpacing/>
        <w:rPr>
          <w:sz w:val="26"/>
          <w:szCs w:val="26"/>
        </w:rPr>
      </w:pPr>
      <w:r>
        <w:rPr>
          <w:sz w:val="26"/>
          <w:szCs w:val="26"/>
        </w:rPr>
        <w:t>In r</w:t>
      </w:r>
      <w:r w:rsidR="00EA7856" w:rsidRPr="002915C6">
        <w:rPr>
          <w:sz w:val="26"/>
          <w:szCs w:val="26"/>
        </w:rPr>
        <w:t xml:space="preserve">eply, Aqua states the ALJ appropriately rejected I&amp;E’s request for a denial of the instant Application based on </w:t>
      </w:r>
      <w:proofErr w:type="spellStart"/>
      <w:r w:rsidR="00EA7856" w:rsidRPr="002915C6">
        <w:rPr>
          <w:sz w:val="26"/>
          <w:szCs w:val="26"/>
        </w:rPr>
        <w:t>Aqua’s</w:t>
      </w:r>
      <w:proofErr w:type="spellEnd"/>
      <w:r w:rsidR="00EA7856" w:rsidRPr="002915C6">
        <w:rPr>
          <w:sz w:val="26"/>
          <w:szCs w:val="26"/>
        </w:rPr>
        <w:t xml:space="preserve"> failure to comply with Section 507 and the assignment of municipal contracts.  Aqua R. Exc. at 4 (citing R.D. at 50-51).  Aqua avers the ALJ’s recommendation is consistent with the Commission’s recent decision in the </w:t>
      </w:r>
      <w:r>
        <w:rPr>
          <w:i/>
          <w:sz w:val="26"/>
          <w:szCs w:val="26"/>
        </w:rPr>
        <w:t xml:space="preserve">Aqua – </w:t>
      </w:r>
      <w:r w:rsidR="00EA7856" w:rsidRPr="002915C6">
        <w:rPr>
          <w:i/>
          <w:sz w:val="26"/>
          <w:szCs w:val="26"/>
        </w:rPr>
        <w:t>New Garden Reconsideration Order</w:t>
      </w:r>
      <w:r w:rsidR="00EA7856" w:rsidRPr="002915C6">
        <w:rPr>
          <w:sz w:val="26"/>
          <w:szCs w:val="26"/>
        </w:rPr>
        <w:t xml:space="preserve"> regarding Section 507, where the Commission included relevant ordering paragraphs and stated that:</w:t>
      </w:r>
    </w:p>
    <w:p w14:paraId="1D34B69F" w14:textId="77777777" w:rsidR="00EA7856" w:rsidRPr="002915C6" w:rsidRDefault="00EA7856" w:rsidP="00BE5FF4">
      <w:pPr>
        <w:widowControl/>
        <w:autoSpaceDE w:val="0"/>
        <w:autoSpaceDN w:val="0"/>
        <w:adjustRightInd w:val="0"/>
        <w:spacing w:line="360" w:lineRule="auto"/>
        <w:ind w:firstLine="1440"/>
        <w:contextualSpacing/>
        <w:rPr>
          <w:sz w:val="26"/>
          <w:szCs w:val="26"/>
        </w:rPr>
      </w:pPr>
    </w:p>
    <w:p w14:paraId="0A4EAE4F" w14:textId="232D01B2" w:rsidR="00EA7856" w:rsidRPr="002915C6" w:rsidRDefault="00EA7856" w:rsidP="0012768D">
      <w:pPr>
        <w:widowControl/>
        <w:ind w:left="1440" w:right="1440"/>
        <w:rPr>
          <w:rFonts w:eastAsia="Calibri"/>
          <w:sz w:val="26"/>
          <w:szCs w:val="26"/>
        </w:rPr>
      </w:pPr>
      <w:r w:rsidRPr="002915C6">
        <w:rPr>
          <w:rFonts w:eastAsia="Calibri"/>
          <w:sz w:val="26"/>
          <w:szCs w:val="26"/>
        </w:rPr>
        <w:t>Aqua is correct that it complied with the filing requirements of Section 507 by submitting the contracts within thirty days prior to the effective date of the contract or agreement.  The Company filed copies of the APA, its amendments, and all agreements being assigned or assumed by Aqua in its Application filing.  Aqua also acknowledges that the municipal agreements contained as exhibits to the APA will not become effective until after closing of the APA which is well beyond the thirty-day filing period set forth in Section</w:t>
      </w:r>
      <w:r w:rsidR="00B818F1">
        <w:rPr>
          <w:rFonts w:eastAsia="Calibri"/>
          <w:sz w:val="26"/>
          <w:szCs w:val="26"/>
        </w:rPr>
        <w:t> </w:t>
      </w:r>
      <w:r w:rsidRPr="002915C6">
        <w:rPr>
          <w:rFonts w:eastAsia="Calibri"/>
          <w:sz w:val="26"/>
          <w:szCs w:val="26"/>
        </w:rPr>
        <w:t>507.  Moreover, the municipal agreements are part of the evidentiary record and we are aware of no Party finding an issue with them or providing an objection to them being assigned or assumed by the Company.  Although I&amp;E and the OCA raised objections to provisions of the APA, we ultimately approved the Application as being in the public interest.  There was no evidentiary basis upon which to find that the APA, as amended, or the municipal agreements being assigned or assumed by Aqua failed to satisfy the Section 507 standard pertaining to reasonableness, legality or any other matter effecting the validity of the agreement.  Thus, we decline to exercise our discretion to modify our decision to find the APA or the agreements as being ineffective.</w:t>
      </w:r>
    </w:p>
    <w:p w14:paraId="0781B730" w14:textId="77777777" w:rsidR="00EA7856" w:rsidRPr="002915C6" w:rsidRDefault="00EA7856" w:rsidP="0012768D">
      <w:pPr>
        <w:widowControl/>
        <w:ind w:left="1440" w:right="1440"/>
        <w:rPr>
          <w:rFonts w:eastAsia="Calibri"/>
          <w:sz w:val="26"/>
          <w:szCs w:val="26"/>
        </w:rPr>
      </w:pPr>
    </w:p>
    <w:p w14:paraId="165D5F8B" w14:textId="77777777" w:rsidR="00BB7215" w:rsidRDefault="00EA7856" w:rsidP="0012768D">
      <w:pPr>
        <w:widowControl/>
        <w:ind w:left="1440" w:right="1440"/>
        <w:rPr>
          <w:rFonts w:eastAsia="Calibri"/>
          <w:sz w:val="26"/>
          <w:szCs w:val="26"/>
        </w:rPr>
      </w:pPr>
      <w:r w:rsidRPr="002915C6">
        <w:rPr>
          <w:rFonts w:eastAsia="Calibri"/>
          <w:sz w:val="26"/>
          <w:szCs w:val="26"/>
        </w:rPr>
        <w:t xml:space="preserve">However, we shall modify the </w:t>
      </w:r>
      <w:r w:rsidRPr="002915C6">
        <w:rPr>
          <w:rFonts w:eastAsia="Calibri"/>
          <w:i/>
          <w:sz w:val="26"/>
          <w:szCs w:val="26"/>
        </w:rPr>
        <w:t>June 2017 Order</w:t>
      </w:r>
      <w:r w:rsidRPr="002915C6">
        <w:rPr>
          <w:rFonts w:eastAsia="Calibri"/>
          <w:sz w:val="26"/>
          <w:szCs w:val="26"/>
        </w:rPr>
        <w:t xml:space="preserve"> by approving the subject agreements pursuant to 66 Pa. C.S. § 507.  We emphasize that our approval of the APA is subject to the additional conditions of approval pursuant to 66 Pa. C.S. §</w:t>
      </w:r>
      <w:r w:rsidR="00B818F1">
        <w:rPr>
          <w:rFonts w:eastAsia="Calibri"/>
          <w:sz w:val="26"/>
          <w:szCs w:val="26"/>
        </w:rPr>
        <w:t> </w:t>
      </w:r>
      <w:r w:rsidRPr="002915C6">
        <w:rPr>
          <w:rFonts w:eastAsia="Calibri"/>
          <w:sz w:val="26"/>
          <w:szCs w:val="26"/>
        </w:rPr>
        <w:t xml:space="preserve">1329(d)(3)(ii) and set forth in the ordering paragraphs of the </w:t>
      </w:r>
      <w:r w:rsidRPr="002915C6">
        <w:rPr>
          <w:rFonts w:eastAsia="Calibri"/>
          <w:i/>
          <w:sz w:val="26"/>
          <w:szCs w:val="26"/>
        </w:rPr>
        <w:t>June 2017 Order</w:t>
      </w:r>
      <w:r w:rsidRPr="002915C6">
        <w:rPr>
          <w:rFonts w:eastAsia="Calibri"/>
          <w:sz w:val="26"/>
          <w:szCs w:val="26"/>
        </w:rPr>
        <w:t xml:space="preserve">.  Furthermore, in order to enable the Commission to track future proceedings involving municipal agreements, we will, as a matter of administrative efficiency, </w:t>
      </w:r>
    </w:p>
    <w:p w14:paraId="17270654" w14:textId="77777777" w:rsidR="00EA7856" w:rsidRPr="002915C6" w:rsidRDefault="00EA7856" w:rsidP="00BE5FF4">
      <w:pPr>
        <w:keepNext/>
        <w:keepLines/>
        <w:widowControl/>
        <w:ind w:left="1440" w:right="1440"/>
        <w:rPr>
          <w:rFonts w:eastAsia="Calibri"/>
          <w:sz w:val="26"/>
          <w:szCs w:val="26"/>
        </w:rPr>
      </w:pPr>
      <w:r w:rsidRPr="002915C6">
        <w:rPr>
          <w:rFonts w:eastAsia="Calibri"/>
          <w:sz w:val="26"/>
          <w:szCs w:val="26"/>
        </w:rPr>
        <w:t>direct the Company to file the executed municipal agreements under separate “U” docket numbers.</w:t>
      </w:r>
    </w:p>
    <w:p w14:paraId="4F2A8C25" w14:textId="77777777" w:rsidR="00EA7856" w:rsidRPr="002915C6" w:rsidRDefault="00EA7856" w:rsidP="00BE5FF4">
      <w:pPr>
        <w:keepNext/>
        <w:keepLines/>
        <w:widowControl/>
        <w:spacing w:line="360" w:lineRule="auto"/>
        <w:rPr>
          <w:sz w:val="26"/>
          <w:szCs w:val="26"/>
        </w:rPr>
      </w:pPr>
    </w:p>
    <w:p w14:paraId="2E4F5A28" w14:textId="77777777" w:rsidR="00EA7856" w:rsidRPr="002915C6" w:rsidRDefault="00EA7856" w:rsidP="0012768D">
      <w:pPr>
        <w:widowControl/>
        <w:spacing w:line="360" w:lineRule="auto"/>
        <w:rPr>
          <w:sz w:val="26"/>
          <w:szCs w:val="26"/>
        </w:rPr>
      </w:pPr>
      <w:r w:rsidRPr="002915C6">
        <w:rPr>
          <w:sz w:val="26"/>
          <w:szCs w:val="26"/>
        </w:rPr>
        <w:t xml:space="preserve">Aqua R. Exc. at 4-6 (citing </w:t>
      </w:r>
      <w:r w:rsidR="00C64216">
        <w:rPr>
          <w:i/>
          <w:sz w:val="26"/>
          <w:szCs w:val="26"/>
        </w:rPr>
        <w:t xml:space="preserve">Aqua – </w:t>
      </w:r>
      <w:r w:rsidRPr="002915C6">
        <w:rPr>
          <w:i/>
          <w:sz w:val="26"/>
          <w:szCs w:val="26"/>
        </w:rPr>
        <w:t>New Garden Reconsideration Order</w:t>
      </w:r>
      <w:r w:rsidRPr="002915C6">
        <w:rPr>
          <w:sz w:val="26"/>
          <w:szCs w:val="26"/>
        </w:rPr>
        <w:t xml:space="preserve"> at 24-25).  </w:t>
      </w:r>
    </w:p>
    <w:p w14:paraId="35428DE5" w14:textId="77777777" w:rsidR="00EA7856" w:rsidRPr="002915C6" w:rsidRDefault="00EA7856" w:rsidP="0012768D">
      <w:pPr>
        <w:widowControl/>
        <w:spacing w:line="360" w:lineRule="auto"/>
        <w:rPr>
          <w:sz w:val="26"/>
          <w:szCs w:val="26"/>
        </w:rPr>
      </w:pPr>
    </w:p>
    <w:p w14:paraId="554A4A1B" w14:textId="77777777" w:rsidR="00EA7856" w:rsidRDefault="00EA7856" w:rsidP="0012768D">
      <w:pPr>
        <w:widowControl/>
        <w:spacing w:line="360" w:lineRule="auto"/>
        <w:ind w:firstLine="1440"/>
        <w:rPr>
          <w:sz w:val="26"/>
          <w:szCs w:val="26"/>
        </w:rPr>
      </w:pPr>
      <w:r w:rsidRPr="002915C6">
        <w:rPr>
          <w:sz w:val="26"/>
          <w:szCs w:val="26"/>
        </w:rPr>
        <w:t xml:space="preserve">Aqua argues </w:t>
      </w:r>
      <w:r w:rsidR="00C64216">
        <w:rPr>
          <w:sz w:val="26"/>
          <w:szCs w:val="26"/>
        </w:rPr>
        <w:t xml:space="preserve">that </w:t>
      </w:r>
      <w:r w:rsidRPr="002915C6">
        <w:rPr>
          <w:sz w:val="26"/>
          <w:szCs w:val="26"/>
        </w:rPr>
        <w:t xml:space="preserve">the circumstances in the instant proceeding are similar to the issues in the </w:t>
      </w:r>
      <w:r w:rsidR="00C64216">
        <w:rPr>
          <w:i/>
          <w:sz w:val="26"/>
          <w:szCs w:val="26"/>
        </w:rPr>
        <w:t xml:space="preserve">Aqua – </w:t>
      </w:r>
      <w:r w:rsidRPr="002915C6">
        <w:rPr>
          <w:i/>
          <w:sz w:val="26"/>
          <w:szCs w:val="26"/>
        </w:rPr>
        <w:t>New Garden Reconsideration Order</w:t>
      </w:r>
      <w:r w:rsidRPr="002915C6">
        <w:rPr>
          <w:sz w:val="26"/>
          <w:szCs w:val="26"/>
        </w:rPr>
        <w:t xml:space="preserve">.  Aqua </w:t>
      </w:r>
      <w:r w:rsidR="00350250">
        <w:rPr>
          <w:sz w:val="26"/>
          <w:szCs w:val="26"/>
        </w:rPr>
        <w:t>highlights</w:t>
      </w:r>
      <w:r w:rsidRPr="002915C6">
        <w:rPr>
          <w:sz w:val="26"/>
          <w:szCs w:val="26"/>
        </w:rPr>
        <w:t xml:space="preserve"> </w:t>
      </w:r>
      <w:r w:rsidR="00350250">
        <w:rPr>
          <w:sz w:val="26"/>
          <w:szCs w:val="26"/>
        </w:rPr>
        <w:t xml:space="preserve">that </w:t>
      </w:r>
      <w:r w:rsidRPr="002915C6">
        <w:rPr>
          <w:sz w:val="26"/>
          <w:szCs w:val="26"/>
        </w:rPr>
        <w:t xml:space="preserve">it specifically referenced, in the instant proceeding, the agreements to be assigned in the APA and addressed them in Paragraph 20 of the Application.  Aqua states that it also filed the agreements with the Commission as Confidential Exhibit F to the Application.  Aqua R. Exc. at 6 (citing Aqua </w:t>
      </w:r>
      <w:proofErr w:type="spellStart"/>
      <w:r w:rsidRPr="002915C6">
        <w:rPr>
          <w:sz w:val="26"/>
          <w:szCs w:val="26"/>
        </w:rPr>
        <w:t>Exh</w:t>
      </w:r>
      <w:proofErr w:type="spellEnd"/>
      <w:r w:rsidRPr="002915C6">
        <w:rPr>
          <w:sz w:val="26"/>
          <w:szCs w:val="26"/>
        </w:rPr>
        <w:t xml:space="preserve">. 1; Application ¶ 20; Confidential </w:t>
      </w:r>
      <w:proofErr w:type="spellStart"/>
      <w:r w:rsidRPr="002915C6">
        <w:rPr>
          <w:sz w:val="26"/>
          <w:szCs w:val="26"/>
        </w:rPr>
        <w:t>Exh</w:t>
      </w:r>
      <w:proofErr w:type="spellEnd"/>
      <w:r w:rsidRPr="002915C6">
        <w:rPr>
          <w:sz w:val="26"/>
          <w:szCs w:val="26"/>
        </w:rPr>
        <w:t>. F).</w:t>
      </w:r>
      <w:r w:rsidRPr="002915C6">
        <w:rPr>
          <w:rStyle w:val="FootnoteReference"/>
          <w:sz w:val="26"/>
          <w:szCs w:val="26"/>
        </w:rPr>
        <w:footnoteReference w:id="26"/>
      </w:r>
      <w:r w:rsidRPr="002915C6">
        <w:rPr>
          <w:sz w:val="26"/>
          <w:szCs w:val="26"/>
        </w:rPr>
        <w:t xml:space="preserve">  In addition, Aqua notes the agreements will not become effective until closing</w:t>
      </w:r>
      <w:r w:rsidR="00AA02A7">
        <w:rPr>
          <w:sz w:val="26"/>
          <w:szCs w:val="26"/>
        </w:rPr>
        <w:t xml:space="preserve"> of the APA</w:t>
      </w:r>
      <w:r w:rsidRPr="002915C6">
        <w:rPr>
          <w:sz w:val="26"/>
          <w:szCs w:val="26"/>
        </w:rPr>
        <w:t xml:space="preserve">, which is well beyond the thirty-day filing period set forth in Section 507.  Aqua, therefore, requests that the Commission deny I&amp;E’s Exception No. 2, because no party had an evidentiary issue or objection to the assignment or assumption of the agreements by Aqua and there is no basis upon which to find that the APA or the municipal agreements being assigned or assumed failed to satisfy the Section 507 standard pertaining to reasonableness, legality or any other matter effecting the validity of the agreements.  Aqua R. Exc. at 6-7.  Accordingly, Aqua requests that the Commission include, in the instant proceeding, as paraphrased from Ordering Paragraphs 2, 3 and 4 of the </w:t>
      </w:r>
      <w:r w:rsidRPr="002915C6">
        <w:rPr>
          <w:i/>
          <w:sz w:val="26"/>
          <w:szCs w:val="26"/>
        </w:rPr>
        <w:t>New Garden Reconsideration Order</w:t>
      </w:r>
      <w:r w:rsidRPr="002915C6">
        <w:rPr>
          <w:sz w:val="26"/>
          <w:szCs w:val="26"/>
        </w:rPr>
        <w:t>, the following directives in its Final Order that:</w:t>
      </w:r>
    </w:p>
    <w:p w14:paraId="1E09C554" w14:textId="77777777" w:rsidR="00F46953" w:rsidRPr="002915C6" w:rsidRDefault="00F46953" w:rsidP="0012768D">
      <w:pPr>
        <w:widowControl/>
        <w:spacing w:line="360" w:lineRule="auto"/>
        <w:ind w:firstLine="1440"/>
        <w:rPr>
          <w:sz w:val="26"/>
          <w:szCs w:val="26"/>
        </w:rPr>
      </w:pPr>
    </w:p>
    <w:p w14:paraId="77E3E0FC" w14:textId="77777777" w:rsidR="00EA7856" w:rsidRPr="002915C6" w:rsidRDefault="00EA7856" w:rsidP="00BE5FF4">
      <w:pPr>
        <w:pStyle w:val="ListParagraph"/>
        <w:widowControl/>
        <w:numPr>
          <w:ilvl w:val="0"/>
          <w:numId w:val="5"/>
        </w:numPr>
        <w:tabs>
          <w:tab w:val="left" w:pos="2160"/>
        </w:tabs>
        <w:ind w:left="1440" w:right="1440" w:firstLine="720"/>
        <w:rPr>
          <w:sz w:val="26"/>
          <w:szCs w:val="26"/>
        </w:rPr>
      </w:pPr>
      <w:r w:rsidRPr="002915C6">
        <w:rPr>
          <w:sz w:val="26"/>
          <w:szCs w:val="26"/>
        </w:rPr>
        <w:t xml:space="preserve">The Commission’s Secretary issue a Certificate of Filing under Section 507 of the Public Utility Code, </w:t>
      </w:r>
      <w:r w:rsidRPr="002915C6">
        <w:rPr>
          <w:bCs/>
          <w:sz w:val="26"/>
          <w:szCs w:val="26"/>
          <w:lang w:val="en"/>
        </w:rPr>
        <w:t xml:space="preserve">66 Pa. C.S. </w:t>
      </w:r>
      <w:r w:rsidRPr="002915C6">
        <w:rPr>
          <w:sz w:val="26"/>
          <w:szCs w:val="26"/>
        </w:rPr>
        <w:t>§ 507, for the Asset Purchase Agreement Between Limerick Township and Aqua Pennsylvania Wastewater, Inc. filed with the Commission on May 19, 2017.</w:t>
      </w:r>
    </w:p>
    <w:p w14:paraId="7C3B0999" w14:textId="77777777" w:rsidR="00EA7856" w:rsidRPr="002915C6" w:rsidRDefault="00EA7856" w:rsidP="00BE5FF4">
      <w:pPr>
        <w:pStyle w:val="ListParagraph"/>
        <w:widowControl/>
        <w:tabs>
          <w:tab w:val="left" w:pos="1710"/>
        </w:tabs>
        <w:ind w:left="1440" w:right="1440" w:firstLine="720"/>
        <w:rPr>
          <w:sz w:val="26"/>
          <w:szCs w:val="26"/>
        </w:rPr>
      </w:pPr>
    </w:p>
    <w:p w14:paraId="7FEC1BB4" w14:textId="77777777" w:rsidR="00EA7856" w:rsidRPr="002915C6" w:rsidRDefault="00EA7856" w:rsidP="00BE5FF4">
      <w:pPr>
        <w:pStyle w:val="ListParagraph"/>
        <w:keepNext/>
        <w:keepLines/>
        <w:widowControl/>
        <w:numPr>
          <w:ilvl w:val="0"/>
          <w:numId w:val="5"/>
        </w:numPr>
        <w:tabs>
          <w:tab w:val="left" w:pos="2160"/>
        </w:tabs>
        <w:ind w:left="1440" w:right="1440" w:firstLine="720"/>
        <w:rPr>
          <w:sz w:val="26"/>
          <w:szCs w:val="26"/>
        </w:rPr>
      </w:pPr>
      <w:r w:rsidRPr="002915C6">
        <w:rPr>
          <w:sz w:val="26"/>
          <w:szCs w:val="26"/>
        </w:rPr>
        <w:t xml:space="preserve"> The Commission’s Secretary issue a Certificate of Filing under Section 507 of the Public Utility Code, </w:t>
      </w:r>
      <w:r w:rsidRPr="002915C6">
        <w:rPr>
          <w:bCs/>
          <w:sz w:val="26"/>
          <w:szCs w:val="26"/>
          <w:lang w:val="en"/>
        </w:rPr>
        <w:t xml:space="preserve">66 Pa. C.S. </w:t>
      </w:r>
      <w:r w:rsidRPr="002915C6">
        <w:rPr>
          <w:sz w:val="26"/>
          <w:szCs w:val="26"/>
        </w:rPr>
        <w:t>§ 507, for the assignment and assumption agreement filed with the Commission on May 19, 2017, for the Agreement Between the Borough of Royersford, the Royersford Borough Authority, the Township of Limerick and the Limerick Township Municipal Authority Providing for Sewer Service for the Township of Limerick, dated December 4, 1967, and the later Extension of Agreement, dated November 30, 1976.</w:t>
      </w:r>
      <w:r w:rsidRPr="002915C6">
        <w:rPr>
          <w:rStyle w:val="FootnoteReference"/>
          <w:sz w:val="26"/>
          <w:szCs w:val="26"/>
        </w:rPr>
        <w:footnoteReference w:id="27"/>
      </w:r>
    </w:p>
    <w:p w14:paraId="1FEFC29A" w14:textId="77777777" w:rsidR="00EA7856" w:rsidRPr="002915C6" w:rsidRDefault="00EA7856" w:rsidP="00BE5FF4">
      <w:pPr>
        <w:pStyle w:val="ListParagraph"/>
        <w:widowControl/>
        <w:tabs>
          <w:tab w:val="left" w:pos="1710"/>
        </w:tabs>
        <w:ind w:left="1440" w:right="1440" w:firstLine="720"/>
        <w:rPr>
          <w:sz w:val="26"/>
          <w:szCs w:val="26"/>
        </w:rPr>
      </w:pPr>
    </w:p>
    <w:p w14:paraId="4C094B50" w14:textId="77777777" w:rsidR="00EA7856" w:rsidRDefault="00EA7856" w:rsidP="00953CF4">
      <w:pPr>
        <w:pStyle w:val="ListParagraph"/>
        <w:keepNext/>
        <w:keepLines/>
        <w:widowControl/>
        <w:numPr>
          <w:ilvl w:val="0"/>
          <w:numId w:val="5"/>
        </w:numPr>
        <w:tabs>
          <w:tab w:val="left" w:pos="2160"/>
        </w:tabs>
        <w:ind w:left="1440" w:right="1440" w:firstLine="720"/>
        <w:rPr>
          <w:sz w:val="26"/>
          <w:szCs w:val="26"/>
        </w:rPr>
      </w:pPr>
      <w:r w:rsidRPr="002915C6">
        <w:rPr>
          <w:sz w:val="26"/>
          <w:szCs w:val="26"/>
        </w:rPr>
        <w:t>The municipal agreements set forth in Paragraph No. 2, shall be filed unde</w:t>
      </w:r>
      <w:r w:rsidR="00150AD2">
        <w:rPr>
          <w:sz w:val="26"/>
          <w:szCs w:val="26"/>
        </w:rPr>
        <w:t>r separate “U” docket numbers.</w:t>
      </w:r>
    </w:p>
    <w:p w14:paraId="1B9B0CD6" w14:textId="77777777" w:rsidR="00EA7856" w:rsidRDefault="00EA7856" w:rsidP="00953CF4">
      <w:pPr>
        <w:keepNext/>
        <w:keepLines/>
        <w:widowControl/>
        <w:ind w:left="1440" w:right="1440"/>
        <w:rPr>
          <w:rStyle w:val="Strong"/>
          <w:b w:val="0"/>
          <w:bCs w:val="0"/>
          <w:color w:val="252525"/>
          <w:sz w:val="26"/>
          <w:szCs w:val="26"/>
          <w:shd w:val="clear" w:color="auto" w:fill="FFFFFF"/>
        </w:rPr>
      </w:pPr>
    </w:p>
    <w:p w14:paraId="2648403D" w14:textId="77777777" w:rsidR="00D00B26" w:rsidRPr="002915C6" w:rsidRDefault="00D00B26" w:rsidP="00953CF4">
      <w:pPr>
        <w:keepNext/>
        <w:keepLines/>
        <w:widowControl/>
        <w:ind w:left="1440" w:right="1440"/>
        <w:rPr>
          <w:rStyle w:val="Strong"/>
          <w:b w:val="0"/>
          <w:bCs w:val="0"/>
          <w:color w:val="252525"/>
          <w:sz w:val="26"/>
          <w:szCs w:val="26"/>
          <w:shd w:val="clear" w:color="auto" w:fill="FFFFFF"/>
        </w:rPr>
      </w:pPr>
    </w:p>
    <w:p w14:paraId="3CD53D7A" w14:textId="77777777" w:rsidR="00EA7856" w:rsidRPr="002915C6" w:rsidRDefault="00EA7856" w:rsidP="00953CF4">
      <w:pPr>
        <w:keepNext/>
        <w:keepLines/>
        <w:widowControl/>
        <w:rPr>
          <w:sz w:val="26"/>
          <w:szCs w:val="26"/>
        </w:rPr>
      </w:pPr>
      <w:r w:rsidRPr="002915C6">
        <w:rPr>
          <w:rStyle w:val="Strong"/>
          <w:b w:val="0"/>
          <w:bCs w:val="0"/>
          <w:color w:val="252525"/>
          <w:sz w:val="26"/>
          <w:szCs w:val="26"/>
          <w:shd w:val="clear" w:color="auto" w:fill="FFFFFF"/>
        </w:rPr>
        <w:t>Aqua R. Exc. at 6-7.</w:t>
      </w:r>
    </w:p>
    <w:p w14:paraId="5BA43893" w14:textId="77777777" w:rsidR="00EA7856" w:rsidRPr="002915C6" w:rsidRDefault="00EA7856" w:rsidP="00BE5FF4">
      <w:pPr>
        <w:widowControl/>
        <w:rPr>
          <w:sz w:val="26"/>
          <w:szCs w:val="26"/>
        </w:rPr>
      </w:pPr>
    </w:p>
    <w:p w14:paraId="461B55A4" w14:textId="77777777" w:rsidR="00EA7856" w:rsidRPr="002915C6" w:rsidRDefault="00EA7856" w:rsidP="00BE5FF4">
      <w:pPr>
        <w:widowControl/>
        <w:rPr>
          <w:sz w:val="26"/>
          <w:szCs w:val="26"/>
        </w:rPr>
      </w:pPr>
    </w:p>
    <w:p w14:paraId="21B1402F" w14:textId="77777777" w:rsidR="00347446" w:rsidRDefault="008D2146" w:rsidP="007D7A61">
      <w:pPr>
        <w:keepNext/>
        <w:keepLines/>
        <w:widowControl/>
        <w:autoSpaceDE w:val="0"/>
        <w:autoSpaceDN w:val="0"/>
        <w:adjustRightInd w:val="0"/>
        <w:spacing w:line="360" w:lineRule="auto"/>
        <w:ind w:left="720" w:firstLine="720"/>
        <w:contextualSpacing/>
        <w:rPr>
          <w:b/>
          <w:bCs/>
          <w:sz w:val="26"/>
          <w:szCs w:val="26"/>
          <w:lang w:val="en"/>
        </w:rPr>
      </w:pPr>
      <w:r>
        <w:rPr>
          <w:b/>
          <w:bCs/>
          <w:sz w:val="26"/>
          <w:szCs w:val="26"/>
          <w:lang w:val="en"/>
        </w:rPr>
        <w:t>2.</w:t>
      </w:r>
      <w:r w:rsidR="00EA7856" w:rsidRPr="002915C6">
        <w:rPr>
          <w:b/>
          <w:bCs/>
          <w:sz w:val="26"/>
          <w:szCs w:val="26"/>
          <w:lang w:val="en"/>
        </w:rPr>
        <w:tab/>
      </w:r>
      <w:r w:rsidR="00AD77E6">
        <w:rPr>
          <w:b/>
          <w:bCs/>
          <w:sz w:val="26"/>
          <w:szCs w:val="26"/>
          <w:lang w:val="en"/>
        </w:rPr>
        <w:t xml:space="preserve">Filing Date for Executed </w:t>
      </w:r>
      <w:r w:rsidR="00305257">
        <w:rPr>
          <w:b/>
          <w:bCs/>
          <w:sz w:val="26"/>
          <w:szCs w:val="26"/>
          <w:lang w:val="en"/>
        </w:rPr>
        <w:t>Municipal Contracts</w:t>
      </w:r>
    </w:p>
    <w:p w14:paraId="27F8091E" w14:textId="77777777" w:rsidR="00347446" w:rsidRDefault="00347446" w:rsidP="007D7A61">
      <w:pPr>
        <w:keepNext/>
        <w:keepLines/>
        <w:widowControl/>
        <w:autoSpaceDE w:val="0"/>
        <w:autoSpaceDN w:val="0"/>
        <w:adjustRightInd w:val="0"/>
        <w:spacing w:line="360" w:lineRule="auto"/>
        <w:ind w:left="720" w:firstLine="720"/>
        <w:contextualSpacing/>
        <w:rPr>
          <w:b/>
          <w:bCs/>
          <w:sz w:val="26"/>
          <w:szCs w:val="26"/>
          <w:lang w:val="en"/>
        </w:rPr>
      </w:pPr>
    </w:p>
    <w:p w14:paraId="718286A8" w14:textId="77777777" w:rsidR="00EA7856" w:rsidRPr="002915C6" w:rsidRDefault="00305257" w:rsidP="00BE5FF4">
      <w:pPr>
        <w:keepNext/>
        <w:keepLines/>
        <w:widowControl/>
        <w:autoSpaceDE w:val="0"/>
        <w:autoSpaceDN w:val="0"/>
        <w:adjustRightInd w:val="0"/>
        <w:spacing w:line="360" w:lineRule="auto"/>
        <w:ind w:left="720" w:firstLine="720"/>
        <w:contextualSpacing/>
        <w:rPr>
          <w:b/>
          <w:bCs/>
          <w:sz w:val="26"/>
          <w:szCs w:val="26"/>
          <w:lang w:val="en"/>
        </w:rPr>
      </w:pPr>
      <w:r>
        <w:rPr>
          <w:b/>
          <w:bCs/>
          <w:sz w:val="26"/>
          <w:szCs w:val="26"/>
          <w:lang w:val="en"/>
        </w:rPr>
        <w:tab/>
        <w:t>a.</w:t>
      </w:r>
      <w:r>
        <w:rPr>
          <w:b/>
          <w:bCs/>
          <w:sz w:val="26"/>
          <w:szCs w:val="26"/>
          <w:lang w:val="en"/>
        </w:rPr>
        <w:tab/>
      </w:r>
      <w:proofErr w:type="spellStart"/>
      <w:r w:rsidR="00EA7856" w:rsidRPr="002915C6">
        <w:rPr>
          <w:b/>
          <w:bCs/>
          <w:sz w:val="26"/>
          <w:szCs w:val="26"/>
          <w:lang w:val="en"/>
        </w:rPr>
        <w:t>Aqua’s</w:t>
      </w:r>
      <w:proofErr w:type="spellEnd"/>
      <w:r w:rsidR="00EA7856" w:rsidRPr="002915C6">
        <w:rPr>
          <w:b/>
          <w:bCs/>
          <w:sz w:val="26"/>
          <w:szCs w:val="26"/>
          <w:lang w:val="en"/>
        </w:rPr>
        <w:t xml:space="preserve"> </w:t>
      </w:r>
      <w:r w:rsidR="00EA7856" w:rsidRPr="002915C6">
        <w:rPr>
          <w:b/>
          <w:sz w:val="26"/>
          <w:szCs w:val="26"/>
        </w:rPr>
        <w:t>Exceptions</w:t>
      </w:r>
    </w:p>
    <w:p w14:paraId="3774D52A" w14:textId="77777777" w:rsidR="00EA7856" w:rsidRPr="002915C6" w:rsidRDefault="00EA7856" w:rsidP="00BE5FF4">
      <w:pPr>
        <w:keepNext/>
        <w:keepLines/>
        <w:widowControl/>
        <w:autoSpaceDE w:val="0"/>
        <w:autoSpaceDN w:val="0"/>
        <w:adjustRightInd w:val="0"/>
        <w:spacing w:line="360" w:lineRule="auto"/>
        <w:ind w:firstLine="720"/>
        <w:contextualSpacing/>
        <w:rPr>
          <w:b/>
          <w:bCs/>
          <w:sz w:val="26"/>
          <w:szCs w:val="26"/>
          <w:lang w:val="en"/>
        </w:rPr>
      </w:pPr>
    </w:p>
    <w:p w14:paraId="18228919" w14:textId="77777777" w:rsidR="00EA7856" w:rsidRPr="002915C6" w:rsidRDefault="00EA7856" w:rsidP="0012768D">
      <w:pPr>
        <w:keepNext/>
        <w:widowControl/>
        <w:autoSpaceDE w:val="0"/>
        <w:autoSpaceDN w:val="0"/>
        <w:adjustRightInd w:val="0"/>
        <w:spacing w:line="360" w:lineRule="auto"/>
        <w:ind w:firstLine="720"/>
        <w:contextualSpacing/>
        <w:rPr>
          <w:sz w:val="26"/>
          <w:szCs w:val="26"/>
        </w:rPr>
      </w:pPr>
      <w:r w:rsidRPr="002915C6">
        <w:rPr>
          <w:b/>
          <w:bCs/>
          <w:sz w:val="26"/>
          <w:szCs w:val="26"/>
          <w:lang w:val="en"/>
        </w:rPr>
        <w:tab/>
      </w:r>
      <w:r w:rsidRPr="002915C6">
        <w:rPr>
          <w:sz w:val="26"/>
          <w:szCs w:val="26"/>
        </w:rPr>
        <w:t>In its Exception No. 5, in response to the ALJ’s recommendation that Aqua file all relevant municipal agreements</w:t>
      </w:r>
      <w:r w:rsidR="00AD77E6">
        <w:rPr>
          <w:sz w:val="26"/>
          <w:szCs w:val="26"/>
        </w:rPr>
        <w:t xml:space="preserve"> that</w:t>
      </w:r>
      <w:r w:rsidRPr="002915C6">
        <w:rPr>
          <w:sz w:val="26"/>
          <w:szCs w:val="26"/>
        </w:rPr>
        <w:t xml:space="preserve"> it is assuming within twenty days of the entry of a Final Order in the instant proceeding, Aqua retorts that while it can file the municipal agreements or forms of assignment agreements within twenty days of the entry of the Final Order, it cannot file executed agreements within twenty days of the Final Order.  Aqua </w:t>
      </w:r>
      <w:r w:rsidR="006609E1">
        <w:rPr>
          <w:sz w:val="26"/>
          <w:szCs w:val="26"/>
        </w:rPr>
        <w:t xml:space="preserve">proposes, however, </w:t>
      </w:r>
      <w:r w:rsidRPr="002915C6">
        <w:rPr>
          <w:sz w:val="26"/>
          <w:szCs w:val="26"/>
        </w:rPr>
        <w:t xml:space="preserve">that if the Commission concludes that the assignment agreements also must be filed, Aqua would, as a matter of administrative efficiency, agree to file the executed agreements after the closing of the transaction under separate “U” dockets similar to the PAWC-Scranton proceeding.  Aqua </w:t>
      </w:r>
      <w:r w:rsidR="00D01840">
        <w:rPr>
          <w:sz w:val="26"/>
          <w:szCs w:val="26"/>
        </w:rPr>
        <w:t>Exc. at 24 (citing R.D. at</w:t>
      </w:r>
      <w:r w:rsidR="006609E1">
        <w:rPr>
          <w:sz w:val="26"/>
          <w:szCs w:val="26"/>
        </w:rPr>
        <w:t> </w:t>
      </w:r>
      <w:r w:rsidR="00D01840">
        <w:rPr>
          <w:sz w:val="26"/>
          <w:szCs w:val="26"/>
        </w:rPr>
        <w:t>50).</w:t>
      </w:r>
    </w:p>
    <w:p w14:paraId="7FF23994" w14:textId="77777777" w:rsidR="00EA7856" w:rsidRDefault="00EA7856" w:rsidP="0012768D">
      <w:pPr>
        <w:keepNext/>
        <w:widowControl/>
        <w:autoSpaceDE w:val="0"/>
        <w:autoSpaceDN w:val="0"/>
        <w:adjustRightInd w:val="0"/>
        <w:spacing w:line="360" w:lineRule="auto"/>
        <w:ind w:firstLine="720"/>
        <w:contextualSpacing/>
        <w:rPr>
          <w:sz w:val="26"/>
          <w:szCs w:val="26"/>
        </w:rPr>
      </w:pPr>
    </w:p>
    <w:p w14:paraId="0A97D722" w14:textId="77777777" w:rsidR="006609E1" w:rsidRPr="001D2900" w:rsidRDefault="006609E1" w:rsidP="0012768D">
      <w:pPr>
        <w:keepNext/>
        <w:widowControl/>
        <w:autoSpaceDE w:val="0"/>
        <w:autoSpaceDN w:val="0"/>
        <w:adjustRightInd w:val="0"/>
        <w:spacing w:line="360" w:lineRule="auto"/>
        <w:ind w:firstLine="720"/>
        <w:contextualSpacing/>
        <w:rPr>
          <w:b/>
          <w:sz w:val="26"/>
          <w:szCs w:val="26"/>
        </w:rPr>
      </w:pPr>
      <w:r w:rsidRPr="001D2900">
        <w:rPr>
          <w:b/>
          <w:sz w:val="26"/>
          <w:szCs w:val="26"/>
        </w:rPr>
        <w:tab/>
      </w:r>
      <w:r w:rsidR="0051199F">
        <w:rPr>
          <w:b/>
          <w:sz w:val="26"/>
          <w:szCs w:val="26"/>
        </w:rPr>
        <w:tab/>
      </w:r>
      <w:r w:rsidR="001D2900" w:rsidRPr="001D2900">
        <w:rPr>
          <w:b/>
          <w:sz w:val="26"/>
          <w:szCs w:val="26"/>
        </w:rPr>
        <w:t>b.</w:t>
      </w:r>
      <w:r w:rsidR="001D2900" w:rsidRPr="001D2900">
        <w:rPr>
          <w:b/>
          <w:sz w:val="26"/>
          <w:szCs w:val="26"/>
        </w:rPr>
        <w:tab/>
        <w:t xml:space="preserve">I&amp;E Replies to </w:t>
      </w:r>
      <w:proofErr w:type="spellStart"/>
      <w:r w:rsidR="001D2900" w:rsidRPr="001D2900">
        <w:rPr>
          <w:b/>
          <w:sz w:val="26"/>
          <w:szCs w:val="26"/>
        </w:rPr>
        <w:t>Aqua’s</w:t>
      </w:r>
      <w:proofErr w:type="spellEnd"/>
      <w:r w:rsidR="001D2900" w:rsidRPr="001D2900">
        <w:rPr>
          <w:b/>
          <w:sz w:val="26"/>
          <w:szCs w:val="26"/>
        </w:rPr>
        <w:t xml:space="preserve"> Exceptions</w:t>
      </w:r>
    </w:p>
    <w:p w14:paraId="7E24EA45" w14:textId="77777777" w:rsidR="006609E1" w:rsidRPr="002915C6" w:rsidRDefault="006609E1" w:rsidP="0012768D">
      <w:pPr>
        <w:keepNext/>
        <w:widowControl/>
        <w:autoSpaceDE w:val="0"/>
        <w:autoSpaceDN w:val="0"/>
        <w:adjustRightInd w:val="0"/>
        <w:spacing w:line="360" w:lineRule="auto"/>
        <w:ind w:firstLine="720"/>
        <w:contextualSpacing/>
        <w:rPr>
          <w:sz w:val="26"/>
          <w:szCs w:val="26"/>
        </w:rPr>
      </w:pPr>
    </w:p>
    <w:p w14:paraId="693C5EBC" w14:textId="77777777" w:rsidR="00EA7856" w:rsidRPr="002915C6" w:rsidRDefault="00EA7856" w:rsidP="0012768D">
      <w:pPr>
        <w:keepNext/>
        <w:widowControl/>
        <w:autoSpaceDE w:val="0"/>
        <w:autoSpaceDN w:val="0"/>
        <w:adjustRightInd w:val="0"/>
        <w:spacing w:line="360" w:lineRule="auto"/>
        <w:ind w:firstLine="720"/>
        <w:contextualSpacing/>
        <w:rPr>
          <w:sz w:val="26"/>
          <w:szCs w:val="26"/>
        </w:rPr>
      </w:pPr>
      <w:r w:rsidRPr="002915C6">
        <w:rPr>
          <w:sz w:val="26"/>
          <w:szCs w:val="26"/>
        </w:rPr>
        <w:tab/>
        <w:t xml:space="preserve">In its Replies to Aqua Exception No. 5, I&amp;E disagrees that the ALJ’s recommendation cures </w:t>
      </w:r>
      <w:proofErr w:type="spellStart"/>
      <w:r w:rsidRPr="002915C6">
        <w:rPr>
          <w:sz w:val="26"/>
          <w:szCs w:val="26"/>
        </w:rPr>
        <w:t>Aqua’s</w:t>
      </w:r>
      <w:proofErr w:type="spellEnd"/>
      <w:r w:rsidRPr="002915C6">
        <w:rPr>
          <w:sz w:val="26"/>
          <w:szCs w:val="26"/>
        </w:rPr>
        <w:t xml:space="preserve"> failure to request such approvals in its Application.  Citing to its Exceptions regarding this issue, I&amp;E avers that although this proceeding is almost concluded, the Parties have not been apprised of which municipal agreements Aqua is seeking approval to assume under Section 507.  I&amp;E R. Exc. at 6-7 (citing Aqua Exc. at 24; I&amp;E Exc. at 8-10).  Per I&amp;E, “pursuant to Section 507, the Commission may, prior to the effective date of the contract, institute proceedings to determine the reasonableness, legality, or any other matter effecting the validity of the contract or agreement.”  I&amp;E argues </w:t>
      </w:r>
      <w:r w:rsidR="00350250">
        <w:rPr>
          <w:sz w:val="26"/>
          <w:szCs w:val="26"/>
        </w:rPr>
        <w:t xml:space="preserve">that </w:t>
      </w:r>
      <w:r w:rsidRPr="002915C6">
        <w:rPr>
          <w:sz w:val="26"/>
          <w:szCs w:val="26"/>
        </w:rPr>
        <w:t>the Commission and Parties to this proceeding will be deprived of these opportunities if the municipal contracts are not filed until twenty days after the Final Order in the instant proceeding.  I&amp;E finds fault with approving the instant application without knowing what agreements Aqua is assuming.  I&amp;E R. Exc. at 7</w:t>
      </w:r>
      <w:r w:rsidR="00A4434D">
        <w:rPr>
          <w:sz w:val="26"/>
          <w:szCs w:val="26"/>
        </w:rPr>
        <w:t>.</w:t>
      </w:r>
    </w:p>
    <w:p w14:paraId="4C0B544C" w14:textId="77777777" w:rsidR="00EA7856" w:rsidRPr="002915C6" w:rsidRDefault="00EA7856" w:rsidP="0012768D">
      <w:pPr>
        <w:widowControl/>
        <w:spacing w:line="360" w:lineRule="auto"/>
        <w:rPr>
          <w:rStyle w:val="Strong"/>
          <w:b w:val="0"/>
          <w:bCs w:val="0"/>
          <w:color w:val="252525"/>
          <w:sz w:val="26"/>
          <w:szCs w:val="26"/>
          <w:shd w:val="clear" w:color="auto" w:fill="FFFFFF"/>
        </w:rPr>
      </w:pPr>
    </w:p>
    <w:p w14:paraId="69ADC711" w14:textId="77777777" w:rsidR="00EA7856" w:rsidRPr="002915C6" w:rsidRDefault="008D2146" w:rsidP="00BE5FF4">
      <w:pPr>
        <w:keepNext/>
        <w:keepLines/>
        <w:widowControl/>
        <w:autoSpaceDE w:val="0"/>
        <w:autoSpaceDN w:val="0"/>
        <w:adjustRightInd w:val="0"/>
        <w:spacing w:line="360" w:lineRule="auto"/>
        <w:ind w:left="720" w:firstLine="720"/>
        <w:contextualSpacing/>
        <w:rPr>
          <w:b/>
          <w:bCs/>
          <w:sz w:val="26"/>
          <w:szCs w:val="26"/>
          <w:lang w:val="en"/>
        </w:rPr>
      </w:pPr>
      <w:r>
        <w:rPr>
          <w:b/>
          <w:bCs/>
          <w:sz w:val="26"/>
          <w:szCs w:val="26"/>
          <w:lang w:val="en"/>
        </w:rPr>
        <w:t>3</w:t>
      </w:r>
      <w:r w:rsidR="00EA7856" w:rsidRPr="002915C6">
        <w:rPr>
          <w:b/>
          <w:bCs/>
          <w:sz w:val="26"/>
          <w:szCs w:val="26"/>
          <w:lang w:val="en"/>
        </w:rPr>
        <w:t xml:space="preserve">. </w:t>
      </w:r>
      <w:r w:rsidR="00EA7856" w:rsidRPr="002915C6">
        <w:rPr>
          <w:b/>
          <w:bCs/>
          <w:sz w:val="26"/>
          <w:szCs w:val="26"/>
          <w:lang w:val="en"/>
        </w:rPr>
        <w:tab/>
        <w:t>Disposition</w:t>
      </w:r>
    </w:p>
    <w:p w14:paraId="4ABAC0C0" w14:textId="77777777" w:rsidR="00EA7856" w:rsidRPr="002915C6" w:rsidRDefault="00EA7856" w:rsidP="00BE5FF4">
      <w:pPr>
        <w:keepNext/>
        <w:keepLines/>
        <w:widowControl/>
        <w:spacing w:line="360" w:lineRule="auto"/>
        <w:ind w:firstLine="1440"/>
        <w:rPr>
          <w:rStyle w:val="Strong"/>
          <w:b w:val="0"/>
          <w:bCs w:val="0"/>
          <w:color w:val="252525"/>
          <w:sz w:val="26"/>
          <w:szCs w:val="26"/>
          <w:shd w:val="clear" w:color="auto" w:fill="FFFFFF"/>
        </w:rPr>
      </w:pPr>
    </w:p>
    <w:p w14:paraId="79815CF7" w14:textId="77777777" w:rsidR="00197E65" w:rsidRDefault="00EA7856" w:rsidP="0012768D">
      <w:pPr>
        <w:widowControl/>
        <w:spacing w:line="360" w:lineRule="auto"/>
        <w:ind w:firstLine="1440"/>
        <w:rPr>
          <w:rFonts w:eastAsia="Calibri"/>
          <w:sz w:val="26"/>
          <w:szCs w:val="26"/>
        </w:rPr>
      </w:pPr>
      <w:r w:rsidRPr="002915C6">
        <w:rPr>
          <w:sz w:val="26"/>
          <w:szCs w:val="26"/>
        </w:rPr>
        <w:t>Upon review, we shall deny I&amp;E</w:t>
      </w:r>
      <w:r w:rsidR="001D2900">
        <w:rPr>
          <w:sz w:val="26"/>
          <w:szCs w:val="26"/>
        </w:rPr>
        <w:t>’s</w:t>
      </w:r>
      <w:r w:rsidRPr="002915C6">
        <w:rPr>
          <w:sz w:val="26"/>
          <w:szCs w:val="26"/>
        </w:rPr>
        <w:t xml:space="preserve"> Exception No. 2.  </w:t>
      </w:r>
      <w:r w:rsidR="001D2900">
        <w:rPr>
          <w:sz w:val="26"/>
          <w:szCs w:val="26"/>
        </w:rPr>
        <w:t>O</w:t>
      </w:r>
      <w:r w:rsidRPr="002915C6">
        <w:rPr>
          <w:sz w:val="26"/>
          <w:szCs w:val="26"/>
        </w:rPr>
        <w:t xml:space="preserve">ur position regarding this issue </w:t>
      </w:r>
      <w:r w:rsidR="00350250">
        <w:rPr>
          <w:sz w:val="26"/>
          <w:szCs w:val="26"/>
        </w:rPr>
        <w:t>is similar to o</w:t>
      </w:r>
      <w:r w:rsidRPr="002915C6">
        <w:rPr>
          <w:sz w:val="26"/>
          <w:szCs w:val="26"/>
        </w:rPr>
        <w:t>ur</w:t>
      </w:r>
      <w:r w:rsidR="00350250">
        <w:rPr>
          <w:sz w:val="26"/>
          <w:szCs w:val="26"/>
        </w:rPr>
        <w:t xml:space="preserve"> disposition in the </w:t>
      </w:r>
      <w:r w:rsidR="00350250" w:rsidRPr="00350250">
        <w:rPr>
          <w:i/>
          <w:sz w:val="26"/>
          <w:szCs w:val="26"/>
        </w:rPr>
        <w:t xml:space="preserve">Aqua – </w:t>
      </w:r>
      <w:r w:rsidRPr="00350250">
        <w:rPr>
          <w:i/>
          <w:sz w:val="26"/>
          <w:szCs w:val="26"/>
        </w:rPr>
        <w:t xml:space="preserve"> </w:t>
      </w:r>
      <w:r w:rsidRPr="002915C6">
        <w:rPr>
          <w:i/>
          <w:sz w:val="26"/>
          <w:szCs w:val="26"/>
        </w:rPr>
        <w:t>New Garden Reconsideration Order</w:t>
      </w:r>
      <w:r w:rsidRPr="002915C6">
        <w:rPr>
          <w:sz w:val="26"/>
          <w:szCs w:val="26"/>
        </w:rPr>
        <w:t xml:space="preserve">.  </w:t>
      </w:r>
      <w:r w:rsidRPr="002915C6">
        <w:rPr>
          <w:rFonts w:eastAsia="Calibri"/>
          <w:sz w:val="26"/>
          <w:szCs w:val="26"/>
        </w:rPr>
        <w:t>Thus, similar to our</w:t>
      </w:r>
      <w:r w:rsidR="00B112E7">
        <w:rPr>
          <w:rFonts w:eastAsia="Calibri"/>
          <w:sz w:val="26"/>
          <w:szCs w:val="26"/>
        </w:rPr>
        <w:t xml:space="preserve"> action in the </w:t>
      </w:r>
      <w:r w:rsidRPr="002915C6">
        <w:rPr>
          <w:i/>
          <w:sz w:val="26"/>
          <w:szCs w:val="26"/>
        </w:rPr>
        <w:t>New Garden Reconsideration Order</w:t>
      </w:r>
      <w:r w:rsidRPr="002915C6">
        <w:rPr>
          <w:sz w:val="26"/>
          <w:szCs w:val="26"/>
        </w:rPr>
        <w:t xml:space="preserve">, </w:t>
      </w:r>
      <w:r w:rsidRPr="002915C6">
        <w:rPr>
          <w:rFonts w:eastAsia="Calibri"/>
          <w:sz w:val="26"/>
          <w:szCs w:val="26"/>
        </w:rPr>
        <w:t xml:space="preserve">we </w:t>
      </w:r>
      <w:r w:rsidR="00B112E7">
        <w:rPr>
          <w:rFonts w:eastAsia="Calibri"/>
          <w:sz w:val="26"/>
          <w:szCs w:val="26"/>
        </w:rPr>
        <w:t xml:space="preserve">shall </w:t>
      </w:r>
      <w:r w:rsidRPr="002915C6">
        <w:rPr>
          <w:rFonts w:eastAsia="Calibri"/>
          <w:sz w:val="26"/>
          <w:szCs w:val="26"/>
        </w:rPr>
        <w:t>decline to find th</w:t>
      </w:r>
      <w:r w:rsidR="00E4664A">
        <w:rPr>
          <w:rFonts w:eastAsia="Calibri"/>
          <w:sz w:val="26"/>
          <w:szCs w:val="26"/>
        </w:rPr>
        <w:t>at th</w:t>
      </w:r>
      <w:r w:rsidRPr="002915C6">
        <w:rPr>
          <w:rFonts w:eastAsia="Calibri"/>
          <w:sz w:val="26"/>
          <w:szCs w:val="26"/>
        </w:rPr>
        <w:t xml:space="preserve">e APA or the </w:t>
      </w:r>
      <w:r w:rsidR="00E4664A">
        <w:rPr>
          <w:rFonts w:eastAsia="Calibri"/>
          <w:sz w:val="26"/>
          <w:szCs w:val="26"/>
        </w:rPr>
        <w:t xml:space="preserve">filed </w:t>
      </w:r>
      <w:r w:rsidRPr="002915C6">
        <w:rPr>
          <w:rFonts w:eastAsia="Calibri"/>
          <w:sz w:val="26"/>
          <w:szCs w:val="26"/>
        </w:rPr>
        <w:t xml:space="preserve">agreements </w:t>
      </w:r>
      <w:r w:rsidR="006D3AA7">
        <w:rPr>
          <w:rFonts w:eastAsia="Calibri"/>
          <w:sz w:val="26"/>
          <w:szCs w:val="26"/>
        </w:rPr>
        <w:t xml:space="preserve">in this proceeding </w:t>
      </w:r>
      <w:r w:rsidR="00E4664A">
        <w:rPr>
          <w:rFonts w:eastAsia="Calibri"/>
          <w:sz w:val="26"/>
          <w:szCs w:val="26"/>
        </w:rPr>
        <w:t>are</w:t>
      </w:r>
      <w:r w:rsidR="006D3AA7">
        <w:rPr>
          <w:rFonts w:eastAsia="Calibri"/>
          <w:sz w:val="26"/>
          <w:szCs w:val="26"/>
        </w:rPr>
        <w:t xml:space="preserve"> ineffective.</w:t>
      </w:r>
    </w:p>
    <w:p w14:paraId="72D85A0D" w14:textId="77777777" w:rsidR="00197E65" w:rsidRDefault="00197E65" w:rsidP="0012768D">
      <w:pPr>
        <w:widowControl/>
        <w:spacing w:line="360" w:lineRule="auto"/>
        <w:ind w:firstLine="1440"/>
        <w:rPr>
          <w:rFonts w:eastAsia="Calibri"/>
          <w:sz w:val="26"/>
          <w:szCs w:val="26"/>
        </w:rPr>
      </w:pPr>
    </w:p>
    <w:p w14:paraId="71039B55" w14:textId="20F665B7" w:rsidR="00197E65" w:rsidRDefault="00197E65" w:rsidP="0012768D">
      <w:pPr>
        <w:widowControl/>
        <w:spacing w:line="360" w:lineRule="auto"/>
        <w:ind w:firstLine="1440"/>
        <w:rPr>
          <w:rFonts w:eastAsia="Calibri"/>
          <w:sz w:val="26"/>
          <w:szCs w:val="26"/>
        </w:rPr>
      </w:pPr>
      <w:r>
        <w:rPr>
          <w:rFonts w:eastAsia="Calibri"/>
          <w:sz w:val="26"/>
          <w:szCs w:val="26"/>
        </w:rPr>
        <w:t xml:space="preserve">Aqua has complied with the filing requirements of Section 507 by submitting the contracts within thirty days prior to the effective date of the contract or agreement.  The Company filed copies of the APA and all agreements being assigned or assumed by Aqua in its Application filing.  </w:t>
      </w:r>
      <w:r w:rsidR="00AA02A7">
        <w:rPr>
          <w:rFonts w:eastAsia="Calibri"/>
          <w:sz w:val="26"/>
          <w:szCs w:val="26"/>
        </w:rPr>
        <w:t xml:space="preserve">Aqua also acknowledges that the municipal agreements contained as exhibits to the APA will not be become effective until after closing of the APA which is well beyond the thirty-day filing period set forth in Section 507.  </w:t>
      </w:r>
      <w:r>
        <w:rPr>
          <w:rFonts w:eastAsia="Calibri"/>
          <w:sz w:val="26"/>
          <w:szCs w:val="26"/>
        </w:rPr>
        <w:t>The municipal agreements are part of the evidentiary record and we are aware of no Party finding an issue with them or providing an objection to them being assigned or assumed by the Company.  Although I&amp;E and the OCA ha</w:t>
      </w:r>
      <w:r w:rsidR="004D1BA5">
        <w:rPr>
          <w:rFonts w:eastAsia="Calibri"/>
          <w:sz w:val="26"/>
          <w:szCs w:val="26"/>
        </w:rPr>
        <w:t>ve</w:t>
      </w:r>
      <w:r>
        <w:rPr>
          <w:rFonts w:eastAsia="Calibri"/>
          <w:sz w:val="26"/>
          <w:szCs w:val="26"/>
        </w:rPr>
        <w:t xml:space="preserve"> raised objections to provisions of the APA, we are approving the Application, as discussed herein, as being in the public interest.  There </w:t>
      </w:r>
      <w:r w:rsidR="006D3AA7">
        <w:rPr>
          <w:rFonts w:eastAsia="Calibri"/>
          <w:sz w:val="26"/>
          <w:szCs w:val="26"/>
        </w:rPr>
        <w:t>is</w:t>
      </w:r>
      <w:r>
        <w:rPr>
          <w:rFonts w:eastAsia="Calibri"/>
          <w:sz w:val="26"/>
          <w:szCs w:val="26"/>
        </w:rPr>
        <w:t xml:space="preserve"> no evidentiary basis upon which to find that the APA or the municipal agreements being assigned or assumed by Aqua fail to satisfy the Section 507 standard pertaining to reasonableness, legality or any other matter effecting </w:t>
      </w:r>
      <w:r w:rsidR="00AB1205">
        <w:rPr>
          <w:rFonts w:eastAsia="Calibri"/>
          <w:sz w:val="26"/>
          <w:szCs w:val="26"/>
        </w:rPr>
        <w:t>the validity of the agreement.</w:t>
      </w:r>
    </w:p>
    <w:p w14:paraId="326AFA66" w14:textId="77777777" w:rsidR="00197E65" w:rsidRDefault="00197E65" w:rsidP="0012768D">
      <w:pPr>
        <w:widowControl/>
        <w:spacing w:line="360" w:lineRule="auto"/>
        <w:ind w:firstLine="1440"/>
        <w:rPr>
          <w:rFonts w:eastAsia="Calibri"/>
          <w:sz w:val="26"/>
          <w:szCs w:val="26"/>
        </w:rPr>
      </w:pPr>
    </w:p>
    <w:p w14:paraId="4D14F1E5" w14:textId="77777777" w:rsidR="00197E65" w:rsidRDefault="00197E65" w:rsidP="0012768D">
      <w:pPr>
        <w:widowControl/>
        <w:spacing w:line="360" w:lineRule="auto"/>
        <w:ind w:firstLine="1440"/>
        <w:rPr>
          <w:rFonts w:eastAsia="Calibri"/>
          <w:sz w:val="26"/>
          <w:szCs w:val="26"/>
        </w:rPr>
      </w:pPr>
      <w:r>
        <w:rPr>
          <w:rFonts w:eastAsia="Calibri"/>
          <w:sz w:val="26"/>
          <w:szCs w:val="26"/>
        </w:rPr>
        <w:t xml:space="preserve">In the Recommended Decision, the ALJ explained in his disposition of the Section 507 issue that he will direct Aqua to file the APA and all relevant municipal agreements that it is assuming under the APA with the Commission under separate “U” dockets within twenty days of entry of a final Opinion and Order in this proceeding.  </w:t>
      </w:r>
      <w:r w:rsidR="00AA02A7">
        <w:rPr>
          <w:rFonts w:eastAsia="Calibri"/>
          <w:sz w:val="26"/>
          <w:szCs w:val="26"/>
        </w:rPr>
        <w:t xml:space="preserve">The ALJ indicated that this filing procedure will facilitate administrative completeness and efficiency and is similar to the process outlined in the </w:t>
      </w:r>
      <w:r w:rsidR="00AA02A7" w:rsidRPr="00AA02A7">
        <w:rPr>
          <w:rFonts w:eastAsia="Calibri"/>
          <w:i/>
          <w:sz w:val="26"/>
          <w:szCs w:val="26"/>
        </w:rPr>
        <w:t>PAWC Scranton Order</w:t>
      </w:r>
      <w:r w:rsidR="00AA02A7">
        <w:rPr>
          <w:rFonts w:eastAsia="Calibri"/>
          <w:sz w:val="26"/>
          <w:szCs w:val="26"/>
        </w:rPr>
        <w:t xml:space="preserve">.  Indeed, the Commission directed a similar requirement in the </w:t>
      </w:r>
      <w:r w:rsidR="00AA02A7" w:rsidRPr="00AA02A7">
        <w:rPr>
          <w:rFonts w:eastAsia="Calibri"/>
          <w:i/>
          <w:sz w:val="26"/>
          <w:szCs w:val="26"/>
        </w:rPr>
        <w:t>Aqua – New Garden Reconsideration Order</w:t>
      </w:r>
      <w:r w:rsidR="00AB1205">
        <w:rPr>
          <w:rFonts w:eastAsia="Calibri"/>
          <w:sz w:val="26"/>
          <w:szCs w:val="26"/>
        </w:rPr>
        <w:t>.</w:t>
      </w:r>
    </w:p>
    <w:p w14:paraId="3790CC0A" w14:textId="77777777" w:rsidR="00197E65" w:rsidRDefault="00197E65" w:rsidP="0012768D">
      <w:pPr>
        <w:widowControl/>
        <w:spacing w:line="360" w:lineRule="auto"/>
        <w:ind w:firstLine="1440"/>
        <w:rPr>
          <w:rFonts w:eastAsia="Calibri"/>
          <w:sz w:val="26"/>
          <w:szCs w:val="26"/>
        </w:rPr>
      </w:pPr>
    </w:p>
    <w:p w14:paraId="48F05A0C" w14:textId="77777777" w:rsidR="001E1F34" w:rsidRDefault="00AB1205" w:rsidP="0012768D">
      <w:pPr>
        <w:widowControl/>
        <w:spacing w:line="360" w:lineRule="auto"/>
        <w:ind w:firstLine="1440"/>
        <w:rPr>
          <w:sz w:val="26"/>
          <w:szCs w:val="26"/>
        </w:rPr>
      </w:pPr>
      <w:r>
        <w:rPr>
          <w:sz w:val="26"/>
          <w:szCs w:val="26"/>
        </w:rPr>
        <w:t xml:space="preserve">With regard to </w:t>
      </w:r>
      <w:proofErr w:type="spellStart"/>
      <w:r w:rsidR="00EA7856" w:rsidRPr="002915C6">
        <w:rPr>
          <w:sz w:val="26"/>
          <w:szCs w:val="26"/>
        </w:rPr>
        <w:t>Aqua</w:t>
      </w:r>
      <w:r>
        <w:rPr>
          <w:sz w:val="26"/>
          <w:szCs w:val="26"/>
        </w:rPr>
        <w:t>’s</w:t>
      </w:r>
      <w:proofErr w:type="spellEnd"/>
      <w:r w:rsidR="00EA7856" w:rsidRPr="002915C6">
        <w:rPr>
          <w:sz w:val="26"/>
          <w:szCs w:val="26"/>
        </w:rPr>
        <w:t xml:space="preserve"> Exception No. 5, </w:t>
      </w:r>
      <w:r w:rsidR="00AA02A7">
        <w:rPr>
          <w:sz w:val="26"/>
          <w:szCs w:val="26"/>
        </w:rPr>
        <w:t xml:space="preserve">Aqua expresses concerns about a potential contingency requirement </w:t>
      </w:r>
      <w:r w:rsidR="001E1F34">
        <w:rPr>
          <w:sz w:val="26"/>
          <w:szCs w:val="26"/>
        </w:rPr>
        <w:t xml:space="preserve">pertaining to the filing of the forms of assignment agreements.  Aqua does not object to the filing of the </w:t>
      </w:r>
      <w:r w:rsidR="00A40E77">
        <w:rPr>
          <w:sz w:val="26"/>
          <w:szCs w:val="26"/>
        </w:rPr>
        <w:t xml:space="preserve">actual </w:t>
      </w:r>
      <w:r w:rsidR="001E1F34">
        <w:rPr>
          <w:sz w:val="26"/>
          <w:szCs w:val="26"/>
        </w:rPr>
        <w:t>municipal agreements it is assuming within twenty days of entry of the Opinion and Order</w:t>
      </w:r>
      <w:r w:rsidR="00A40E77">
        <w:rPr>
          <w:sz w:val="26"/>
          <w:szCs w:val="26"/>
        </w:rPr>
        <w:t xml:space="preserve"> and</w:t>
      </w:r>
      <w:r>
        <w:rPr>
          <w:sz w:val="26"/>
          <w:szCs w:val="26"/>
        </w:rPr>
        <w:t>,</w:t>
      </w:r>
      <w:r w:rsidR="00A40E77">
        <w:rPr>
          <w:sz w:val="26"/>
          <w:szCs w:val="26"/>
        </w:rPr>
        <w:t xml:space="preserve"> thus</w:t>
      </w:r>
      <w:r>
        <w:rPr>
          <w:sz w:val="26"/>
          <w:szCs w:val="26"/>
        </w:rPr>
        <w:t>,</w:t>
      </w:r>
      <w:r w:rsidR="00A40E77">
        <w:rPr>
          <w:sz w:val="26"/>
          <w:szCs w:val="26"/>
        </w:rPr>
        <w:t xml:space="preserve"> does not object to the ALJ’s disposition</w:t>
      </w:r>
      <w:r w:rsidR="001E1F34">
        <w:rPr>
          <w:sz w:val="26"/>
          <w:szCs w:val="26"/>
        </w:rPr>
        <w:t xml:space="preserve">.  However, the Company </w:t>
      </w:r>
      <w:r w:rsidR="002B20C1">
        <w:rPr>
          <w:sz w:val="26"/>
          <w:szCs w:val="26"/>
        </w:rPr>
        <w:t xml:space="preserve">is concerned that </w:t>
      </w:r>
      <w:r w:rsidR="00A40E77">
        <w:rPr>
          <w:sz w:val="26"/>
          <w:szCs w:val="26"/>
        </w:rPr>
        <w:t>any</w:t>
      </w:r>
      <w:r w:rsidR="001E1F34">
        <w:rPr>
          <w:sz w:val="26"/>
          <w:szCs w:val="26"/>
        </w:rPr>
        <w:t xml:space="preserve"> executed copies of assignment agreements pertaining to the assumption of the municipal agreements </w:t>
      </w:r>
      <w:r w:rsidR="002B20C1">
        <w:rPr>
          <w:sz w:val="26"/>
          <w:szCs w:val="26"/>
        </w:rPr>
        <w:t>can</w:t>
      </w:r>
      <w:r w:rsidR="001E1F34">
        <w:rPr>
          <w:sz w:val="26"/>
          <w:szCs w:val="26"/>
        </w:rPr>
        <w:t>not be</w:t>
      </w:r>
      <w:r w:rsidR="002B20C1">
        <w:rPr>
          <w:sz w:val="26"/>
          <w:szCs w:val="26"/>
        </w:rPr>
        <w:t xml:space="preserve"> executed within twenty days from the issuance of </w:t>
      </w:r>
      <w:r w:rsidR="001E1F34">
        <w:rPr>
          <w:sz w:val="26"/>
          <w:szCs w:val="26"/>
        </w:rPr>
        <w:t>a final Commission Order.  Thus, if the Commission were to direct the filing of assignment agreements, Aqua request</w:t>
      </w:r>
      <w:r w:rsidR="00A40E77">
        <w:rPr>
          <w:sz w:val="26"/>
          <w:szCs w:val="26"/>
        </w:rPr>
        <w:t>s</w:t>
      </w:r>
      <w:r w:rsidR="001E1F34">
        <w:rPr>
          <w:sz w:val="26"/>
          <w:szCs w:val="26"/>
        </w:rPr>
        <w:t xml:space="preserve"> </w:t>
      </w:r>
      <w:r w:rsidR="00BF4CB6">
        <w:rPr>
          <w:sz w:val="26"/>
          <w:szCs w:val="26"/>
        </w:rPr>
        <w:t xml:space="preserve">that </w:t>
      </w:r>
      <w:r w:rsidR="001E1F34">
        <w:rPr>
          <w:sz w:val="26"/>
          <w:szCs w:val="26"/>
        </w:rPr>
        <w:t xml:space="preserve">it </w:t>
      </w:r>
      <w:r w:rsidR="00A40E77">
        <w:rPr>
          <w:sz w:val="26"/>
          <w:szCs w:val="26"/>
        </w:rPr>
        <w:t>be permitted to</w:t>
      </w:r>
      <w:r w:rsidR="001E1F34">
        <w:rPr>
          <w:sz w:val="26"/>
          <w:szCs w:val="26"/>
        </w:rPr>
        <w:t xml:space="preserve"> </w:t>
      </w:r>
      <w:r w:rsidR="00A4434D">
        <w:rPr>
          <w:sz w:val="26"/>
          <w:szCs w:val="26"/>
        </w:rPr>
        <w:t xml:space="preserve">file a </w:t>
      </w:r>
      <w:r w:rsidR="00DC0767">
        <w:rPr>
          <w:sz w:val="26"/>
          <w:szCs w:val="26"/>
        </w:rPr>
        <w:t>form of the un</w:t>
      </w:r>
      <w:r w:rsidR="00BF4CB6">
        <w:rPr>
          <w:sz w:val="26"/>
          <w:szCs w:val="26"/>
        </w:rPr>
        <w:t>-</w:t>
      </w:r>
      <w:r w:rsidR="001E1F34">
        <w:rPr>
          <w:sz w:val="26"/>
          <w:szCs w:val="26"/>
        </w:rPr>
        <w:t xml:space="preserve">executed assignment agreements </w:t>
      </w:r>
      <w:r w:rsidR="00DC0767">
        <w:rPr>
          <w:sz w:val="26"/>
          <w:szCs w:val="26"/>
        </w:rPr>
        <w:t>within</w:t>
      </w:r>
      <w:r w:rsidR="001E1F34">
        <w:rPr>
          <w:sz w:val="26"/>
          <w:szCs w:val="26"/>
        </w:rPr>
        <w:t xml:space="preserve"> twenty days </w:t>
      </w:r>
      <w:r w:rsidR="00DC0767">
        <w:rPr>
          <w:sz w:val="26"/>
          <w:szCs w:val="26"/>
        </w:rPr>
        <w:t>of the</w:t>
      </w:r>
      <w:r w:rsidR="001E1F34">
        <w:rPr>
          <w:sz w:val="26"/>
          <w:szCs w:val="26"/>
        </w:rPr>
        <w:t xml:space="preserve"> entry of the final Commission Order</w:t>
      </w:r>
      <w:r w:rsidR="00DC0767">
        <w:rPr>
          <w:sz w:val="26"/>
          <w:szCs w:val="26"/>
        </w:rPr>
        <w:t xml:space="preserve"> and </w:t>
      </w:r>
      <w:r w:rsidR="0093427B">
        <w:rPr>
          <w:sz w:val="26"/>
          <w:szCs w:val="26"/>
        </w:rPr>
        <w:t>that it subsequently be permitted to file the e</w:t>
      </w:r>
      <w:r w:rsidR="00DC0767">
        <w:rPr>
          <w:sz w:val="26"/>
          <w:szCs w:val="26"/>
        </w:rPr>
        <w:t>xecuted version</w:t>
      </w:r>
      <w:r w:rsidR="0093427B">
        <w:rPr>
          <w:sz w:val="26"/>
          <w:szCs w:val="26"/>
        </w:rPr>
        <w:t>s</w:t>
      </w:r>
      <w:r w:rsidR="00DC0767">
        <w:rPr>
          <w:sz w:val="26"/>
          <w:szCs w:val="26"/>
        </w:rPr>
        <w:t xml:space="preserve"> </w:t>
      </w:r>
      <w:r w:rsidR="0093427B">
        <w:rPr>
          <w:sz w:val="26"/>
          <w:szCs w:val="26"/>
        </w:rPr>
        <w:t xml:space="preserve">under separate “U” dockets </w:t>
      </w:r>
      <w:r w:rsidR="00DC0767">
        <w:rPr>
          <w:sz w:val="26"/>
          <w:szCs w:val="26"/>
        </w:rPr>
        <w:t>after closing</w:t>
      </w:r>
      <w:r w:rsidR="0093427B">
        <w:rPr>
          <w:sz w:val="26"/>
          <w:szCs w:val="26"/>
        </w:rPr>
        <w:t>.</w:t>
      </w:r>
    </w:p>
    <w:p w14:paraId="47BB63F6" w14:textId="77777777" w:rsidR="001E1F34" w:rsidRDefault="001E1F34" w:rsidP="0012768D">
      <w:pPr>
        <w:widowControl/>
        <w:spacing w:line="360" w:lineRule="auto"/>
        <w:ind w:firstLine="1440"/>
        <w:rPr>
          <w:sz w:val="26"/>
          <w:szCs w:val="26"/>
        </w:rPr>
      </w:pPr>
    </w:p>
    <w:p w14:paraId="7AF6B9E4" w14:textId="77777777" w:rsidR="00EA7856" w:rsidRPr="002915C6" w:rsidRDefault="001E1F34" w:rsidP="0012768D">
      <w:pPr>
        <w:widowControl/>
        <w:spacing w:line="360" w:lineRule="auto"/>
        <w:ind w:firstLine="1440"/>
        <w:rPr>
          <w:sz w:val="26"/>
          <w:szCs w:val="26"/>
        </w:rPr>
      </w:pPr>
      <w:r>
        <w:rPr>
          <w:sz w:val="26"/>
          <w:szCs w:val="26"/>
        </w:rPr>
        <w:t xml:space="preserve">Here, it does not appear that the Parties submitted into evidence the forms of </w:t>
      </w:r>
      <w:r w:rsidR="00DC0767">
        <w:rPr>
          <w:sz w:val="26"/>
          <w:szCs w:val="26"/>
        </w:rPr>
        <w:t>the un-executed</w:t>
      </w:r>
      <w:r>
        <w:rPr>
          <w:sz w:val="26"/>
          <w:szCs w:val="26"/>
        </w:rPr>
        <w:t xml:space="preserve"> assignment agreements.</w:t>
      </w:r>
      <w:r>
        <w:rPr>
          <w:rStyle w:val="FootnoteReference"/>
          <w:sz w:val="26"/>
          <w:szCs w:val="26"/>
        </w:rPr>
        <w:footnoteReference w:id="28"/>
      </w:r>
      <w:r>
        <w:rPr>
          <w:sz w:val="26"/>
          <w:szCs w:val="26"/>
        </w:rPr>
        <w:t xml:space="preserve">  </w:t>
      </w:r>
      <w:r w:rsidR="00A40E77">
        <w:rPr>
          <w:sz w:val="26"/>
          <w:szCs w:val="26"/>
        </w:rPr>
        <w:t xml:space="preserve">Consistent with our direction in the Aqua – New Garden proceeding, we decline to require the separate filing of assignment agreements pertaining to the assumption of the municipal agreements.  Accordingly, we shall dismiss </w:t>
      </w:r>
      <w:proofErr w:type="spellStart"/>
      <w:r w:rsidR="00A40E77">
        <w:rPr>
          <w:sz w:val="26"/>
          <w:szCs w:val="26"/>
        </w:rPr>
        <w:t>Aqua’s</w:t>
      </w:r>
      <w:proofErr w:type="spellEnd"/>
      <w:r w:rsidR="00A40E77">
        <w:rPr>
          <w:sz w:val="26"/>
          <w:szCs w:val="26"/>
        </w:rPr>
        <w:t xml:space="preserve"> </w:t>
      </w:r>
      <w:r w:rsidR="006B63EC">
        <w:rPr>
          <w:sz w:val="26"/>
          <w:szCs w:val="26"/>
        </w:rPr>
        <w:t>Exception No. 5 as being moot.</w:t>
      </w:r>
    </w:p>
    <w:p w14:paraId="664664C0" w14:textId="77777777" w:rsidR="00EA7856" w:rsidRPr="002915C6" w:rsidRDefault="00EA7856" w:rsidP="0012768D">
      <w:pPr>
        <w:widowControl/>
        <w:spacing w:line="360" w:lineRule="auto"/>
        <w:ind w:firstLine="1440"/>
        <w:rPr>
          <w:rStyle w:val="Strong"/>
          <w:b w:val="0"/>
          <w:bCs w:val="0"/>
          <w:color w:val="252525"/>
          <w:sz w:val="26"/>
          <w:szCs w:val="26"/>
          <w:shd w:val="clear" w:color="auto" w:fill="FFFFFF"/>
        </w:rPr>
      </w:pPr>
    </w:p>
    <w:p w14:paraId="3593FC95" w14:textId="77777777" w:rsidR="00EA7856" w:rsidRPr="002915C6" w:rsidRDefault="00187E39" w:rsidP="00BE5FF4">
      <w:pPr>
        <w:pStyle w:val="Heading2"/>
        <w:widowControl/>
        <w:rPr>
          <w:rFonts w:ascii="Times New Roman" w:hAnsi="Times New Roman" w:cs="Times New Roman"/>
          <w:bCs w:val="0"/>
          <w:color w:val="auto"/>
          <w:lang w:val="en"/>
        </w:rPr>
      </w:pPr>
      <w:bookmarkStart w:id="30" w:name="_Toc499121847"/>
      <w:r>
        <w:rPr>
          <w:rFonts w:ascii="Times New Roman" w:hAnsi="Times New Roman" w:cs="Times New Roman"/>
          <w:bCs w:val="0"/>
          <w:color w:val="auto"/>
          <w:lang w:val="en"/>
        </w:rPr>
        <w:t>H</w:t>
      </w:r>
      <w:r w:rsidR="00EA7856" w:rsidRPr="002915C6">
        <w:rPr>
          <w:rFonts w:ascii="Times New Roman" w:hAnsi="Times New Roman" w:cs="Times New Roman"/>
          <w:bCs w:val="0"/>
          <w:color w:val="auto"/>
          <w:lang w:val="en"/>
        </w:rPr>
        <w:t>.</w:t>
      </w:r>
      <w:r w:rsidR="00EA7856" w:rsidRPr="002915C6">
        <w:rPr>
          <w:rFonts w:ascii="Times New Roman" w:hAnsi="Times New Roman" w:cs="Times New Roman"/>
          <w:bCs w:val="0"/>
          <w:color w:val="auto"/>
          <w:lang w:val="en"/>
        </w:rPr>
        <w:tab/>
        <w:t>Separate Cost of Service Study</w:t>
      </w:r>
      <w:bookmarkEnd w:id="30"/>
      <w:r w:rsidR="00EA7856" w:rsidRPr="002915C6">
        <w:rPr>
          <w:rFonts w:ascii="Times New Roman" w:hAnsi="Times New Roman" w:cs="Times New Roman"/>
          <w:bCs w:val="0"/>
          <w:color w:val="auto"/>
          <w:lang w:val="en"/>
        </w:rPr>
        <w:t xml:space="preserve"> </w:t>
      </w:r>
    </w:p>
    <w:p w14:paraId="094DAA03" w14:textId="77777777" w:rsidR="00EA7856" w:rsidRPr="002915C6" w:rsidRDefault="00EA7856" w:rsidP="0012768D">
      <w:pPr>
        <w:keepNext/>
        <w:widowControl/>
        <w:autoSpaceDE w:val="0"/>
        <w:autoSpaceDN w:val="0"/>
        <w:adjustRightInd w:val="0"/>
        <w:spacing w:line="360" w:lineRule="auto"/>
        <w:contextualSpacing/>
        <w:rPr>
          <w:b/>
          <w:bCs/>
          <w:sz w:val="26"/>
          <w:szCs w:val="26"/>
          <w:lang w:val="en"/>
        </w:rPr>
      </w:pPr>
    </w:p>
    <w:p w14:paraId="037FEC51" w14:textId="77777777" w:rsidR="0001436E" w:rsidRDefault="0001436E" w:rsidP="0001436E">
      <w:pPr>
        <w:keepNext/>
        <w:widowControl/>
        <w:autoSpaceDE w:val="0"/>
        <w:autoSpaceDN w:val="0"/>
        <w:adjustRightInd w:val="0"/>
        <w:spacing w:line="360" w:lineRule="auto"/>
        <w:ind w:firstLine="720"/>
        <w:contextualSpacing/>
        <w:rPr>
          <w:b/>
          <w:bCs/>
          <w:sz w:val="26"/>
          <w:szCs w:val="26"/>
          <w:lang w:val="en"/>
        </w:rPr>
      </w:pPr>
      <w:r>
        <w:rPr>
          <w:b/>
          <w:bCs/>
          <w:sz w:val="26"/>
          <w:szCs w:val="26"/>
          <w:lang w:val="en"/>
        </w:rPr>
        <w:tab/>
      </w:r>
      <w:r w:rsidR="008D2146">
        <w:rPr>
          <w:b/>
          <w:bCs/>
          <w:sz w:val="26"/>
          <w:szCs w:val="26"/>
          <w:lang w:val="en"/>
        </w:rPr>
        <w:t>1</w:t>
      </w:r>
      <w:r w:rsidR="007D7A61">
        <w:rPr>
          <w:b/>
          <w:bCs/>
          <w:sz w:val="26"/>
          <w:szCs w:val="26"/>
          <w:lang w:val="en"/>
        </w:rPr>
        <w:t>.</w:t>
      </w:r>
      <w:r w:rsidR="00EA7856" w:rsidRPr="002915C6">
        <w:rPr>
          <w:b/>
          <w:bCs/>
          <w:sz w:val="26"/>
          <w:szCs w:val="26"/>
          <w:lang w:val="en"/>
        </w:rPr>
        <w:tab/>
      </w:r>
      <w:proofErr w:type="spellStart"/>
      <w:r>
        <w:rPr>
          <w:b/>
          <w:bCs/>
          <w:sz w:val="26"/>
          <w:szCs w:val="26"/>
          <w:lang w:val="en"/>
        </w:rPr>
        <w:t>Aqua’s</w:t>
      </w:r>
      <w:proofErr w:type="spellEnd"/>
      <w:r>
        <w:rPr>
          <w:b/>
          <w:bCs/>
          <w:sz w:val="26"/>
          <w:szCs w:val="26"/>
          <w:lang w:val="en"/>
        </w:rPr>
        <w:t xml:space="preserve"> </w:t>
      </w:r>
      <w:r w:rsidRPr="00BE5FF4">
        <w:rPr>
          <w:b/>
          <w:sz w:val="26"/>
          <w:lang w:val="en"/>
        </w:rPr>
        <w:t>Exceptions</w:t>
      </w:r>
    </w:p>
    <w:p w14:paraId="5D998DE1" w14:textId="77777777" w:rsidR="006E7927" w:rsidRPr="002915C6" w:rsidRDefault="006E7927" w:rsidP="0012768D">
      <w:pPr>
        <w:keepNext/>
        <w:widowControl/>
        <w:autoSpaceDE w:val="0"/>
        <w:autoSpaceDN w:val="0"/>
        <w:adjustRightInd w:val="0"/>
        <w:spacing w:line="360" w:lineRule="auto"/>
        <w:ind w:firstLine="720"/>
        <w:contextualSpacing/>
        <w:rPr>
          <w:b/>
          <w:bCs/>
          <w:sz w:val="26"/>
          <w:szCs w:val="26"/>
          <w:lang w:val="en"/>
        </w:rPr>
      </w:pPr>
    </w:p>
    <w:p w14:paraId="66E4E241" w14:textId="77777777" w:rsidR="00EA7856" w:rsidRPr="002915C6" w:rsidRDefault="00EA7856" w:rsidP="00BE5FF4">
      <w:pPr>
        <w:widowControl/>
        <w:autoSpaceDE w:val="0"/>
        <w:autoSpaceDN w:val="0"/>
        <w:adjustRightInd w:val="0"/>
        <w:spacing w:line="360" w:lineRule="auto"/>
        <w:ind w:firstLine="720"/>
        <w:contextualSpacing/>
        <w:rPr>
          <w:sz w:val="26"/>
          <w:szCs w:val="26"/>
        </w:rPr>
      </w:pPr>
      <w:r w:rsidRPr="002915C6">
        <w:rPr>
          <w:b/>
          <w:bCs/>
          <w:sz w:val="26"/>
          <w:szCs w:val="26"/>
          <w:lang w:val="en"/>
        </w:rPr>
        <w:tab/>
      </w:r>
      <w:r w:rsidRPr="002915C6">
        <w:rPr>
          <w:sz w:val="26"/>
          <w:szCs w:val="26"/>
        </w:rPr>
        <w:t>In its Exception No. 6, Aqua avers that while it is not opposed to the ALJ’s recommendation that Aqua submit, at the time of its next base rate case, a cost of service study or analysis that separates the costs, capital and operating expenses of providing wastewater service to Limerick customers as a separate class, the Commission should make it clear that the study is required in the first base rate case in which Aqua will include the cost of the Limerick system.  Aqua Exc. at 24-25 (citing R.D. at 47, 53).</w:t>
      </w:r>
    </w:p>
    <w:p w14:paraId="75C8B891" w14:textId="77777777" w:rsidR="00EA7856" w:rsidRDefault="00EA7856" w:rsidP="00BE5FF4">
      <w:pPr>
        <w:widowControl/>
        <w:autoSpaceDE w:val="0"/>
        <w:autoSpaceDN w:val="0"/>
        <w:adjustRightInd w:val="0"/>
        <w:spacing w:line="360" w:lineRule="auto"/>
        <w:ind w:firstLine="720"/>
        <w:contextualSpacing/>
        <w:rPr>
          <w:sz w:val="26"/>
          <w:szCs w:val="26"/>
        </w:rPr>
      </w:pPr>
    </w:p>
    <w:p w14:paraId="305D9487" w14:textId="77777777" w:rsidR="00892B35" w:rsidRPr="00892B35" w:rsidRDefault="0001436E" w:rsidP="0001436E">
      <w:pPr>
        <w:keepNext/>
        <w:keepLines/>
        <w:widowControl/>
        <w:autoSpaceDE w:val="0"/>
        <w:autoSpaceDN w:val="0"/>
        <w:adjustRightInd w:val="0"/>
        <w:spacing w:line="360" w:lineRule="auto"/>
        <w:ind w:firstLine="720"/>
        <w:contextualSpacing/>
        <w:rPr>
          <w:b/>
          <w:sz w:val="26"/>
          <w:szCs w:val="26"/>
        </w:rPr>
      </w:pPr>
      <w:r>
        <w:rPr>
          <w:b/>
          <w:sz w:val="26"/>
          <w:szCs w:val="26"/>
        </w:rPr>
        <w:tab/>
        <w:t>2</w:t>
      </w:r>
      <w:r w:rsidR="00892B35" w:rsidRPr="00892B35">
        <w:rPr>
          <w:b/>
          <w:sz w:val="26"/>
          <w:szCs w:val="26"/>
        </w:rPr>
        <w:t>.</w:t>
      </w:r>
      <w:r w:rsidR="00892B35" w:rsidRPr="00892B35">
        <w:rPr>
          <w:b/>
          <w:sz w:val="26"/>
          <w:szCs w:val="26"/>
        </w:rPr>
        <w:tab/>
        <w:t xml:space="preserve">OCA’s Replies to </w:t>
      </w:r>
      <w:proofErr w:type="spellStart"/>
      <w:r w:rsidR="00892B35" w:rsidRPr="00892B35">
        <w:rPr>
          <w:b/>
          <w:sz w:val="26"/>
          <w:szCs w:val="26"/>
        </w:rPr>
        <w:t>Aqua’s</w:t>
      </w:r>
      <w:proofErr w:type="spellEnd"/>
      <w:r w:rsidR="00892B35" w:rsidRPr="00892B35">
        <w:rPr>
          <w:b/>
          <w:sz w:val="26"/>
          <w:szCs w:val="26"/>
        </w:rPr>
        <w:t xml:space="preserve"> Exceptions</w:t>
      </w:r>
    </w:p>
    <w:p w14:paraId="1117D0A5" w14:textId="77777777" w:rsidR="00892B35" w:rsidRPr="002915C6" w:rsidRDefault="00892B35" w:rsidP="0001436E">
      <w:pPr>
        <w:keepNext/>
        <w:keepLines/>
        <w:widowControl/>
        <w:autoSpaceDE w:val="0"/>
        <w:autoSpaceDN w:val="0"/>
        <w:adjustRightInd w:val="0"/>
        <w:spacing w:line="360" w:lineRule="auto"/>
        <w:ind w:firstLine="720"/>
        <w:contextualSpacing/>
        <w:rPr>
          <w:sz w:val="26"/>
          <w:szCs w:val="26"/>
        </w:rPr>
      </w:pPr>
    </w:p>
    <w:p w14:paraId="59ABF5FF" w14:textId="77777777" w:rsidR="00EA7856" w:rsidRPr="002915C6" w:rsidRDefault="00EA7856" w:rsidP="00BE5FF4">
      <w:pPr>
        <w:widowControl/>
        <w:autoSpaceDE w:val="0"/>
        <w:autoSpaceDN w:val="0"/>
        <w:adjustRightInd w:val="0"/>
        <w:spacing w:line="360" w:lineRule="auto"/>
        <w:ind w:firstLine="720"/>
        <w:contextualSpacing/>
        <w:rPr>
          <w:sz w:val="26"/>
          <w:szCs w:val="26"/>
        </w:rPr>
      </w:pPr>
      <w:r w:rsidRPr="002915C6">
        <w:rPr>
          <w:sz w:val="26"/>
          <w:szCs w:val="26"/>
        </w:rPr>
        <w:tab/>
        <w:t xml:space="preserve">In its Replies to Aqua Exception No. 6, the OCA asserts </w:t>
      </w:r>
      <w:r w:rsidR="005A3CFF">
        <w:rPr>
          <w:sz w:val="26"/>
          <w:szCs w:val="26"/>
        </w:rPr>
        <w:t xml:space="preserve">that </w:t>
      </w:r>
      <w:r w:rsidRPr="002915C6">
        <w:rPr>
          <w:sz w:val="26"/>
          <w:szCs w:val="26"/>
        </w:rPr>
        <w:t xml:space="preserve">if Aqua “seeks a finding that the cost-of-service study is required only in the first base rate case and not in future base rate cases, however, the Commission should decline to reach this finding and reject Aqua Exception No. 6.”  OCA R. Exc. at 22.  </w:t>
      </w:r>
      <w:r w:rsidR="005A3CFF">
        <w:rPr>
          <w:sz w:val="26"/>
          <w:szCs w:val="26"/>
        </w:rPr>
        <w:t xml:space="preserve">The </w:t>
      </w:r>
      <w:r w:rsidRPr="002915C6">
        <w:rPr>
          <w:sz w:val="26"/>
          <w:szCs w:val="26"/>
        </w:rPr>
        <w:t xml:space="preserve">OCA avers </w:t>
      </w:r>
      <w:r w:rsidR="005A3CFF">
        <w:rPr>
          <w:sz w:val="26"/>
          <w:szCs w:val="26"/>
        </w:rPr>
        <w:t xml:space="preserve">that </w:t>
      </w:r>
      <w:r w:rsidRPr="002915C6">
        <w:rPr>
          <w:sz w:val="26"/>
          <w:szCs w:val="26"/>
        </w:rPr>
        <w:t>the ALJ emphatically stated in the Recommended Decision</w:t>
      </w:r>
      <w:r w:rsidR="005A3CFF">
        <w:rPr>
          <w:sz w:val="26"/>
          <w:szCs w:val="26"/>
        </w:rPr>
        <w:t>:</w:t>
      </w:r>
      <w:r w:rsidRPr="002915C6">
        <w:rPr>
          <w:sz w:val="26"/>
          <w:szCs w:val="26"/>
        </w:rPr>
        <w:t xml:space="preserve"> “</w:t>
      </w:r>
      <w:r w:rsidR="005A3CFF">
        <w:rPr>
          <w:sz w:val="26"/>
          <w:szCs w:val="26"/>
        </w:rPr>
        <w:t>[t]</w:t>
      </w:r>
      <w:r w:rsidRPr="002915C6">
        <w:rPr>
          <w:sz w:val="26"/>
          <w:szCs w:val="26"/>
        </w:rPr>
        <w:t xml:space="preserve">hat at the time of filing its </w:t>
      </w:r>
      <w:r w:rsidRPr="002915C6">
        <w:rPr>
          <w:i/>
          <w:sz w:val="26"/>
          <w:szCs w:val="26"/>
        </w:rPr>
        <w:t>next base rate case,</w:t>
      </w:r>
      <w:r w:rsidRPr="002915C6">
        <w:rPr>
          <w:sz w:val="26"/>
          <w:szCs w:val="26"/>
        </w:rPr>
        <w:t xml:space="preserve"> Aqua</w:t>
      </w:r>
      <w:r w:rsidR="00892B35">
        <w:rPr>
          <w:sz w:val="26"/>
          <w:szCs w:val="26"/>
        </w:rPr>
        <w:t xml:space="preserve"> . . . </w:t>
      </w:r>
      <w:r w:rsidRPr="002915C6">
        <w:rPr>
          <w:sz w:val="26"/>
          <w:szCs w:val="26"/>
        </w:rPr>
        <w:t xml:space="preserve">shall submit a cost-of-service study or analysis that separates the costs, capital, and operating expenses of providing wastewater service to the customers of Limerick Township as a separate class.”  OCA R. Exc. at 22 (citing R.D. at 53) (emphasis added).  Hence, the OCA believes Aqua is indisputably required to submit a cost-of-service study in its next base rate case, during which the filing requirements of the subsequent base rate case will be determined.  The OCA also requests that the Commission </w:t>
      </w:r>
      <w:r w:rsidR="00582D05" w:rsidRPr="002915C6">
        <w:rPr>
          <w:sz w:val="26"/>
          <w:szCs w:val="26"/>
        </w:rPr>
        <w:t>decide</w:t>
      </w:r>
      <w:r w:rsidRPr="002915C6">
        <w:rPr>
          <w:sz w:val="26"/>
          <w:szCs w:val="26"/>
        </w:rPr>
        <w:t xml:space="preserve"> in the instant proceeding regarding whether </w:t>
      </w:r>
      <w:proofErr w:type="spellStart"/>
      <w:r w:rsidRPr="002915C6">
        <w:rPr>
          <w:sz w:val="26"/>
          <w:szCs w:val="26"/>
        </w:rPr>
        <w:t>Aqua’s</w:t>
      </w:r>
      <w:proofErr w:type="spellEnd"/>
      <w:r w:rsidRPr="002915C6">
        <w:rPr>
          <w:sz w:val="26"/>
          <w:szCs w:val="26"/>
        </w:rPr>
        <w:t xml:space="preserve"> submission of a cost-of-service study will be necessary many years into the future.  OCA R. Exc. at 22.</w:t>
      </w:r>
    </w:p>
    <w:p w14:paraId="35093059" w14:textId="77777777" w:rsidR="00EA7856" w:rsidRDefault="00EA7856" w:rsidP="007D7A61">
      <w:pPr>
        <w:widowControl/>
        <w:autoSpaceDE w:val="0"/>
        <w:autoSpaceDN w:val="0"/>
        <w:adjustRightInd w:val="0"/>
        <w:spacing w:line="360" w:lineRule="auto"/>
        <w:ind w:firstLine="720"/>
        <w:contextualSpacing/>
        <w:rPr>
          <w:sz w:val="26"/>
          <w:szCs w:val="26"/>
        </w:rPr>
      </w:pPr>
    </w:p>
    <w:p w14:paraId="3C9091B6" w14:textId="77777777" w:rsidR="00892B35" w:rsidRPr="00892B35" w:rsidRDefault="00892B35" w:rsidP="0001436E">
      <w:pPr>
        <w:keepNext/>
        <w:keepLines/>
        <w:widowControl/>
        <w:autoSpaceDE w:val="0"/>
        <w:autoSpaceDN w:val="0"/>
        <w:adjustRightInd w:val="0"/>
        <w:spacing w:line="360" w:lineRule="auto"/>
        <w:ind w:firstLine="720"/>
        <w:contextualSpacing/>
        <w:rPr>
          <w:b/>
          <w:sz w:val="26"/>
          <w:szCs w:val="26"/>
        </w:rPr>
      </w:pPr>
      <w:r w:rsidRPr="00892B35">
        <w:rPr>
          <w:b/>
          <w:sz w:val="26"/>
          <w:szCs w:val="26"/>
        </w:rPr>
        <w:tab/>
      </w:r>
      <w:r w:rsidR="0001436E">
        <w:rPr>
          <w:b/>
          <w:sz w:val="26"/>
          <w:szCs w:val="26"/>
        </w:rPr>
        <w:t>3</w:t>
      </w:r>
      <w:r w:rsidRPr="00892B35">
        <w:rPr>
          <w:b/>
          <w:sz w:val="26"/>
          <w:szCs w:val="26"/>
        </w:rPr>
        <w:t>.</w:t>
      </w:r>
      <w:r w:rsidRPr="00892B35">
        <w:rPr>
          <w:b/>
          <w:sz w:val="26"/>
          <w:szCs w:val="26"/>
        </w:rPr>
        <w:tab/>
        <w:t>Disposition</w:t>
      </w:r>
    </w:p>
    <w:p w14:paraId="1132C29F" w14:textId="77777777" w:rsidR="00892B35" w:rsidRPr="002915C6" w:rsidRDefault="00892B35" w:rsidP="00BE5FF4">
      <w:pPr>
        <w:keepNext/>
        <w:keepLines/>
        <w:widowControl/>
        <w:autoSpaceDE w:val="0"/>
        <w:autoSpaceDN w:val="0"/>
        <w:adjustRightInd w:val="0"/>
        <w:spacing w:line="360" w:lineRule="auto"/>
        <w:ind w:firstLine="720"/>
        <w:contextualSpacing/>
        <w:rPr>
          <w:sz w:val="26"/>
          <w:szCs w:val="26"/>
        </w:rPr>
      </w:pPr>
    </w:p>
    <w:p w14:paraId="6360F685" w14:textId="77777777" w:rsidR="00EA7856" w:rsidRPr="002915C6" w:rsidRDefault="00EA7856" w:rsidP="00BE5FF4">
      <w:pPr>
        <w:widowControl/>
        <w:autoSpaceDE w:val="0"/>
        <w:autoSpaceDN w:val="0"/>
        <w:adjustRightInd w:val="0"/>
        <w:spacing w:line="360" w:lineRule="auto"/>
        <w:ind w:firstLine="1440"/>
        <w:contextualSpacing/>
        <w:rPr>
          <w:sz w:val="26"/>
          <w:szCs w:val="26"/>
        </w:rPr>
      </w:pPr>
      <w:r w:rsidRPr="002915C6">
        <w:rPr>
          <w:sz w:val="26"/>
          <w:szCs w:val="26"/>
        </w:rPr>
        <w:t xml:space="preserve">Under the circumstances of this case, we do not believe there is any confusion in the ALJ’s recommendation that Aqua submit a cost-of-service study for Limerick in its next base rate case.  We note that Section 1329 allows for the rate base of the selling utility to be incorporated into the rate base of the acquiring utility during the acquiring utility’s next rate base rate case or the initial tariff filing of an entity.  </w:t>
      </w:r>
      <w:r w:rsidRPr="002915C6">
        <w:rPr>
          <w:bCs/>
          <w:i/>
          <w:sz w:val="26"/>
          <w:szCs w:val="26"/>
          <w:lang w:val="en"/>
        </w:rPr>
        <w:t>Final Implementation Order</w:t>
      </w:r>
      <w:r w:rsidRPr="002915C6">
        <w:rPr>
          <w:bCs/>
          <w:sz w:val="26"/>
          <w:szCs w:val="26"/>
          <w:lang w:val="en"/>
        </w:rPr>
        <w:t xml:space="preserve"> at 15.  Here, the ALJ recommended the inclusion of Limerick’s rate base value in </w:t>
      </w:r>
      <w:proofErr w:type="spellStart"/>
      <w:r w:rsidRPr="002915C6">
        <w:rPr>
          <w:bCs/>
          <w:sz w:val="26"/>
          <w:szCs w:val="26"/>
          <w:lang w:val="en"/>
        </w:rPr>
        <w:t>Aqua’s</w:t>
      </w:r>
      <w:proofErr w:type="spellEnd"/>
      <w:r w:rsidRPr="002915C6">
        <w:rPr>
          <w:bCs/>
          <w:sz w:val="26"/>
          <w:szCs w:val="26"/>
          <w:lang w:val="en"/>
        </w:rPr>
        <w:t xml:space="preserve"> rate base for ratemaking purposes, and accordingly, directed, pursuant to Section 1329 and the </w:t>
      </w:r>
      <w:r w:rsidRPr="002915C6">
        <w:rPr>
          <w:bCs/>
          <w:i/>
          <w:sz w:val="26"/>
          <w:szCs w:val="26"/>
          <w:lang w:val="en"/>
        </w:rPr>
        <w:t>Final Implementation Order</w:t>
      </w:r>
      <w:r w:rsidRPr="002915C6">
        <w:rPr>
          <w:bCs/>
          <w:sz w:val="26"/>
          <w:szCs w:val="26"/>
          <w:lang w:val="en"/>
        </w:rPr>
        <w:t xml:space="preserve">, that at the time of filing of its next base rate case, Aqua submit a cost-of-service study or analysis that separates the costs, capital, and operating expenses of providing wastewater service to the customers of Limerick Township as a separate class.  R.D. at 40, 53.  </w:t>
      </w:r>
      <w:r w:rsidR="00A4434D">
        <w:rPr>
          <w:bCs/>
          <w:sz w:val="26"/>
          <w:szCs w:val="26"/>
          <w:lang w:val="en"/>
        </w:rPr>
        <w:t xml:space="preserve">Further, we note that if </w:t>
      </w:r>
      <w:proofErr w:type="spellStart"/>
      <w:r w:rsidR="00A4434D">
        <w:rPr>
          <w:bCs/>
          <w:sz w:val="26"/>
          <w:szCs w:val="26"/>
          <w:lang w:val="en"/>
        </w:rPr>
        <w:t>Aqua’s</w:t>
      </w:r>
      <w:proofErr w:type="spellEnd"/>
      <w:r w:rsidR="00A4434D">
        <w:rPr>
          <w:bCs/>
          <w:sz w:val="26"/>
          <w:szCs w:val="26"/>
          <w:lang w:val="en"/>
        </w:rPr>
        <w:t xml:space="preserve"> Exception No. 6, is predicated on the Commission’s approval of the regulatory asset treatment proposal under </w:t>
      </w:r>
      <w:proofErr w:type="spellStart"/>
      <w:r w:rsidR="00A4434D">
        <w:rPr>
          <w:bCs/>
          <w:sz w:val="26"/>
          <w:szCs w:val="26"/>
          <w:lang w:val="en"/>
        </w:rPr>
        <w:t>Aqua’s</w:t>
      </w:r>
      <w:proofErr w:type="spellEnd"/>
      <w:r w:rsidR="00A4434D">
        <w:rPr>
          <w:bCs/>
          <w:sz w:val="26"/>
          <w:szCs w:val="26"/>
          <w:lang w:val="en"/>
        </w:rPr>
        <w:t xml:space="preserve"> Rate Stabilization Plan, we consider the Exception moot based on our decision to deny the proposal.  Hence, </w:t>
      </w:r>
      <w:proofErr w:type="spellStart"/>
      <w:r w:rsidR="00582D05" w:rsidRPr="002915C6">
        <w:rPr>
          <w:bCs/>
          <w:sz w:val="26"/>
          <w:szCs w:val="26"/>
          <w:lang w:val="en"/>
        </w:rPr>
        <w:t>w</w:t>
      </w:r>
      <w:r w:rsidR="00582D05" w:rsidRPr="002915C6">
        <w:rPr>
          <w:sz w:val="26"/>
          <w:szCs w:val="26"/>
        </w:rPr>
        <w:t>e</w:t>
      </w:r>
      <w:proofErr w:type="spellEnd"/>
      <w:r w:rsidRPr="002915C6">
        <w:rPr>
          <w:sz w:val="26"/>
          <w:szCs w:val="26"/>
        </w:rPr>
        <w:t xml:space="preserve"> see </w:t>
      </w:r>
      <w:r w:rsidR="00A4434D">
        <w:rPr>
          <w:sz w:val="26"/>
          <w:szCs w:val="26"/>
        </w:rPr>
        <w:t>no</w:t>
      </w:r>
      <w:r w:rsidRPr="002915C6">
        <w:rPr>
          <w:sz w:val="26"/>
          <w:szCs w:val="26"/>
        </w:rPr>
        <w:t xml:space="preserve"> need to make a determination in this proceeding as to how many years in the future Aqua is required to submit a cost-of-service study for the Limerick acquisition.  As such, </w:t>
      </w:r>
      <w:proofErr w:type="spellStart"/>
      <w:r w:rsidRPr="002915C6">
        <w:rPr>
          <w:sz w:val="26"/>
          <w:szCs w:val="26"/>
        </w:rPr>
        <w:t>Aqua’s</w:t>
      </w:r>
      <w:proofErr w:type="spellEnd"/>
      <w:r w:rsidRPr="002915C6">
        <w:rPr>
          <w:sz w:val="26"/>
          <w:szCs w:val="26"/>
        </w:rPr>
        <w:t xml:space="preserve"> Exception No. 6, is hereby denied.</w:t>
      </w:r>
    </w:p>
    <w:p w14:paraId="19DE4554" w14:textId="77777777" w:rsidR="00EA7856" w:rsidRPr="002915C6" w:rsidRDefault="00EA7856" w:rsidP="00BE5FF4">
      <w:pPr>
        <w:widowControl/>
        <w:autoSpaceDE w:val="0"/>
        <w:autoSpaceDN w:val="0"/>
        <w:adjustRightInd w:val="0"/>
        <w:spacing w:line="360" w:lineRule="auto"/>
        <w:ind w:firstLine="1440"/>
        <w:contextualSpacing/>
        <w:rPr>
          <w:sz w:val="26"/>
          <w:szCs w:val="26"/>
        </w:rPr>
      </w:pPr>
    </w:p>
    <w:p w14:paraId="7F166866" w14:textId="77777777" w:rsidR="00EA7856" w:rsidRPr="002915C6" w:rsidRDefault="00187E39" w:rsidP="00BE5FF4">
      <w:pPr>
        <w:pStyle w:val="Heading2"/>
        <w:widowControl/>
        <w:rPr>
          <w:rFonts w:ascii="Times New Roman" w:hAnsi="Times New Roman" w:cs="Times New Roman"/>
          <w:bCs w:val="0"/>
          <w:color w:val="auto"/>
          <w:lang w:val="en"/>
        </w:rPr>
      </w:pPr>
      <w:bookmarkStart w:id="31" w:name="_Toc499121848"/>
      <w:r>
        <w:rPr>
          <w:rFonts w:ascii="Times New Roman" w:hAnsi="Times New Roman" w:cs="Times New Roman"/>
          <w:bCs w:val="0"/>
          <w:color w:val="auto"/>
          <w:lang w:val="en"/>
        </w:rPr>
        <w:t>I</w:t>
      </w:r>
      <w:r w:rsidR="00EA7856" w:rsidRPr="002915C6">
        <w:rPr>
          <w:rFonts w:ascii="Times New Roman" w:hAnsi="Times New Roman" w:cs="Times New Roman"/>
          <w:bCs w:val="0"/>
          <w:color w:val="auto"/>
          <w:lang w:val="en"/>
        </w:rPr>
        <w:t>.</w:t>
      </w:r>
      <w:r w:rsidR="00EA7856" w:rsidRPr="002915C6">
        <w:rPr>
          <w:rFonts w:ascii="Times New Roman" w:hAnsi="Times New Roman" w:cs="Times New Roman"/>
          <w:bCs w:val="0"/>
          <w:color w:val="auto"/>
          <w:lang w:val="en"/>
        </w:rPr>
        <w:tab/>
        <w:t>Revised DSIC Tariff and LTIIP</w:t>
      </w:r>
      <w:bookmarkEnd w:id="31"/>
      <w:r w:rsidR="00EA7856" w:rsidRPr="002915C6">
        <w:rPr>
          <w:rFonts w:ascii="Times New Roman" w:hAnsi="Times New Roman" w:cs="Times New Roman"/>
          <w:bCs w:val="0"/>
          <w:color w:val="auto"/>
          <w:lang w:val="en"/>
        </w:rPr>
        <w:t xml:space="preserve"> </w:t>
      </w:r>
    </w:p>
    <w:p w14:paraId="19B01CCC" w14:textId="77777777" w:rsidR="00EA7856" w:rsidRPr="002915C6" w:rsidRDefault="00EA7856" w:rsidP="0012768D">
      <w:pPr>
        <w:keepNext/>
        <w:widowControl/>
        <w:autoSpaceDE w:val="0"/>
        <w:autoSpaceDN w:val="0"/>
        <w:adjustRightInd w:val="0"/>
        <w:spacing w:line="360" w:lineRule="auto"/>
        <w:ind w:firstLine="1440"/>
        <w:contextualSpacing/>
        <w:rPr>
          <w:b/>
          <w:bCs/>
          <w:sz w:val="26"/>
          <w:szCs w:val="26"/>
          <w:lang w:val="en"/>
        </w:rPr>
      </w:pPr>
    </w:p>
    <w:p w14:paraId="144D8ECF" w14:textId="77777777" w:rsidR="00EA7856" w:rsidRPr="002915C6" w:rsidRDefault="008D2146" w:rsidP="0012768D">
      <w:pPr>
        <w:keepNext/>
        <w:widowControl/>
        <w:autoSpaceDE w:val="0"/>
        <w:autoSpaceDN w:val="0"/>
        <w:adjustRightInd w:val="0"/>
        <w:spacing w:line="360" w:lineRule="auto"/>
        <w:ind w:firstLine="1440"/>
        <w:contextualSpacing/>
        <w:rPr>
          <w:b/>
          <w:sz w:val="26"/>
          <w:szCs w:val="26"/>
        </w:rPr>
      </w:pPr>
      <w:r>
        <w:rPr>
          <w:b/>
          <w:sz w:val="26"/>
          <w:szCs w:val="26"/>
        </w:rPr>
        <w:t>1</w:t>
      </w:r>
      <w:r w:rsidR="00852CFC">
        <w:rPr>
          <w:b/>
          <w:sz w:val="26"/>
          <w:szCs w:val="26"/>
        </w:rPr>
        <w:t>.</w:t>
      </w:r>
      <w:r w:rsidR="00EA7856" w:rsidRPr="002915C6">
        <w:rPr>
          <w:b/>
          <w:sz w:val="26"/>
          <w:szCs w:val="26"/>
        </w:rPr>
        <w:tab/>
      </w:r>
      <w:r w:rsidR="00892B35">
        <w:rPr>
          <w:b/>
          <w:sz w:val="26"/>
          <w:szCs w:val="26"/>
        </w:rPr>
        <w:t xml:space="preserve">OCA’s </w:t>
      </w:r>
      <w:r w:rsidR="00EA7856" w:rsidRPr="002915C6">
        <w:rPr>
          <w:b/>
          <w:sz w:val="26"/>
          <w:szCs w:val="26"/>
        </w:rPr>
        <w:t>Exceptions</w:t>
      </w:r>
    </w:p>
    <w:p w14:paraId="7E6C66B9" w14:textId="77777777" w:rsidR="00EA7856" w:rsidRPr="002915C6" w:rsidRDefault="00EA7856" w:rsidP="0012768D">
      <w:pPr>
        <w:keepNext/>
        <w:widowControl/>
        <w:autoSpaceDE w:val="0"/>
        <w:autoSpaceDN w:val="0"/>
        <w:adjustRightInd w:val="0"/>
        <w:spacing w:line="360" w:lineRule="auto"/>
        <w:ind w:firstLine="1440"/>
        <w:contextualSpacing/>
        <w:rPr>
          <w:b/>
          <w:bCs/>
          <w:sz w:val="26"/>
          <w:szCs w:val="26"/>
          <w:lang w:val="en"/>
        </w:rPr>
      </w:pPr>
    </w:p>
    <w:p w14:paraId="1FADCB02" w14:textId="77777777" w:rsidR="00EA7856" w:rsidRPr="002915C6" w:rsidRDefault="00EA7856" w:rsidP="00BE5FF4">
      <w:pPr>
        <w:widowControl/>
        <w:autoSpaceDE w:val="0"/>
        <w:autoSpaceDN w:val="0"/>
        <w:adjustRightInd w:val="0"/>
        <w:spacing w:line="360" w:lineRule="auto"/>
        <w:ind w:firstLine="1440"/>
        <w:contextualSpacing/>
        <w:rPr>
          <w:bCs/>
          <w:sz w:val="26"/>
          <w:szCs w:val="26"/>
          <w:lang w:val="en"/>
        </w:rPr>
      </w:pPr>
      <w:r w:rsidRPr="002915C6">
        <w:rPr>
          <w:bCs/>
          <w:sz w:val="26"/>
          <w:szCs w:val="26"/>
          <w:lang w:val="en"/>
        </w:rPr>
        <w:t>In its Exception No. 7, the OCA disagrees with the ALJ’s determination that with regard to Section 1329(d)(4) of the Code,</w:t>
      </w:r>
      <w:r w:rsidRPr="002915C6">
        <w:rPr>
          <w:rStyle w:val="FootnoteReference"/>
          <w:bCs/>
          <w:sz w:val="26"/>
          <w:szCs w:val="26"/>
          <w:lang w:val="en"/>
        </w:rPr>
        <w:footnoteReference w:id="29"/>
      </w:r>
      <w:r w:rsidRPr="002915C6">
        <w:rPr>
          <w:bCs/>
          <w:sz w:val="26"/>
          <w:szCs w:val="26"/>
          <w:lang w:val="en"/>
        </w:rPr>
        <w:t xml:space="preserve"> Aqua is not required to file its tariff changes and revised LTIIP within thirty days of entry of the Commission’s Final Order as a condition of approval of </w:t>
      </w:r>
      <w:proofErr w:type="spellStart"/>
      <w:r w:rsidRPr="002915C6">
        <w:rPr>
          <w:bCs/>
          <w:sz w:val="26"/>
          <w:szCs w:val="26"/>
          <w:lang w:val="en"/>
        </w:rPr>
        <w:t>Aqua’s</w:t>
      </w:r>
      <w:proofErr w:type="spellEnd"/>
      <w:r w:rsidRPr="002915C6">
        <w:rPr>
          <w:bCs/>
          <w:sz w:val="26"/>
          <w:szCs w:val="26"/>
          <w:lang w:val="en"/>
        </w:rPr>
        <w:t xml:space="preserve"> Application.   OCA Exc. at 23 (citing R.D. at 48-50).  </w:t>
      </w:r>
      <w:r w:rsidR="00145BC5">
        <w:rPr>
          <w:bCs/>
          <w:sz w:val="26"/>
          <w:szCs w:val="26"/>
          <w:lang w:val="en"/>
        </w:rPr>
        <w:t xml:space="preserve">The </w:t>
      </w:r>
      <w:r w:rsidRPr="002915C6">
        <w:rPr>
          <w:bCs/>
          <w:sz w:val="26"/>
          <w:szCs w:val="26"/>
          <w:lang w:val="en"/>
        </w:rPr>
        <w:t xml:space="preserve">OCA avers </w:t>
      </w:r>
      <w:r w:rsidR="00145BC5">
        <w:rPr>
          <w:bCs/>
          <w:sz w:val="26"/>
          <w:szCs w:val="26"/>
          <w:lang w:val="en"/>
        </w:rPr>
        <w:t xml:space="preserve">that </w:t>
      </w:r>
      <w:r w:rsidRPr="002915C6">
        <w:rPr>
          <w:bCs/>
          <w:sz w:val="26"/>
          <w:szCs w:val="26"/>
          <w:lang w:val="en"/>
        </w:rPr>
        <w:t xml:space="preserve">the ALJ, nonetheless, concluded that “Aqua will be expected to fully comply with the requirements set forth in the [Implementation Order].”  OCA Exc. at 23 (citing R.D. at 49).  </w:t>
      </w:r>
      <w:r w:rsidR="00145BC5">
        <w:rPr>
          <w:bCs/>
          <w:sz w:val="26"/>
          <w:szCs w:val="26"/>
          <w:lang w:val="en"/>
        </w:rPr>
        <w:t xml:space="preserve">The </w:t>
      </w:r>
      <w:r w:rsidRPr="002915C6">
        <w:rPr>
          <w:bCs/>
          <w:sz w:val="26"/>
          <w:szCs w:val="26"/>
          <w:lang w:val="en"/>
        </w:rPr>
        <w:t xml:space="preserve">OCA advocates </w:t>
      </w:r>
      <w:r w:rsidR="00145BC5">
        <w:rPr>
          <w:bCs/>
          <w:sz w:val="26"/>
          <w:szCs w:val="26"/>
          <w:lang w:val="en"/>
        </w:rPr>
        <w:t>that the Commission should require A</w:t>
      </w:r>
      <w:r w:rsidRPr="002915C6">
        <w:rPr>
          <w:bCs/>
          <w:sz w:val="26"/>
          <w:szCs w:val="26"/>
          <w:lang w:val="en"/>
        </w:rPr>
        <w:t xml:space="preserve">qua to file its tariff changes and revised LTIIP within thirty days following entry of the Commission’s Final Order as a condition of approval for the following reasons.  First, the OCA points out that the </w:t>
      </w:r>
      <w:r w:rsidRPr="002915C6">
        <w:rPr>
          <w:bCs/>
          <w:i/>
          <w:sz w:val="26"/>
          <w:szCs w:val="26"/>
          <w:lang w:val="en"/>
        </w:rPr>
        <w:t>Final Implementation Order</w:t>
      </w:r>
      <w:r w:rsidRPr="002915C6">
        <w:rPr>
          <w:bCs/>
          <w:sz w:val="26"/>
          <w:szCs w:val="26"/>
          <w:lang w:val="en"/>
        </w:rPr>
        <w:t xml:space="preserve"> specifies that “a public utility that seeks approval to apply the DSIC to the customers acquired through acquisitions under Section 1329 will have to change its existing tariffs” and, “[i]n conjunction, the public utility would also need to amend its LTIIP.”  OCA Exc. at 23 (citing </w:t>
      </w:r>
      <w:r w:rsidRPr="002915C6">
        <w:rPr>
          <w:bCs/>
          <w:i/>
          <w:sz w:val="26"/>
          <w:szCs w:val="26"/>
          <w:lang w:val="en"/>
        </w:rPr>
        <w:t>Final Implementation Order</w:t>
      </w:r>
      <w:r w:rsidRPr="002915C6">
        <w:rPr>
          <w:bCs/>
          <w:sz w:val="26"/>
          <w:szCs w:val="26"/>
          <w:lang w:val="en"/>
        </w:rPr>
        <w:t xml:space="preserve"> at 27-28).  According to the OCA, Aqua indicated</w:t>
      </w:r>
      <w:r w:rsidR="00145BC5">
        <w:rPr>
          <w:bCs/>
          <w:sz w:val="26"/>
          <w:szCs w:val="26"/>
          <w:lang w:val="en"/>
        </w:rPr>
        <w:t xml:space="preserve"> that</w:t>
      </w:r>
      <w:r w:rsidRPr="002915C6">
        <w:rPr>
          <w:bCs/>
          <w:sz w:val="26"/>
          <w:szCs w:val="26"/>
          <w:lang w:val="en"/>
        </w:rPr>
        <w:t xml:space="preserve"> its tariff modifications in 2016 complies with the </w:t>
      </w:r>
      <w:r w:rsidRPr="002915C6">
        <w:rPr>
          <w:sz w:val="26"/>
          <w:szCs w:val="26"/>
        </w:rPr>
        <w:t xml:space="preserve">Section 1329(d)(4) tariff change requirement, </w:t>
      </w:r>
      <w:r w:rsidR="00145BC5">
        <w:rPr>
          <w:sz w:val="26"/>
          <w:szCs w:val="26"/>
        </w:rPr>
        <w:t xml:space="preserve">and that </w:t>
      </w:r>
      <w:r w:rsidR="00A4434D">
        <w:rPr>
          <w:sz w:val="26"/>
          <w:szCs w:val="26"/>
        </w:rPr>
        <w:t>Aqua</w:t>
      </w:r>
      <w:r w:rsidR="00145BC5">
        <w:rPr>
          <w:sz w:val="26"/>
          <w:szCs w:val="26"/>
        </w:rPr>
        <w:t xml:space="preserve"> </w:t>
      </w:r>
      <w:r w:rsidRPr="002915C6">
        <w:rPr>
          <w:sz w:val="26"/>
          <w:szCs w:val="26"/>
        </w:rPr>
        <w:t xml:space="preserve">has not filed a revised LTIIP in compliance with the </w:t>
      </w:r>
      <w:r w:rsidRPr="002915C6">
        <w:rPr>
          <w:bCs/>
          <w:i/>
          <w:sz w:val="26"/>
          <w:szCs w:val="26"/>
          <w:lang w:val="en"/>
        </w:rPr>
        <w:t>Final Implementation Order</w:t>
      </w:r>
      <w:r w:rsidRPr="002915C6">
        <w:rPr>
          <w:bCs/>
          <w:sz w:val="26"/>
          <w:szCs w:val="26"/>
          <w:lang w:val="en"/>
        </w:rPr>
        <w:t xml:space="preserve">.  OCA Exc. at 23-24 (citing R.D. at 48; </w:t>
      </w:r>
      <w:r w:rsidRPr="002915C6">
        <w:rPr>
          <w:bCs/>
          <w:i/>
          <w:sz w:val="26"/>
          <w:szCs w:val="26"/>
          <w:lang w:val="en"/>
        </w:rPr>
        <w:t>Final Implementation Order</w:t>
      </w:r>
      <w:r w:rsidRPr="002915C6">
        <w:rPr>
          <w:bCs/>
          <w:sz w:val="26"/>
          <w:szCs w:val="26"/>
          <w:lang w:val="en"/>
        </w:rPr>
        <w:t xml:space="preserve"> at 28).  Hence, the OCA believes a </w:t>
      </w:r>
      <w:r w:rsidR="00DC0767">
        <w:rPr>
          <w:bCs/>
          <w:sz w:val="26"/>
          <w:szCs w:val="26"/>
          <w:lang w:val="en"/>
        </w:rPr>
        <w:t>thirty</w:t>
      </w:r>
      <w:r w:rsidRPr="002915C6">
        <w:rPr>
          <w:bCs/>
          <w:sz w:val="26"/>
          <w:szCs w:val="26"/>
          <w:lang w:val="en"/>
        </w:rPr>
        <w:t>-day deadline is reasonable and necessary to ensure that Aqua file</w:t>
      </w:r>
      <w:r w:rsidR="00145BC5">
        <w:rPr>
          <w:bCs/>
          <w:sz w:val="26"/>
          <w:szCs w:val="26"/>
          <w:lang w:val="en"/>
        </w:rPr>
        <w:t>s</w:t>
      </w:r>
      <w:r w:rsidRPr="002915C6">
        <w:rPr>
          <w:bCs/>
          <w:sz w:val="26"/>
          <w:szCs w:val="26"/>
          <w:lang w:val="en"/>
        </w:rPr>
        <w:t xml:space="preserve"> the revised LTIIP before charging the DSIC surcharge to Limerick customers.  OCA Exc. at 24.  </w:t>
      </w:r>
    </w:p>
    <w:p w14:paraId="6951D2AE" w14:textId="77777777" w:rsidR="00EA7856" w:rsidRPr="002915C6" w:rsidRDefault="00EA7856" w:rsidP="0012768D">
      <w:pPr>
        <w:keepNext/>
        <w:widowControl/>
        <w:autoSpaceDE w:val="0"/>
        <w:autoSpaceDN w:val="0"/>
        <w:adjustRightInd w:val="0"/>
        <w:spacing w:line="360" w:lineRule="auto"/>
        <w:ind w:firstLine="1440"/>
        <w:contextualSpacing/>
        <w:rPr>
          <w:bCs/>
          <w:sz w:val="26"/>
          <w:szCs w:val="26"/>
          <w:lang w:val="en"/>
        </w:rPr>
      </w:pPr>
    </w:p>
    <w:p w14:paraId="030C5DF1" w14:textId="77777777" w:rsidR="00EA7856" w:rsidRPr="002915C6" w:rsidRDefault="00EA7856" w:rsidP="00BE5FF4">
      <w:pPr>
        <w:pStyle w:val="FootnoteText"/>
        <w:widowControl/>
        <w:spacing w:line="360" w:lineRule="auto"/>
        <w:ind w:firstLine="1440"/>
        <w:rPr>
          <w:bCs/>
          <w:sz w:val="26"/>
          <w:szCs w:val="26"/>
          <w:lang w:val="en"/>
        </w:rPr>
      </w:pPr>
      <w:r w:rsidRPr="002915C6">
        <w:rPr>
          <w:bCs/>
          <w:sz w:val="26"/>
          <w:szCs w:val="26"/>
          <w:lang w:val="en"/>
        </w:rPr>
        <w:t xml:space="preserve">The OCA further notes </w:t>
      </w:r>
      <w:r w:rsidR="00145BC5">
        <w:rPr>
          <w:bCs/>
          <w:sz w:val="26"/>
          <w:szCs w:val="26"/>
          <w:lang w:val="en"/>
        </w:rPr>
        <w:t xml:space="preserve">that </w:t>
      </w:r>
      <w:r w:rsidRPr="002915C6">
        <w:rPr>
          <w:bCs/>
          <w:sz w:val="26"/>
          <w:szCs w:val="26"/>
          <w:lang w:val="en"/>
        </w:rPr>
        <w:t>the Commis</w:t>
      </w:r>
      <w:r w:rsidR="00145BC5">
        <w:rPr>
          <w:bCs/>
          <w:sz w:val="26"/>
          <w:szCs w:val="26"/>
          <w:lang w:val="en"/>
        </w:rPr>
        <w:t>sion has previously imposed a thirty</w:t>
      </w:r>
      <w:r w:rsidRPr="002915C6">
        <w:rPr>
          <w:bCs/>
          <w:sz w:val="26"/>
          <w:szCs w:val="26"/>
          <w:lang w:val="en"/>
        </w:rPr>
        <w:t xml:space="preserve">-day deadline for the filing of a revised LTIIP.  For instance, according to the OCA, in </w:t>
      </w:r>
      <w:r w:rsidRPr="002915C6">
        <w:rPr>
          <w:bCs/>
          <w:i/>
          <w:sz w:val="26"/>
          <w:szCs w:val="26"/>
          <w:lang w:val="en"/>
        </w:rPr>
        <w:t>Petition of Peoples Natural Gas Co., LLC,</w:t>
      </w:r>
      <w:r w:rsidRPr="002915C6">
        <w:rPr>
          <w:bCs/>
          <w:sz w:val="26"/>
          <w:szCs w:val="26"/>
          <w:lang w:val="en"/>
        </w:rPr>
        <w:t xml:space="preserve"> </w:t>
      </w:r>
      <w:r w:rsidR="00145BC5">
        <w:rPr>
          <w:bCs/>
          <w:sz w:val="26"/>
          <w:szCs w:val="26"/>
          <w:lang w:val="en"/>
        </w:rPr>
        <w:t>Docket No. P-2013-2344596, 2006 Pa. PUC LEXIS 13</w:t>
      </w:r>
      <w:r w:rsidRPr="002915C6">
        <w:rPr>
          <w:bCs/>
          <w:sz w:val="26"/>
          <w:szCs w:val="26"/>
          <w:lang w:val="en"/>
        </w:rPr>
        <w:t>7 (Order entered March 10, 2016)</w:t>
      </w:r>
      <w:r w:rsidRPr="002915C6">
        <w:rPr>
          <w:bCs/>
          <w:i/>
          <w:sz w:val="26"/>
          <w:szCs w:val="26"/>
          <w:lang w:val="en"/>
        </w:rPr>
        <w:t xml:space="preserve"> </w:t>
      </w:r>
      <w:r w:rsidRPr="00145BC5">
        <w:rPr>
          <w:bCs/>
          <w:sz w:val="26"/>
          <w:szCs w:val="26"/>
          <w:lang w:val="en"/>
        </w:rPr>
        <w:t>(</w:t>
      </w:r>
      <w:r w:rsidRPr="002915C6">
        <w:rPr>
          <w:bCs/>
          <w:i/>
          <w:sz w:val="26"/>
          <w:szCs w:val="26"/>
          <w:lang w:val="en"/>
        </w:rPr>
        <w:t>Peoples</w:t>
      </w:r>
      <w:r w:rsidRPr="00145BC5">
        <w:rPr>
          <w:bCs/>
          <w:sz w:val="26"/>
          <w:szCs w:val="26"/>
          <w:lang w:val="en"/>
        </w:rPr>
        <w:t>)</w:t>
      </w:r>
      <w:r w:rsidR="00145BC5">
        <w:rPr>
          <w:bCs/>
          <w:sz w:val="26"/>
          <w:szCs w:val="26"/>
          <w:lang w:val="en"/>
        </w:rPr>
        <w:t xml:space="preserve"> at *43</w:t>
      </w:r>
      <w:r w:rsidRPr="002915C6">
        <w:rPr>
          <w:bCs/>
          <w:sz w:val="26"/>
          <w:szCs w:val="26"/>
          <w:lang w:val="en"/>
        </w:rPr>
        <w:t>, the Commission ordered: “</w:t>
      </w:r>
      <w:r w:rsidR="00145BC5">
        <w:rPr>
          <w:bCs/>
          <w:sz w:val="26"/>
          <w:szCs w:val="26"/>
          <w:lang w:val="en"/>
        </w:rPr>
        <w:t>[t]</w:t>
      </w:r>
      <w:r w:rsidRPr="002915C6">
        <w:rPr>
          <w:bCs/>
          <w:sz w:val="26"/>
          <w:szCs w:val="26"/>
          <w:lang w:val="en"/>
        </w:rPr>
        <w:t>hat within 30 days of the entry of this Order, the</w:t>
      </w:r>
      <w:r w:rsidRPr="002915C6">
        <w:rPr>
          <w:bCs/>
          <w:i/>
          <w:sz w:val="26"/>
          <w:szCs w:val="26"/>
          <w:lang w:val="en"/>
        </w:rPr>
        <w:t xml:space="preserve"> </w:t>
      </w:r>
      <w:r w:rsidRPr="002915C6">
        <w:rPr>
          <w:bCs/>
          <w:sz w:val="26"/>
          <w:szCs w:val="26"/>
          <w:lang w:val="en"/>
        </w:rPr>
        <w:t xml:space="preserve">Peoples Natural Gas Co., LLC, shall file a new or revised LTIIP consistent with the directives of this Order.”  </w:t>
      </w:r>
      <w:r w:rsidR="00145BC5">
        <w:rPr>
          <w:bCs/>
          <w:sz w:val="26"/>
          <w:szCs w:val="26"/>
          <w:lang w:val="en"/>
        </w:rPr>
        <w:t xml:space="preserve">The </w:t>
      </w:r>
      <w:r w:rsidRPr="002915C6">
        <w:rPr>
          <w:bCs/>
          <w:sz w:val="26"/>
          <w:szCs w:val="26"/>
          <w:lang w:val="en"/>
        </w:rPr>
        <w:t xml:space="preserve">OCA avers, in </w:t>
      </w:r>
      <w:r w:rsidRPr="002915C6">
        <w:rPr>
          <w:bCs/>
          <w:i/>
          <w:sz w:val="26"/>
          <w:szCs w:val="26"/>
          <w:lang w:val="en"/>
        </w:rPr>
        <w:t>Peoples,</w:t>
      </w:r>
      <w:r w:rsidRPr="002915C6">
        <w:rPr>
          <w:bCs/>
          <w:sz w:val="26"/>
          <w:szCs w:val="26"/>
          <w:lang w:val="en"/>
        </w:rPr>
        <w:t xml:space="preserve"> the Commission cited to Section 1352 of the Code, which provides that it shall order a revised LTIIP when a proposed plan is not sufficient to maintain safe, reliable, and reasonable service.  OCA Exc. at 24 (citing </w:t>
      </w:r>
      <w:r w:rsidRPr="002915C6">
        <w:rPr>
          <w:bCs/>
          <w:i/>
          <w:sz w:val="26"/>
          <w:szCs w:val="26"/>
          <w:lang w:val="en"/>
        </w:rPr>
        <w:t>Peoples</w:t>
      </w:r>
      <w:r w:rsidRPr="002915C6">
        <w:rPr>
          <w:bCs/>
          <w:sz w:val="26"/>
          <w:szCs w:val="26"/>
          <w:lang w:val="en"/>
        </w:rPr>
        <w:t xml:space="preserve"> at 40; 66 Pa. C.S. </w:t>
      </w:r>
      <w:r w:rsidRPr="002915C6">
        <w:rPr>
          <w:sz w:val="26"/>
          <w:szCs w:val="26"/>
        </w:rPr>
        <w:t xml:space="preserve">§ 1352(a)(7)).  </w:t>
      </w:r>
      <w:r w:rsidR="00145BC5">
        <w:rPr>
          <w:sz w:val="26"/>
          <w:szCs w:val="26"/>
        </w:rPr>
        <w:t xml:space="preserve">The </w:t>
      </w:r>
      <w:r w:rsidRPr="002915C6">
        <w:rPr>
          <w:sz w:val="26"/>
          <w:szCs w:val="26"/>
        </w:rPr>
        <w:t xml:space="preserve">OCA argues that </w:t>
      </w:r>
      <w:r w:rsidRPr="002915C6">
        <w:rPr>
          <w:bCs/>
          <w:sz w:val="26"/>
          <w:szCs w:val="26"/>
          <w:lang w:val="en"/>
        </w:rPr>
        <w:t xml:space="preserve">in </w:t>
      </w:r>
      <w:r w:rsidRPr="002915C6">
        <w:rPr>
          <w:bCs/>
          <w:i/>
          <w:sz w:val="26"/>
          <w:szCs w:val="26"/>
          <w:lang w:val="en"/>
        </w:rPr>
        <w:t>Peoples,</w:t>
      </w:r>
      <w:r w:rsidRPr="002915C6">
        <w:rPr>
          <w:bCs/>
          <w:sz w:val="26"/>
          <w:szCs w:val="26"/>
          <w:lang w:val="en"/>
        </w:rPr>
        <w:t xml:space="preserve"> while not required by the statute or otherwise, the Commission imposed a deadline.  OCA Exc. at 24 (citing </w:t>
      </w:r>
      <w:r w:rsidRPr="002915C6">
        <w:rPr>
          <w:bCs/>
          <w:i/>
          <w:sz w:val="26"/>
          <w:szCs w:val="26"/>
          <w:lang w:val="en"/>
        </w:rPr>
        <w:t>Peoples</w:t>
      </w:r>
      <w:r w:rsidRPr="002915C6">
        <w:rPr>
          <w:bCs/>
          <w:sz w:val="26"/>
          <w:szCs w:val="26"/>
          <w:lang w:val="en"/>
        </w:rPr>
        <w:t xml:space="preserve"> at 43).  The OCA argues that contrary to the ALJ’s reasoning that the </w:t>
      </w:r>
      <w:r w:rsidRPr="002915C6">
        <w:rPr>
          <w:bCs/>
          <w:i/>
          <w:sz w:val="26"/>
          <w:szCs w:val="26"/>
          <w:lang w:val="en"/>
        </w:rPr>
        <w:t xml:space="preserve">Final Implementation Order </w:t>
      </w:r>
      <w:r w:rsidR="00DC0767">
        <w:rPr>
          <w:bCs/>
          <w:sz w:val="26"/>
          <w:szCs w:val="26"/>
          <w:lang w:val="en"/>
        </w:rPr>
        <w:t>does not include a thirty</w:t>
      </w:r>
      <w:r w:rsidRPr="002915C6">
        <w:rPr>
          <w:bCs/>
          <w:sz w:val="26"/>
          <w:szCs w:val="26"/>
          <w:lang w:val="en"/>
        </w:rPr>
        <w:t xml:space="preserve">-day deadline, the Commission should impose a 30-day deadline in the instant proceeding just like it did in </w:t>
      </w:r>
      <w:r w:rsidRPr="002915C6">
        <w:rPr>
          <w:bCs/>
          <w:i/>
          <w:sz w:val="26"/>
          <w:szCs w:val="26"/>
          <w:lang w:val="en"/>
        </w:rPr>
        <w:t>Peoples</w:t>
      </w:r>
      <w:r w:rsidRPr="002915C6">
        <w:rPr>
          <w:bCs/>
          <w:sz w:val="26"/>
          <w:szCs w:val="26"/>
          <w:lang w:val="en"/>
        </w:rPr>
        <w:t xml:space="preserve">.  OCA Exc. at 24 (citing 66 Pa. C.S. </w:t>
      </w:r>
      <w:r w:rsidRPr="002915C6">
        <w:rPr>
          <w:sz w:val="26"/>
          <w:szCs w:val="26"/>
        </w:rPr>
        <w:t xml:space="preserve">§ 1103(a)).  Thus, the OCA states that if the Commission approves the instant Application and if Limerick customers are to begin paying the DSIC surcharge prior to the effective date of rates established in </w:t>
      </w:r>
      <w:proofErr w:type="spellStart"/>
      <w:r w:rsidRPr="002915C6">
        <w:rPr>
          <w:sz w:val="26"/>
          <w:szCs w:val="26"/>
        </w:rPr>
        <w:t>Aqua’s</w:t>
      </w:r>
      <w:proofErr w:type="spellEnd"/>
      <w:r w:rsidRPr="002915C6">
        <w:rPr>
          <w:sz w:val="26"/>
          <w:szCs w:val="26"/>
        </w:rPr>
        <w:t xml:space="preserve"> next base rate case, the Commission should condition its approval of the Application on </w:t>
      </w:r>
      <w:proofErr w:type="spellStart"/>
      <w:r w:rsidRPr="002915C6">
        <w:rPr>
          <w:sz w:val="26"/>
          <w:szCs w:val="26"/>
        </w:rPr>
        <w:t>Aqua’s</w:t>
      </w:r>
      <w:proofErr w:type="spellEnd"/>
      <w:r w:rsidRPr="002915C6">
        <w:rPr>
          <w:sz w:val="26"/>
          <w:szCs w:val="26"/>
        </w:rPr>
        <w:t xml:space="preserve"> filing of the required tariff changes and revised LTIIP within thirty days following entry of the Final Order in the instant proceeding.  </w:t>
      </w:r>
      <w:r w:rsidRPr="002915C6">
        <w:rPr>
          <w:bCs/>
          <w:sz w:val="26"/>
          <w:szCs w:val="26"/>
          <w:lang w:val="en"/>
        </w:rPr>
        <w:t xml:space="preserve">OCA Exc. at 25. </w:t>
      </w:r>
    </w:p>
    <w:p w14:paraId="0C7C9C47" w14:textId="77777777" w:rsidR="00EA7856" w:rsidRPr="002915C6" w:rsidRDefault="00EA7856" w:rsidP="00BE5FF4">
      <w:pPr>
        <w:pStyle w:val="FootnoteText"/>
        <w:widowControl/>
        <w:spacing w:line="360" w:lineRule="auto"/>
        <w:ind w:firstLine="1440"/>
        <w:rPr>
          <w:bCs/>
          <w:sz w:val="26"/>
          <w:szCs w:val="26"/>
          <w:lang w:val="en"/>
        </w:rPr>
      </w:pPr>
    </w:p>
    <w:p w14:paraId="23840C57" w14:textId="77777777" w:rsidR="0001436E" w:rsidRPr="0001436E" w:rsidRDefault="0001436E" w:rsidP="00852CFC">
      <w:pPr>
        <w:pStyle w:val="FootnoteText"/>
        <w:keepNext/>
        <w:keepLines/>
        <w:widowControl/>
        <w:spacing w:line="360" w:lineRule="auto"/>
        <w:ind w:firstLine="1440"/>
        <w:rPr>
          <w:b/>
          <w:bCs/>
          <w:sz w:val="26"/>
          <w:szCs w:val="26"/>
          <w:lang w:val="en"/>
        </w:rPr>
      </w:pPr>
      <w:r w:rsidRPr="0001436E">
        <w:rPr>
          <w:b/>
          <w:bCs/>
          <w:sz w:val="26"/>
          <w:szCs w:val="26"/>
          <w:lang w:val="en"/>
        </w:rPr>
        <w:t>2.</w:t>
      </w:r>
      <w:r w:rsidRPr="0001436E">
        <w:rPr>
          <w:b/>
          <w:bCs/>
          <w:sz w:val="26"/>
          <w:szCs w:val="26"/>
          <w:lang w:val="en"/>
        </w:rPr>
        <w:tab/>
      </w:r>
      <w:proofErr w:type="spellStart"/>
      <w:r w:rsidR="00852CFC">
        <w:rPr>
          <w:b/>
          <w:bCs/>
          <w:sz w:val="26"/>
          <w:szCs w:val="26"/>
          <w:lang w:val="en"/>
        </w:rPr>
        <w:t>Aqua’s</w:t>
      </w:r>
      <w:proofErr w:type="spellEnd"/>
      <w:r w:rsidR="00852CFC">
        <w:rPr>
          <w:b/>
          <w:bCs/>
          <w:sz w:val="26"/>
          <w:szCs w:val="26"/>
          <w:lang w:val="en"/>
        </w:rPr>
        <w:t xml:space="preserve"> Replies to OCA’s Exceptions</w:t>
      </w:r>
    </w:p>
    <w:p w14:paraId="1BDA2716" w14:textId="77777777" w:rsidR="0001436E" w:rsidRDefault="0001436E" w:rsidP="00852CFC">
      <w:pPr>
        <w:pStyle w:val="FootnoteText"/>
        <w:keepNext/>
        <w:keepLines/>
        <w:widowControl/>
        <w:spacing w:line="360" w:lineRule="auto"/>
        <w:ind w:firstLine="1440"/>
        <w:rPr>
          <w:bCs/>
          <w:sz w:val="26"/>
          <w:szCs w:val="26"/>
          <w:lang w:val="en"/>
        </w:rPr>
      </w:pPr>
    </w:p>
    <w:p w14:paraId="1B1A3825" w14:textId="77777777" w:rsidR="00EA7856" w:rsidRDefault="00145BC5" w:rsidP="00BE5FF4">
      <w:pPr>
        <w:pStyle w:val="FootnoteText"/>
        <w:widowControl/>
        <w:spacing w:line="360" w:lineRule="auto"/>
        <w:ind w:firstLine="1440"/>
        <w:rPr>
          <w:bCs/>
          <w:sz w:val="26"/>
          <w:szCs w:val="26"/>
          <w:lang w:val="en"/>
        </w:rPr>
      </w:pPr>
      <w:r>
        <w:rPr>
          <w:bCs/>
          <w:sz w:val="26"/>
          <w:szCs w:val="26"/>
          <w:lang w:val="en"/>
        </w:rPr>
        <w:t>In r</w:t>
      </w:r>
      <w:r w:rsidR="00EA7856" w:rsidRPr="002915C6">
        <w:rPr>
          <w:bCs/>
          <w:sz w:val="26"/>
          <w:szCs w:val="26"/>
          <w:lang w:val="en"/>
        </w:rPr>
        <w:t xml:space="preserve">eply, Aqua </w:t>
      </w:r>
      <w:r w:rsidR="00A4434D">
        <w:rPr>
          <w:bCs/>
          <w:sz w:val="26"/>
          <w:szCs w:val="26"/>
          <w:lang w:val="en"/>
        </w:rPr>
        <w:t>repeats</w:t>
      </w:r>
      <w:r w:rsidR="00EA7856" w:rsidRPr="002915C6">
        <w:rPr>
          <w:bCs/>
          <w:sz w:val="26"/>
          <w:szCs w:val="26"/>
          <w:lang w:val="en"/>
        </w:rPr>
        <w:t xml:space="preserve"> its argument that it filed tariff modifications in Supplement No. 101 at R-2016-2576069, enabling it to apply its DSIC to Limerick customers.  Aqua, however, reiterates that it will amend its LTIIP before charging DSIC to Limerick customers.  Hence, Aqua does not </w:t>
      </w:r>
      <w:r>
        <w:rPr>
          <w:bCs/>
          <w:sz w:val="26"/>
          <w:szCs w:val="26"/>
          <w:lang w:val="en"/>
        </w:rPr>
        <w:t>believe the thirty</w:t>
      </w:r>
      <w:r w:rsidR="00EA7856" w:rsidRPr="002915C6">
        <w:rPr>
          <w:bCs/>
          <w:sz w:val="26"/>
          <w:szCs w:val="26"/>
          <w:lang w:val="en"/>
        </w:rPr>
        <w:t>-day filing requirement is necessary at this time.  Therefore, Aqua requests that the Commission deny OCA Exception No. 7.  Aqua R. Exc. at 18.</w:t>
      </w:r>
    </w:p>
    <w:p w14:paraId="57E8A7AA" w14:textId="77777777" w:rsidR="00852CFC" w:rsidRPr="00BE5FF4" w:rsidRDefault="00852CFC" w:rsidP="00BE5FF4">
      <w:pPr>
        <w:pStyle w:val="FootnoteText"/>
        <w:widowControl/>
        <w:spacing w:line="360" w:lineRule="auto"/>
        <w:ind w:firstLine="1440"/>
        <w:rPr>
          <w:sz w:val="26"/>
          <w:lang w:val="en"/>
        </w:rPr>
      </w:pPr>
    </w:p>
    <w:p w14:paraId="1374FA24" w14:textId="77777777" w:rsidR="00852CFC" w:rsidRPr="00852CFC" w:rsidRDefault="00852CFC" w:rsidP="0012768D">
      <w:pPr>
        <w:pStyle w:val="FootnoteText"/>
        <w:widowControl/>
        <w:spacing w:line="360" w:lineRule="auto"/>
        <w:ind w:firstLine="1440"/>
        <w:rPr>
          <w:b/>
          <w:bCs/>
          <w:sz w:val="26"/>
          <w:szCs w:val="26"/>
          <w:lang w:val="en"/>
        </w:rPr>
      </w:pPr>
      <w:r w:rsidRPr="00852CFC">
        <w:rPr>
          <w:b/>
          <w:bCs/>
          <w:sz w:val="26"/>
          <w:szCs w:val="26"/>
          <w:lang w:val="en"/>
        </w:rPr>
        <w:t>3.</w:t>
      </w:r>
      <w:r w:rsidRPr="00852CFC">
        <w:rPr>
          <w:b/>
          <w:bCs/>
          <w:sz w:val="26"/>
          <w:szCs w:val="26"/>
          <w:lang w:val="en"/>
        </w:rPr>
        <w:tab/>
        <w:t>Disposition</w:t>
      </w:r>
    </w:p>
    <w:p w14:paraId="09ACFCEA" w14:textId="77777777" w:rsidR="00EA7856" w:rsidRPr="002915C6" w:rsidRDefault="00EA7856" w:rsidP="0012768D">
      <w:pPr>
        <w:pStyle w:val="FootnoteText"/>
        <w:widowControl/>
        <w:spacing w:line="360" w:lineRule="auto"/>
        <w:ind w:firstLine="1440"/>
        <w:rPr>
          <w:sz w:val="26"/>
          <w:szCs w:val="26"/>
        </w:rPr>
      </w:pPr>
    </w:p>
    <w:p w14:paraId="4C6F5B93" w14:textId="77777777" w:rsidR="00852CFC" w:rsidRPr="00BE5FF4" w:rsidRDefault="00EA7856" w:rsidP="00BE5FF4">
      <w:pPr>
        <w:widowControl/>
        <w:autoSpaceDE w:val="0"/>
        <w:autoSpaceDN w:val="0"/>
        <w:adjustRightInd w:val="0"/>
        <w:spacing w:line="360" w:lineRule="auto"/>
        <w:ind w:firstLine="1440"/>
        <w:contextualSpacing/>
        <w:rPr>
          <w:sz w:val="26"/>
        </w:rPr>
      </w:pPr>
      <w:r w:rsidRPr="002915C6">
        <w:rPr>
          <w:sz w:val="26"/>
          <w:szCs w:val="26"/>
        </w:rPr>
        <w:t>Upon review, we shall deny OCA Exception No. 7.  We note that Section</w:t>
      </w:r>
      <w:r w:rsidR="00852CFC">
        <w:rPr>
          <w:sz w:val="26"/>
          <w:szCs w:val="26"/>
        </w:rPr>
        <w:t> </w:t>
      </w:r>
      <w:r w:rsidRPr="002915C6">
        <w:rPr>
          <w:sz w:val="26"/>
          <w:szCs w:val="26"/>
        </w:rPr>
        <w:t xml:space="preserve">1329(d)(4) allows a public utility’s existing DSIC to be applied immediately to the selling utility customer’s bills.  </w:t>
      </w:r>
      <w:r w:rsidRPr="002915C6">
        <w:rPr>
          <w:bCs/>
          <w:i/>
          <w:sz w:val="26"/>
          <w:szCs w:val="26"/>
          <w:lang w:val="en"/>
        </w:rPr>
        <w:t xml:space="preserve">Final Implementation Order </w:t>
      </w:r>
      <w:r w:rsidRPr="002915C6">
        <w:rPr>
          <w:bCs/>
          <w:sz w:val="26"/>
          <w:szCs w:val="26"/>
          <w:lang w:val="en"/>
        </w:rPr>
        <w:t xml:space="preserve">at 27.  Furthermore, the </w:t>
      </w:r>
      <w:r w:rsidRPr="002915C6">
        <w:rPr>
          <w:bCs/>
          <w:i/>
          <w:sz w:val="26"/>
          <w:szCs w:val="26"/>
          <w:lang w:val="en"/>
        </w:rPr>
        <w:t xml:space="preserve">Final Implementation Order </w:t>
      </w:r>
      <w:r w:rsidRPr="002915C6">
        <w:rPr>
          <w:bCs/>
          <w:sz w:val="26"/>
          <w:szCs w:val="26"/>
          <w:lang w:val="en"/>
        </w:rPr>
        <w:t>states that</w:t>
      </w:r>
      <w:r w:rsidRPr="002915C6">
        <w:rPr>
          <w:bCs/>
          <w:i/>
          <w:sz w:val="26"/>
          <w:szCs w:val="26"/>
          <w:lang w:val="en"/>
        </w:rPr>
        <w:t xml:space="preserve"> </w:t>
      </w:r>
      <w:r w:rsidRPr="002915C6">
        <w:rPr>
          <w:bCs/>
          <w:sz w:val="26"/>
          <w:szCs w:val="26"/>
          <w:lang w:val="en"/>
        </w:rPr>
        <w:t>“</w:t>
      </w:r>
      <w:r w:rsidRPr="002915C6">
        <w:rPr>
          <w:sz w:val="26"/>
          <w:szCs w:val="26"/>
        </w:rPr>
        <w:t xml:space="preserve">a public utility that seeks approval to apply the DSIC to the customers acquired through acquisitions under Section 1329 will have to change its existing DSIC tariffs to reflect language consistent with the </w:t>
      </w:r>
      <w:r w:rsidRPr="002915C6">
        <w:rPr>
          <w:i/>
          <w:sz w:val="26"/>
          <w:szCs w:val="26"/>
        </w:rPr>
        <w:t>Act 11 Implementation Order</w:t>
      </w:r>
      <w:r w:rsidRPr="002915C6">
        <w:rPr>
          <w:sz w:val="26"/>
          <w:szCs w:val="26"/>
        </w:rPr>
        <w:t xml:space="preserve">.  In conjunction, the public utility would also need to amend its LTIIP.”  </w:t>
      </w:r>
      <w:r w:rsidRPr="002915C6">
        <w:rPr>
          <w:i/>
          <w:sz w:val="26"/>
          <w:szCs w:val="26"/>
        </w:rPr>
        <w:t>Id.</w:t>
      </w:r>
      <w:r w:rsidRPr="002915C6">
        <w:rPr>
          <w:sz w:val="26"/>
          <w:szCs w:val="26"/>
        </w:rPr>
        <w:t xml:space="preserve"> at 27-28.  However, our review of the record evidence does not reveal that Aqua intend</w:t>
      </w:r>
      <w:r w:rsidR="00145BC5">
        <w:rPr>
          <w:sz w:val="26"/>
          <w:szCs w:val="26"/>
        </w:rPr>
        <w:t>s</w:t>
      </w:r>
      <w:r w:rsidRPr="002915C6">
        <w:rPr>
          <w:sz w:val="26"/>
          <w:szCs w:val="26"/>
        </w:rPr>
        <w:t xml:space="preserve"> to charge the DSIC to Limerick customers immediately.  Aqua has indicated that it will amend its LTIIP before charging the DSIC to Limerick customers.  Aqua R. Exc. at 18.  We, therefore, direct that, if in the future Aqua decides to charge the DSIC to Limerick customers, Aqua file and obtain approval of the tariff changes and the revised LTIIP from the Commission prior to charging the DSIC surcharge.  Hence, we agree with the ALJ that t</w:t>
      </w:r>
      <w:r w:rsidR="00EB674E">
        <w:rPr>
          <w:sz w:val="26"/>
          <w:szCs w:val="26"/>
        </w:rPr>
        <w:t>here is no reason to impose a thirty</w:t>
      </w:r>
      <w:r w:rsidRPr="002915C6">
        <w:rPr>
          <w:sz w:val="26"/>
          <w:szCs w:val="26"/>
        </w:rPr>
        <w:t>-day deadline for Aqua to file a revised LTIIP at this time.  As such, we will deny OCA Exception No. 7.</w:t>
      </w:r>
    </w:p>
    <w:p w14:paraId="6718E394" w14:textId="77777777" w:rsidR="008D2146" w:rsidRDefault="008D2146" w:rsidP="00852CFC">
      <w:pPr>
        <w:widowControl/>
        <w:autoSpaceDE w:val="0"/>
        <w:autoSpaceDN w:val="0"/>
        <w:adjustRightInd w:val="0"/>
        <w:spacing w:line="360" w:lineRule="auto"/>
        <w:ind w:firstLine="1440"/>
        <w:contextualSpacing/>
        <w:rPr>
          <w:sz w:val="26"/>
          <w:szCs w:val="26"/>
        </w:rPr>
      </w:pPr>
      <w:r>
        <w:rPr>
          <w:sz w:val="26"/>
          <w:szCs w:val="26"/>
        </w:rPr>
        <w:br w:type="page"/>
      </w:r>
    </w:p>
    <w:p w14:paraId="40DF820D" w14:textId="77777777" w:rsidR="00466AE8" w:rsidRPr="002915C6" w:rsidRDefault="00C128D3" w:rsidP="006B0C84">
      <w:pPr>
        <w:pStyle w:val="Heading1"/>
        <w:widowControl/>
        <w:jc w:val="center"/>
        <w:rPr>
          <w:rFonts w:ascii="Times New Roman" w:hAnsi="Times New Roman" w:cs="Times New Roman"/>
          <w:color w:val="auto"/>
          <w:sz w:val="26"/>
          <w:szCs w:val="26"/>
        </w:rPr>
      </w:pPr>
      <w:bookmarkStart w:id="32" w:name="_Toc499121849"/>
      <w:r w:rsidRPr="002915C6">
        <w:rPr>
          <w:rFonts w:ascii="Times New Roman" w:hAnsi="Times New Roman" w:cs="Times New Roman"/>
          <w:color w:val="auto"/>
          <w:sz w:val="26"/>
          <w:szCs w:val="26"/>
        </w:rPr>
        <w:t>IV.</w:t>
      </w:r>
      <w:r w:rsidR="00AA6669" w:rsidRPr="002915C6">
        <w:rPr>
          <w:rFonts w:ascii="Times New Roman" w:hAnsi="Times New Roman" w:cs="Times New Roman"/>
          <w:color w:val="auto"/>
          <w:sz w:val="26"/>
          <w:szCs w:val="26"/>
        </w:rPr>
        <w:tab/>
      </w:r>
      <w:r w:rsidR="00466AE8" w:rsidRPr="002915C6">
        <w:rPr>
          <w:rFonts w:ascii="Times New Roman" w:hAnsi="Times New Roman" w:cs="Times New Roman"/>
          <w:color w:val="auto"/>
          <w:sz w:val="26"/>
          <w:szCs w:val="26"/>
        </w:rPr>
        <w:t>Conclusion</w:t>
      </w:r>
      <w:bookmarkEnd w:id="32"/>
    </w:p>
    <w:p w14:paraId="598D0C08" w14:textId="77777777" w:rsidR="00466AE8" w:rsidRPr="002915C6" w:rsidRDefault="00466AE8" w:rsidP="006B0C84">
      <w:pPr>
        <w:keepNext/>
        <w:keepLines/>
        <w:widowControl/>
        <w:spacing w:line="360" w:lineRule="auto"/>
        <w:ind w:firstLine="1440"/>
        <w:rPr>
          <w:sz w:val="26"/>
          <w:szCs w:val="26"/>
        </w:rPr>
      </w:pPr>
    </w:p>
    <w:p w14:paraId="13136A8C" w14:textId="77777777" w:rsidR="00651964" w:rsidRPr="002915C6" w:rsidRDefault="0038610B" w:rsidP="0012768D">
      <w:pPr>
        <w:widowControl/>
        <w:spacing w:line="360" w:lineRule="auto"/>
        <w:ind w:firstLine="1440"/>
        <w:rPr>
          <w:sz w:val="26"/>
          <w:szCs w:val="26"/>
        </w:rPr>
      </w:pPr>
      <w:r w:rsidRPr="002915C6">
        <w:rPr>
          <w:color w:val="000000"/>
          <w:sz w:val="26"/>
          <w:szCs w:val="26"/>
        </w:rPr>
        <w:t xml:space="preserve">For the reasons </w:t>
      </w:r>
      <w:r w:rsidR="00B0195C" w:rsidRPr="002915C6">
        <w:rPr>
          <w:color w:val="000000"/>
          <w:sz w:val="26"/>
          <w:szCs w:val="26"/>
        </w:rPr>
        <w:t>discussed above</w:t>
      </w:r>
      <w:r w:rsidRPr="002915C6">
        <w:rPr>
          <w:color w:val="000000"/>
          <w:sz w:val="26"/>
          <w:szCs w:val="26"/>
        </w:rPr>
        <w:t xml:space="preserve">, we shall </w:t>
      </w:r>
      <w:r w:rsidR="00404020" w:rsidRPr="002915C6">
        <w:rPr>
          <w:color w:val="000000"/>
          <w:sz w:val="26"/>
          <w:szCs w:val="26"/>
        </w:rPr>
        <w:t xml:space="preserve">deny </w:t>
      </w:r>
      <w:r w:rsidR="004144CB" w:rsidRPr="002915C6">
        <w:rPr>
          <w:color w:val="000000"/>
          <w:sz w:val="26"/>
          <w:szCs w:val="26"/>
        </w:rPr>
        <w:t>the Exceptions of Aqua</w:t>
      </w:r>
      <w:r w:rsidR="00404020" w:rsidRPr="002915C6">
        <w:rPr>
          <w:color w:val="000000"/>
          <w:sz w:val="26"/>
          <w:szCs w:val="26"/>
        </w:rPr>
        <w:t>, I&amp;E, and the OCA</w:t>
      </w:r>
      <w:r w:rsidR="004144CB" w:rsidRPr="002915C6">
        <w:rPr>
          <w:color w:val="000000"/>
          <w:sz w:val="26"/>
          <w:szCs w:val="26"/>
        </w:rPr>
        <w:t xml:space="preserve"> and </w:t>
      </w:r>
      <w:r w:rsidR="0026641A" w:rsidRPr="002915C6">
        <w:rPr>
          <w:color w:val="000000"/>
          <w:sz w:val="26"/>
          <w:szCs w:val="26"/>
        </w:rPr>
        <w:t xml:space="preserve">adopt the </w:t>
      </w:r>
      <w:r w:rsidR="004144CB" w:rsidRPr="002915C6">
        <w:rPr>
          <w:color w:val="000000"/>
          <w:sz w:val="26"/>
          <w:szCs w:val="26"/>
        </w:rPr>
        <w:t xml:space="preserve">Recommended Decision, </w:t>
      </w:r>
      <w:r w:rsidR="005601A0" w:rsidRPr="002915C6">
        <w:rPr>
          <w:sz w:val="26"/>
          <w:szCs w:val="26"/>
        </w:rPr>
        <w:t>consistent with the discussion in this Opinion and Order</w:t>
      </w:r>
      <w:r w:rsidR="00651964" w:rsidRPr="002915C6">
        <w:rPr>
          <w:sz w:val="26"/>
          <w:szCs w:val="26"/>
        </w:rPr>
        <w:t xml:space="preserve">; </w:t>
      </w:r>
      <w:r w:rsidR="00651964" w:rsidRPr="002915C6">
        <w:rPr>
          <w:b/>
          <w:sz w:val="26"/>
          <w:szCs w:val="26"/>
        </w:rPr>
        <w:t>THEREFORE,</w:t>
      </w:r>
    </w:p>
    <w:p w14:paraId="6AEB35F4" w14:textId="77777777" w:rsidR="00651964" w:rsidRPr="002915C6" w:rsidRDefault="00651964" w:rsidP="0012768D">
      <w:pPr>
        <w:widowControl/>
        <w:spacing w:line="360" w:lineRule="auto"/>
        <w:ind w:firstLine="1440"/>
        <w:rPr>
          <w:sz w:val="26"/>
          <w:szCs w:val="26"/>
        </w:rPr>
      </w:pPr>
    </w:p>
    <w:p w14:paraId="5C81BB37" w14:textId="77777777" w:rsidR="00651964" w:rsidRPr="002915C6" w:rsidRDefault="00651964" w:rsidP="0012768D">
      <w:pPr>
        <w:keepNext/>
        <w:keepLines/>
        <w:widowControl/>
        <w:spacing w:line="360" w:lineRule="auto"/>
        <w:ind w:firstLine="1440"/>
        <w:rPr>
          <w:b/>
          <w:sz w:val="26"/>
          <w:szCs w:val="26"/>
        </w:rPr>
      </w:pPr>
      <w:r w:rsidRPr="002915C6">
        <w:rPr>
          <w:b/>
          <w:sz w:val="26"/>
          <w:szCs w:val="26"/>
        </w:rPr>
        <w:t>IT IS ORDERED:</w:t>
      </w:r>
    </w:p>
    <w:p w14:paraId="77F80445" w14:textId="77777777" w:rsidR="00651964" w:rsidRPr="002915C6" w:rsidRDefault="00651964" w:rsidP="0012768D">
      <w:pPr>
        <w:keepNext/>
        <w:keepLines/>
        <w:widowControl/>
        <w:rPr>
          <w:sz w:val="26"/>
          <w:szCs w:val="26"/>
        </w:rPr>
      </w:pPr>
    </w:p>
    <w:p w14:paraId="00C8BC5D" w14:textId="77777777" w:rsidR="00B0195C" w:rsidRPr="002915C6" w:rsidRDefault="00F7274A" w:rsidP="0012768D">
      <w:pPr>
        <w:widowControl/>
        <w:spacing w:line="360" w:lineRule="auto"/>
        <w:ind w:firstLine="1440"/>
        <w:rPr>
          <w:sz w:val="26"/>
          <w:szCs w:val="26"/>
        </w:rPr>
      </w:pPr>
      <w:r w:rsidRPr="002915C6">
        <w:rPr>
          <w:sz w:val="26"/>
          <w:szCs w:val="26"/>
        </w:rPr>
        <w:t>1.</w:t>
      </w:r>
      <w:r w:rsidR="00753415" w:rsidRPr="002915C6">
        <w:rPr>
          <w:sz w:val="26"/>
          <w:szCs w:val="26"/>
        </w:rPr>
        <w:tab/>
        <w:t>That the Exceptions filed by Aqua Pennsylvania Wastewater, Inc.,</w:t>
      </w:r>
      <w:r w:rsidR="001B1E43" w:rsidRPr="002915C6">
        <w:rPr>
          <w:sz w:val="26"/>
          <w:szCs w:val="26"/>
        </w:rPr>
        <w:t xml:space="preserve"> </w:t>
      </w:r>
      <w:r w:rsidR="00404020" w:rsidRPr="002915C6">
        <w:rPr>
          <w:sz w:val="26"/>
          <w:szCs w:val="26"/>
        </w:rPr>
        <w:t xml:space="preserve">the Commission’s Bureau of Investigation and Enforcement, and the Office of Consumer Advocate, filed on October 3, </w:t>
      </w:r>
      <w:r w:rsidR="00753415" w:rsidRPr="002915C6">
        <w:rPr>
          <w:sz w:val="26"/>
          <w:szCs w:val="26"/>
        </w:rPr>
        <w:t xml:space="preserve">2017, are </w:t>
      </w:r>
      <w:r w:rsidR="00404020" w:rsidRPr="002915C6">
        <w:rPr>
          <w:sz w:val="26"/>
          <w:szCs w:val="26"/>
        </w:rPr>
        <w:t>all denied</w:t>
      </w:r>
      <w:r w:rsidR="001C4124">
        <w:rPr>
          <w:sz w:val="26"/>
          <w:szCs w:val="26"/>
        </w:rPr>
        <w:t>.</w:t>
      </w:r>
    </w:p>
    <w:p w14:paraId="2FEEE17A" w14:textId="77777777" w:rsidR="00B0195C" w:rsidRPr="002915C6" w:rsidRDefault="00B0195C" w:rsidP="0012768D">
      <w:pPr>
        <w:widowControl/>
        <w:spacing w:line="360" w:lineRule="auto"/>
        <w:ind w:firstLine="1440"/>
        <w:rPr>
          <w:sz w:val="26"/>
          <w:szCs w:val="26"/>
        </w:rPr>
      </w:pPr>
    </w:p>
    <w:p w14:paraId="7A4CC6CE" w14:textId="77777777" w:rsidR="00753415" w:rsidRPr="002915C6" w:rsidRDefault="00B0195C" w:rsidP="0012768D">
      <w:pPr>
        <w:widowControl/>
        <w:spacing w:line="360" w:lineRule="auto"/>
        <w:ind w:firstLine="1440"/>
        <w:rPr>
          <w:sz w:val="26"/>
          <w:szCs w:val="26"/>
        </w:rPr>
      </w:pPr>
      <w:r w:rsidRPr="002915C6">
        <w:rPr>
          <w:sz w:val="26"/>
          <w:szCs w:val="26"/>
        </w:rPr>
        <w:t>2.</w:t>
      </w:r>
      <w:r w:rsidRPr="002915C6">
        <w:rPr>
          <w:sz w:val="26"/>
          <w:szCs w:val="26"/>
        </w:rPr>
        <w:tab/>
      </w:r>
      <w:r w:rsidR="00404020" w:rsidRPr="002915C6">
        <w:rPr>
          <w:sz w:val="26"/>
          <w:szCs w:val="26"/>
        </w:rPr>
        <w:t>T</w:t>
      </w:r>
      <w:r w:rsidR="00753415" w:rsidRPr="002915C6">
        <w:rPr>
          <w:sz w:val="26"/>
          <w:szCs w:val="26"/>
        </w:rPr>
        <w:t xml:space="preserve">hat the Recommended Decision of Administrative Law Judge Steven K. Haas, issued on </w:t>
      </w:r>
      <w:r w:rsidR="00404020" w:rsidRPr="002915C6">
        <w:rPr>
          <w:sz w:val="26"/>
          <w:szCs w:val="26"/>
        </w:rPr>
        <w:t>September 18</w:t>
      </w:r>
      <w:r w:rsidR="001C4124">
        <w:rPr>
          <w:sz w:val="26"/>
          <w:szCs w:val="26"/>
        </w:rPr>
        <w:t>,</w:t>
      </w:r>
      <w:r w:rsidR="00753415" w:rsidRPr="002915C6">
        <w:rPr>
          <w:sz w:val="26"/>
          <w:szCs w:val="26"/>
        </w:rPr>
        <w:t xml:space="preserve"> 2017, is adopted.</w:t>
      </w:r>
    </w:p>
    <w:p w14:paraId="6E73CF19" w14:textId="77777777" w:rsidR="00753415" w:rsidRPr="002915C6" w:rsidRDefault="00753415" w:rsidP="0012768D">
      <w:pPr>
        <w:widowControl/>
        <w:spacing w:line="360" w:lineRule="auto"/>
        <w:ind w:firstLine="1440"/>
        <w:rPr>
          <w:sz w:val="26"/>
          <w:szCs w:val="26"/>
        </w:rPr>
      </w:pPr>
    </w:p>
    <w:p w14:paraId="6BDCD6DC" w14:textId="77777777" w:rsidR="00800698" w:rsidRPr="002915C6" w:rsidRDefault="0026641A" w:rsidP="0012768D">
      <w:pPr>
        <w:widowControl/>
        <w:spacing w:line="360" w:lineRule="auto"/>
        <w:ind w:firstLine="1440"/>
        <w:rPr>
          <w:sz w:val="26"/>
          <w:szCs w:val="26"/>
        </w:rPr>
      </w:pPr>
      <w:r w:rsidRPr="002915C6">
        <w:rPr>
          <w:sz w:val="26"/>
          <w:szCs w:val="26"/>
        </w:rPr>
        <w:t>3</w:t>
      </w:r>
      <w:r w:rsidR="00753415" w:rsidRPr="002915C6">
        <w:rPr>
          <w:sz w:val="26"/>
          <w:szCs w:val="26"/>
        </w:rPr>
        <w:t>.</w:t>
      </w:r>
      <w:r w:rsidR="00753415" w:rsidRPr="002915C6">
        <w:rPr>
          <w:sz w:val="26"/>
          <w:szCs w:val="26"/>
        </w:rPr>
        <w:tab/>
      </w:r>
      <w:r w:rsidR="00F7274A" w:rsidRPr="002915C6">
        <w:rPr>
          <w:sz w:val="26"/>
          <w:szCs w:val="26"/>
        </w:rPr>
        <w:t xml:space="preserve">That </w:t>
      </w:r>
      <w:r w:rsidR="0038610B" w:rsidRPr="002915C6">
        <w:rPr>
          <w:sz w:val="26"/>
          <w:szCs w:val="26"/>
        </w:rPr>
        <w:t xml:space="preserve">the Application of Aqua Pennsylvania Wastewater, Inc., filed on </w:t>
      </w:r>
      <w:r w:rsidRPr="002915C6">
        <w:rPr>
          <w:sz w:val="26"/>
          <w:szCs w:val="26"/>
        </w:rPr>
        <w:t>May 19, 2017</w:t>
      </w:r>
      <w:r w:rsidR="0038610B" w:rsidRPr="002915C6">
        <w:rPr>
          <w:sz w:val="26"/>
          <w:szCs w:val="26"/>
        </w:rPr>
        <w:t xml:space="preserve">, seeking approval of:  </w:t>
      </w:r>
      <w:r w:rsidRPr="002915C6">
        <w:rPr>
          <w:sz w:val="26"/>
          <w:szCs w:val="26"/>
        </w:rPr>
        <w:t xml:space="preserve">1) the acquisition of the wastewater system assets of Limerick Township, Montgomery County, Pennsylvania, (2) the right of Aqua Pennsylvania Wastewater, Inc., to begin to offer, render, furnish and supply wastewater service to the public in portions of the Limerick Township, and (3) an order approving the acquisition that includes the ratemaking rate base of the Township’s wastewater system assets pursuant to Section 1329(c)(2) of the Pennsylvania Public Utility Code (Code), 66 Pa. C.S. § 1329(c)(2), </w:t>
      </w:r>
      <w:r w:rsidR="00405F5B" w:rsidRPr="002915C6">
        <w:rPr>
          <w:sz w:val="26"/>
          <w:szCs w:val="26"/>
        </w:rPr>
        <w:t xml:space="preserve">is </w:t>
      </w:r>
      <w:r w:rsidR="001C4124">
        <w:rPr>
          <w:sz w:val="26"/>
          <w:szCs w:val="26"/>
        </w:rPr>
        <w:t>approved</w:t>
      </w:r>
      <w:r w:rsidR="00753415" w:rsidRPr="002915C6">
        <w:rPr>
          <w:sz w:val="26"/>
          <w:szCs w:val="26"/>
        </w:rPr>
        <w:t>.</w:t>
      </w:r>
    </w:p>
    <w:p w14:paraId="122B9B9A" w14:textId="77777777" w:rsidR="00800698" w:rsidRPr="002915C6" w:rsidRDefault="00800698" w:rsidP="0012768D">
      <w:pPr>
        <w:widowControl/>
        <w:spacing w:line="360" w:lineRule="auto"/>
        <w:ind w:firstLine="1440"/>
        <w:rPr>
          <w:sz w:val="26"/>
          <w:szCs w:val="26"/>
        </w:rPr>
      </w:pPr>
    </w:p>
    <w:p w14:paraId="2DFD2928" w14:textId="4124085F" w:rsidR="006A4622" w:rsidRDefault="0026641A" w:rsidP="00BE5FF4">
      <w:pPr>
        <w:widowControl/>
        <w:spacing w:line="360" w:lineRule="auto"/>
        <w:ind w:firstLine="1440"/>
        <w:rPr>
          <w:sz w:val="26"/>
          <w:szCs w:val="26"/>
        </w:rPr>
      </w:pPr>
      <w:r w:rsidRPr="002915C6">
        <w:rPr>
          <w:sz w:val="26"/>
          <w:szCs w:val="26"/>
        </w:rPr>
        <w:t>4</w:t>
      </w:r>
      <w:r w:rsidR="00800698" w:rsidRPr="002915C6">
        <w:rPr>
          <w:sz w:val="26"/>
          <w:szCs w:val="26"/>
        </w:rPr>
        <w:t>.</w:t>
      </w:r>
      <w:r w:rsidR="00800698" w:rsidRPr="002915C6">
        <w:rPr>
          <w:sz w:val="26"/>
          <w:szCs w:val="26"/>
        </w:rPr>
        <w:tab/>
      </w:r>
      <w:r w:rsidR="00604DC2" w:rsidRPr="002915C6">
        <w:rPr>
          <w:sz w:val="26"/>
          <w:szCs w:val="26"/>
        </w:rPr>
        <w:t xml:space="preserve">That the resulting rate base addition </w:t>
      </w:r>
      <w:r w:rsidR="00FE3F4B" w:rsidRPr="002915C6">
        <w:rPr>
          <w:sz w:val="26"/>
          <w:szCs w:val="26"/>
        </w:rPr>
        <w:t>of</w:t>
      </w:r>
      <w:r w:rsidR="00604DC2" w:rsidRPr="002915C6">
        <w:rPr>
          <w:sz w:val="26"/>
          <w:szCs w:val="26"/>
        </w:rPr>
        <w:t xml:space="preserve"> $</w:t>
      </w:r>
      <w:r w:rsidR="00145BC5">
        <w:rPr>
          <w:sz w:val="26"/>
          <w:szCs w:val="26"/>
        </w:rPr>
        <w:t>6</w:t>
      </w:r>
      <w:r w:rsidR="00F64767">
        <w:rPr>
          <w:sz w:val="26"/>
          <w:szCs w:val="26"/>
        </w:rPr>
        <w:t>4</w:t>
      </w:r>
      <w:r w:rsidR="00145BC5">
        <w:rPr>
          <w:sz w:val="26"/>
          <w:szCs w:val="26"/>
        </w:rPr>
        <w:t>,373,378</w:t>
      </w:r>
      <w:r w:rsidR="00FE3F4B" w:rsidRPr="002915C6">
        <w:rPr>
          <w:sz w:val="26"/>
          <w:szCs w:val="26"/>
        </w:rPr>
        <w:t xml:space="preserve"> is approved</w:t>
      </w:r>
      <w:r w:rsidR="00604DC2" w:rsidRPr="002915C6">
        <w:rPr>
          <w:sz w:val="26"/>
          <w:szCs w:val="26"/>
        </w:rPr>
        <w:t>.</w:t>
      </w:r>
    </w:p>
    <w:p w14:paraId="1E6208C5" w14:textId="48101D30" w:rsidR="006A4622" w:rsidRDefault="006A4622">
      <w:pPr>
        <w:widowControl/>
        <w:spacing w:after="200" w:line="276" w:lineRule="auto"/>
        <w:rPr>
          <w:sz w:val="26"/>
          <w:szCs w:val="26"/>
        </w:rPr>
      </w:pPr>
    </w:p>
    <w:p w14:paraId="52704C56" w14:textId="77777777" w:rsidR="00F70FA6" w:rsidRDefault="00F70FA6" w:rsidP="0012768D">
      <w:pPr>
        <w:pStyle w:val="ListParagraph"/>
        <w:widowControl/>
        <w:spacing w:line="360" w:lineRule="auto"/>
        <w:ind w:left="0"/>
        <w:rPr>
          <w:sz w:val="26"/>
          <w:szCs w:val="26"/>
        </w:rPr>
      </w:pPr>
      <w:r w:rsidRPr="002915C6">
        <w:rPr>
          <w:sz w:val="26"/>
          <w:szCs w:val="26"/>
        </w:rPr>
        <w:tab/>
      </w:r>
      <w:r w:rsidRPr="002915C6">
        <w:rPr>
          <w:sz w:val="26"/>
          <w:szCs w:val="26"/>
        </w:rPr>
        <w:tab/>
      </w:r>
      <w:r w:rsidR="0026641A" w:rsidRPr="002915C6">
        <w:rPr>
          <w:sz w:val="26"/>
          <w:szCs w:val="26"/>
        </w:rPr>
        <w:t>5</w:t>
      </w:r>
      <w:r w:rsidRPr="002915C6">
        <w:rPr>
          <w:sz w:val="26"/>
          <w:szCs w:val="26"/>
        </w:rPr>
        <w:t>.</w:t>
      </w:r>
      <w:r w:rsidRPr="002915C6">
        <w:rPr>
          <w:sz w:val="26"/>
          <w:szCs w:val="26"/>
        </w:rPr>
        <w:tab/>
      </w:r>
      <w:r w:rsidRPr="002915C6">
        <w:rPr>
          <w:color w:val="000000"/>
          <w:sz w:val="26"/>
          <w:szCs w:val="26"/>
        </w:rPr>
        <w:t xml:space="preserve">That the Commission's Secretary issue a Certificate of Public Convenience evidencing Aqua Pennsylvania </w:t>
      </w:r>
      <w:r w:rsidRPr="002915C6">
        <w:rPr>
          <w:sz w:val="26"/>
          <w:szCs w:val="26"/>
        </w:rPr>
        <w:t>Wastewater</w:t>
      </w:r>
      <w:r w:rsidRPr="002915C6">
        <w:rPr>
          <w:color w:val="000000"/>
          <w:sz w:val="26"/>
          <w:szCs w:val="26"/>
        </w:rPr>
        <w:t xml:space="preserve">, Inc.’s right under Sections 1102(a)(1), 1102(a)(3) and </w:t>
      </w:r>
      <w:r w:rsidRPr="002915C6">
        <w:rPr>
          <w:sz w:val="26"/>
          <w:szCs w:val="26"/>
        </w:rPr>
        <w:t xml:space="preserve">1329(c)(2) </w:t>
      </w:r>
      <w:r w:rsidRPr="002915C6">
        <w:rPr>
          <w:color w:val="000000"/>
          <w:sz w:val="26"/>
          <w:szCs w:val="26"/>
        </w:rPr>
        <w:t xml:space="preserve">of the Pennsylvania Public Utility Code, 66 Pa. C.S. §§ 1102(a)(1), 1102(a)(3) and </w:t>
      </w:r>
      <w:r w:rsidRPr="002915C6">
        <w:rPr>
          <w:sz w:val="26"/>
          <w:szCs w:val="26"/>
        </w:rPr>
        <w:t>1329(c)(2)</w:t>
      </w:r>
      <w:r w:rsidRPr="002915C6">
        <w:rPr>
          <w:color w:val="000000"/>
          <w:sz w:val="26"/>
          <w:szCs w:val="26"/>
        </w:rPr>
        <w:t>, to</w:t>
      </w:r>
      <w:r w:rsidR="00B131F8" w:rsidRPr="002915C6">
        <w:rPr>
          <w:color w:val="000000"/>
          <w:sz w:val="26"/>
          <w:szCs w:val="26"/>
        </w:rPr>
        <w:t>:</w:t>
      </w:r>
      <w:r w:rsidRPr="002915C6">
        <w:rPr>
          <w:color w:val="000000"/>
          <w:sz w:val="26"/>
          <w:szCs w:val="26"/>
        </w:rPr>
        <w:t xml:space="preserve"> (</w:t>
      </w:r>
      <w:r w:rsidR="006C580F" w:rsidRPr="002915C6">
        <w:rPr>
          <w:color w:val="000000"/>
          <w:sz w:val="26"/>
          <w:szCs w:val="26"/>
        </w:rPr>
        <w:t>a</w:t>
      </w:r>
      <w:r w:rsidRPr="002915C6">
        <w:rPr>
          <w:color w:val="000000"/>
          <w:sz w:val="26"/>
          <w:szCs w:val="26"/>
        </w:rPr>
        <w:t xml:space="preserve">) acquire, by sale, </w:t>
      </w:r>
      <w:r w:rsidRPr="002915C6">
        <w:rPr>
          <w:sz w:val="26"/>
          <w:szCs w:val="26"/>
        </w:rPr>
        <w:t xml:space="preserve">the wastewater system assets of </w:t>
      </w:r>
      <w:r w:rsidR="0026641A" w:rsidRPr="002915C6">
        <w:rPr>
          <w:sz w:val="26"/>
          <w:szCs w:val="26"/>
        </w:rPr>
        <w:t>Limerick Township, Montgomery County, Pennsylvania</w:t>
      </w:r>
      <w:r w:rsidRPr="002915C6">
        <w:rPr>
          <w:sz w:val="26"/>
          <w:szCs w:val="26"/>
        </w:rPr>
        <w:t xml:space="preserve">, </w:t>
      </w:r>
      <w:r w:rsidR="006C580F" w:rsidRPr="002915C6">
        <w:rPr>
          <w:sz w:val="26"/>
          <w:szCs w:val="26"/>
        </w:rPr>
        <w:t>(b</w:t>
      </w:r>
      <w:r w:rsidRPr="002915C6">
        <w:rPr>
          <w:sz w:val="26"/>
          <w:szCs w:val="26"/>
        </w:rPr>
        <w:t xml:space="preserve">) the right of Aqua </w:t>
      </w:r>
      <w:r w:rsidR="006C580F" w:rsidRPr="002915C6">
        <w:rPr>
          <w:color w:val="000000"/>
          <w:sz w:val="26"/>
          <w:szCs w:val="26"/>
        </w:rPr>
        <w:t xml:space="preserve">Pennsylvania </w:t>
      </w:r>
      <w:r w:rsidR="006C580F" w:rsidRPr="002915C6">
        <w:rPr>
          <w:sz w:val="26"/>
          <w:szCs w:val="26"/>
        </w:rPr>
        <w:t>Wastewater</w:t>
      </w:r>
      <w:r w:rsidR="006C580F" w:rsidRPr="002915C6">
        <w:rPr>
          <w:color w:val="000000"/>
          <w:sz w:val="26"/>
          <w:szCs w:val="26"/>
        </w:rPr>
        <w:t xml:space="preserve">, Inc. </w:t>
      </w:r>
      <w:r w:rsidRPr="002915C6">
        <w:rPr>
          <w:sz w:val="26"/>
          <w:szCs w:val="26"/>
        </w:rPr>
        <w:t xml:space="preserve">to begin to offer, render, furnish and supply wastewater service to the public in portions of </w:t>
      </w:r>
      <w:r w:rsidR="0026641A" w:rsidRPr="002915C6">
        <w:rPr>
          <w:sz w:val="26"/>
          <w:szCs w:val="26"/>
        </w:rPr>
        <w:t>Limerick Township, Montgomery County, Pennsylvania</w:t>
      </w:r>
      <w:r w:rsidR="006C580F" w:rsidRPr="002915C6">
        <w:rPr>
          <w:sz w:val="26"/>
          <w:szCs w:val="26"/>
        </w:rPr>
        <w:t>, and (c</w:t>
      </w:r>
      <w:r w:rsidRPr="002915C6">
        <w:rPr>
          <w:sz w:val="26"/>
          <w:szCs w:val="26"/>
        </w:rPr>
        <w:t xml:space="preserve">) </w:t>
      </w:r>
      <w:r w:rsidR="00611B62" w:rsidRPr="002915C6">
        <w:rPr>
          <w:sz w:val="26"/>
          <w:szCs w:val="26"/>
        </w:rPr>
        <w:t>allow</w:t>
      </w:r>
      <w:r w:rsidRPr="002915C6">
        <w:rPr>
          <w:sz w:val="26"/>
          <w:szCs w:val="26"/>
        </w:rPr>
        <w:t xml:space="preserve"> </w:t>
      </w:r>
      <w:r w:rsidR="00611B62" w:rsidRPr="002915C6">
        <w:rPr>
          <w:color w:val="000000"/>
          <w:sz w:val="26"/>
          <w:szCs w:val="26"/>
        </w:rPr>
        <w:t xml:space="preserve">Aqua Pennsylvania </w:t>
      </w:r>
      <w:r w:rsidR="00611B62" w:rsidRPr="002915C6">
        <w:rPr>
          <w:sz w:val="26"/>
          <w:szCs w:val="26"/>
        </w:rPr>
        <w:t>Wastewater</w:t>
      </w:r>
      <w:r w:rsidR="00611B62" w:rsidRPr="002915C6">
        <w:rPr>
          <w:color w:val="000000"/>
          <w:sz w:val="26"/>
          <w:szCs w:val="26"/>
        </w:rPr>
        <w:t xml:space="preserve">, Inc. </w:t>
      </w:r>
      <w:r w:rsidR="0026641A" w:rsidRPr="002915C6">
        <w:rPr>
          <w:color w:val="000000"/>
          <w:sz w:val="26"/>
          <w:szCs w:val="26"/>
        </w:rPr>
        <w:t xml:space="preserve">to </w:t>
      </w:r>
      <w:r w:rsidR="00611B62" w:rsidRPr="002915C6">
        <w:rPr>
          <w:color w:val="000000"/>
          <w:sz w:val="26"/>
          <w:szCs w:val="26"/>
        </w:rPr>
        <w:t xml:space="preserve">incorporate </w:t>
      </w:r>
      <w:r w:rsidRPr="002915C6">
        <w:rPr>
          <w:sz w:val="26"/>
          <w:szCs w:val="26"/>
        </w:rPr>
        <w:t xml:space="preserve">the ratemaking rate base of </w:t>
      </w:r>
      <w:r w:rsidR="00B131F8" w:rsidRPr="002915C6">
        <w:rPr>
          <w:sz w:val="26"/>
          <w:szCs w:val="26"/>
        </w:rPr>
        <w:t>$</w:t>
      </w:r>
      <w:r w:rsidR="00A4434D">
        <w:rPr>
          <w:sz w:val="26"/>
          <w:szCs w:val="26"/>
        </w:rPr>
        <w:t>64</w:t>
      </w:r>
      <w:r w:rsidR="00145BC5">
        <w:rPr>
          <w:sz w:val="26"/>
          <w:szCs w:val="26"/>
        </w:rPr>
        <w:t>,373,378</w:t>
      </w:r>
      <w:r w:rsidR="00B131F8" w:rsidRPr="002915C6">
        <w:rPr>
          <w:sz w:val="26"/>
          <w:szCs w:val="26"/>
        </w:rPr>
        <w:t xml:space="preserve"> for</w:t>
      </w:r>
      <w:r w:rsidRPr="002915C6">
        <w:rPr>
          <w:sz w:val="26"/>
          <w:szCs w:val="26"/>
        </w:rPr>
        <w:t xml:space="preserve"> </w:t>
      </w:r>
      <w:r w:rsidR="00B131F8" w:rsidRPr="002915C6">
        <w:rPr>
          <w:sz w:val="26"/>
          <w:szCs w:val="26"/>
        </w:rPr>
        <w:t xml:space="preserve">the </w:t>
      </w:r>
      <w:r w:rsidR="0026641A" w:rsidRPr="002915C6">
        <w:rPr>
          <w:sz w:val="26"/>
          <w:szCs w:val="26"/>
        </w:rPr>
        <w:t>Limerick Township</w:t>
      </w:r>
      <w:r w:rsidRPr="002915C6">
        <w:rPr>
          <w:sz w:val="26"/>
          <w:szCs w:val="26"/>
        </w:rPr>
        <w:t xml:space="preserve"> wastewater system assets </w:t>
      </w:r>
      <w:r w:rsidR="00611B62" w:rsidRPr="002915C6">
        <w:rPr>
          <w:sz w:val="26"/>
          <w:szCs w:val="26"/>
        </w:rPr>
        <w:t xml:space="preserve">in </w:t>
      </w:r>
      <w:r w:rsidR="009E7393" w:rsidRPr="002915C6">
        <w:rPr>
          <w:color w:val="000000"/>
          <w:sz w:val="26"/>
          <w:szCs w:val="26"/>
        </w:rPr>
        <w:t>its</w:t>
      </w:r>
      <w:r w:rsidR="00611B62" w:rsidRPr="002915C6">
        <w:rPr>
          <w:color w:val="000000"/>
          <w:sz w:val="26"/>
          <w:szCs w:val="26"/>
        </w:rPr>
        <w:t xml:space="preserve"> next base rate case </w:t>
      </w:r>
      <w:r w:rsidRPr="002915C6">
        <w:rPr>
          <w:sz w:val="26"/>
          <w:szCs w:val="26"/>
        </w:rPr>
        <w:t>pursuant to 66 Pa. C.S. § 1329(c)(2).</w:t>
      </w:r>
    </w:p>
    <w:p w14:paraId="392D5E67" w14:textId="77777777" w:rsidR="00145BC5" w:rsidRDefault="00145BC5" w:rsidP="0012768D">
      <w:pPr>
        <w:pStyle w:val="ListParagraph"/>
        <w:widowControl/>
        <w:spacing w:line="360" w:lineRule="auto"/>
        <w:ind w:left="0"/>
        <w:rPr>
          <w:sz w:val="26"/>
          <w:szCs w:val="26"/>
        </w:rPr>
      </w:pPr>
    </w:p>
    <w:p w14:paraId="1C8B631F" w14:textId="77777777" w:rsidR="00DC0767" w:rsidRDefault="00DC0767" w:rsidP="0012768D">
      <w:pPr>
        <w:keepNext/>
        <w:widowControl/>
        <w:spacing w:line="360" w:lineRule="auto"/>
        <w:rPr>
          <w:sz w:val="26"/>
          <w:szCs w:val="26"/>
        </w:rPr>
      </w:pPr>
      <w:r>
        <w:rPr>
          <w:sz w:val="26"/>
          <w:szCs w:val="26"/>
        </w:rPr>
        <w:tab/>
      </w:r>
      <w:r>
        <w:rPr>
          <w:sz w:val="26"/>
          <w:szCs w:val="26"/>
        </w:rPr>
        <w:tab/>
      </w:r>
      <w:r w:rsidR="00145BC5">
        <w:rPr>
          <w:sz w:val="26"/>
          <w:szCs w:val="26"/>
        </w:rPr>
        <w:t xml:space="preserve">6. </w:t>
      </w:r>
      <w:r w:rsidR="00145BC5">
        <w:rPr>
          <w:sz w:val="26"/>
          <w:szCs w:val="26"/>
        </w:rPr>
        <w:tab/>
      </w:r>
      <w:r>
        <w:rPr>
          <w:sz w:val="26"/>
          <w:szCs w:val="26"/>
        </w:rPr>
        <w:t>That the Commission’s Secretary issue a Certificate of Filing under Section 507 of the Public Utility Code, 66 Pa. C.S. § 507, for the assignment and assumption agreements filed with the Commission on May 19, 2017, for the following municipal agreements:</w:t>
      </w:r>
    </w:p>
    <w:p w14:paraId="2A665D9A" w14:textId="77777777" w:rsidR="00DC0767" w:rsidRDefault="00DC0767" w:rsidP="0012768D">
      <w:pPr>
        <w:keepNext/>
        <w:widowControl/>
        <w:spacing w:line="360" w:lineRule="auto"/>
        <w:rPr>
          <w:sz w:val="26"/>
          <w:szCs w:val="26"/>
        </w:rPr>
      </w:pPr>
    </w:p>
    <w:p w14:paraId="34219F68" w14:textId="77777777" w:rsidR="00DC0767" w:rsidRDefault="00DC0767" w:rsidP="0012768D">
      <w:pPr>
        <w:pStyle w:val="ListParagraph"/>
        <w:keepNext/>
        <w:widowControl/>
        <w:numPr>
          <w:ilvl w:val="1"/>
          <w:numId w:val="3"/>
        </w:numPr>
        <w:spacing w:line="360" w:lineRule="auto"/>
        <w:ind w:left="2520"/>
        <w:rPr>
          <w:sz w:val="26"/>
          <w:szCs w:val="26"/>
        </w:rPr>
      </w:pPr>
      <w:r>
        <w:rPr>
          <w:sz w:val="26"/>
          <w:szCs w:val="26"/>
        </w:rPr>
        <w:t>T</w:t>
      </w:r>
      <w:r w:rsidRPr="002915C6">
        <w:rPr>
          <w:sz w:val="26"/>
          <w:szCs w:val="26"/>
        </w:rPr>
        <w:t>he Agreement Between the Borough of Royersford, the Royersford Borough Authority, the Township of Limerick and the Limerick Township Municipal Authority Providing for Sewer Service for the Township of Limerick, dated December 4, 1967</w:t>
      </w:r>
      <w:r>
        <w:rPr>
          <w:sz w:val="26"/>
          <w:szCs w:val="26"/>
        </w:rPr>
        <w:t>.</w:t>
      </w:r>
    </w:p>
    <w:p w14:paraId="08ED370B" w14:textId="77777777" w:rsidR="00DC0767" w:rsidRDefault="00DC0767" w:rsidP="0012768D">
      <w:pPr>
        <w:pStyle w:val="ListParagraph"/>
        <w:keepNext/>
        <w:widowControl/>
        <w:spacing w:line="360" w:lineRule="auto"/>
        <w:ind w:left="2520"/>
        <w:rPr>
          <w:sz w:val="26"/>
          <w:szCs w:val="26"/>
        </w:rPr>
      </w:pPr>
    </w:p>
    <w:p w14:paraId="0F6567CE" w14:textId="77777777" w:rsidR="00DC0767" w:rsidRPr="00DC0767" w:rsidRDefault="00DC0767" w:rsidP="0012768D">
      <w:pPr>
        <w:pStyle w:val="ListParagraph"/>
        <w:keepNext/>
        <w:widowControl/>
        <w:numPr>
          <w:ilvl w:val="1"/>
          <w:numId w:val="3"/>
        </w:numPr>
        <w:spacing w:line="360" w:lineRule="auto"/>
        <w:ind w:left="2520"/>
        <w:rPr>
          <w:sz w:val="26"/>
          <w:szCs w:val="26"/>
        </w:rPr>
      </w:pPr>
      <w:r>
        <w:rPr>
          <w:sz w:val="26"/>
          <w:szCs w:val="26"/>
        </w:rPr>
        <w:t xml:space="preserve">The </w:t>
      </w:r>
      <w:r w:rsidRPr="002915C6">
        <w:rPr>
          <w:sz w:val="26"/>
          <w:szCs w:val="26"/>
        </w:rPr>
        <w:t>Extension of Agreement</w:t>
      </w:r>
      <w:r>
        <w:rPr>
          <w:sz w:val="26"/>
          <w:szCs w:val="26"/>
        </w:rPr>
        <w:t xml:space="preserve"> </w:t>
      </w:r>
      <w:r w:rsidRPr="002915C6">
        <w:rPr>
          <w:sz w:val="26"/>
          <w:szCs w:val="26"/>
        </w:rPr>
        <w:t>Between the Borough of Royersford, the Township of Limerick and the Limerick Township Municipal Authority Providing for Sewer Service for the Township of Limerick, dated November 30, 1976</w:t>
      </w:r>
      <w:r>
        <w:rPr>
          <w:sz w:val="26"/>
          <w:szCs w:val="26"/>
        </w:rPr>
        <w:t>.</w:t>
      </w:r>
    </w:p>
    <w:p w14:paraId="404C1643" w14:textId="77777777" w:rsidR="00145BC5" w:rsidRPr="002915C6" w:rsidRDefault="00145BC5" w:rsidP="0012768D">
      <w:pPr>
        <w:pStyle w:val="ListParagraph"/>
        <w:widowControl/>
        <w:spacing w:line="360" w:lineRule="auto"/>
        <w:ind w:left="0"/>
        <w:rPr>
          <w:sz w:val="26"/>
          <w:szCs w:val="26"/>
        </w:rPr>
      </w:pPr>
    </w:p>
    <w:p w14:paraId="41FEECAB" w14:textId="77777777" w:rsidR="006C580F" w:rsidRDefault="00DC0767" w:rsidP="0012768D">
      <w:pPr>
        <w:pStyle w:val="ListParagraph"/>
        <w:widowControl/>
        <w:spacing w:line="360" w:lineRule="auto"/>
        <w:ind w:left="0"/>
        <w:rPr>
          <w:sz w:val="26"/>
          <w:szCs w:val="26"/>
        </w:rPr>
      </w:pPr>
      <w:r>
        <w:rPr>
          <w:sz w:val="26"/>
          <w:szCs w:val="26"/>
        </w:rPr>
        <w:tab/>
      </w:r>
      <w:r>
        <w:rPr>
          <w:sz w:val="26"/>
          <w:szCs w:val="26"/>
        </w:rPr>
        <w:tab/>
        <w:t>7.</w:t>
      </w:r>
      <w:r>
        <w:rPr>
          <w:sz w:val="26"/>
          <w:szCs w:val="26"/>
        </w:rPr>
        <w:tab/>
        <w:t>That the municipal agreements set f</w:t>
      </w:r>
      <w:r w:rsidR="004D3F65">
        <w:rPr>
          <w:sz w:val="26"/>
          <w:szCs w:val="26"/>
        </w:rPr>
        <w:t>orth in Ordering Paragraph No. 6</w:t>
      </w:r>
      <w:r>
        <w:rPr>
          <w:sz w:val="26"/>
          <w:szCs w:val="26"/>
        </w:rPr>
        <w:t xml:space="preserve"> shall be filed under separate “U” docket numbers.</w:t>
      </w:r>
    </w:p>
    <w:p w14:paraId="6BCA3E46" w14:textId="77777777" w:rsidR="004D3F65" w:rsidRPr="002915C6" w:rsidRDefault="004D3F65" w:rsidP="0012768D">
      <w:pPr>
        <w:pStyle w:val="ListParagraph"/>
        <w:widowControl/>
        <w:spacing w:line="360" w:lineRule="auto"/>
        <w:ind w:left="0"/>
        <w:rPr>
          <w:sz w:val="26"/>
          <w:szCs w:val="26"/>
        </w:rPr>
      </w:pPr>
    </w:p>
    <w:p w14:paraId="48C401AF" w14:textId="77777777" w:rsidR="006C580F" w:rsidRPr="002915C6" w:rsidRDefault="006C580F" w:rsidP="0012768D">
      <w:pPr>
        <w:widowControl/>
        <w:tabs>
          <w:tab w:val="left" w:pos="648"/>
          <w:tab w:val="left" w:pos="1440"/>
        </w:tabs>
        <w:spacing w:line="360" w:lineRule="auto"/>
        <w:ind w:right="216"/>
        <w:contextualSpacing/>
        <w:textAlignment w:val="baseline"/>
        <w:rPr>
          <w:sz w:val="26"/>
          <w:szCs w:val="26"/>
        </w:rPr>
      </w:pPr>
      <w:r w:rsidRPr="002915C6">
        <w:rPr>
          <w:sz w:val="26"/>
          <w:szCs w:val="26"/>
        </w:rPr>
        <w:tab/>
      </w:r>
      <w:r w:rsidRPr="002915C6">
        <w:rPr>
          <w:sz w:val="26"/>
          <w:szCs w:val="26"/>
        </w:rPr>
        <w:tab/>
      </w:r>
      <w:r w:rsidR="004D3F65">
        <w:rPr>
          <w:sz w:val="26"/>
          <w:szCs w:val="26"/>
        </w:rPr>
        <w:t>8</w:t>
      </w:r>
      <w:r w:rsidRPr="002915C6">
        <w:rPr>
          <w:sz w:val="26"/>
          <w:szCs w:val="26"/>
        </w:rPr>
        <w:t>.</w:t>
      </w:r>
      <w:r w:rsidRPr="002915C6">
        <w:rPr>
          <w:sz w:val="26"/>
          <w:szCs w:val="26"/>
        </w:rPr>
        <w:tab/>
      </w:r>
      <w:r w:rsidRPr="002915C6">
        <w:rPr>
          <w:color w:val="000000"/>
          <w:sz w:val="26"/>
          <w:szCs w:val="26"/>
        </w:rPr>
        <w:t xml:space="preserve">That within ten </w:t>
      </w:r>
      <w:r w:rsidR="00FD44EC" w:rsidRPr="002915C6">
        <w:rPr>
          <w:color w:val="000000"/>
          <w:sz w:val="26"/>
          <w:szCs w:val="26"/>
        </w:rPr>
        <w:t xml:space="preserve">(10) </w:t>
      </w:r>
      <w:r w:rsidRPr="002915C6">
        <w:rPr>
          <w:color w:val="000000"/>
          <w:sz w:val="26"/>
          <w:szCs w:val="26"/>
        </w:rPr>
        <w:t xml:space="preserve">days after the closing of the transaction, Aqua Pennsylvania </w:t>
      </w:r>
      <w:r w:rsidRPr="002915C6">
        <w:rPr>
          <w:sz w:val="26"/>
          <w:szCs w:val="26"/>
        </w:rPr>
        <w:t>Wastewater</w:t>
      </w:r>
      <w:r w:rsidRPr="002915C6">
        <w:rPr>
          <w:color w:val="000000"/>
          <w:sz w:val="26"/>
          <w:szCs w:val="26"/>
        </w:rPr>
        <w:t xml:space="preserve">, Inc. shall file a compliance tariff supplement containing the existing rates of </w:t>
      </w:r>
      <w:r w:rsidR="0026641A" w:rsidRPr="002915C6">
        <w:rPr>
          <w:sz w:val="26"/>
          <w:szCs w:val="26"/>
        </w:rPr>
        <w:t>Limerick</w:t>
      </w:r>
      <w:r w:rsidRPr="002915C6">
        <w:rPr>
          <w:sz w:val="26"/>
          <w:szCs w:val="26"/>
        </w:rPr>
        <w:t xml:space="preserve"> Township at the time of closing.</w:t>
      </w:r>
    </w:p>
    <w:p w14:paraId="5B241FC8" w14:textId="700911CE" w:rsidR="00B131F8" w:rsidRPr="002915C6" w:rsidRDefault="00611B62" w:rsidP="0012768D">
      <w:pPr>
        <w:pStyle w:val="ListParagraph"/>
        <w:widowControl/>
        <w:spacing w:line="360" w:lineRule="auto"/>
        <w:ind w:left="0"/>
        <w:rPr>
          <w:sz w:val="26"/>
          <w:szCs w:val="26"/>
        </w:rPr>
      </w:pPr>
      <w:r w:rsidRPr="002915C6">
        <w:rPr>
          <w:sz w:val="26"/>
          <w:szCs w:val="26"/>
        </w:rPr>
        <w:tab/>
      </w:r>
      <w:r w:rsidRPr="002915C6">
        <w:rPr>
          <w:sz w:val="26"/>
          <w:szCs w:val="26"/>
        </w:rPr>
        <w:tab/>
      </w:r>
      <w:r w:rsidR="004D3F65">
        <w:rPr>
          <w:sz w:val="26"/>
          <w:szCs w:val="26"/>
        </w:rPr>
        <w:t>9</w:t>
      </w:r>
      <w:r w:rsidRPr="002915C6">
        <w:rPr>
          <w:sz w:val="26"/>
          <w:szCs w:val="26"/>
        </w:rPr>
        <w:t>.</w:t>
      </w:r>
      <w:r w:rsidRPr="002915C6">
        <w:rPr>
          <w:sz w:val="26"/>
          <w:szCs w:val="26"/>
        </w:rPr>
        <w:tab/>
      </w:r>
      <w:r w:rsidR="00B131F8" w:rsidRPr="002915C6">
        <w:rPr>
          <w:sz w:val="26"/>
          <w:szCs w:val="26"/>
        </w:rPr>
        <w:t>That at the time of filing its next base rate case, Aqua Pennsylvania Wastewater, Inc.,</w:t>
      </w:r>
      <w:r w:rsidR="00B131F8" w:rsidRPr="002915C6">
        <w:rPr>
          <w:rFonts w:eastAsiaTheme="minorHAnsi"/>
          <w:sz w:val="26"/>
          <w:szCs w:val="26"/>
        </w:rPr>
        <w:t xml:space="preserve"> </w:t>
      </w:r>
      <w:r w:rsidR="00B131F8" w:rsidRPr="002915C6">
        <w:rPr>
          <w:sz w:val="26"/>
          <w:szCs w:val="26"/>
        </w:rPr>
        <w:t xml:space="preserve">shall </w:t>
      </w:r>
      <w:r w:rsidR="009E7393" w:rsidRPr="002915C6">
        <w:rPr>
          <w:sz w:val="26"/>
          <w:szCs w:val="26"/>
        </w:rPr>
        <w:t>submit</w:t>
      </w:r>
      <w:r w:rsidR="00B131F8" w:rsidRPr="002915C6">
        <w:rPr>
          <w:sz w:val="26"/>
          <w:szCs w:val="26"/>
        </w:rPr>
        <w:t xml:space="preserve"> a cost-of-service study or analysis that separates the costs, capital, and operating expenses of providing wastewater service to the </w:t>
      </w:r>
      <w:r w:rsidR="00A217AB" w:rsidRPr="002915C6">
        <w:rPr>
          <w:sz w:val="26"/>
          <w:szCs w:val="26"/>
        </w:rPr>
        <w:t xml:space="preserve">customers of </w:t>
      </w:r>
      <w:r w:rsidR="00145BC5">
        <w:rPr>
          <w:sz w:val="26"/>
          <w:szCs w:val="26"/>
        </w:rPr>
        <w:t>Limerick Township</w:t>
      </w:r>
      <w:r w:rsidR="00A217AB" w:rsidRPr="002915C6">
        <w:rPr>
          <w:sz w:val="26"/>
          <w:szCs w:val="26"/>
        </w:rPr>
        <w:t xml:space="preserve"> </w:t>
      </w:r>
      <w:r w:rsidR="00B131F8" w:rsidRPr="002915C6">
        <w:rPr>
          <w:sz w:val="26"/>
          <w:szCs w:val="26"/>
        </w:rPr>
        <w:t xml:space="preserve">as a separate rate class.  </w:t>
      </w:r>
    </w:p>
    <w:p w14:paraId="13E42263" w14:textId="77777777" w:rsidR="00B131F8" w:rsidRPr="002915C6" w:rsidRDefault="00B131F8" w:rsidP="0012768D">
      <w:pPr>
        <w:pStyle w:val="ListParagraph"/>
        <w:widowControl/>
        <w:spacing w:line="360" w:lineRule="auto"/>
        <w:ind w:left="0"/>
        <w:rPr>
          <w:sz w:val="26"/>
          <w:szCs w:val="26"/>
        </w:rPr>
      </w:pPr>
    </w:p>
    <w:p w14:paraId="3207E491" w14:textId="77777777" w:rsidR="00B131F8" w:rsidRPr="002915C6" w:rsidRDefault="0089641C" w:rsidP="0012768D">
      <w:pPr>
        <w:pStyle w:val="ListParagraph"/>
        <w:widowControl/>
        <w:spacing w:line="360" w:lineRule="auto"/>
        <w:ind w:left="0"/>
        <w:rPr>
          <w:rFonts w:eastAsiaTheme="minorHAnsi"/>
          <w:sz w:val="26"/>
          <w:szCs w:val="26"/>
        </w:rPr>
      </w:pPr>
      <w:r w:rsidRPr="002915C6">
        <w:rPr>
          <w:sz w:val="26"/>
          <w:szCs w:val="26"/>
        </w:rPr>
        <w:tab/>
      </w:r>
      <w:r w:rsidRPr="002915C6">
        <w:rPr>
          <w:sz w:val="26"/>
          <w:szCs w:val="26"/>
        </w:rPr>
        <w:tab/>
      </w:r>
      <w:r w:rsidR="004D3F65">
        <w:rPr>
          <w:sz w:val="26"/>
          <w:szCs w:val="26"/>
        </w:rPr>
        <w:t>10</w:t>
      </w:r>
      <w:r w:rsidR="00B131F8" w:rsidRPr="002915C6">
        <w:rPr>
          <w:sz w:val="26"/>
          <w:szCs w:val="26"/>
        </w:rPr>
        <w:t>.</w:t>
      </w:r>
      <w:r w:rsidR="00B131F8" w:rsidRPr="002915C6">
        <w:rPr>
          <w:sz w:val="26"/>
          <w:szCs w:val="26"/>
        </w:rPr>
        <w:tab/>
        <w:t>That at the time of filing its next base rate case, Aqua Pennsylvania Wastewater, Inc.,</w:t>
      </w:r>
      <w:r w:rsidR="00B131F8" w:rsidRPr="002915C6">
        <w:rPr>
          <w:rFonts w:eastAsiaTheme="minorHAnsi"/>
          <w:sz w:val="26"/>
          <w:szCs w:val="26"/>
        </w:rPr>
        <w:t xml:space="preserve"> shall </w:t>
      </w:r>
      <w:r w:rsidR="00A23BAC" w:rsidRPr="002915C6">
        <w:rPr>
          <w:rFonts w:eastAsiaTheme="minorHAnsi"/>
          <w:sz w:val="26"/>
          <w:szCs w:val="26"/>
        </w:rPr>
        <w:t>submit</w:t>
      </w:r>
      <w:r w:rsidR="00B131F8" w:rsidRPr="002915C6">
        <w:rPr>
          <w:rFonts w:eastAsiaTheme="minorHAnsi"/>
          <w:sz w:val="26"/>
          <w:szCs w:val="26"/>
        </w:rPr>
        <w:t xml:space="preserve"> an analysis that addresses the effects of designing rates for the customers of </w:t>
      </w:r>
      <w:r w:rsidR="0026641A" w:rsidRPr="002915C6">
        <w:rPr>
          <w:sz w:val="26"/>
          <w:szCs w:val="26"/>
        </w:rPr>
        <w:t>Limerick</w:t>
      </w:r>
      <w:r w:rsidR="00B131F8" w:rsidRPr="002915C6">
        <w:rPr>
          <w:sz w:val="26"/>
          <w:szCs w:val="26"/>
        </w:rPr>
        <w:t xml:space="preserve"> Township </w:t>
      </w:r>
      <w:r w:rsidR="00B131F8" w:rsidRPr="002915C6">
        <w:rPr>
          <w:rFonts w:eastAsiaTheme="minorHAnsi"/>
          <w:sz w:val="26"/>
          <w:szCs w:val="26"/>
        </w:rPr>
        <w:t>rates as a separate, stand-alone rate zone.</w:t>
      </w:r>
    </w:p>
    <w:p w14:paraId="73D855C8" w14:textId="77777777" w:rsidR="00D440A5" w:rsidRPr="002915C6" w:rsidRDefault="00D440A5" w:rsidP="0012768D">
      <w:pPr>
        <w:pStyle w:val="ListParagraph"/>
        <w:widowControl/>
        <w:spacing w:line="360" w:lineRule="auto"/>
        <w:ind w:left="0"/>
        <w:rPr>
          <w:sz w:val="26"/>
          <w:szCs w:val="26"/>
        </w:rPr>
      </w:pPr>
    </w:p>
    <w:p w14:paraId="4D5FC1F5" w14:textId="77777777" w:rsidR="00B131F8" w:rsidRPr="002915C6" w:rsidRDefault="00B131F8" w:rsidP="0012768D">
      <w:pPr>
        <w:pStyle w:val="ListParagraph"/>
        <w:widowControl/>
        <w:spacing w:line="360" w:lineRule="auto"/>
        <w:ind w:left="0" w:firstLine="1440"/>
        <w:rPr>
          <w:sz w:val="26"/>
          <w:szCs w:val="26"/>
        </w:rPr>
      </w:pPr>
      <w:r w:rsidRPr="002915C6">
        <w:rPr>
          <w:rFonts w:eastAsiaTheme="minorHAnsi"/>
          <w:sz w:val="26"/>
          <w:szCs w:val="26"/>
        </w:rPr>
        <w:t>1</w:t>
      </w:r>
      <w:r w:rsidR="004D3F65">
        <w:rPr>
          <w:rFonts w:eastAsiaTheme="minorHAnsi"/>
          <w:sz w:val="26"/>
          <w:szCs w:val="26"/>
        </w:rPr>
        <w:t>1</w:t>
      </w:r>
      <w:r w:rsidRPr="002915C6">
        <w:rPr>
          <w:rFonts w:eastAsiaTheme="minorHAnsi"/>
          <w:sz w:val="26"/>
          <w:szCs w:val="26"/>
        </w:rPr>
        <w:t>.</w:t>
      </w:r>
      <w:r w:rsidRPr="002915C6">
        <w:rPr>
          <w:rFonts w:eastAsiaTheme="minorHAnsi"/>
          <w:sz w:val="26"/>
          <w:szCs w:val="26"/>
        </w:rPr>
        <w:tab/>
        <w:t xml:space="preserve">That </w:t>
      </w:r>
      <w:r w:rsidR="00220B73" w:rsidRPr="002915C6">
        <w:rPr>
          <w:sz w:val="26"/>
          <w:szCs w:val="26"/>
        </w:rPr>
        <w:t xml:space="preserve">the Commission retains the authority to allocate revenues, if appropriate, to the </w:t>
      </w:r>
      <w:r w:rsidR="0026641A" w:rsidRPr="002915C6">
        <w:rPr>
          <w:sz w:val="26"/>
          <w:szCs w:val="26"/>
        </w:rPr>
        <w:t>Limerick</w:t>
      </w:r>
      <w:r w:rsidR="00220B73" w:rsidRPr="002915C6">
        <w:rPr>
          <w:sz w:val="26"/>
          <w:szCs w:val="26"/>
        </w:rPr>
        <w:t xml:space="preserve"> Township customers that are in excess of the restrictions outlined in the Asset Purchase Agreement.  </w:t>
      </w:r>
      <w:r w:rsidRPr="002915C6">
        <w:rPr>
          <w:sz w:val="26"/>
          <w:szCs w:val="26"/>
        </w:rPr>
        <w:t xml:space="preserve">Aqua Pennsylvania Wastewater, Inc., and its shareholders </w:t>
      </w:r>
      <w:r w:rsidR="00220B73" w:rsidRPr="002915C6">
        <w:rPr>
          <w:sz w:val="26"/>
          <w:szCs w:val="26"/>
        </w:rPr>
        <w:t xml:space="preserve">should </w:t>
      </w:r>
      <w:r w:rsidRPr="002915C6">
        <w:rPr>
          <w:sz w:val="26"/>
          <w:szCs w:val="26"/>
        </w:rPr>
        <w:t xml:space="preserve">bear all risk of a shortfall between revenues it is permitted to recover under its Asset Purchase Agreement with </w:t>
      </w:r>
      <w:r w:rsidR="0026641A" w:rsidRPr="002915C6">
        <w:rPr>
          <w:sz w:val="26"/>
          <w:szCs w:val="26"/>
        </w:rPr>
        <w:t>Limerick</w:t>
      </w:r>
      <w:r w:rsidRPr="002915C6">
        <w:rPr>
          <w:sz w:val="26"/>
          <w:szCs w:val="26"/>
        </w:rPr>
        <w:t xml:space="preserve"> Township and the costs that Aqua Pennsylvania Wastewater, Inc., will incur with respect to the acquired system.  To the extent that Aqua Pennsylvania Wastewater, Inc., is unwilling or unable to charge costs in excess of the limitations provided in the Asset Purchase Agreement, the excess costs </w:t>
      </w:r>
      <w:r w:rsidR="00220B73" w:rsidRPr="002915C6">
        <w:rPr>
          <w:sz w:val="26"/>
          <w:szCs w:val="26"/>
        </w:rPr>
        <w:t xml:space="preserve">should </w:t>
      </w:r>
      <w:r w:rsidRPr="002915C6">
        <w:rPr>
          <w:sz w:val="26"/>
          <w:szCs w:val="26"/>
        </w:rPr>
        <w:t>be borne by its shareholders and not spread to other ratepayers.</w:t>
      </w:r>
    </w:p>
    <w:p w14:paraId="6DA0A7D9" w14:textId="77777777" w:rsidR="00B131F8" w:rsidRPr="002915C6" w:rsidRDefault="00B131F8" w:rsidP="0012768D">
      <w:pPr>
        <w:pStyle w:val="ListParagraph"/>
        <w:widowControl/>
        <w:spacing w:line="360" w:lineRule="auto"/>
        <w:ind w:left="0"/>
        <w:rPr>
          <w:sz w:val="26"/>
          <w:szCs w:val="26"/>
        </w:rPr>
      </w:pPr>
    </w:p>
    <w:p w14:paraId="4754137D" w14:textId="125D4C05" w:rsidR="006A4622" w:rsidRDefault="00611B62" w:rsidP="0012768D">
      <w:pPr>
        <w:widowControl/>
        <w:spacing w:line="360" w:lineRule="auto"/>
        <w:contextualSpacing/>
        <w:rPr>
          <w:sz w:val="26"/>
          <w:szCs w:val="26"/>
        </w:rPr>
      </w:pPr>
      <w:r w:rsidRPr="002915C6">
        <w:rPr>
          <w:sz w:val="26"/>
          <w:szCs w:val="26"/>
        </w:rPr>
        <w:tab/>
      </w:r>
      <w:r w:rsidR="0089641C" w:rsidRPr="002915C6">
        <w:rPr>
          <w:sz w:val="26"/>
          <w:szCs w:val="26"/>
        </w:rPr>
        <w:tab/>
      </w:r>
      <w:r w:rsidR="004D3F65">
        <w:rPr>
          <w:sz w:val="26"/>
          <w:szCs w:val="26"/>
        </w:rPr>
        <w:t>12</w:t>
      </w:r>
      <w:r w:rsidR="0089641C" w:rsidRPr="002915C6">
        <w:rPr>
          <w:sz w:val="26"/>
          <w:szCs w:val="26"/>
        </w:rPr>
        <w:t xml:space="preserve">. </w:t>
      </w:r>
      <w:r w:rsidR="0089641C" w:rsidRPr="002915C6">
        <w:rPr>
          <w:sz w:val="26"/>
          <w:szCs w:val="26"/>
        </w:rPr>
        <w:tab/>
        <w:t>That any directive, requirement, disposition or the like contained in the body of this Opinion and Order that is not the subject of an individual Ordering Paragraph, shall have the full force and effect as if fully contained in this part.</w:t>
      </w:r>
    </w:p>
    <w:p w14:paraId="203A167D" w14:textId="77777777" w:rsidR="006A4622" w:rsidRDefault="006A4622">
      <w:pPr>
        <w:widowControl/>
        <w:spacing w:after="200" w:line="276" w:lineRule="auto"/>
        <w:rPr>
          <w:sz w:val="26"/>
          <w:szCs w:val="26"/>
        </w:rPr>
      </w:pPr>
      <w:r>
        <w:rPr>
          <w:sz w:val="26"/>
          <w:szCs w:val="26"/>
        </w:rPr>
        <w:br w:type="page"/>
      </w:r>
    </w:p>
    <w:p w14:paraId="63561056" w14:textId="77777777" w:rsidR="00651964" w:rsidRPr="002915C6" w:rsidRDefault="00E24FA2" w:rsidP="001C4124">
      <w:pPr>
        <w:keepNext/>
        <w:keepLines/>
        <w:widowControl/>
        <w:spacing w:line="360" w:lineRule="auto"/>
        <w:ind w:firstLine="1440"/>
        <w:rPr>
          <w:sz w:val="26"/>
          <w:szCs w:val="26"/>
        </w:rPr>
      </w:pPr>
      <w:bookmarkStart w:id="33" w:name="_GoBack"/>
      <w:bookmarkEnd w:id="33"/>
      <w:r w:rsidRPr="002915C6">
        <w:rPr>
          <w:sz w:val="26"/>
          <w:szCs w:val="26"/>
        </w:rPr>
        <w:t>1</w:t>
      </w:r>
      <w:r w:rsidR="004D3F65">
        <w:rPr>
          <w:sz w:val="26"/>
          <w:szCs w:val="26"/>
        </w:rPr>
        <w:t>3</w:t>
      </w:r>
      <w:r w:rsidRPr="002915C6">
        <w:rPr>
          <w:sz w:val="26"/>
          <w:szCs w:val="26"/>
        </w:rPr>
        <w:t>.</w:t>
      </w:r>
      <w:r w:rsidRPr="002915C6">
        <w:rPr>
          <w:sz w:val="26"/>
          <w:szCs w:val="26"/>
        </w:rPr>
        <w:tab/>
      </w:r>
      <w:r w:rsidR="00651964" w:rsidRPr="002915C6">
        <w:rPr>
          <w:sz w:val="26"/>
          <w:szCs w:val="26"/>
        </w:rPr>
        <w:t xml:space="preserve">That this </w:t>
      </w:r>
      <w:r w:rsidR="00753415" w:rsidRPr="002915C6">
        <w:rPr>
          <w:sz w:val="26"/>
          <w:szCs w:val="26"/>
        </w:rPr>
        <w:t>proceeding be marked closed</w:t>
      </w:r>
      <w:r w:rsidR="00651964" w:rsidRPr="002915C6">
        <w:rPr>
          <w:sz w:val="26"/>
          <w:szCs w:val="26"/>
        </w:rPr>
        <w:t>.</w:t>
      </w:r>
    </w:p>
    <w:p w14:paraId="77BDAA73" w14:textId="77777777" w:rsidR="00651964" w:rsidRPr="002915C6" w:rsidRDefault="00651964" w:rsidP="001C4124">
      <w:pPr>
        <w:keepNext/>
        <w:keepLines/>
        <w:widowControl/>
        <w:spacing w:line="360" w:lineRule="auto"/>
        <w:ind w:left="1440"/>
        <w:rPr>
          <w:sz w:val="26"/>
          <w:szCs w:val="26"/>
        </w:rPr>
      </w:pPr>
    </w:p>
    <w:p w14:paraId="4240FD9B" w14:textId="77777777" w:rsidR="00FB3C2B" w:rsidRPr="002915C6" w:rsidRDefault="00FB3C2B" w:rsidP="001C4124">
      <w:pPr>
        <w:keepNext/>
        <w:keepLines/>
        <w:widowControl/>
        <w:tabs>
          <w:tab w:val="left" w:pos="-720"/>
        </w:tabs>
        <w:ind w:firstLine="5040"/>
        <w:rPr>
          <w:b/>
          <w:sz w:val="26"/>
          <w:szCs w:val="26"/>
        </w:rPr>
      </w:pPr>
    </w:p>
    <w:p w14:paraId="524DF8A7" w14:textId="77777777" w:rsidR="00651964" w:rsidRPr="002915C6" w:rsidRDefault="00651964" w:rsidP="001C4124">
      <w:pPr>
        <w:keepNext/>
        <w:keepLines/>
        <w:widowControl/>
        <w:tabs>
          <w:tab w:val="left" w:pos="-720"/>
        </w:tabs>
        <w:ind w:firstLine="5040"/>
        <w:rPr>
          <w:sz w:val="26"/>
          <w:szCs w:val="26"/>
        </w:rPr>
      </w:pPr>
      <w:r w:rsidRPr="002915C6">
        <w:rPr>
          <w:b/>
          <w:sz w:val="26"/>
          <w:szCs w:val="26"/>
        </w:rPr>
        <w:t>BY THE COMMISSION,</w:t>
      </w:r>
    </w:p>
    <w:p w14:paraId="1448F43D" w14:textId="1612FD33" w:rsidR="00651964" w:rsidRPr="002915C6" w:rsidRDefault="006A4622" w:rsidP="001C4124">
      <w:pPr>
        <w:keepNext/>
        <w:keepLines/>
        <w:widowControl/>
        <w:tabs>
          <w:tab w:val="left" w:pos="-720"/>
        </w:tabs>
        <w:rPr>
          <w:sz w:val="26"/>
          <w:szCs w:val="26"/>
        </w:rPr>
      </w:pPr>
      <w:r>
        <w:rPr>
          <w:noProof/>
        </w:rPr>
        <w:drawing>
          <wp:anchor distT="0" distB="0" distL="114300" distR="114300" simplePos="0" relativeHeight="251659264" behindDoc="1" locked="0" layoutInCell="1" allowOverlap="1" wp14:anchorId="13CD9EC7" wp14:editId="22CB04E9">
            <wp:simplePos x="0" y="0"/>
            <wp:positionH relativeFrom="column">
              <wp:posOffset>3082290</wp:posOffset>
            </wp:positionH>
            <wp:positionV relativeFrom="paragraph">
              <wp:posOffset>116713</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1E007D24" w14:textId="2F8B8250" w:rsidR="006A4622" w:rsidRDefault="006A4622"/>
    <w:p w14:paraId="4DCE8C45" w14:textId="77777777" w:rsidR="00EC6520" w:rsidRPr="002915C6" w:rsidRDefault="00EC6520" w:rsidP="00BE5FF4">
      <w:pPr>
        <w:keepNext/>
        <w:keepLines/>
        <w:widowControl/>
        <w:rPr>
          <w:sz w:val="26"/>
          <w:szCs w:val="26"/>
        </w:rPr>
      </w:pPr>
    </w:p>
    <w:p w14:paraId="07E8112E" w14:textId="77777777" w:rsidR="00651964" w:rsidRPr="002915C6" w:rsidRDefault="00651964" w:rsidP="001C4124">
      <w:pPr>
        <w:keepNext/>
        <w:keepLines/>
        <w:widowControl/>
        <w:tabs>
          <w:tab w:val="left" w:pos="-720"/>
        </w:tabs>
        <w:rPr>
          <w:sz w:val="26"/>
          <w:szCs w:val="26"/>
        </w:rPr>
      </w:pPr>
    </w:p>
    <w:p w14:paraId="6CE7CA94" w14:textId="77777777" w:rsidR="00651964" w:rsidRPr="002915C6" w:rsidRDefault="00651964" w:rsidP="001C4124">
      <w:pPr>
        <w:keepNext/>
        <w:keepLines/>
        <w:widowControl/>
        <w:tabs>
          <w:tab w:val="left" w:pos="-720"/>
        </w:tabs>
        <w:rPr>
          <w:sz w:val="26"/>
          <w:szCs w:val="26"/>
        </w:rPr>
      </w:pPr>
    </w:p>
    <w:p w14:paraId="13538ACD" w14:textId="77777777" w:rsidR="00651964" w:rsidRPr="002915C6" w:rsidRDefault="00651964" w:rsidP="001C4124">
      <w:pPr>
        <w:keepNext/>
        <w:keepLines/>
        <w:widowControl/>
        <w:tabs>
          <w:tab w:val="left" w:pos="-720"/>
        </w:tabs>
        <w:ind w:firstLine="5040"/>
        <w:rPr>
          <w:b/>
          <w:sz w:val="26"/>
          <w:szCs w:val="26"/>
        </w:rPr>
      </w:pPr>
      <w:r w:rsidRPr="002915C6">
        <w:rPr>
          <w:sz w:val="26"/>
          <w:szCs w:val="26"/>
        </w:rPr>
        <w:t>Rosemary Chiavetta</w:t>
      </w:r>
    </w:p>
    <w:p w14:paraId="070097D8" w14:textId="77777777" w:rsidR="00651964" w:rsidRPr="002915C6" w:rsidRDefault="00651964" w:rsidP="001C4124">
      <w:pPr>
        <w:keepNext/>
        <w:keepLines/>
        <w:widowControl/>
        <w:tabs>
          <w:tab w:val="left" w:pos="-720"/>
        </w:tabs>
        <w:ind w:firstLine="5040"/>
        <w:rPr>
          <w:sz w:val="26"/>
          <w:szCs w:val="26"/>
        </w:rPr>
      </w:pPr>
      <w:r w:rsidRPr="002915C6">
        <w:rPr>
          <w:sz w:val="26"/>
          <w:szCs w:val="26"/>
        </w:rPr>
        <w:t>Secretary</w:t>
      </w:r>
    </w:p>
    <w:p w14:paraId="3CCDE3E1" w14:textId="77777777" w:rsidR="00651964" w:rsidRPr="002915C6" w:rsidRDefault="00651964" w:rsidP="001C4124">
      <w:pPr>
        <w:keepNext/>
        <w:keepLines/>
        <w:widowControl/>
        <w:tabs>
          <w:tab w:val="left" w:pos="-720"/>
        </w:tabs>
        <w:rPr>
          <w:sz w:val="26"/>
          <w:szCs w:val="26"/>
        </w:rPr>
      </w:pPr>
    </w:p>
    <w:p w14:paraId="41AC013C" w14:textId="77777777" w:rsidR="00651964" w:rsidRPr="002915C6" w:rsidRDefault="00651964" w:rsidP="001C4124">
      <w:pPr>
        <w:keepNext/>
        <w:keepLines/>
        <w:widowControl/>
        <w:tabs>
          <w:tab w:val="left" w:pos="-720"/>
        </w:tabs>
        <w:rPr>
          <w:sz w:val="26"/>
          <w:szCs w:val="26"/>
        </w:rPr>
      </w:pPr>
      <w:r w:rsidRPr="002915C6">
        <w:rPr>
          <w:sz w:val="26"/>
          <w:szCs w:val="26"/>
        </w:rPr>
        <w:t>(SEAL)</w:t>
      </w:r>
    </w:p>
    <w:p w14:paraId="7EB8341C" w14:textId="77777777" w:rsidR="00651964" w:rsidRPr="002915C6" w:rsidRDefault="00651964" w:rsidP="001C4124">
      <w:pPr>
        <w:keepNext/>
        <w:keepLines/>
        <w:widowControl/>
        <w:tabs>
          <w:tab w:val="left" w:pos="-720"/>
        </w:tabs>
        <w:rPr>
          <w:sz w:val="26"/>
          <w:szCs w:val="26"/>
        </w:rPr>
      </w:pPr>
    </w:p>
    <w:p w14:paraId="7BB403CA" w14:textId="77777777" w:rsidR="00651964" w:rsidRPr="002915C6" w:rsidRDefault="00651964" w:rsidP="001C4124">
      <w:pPr>
        <w:keepNext/>
        <w:keepLines/>
        <w:widowControl/>
        <w:tabs>
          <w:tab w:val="left" w:pos="-720"/>
        </w:tabs>
        <w:rPr>
          <w:sz w:val="26"/>
          <w:szCs w:val="26"/>
        </w:rPr>
      </w:pPr>
      <w:r w:rsidRPr="002915C6">
        <w:rPr>
          <w:sz w:val="26"/>
          <w:szCs w:val="26"/>
        </w:rPr>
        <w:t>ORDER ADOPTED:</w:t>
      </w:r>
      <w:r w:rsidR="00BB6278" w:rsidRPr="002915C6">
        <w:rPr>
          <w:sz w:val="26"/>
          <w:szCs w:val="26"/>
        </w:rPr>
        <w:t xml:space="preserve">  </w:t>
      </w:r>
      <w:r w:rsidR="0026641A" w:rsidRPr="002915C6">
        <w:rPr>
          <w:sz w:val="26"/>
          <w:szCs w:val="26"/>
        </w:rPr>
        <w:t>November 8, 2017</w:t>
      </w:r>
    </w:p>
    <w:p w14:paraId="440252B2" w14:textId="77777777" w:rsidR="00651964" w:rsidRPr="002915C6" w:rsidRDefault="00651964" w:rsidP="001C4124">
      <w:pPr>
        <w:keepNext/>
        <w:keepLines/>
        <w:widowControl/>
        <w:tabs>
          <w:tab w:val="left" w:pos="-720"/>
        </w:tabs>
        <w:rPr>
          <w:sz w:val="26"/>
          <w:szCs w:val="26"/>
        </w:rPr>
      </w:pPr>
    </w:p>
    <w:p w14:paraId="282B4950" w14:textId="4993C1E0" w:rsidR="00C02B8F" w:rsidRPr="002915C6" w:rsidRDefault="00651964" w:rsidP="001C4124">
      <w:pPr>
        <w:keepNext/>
        <w:keepLines/>
        <w:widowControl/>
        <w:tabs>
          <w:tab w:val="left" w:pos="-720"/>
        </w:tabs>
        <w:rPr>
          <w:sz w:val="26"/>
          <w:szCs w:val="26"/>
        </w:rPr>
      </w:pPr>
      <w:r w:rsidRPr="002915C6">
        <w:rPr>
          <w:sz w:val="26"/>
          <w:szCs w:val="26"/>
        </w:rPr>
        <w:t xml:space="preserve">ORDER ENTERED:  </w:t>
      </w:r>
      <w:r w:rsidR="006A4622">
        <w:rPr>
          <w:sz w:val="26"/>
          <w:szCs w:val="26"/>
        </w:rPr>
        <w:t xml:space="preserve"> November 29, 2017</w:t>
      </w:r>
    </w:p>
    <w:sectPr w:rsidR="00C02B8F" w:rsidRPr="002915C6" w:rsidSect="003D146D">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70CC7" w14:textId="77777777" w:rsidR="00A75279" w:rsidRDefault="00A75279" w:rsidP="003E62C2">
      <w:r>
        <w:separator/>
      </w:r>
    </w:p>
  </w:endnote>
  <w:endnote w:type="continuationSeparator" w:id="0">
    <w:p w14:paraId="3D3804B8" w14:textId="77777777" w:rsidR="00A75279" w:rsidRDefault="00A75279" w:rsidP="003E62C2">
      <w:r>
        <w:continuationSeparator/>
      </w:r>
    </w:p>
  </w:endnote>
  <w:endnote w:type="continuationNotice" w:id="1">
    <w:p w14:paraId="6162E485" w14:textId="77777777" w:rsidR="00A75279" w:rsidRDefault="00A75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916459"/>
      <w:docPartObj>
        <w:docPartGallery w:val="Page Numbers (Bottom of Page)"/>
        <w:docPartUnique/>
      </w:docPartObj>
    </w:sdtPr>
    <w:sdtEndPr>
      <w:rPr>
        <w:noProof/>
        <w:sz w:val="26"/>
        <w:szCs w:val="26"/>
      </w:rPr>
    </w:sdtEndPr>
    <w:sdtContent>
      <w:p w14:paraId="418380D1" w14:textId="77777777" w:rsidR="004870CC" w:rsidRPr="00E555D1" w:rsidRDefault="004870CC">
        <w:pPr>
          <w:pStyle w:val="Footer"/>
          <w:jc w:val="center"/>
          <w:rPr>
            <w:sz w:val="26"/>
            <w:szCs w:val="26"/>
          </w:rPr>
        </w:pPr>
        <w:r w:rsidRPr="00E555D1">
          <w:rPr>
            <w:sz w:val="26"/>
            <w:szCs w:val="26"/>
          </w:rPr>
          <w:fldChar w:fldCharType="begin"/>
        </w:r>
        <w:r w:rsidRPr="00E555D1">
          <w:rPr>
            <w:sz w:val="26"/>
            <w:szCs w:val="26"/>
          </w:rPr>
          <w:instrText xml:space="preserve"> PAGE   \* MERGEFORMAT </w:instrText>
        </w:r>
        <w:r w:rsidRPr="00E555D1">
          <w:rPr>
            <w:sz w:val="26"/>
            <w:szCs w:val="26"/>
          </w:rPr>
          <w:fldChar w:fldCharType="separate"/>
        </w:r>
        <w:r>
          <w:rPr>
            <w:noProof/>
            <w:sz w:val="26"/>
            <w:szCs w:val="26"/>
          </w:rPr>
          <w:t>ii</w:t>
        </w:r>
        <w:r w:rsidRPr="00E555D1">
          <w:rPr>
            <w:noProof/>
            <w:sz w:val="26"/>
            <w:szCs w:val="26"/>
          </w:rPr>
          <w:fldChar w:fldCharType="end"/>
        </w:r>
      </w:p>
    </w:sdtContent>
  </w:sdt>
  <w:p w14:paraId="6CF1B222" w14:textId="77777777" w:rsidR="004870CC" w:rsidRDefault="00487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113437"/>
      <w:docPartObj>
        <w:docPartGallery w:val="Page Numbers (Bottom of Page)"/>
        <w:docPartUnique/>
      </w:docPartObj>
    </w:sdtPr>
    <w:sdtEndPr>
      <w:rPr>
        <w:noProof/>
      </w:rPr>
    </w:sdtEndPr>
    <w:sdtContent>
      <w:p w14:paraId="29EB51F8" w14:textId="77777777" w:rsidR="004870CC" w:rsidRDefault="004870CC">
        <w:pPr>
          <w:pStyle w:val="Footer"/>
          <w:jc w:val="center"/>
        </w:pPr>
        <w:r>
          <w:t>i</w:t>
        </w:r>
      </w:p>
    </w:sdtContent>
  </w:sdt>
  <w:p w14:paraId="43B470B5" w14:textId="77777777" w:rsidR="004870CC" w:rsidRDefault="00487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728852"/>
      <w:docPartObj>
        <w:docPartGallery w:val="Page Numbers (Bottom of Page)"/>
        <w:docPartUnique/>
      </w:docPartObj>
    </w:sdtPr>
    <w:sdtEndPr>
      <w:rPr>
        <w:noProof/>
      </w:rPr>
    </w:sdtEndPr>
    <w:sdtContent>
      <w:p w14:paraId="585F6DDA" w14:textId="2C94BC4F" w:rsidR="004870CC" w:rsidRDefault="004870CC">
        <w:pPr>
          <w:pStyle w:val="Footer"/>
          <w:jc w:val="center"/>
        </w:pPr>
        <w:r>
          <w:fldChar w:fldCharType="begin"/>
        </w:r>
        <w:r>
          <w:instrText xml:space="preserve"> PAGE   \* MERGEFORMAT </w:instrText>
        </w:r>
        <w:r>
          <w:fldChar w:fldCharType="separate"/>
        </w:r>
        <w:r w:rsidR="006A4622">
          <w:rPr>
            <w:noProof/>
          </w:rPr>
          <w:t>85</w:t>
        </w:r>
        <w:r>
          <w:rPr>
            <w:noProof/>
          </w:rPr>
          <w:fldChar w:fldCharType="end"/>
        </w:r>
      </w:p>
    </w:sdtContent>
  </w:sdt>
  <w:p w14:paraId="600637CF" w14:textId="77777777" w:rsidR="004870CC" w:rsidRDefault="00487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288D1" w14:textId="77777777" w:rsidR="00A75279" w:rsidRDefault="00A75279" w:rsidP="003E62C2">
      <w:r>
        <w:separator/>
      </w:r>
    </w:p>
  </w:footnote>
  <w:footnote w:type="continuationSeparator" w:id="0">
    <w:p w14:paraId="6F3F5CC9" w14:textId="77777777" w:rsidR="00A75279" w:rsidRDefault="00A75279" w:rsidP="003E62C2">
      <w:r>
        <w:continuationSeparator/>
      </w:r>
    </w:p>
  </w:footnote>
  <w:footnote w:type="continuationNotice" w:id="1">
    <w:p w14:paraId="246C56CD" w14:textId="77777777" w:rsidR="00A75279" w:rsidRDefault="00A75279"/>
  </w:footnote>
  <w:footnote w:id="2">
    <w:p w14:paraId="19B99F88" w14:textId="77777777" w:rsidR="004870CC" w:rsidRPr="003C0FDA" w:rsidRDefault="004870CC" w:rsidP="00BC3C1A">
      <w:pPr>
        <w:pStyle w:val="FootnoteText"/>
        <w:keepNext/>
        <w:keepLines/>
        <w:widowControl/>
      </w:pPr>
      <w:r>
        <w:rPr>
          <w:sz w:val="26"/>
          <w:szCs w:val="26"/>
        </w:rPr>
        <w:tab/>
      </w:r>
      <w:r w:rsidRPr="003C0FDA">
        <w:rPr>
          <w:rStyle w:val="FootnoteReference"/>
          <w:sz w:val="26"/>
          <w:szCs w:val="26"/>
        </w:rPr>
        <w:footnoteRef/>
      </w:r>
      <w:r>
        <w:rPr>
          <w:sz w:val="26"/>
          <w:szCs w:val="26"/>
        </w:rPr>
        <w:tab/>
        <w:t xml:space="preserve">An “acquiring public utility” is defined as a water or wastewater public utility subject to regulation under the Code “that is acquiring a selling utility as the result of a voluntary arm’s-length transaction between the buyer and seller.”  66 Pa. C.S. § 1329(g).  </w:t>
      </w:r>
    </w:p>
  </w:footnote>
  <w:footnote w:id="3">
    <w:p w14:paraId="5AA4B390" w14:textId="1BE4A981" w:rsidR="004870CC" w:rsidRPr="00D27F3A" w:rsidRDefault="004870CC">
      <w:pPr>
        <w:pStyle w:val="FootnoteText"/>
        <w:rPr>
          <w:sz w:val="26"/>
          <w:szCs w:val="26"/>
        </w:rPr>
      </w:pPr>
      <w:r>
        <w:rPr>
          <w:sz w:val="26"/>
          <w:szCs w:val="26"/>
        </w:rPr>
        <w:tab/>
      </w:r>
      <w:r w:rsidRPr="00C30EC0">
        <w:rPr>
          <w:rStyle w:val="FootnoteReference"/>
          <w:sz w:val="26"/>
          <w:szCs w:val="26"/>
        </w:rPr>
        <w:footnoteRef/>
      </w:r>
      <w:r w:rsidRPr="00C30EC0">
        <w:rPr>
          <w:sz w:val="26"/>
          <w:szCs w:val="26"/>
        </w:rPr>
        <w:t xml:space="preserve"> </w:t>
      </w:r>
      <w:r>
        <w:rPr>
          <w:sz w:val="26"/>
          <w:szCs w:val="26"/>
        </w:rPr>
        <w:tab/>
        <w:t xml:space="preserve">On November 3, 2017, the OCA filed a Petition for Review of the </w:t>
      </w:r>
      <w:bookmarkStart w:id="7" w:name="_Hlk499647957"/>
      <w:r w:rsidRPr="00C30EC0">
        <w:rPr>
          <w:i/>
          <w:sz w:val="26"/>
          <w:szCs w:val="26"/>
        </w:rPr>
        <w:t>Aqua – New Garden Application Order</w:t>
      </w:r>
      <w:bookmarkEnd w:id="7"/>
      <w:r w:rsidR="00AC27BE">
        <w:rPr>
          <w:i/>
          <w:sz w:val="26"/>
          <w:szCs w:val="26"/>
        </w:rPr>
        <w:t xml:space="preserve"> </w:t>
      </w:r>
      <w:r w:rsidR="00AC27BE">
        <w:rPr>
          <w:sz w:val="26"/>
          <w:szCs w:val="26"/>
        </w:rPr>
        <w:t xml:space="preserve">as subsequently upheld by the </w:t>
      </w:r>
      <w:r w:rsidR="00AC27BE" w:rsidRPr="002915C6">
        <w:rPr>
          <w:i/>
          <w:sz w:val="26"/>
          <w:szCs w:val="26"/>
        </w:rPr>
        <w:t>Aqua - New Garden Reconsideration Order</w:t>
      </w:r>
      <w:r>
        <w:rPr>
          <w:sz w:val="26"/>
          <w:szCs w:val="26"/>
        </w:rPr>
        <w:t xml:space="preserve">.  </w:t>
      </w:r>
      <w:r w:rsidRPr="00D27F3A">
        <w:rPr>
          <w:i/>
          <w:sz w:val="26"/>
          <w:szCs w:val="26"/>
        </w:rPr>
        <w:t>McCloskey v. Pa. PUC</w:t>
      </w:r>
      <w:r>
        <w:rPr>
          <w:sz w:val="26"/>
          <w:szCs w:val="26"/>
        </w:rPr>
        <w:t xml:space="preserve">, Docket No. 1624 C.D. 2017 (Pa. </w:t>
      </w:r>
      <w:proofErr w:type="spellStart"/>
      <w:r>
        <w:rPr>
          <w:sz w:val="26"/>
          <w:szCs w:val="26"/>
        </w:rPr>
        <w:t>Cmwlth</w:t>
      </w:r>
      <w:proofErr w:type="spellEnd"/>
      <w:r>
        <w:rPr>
          <w:sz w:val="26"/>
          <w:szCs w:val="26"/>
        </w:rPr>
        <w:t xml:space="preserve">. filed November 3, 2017).  Thereafter, Aqua filed a Petition for Review (Cross Appeal to 1624 C.D. 2017) of both the </w:t>
      </w:r>
      <w:r w:rsidRPr="00C30EC0">
        <w:rPr>
          <w:i/>
          <w:sz w:val="26"/>
          <w:szCs w:val="26"/>
        </w:rPr>
        <w:t>Aqua – New Garden Application Order</w:t>
      </w:r>
      <w:r>
        <w:rPr>
          <w:i/>
          <w:sz w:val="26"/>
          <w:szCs w:val="26"/>
        </w:rPr>
        <w:t xml:space="preserve"> </w:t>
      </w:r>
      <w:r>
        <w:rPr>
          <w:sz w:val="26"/>
          <w:szCs w:val="26"/>
        </w:rPr>
        <w:t xml:space="preserve">and the </w:t>
      </w:r>
      <w:r w:rsidRPr="002915C6">
        <w:rPr>
          <w:i/>
          <w:sz w:val="26"/>
          <w:szCs w:val="26"/>
        </w:rPr>
        <w:t>Aqua - New Garden Reconsideration Order</w:t>
      </w:r>
      <w:r>
        <w:rPr>
          <w:sz w:val="26"/>
          <w:szCs w:val="26"/>
        </w:rPr>
        <w:t xml:space="preserve">.  </w:t>
      </w:r>
      <w:r>
        <w:rPr>
          <w:i/>
          <w:sz w:val="26"/>
          <w:szCs w:val="26"/>
        </w:rPr>
        <w:t>Aqua Pennsylvania Wastewater, Inc. v. Pa. PUC</w:t>
      </w:r>
      <w:r>
        <w:rPr>
          <w:sz w:val="26"/>
          <w:szCs w:val="26"/>
        </w:rPr>
        <w:t xml:space="preserve">, Docket No. 1692 C.D. 2017 (Pa. </w:t>
      </w:r>
      <w:proofErr w:type="spellStart"/>
      <w:r>
        <w:rPr>
          <w:sz w:val="26"/>
          <w:szCs w:val="26"/>
        </w:rPr>
        <w:t>Cmwlth</w:t>
      </w:r>
      <w:proofErr w:type="spellEnd"/>
      <w:r>
        <w:rPr>
          <w:sz w:val="26"/>
          <w:szCs w:val="26"/>
        </w:rPr>
        <w:t xml:space="preserve">. filed November 17, 2017).  </w:t>
      </w:r>
    </w:p>
  </w:footnote>
  <w:footnote w:id="4">
    <w:p w14:paraId="0129D9FD" w14:textId="3CDF273C" w:rsidR="004870CC" w:rsidRPr="00F96B34" w:rsidRDefault="004870CC" w:rsidP="00856E33">
      <w:pPr>
        <w:pStyle w:val="FootnoteText"/>
        <w:keepNext/>
        <w:keepLines/>
        <w:widowControl/>
        <w:rPr>
          <w:sz w:val="26"/>
          <w:szCs w:val="26"/>
        </w:rPr>
      </w:pPr>
      <w:r w:rsidRPr="00856E33">
        <w:rPr>
          <w:sz w:val="26"/>
          <w:szCs w:val="26"/>
        </w:rPr>
        <w:tab/>
      </w:r>
      <w:r w:rsidRPr="00856E33">
        <w:rPr>
          <w:rStyle w:val="FootnoteReference"/>
          <w:sz w:val="26"/>
          <w:szCs w:val="26"/>
        </w:rPr>
        <w:footnoteRef/>
      </w:r>
      <w:r w:rsidRPr="00856E33">
        <w:rPr>
          <w:sz w:val="26"/>
          <w:szCs w:val="26"/>
        </w:rPr>
        <w:tab/>
        <w:t xml:space="preserve">ENR (Engineering News-Record) is a company that </w:t>
      </w:r>
      <w:r w:rsidRPr="00856E33">
        <w:rPr>
          <w:sz w:val="26"/>
          <w:szCs w:val="26"/>
          <w:lang w:val="en"/>
        </w:rPr>
        <w:t xml:space="preserve">publishes both a Construction Cost Index </w:t>
      </w:r>
      <w:r>
        <w:rPr>
          <w:sz w:val="26"/>
          <w:szCs w:val="26"/>
          <w:lang w:val="en"/>
        </w:rPr>
        <w:t xml:space="preserve">(CCI) </w:t>
      </w:r>
      <w:r w:rsidRPr="00856E33">
        <w:rPr>
          <w:sz w:val="26"/>
          <w:szCs w:val="26"/>
          <w:lang w:val="en"/>
        </w:rPr>
        <w:t xml:space="preserve">and </w:t>
      </w:r>
      <w:r>
        <w:rPr>
          <w:sz w:val="26"/>
          <w:szCs w:val="26"/>
          <w:lang w:val="en"/>
        </w:rPr>
        <w:t xml:space="preserve">a </w:t>
      </w:r>
      <w:r w:rsidRPr="00856E33">
        <w:rPr>
          <w:sz w:val="26"/>
          <w:szCs w:val="26"/>
          <w:lang w:val="en"/>
        </w:rPr>
        <w:t xml:space="preserve">Building Cost index </w:t>
      </w:r>
      <w:r>
        <w:rPr>
          <w:sz w:val="26"/>
          <w:szCs w:val="26"/>
          <w:lang w:val="en"/>
        </w:rPr>
        <w:t xml:space="preserve">(BCI) </w:t>
      </w:r>
      <w:r w:rsidRPr="00856E33">
        <w:rPr>
          <w:sz w:val="26"/>
          <w:szCs w:val="26"/>
          <w:lang w:val="en"/>
        </w:rPr>
        <w:t xml:space="preserve">that are widely used in the construction industry.  According to its website, </w:t>
      </w:r>
      <w:r>
        <w:rPr>
          <w:sz w:val="26"/>
          <w:szCs w:val="26"/>
          <w:lang w:val="en"/>
        </w:rPr>
        <w:t>“[</w:t>
      </w:r>
      <w:r w:rsidRPr="00856E33">
        <w:rPr>
          <w:sz w:val="26"/>
          <w:szCs w:val="26"/>
          <w:lang w:val="en"/>
        </w:rPr>
        <w:t>b</w:t>
      </w:r>
      <w:r>
        <w:rPr>
          <w:sz w:val="26"/>
          <w:szCs w:val="26"/>
          <w:lang w:val="en"/>
        </w:rPr>
        <w:t>]</w:t>
      </w:r>
      <w:proofErr w:type="spellStart"/>
      <w:r w:rsidRPr="00856E33">
        <w:rPr>
          <w:sz w:val="26"/>
          <w:szCs w:val="26"/>
          <w:lang w:val="en"/>
        </w:rPr>
        <w:t>oth</w:t>
      </w:r>
      <w:proofErr w:type="spellEnd"/>
      <w:r w:rsidRPr="00856E33">
        <w:rPr>
          <w:sz w:val="26"/>
          <w:szCs w:val="26"/>
          <w:lang w:val="en"/>
        </w:rPr>
        <w:t xml:space="preserve"> indexes have a materials and labor component.  In the second issue of each month ENR publishes the CCI, BCI, materials index, skilled labor index and common labor index for 20 cities and the national average. </w:t>
      </w:r>
      <w:r>
        <w:rPr>
          <w:sz w:val="26"/>
          <w:szCs w:val="26"/>
          <w:lang w:val="en"/>
        </w:rPr>
        <w:t xml:space="preserve"> </w:t>
      </w:r>
      <w:r w:rsidRPr="00856E33">
        <w:rPr>
          <w:sz w:val="26"/>
          <w:szCs w:val="26"/>
          <w:lang w:val="en"/>
        </w:rPr>
        <w:t>The first issue also contains an index review of all five national indexes for the latest 14 month period.</w:t>
      </w:r>
      <w:r>
        <w:rPr>
          <w:sz w:val="26"/>
          <w:szCs w:val="26"/>
          <w:lang w:val="en"/>
        </w:rPr>
        <w:t xml:space="preserve">”  </w:t>
      </w:r>
      <w:r>
        <w:rPr>
          <w:i/>
          <w:sz w:val="26"/>
          <w:szCs w:val="26"/>
          <w:lang w:val="en"/>
        </w:rPr>
        <w:t xml:space="preserve">See </w:t>
      </w:r>
      <w:r w:rsidRPr="00F96B34">
        <w:rPr>
          <w:sz w:val="26"/>
          <w:szCs w:val="26"/>
          <w:lang w:val="en"/>
        </w:rPr>
        <w:t>https://www.enr.com/economics</w:t>
      </w:r>
      <w:r>
        <w:rPr>
          <w:sz w:val="26"/>
          <w:szCs w:val="26"/>
          <w:lang w:val="en"/>
        </w:rPr>
        <w:t>.</w:t>
      </w:r>
    </w:p>
  </w:footnote>
  <w:footnote w:id="5">
    <w:p w14:paraId="3D9C5E28" w14:textId="77777777" w:rsidR="004870CC" w:rsidRPr="00D0478D" w:rsidRDefault="004870CC" w:rsidP="00BE5FF4">
      <w:pPr>
        <w:pStyle w:val="FootnoteText"/>
        <w:keepNext/>
        <w:keepLines/>
        <w:widowControl/>
        <w:ind w:firstLine="720"/>
        <w:rPr>
          <w:sz w:val="26"/>
          <w:szCs w:val="26"/>
        </w:rPr>
      </w:pPr>
      <w:r w:rsidRPr="00D0478D">
        <w:rPr>
          <w:rStyle w:val="FootnoteReference"/>
          <w:sz w:val="26"/>
          <w:szCs w:val="26"/>
        </w:rPr>
        <w:footnoteRef/>
      </w:r>
      <w:r w:rsidRPr="00D0478D">
        <w:rPr>
          <w:sz w:val="26"/>
          <w:szCs w:val="26"/>
        </w:rPr>
        <w:tab/>
        <w:t xml:space="preserve">The APA includes a three year “rate freeze,” which provides that Limerick customers will be charged the existing Limerick rates for a period of not less than three years.  According to Aqua, while the APA includes a three-year rate freeze, there is no provision within the APA that provides for a limitation on rate increases.  </w:t>
      </w:r>
      <w:r w:rsidRPr="00D0478D">
        <w:rPr>
          <w:sz w:val="26"/>
          <w:szCs w:val="26"/>
          <w:lang w:val="en"/>
        </w:rPr>
        <w:t xml:space="preserve">Aqua Exc. at 3 (citing Aqua Stmt. 1 at 6). </w:t>
      </w:r>
    </w:p>
  </w:footnote>
  <w:footnote w:id="6">
    <w:p w14:paraId="32D4F48F" w14:textId="77777777" w:rsidR="004870CC" w:rsidRPr="00D0478D" w:rsidRDefault="004870CC" w:rsidP="00BE5FF4">
      <w:pPr>
        <w:pStyle w:val="FootnoteText"/>
        <w:keepNext/>
        <w:keepLines/>
        <w:widowControl/>
        <w:ind w:firstLine="720"/>
        <w:rPr>
          <w:sz w:val="26"/>
          <w:szCs w:val="26"/>
        </w:rPr>
      </w:pPr>
      <w:r w:rsidRPr="00D0478D">
        <w:rPr>
          <w:rStyle w:val="FootnoteReference"/>
          <w:sz w:val="26"/>
          <w:szCs w:val="26"/>
        </w:rPr>
        <w:footnoteRef/>
      </w:r>
      <w:r w:rsidRPr="00D0478D">
        <w:rPr>
          <w:sz w:val="26"/>
          <w:szCs w:val="26"/>
        </w:rPr>
        <w:t xml:space="preserve"> </w:t>
      </w:r>
      <w:r w:rsidRPr="00D0478D">
        <w:rPr>
          <w:sz w:val="26"/>
          <w:szCs w:val="26"/>
        </w:rPr>
        <w:tab/>
        <w:t>Ordering Paragraph 3 of the ALJ’s Recomm</w:t>
      </w:r>
      <w:r>
        <w:rPr>
          <w:sz w:val="26"/>
          <w:szCs w:val="26"/>
        </w:rPr>
        <w:t>ended Decision states</w:t>
      </w:r>
      <w:r w:rsidRPr="00D0478D">
        <w:rPr>
          <w:sz w:val="26"/>
          <w:szCs w:val="26"/>
        </w:rPr>
        <w:t>:</w:t>
      </w:r>
    </w:p>
    <w:p w14:paraId="2EB6D097" w14:textId="77777777" w:rsidR="004870CC" w:rsidRPr="00D0478D" w:rsidRDefault="004870CC" w:rsidP="00BE5FF4">
      <w:pPr>
        <w:pStyle w:val="FootnoteText"/>
        <w:keepNext/>
        <w:keepLines/>
        <w:widowControl/>
        <w:ind w:firstLine="720"/>
        <w:rPr>
          <w:sz w:val="26"/>
          <w:szCs w:val="26"/>
        </w:rPr>
      </w:pPr>
    </w:p>
    <w:p w14:paraId="366D0500" w14:textId="77777777" w:rsidR="004870CC" w:rsidRDefault="004870CC" w:rsidP="00BE5FF4">
      <w:pPr>
        <w:keepNext/>
        <w:keepLines/>
        <w:widowControl/>
        <w:ind w:left="1440" w:right="1440"/>
        <w:rPr>
          <w:sz w:val="26"/>
          <w:szCs w:val="26"/>
        </w:rPr>
      </w:pPr>
      <w:r w:rsidRPr="00D0478D">
        <w:rPr>
          <w:sz w:val="26"/>
          <w:szCs w:val="26"/>
        </w:rPr>
        <w:t xml:space="preserve">That the Commission retains the authority to allocate revenues, if appropriate, to the Limerick Township customers that are in excess of the restrictions outlined in the Asset Purchase Agreement.  Aqua Pennsylvania Wastewater, Inc. and its shareholders should bear all risk of a shortfall between revenues it is permitted to recover under its Asset Purchase Agreement with Limerick Township and the costs that Aqua Pennsylvania Wastewater, Inc. incurs with respect to the acquired system.  To the extent that Aqua Pennsylvania Wastewater, Inc. is unwilling or unable to charge costs in excess of the limitations provided in the Asset Purchase Agreement, the excess costs should be borne by its shareholders and not spread to other ratepayers.  </w:t>
      </w:r>
    </w:p>
    <w:p w14:paraId="0F65AA2B" w14:textId="77777777" w:rsidR="004870CC" w:rsidRDefault="004870CC" w:rsidP="00EA7856">
      <w:pPr>
        <w:pStyle w:val="FootnoteText"/>
        <w:ind w:right="1440"/>
        <w:rPr>
          <w:sz w:val="26"/>
          <w:szCs w:val="26"/>
        </w:rPr>
      </w:pPr>
    </w:p>
    <w:p w14:paraId="4A3DECF1" w14:textId="77777777" w:rsidR="004870CC" w:rsidRPr="00D0478D" w:rsidRDefault="004870CC" w:rsidP="00EA7856">
      <w:pPr>
        <w:pStyle w:val="FootnoteText"/>
        <w:ind w:right="1440"/>
        <w:rPr>
          <w:sz w:val="26"/>
          <w:szCs w:val="26"/>
        </w:rPr>
      </w:pPr>
      <w:r>
        <w:rPr>
          <w:sz w:val="26"/>
          <w:szCs w:val="26"/>
        </w:rPr>
        <w:t>R.D. at 53.</w:t>
      </w:r>
    </w:p>
  </w:footnote>
  <w:footnote w:id="7">
    <w:p w14:paraId="44B7B1AB" w14:textId="77777777" w:rsidR="004870CC" w:rsidRPr="0021731F" w:rsidRDefault="004870CC" w:rsidP="00BE5FF4">
      <w:pPr>
        <w:pStyle w:val="FootnoteText"/>
        <w:keepNext/>
        <w:keepLines/>
        <w:widowControl/>
        <w:ind w:firstLine="720"/>
        <w:rPr>
          <w:sz w:val="26"/>
          <w:szCs w:val="26"/>
        </w:rPr>
      </w:pPr>
      <w:r w:rsidRPr="0021731F">
        <w:rPr>
          <w:rStyle w:val="FootnoteReference"/>
          <w:sz w:val="26"/>
          <w:szCs w:val="26"/>
        </w:rPr>
        <w:footnoteRef/>
      </w:r>
      <w:r w:rsidRPr="0021731F">
        <w:rPr>
          <w:sz w:val="26"/>
          <w:szCs w:val="26"/>
        </w:rPr>
        <w:tab/>
        <w:t xml:space="preserve">According to </w:t>
      </w:r>
      <w:r>
        <w:rPr>
          <w:sz w:val="26"/>
          <w:szCs w:val="26"/>
        </w:rPr>
        <w:t xml:space="preserve">the </w:t>
      </w:r>
      <w:r w:rsidRPr="0021731F">
        <w:rPr>
          <w:sz w:val="26"/>
          <w:szCs w:val="26"/>
        </w:rPr>
        <w:t>OCA, based on the ratemaking rate base of $75.1 million, if Aqua files a rate request in Year 9, existing water and wastewater customers would see increases of approximately 9%, and, if Aqua files a rate increase request in Year 2, existing water and wastewater customers would see increases of approximately 64%.  OCA R. Exc. at 3 (citing OCA M.B. at 47; OCA Stmt</w:t>
      </w:r>
      <w:r>
        <w:rPr>
          <w:sz w:val="26"/>
          <w:szCs w:val="26"/>
        </w:rPr>
        <w:t>.</w:t>
      </w:r>
      <w:r w:rsidRPr="0021731F">
        <w:rPr>
          <w:sz w:val="26"/>
          <w:szCs w:val="26"/>
        </w:rPr>
        <w:t xml:space="preserve"> 1S at 6). </w:t>
      </w:r>
    </w:p>
  </w:footnote>
  <w:footnote w:id="8">
    <w:p w14:paraId="5627B7F9" w14:textId="77777777" w:rsidR="004870CC" w:rsidRPr="002770E4" w:rsidRDefault="004870CC" w:rsidP="00EA7856">
      <w:pPr>
        <w:pStyle w:val="FootnoteText"/>
        <w:keepNext/>
        <w:keepLines/>
        <w:widowControl/>
        <w:spacing w:after="120"/>
        <w:ind w:firstLine="720"/>
        <w:rPr>
          <w:sz w:val="26"/>
          <w:szCs w:val="26"/>
        </w:rPr>
      </w:pPr>
      <w:r w:rsidRPr="00101EA9">
        <w:rPr>
          <w:rStyle w:val="FootnoteReference"/>
          <w:sz w:val="26"/>
          <w:szCs w:val="26"/>
        </w:rPr>
        <w:footnoteRef/>
      </w:r>
      <w:r w:rsidRPr="00101EA9">
        <w:rPr>
          <w:sz w:val="26"/>
          <w:szCs w:val="26"/>
        </w:rPr>
        <w:t xml:space="preserve"> </w:t>
      </w:r>
      <w:r w:rsidRPr="00101EA9">
        <w:rPr>
          <w:sz w:val="26"/>
          <w:szCs w:val="26"/>
        </w:rPr>
        <w:tab/>
      </w:r>
      <w:r>
        <w:rPr>
          <w:sz w:val="26"/>
          <w:szCs w:val="26"/>
        </w:rPr>
        <w:t xml:space="preserve">In the </w:t>
      </w:r>
      <w:r w:rsidRPr="00B83243">
        <w:rPr>
          <w:i/>
          <w:sz w:val="26"/>
          <w:szCs w:val="26"/>
          <w:lang w:val="en"/>
        </w:rPr>
        <w:t>PAWC Scranton Order</w:t>
      </w:r>
      <w:r>
        <w:rPr>
          <w:sz w:val="26"/>
          <w:szCs w:val="26"/>
          <w:lang w:val="en"/>
        </w:rPr>
        <w:t xml:space="preserve">, </w:t>
      </w:r>
      <w:r>
        <w:rPr>
          <w:sz w:val="26"/>
          <w:szCs w:val="26"/>
        </w:rPr>
        <w:t xml:space="preserve">the OCA asserted that </w:t>
      </w:r>
      <w:r>
        <w:rPr>
          <w:sz w:val="26"/>
          <w:szCs w:val="26"/>
          <w:lang w:val="en"/>
        </w:rPr>
        <w:t>SSA’s balance sheet as of March 31, 2015</w:t>
      </w:r>
      <w:r>
        <w:rPr>
          <w:sz w:val="26"/>
          <w:szCs w:val="26"/>
        </w:rPr>
        <w:t xml:space="preserve">, placed </w:t>
      </w:r>
      <w:proofErr w:type="spellStart"/>
      <w:r>
        <w:rPr>
          <w:sz w:val="26"/>
          <w:szCs w:val="26"/>
        </w:rPr>
        <w:t>t</w:t>
      </w:r>
      <w:r>
        <w:rPr>
          <w:sz w:val="26"/>
          <w:szCs w:val="26"/>
          <w:lang w:val="en"/>
        </w:rPr>
        <w:t>he</w:t>
      </w:r>
      <w:proofErr w:type="spellEnd"/>
      <w:r>
        <w:rPr>
          <w:sz w:val="26"/>
          <w:szCs w:val="26"/>
          <w:lang w:val="en"/>
        </w:rPr>
        <w:t xml:space="preserve"> book value for the wastewater plant at approximately $74 million and</w:t>
      </w:r>
      <w:r w:rsidRPr="00101EA9">
        <w:rPr>
          <w:sz w:val="26"/>
          <w:szCs w:val="26"/>
        </w:rPr>
        <w:t xml:space="preserve"> </w:t>
      </w:r>
      <w:r>
        <w:rPr>
          <w:sz w:val="26"/>
          <w:szCs w:val="26"/>
        </w:rPr>
        <w:t xml:space="preserve">that </w:t>
      </w:r>
      <w:r w:rsidRPr="00101EA9">
        <w:rPr>
          <w:sz w:val="26"/>
          <w:szCs w:val="26"/>
        </w:rPr>
        <w:t xml:space="preserve">PAWC </w:t>
      </w:r>
      <w:r>
        <w:rPr>
          <w:sz w:val="26"/>
          <w:szCs w:val="26"/>
        </w:rPr>
        <w:t>was</w:t>
      </w:r>
      <w:r w:rsidRPr="00101EA9">
        <w:rPr>
          <w:sz w:val="26"/>
          <w:szCs w:val="26"/>
        </w:rPr>
        <w:t xml:space="preserve"> not acquiring SSA’s entire assets</w:t>
      </w:r>
      <w:r>
        <w:rPr>
          <w:sz w:val="26"/>
          <w:szCs w:val="26"/>
        </w:rPr>
        <w:t>.  According to the OCA,</w:t>
      </w:r>
      <w:r w:rsidRPr="00101EA9">
        <w:rPr>
          <w:sz w:val="26"/>
          <w:szCs w:val="26"/>
        </w:rPr>
        <w:t xml:space="preserve"> the actual book value of the assets PAWC </w:t>
      </w:r>
      <w:r>
        <w:rPr>
          <w:sz w:val="26"/>
          <w:szCs w:val="26"/>
        </w:rPr>
        <w:t>wa</w:t>
      </w:r>
      <w:r w:rsidRPr="00101EA9">
        <w:rPr>
          <w:sz w:val="26"/>
          <w:szCs w:val="26"/>
        </w:rPr>
        <w:t xml:space="preserve">s acquiring </w:t>
      </w:r>
      <w:r>
        <w:rPr>
          <w:sz w:val="26"/>
          <w:szCs w:val="26"/>
        </w:rPr>
        <w:t>wa</w:t>
      </w:r>
      <w:r w:rsidRPr="00101EA9">
        <w:rPr>
          <w:sz w:val="26"/>
          <w:szCs w:val="26"/>
        </w:rPr>
        <w:t xml:space="preserve">s actually less than $74 million.  </w:t>
      </w:r>
      <w:r w:rsidRPr="00B83243">
        <w:rPr>
          <w:i/>
          <w:sz w:val="26"/>
          <w:szCs w:val="26"/>
          <w:lang w:val="en"/>
        </w:rPr>
        <w:t>PAWC Scranton Order</w:t>
      </w:r>
      <w:r>
        <w:rPr>
          <w:sz w:val="26"/>
          <w:szCs w:val="26"/>
          <w:lang w:val="en"/>
        </w:rPr>
        <w:t xml:space="preserve"> at 69 n.13.</w:t>
      </w:r>
    </w:p>
  </w:footnote>
  <w:footnote w:id="9">
    <w:p w14:paraId="4CC9B6E7" w14:textId="77777777" w:rsidR="004870CC" w:rsidRPr="006B4B86" w:rsidRDefault="004870CC" w:rsidP="00BE5FF4">
      <w:pPr>
        <w:pStyle w:val="FootnoteText"/>
        <w:keepNext/>
        <w:keepLines/>
        <w:widowControl/>
        <w:ind w:firstLine="720"/>
        <w:rPr>
          <w:sz w:val="26"/>
          <w:szCs w:val="26"/>
        </w:rPr>
      </w:pPr>
      <w:r w:rsidRPr="006B4B86">
        <w:rPr>
          <w:rStyle w:val="FootnoteReference"/>
          <w:sz w:val="26"/>
          <w:szCs w:val="26"/>
        </w:rPr>
        <w:footnoteRef/>
      </w:r>
      <w:r w:rsidRPr="006B4B86">
        <w:rPr>
          <w:sz w:val="26"/>
          <w:szCs w:val="26"/>
        </w:rPr>
        <w:tab/>
      </w:r>
      <w:proofErr w:type="spellStart"/>
      <w:r w:rsidRPr="006B4B86">
        <w:rPr>
          <w:sz w:val="26"/>
          <w:szCs w:val="26"/>
        </w:rPr>
        <w:t>Aqua’s</w:t>
      </w:r>
      <w:proofErr w:type="spellEnd"/>
      <w:r w:rsidRPr="006B4B86">
        <w:rPr>
          <w:sz w:val="26"/>
          <w:szCs w:val="26"/>
        </w:rPr>
        <w:t xml:space="preserve"> Exhibit D </w:t>
      </w:r>
      <w:r>
        <w:rPr>
          <w:sz w:val="26"/>
          <w:szCs w:val="26"/>
        </w:rPr>
        <w:t xml:space="preserve">shows </w:t>
      </w:r>
      <w:r w:rsidRPr="006B4B86">
        <w:rPr>
          <w:sz w:val="26"/>
          <w:szCs w:val="26"/>
        </w:rPr>
        <w:t>two calculations of the potential rate impact of the splitting of the ratemaking rate base and creation of the regulatory asset</w:t>
      </w:r>
      <w:r>
        <w:rPr>
          <w:sz w:val="26"/>
          <w:szCs w:val="26"/>
        </w:rPr>
        <w:t xml:space="preserve"> </w:t>
      </w:r>
      <w:r w:rsidRPr="006B4B86">
        <w:rPr>
          <w:sz w:val="26"/>
          <w:szCs w:val="26"/>
        </w:rPr>
        <w:t>on existing customers.</w:t>
      </w:r>
    </w:p>
  </w:footnote>
  <w:footnote w:id="10">
    <w:p w14:paraId="717AA7E3" w14:textId="77777777" w:rsidR="004870CC" w:rsidRPr="0014072C" w:rsidRDefault="004870CC" w:rsidP="00BE5FF4">
      <w:pPr>
        <w:pStyle w:val="FootnoteText"/>
        <w:keepNext/>
        <w:keepLines/>
        <w:widowControl/>
        <w:ind w:firstLine="720"/>
        <w:rPr>
          <w:sz w:val="26"/>
          <w:szCs w:val="26"/>
        </w:rPr>
      </w:pPr>
      <w:r w:rsidRPr="0014072C">
        <w:rPr>
          <w:rStyle w:val="FootnoteReference"/>
          <w:sz w:val="26"/>
          <w:szCs w:val="26"/>
        </w:rPr>
        <w:footnoteRef/>
      </w:r>
      <w:r w:rsidRPr="0014072C">
        <w:rPr>
          <w:sz w:val="26"/>
          <w:szCs w:val="26"/>
        </w:rPr>
        <w:t xml:space="preserve"> </w:t>
      </w:r>
      <w:r w:rsidRPr="0014072C">
        <w:rPr>
          <w:sz w:val="26"/>
          <w:szCs w:val="26"/>
        </w:rPr>
        <w:tab/>
        <w:t>Aqua avers it has regulatory assets in rate base including its FAS 109 – Unfounded Deferred Income Taxes and FAS 143 – Net Negative Salvage.  Aqua Exc. at</w:t>
      </w:r>
      <w:r>
        <w:rPr>
          <w:sz w:val="26"/>
          <w:szCs w:val="26"/>
        </w:rPr>
        <w:t> </w:t>
      </w:r>
      <w:r w:rsidRPr="0014072C">
        <w:rPr>
          <w:sz w:val="26"/>
          <w:szCs w:val="26"/>
        </w:rPr>
        <w:t>7 (citing Aqua Stmt. 1R at 4, 17).</w:t>
      </w:r>
    </w:p>
  </w:footnote>
  <w:footnote w:id="11">
    <w:p w14:paraId="0987A5DB" w14:textId="77777777" w:rsidR="004870CC" w:rsidRPr="007B3693" w:rsidRDefault="004870CC" w:rsidP="00BE5FF4">
      <w:pPr>
        <w:pStyle w:val="FootnoteText"/>
        <w:keepNext/>
        <w:keepLines/>
        <w:widowControl/>
        <w:ind w:firstLine="720"/>
        <w:rPr>
          <w:sz w:val="26"/>
          <w:szCs w:val="26"/>
        </w:rPr>
      </w:pPr>
      <w:r w:rsidRPr="007B3693">
        <w:rPr>
          <w:rStyle w:val="FootnoteReference"/>
          <w:sz w:val="26"/>
          <w:szCs w:val="26"/>
        </w:rPr>
        <w:footnoteRef/>
      </w:r>
      <w:r w:rsidRPr="007B3693">
        <w:rPr>
          <w:sz w:val="26"/>
          <w:szCs w:val="26"/>
        </w:rPr>
        <w:tab/>
        <w:t>HRG used a discount rate of 2.5% in its analysis.  The ALJ adopted a discount rate of 6.</w:t>
      </w:r>
      <w:r>
        <w:rPr>
          <w:sz w:val="26"/>
          <w:szCs w:val="26"/>
        </w:rPr>
        <w:t>9</w:t>
      </w:r>
      <w:r w:rsidRPr="007B3693">
        <w:rPr>
          <w:sz w:val="26"/>
          <w:szCs w:val="26"/>
        </w:rPr>
        <w:t xml:space="preserve">7% as the true reflection of </w:t>
      </w:r>
      <w:proofErr w:type="spellStart"/>
      <w:r>
        <w:rPr>
          <w:sz w:val="26"/>
          <w:szCs w:val="26"/>
        </w:rPr>
        <w:t>Aqua’s</w:t>
      </w:r>
      <w:proofErr w:type="spellEnd"/>
      <w:r>
        <w:rPr>
          <w:sz w:val="26"/>
          <w:szCs w:val="26"/>
        </w:rPr>
        <w:t xml:space="preserve"> total</w:t>
      </w:r>
      <w:r w:rsidRPr="007B3693">
        <w:rPr>
          <w:sz w:val="26"/>
          <w:szCs w:val="26"/>
        </w:rPr>
        <w:t xml:space="preserve"> cost of capital.</w:t>
      </w:r>
      <w:r>
        <w:rPr>
          <w:sz w:val="26"/>
          <w:szCs w:val="26"/>
        </w:rPr>
        <w:t xml:space="preserve">  </w:t>
      </w:r>
      <w:r w:rsidRPr="007B3693">
        <w:rPr>
          <w:sz w:val="26"/>
          <w:szCs w:val="26"/>
        </w:rPr>
        <w:t xml:space="preserve">  </w:t>
      </w:r>
      <w:r>
        <w:rPr>
          <w:sz w:val="26"/>
          <w:szCs w:val="26"/>
        </w:rPr>
        <w:t>Aqua Exc. at 14-15.</w:t>
      </w:r>
    </w:p>
  </w:footnote>
  <w:footnote w:id="12">
    <w:p w14:paraId="33F275BC" w14:textId="77777777" w:rsidR="004870CC" w:rsidRPr="0078073A" w:rsidRDefault="004870CC" w:rsidP="00BE5FF4">
      <w:pPr>
        <w:pStyle w:val="FootnoteText"/>
        <w:keepNext/>
        <w:keepLines/>
        <w:widowControl/>
        <w:ind w:firstLine="720"/>
        <w:rPr>
          <w:sz w:val="26"/>
          <w:szCs w:val="26"/>
        </w:rPr>
      </w:pPr>
      <w:r w:rsidRPr="0078073A">
        <w:rPr>
          <w:rStyle w:val="FootnoteReference"/>
          <w:sz w:val="26"/>
          <w:szCs w:val="26"/>
        </w:rPr>
        <w:footnoteRef/>
      </w:r>
      <w:r w:rsidRPr="0078073A">
        <w:rPr>
          <w:sz w:val="26"/>
          <w:szCs w:val="26"/>
        </w:rPr>
        <w:tab/>
        <w:t xml:space="preserve">Aqua believes the discount factor should be based on conditions that currently </w:t>
      </w:r>
      <w:r>
        <w:rPr>
          <w:sz w:val="26"/>
          <w:szCs w:val="26"/>
        </w:rPr>
        <w:t>exist</w:t>
      </w:r>
      <w:r w:rsidRPr="0078073A">
        <w:rPr>
          <w:sz w:val="26"/>
          <w:szCs w:val="26"/>
        </w:rPr>
        <w:t xml:space="preserve"> and not conditions at the time of the prior rate filing.  </w:t>
      </w:r>
      <w:r w:rsidRPr="00613A0C">
        <w:rPr>
          <w:i/>
          <w:sz w:val="26"/>
          <w:szCs w:val="26"/>
        </w:rPr>
        <w:t>Id.</w:t>
      </w:r>
      <w:r w:rsidRPr="0078073A">
        <w:rPr>
          <w:sz w:val="26"/>
          <w:szCs w:val="26"/>
        </w:rPr>
        <w:t xml:space="preserve"> at 16</w:t>
      </w:r>
      <w:r>
        <w:rPr>
          <w:sz w:val="26"/>
          <w:szCs w:val="26"/>
        </w:rPr>
        <w:t xml:space="preserve"> (citing Aqua Stmt. 4R at 16)</w:t>
      </w:r>
      <w:r w:rsidRPr="0078073A">
        <w:rPr>
          <w:sz w:val="26"/>
          <w:szCs w:val="26"/>
        </w:rPr>
        <w:t>.</w:t>
      </w:r>
    </w:p>
  </w:footnote>
  <w:footnote w:id="13">
    <w:p w14:paraId="779B8975" w14:textId="77777777" w:rsidR="004870CC" w:rsidRPr="00352558" w:rsidRDefault="004870CC" w:rsidP="00EA7856">
      <w:pPr>
        <w:pStyle w:val="FootnoteText"/>
        <w:ind w:firstLine="720"/>
        <w:rPr>
          <w:sz w:val="26"/>
          <w:szCs w:val="26"/>
        </w:rPr>
      </w:pPr>
      <w:r w:rsidRPr="00352558">
        <w:rPr>
          <w:rStyle w:val="FootnoteReference"/>
          <w:sz w:val="26"/>
          <w:szCs w:val="26"/>
        </w:rPr>
        <w:footnoteRef/>
      </w:r>
      <w:r w:rsidRPr="00352558">
        <w:rPr>
          <w:sz w:val="26"/>
          <w:szCs w:val="26"/>
        </w:rPr>
        <w:t xml:space="preserve"> </w:t>
      </w:r>
      <w:r w:rsidRPr="00352558">
        <w:rPr>
          <w:sz w:val="26"/>
          <w:szCs w:val="26"/>
        </w:rPr>
        <w:tab/>
        <w:t>Aqua notes that the erosion of cash flow provision is a negative $300,000, and was a reduction in the fair market value analysis by HRG.  Aqua Exc. at 17 (citing Aqua Stmt</w:t>
      </w:r>
      <w:r>
        <w:rPr>
          <w:sz w:val="26"/>
          <w:szCs w:val="26"/>
        </w:rPr>
        <w:t>.</w:t>
      </w:r>
      <w:r w:rsidRPr="00352558">
        <w:rPr>
          <w:sz w:val="26"/>
          <w:szCs w:val="26"/>
        </w:rPr>
        <w:t xml:space="preserve"> 4R at 14). </w:t>
      </w:r>
    </w:p>
  </w:footnote>
  <w:footnote w:id="14">
    <w:p w14:paraId="24F53761" w14:textId="77777777" w:rsidR="004870CC" w:rsidRPr="00A543BF" w:rsidRDefault="004870CC" w:rsidP="00BE5FF4">
      <w:pPr>
        <w:pStyle w:val="FootnoteText"/>
        <w:keepNext/>
        <w:keepLines/>
        <w:widowControl/>
        <w:ind w:firstLine="720"/>
        <w:rPr>
          <w:sz w:val="26"/>
          <w:szCs w:val="26"/>
        </w:rPr>
      </w:pPr>
      <w:r w:rsidRPr="00A543BF">
        <w:rPr>
          <w:rStyle w:val="FootnoteReference"/>
          <w:sz w:val="26"/>
          <w:szCs w:val="26"/>
        </w:rPr>
        <w:footnoteRef/>
      </w:r>
      <w:r w:rsidRPr="00A543BF">
        <w:rPr>
          <w:sz w:val="26"/>
          <w:szCs w:val="26"/>
        </w:rPr>
        <w:tab/>
        <w:t xml:space="preserve">HRG’s analysis estimated the Limerick system’s value at $100,690,000, which HRG averaged with its DCF estimate of $55,020,000 to produce an estimated fair market value income approach of $77,855,000.  Aqua Exc. at 17 (citing Aqua </w:t>
      </w:r>
      <w:proofErr w:type="spellStart"/>
      <w:r w:rsidRPr="00A543BF">
        <w:rPr>
          <w:sz w:val="26"/>
          <w:szCs w:val="26"/>
        </w:rPr>
        <w:t>Exh</w:t>
      </w:r>
      <w:proofErr w:type="spellEnd"/>
      <w:r w:rsidRPr="00A543BF">
        <w:rPr>
          <w:sz w:val="26"/>
          <w:szCs w:val="26"/>
        </w:rPr>
        <w:t xml:space="preserve">. 1, Aqua </w:t>
      </w:r>
      <w:proofErr w:type="spellStart"/>
      <w:r w:rsidRPr="00A543BF">
        <w:rPr>
          <w:sz w:val="26"/>
          <w:szCs w:val="26"/>
        </w:rPr>
        <w:t>Exh</w:t>
      </w:r>
      <w:proofErr w:type="spellEnd"/>
      <w:r w:rsidRPr="00A543BF">
        <w:rPr>
          <w:sz w:val="26"/>
          <w:szCs w:val="26"/>
        </w:rPr>
        <w:t>. R at 10-11).</w:t>
      </w:r>
    </w:p>
  </w:footnote>
  <w:footnote w:id="15">
    <w:p w14:paraId="6E5A510A" w14:textId="77777777" w:rsidR="004870CC" w:rsidRPr="00DB7629" w:rsidRDefault="004870CC" w:rsidP="00BE5FF4">
      <w:pPr>
        <w:pStyle w:val="FootnoteText"/>
        <w:keepNext/>
        <w:keepLines/>
        <w:widowControl/>
        <w:ind w:firstLine="720"/>
        <w:rPr>
          <w:sz w:val="26"/>
          <w:szCs w:val="26"/>
        </w:rPr>
      </w:pPr>
      <w:r w:rsidRPr="00DB7629">
        <w:rPr>
          <w:rStyle w:val="FootnoteReference"/>
          <w:sz w:val="26"/>
          <w:szCs w:val="26"/>
        </w:rPr>
        <w:footnoteRef/>
      </w:r>
      <w:r w:rsidRPr="00DB7629">
        <w:rPr>
          <w:sz w:val="26"/>
          <w:szCs w:val="26"/>
        </w:rPr>
        <w:t xml:space="preserve"> </w:t>
      </w:r>
      <w:r w:rsidRPr="00DB7629">
        <w:rPr>
          <w:sz w:val="26"/>
          <w:szCs w:val="26"/>
        </w:rPr>
        <w:tab/>
        <w:t>$3,416,000 - $1,410,000 - $238,000 = $1,723,000.  OCA R. Exc. at 17 (citing OCA Stmt</w:t>
      </w:r>
      <w:r>
        <w:rPr>
          <w:sz w:val="26"/>
          <w:szCs w:val="26"/>
        </w:rPr>
        <w:t>.</w:t>
      </w:r>
      <w:r w:rsidRPr="00DB7629">
        <w:rPr>
          <w:sz w:val="26"/>
          <w:szCs w:val="26"/>
        </w:rPr>
        <w:t xml:space="preserve"> 1 at 21).  </w:t>
      </w:r>
    </w:p>
  </w:footnote>
  <w:footnote w:id="16">
    <w:p w14:paraId="19E3CD71" w14:textId="77777777" w:rsidR="004870CC" w:rsidRPr="000B0576" w:rsidRDefault="004870CC" w:rsidP="005555CA">
      <w:pPr>
        <w:keepNext/>
        <w:keepLines/>
        <w:widowControl/>
        <w:autoSpaceDE w:val="0"/>
        <w:autoSpaceDN w:val="0"/>
        <w:adjustRightInd w:val="0"/>
        <w:ind w:firstLine="720"/>
        <w:contextualSpacing/>
        <w:rPr>
          <w:sz w:val="26"/>
          <w:szCs w:val="26"/>
        </w:rPr>
      </w:pPr>
      <w:r w:rsidRPr="000B0576">
        <w:rPr>
          <w:rStyle w:val="FootnoteReference"/>
          <w:sz w:val="26"/>
          <w:szCs w:val="26"/>
        </w:rPr>
        <w:footnoteRef/>
      </w:r>
      <w:r w:rsidRPr="000B0576">
        <w:rPr>
          <w:sz w:val="26"/>
          <w:szCs w:val="26"/>
        </w:rPr>
        <w:tab/>
        <w:t>According to the OCA, this amount is calculated from Mr. Walker’s assumptions within his DCF and Cost of Reproduction New analysis.  OCA Exc. at 11 (citing OCA Stmt</w:t>
      </w:r>
      <w:r>
        <w:rPr>
          <w:sz w:val="26"/>
          <w:szCs w:val="26"/>
        </w:rPr>
        <w:t>. 2S at 8).</w:t>
      </w:r>
    </w:p>
  </w:footnote>
  <w:footnote w:id="17">
    <w:p w14:paraId="534D359A" w14:textId="77777777" w:rsidR="004870CC" w:rsidRPr="008F0267" w:rsidRDefault="004870CC" w:rsidP="005555CA">
      <w:pPr>
        <w:pStyle w:val="FootnoteText"/>
        <w:ind w:firstLine="720"/>
        <w:rPr>
          <w:sz w:val="26"/>
          <w:szCs w:val="26"/>
        </w:rPr>
      </w:pPr>
      <w:r w:rsidRPr="008F0267">
        <w:rPr>
          <w:rStyle w:val="FootnoteReference"/>
          <w:sz w:val="26"/>
          <w:szCs w:val="26"/>
        </w:rPr>
        <w:footnoteRef/>
      </w:r>
      <w:r w:rsidRPr="008F0267">
        <w:rPr>
          <w:sz w:val="26"/>
          <w:szCs w:val="26"/>
        </w:rPr>
        <w:t xml:space="preserve"> </w:t>
      </w:r>
      <w:r w:rsidRPr="008F0267">
        <w:rPr>
          <w:sz w:val="26"/>
          <w:szCs w:val="26"/>
        </w:rPr>
        <w:tab/>
        <w:t>Aqua argued that the model used by both Gannett and the OCA reflects the same 1.5% growth in capital expenditures and depreciation and that capital expenditures shown in the 13</w:t>
      </w:r>
      <w:r w:rsidRPr="008F0267">
        <w:rPr>
          <w:sz w:val="26"/>
          <w:szCs w:val="26"/>
          <w:vertAlign w:val="superscript"/>
        </w:rPr>
        <w:t>th</w:t>
      </w:r>
      <w:r w:rsidRPr="008F0267">
        <w:rPr>
          <w:sz w:val="26"/>
          <w:szCs w:val="26"/>
        </w:rPr>
        <w:t xml:space="preserve"> year of the model almost exactly matches the depreciation displayed for the same time.  According to Aqua, this means the capital investments being put back into the system are matching depreciation which keeps the system in a state of good repair.  </w:t>
      </w:r>
      <w:r>
        <w:rPr>
          <w:sz w:val="26"/>
          <w:szCs w:val="26"/>
        </w:rPr>
        <w:t xml:space="preserve">Per Aqua, using the 50-year model without a terminal value would cap the life of the business at 50 years, which ultimately understates the value indicated by the OCA’s 50-year model.  </w:t>
      </w:r>
      <w:r w:rsidRPr="008F0267">
        <w:rPr>
          <w:sz w:val="26"/>
          <w:szCs w:val="26"/>
        </w:rPr>
        <w:t xml:space="preserve">OCA Exc. at 11 (citing Aqua R.B. at 26-28).  </w:t>
      </w:r>
    </w:p>
  </w:footnote>
  <w:footnote w:id="18">
    <w:p w14:paraId="540E2EB5" w14:textId="77777777" w:rsidR="004870CC" w:rsidRPr="00A34F93" w:rsidRDefault="004870CC" w:rsidP="00BE5FF4">
      <w:pPr>
        <w:keepNext/>
        <w:keepLines/>
        <w:widowControl/>
        <w:ind w:firstLine="720"/>
        <w:contextualSpacing/>
        <w:rPr>
          <w:sz w:val="26"/>
          <w:szCs w:val="26"/>
          <w:lang w:val="en"/>
        </w:rPr>
      </w:pPr>
      <w:r w:rsidRPr="00D27970">
        <w:rPr>
          <w:rStyle w:val="FootnoteReference"/>
          <w:sz w:val="26"/>
          <w:szCs w:val="26"/>
        </w:rPr>
        <w:footnoteRef/>
      </w:r>
      <w:r>
        <w:t xml:space="preserve"> </w:t>
      </w:r>
      <w:r>
        <w:tab/>
      </w:r>
      <w:r w:rsidRPr="00A34F93">
        <w:rPr>
          <w:sz w:val="26"/>
          <w:szCs w:val="26"/>
          <w:lang w:val="en"/>
        </w:rPr>
        <w:t xml:space="preserve">According to Aqua, HRG believes the low unit price in the asset listing is because the cost does not include the value of the mains in residual subdivisions.  Aqua avers that units included in the asset listing were obtained from drawings and system maps and included contributed mains.  Aqua asserts that contributed mains are part of the transaction and have value which is why HRG chose an appropriate methodology for including them in the reproduction cost approach.  </w:t>
      </w:r>
      <w:r>
        <w:rPr>
          <w:sz w:val="26"/>
          <w:szCs w:val="26"/>
          <w:lang w:val="en"/>
        </w:rPr>
        <w:t>Aqua Exc.</w:t>
      </w:r>
      <w:r w:rsidRPr="00A34F93">
        <w:rPr>
          <w:sz w:val="26"/>
          <w:szCs w:val="26"/>
          <w:lang w:val="en"/>
        </w:rPr>
        <w:t xml:space="preserve"> at 19-20 (citing Aqua Stmt</w:t>
      </w:r>
      <w:r>
        <w:rPr>
          <w:sz w:val="26"/>
          <w:szCs w:val="26"/>
          <w:lang w:val="en"/>
        </w:rPr>
        <w:t>.</w:t>
      </w:r>
      <w:r w:rsidRPr="00A34F93">
        <w:rPr>
          <w:sz w:val="26"/>
          <w:szCs w:val="26"/>
          <w:lang w:val="en"/>
        </w:rPr>
        <w:t xml:space="preserve"> 4R</w:t>
      </w:r>
      <w:r>
        <w:rPr>
          <w:sz w:val="26"/>
          <w:szCs w:val="26"/>
          <w:lang w:val="en"/>
        </w:rPr>
        <w:t> </w:t>
      </w:r>
      <w:r w:rsidRPr="00A34F93">
        <w:rPr>
          <w:sz w:val="26"/>
          <w:szCs w:val="26"/>
          <w:lang w:val="en"/>
        </w:rPr>
        <w:t>at</w:t>
      </w:r>
      <w:r>
        <w:rPr>
          <w:sz w:val="26"/>
          <w:szCs w:val="26"/>
          <w:lang w:val="en"/>
        </w:rPr>
        <w:t> </w:t>
      </w:r>
      <w:r w:rsidRPr="00A34F93">
        <w:rPr>
          <w:sz w:val="26"/>
          <w:szCs w:val="26"/>
          <w:lang w:val="en"/>
        </w:rPr>
        <w:t>8).</w:t>
      </w:r>
    </w:p>
    <w:p w14:paraId="3F22C6D2" w14:textId="77777777" w:rsidR="004870CC" w:rsidRDefault="004870CC" w:rsidP="00EA7856">
      <w:pPr>
        <w:pStyle w:val="FootnoteText"/>
        <w:ind w:firstLine="720"/>
      </w:pPr>
    </w:p>
  </w:footnote>
  <w:footnote w:id="19">
    <w:p w14:paraId="343243CD" w14:textId="77777777" w:rsidR="004870CC" w:rsidRPr="002D1C08" w:rsidRDefault="004870CC" w:rsidP="00D27970">
      <w:pPr>
        <w:pStyle w:val="FootnoteText"/>
        <w:keepNext/>
        <w:keepLines/>
        <w:ind w:firstLine="720"/>
        <w:rPr>
          <w:sz w:val="26"/>
          <w:szCs w:val="26"/>
        </w:rPr>
      </w:pPr>
      <w:r w:rsidRPr="002D1C08">
        <w:rPr>
          <w:rStyle w:val="FootnoteReference"/>
          <w:sz w:val="26"/>
          <w:szCs w:val="26"/>
        </w:rPr>
        <w:footnoteRef/>
      </w:r>
      <w:r w:rsidRPr="002D1C08">
        <w:rPr>
          <w:sz w:val="26"/>
          <w:szCs w:val="26"/>
        </w:rPr>
        <w:t xml:space="preserve"> </w:t>
      </w:r>
      <w:r w:rsidRPr="002D1C08">
        <w:rPr>
          <w:sz w:val="26"/>
          <w:szCs w:val="26"/>
        </w:rPr>
        <w:tab/>
        <w:t>OCA points out that while the ALJ properly rejected this adder, as identified in OCA Exception No. 2, the ALJ improperly refused to remove the adder for future capital projects in HRG’s market approach.  OCA avers ALJ Haas did not follow the reasoning that he set forth with regard to the adder for future capital projects in HRG’s cost approach.  From the OCA’s point of view, while the USPAP requires consideration of such projects, there is no mandate that the market value be increased.  OCA argues “where future capital projects are paid for by the buyer, there is no basis to increase the value of system for the buyer.  OCA R. Exc. at 20 (citing OCA Stmt</w:t>
      </w:r>
      <w:r>
        <w:rPr>
          <w:sz w:val="26"/>
          <w:szCs w:val="26"/>
        </w:rPr>
        <w:t>.</w:t>
      </w:r>
      <w:r w:rsidRPr="002D1C08">
        <w:rPr>
          <w:sz w:val="26"/>
          <w:szCs w:val="26"/>
        </w:rPr>
        <w:t xml:space="preserve"> 1 at 23; OCA Stmt</w:t>
      </w:r>
      <w:r>
        <w:rPr>
          <w:sz w:val="26"/>
          <w:szCs w:val="26"/>
        </w:rPr>
        <w:t>.</w:t>
      </w:r>
      <w:r w:rsidRPr="002D1C08">
        <w:rPr>
          <w:sz w:val="26"/>
          <w:szCs w:val="26"/>
        </w:rPr>
        <w:t xml:space="preserve"> 1S at 14).  </w:t>
      </w:r>
    </w:p>
  </w:footnote>
  <w:footnote w:id="20">
    <w:p w14:paraId="075FDD54" w14:textId="77777777" w:rsidR="004870CC" w:rsidRPr="009D7B3E" w:rsidRDefault="004870CC" w:rsidP="00234CE8">
      <w:pPr>
        <w:pStyle w:val="FootnoteText"/>
        <w:keepNext/>
        <w:keepLines/>
        <w:ind w:firstLine="720"/>
        <w:rPr>
          <w:sz w:val="26"/>
          <w:szCs w:val="26"/>
        </w:rPr>
      </w:pPr>
      <w:r w:rsidRPr="009D7B3E">
        <w:rPr>
          <w:rStyle w:val="FootnoteReference"/>
          <w:sz w:val="26"/>
          <w:szCs w:val="26"/>
        </w:rPr>
        <w:footnoteRef/>
      </w:r>
      <w:r w:rsidRPr="009D7B3E">
        <w:rPr>
          <w:sz w:val="26"/>
          <w:szCs w:val="26"/>
        </w:rPr>
        <w:tab/>
      </w:r>
      <w:r>
        <w:rPr>
          <w:sz w:val="26"/>
          <w:szCs w:val="26"/>
        </w:rPr>
        <w:t xml:space="preserve">The OCA cited to the Pennsylvania Law Encyclopedia’s discussion of depreciated reproduction cost, </w:t>
      </w:r>
      <w:r w:rsidRPr="009D7B3E">
        <w:rPr>
          <w:sz w:val="26"/>
          <w:szCs w:val="26"/>
        </w:rPr>
        <w:t xml:space="preserve">40 P.L.E. PUBLIC UTILITIES </w:t>
      </w:r>
      <w:r w:rsidRPr="009D7B3E">
        <w:rPr>
          <w:sz w:val="26"/>
          <w:szCs w:val="26"/>
          <w:lang w:val="en"/>
        </w:rPr>
        <w:t xml:space="preserve">§ 74, </w:t>
      </w:r>
      <w:r>
        <w:rPr>
          <w:sz w:val="26"/>
          <w:szCs w:val="26"/>
          <w:lang w:val="en"/>
        </w:rPr>
        <w:t>n.</w:t>
      </w:r>
      <w:r w:rsidRPr="009D7B3E">
        <w:rPr>
          <w:sz w:val="26"/>
          <w:szCs w:val="26"/>
          <w:lang w:val="en"/>
        </w:rPr>
        <w:t xml:space="preserve">2346 (“In determining the present fair value of a public utility’s property, the reproduction cost new, a fair average present prices, less accrued depreciation, is of great use and should be properly considered as to the public utility’s plant and structure, </w:t>
      </w:r>
      <w:r w:rsidRPr="00584770">
        <w:rPr>
          <w:i/>
          <w:sz w:val="26"/>
          <w:szCs w:val="26"/>
          <w:lang w:val="en"/>
        </w:rPr>
        <w:t>exclusive of land</w:t>
      </w:r>
      <w:r>
        <w:rPr>
          <w:sz w:val="26"/>
          <w:szCs w:val="26"/>
          <w:lang w:val="en"/>
        </w:rPr>
        <w:t>.</w:t>
      </w:r>
      <w:r w:rsidRPr="009D7B3E">
        <w:rPr>
          <w:sz w:val="26"/>
          <w:szCs w:val="26"/>
          <w:lang w:val="en"/>
        </w:rPr>
        <w:t xml:space="preserve">”) (emphasis added).  </w:t>
      </w:r>
      <w:r>
        <w:rPr>
          <w:sz w:val="26"/>
          <w:szCs w:val="26"/>
          <w:lang w:val="en"/>
        </w:rPr>
        <w:t>OCA Exc. at 6 (also citing</w:t>
      </w:r>
      <w:r w:rsidRPr="009D7B3E">
        <w:rPr>
          <w:i/>
          <w:sz w:val="26"/>
          <w:szCs w:val="26"/>
          <w:lang w:val="en"/>
        </w:rPr>
        <w:t>,</w:t>
      </w:r>
      <w:r>
        <w:rPr>
          <w:sz w:val="26"/>
          <w:szCs w:val="26"/>
          <w:lang w:val="en"/>
        </w:rPr>
        <w:t xml:space="preserve"> </w:t>
      </w:r>
      <w:r w:rsidRPr="002E5220">
        <w:rPr>
          <w:i/>
          <w:sz w:val="26"/>
          <w:szCs w:val="26"/>
          <w:lang w:val="en"/>
        </w:rPr>
        <w:t>Application of Columbia Gas of Pa, Inc.,</w:t>
      </w:r>
      <w:r>
        <w:rPr>
          <w:sz w:val="26"/>
          <w:szCs w:val="26"/>
          <w:lang w:val="en"/>
        </w:rPr>
        <w:t xml:space="preserve"> Docket No. A-120700F0008, 2006 Pa. PUC LEXIS 683 (Opinion entered December 27, 2006) at *3; and </w:t>
      </w:r>
      <w:r w:rsidRPr="002E5220">
        <w:rPr>
          <w:i/>
          <w:sz w:val="26"/>
          <w:szCs w:val="26"/>
          <w:lang w:val="en"/>
        </w:rPr>
        <w:t>Application of Columbia Gas of Pa, Inc.,</w:t>
      </w:r>
      <w:r>
        <w:rPr>
          <w:sz w:val="26"/>
          <w:szCs w:val="26"/>
          <w:lang w:val="en"/>
        </w:rPr>
        <w:t xml:space="preserve"> Docket No. A-120700F0009, 2007 Pa. PUC LEXIS 616 (Opinion entered March 1, 2007) at *4.</w:t>
      </w:r>
    </w:p>
  </w:footnote>
  <w:footnote w:id="21">
    <w:p w14:paraId="03BA886E" w14:textId="77777777" w:rsidR="004870CC" w:rsidRPr="00814B81" w:rsidRDefault="004870CC" w:rsidP="004C4611">
      <w:pPr>
        <w:pStyle w:val="FootnoteText"/>
        <w:ind w:firstLine="720"/>
        <w:rPr>
          <w:sz w:val="26"/>
          <w:szCs w:val="26"/>
        </w:rPr>
      </w:pPr>
      <w:r w:rsidRPr="00814B81">
        <w:rPr>
          <w:rStyle w:val="FootnoteReference"/>
          <w:sz w:val="26"/>
          <w:szCs w:val="26"/>
        </w:rPr>
        <w:footnoteRef/>
      </w:r>
      <w:r w:rsidRPr="00814B81">
        <w:rPr>
          <w:sz w:val="26"/>
          <w:szCs w:val="26"/>
        </w:rPr>
        <w:tab/>
        <w:t>Aqua avers that separate land appraisals were, however, not performed.  Aqua R. Exc. at 9.</w:t>
      </w:r>
    </w:p>
  </w:footnote>
  <w:footnote w:id="22">
    <w:p w14:paraId="26109E2F" w14:textId="77777777" w:rsidR="004870CC" w:rsidRPr="00D131F8" w:rsidRDefault="004870CC" w:rsidP="00234CE8">
      <w:pPr>
        <w:pStyle w:val="FootnoteText"/>
        <w:keepNext/>
        <w:keepLines/>
        <w:ind w:firstLine="720"/>
        <w:rPr>
          <w:sz w:val="26"/>
          <w:szCs w:val="26"/>
        </w:rPr>
      </w:pPr>
      <w:r w:rsidRPr="00D131F8">
        <w:rPr>
          <w:rStyle w:val="FootnoteReference"/>
          <w:sz w:val="26"/>
          <w:szCs w:val="26"/>
        </w:rPr>
        <w:footnoteRef/>
      </w:r>
      <w:r w:rsidRPr="00D131F8">
        <w:rPr>
          <w:sz w:val="26"/>
          <w:szCs w:val="26"/>
        </w:rPr>
        <w:t xml:space="preserve"> </w:t>
      </w:r>
      <w:r w:rsidRPr="00D131F8">
        <w:rPr>
          <w:sz w:val="26"/>
          <w:szCs w:val="26"/>
        </w:rPr>
        <w:tab/>
        <w:t xml:space="preserve">According to Aqua, per the ordinance, all future development that can be served by Limerick </w:t>
      </w:r>
      <w:r w:rsidRPr="00610C13">
        <w:rPr>
          <w:sz w:val="26"/>
          <w:szCs w:val="26"/>
        </w:rPr>
        <w:t xml:space="preserve">must </w:t>
      </w:r>
      <w:r w:rsidRPr="00D131F8">
        <w:rPr>
          <w:sz w:val="26"/>
          <w:szCs w:val="26"/>
        </w:rPr>
        <w:t xml:space="preserve">connect to it or violate the Limerick Township ordinance.  Aqua Exc. at 22.  </w:t>
      </w:r>
    </w:p>
  </w:footnote>
  <w:footnote w:id="23">
    <w:p w14:paraId="669129B8" w14:textId="69FDE606" w:rsidR="004870CC" w:rsidRDefault="004870CC" w:rsidP="002A46C2">
      <w:pPr>
        <w:pStyle w:val="FootnoteText"/>
        <w:ind w:firstLine="720"/>
      </w:pPr>
      <w:r w:rsidRPr="0008355C">
        <w:rPr>
          <w:rStyle w:val="FootnoteReference"/>
          <w:sz w:val="26"/>
          <w:szCs w:val="26"/>
        </w:rPr>
        <w:footnoteRef/>
      </w:r>
      <w:r w:rsidRPr="0008355C">
        <w:rPr>
          <w:sz w:val="26"/>
          <w:szCs w:val="26"/>
        </w:rPr>
        <w:tab/>
      </w:r>
      <w:r>
        <w:rPr>
          <w:sz w:val="26"/>
          <w:szCs w:val="26"/>
        </w:rPr>
        <w:t xml:space="preserve">The OCA emphasized that in the </w:t>
      </w:r>
      <w:r w:rsidRPr="002A46C2">
        <w:rPr>
          <w:i/>
          <w:sz w:val="26"/>
          <w:szCs w:val="26"/>
        </w:rPr>
        <w:t>PAWC Scranton Order</w:t>
      </w:r>
      <w:r>
        <w:rPr>
          <w:sz w:val="26"/>
          <w:szCs w:val="26"/>
        </w:rPr>
        <w:t xml:space="preserve"> </w:t>
      </w:r>
      <w:r w:rsidRPr="0008355C">
        <w:rPr>
          <w:sz w:val="26"/>
          <w:szCs w:val="26"/>
        </w:rPr>
        <w:t xml:space="preserve">the purchase price </w:t>
      </w:r>
      <w:r>
        <w:rPr>
          <w:sz w:val="26"/>
          <w:szCs w:val="26"/>
        </w:rPr>
        <w:t>wa</w:t>
      </w:r>
      <w:r w:rsidRPr="0008355C">
        <w:rPr>
          <w:sz w:val="26"/>
          <w:szCs w:val="26"/>
        </w:rPr>
        <w:t xml:space="preserve">s $195 million, </w:t>
      </w:r>
      <w:r>
        <w:rPr>
          <w:sz w:val="26"/>
          <w:szCs w:val="26"/>
        </w:rPr>
        <w:t>and the consent decree committed</w:t>
      </w:r>
      <w:r w:rsidRPr="0008355C">
        <w:rPr>
          <w:sz w:val="26"/>
          <w:szCs w:val="26"/>
        </w:rPr>
        <w:t xml:space="preserve"> PAWC to invest </w:t>
      </w:r>
      <w:r>
        <w:rPr>
          <w:sz w:val="26"/>
          <w:szCs w:val="26"/>
        </w:rPr>
        <w:t xml:space="preserve">another </w:t>
      </w:r>
      <w:r w:rsidRPr="0008355C">
        <w:rPr>
          <w:sz w:val="26"/>
          <w:szCs w:val="26"/>
        </w:rPr>
        <w:t>$140 million in cap</w:t>
      </w:r>
      <w:r>
        <w:rPr>
          <w:sz w:val="26"/>
          <w:szCs w:val="26"/>
        </w:rPr>
        <w:t>ital improvements over 25-years</w:t>
      </w:r>
      <w:r w:rsidRPr="0008355C">
        <w:rPr>
          <w:sz w:val="26"/>
          <w:szCs w:val="26"/>
        </w:rPr>
        <w:t>.</w:t>
      </w:r>
      <w:r>
        <w:t xml:space="preserve">  </w:t>
      </w:r>
      <w:r>
        <w:rPr>
          <w:sz w:val="26"/>
          <w:szCs w:val="26"/>
          <w:lang w:val="en"/>
        </w:rPr>
        <w:t>OCA Exc. at 7-8.</w:t>
      </w:r>
    </w:p>
  </w:footnote>
  <w:footnote w:id="24">
    <w:p w14:paraId="69FA5DF8" w14:textId="77777777" w:rsidR="004870CC" w:rsidRPr="002761A3" w:rsidRDefault="004870CC" w:rsidP="00EA7856">
      <w:pPr>
        <w:pStyle w:val="FootnoteText"/>
        <w:ind w:firstLine="720"/>
        <w:rPr>
          <w:sz w:val="26"/>
          <w:szCs w:val="26"/>
        </w:rPr>
      </w:pPr>
      <w:r w:rsidRPr="002761A3">
        <w:rPr>
          <w:rStyle w:val="FootnoteReference"/>
          <w:sz w:val="26"/>
          <w:szCs w:val="26"/>
        </w:rPr>
        <w:footnoteRef/>
      </w:r>
      <w:r w:rsidRPr="002761A3">
        <w:rPr>
          <w:sz w:val="26"/>
          <w:szCs w:val="26"/>
        </w:rPr>
        <w:tab/>
        <w:t xml:space="preserve">The OCA does not believe Limerick should be compensated for these avoided costs through an inflation of the market value appraisal.  </w:t>
      </w:r>
      <w:r>
        <w:rPr>
          <w:sz w:val="26"/>
          <w:szCs w:val="26"/>
        </w:rPr>
        <w:t xml:space="preserve">OCA </w:t>
      </w:r>
      <w:r>
        <w:rPr>
          <w:sz w:val="26"/>
          <w:szCs w:val="26"/>
          <w:lang w:val="en"/>
        </w:rPr>
        <w:t>Exc. at 9.</w:t>
      </w:r>
    </w:p>
  </w:footnote>
  <w:footnote w:id="25">
    <w:p w14:paraId="44F3E309" w14:textId="77777777" w:rsidR="004870CC" w:rsidRPr="00187AB9" w:rsidRDefault="004870CC">
      <w:pPr>
        <w:pStyle w:val="FootnoteText"/>
        <w:rPr>
          <w:sz w:val="26"/>
          <w:szCs w:val="26"/>
        </w:rPr>
      </w:pPr>
      <w:r>
        <w:rPr>
          <w:sz w:val="26"/>
          <w:szCs w:val="26"/>
        </w:rPr>
        <w:tab/>
      </w:r>
      <w:r w:rsidRPr="00187AB9">
        <w:rPr>
          <w:rStyle w:val="FootnoteReference"/>
          <w:sz w:val="26"/>
          <w:szCs w:val="26"/>
        </w:rPr>
        <w:footnoteRef/>
      </w:r>
      <w:r>
        <w:rPr>
          <w:sz w:val="26"/>
          <w:szCs w:val="26"/>
        </w:rPr>
        <w:tab/>
      </w:r>
      <w:r>
        <w:rPr>
          <w:i/>
          <w:sz w:val="26"/>
          <w:szCs w:val="26"/>
        </w:rPr>
        <w:t xml:space="preserve">See, </w:t>
      </w:r>
      <w:r w:rsidRPr="002915C6">
        <w:rPr>
          <w:i/>
          <w:sz w:val="26"/>
          <w:szCs w:val="26"/>
        </w:rPr>
        <w:t>Application of Aqua Pennsylvania Wastewater, Inc. pursuant to Sections 1102 and 1329 of the Public Utility Code for Approval of its Acquisition of the Wastewater System Assets of New Garden Township and the New Garden Township Sewer Authority</w:t>
      </w:r>
      <w:r w:rsidRPr="002915C6">
        <w:rPr>
          <w:sz w:val="26"/>
          <w:szCs w:val="26"/>
        </w:rPr>
        <w:t xml:space="preserve">, Docket No. A-2016-2580061 (Order entered </w:t>
      </w:r>
      <w:r>
        <w:rPr>
          <w:sz w:val="26"/>
          <w:szCs w:val="26"/>
        </w:rPr>
        <w:t>February 15, 2017) (</w:t>
      </w:r>
      <w:r>
        <w:rPr>
          <w:i/>
          <w:sz w:val="26"/>
          <w:szCs w:val="26"/>
        </w:rPr>
        <w:t>Interlocutory Review Order</w:t>
      </w:r>
      <w:r w:rsidRPr="002915C6">
        <w:rPr>
          <w:sz w:val="26"/>
          <w:szCs w:val="26"/>
        </w:rPr>
        <w:t>)</w:t>
      </w:r>
      <w:r>
        <w:rPr>
          <w:sz w:val="26"/>
          <w:szCs w:val="26"/>
        </w:rPr>
        <w:t>.</w:t>
      </w:r>
    </w:p>
  </w:footnote>
  <w:footnote w:id="26">
    <w:p w14:paraId="5B59B858" w14:textId="77777777" w:rsidR="004870CC" w:rsidRPr="00A70D74" w:rsidRDefault="004870CC" w:rsidP="00862CDC">
      <w:pPr>
        <w:pStyle w:val="FootnoteText"/>
        <w:keepNext/>
        <w:keepLines/>
        <w:ind w:firstLine="720"/>
        <w:rPr>
          <w:sz w:val="26"/>
          <w:szCs w:val="26"/>
        </w:rPr>
      </w:pPr>
      <w:r w:rsidRPr="00A70D74">
        <w:rPr>
          <w:rStyle w:val="FootnoteReference"/>
          <w:sz w:val="26"/>
          <w:szCs w:val="26"/>
        </w:rPr>
        <w:footnoteRef/>
      </w:r>
      <w:r w:rsidRPr="00A70D74">
        <w:rPr>
          <w:sz w:val="26"/>
          <w:szCs w:val="26"/>
        </w:rPr>
        <w:tab/>
        <w:t xml:space="preserve">Aqua states that </w:t>
      </w:r>
      <w:r>
        <w:rPr>
          <w:sz w:val="26"/>
          <w:szCs w:val="26"/>
        </w:rPr>
        <w:t xml:space="preserve">the </w:t>
      </w:r>
      <w:r w:rsidRPr="00A70D74">
        <w:rPr>
          <w:sz w:val="26"/>
          <w:szCs w:val="26"/>
        </w:rPr>
        <w:t>agreements being assigned to Aqua include an Agreement between the Borough of Royersford, the Royersford Borough Authority, the Township of Limerick and the Limerick Township Municipal Authority Providing</w:t>
      </w:r>
      <w:r>
        <w:rPr>
          <w:sz w:val="26"/>
          <w:szCs w:val="26"/>
        </w:rPr>
        <w:t xml:space="preserve"> for</w:t>
      </w:r>
      <w:r w:rsidRPr="00A70D74">
        <w:rPr>
          <w:sz w:val="26"/>
          <w:szCs w:val="26"/>
        </w:rPr>
        <w:t xml:space="preserve"> Sewer Service for the Township of Limerick, dated December 4, 1967, and the later Extension of Agreement, dated November 30, 1976.  According to Aqua, the other agreements to be assigned included with Aqua Exhibit 1, Aqua Exhibit F, are with private entities, not municipalities, and, therefore, outside any possible filing requirements under Section 507.  Aqua R. Exc. at </w:t>
      </w:r>
      <w:r>
        <w:rPr>
          <w:sz w:val="26"/>
          <w:szCs w:val="26"/>
        </w:rPr>
        <w:t>6, n.20</w:t>
      </w:r>
      <w:r w:rsidRPr="00A70D74">
        <w:rPr>
          <w:sz w:val="26"/>
          <w:szCs w:val="26"/>
        </w:rPr>
        <w:t xml:space="preserve">. </w:t>
      </w:r>
    </w:p>
  </w:footnote>
  <w:footnote w:id="27">
    <w:p w14:paraId="1C01ED46" w14:textId="77777777" w:rsidR="004870CC" w:rsidRPr="006F42FE" w:rsidRDefault="004870CC" w:rsidP="00EA7856">
      <w:pPr>
        <w:pStyle w:val="FootnoteText"/>
        <w:ind w:firstLine="720"/>
        <w:rPr>
          <w:sz w:val="26"/>
          <w:szCs w:val="26"/>
        </w:rPr>
      </w:pPr>
      <w:r w:rsidRPr="006F42FE">
        <w:rPr>
          <w:rStyle w:val="FootnoteReference"/>
          <w:sz w:val="26"/>
          <w:szCs w:val="26"/>
        </w:rPr>
        <w:footnoteRef/>
      </w:r>
      <w:r w:rsidRPr="006F42FE">
        <w:rPr>
          <w:sz w:val="26"/>
          <w:szCs w:val="26"/>
        </w:rPr>
        <w:t xml:space="preserve"> </w:t>
      </w:r>
      <w:r w:rsidRPr="006F42FE">
        <w:rPr>
          <w:sz w:val="26"/>
          <w:szCs w:val="26"/>
        </w:rPr>
        <w:tab/>
        <w:t xml:space="preserve">Aqua indicated that by letter dated October 11, 2016, the Borough of Royersford agreed to the assignment of the intermunicipal sewer agreement.  Aqua R. Exc. at 7 (citing Aqua </w:t>
      </w:r>
      <w:proofErr w:type="spellStart"/>
      <w:r w:rsidRPr="006F42FE">
        <w:rPr>
          <w:sz w:val="26"/>
          <w:szCs w:val="26"/>
        </w:rPr>
        <w:t>Exh</w:t>
      </w:r>
      <w:proofErr w:type="spellEnd"/>
      <w:r w:rsidRPr="006F42FE">
        <w:rPr>
          <w:sz w:val="26"/>
          <w:szCs w:val="26"/>
        </w:rPr>
        <w:t xml:space="preserve">. 1; Aqua Confidential </w:t>
      </w:r>
      <w:proofErr w:type="spellStart"/>
      <w:r w:rsidRPr="006F42FE">
        <w:rPr>
          <w:sz w:val="26"/>
          <w:szCs w:val="26"/>
        </w:rPr>
        <w:t>Exh</w:t>
      </w:r>
      <w:proofErr w:type="spellEnd"/>
      <w:r w:rsidRPr="006F42FE">
        <w:rPr>
          <w:sz w:val="26"/>
          <w:szCs w:val="26"/>
        </w:rPr>
        <w:t>. F, Royersford Letter 10-11-2016).</w:t>
      </w:r>
    </w:p>
  </w:footnote>
  <w:footnote w:id="28">
    <w:p w14:paraId="10F86016" w14:textId="77777777" w:rsidR="004870CC" w:rsidRPr="001E1F34" w:rsidRDefault="004870CC">
      <w:pPr>
        <w:pStyle w:val="FootnoteText"/>
        <w:rPr>
          <w:sz w:val="26"/>
          <w:szCs w:val="26"/>
        </w:rPr>
      </w:pPr>
      <w:r>
        <w:tab/>
      </w:r>
      <w:r w:rsidRPr="001E1F34">
        <w:rPr>
          <w:rStyle w:val="FootnoteReference"/>
          <w:sz w:val="26"/>
          <w:szCs w:val="26"/>
        </w:rPr>
        <w:footnoteRef/>
      </w:r>
      <w:r w:rsidRPr="001E1F34">
        <w:rPr>
          <w:sz w:val="26"/>
          <w:szCs w:val="26"/>
        </w:rPr>
        <w:t xml:space="preserve"> </w:t>
      </w:r>
      <w:r w:rsidRPr="001E1F34">
        <w:rPr>
          <w:sz w:val="26"/>
          <w:szCs w:val="26"/>
        </w:rPr>
        <w:tab/>
        <w:t xml:space="preserve">This is in apparent contrast to the PAWC Scranton proceeding which involved the submission of form contracts that </w:t>
      </w:r>
      <w:r>
        <w:rPr>
          <w:sz w:val="26"/>
          <w:szCs w:val="26"/>
        </w:rPr>
        <w:t>required execution subsequent to the issuance of the final Commission Order</w:t>
      </w:r>
      <w:r w:rsidRPr="001E1F34">
        <w:rPr>
          <w:sz w:val="26"/>
          <w:szCs w:val="26"/>
        </w:rPr>
        <w:t xml:space="preserve">.  </w:t>
      </w:r>
    </w:p>
  </w:footnote>
  <w:footnote w:id="29">
    <w:p w14:paraId="238AF4AD" w14:textId="77777777" w:rsidR="004870CC" w:rsidRPr="005A3D91" w:rsidRDefault="004870CC" w:rsidP="0024570E">
      <w:pPr>
        <w:pStyle w:val="FootnoteText"/>
        <w:keepNext/>
        <w:keepLines/>
        <w:ind w:firstLine="720"/>
        <w:rPr>
          <w:sz w:val="26"/>
          <w:szCs w:val="26"/>
        </w:rPr>
      </w:pPr>
      <w:r w:rsidRPr="005A3D91">
        <w:rPr>
          <w:rStyle w:val="FootnoteReference"/>
          <w:sz w:val="26"/>
          <w:szCs w:val="26"/>
        </w:rPr>
        <w:footnoteRef/>
      </w:r>
      <w:r w:rsidRPr="005A3D91">
        <w:rPr>
          <w:sz w:val="26"/>
          <w:szCs w:val="26"/>
        </w:rPr>
        <w:t xml:space="preserve"> </w:t>
      </w:r>
      <w:r w:rsidRPr="005A3D91">
        <w:rPr>
          <w:sz w:val="26"/>
          <w:szCs w:val="26"/>
        </w:rPr>
        <w:tab/>
        <w:t xml:space="preserve">Per the OCA, pursuant to Section 1329(d)(4), from the time a tariff goes into effect until the time new rates are approved for the acquiring utility in a base rate case, a public utility “may collect a distribution system improvement charge … as approved by the Commission.”  </w:t>
      </w:r>
      <w:r w:rsidRPr="005A3D91">
        <w:rPr>
          <w:bCs/>
          <w:sz w:val="26"/>
          <w:szCs w:val="26"/>
          <w:lang w:val="en"/>
        </w:rPr>
        <w:t xml:space="preserve">66 Pa. C.S. </w:t>
      </w:r>
      <w:r w:rsidRPr="005A3D91">
        <w:rPr>
          <w:sz w:val="26"/>
          <w:szCs w:val="26"/>
        </w:rPr>
        <w:t xml:space="preserve">§ 1329(d)(4).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AAE"/>
    <w:multiLevelType w:val="hybridMultilevel"/>
    <w:tmpl w:val="E836E9C0"/>
    <w:lvl w:ilvl="0" w:tplc="8B049E7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7A2D27"/>
    <w:multiLevelType w:val="hybridMultilevel"/>
    <w:tmpl w:val="A75E326C"/>
    <w:lvl w:ilvl="0" w:tplc="4D0634E6">
      <w:start w:val="1"/>
      <w:numFmt w:val="decimal"/>
      <w:lvlText w:val="(%1)"/>
      <w:lvlJc w:val="left"/>
      <w:pPr>
        <w:ind w:left="3600" w:hanging="1005"/>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2" w15:restartNumberingAfterBreak="0">
    <w:nsid w:val="0DD679C3"/>
    <w:multiLevelType w:val="hybridMultilevel"/>
    <w:tmpl w:val="774E77A4"/>
    <w:lvl w:ilvl="0" w:tplc="32EE60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F1361"/>
    <w:multiLevelType w:val="hybridMultilevel"/>
    <w:tmpl w:val="EAD697A2"/>
    <w:lvl w:ilvl="0" w:tplc="4694FA90">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F4A358F"/>
    <w:multiLevelType w:val="hybridMultilevel"/>
    <w:tmpl w:val="2310A2A8"/>
    <w:lvl w:ilvl="0" w:tplc="B068FCC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8BC2A36"/>
    <w:multiLevelType w:val="hybridMultilevel"/>
    <w:tmpl w:val="C792B5EE"/>
    <w:lvl w:ilvl="0" w:tplc="638C478A">
      <w:start w:val="9"/>
      <w:numFmt w:val="lowerLetter"/>
      <w:lvlText w:val="%1."/>
      <w:lvlJc w:val="left"/>
      <w:pPr>
        <w:ind w:left="3690" w:hanging="360"/>
      </w:pPr>
      <w:rPr>
        <w:rFonts w:hint="default"/>
        <w:b/>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6" w15:restartNumberingAfterBreak="0">
    <w:nsid w:val="1AA90928"/>
    <w:multiLevelType w:val="hybridMultilevel"/>
    <w:tmpl w:val="E9EC98E6"/>
    <w:lvl w:ilvl="0" w:tplc="9126C8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1806EDE"/>
    <w:multiLevelType w:val="hybridMultilevel"/>
    <w:tmpl w:val="E0C2F7C0"/>
    <w:lvl w:ilvl="0" w:tplc="EF4CB8E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70E7729"/>
    <w:multiLevelType w:val="hybridMultilevel"/>
    <w:tmpl w:val="DFF65CCC"/>
    <w:lvl w:ilvl="0" w:tplc="717AEDC2">
      <w:start w:val="2"/>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D9C65CD"/>
    <w:multiLevelType w:val="hybridMultilevel"/>
    <w:tmpl w:val="569052EC"/>
    <w:lvl w:ilvl="0" w:tplc="93C0978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FC961DD"/>
    <w:multiLevelType w:val="hybridMultilevel"/>
    <w:tmpl w:val="6E7279BE"/>
    <w:lvl w:ilvl="0" w:tplc="861428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13C17D0"/>
    <w:multiLevelType w:val="hybridMultilevel"/>
    <w:tmpl w:val="9AEE205E"/>
    <w:lvl w:ilvl="0" w:tplc="7EF04280">
      <w:start w:val="1"/>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38CC31E9"/>
    <w:multiLevelType w:val="hybridMultilevel"/>
    <w:tmpl w:val="0C6AB326"/>
    <w:lvl w:ilvl="0" w:tplc="E1FC1A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CBB133C"/>
    <w:multiLevelType w:val="hybridMultilevel"/>
    <w:tmpl w:val="E9A4C8CA"/>
    <w:lvl w:ilvl="0" w:tplc="5B94CF08">
      <w:start w:val="9"/>
      <w:numFmt w:val="lowerLetter"/>
      <w:lvlText w:val="%1."/>
      <w:lvlJc w:val="left"/>
      <w:pPr>
        <w:ind w:left="5400" w:hanging="360"/>
      </w:pPr>
      <w:rPr>
        <w:rFonts w:hint="default"/>
        <w:b/>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15:restartNumberingAfterBreak="0">
    <w:nsid w:val="41FC32B2"/>
    <w:multiLevelType w:val="hybridMultilevel"/>
    <w:tmpl w:val="5DC253FA"/>
    <w:lvl w:ilvl="0" w:tplc="BC606828">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4EA6730"/>
    <w:multiLevelType w:val="hybridMultilevel"/>
    <w:tmpl w:val="C4BC15FE"/>
    <w:lvl w:ilvl="0" w:tplc="7B9EC51E">
      <w:start w:val="1"/>
      <w:numFmt w:val="lowerRoman"/>
      <w:lvlText w:val="(%1)"/>
      <w:lvlJc w:val="left"/>
      <w:pPr>
        <w:ind w:left="3315" w:hanging="72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7" w15:restartNumberingAfterBreak="0">
    <w:nsid w:val="5C987D1F"/>
    <w:multiLevelType w:val="hybridMultilevel"/>
    <w:tmpl w:val="2F5C4E62"/>
    <w:lvl w:ilvl="0" w:tplc="3BBE6A5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43B46BA"/>
    <w:multiLevelType w:val="hybridMultilevel"/>
    <w:tmpl w:val="4F167438"/>
    <w:lvl w:ilvl="0" w:tplc="69A8C26C">
      <w:start w:val="1"/>
      <w:numFmt w:val="lowerRoman"/>
      <w:lvlText w:val="%1."/>
      <w:lvlJc w:val="left"/>
      <w:pPr>
        <w:ind w:left="3600" w:hanging="720"/>
      </w:pPr>
      <w:rPr>
        <w:rFonts w:hint="default"/>
        <w:b w:val="0"/>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75C72F4B"/>
    <w:multiLevelType w:val="hybridMultilevel"/>
    <w:tmpl w:val="B914CF8E"/>
    <w:lvl w:ilvl="0" w:tplc="04B85098">
      <w:start w:val="5"/>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1"/>
  </w:num>
  <w:num w:numId="2">
    <w:abstractNumId w:val="18"/>
  </w:num>
  <w:num w:numId="3">
    <w:abstractNumId w:val="4"/>
  </w:num>
  <w:num w:numId="4">
    <w:abstractNumId w:val="17"/>
  </w:num>
  <w:num w:numId="5">
    <w:abstractNumId w:val="12"/>
  </w:num>
  <w:num w:numId="6">
    <w:abstractNumId w:val="0"/>
  </w:num>
  <w:num w:numId="7">
    <w:abstractNumId w:val="14"/>
  </w:num>
  <w:num w:numId="8">
    <w:abstractNumId w:val="5"/>
  </w:num>
  <w:num w:numId="9">
    <w:abstractNumId w:val="9"/>
  </w:num>
  <w:num w:numId="10">
    <w:abstractNumId w:val="2"/>
  </w:num>
  <w:num w:numId="11">
    <w:abstractNumId w:val="8"/>
  </w:num>
  <w:num w:numId="12">
    <w:abstractNumId w:val="13"/>
  </w:num>
  <w:num w:numId="13">
    <w:abstractNumId w:val="6"/>
  </w:num>
  <w:num w:numId="14">
    <w:abstractNumId w:val="19"/>
  </w:num>
  <w:num w:numId="15">
    <w:abstractNumId w:val="1"/>
  </w:num>
  <w:num w:numId="16">
    <w:abstractNumId w:val="3"/>
  </w:num>
  <w:num w:numId="17">
    <w:abstractNumId w:val="7"/>
  </w:num>
  <w:num w:numId="18">
    <w:abstractNumId w:val="10"/>
  </w:num>
  <w:num w:numId="19">
    <w:abstractNumId w:val="16"/>
  </w:num>
  <w:num w:numId="2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EC"/>
    <w:rsid w:val="00000D47"/>
    <w:rsid w:val="00001FB4"/>
    <w:rsid w:val="00001FC8"/>
    <w:rsid w:val="00003B2D"/>
    <w:rsid w:val="00006685"/>
    <w:rsid w:val="000066E2"/>
    <w:rsid w:val="00006F35"/>
    <w:rsid w:val="00007982"/>
    <w:rsid w:val="00007FD8"/>
    <w:rsid w:val="00013BDD"/>
    <w:rsid w:val="00013D1D"/>
    <w:rsid w:val="0001436E"/>
    <w:rsid w:val="00014C0A"/>
    <w:rsid w:val="0001650E"/>
    <w:rsid w:val="00016D57"/>
    <w:rsid w:val="0001718F"/>
    <w:rsid w:val="00017852"/>
    <w:rsid w:val="00017BE6"/>
    <w:rsid w:val="00020F0F"/>
    <w:rsid w:val="00021E46"/>
    <w:rsid w:val="00022B74"/>
    <w:rsid w:val="00022DC6"/>
    <w:rsid w:val="00024A98"/>
    <w:rsid w:val="0002524C"/>
    <w:rsid w:val="00025F3F"/>
    <w:rsid w:val="00026774"/>
    <w:rsid w:val="00026CD2"/>
    <w:rsid w:val="00030145"/>
    <w:rsid w:val="00030B0F"/>
    <w:rsid w:val="0003117E"/>
    <w:rsid w:val="000313D0"/>
    <w:rsid w:val="00031B94"/>
    <w:rsid w:val="00033068"/>
    <w:rsid w:val="00033B52"/>
    <w:rsid w:val="00034904"/>
    <w:rsid w:val="00034F74"/>
    <w:rsid w:val="000354BD"/>
    <w:rsid w:val="00035F05"/>
    <w:rsid w:val="00036064"/>
    <w:rsid w:val="00036435"/>
    <w:rsid w:val="00040A8E"/>
    <w:rsid w:val="00040AEA"/>
    <w:rsid w:val="00042587"/>
    <w:rsid w:val="00043D05"/>
    <w:rsid w:val="0004412B"/>
    <w:rsid w:val="00044A74"/>
    <w:rsid w:val="00044F06"/>
    <w:rsid w:val="000461B3"/>
    <w:rsid w:val="0004641A"/>
    <w:rsid w:val="00047172"/>
    <w:rsid w:val="00047874"/>
    <w:rsid w:val="00047F4A"/>
    <w:rsid w:val="00050B61"/>
    <w:rsid w:val="00051B4E"/>
    <w:rsid w:val="000523D1"/>
    <w:rsid w:val="00052760"/>
    <w:rsid w:val="00052B8F"/>
    <w:rsid w:val="00053842"/>
    <w:rsid w:val="00053E6E"/>
    <w:rsid w:val="00054612"/>
    <w:rsid w:val="000547FA"/>
    <w:rsid w:val="0005572E"/>
    <w:rsid w:val="0005618F"/>
    <w:rsid w:val="00056286"/>
    <w:rsid w:val="00056B30"/>
    <w:rsid w:val="00056E1D"/>
    <w:rsid w:val="00060013"/>
    <w:rsid w:val="000612F0"/>
    <w:rsid w:val="000612FD"/>
    <w:rsid w:val="00061CDB"/>
    <w:rsid w:val="0006256D"/>
    <w:rsid w:val="00063C24"/>
    <w:rsid w:val="00063EFD"/>
    <w:rsid w:val="0006423E"/>
    <w:rsid w:val="000642AA"/>
    <w:rsid w:val="000649EC"/>
    <w:rsid w:val="00066475"/>
    <w:rsid w:val="00066C21"/>
    <w:rsid w:val="00066EE5"/>
    <w:rsid w:val="00067260"/>
    <w:rsid w:val="000705D3"/>
    <w:rsid w:val="00071552"/>
    <w:rsid w:val="00072463"/>
    <w:rsid w:val="00072808"/>
    <w:rsid w:val="000729F7"/>
    <w:rsid w:val="00072E0D"/>
    <w:rsid w:val="00075007"/>
    <w:rsid w:val="0007631D"/>
    <w:rsid w:val="00076AB5"/>
    <w:rsid w:val="00076C87"/>
    <w:rsid w:val="00076F35"/>
    <w:rsid w:val="000775D7"/>
    <w:rsid w:val="000814F5"/>
    <w:rsid w:val="00084573"/>
    <w:rsid w:val="00084AF9"/>
    <w:rsid w:val="000852FA"/>
    <w:rsid w:val="00086551"/>
    <w:rsid w:val="00087ABB"/>
    <w:rsid w:val="000918D4"/>
    <w:rsid w:val="0009241A"/>
    <w:rsid w:val="000926F6"/>
    <w:rsid w:val="00093164"/>
    <w:rsid w:val="000935E2"/>
    <w:rsid w:val="00093E0B"/>
    <w:rsid w:val="00094719"/>
    <w:rsid w:val="00094D20"/>
    <w:rsid w:val="00095221"/>
    <w:rsid w:val="00095AFC"/>
    <w:rsid w:val="0009612D"/>
    <w:rsid w:val="00097287"/>
    <w:rsid w:val="00097504"/>
    <w:rsid w:val="00097EB2"/>
    <w:rsid w:val="000A0E1A"/>
    <w:rsid w:val="000A0FF4"/>
    <w:rsid w:val="000A16D1"/>
    <w:rsid w:val="000A1C28"/>
    <w:rsid w:val="000A1D94"/>
    <w:rsid w:val="000A365D"/>
    <w:rsid w:val="000A3E2E"/>
    <w:rsid w:val="000A516C"/>
    <w:rsid w:val="000A61DF"/>
    <w:rsid w:val="000A6366"/>
    <w:rsid w:val="000A6950"/>
    <w:rsid w:val="000A6AB8"/>
    <w:rsid w:val="000A773C"/>
    <w:rsid w:val="000B0523"/>
    <w:rsid w:val="000B1148"/>
    <w:rsid w:val="000B216D"/>
    <w:rsid w:val="000B2647"/>
    <w:rsid w:val="000B2755"/>
    <w:rsid w:val="000B2D29"/>
    <w:rsid w:val="000B3A37"/>
    <w:rsid w:val="000B4EAE"/>
    <w:rsid w:val="000B5238"/>
    <w:rsid w:val="000B607A"/>
    <w:rsid w:val="000B61A9"/>
    <w:rsid w:val="000B67F1"/>
    <w:rsid w:val="000B683B"/>
    <w:rsid w:val="000B6B15"/>
    <w:rsid w:val="000B6F43"/>
    <w:rsid w:val="000B764E"/>
    <w:rsid w:val="000B7AB8"/>
    <w:rsid w:val="000C07DB"/>
    <w:rsid w:val="000C22D0"/>
    <w:rsid w:val="000C29B6"/>
    <w:rsid w:val="000C2AE3"/>
    <w:rsid w:val="000C3C90"/>
    <w:rsid w:val="000C557B"/>
    <w:rsid w:val="000C58B5"/>
    <w:rsid w:val="000C6004"/>
    <w:rsid w:val="000C6540"/>
    <w:rsid w:val="000C7084"/>
    <w:rsid w:val="000C709A"/>
    <w:rsid w:val="000D0787"/>
    <w:rsid w:val="000D0E07"/>
    <w:rsid w:val="000D107A"/>
    <w:rsid w:val="000D19F4"/>
    <w:rsid w:val="000D1E31"/>
    <w:rsid w:val="000D252D"/>
    <w:rsid w:val="000D2E0E"/>
    <w:rsid w:val="000D40CB"/>
    <w:rsid w:val="000D4B32"/>
    <w:rsid w:val="000D5842"/>
    <w:rsid w:val="000D5967"/>
    <w:rsid w:val="000D6D49"/>
    <w:rsid w:val="000E1491"/>
    <w:rsid w:val="000E14CF"/>
    <w:rsid w:val="000E3E09"/>
    <w:rsid w:val="000E527F"/>
    <w:rsid w:val="000E52ED"/>
    <w:rsid w:val="000E6F80"/>
    <w:rsid w:val="000F179E"/>
    <w:rsid w:val="000F209C"/>
    <w:rsid w:val="000F22AB"/>
    <w:rsid w:val="000F4251"/>
    <w:rsid w:val="000F4307"/>
    <w:rsid w:val="000F65C0"/>
    <w:rsid w:val="000F799D"/>
    <w:rsid w:val="000F7EF9"/>
    <w:rsid w:val="001004BC"/>
    <w:rsid w:val="00100E2F"/>
    <w:rsid w:val="00101288"/>
    <w:rsid w:val="0010158F"/>
    <w:rsid w:val="00101F51"/>
    <w:rsid w:val="0010248D"/>
    <w:rsid w:val="0010252C"/>
    <w:rsid w:val="001026CA"/>
    <w:rsid w:val="0010324E"/>
    <w:rsid w:val="00104272"/>
    <w:rsid w:val="00104A5C"/>
    <w:rsid w:val="00104D9B"/>
    <w:rsid w:val="00105628"/>
    <w:rsid w:val="00106BA5"/>
    <w:rsid w:val="0011048F"/>
    <w:rsid w:val="001106D2"/>
    <w:rsid w:val="001108C1"/>
    <w:rsid w:val="0011250E"/>
    <w:rsid w:val="00116933"/>
    <w:rsid w:val="00116B16"/>
    <w:rsid w:val="001176C8"/>
    <w:rsid w:val="001177AE"/>
    <w:rsid w:val="00117CB2"/>
    <w:rsid w:val="001201FA"/>
    <w:rsid w:val="00120892"/>
    <w:rsid w:val="00120B39"/>
    <w:rsid w:val="00120DA4"/>
    <w:rsid w:val="00120F1E"/>
    <w:rsid w:val="001224AC"/>
    <w:rsid w:val="001235EB"/>
    <w:rsid w:val="001238E5"/>
    <w:rsid w:val="00123A2E"/>
    <w:rsid w:val="00124071"/>
    <w:rsid w:val="001267D4"/>
    <w:rsid w:val="0012768D"/>
    <w:rsid w:val="001307E7"/>
    <w:rsid w:val="00130E65"/>
    <w:rsid w:val="00130E7E"/>
    <w:rsid w:val="0013163B"/>
    <w:rsid w:val="00132DE6"/>
    <w:rsid w:val="001333D7"/>
    <w:rsid w:val="0013344A"/>
    <w:rsid w:val="00133526"/>
    <w:rsid w:val="00134A14"/>
    <w:rsid w:val="00134EA1"/>
    <w:rsid w:val="00135429"/>
    <w:rsid w:val="001357D9"/>
    <w:rsid w:val="00135972"/>
    <w:rsid w:val="001360FC"/>
    <w:rsid w:val="00141065"/>
    <w:rsid w:val="001429F9"/>
    <w:rsid w:val="00142C14"/>
    <w:rsid w:val="001431AC"/>
    <w:rsid w:val="001446A2"/>
    <w:rsid w:val="001447A0"/>
    <w:rsid w:val="001447B2"/>
    <w:rsid w:val="0014497F"/>
    <w:rsid w:val="00144AAC"/>
    <w:rsid w:val="00145BC5"/>
    <w:rsid w:val="00146DDD"/>
    <w:rsid w:val="00146E58"/>
    <w:rsid w:val="00146F94"/>
    <w:rsid w:val="00147128"/>
    <w:rsid w:val="00147145"/>
    <w:rsid w:val="001473B4"/>
    <w:rsid w:val="001473DA"/>
    <w:rsid w:val="00150096"/>
    <w:rsid w:val="001508E4"/>
    <w:rsid w:val="00150AD2"/>
    <w:rsid w:val="00151981"/>
    <w:rsid w:val="001528EB"/>
    <w:rsid w:val="00152B0D"/>
    <w:rsid w:val="0015380A"/>
    <w:rsid w:val="0015437D"/>
    <w:rsid w:val="00154CB6"/>
    <w:rsid w:val="00155811"/>
    <w:rsid w:val="00155F91"/>
    <w:rsid w:val="001560BC"/>
    <w:rsid w:val="00156C14"/>
    <w:rsid w:val="001570A3"/>
    <w:rsid w:val="00161459"/>
    <w:rsid w:val="00162C1C"/>
    <w:rsid w:val="001630DB"/>
    <w:rsid w:val="00163E75"/>
    <w:rsid w:val="00164DA4"/>
    <w:rsid w:val="00165196"/>
    <w:rsid w:val="00165C9D"/>
    <w:rsid w:val="001660C8"/>
    <w:rsid w:val="00166298"/>
    <w:rsid w:val="001663C8"/>
    <w:rsid w:val="00170DD2"/>
    <w:rsid w:val="0017140C"/>
    <w:rsid w:val="001717B8"/>
    <w:rsid w:val="00171E36"/>
    <w:rsid w:val="001736C0"/>
    <w:rsid w:val="00174BD1"/>
    <w:rsid w:val="00174BEE"/>
    <w:rsid w:val="00174D3D"/>
    <w:rsid w:val="00176675"/>
    <w:rsid w:val="0017774C"/>
    <w:rsid w:val="001800B3"/>
    <w:rsid w:val="001801DE"/>
    <w:rsid w:val="0018023B"/>
    <w:rsid w:val="00180E31"/>
    <w:rsid w:val="00180E5D"/>
    <w:rsid w:val="00182478"/>
    <w:rsid w:val="00182A12"/>
    <w:rsid w:val="00182BEF"/>
    <w:rsid w:val="00182C1E"/>
    <w:rsid w:val="001836C4"/>
    <w:rsid w:val="00184083"/>
    <w:rsid w:val="00184CDF"/>
    <w:rsid w:val="001852F8"/>
    <w:rsid w:val="00185C7A"/>
    <w:rsid w:val="001865B4"/>
    <w:rsid w:val="0018693D"/>
    <w:rsid w:val="00186A97"/>
    <w:rsid w:val="00187AB9"/>
    <w:rsid w:val="00187E39"/>
    <w:rsid w:val="0019126C"/>
    <w:rsid w:val="00193F0E"/>
    <w:rsid w:val="0019530E"/>
    <w:rsid w:val="00195F2E"/>
    <w:rsid w:val="00196A1B"/>
    <w:rsid w:val="00197881"/>
    <w:rsid w:val="00197E65"/>
    <w:rsid w:val="001A1A1C"/>
    <w:rsid w:val="001A56F8"/>
    <w:rsid w:val="001A5D6B"/>
    <w:rsid w:val="001A7389"/>
    <w:rsid w:val="001A7D31"/>
    <w:rsid w:val="001A7DC7"/>
    <w:rsid w:val="001B17C4"/>
    <w:rsid w:val="001B1DB4"/>
    <w:rsid w:val="001B1E43"/>
    <w:rsid w:val="001B212F"/>
    <w:rsid w:val="001B2DA2"/>
    <w:rsid w:val="001B2DB4"/>
    <w:rsid w:val="001B459D"/>
    <w:rsid w:val="001B46B7"/>
    <w:rsid w:val="001B5BAC"/>
    <w:rsid w:val="001B6DDC"/>
    <w:rsid w:val="001B7714"/>
    <w:rsid w:val="001C027C"/>
    <w:rsid w:val="001C151E"/>
    <w:rsid w:val="001C227F"/>
    <w:rsid w:val="001C2770"/>
    <w:rsid w:val="001C3449"/>
    <w:rsid w:val="001C3B2E"/>
    <w:rsid w:val="001C4124"/>
    <w:rsid w:val="001C4978"/>
    <w:rsid w:val="001C644E"/>
    <w:rsid w:val="001C77A0"/>
    <w:rsid w:val="001D0ED2"/>
    <w:rsid w:val="001D10A2"/>
    <w:rsid w:val="001D1251"/>
    <w:rsid w:val="001D2900"/>
    <w:rsid w:val="001D5579"/>
    <w:rsid w:val="001D5AF4"/>
    <w:rsid w:val="001D5B8B"/>
    <w:rsid w:val="001D6187"/>
    <w:rsid w:val="001D7A84"/>
    <w:rsid w:val="001E0B61"/>
    <w:rsid w:val="001E1272"/>
    <w:rsid w:val="001E1276"/>
    <w:rsid w:val="001E1434"/>
    <w:rsid w:val="001E19F1"/>
    <w:rsid w:val="001E1F34"/>
    <w:rsid w:val="001E3BB8"/>
    <w:rsid w:val="001E48E1"/>
    <w:rsid w:val="001E5CD1"/>
    <w:rsid w:val="001E5E56"/>
    <w:rsid w:val="001E6A71"/>
    <w:rsid w:val="001F1031"/>
    <w:rsid w:val="001F105A"/>
    <w:rsid w:val="001F1756"/>
    <w:rsid w:val="001F281D"/>
    <w:rsid w:val="001F285E"/>
    <w:rsid w:val="001F3471"/>
    <w:rsid w:val="001F39BF"/>
    <w:rsid w:val="001F475A"/>
    <w:rsid w:val="001F50F9"/>
    <w:rsid w:val="0020003B"/>
    <w:rsid w:val="0020186F"/>
    <w:rsid w:val="00201875"/>
    <w:rsid w:val="00202524"/>
    <w:rsid w:val="00202C49"/>
    <w:rsid w:val="00204725"/>
    <w:rsid w:val="00205134"/>
    <w:rsid w:val="0020573D"/>
    <w:rsid w:val="0020720F"/>
    <w:rsid w:val="00210340"/>
    <w:rsid w:val="00210736"/>
    <w:rsid w:val="00210739"/>
    <w:rsid w:val="00210A28"/>
    <w:rsid w:val="00210F81"/>
    <w:rsid w:val="00211622"/>
    <w:rsid w:val="0021170B"/>
    <w:rsid w:val="002118EB"/>
    <w:rsid w:val="00211B2E"/>
    <w:rsid w:val="002121E1"/>
    <w:rsid w:val="00212860"/>
    <w:rsid w:val="002130D9"/>
    <w:rsid w:val="00213F46"/>
    <w:rsid w:val="00214B3E"/>
    <w:rsid w:val="00215338"/>
    <w:rsid w:val="002167B8"/>
    <w:rsid w:val="00216B8A"/>
    <w:rsid w:val="00216D55"/>
    <w:rsid w:val="0021782E"/>
    <w:rsid w:val="00220B73"/>
    <w:rsid w:val="00220F9C"/>
    <w:rsid w:val="00221DE4"/>
    <w:rsid w:val="00222EC3"/>
    <w:rsid w:val="0022308C"/>
    <w:rsid w:val="00223355"/>
    <w:rsid w:val="00223F24"/>
    <w:rsid w:val="00224DEA"/>
    <w:rsid w:val="00225070"/>
    <w:rsid w:val="00226273"/>
    <w:rsid w:val="0022697C"/>
    <w:rsid w:val="0022698E"/>
    <w:rsid w:val="002274D5"/>
    <w:rsid w:val="00227912"/>
    <w:rsid w:val="00227965"/>
    <w:rsid w:val="00230513"/>
    <w:rsid w:val="002311EE"/>
    <w:rsid w:val="002318DE"/>
    <w:rsid w:val="0023219A"/>
    <w:rsid w:val="00232B57"/>
    <w:rsid w:val="00233877"/>
    <w:rsid w:val="00233BDD"/>
    <w:rsid w:val="00233EF3"/>
    <w:rsid w:val="00234CE8"/>
    <w:rsid w:val="0023542F"/>
    <w:rsid w:val="002370F5"/>
    <w:rsid w:val="00237F50"/>
    <w:rsid w:val="00240ACA"/>
    <w:rsid w:val="00240D7B"/>
    <w:rsid w:val="00240D92"/>
    <w:rsid w:val="00240EC7"/>
    <w:rsid w:val="00241299"/>
    <w:rsid w:val="002416B0"/>
    <w:rsid w:val="002429A2"/>
    <w:rsid w:val="00243085"/>
    <w:rsid w:val="002434E3"/>
    <w:rsid w:val="0024352B"/>
    <w:rsid w:val="00244F2E"/>
    <w:rsid w:val="0024570E"/>
    <w:rsid w:val="00245B48"/>
    <w:rsid w:val="00247AFA"/>
    <w:rsid w:val="0025013B"/>
    <w:rsid w:val="002529D1"/>
    <w:rsid w:val="00252CE4"/>
    <w:rsid w:val="00252E54"/>
    <w:rsid w:val="002534FF"/>
    <w:rsid w:val="0025430F"/>
    <w:rsid w:val="00255462"/>
    <w:rsid w:val="00260957"/>
    <w:rsid w:val="00261013"/>
    <w:rsid w:val="00261854"/>
    <w:rsid w:val="00263BC1"/>
    <w:rsid w:val="00263CCD"/>
    <w:rsid w:val="00264378"/>
    <w:rsid w:val="00264646"/>
    <w:rsid w:val="00265320"/>
    <w:rsid w:val="0026641A"/>
    <w:rsid w:val="0026671B"/>
    <w:rsid w:val="00267A91"/>
    <w:rsid w:val="00270624"/>
    <w:rsid w:val="00270BC0"/>
    <w:rsid w:val="00270E3B"/>
    <w:rsid w:val="0027232D"/>
    <w:rsid w:val="00272946"/>
    <w:rsid w:val="00273782"/>
    <w:rsid w:val="00274A77"/>
    <w:rsid w:val="00274D0F"/>
    <w:rsid w:val="00275297"/>
    <w:rsid w:val="002763CC"/>
    <w:rsid w:val="002770E4"/>
    <w:rsid w:val="00277500"/>
    <w:rsid w:val="002811EA"/>
    <w:rsid w:val="00281A5F"/>
    <w:rsid w:val="00282CAA"/>
    <w:rsid w:val="00282E4A"/>
    <w:rsid w:val="00283C10"/>
    <w:rsid w:val="00283C96"/>
    <w:rsid w:val="002850F7"/>
    <w:rsid w:val="00285776"/>
    <w:rsid w:val="00285918"/>
    <w:rsid w:val="00286009"/>
    <w:rsid w:val="002861FA"/>
    <w:rsid w:val="002915C6"/>
    <w:rsid w:val="00291F68"/>
    <w:rsid w:val="00293CD5"/>
    <w:rsid w:val="00294284"/>
    <w:rsid w:val="002950D1"/>
    <w:rsid w:val="00296421"/>
    <w:rsid w:val="002A060A"/>
    <w:rsid w:val="002A0BDA"/>
    <w:rsid w:val="002A1F0B"/>
    <w:rsid w:val="002A3C2C"/>
    <w:rsid w:val="002A41B1"/>
    <w:rsid w:val="002A4450"/>
    <w:rsid w:val="002A46C2"/>
    <w:rsid w:val="002A5B35"/>
    <w:rsid w:val="002A5FE2"/>
    <w:rsid w:val="002A6750"/>
    <w:rsid w:val="002A679B"/>
    <w:rsid w:val="002A7607"/>
    <w:rsid w:val="002B1CCF"/>
    <w:rsid w:val="002B20C1"/>
    <w:rsid w:val="002B2296"/>
    <w:rsid w:val="002B2812"/>
    <w:rsid w:val="002B3DEF"/>
    <w:rsid w:val="002B4407"/>
    <w:rsid w:val="002B4D91"/>
    <w:rsid w:val="002B67B7"/>
    <w:rsid w:val="002B6CE3"/>
    <w:rsid w:val="002B7932"/>
    <w:rsid w:val="002B7B6E"/>
    <w:rsid w:val="002C0429"/>
    <w:rsid w:val="002C0F76"/>
    <w:rsid w:val="002C19E4"/>
    <w:rsid w:val="002C2364"/>
    <w:rsid w:val="002C27BB"/>
    <w:rsid w:val="002C28B4"/>
    <w:rsid w:val="002C3E0C"/>
    <w:rsid w:val="002C5BC1"/>
    <w:rsid w:val="002C5D9E"/>
    <w:rsid w:val="002C60AE"/>
    <w:rsid w:val="002C6BBC"/>
    <w:rsid w:val="002C6CC4"/>
    <w:rsid w:val="002C78EF"/>
    <w:rsid w:val="002D13C4"/>
    <w:rsid w:val="002D275E"/>
    <w:rsid w:val="002D2866"/>
    <w:rsid w:val="002D2E3D"/>
    <w:rsid w:val="002D30BF"/>
    <w:rsid w:val="002D4678"/>
    <w:rsid w:val="002D5EB4"/>
    <w:rsid w:val="002D6357"/>
    <w:rsid w:val="002D6BF1"/>
    <w:rsid w:val="002D7584"/>
    <w:rsid w:val="002D7A73"/>
    <w:rsid w:val="002E0A07"/>
    <w:rsid w:val="002E1203"/>
    <w:rsid w:val="002E1BB0"/>
    <w:rsid w:val="002E2855"/>
    <w:rsid w:val="002E2906"/>
    <w:rsid w:val="002E293D"/>
    <w:rsid w:val="002E3026"/>
    <w:rsid w:val="002E3F06"/>
    <w:rsid w:val="002E662C"/>
    <w:rsid w:val="002E6FFA"/>
    <w:rsid w:val="002E730D"/>
    <w:rsid w:val="002E7F8F"/>
    <w:rsid w:val="002F1C37"/>
    <w:rsid w:val="002F35E1"/>
    <w:rsid w:val="002F3F04"/>
    <w:rsid w:val="002F41BA"/>
    <w:rsid w:val="002F636B"/>
    <w:rsid w:val="002F6FB4"/>
    <w:rsid w:val="002F7ACC"/>
    <w:rsid w:val="003018AA"/>
    <w:rsid w:val="00301ED3"/>
    <w:rsid w:val="00302701"/>
    <w:rsid w:val="003031B5"/>
    <w:rsid w:val="00303B99"/>
    <w:rsid w:val="00303BCA"/>
    <w:rsid w:val="00305257"/>
    <w:rsid w:val="00305914"/>
    <w:rsid w:val="0030613E"/>
    <w:rsid w:val="00306383"/>
    <w:rsid w:val="003065DA"/>
    <w:rsid w:val="0030714F"/>
    <w:rsid w:val="003073E2"/>
    <w:rsid w:val="003078B4"/>
    <w:rsid w:val="00307DDF"/>
    <w:rsid w:val="003109E9"/>
    <w:rsid w:val="00311845"/>
    <w:rsid w:val="00311A19"/>
    <w:rsid w:val="0031204C"/>
    <w:rsid w:val="0031247D"/>
    <w:rsid w:val="00312E5B"/>
    <w:rsid w:val="00313936"/>
    <w:rsid w:val="00313FA6"/>
    <w:rsid w:val="00314A43"/>
    <w:rsid w:val="00314A52"/>
    <w:rsid w:val="003155D9"/>
    <w:rsid w:val="003164D0"/>
    <w:rsid w:val="003165A6"/>
    <w:rsid w:val="00316A4B"/>
    <w:rsid w:val="00316AD9"/>
    <w:rsid w:val="00316B23"/>
    <w:rsid w:val="00316E54"/>
    <w:rsid w:val="00321601"/>
    <w:rsid w:val="00321D6B"/>
    <w:rsid w:val="00322040"/>
    <w:rsid w:val="00322087"/>
    <w:rsid w:val="003240B8"/>
    <w:rsid w:val="00325422"/>
    <w:rsid w:val="0032696E"/>
    <w:rsid w:val="00326BE5"/>
    <w:rsid w:val="003273DA"/>
    <w:rsid w:val="00327857"/>
    <w:rsid w:val="00327E58"/>
    <w:rsid w:val="00327E6A"/>
    <w:rsid w:val="00327E94"/>
    <w:rsid w:val="00331450"/>
    <w:rsid w:val="00331765"/>
    <w:rsid w:val="00333FDA"/>
    <w:rsid w:val="003340DE"/>
    <w:rsid w:val="00336444"/>
    <w:rsid w:val="003366C8"/>
    <w:rsid w:val="00336C18"/>
    <w:rsid w:val="00340D19"/>
    <w:rsid w:val="00340DCA"/>
    <w:rsid w:val="003416EE"/>
    <w:rsid w:val="0034265C"/>
    <w:rsid w:val="00342B63"/>
    <w:rsid w:val="00343BDE"/>
    <w:rsid w:val="0034458C"/>
    <w:rsid w:val="00344804"/>
    <w:rsid w:val="00345387"/>
    <w:rsid w:val="00347446"/>
    <w:rsid w:val="00347808"/>
    <w:rsid w:val="0034796E"/>
    <w:rsid w:val="00347B93"/>
    <w:rsid w:val="00350119"/>
    <w:rsid w:val="00350250"/>
    <w:rsid w:val="00350772"/>
    <w:rsid w:val="003518C8"/>
    <w:rsid w:val="003533B5"/>
    <w:rsid w:val="00353DCF"/>
    <w:rsid w:val="0035463C"/>
    <w:rsid w:val="003549AD"/>
    <w:rsid w:val="00354E1F"/>
    <w:rsid w:val="00356C79"/>
    <w:rsid w:val="00360236"/>
    <w:rsid w:val="0036143E"/>
    <w:rsid w:val="003614C7"/>
    <w:rsid w:val="003622CA"/>
    <w:rsid w:val="003625CF"/>
    <w:rsid w:val="00363030"/>
    <w:rsid w:val="00363640"/>
    <w:rsid w:val="00363712"/>
    <w:rsid w:val="00364133"/>
    <w:rsid w:val="0036462C"/>
    <w:rsid w:val="00364A42"/>
    <w:rsid w:val="00364CA7"/>
    <w:rsid w:val="0036513D"/>
    <w:rsid w:val="00365DDC"/>
    <w:rsid w:val="00366984"/>
    <w:rsid w:val="003703DC"/>
    <w:rsid w:val="00370B54"/>
    <w:rsid w:val="00370F13"/>
    <w:rsid w:val="003716A9"/>
    <w:rsid w:val="003720C7"/>
    <w:rsid w:val="00374035"/>
    <w:rsid w:val="003741B8"/>
    <w:rsid w:val="003755FB"/>
    <w:rsid w:val="0037577C"/>
    <w:rsid w:val="0037638E"/>
    <w:rsid w:val="003768A1"/>
    <w:rsid w:val="003774F8"/>
    <w:rsid w:val="003779BD"/>
    <w:rsid w:val="0038018F"/>
    <w:rsid w:val="00380275"/>
    <w:rsid w:val="00380E99"/>
    <w:rsid w:val="00382CC5"/>
    <w:rsid w:val="00385502"/>
    <w:rsid w:val="00385B85"/>
    <w:rsid w:val="0038610B"/>
    <w:rsid w:val="0039007F"/>
    <w:rsid w:val="00391A43"/>
    <w:rsid w:val="00392A0A"/>
    <w:rsid w:val="0039310C"/>
    <w:rsid w:val="00393C88"/>
    <w:rsid w:val="0039702C"/>
    <w:rsid w:val="00397A2F"/>
    <w:rsid w:val="00397D4C"/>
    <w:rsid w:val="003A10C8"/>
    <w:rsid w:val="003A1C8A"/>
    <w:rsid w:val="003A2C14"/>
    <w:rsid w:val="003A2D6D"/>
    <w:rsid w:val="003A4072"/>
    <w:rsid w:val="003A48C8"/>
    <w:rsid w:val="003A6214"/>
    <w:rsid w:val="003B00E1"/>
    <w:rsid w:val="003B0611"/>
    <w:rsid w:val="003B0D11"/>
    <w:rsid w:val="003B3316"/>
    <w:rsid w:val="003B397A"/>
    <w:rsid w:val="003B3E70"/>
    <w:rsid w:val="003B42D9"/>
    <w:rsid w:val="003B5543"/>
    <w:rsid w:val="003B57BF"/>
    <w:rsid w:val="003B621D"/>
    <w:rsid w:val="003B706B"/>
    <w:rsid w:val="003B7430"/>
    <w:rsid w:val="003C0FDA"/>
    <w:rsid w:val="003C14E6"/>
    <w:rsid w:val="003C1ADC"/>
    <w:rsid w:val="003C2BEC"/>
    <w:rsid w:val="003C3140"/>
    <w:rsid w:val="003C3599"/>
    <w:rsid w:val="003C3E02"/>
    <w:rsid w:val="003C3FE8"/>
    <w:rsid w:val="003C401D"/>
    <w:rsid w:val="003C44E4"/>
    <w:rsid w:val="003C4D05"/>
    <w:rsid w:val="003C59A5"/>
    <w:rsid w:val="003C73F9"/>
    <w:rsid w:val="003C76C3"/>
    <w:rsid w:val="003D146D"/>
    <w:rsid w:val="003D1842"/>
    <w:rsid w:val="003D222D"/>
    <w:rsid w:val="003D2C31"/>
    <w:rsid w:val="003D37C8"/>
    <w:rsid w:val="003D3CE6"/>
    <w:rsid w:val="003D5F07"/>
    <w:rsid w:val="003D6AB5"/>
    <w:rsid w:val="003D7A00"/>
    <w:rsid w:val="003D7F67"/>
    <w:rsid w:val="003E09C5"/>
    <w:rsid w:val="003E3B89"/>
    <w:rsid w:val="003E3FF5"/>
    <w:rsid w:val="003E4032"/>
    <w:rsid w:val="003E5354"/>
    <w:rsid w:val="003E62C2"/>
    <w:rsid w:val="003E6C47"/>
    <w:rsid w:val="003E7709"/>
    <w:rsid w:val="003E7F85"/>
    <w:rsid w:val="003F2E25"/>
    <w:rsid w:val="003F4138"/>
    <w:rsid w:val="003F41B0"/>
    <w:rsid w:val="003F51F4"/>
    <w:rsid w:val="003F52C6"/>
    <w:rsid w:val="003F558E"/>
    <w:rsid w:val="003F55AB"/>
    <w:rsid w:val="003F75F1"/>
    <w:rsid w:val="00400485"/>
    <w:rsid w:val="004004AC"/>
    <w:rsid w:val="00401EB2"/>
    <w:rsid w:val="004027CA"/>
    <w:rsid w:val="00403D6E"/>
    <w:rsid w:val="00404020"/>
    <w:rsid w:val="00404E93"/>
    <w:rsid w:val="00405F5B"/>
    <w:rsid w:val="00407AC0"/>
    <w:rsid w:val="00407EAB"/>
    <w:rsid w:val="00410578"/>
    <w:rsid w:val="0041146F"/>
    <w:rsid w:val="00412E30"/>
    <w:rsid w:val="004136E6"/>
    <w:rsid w:val="004144CB"/>
    <w:rsid w:val="004161D7"/>
    <w:rsid w:val="00416A2A"/>
    <w:rsid w:val="004170AF"/>
    <w:rsid w:val="00417B03"/>
    <w:rsid w:val="00422847"/>
    <w:rsid w:val="00423D2D"/>
    <w:rsid w:val="00425268"/>
    <w:rsid w:val="00425484"/>
    <w:rsid w:val="00430EE8"/>
    <w:rsid w:val="00431FFE"/>
    <w:rsid w:val="00432BB7"/>
    <w:rsid w:val="00432D60"/>
    <w:rsid w:val="00432F67"/>
    <w:rsid w:val="00433057"/>
    <w:rsid w:val="004331E9"/>
    <w:rsid w:val="00433E8D"/>
    <w:rsid w:val="004355A1"/>
    <w:rsid w:val="0043592C"/>
    <w:rsid w:val="00435D50"/>
    <w:rsid w:val="00435E6A"/>
    <w:rsid w:val="00437FC4"/>
    <w:rsid w:val="004411B9"/>
    <w:rsid w:val="00441207"/>
    <w:rsid w:val="00441597"/>
    <w:rsid w:val="004422CA"/>
    <w:rsid w:val="00443578"/>
    <w:rsid w:val="00443807"/>
    <w:rsid w:val="00443E78"/>
    <w:rsid w:val="00443EC1"/>
    <w:rsid w:val="00443F8B"/>
    <w:rsid w:val="004441EA"/>
    <w:rsid w:val="004462F7"/>
    <w:rsid w:val="00450DF7"/>
    <w:rsid w:val="00453620"/>
    <w:rsid w:val="00453D57"/>
    <w:rsid w:val="0045515D"/>
    <w:rsid w:val="004559BA"/>
    <w:rsid w:val="00457EE0"/>
    <w:rsid w:val="0046019C"/>
    <w:rsid w:val="0046019D"/>
    <w:rsid w:val="004604C7"/>
    <w:rsid w:val="00460DA6"/>
    <w:rsid w:val="00461294"/>
    <w:rsid w:val="00463426"/>
    <w:rsid w:val="0046366B"/>
    <w:rsid w:val="00464536"/>
    <w:rsid w:val="0046514E"/>
    <w:rsid w:val="0046517C"/>
    <w:rsid w:val="00465373"/>
    <w:rsid w:val="00465FA4"/>
    <w:rsid w:val="0046623C"/>
    <w:rsid w:val="00466603"/>
    <w:rsid w:val="00466666"/>
    <w:rsid w:val="004667AF"/>
    <w:rsid w:val="00466AE8"/>
    <w:rsid w:val="00467739"/>
    <w:rsid w:val="0047061D"/>
    <w:rsid w:val="00470A17"/>
    <w:rsid w:val="00470D0C"/>
    <w:rsid w:val="00471706"/>
    <w:rsid w:val="00471EFA"/>
    <w:rsid w:val="004730C6"/>
    <w:rsid w:val="00474E22"/>
    <w:rsid w:val="00474E5C"/>
    <w:rsid w:val="004758FF"/>
    <w:rsid w:val="00475B9B"/>
    <w:rsid w:val="0047608F"/>
    <w:rsid w:val="004762AD"/>
    <w:rsid w:val="00476554"/>
    <w:rsid w:val="004766C7"/>
    <w:rsid w:val="00476C61"/>
    <w:rsid w:val="00477DDA"/>
    <w:rsid w:val="004813D4"/>
    <w:rsid w:val="004814BC"/>
    <w:rsid w:val="0048241B"/>
    <w:rsid w:val="00482530"/>
    <w:rsid w:val="00483DF7"/>
    <w:rsid w:val="00484F5A"/>
    <w:rsid w:val="0048688D"/>
    <w:rsid w:val="004870CC"/>
    <w:rsid w:val="0049146A"/>
    <w:rsid w:val="00491715"/>
    <w:rsid w:val="00491C9B"/>
    <w:rsid w:val="00491D91"/>
    <w:rsid w:val="0049348A"/>
    <w:rsid w:val="00493FF5"/>
    <w:rsid w:val="0049446F"/>
    <w:rsid w:val="0049580C"/>
    <w:rsid w:val="00496225"/>
    <w:rsid w:val="00496391"/>
    <w:rsid w:val="0049768F"/>
    <w:rsid w:val="00497EFC"/>
    <w:rsid w:val="004A04E5"/>
    <w:rsid w:val="004A098F"/>
    <w:rsid w:val="004A1495"/>
    <w:rsid w:val="004A2165"/>
    <w:rsid w:val="004A24FC"/>
    <w:rsid w:val="004A2CE9"/>
    <w:rsid w:val="004A4B7F"/>
    <w:rsid w:val="004A5F74"/>
    <w:rsid w:val="004B0AD1"/>
    <w:rsid w:val="004B0FA7"/>
    <w:rsid w:val="004B1052"/>
    <w:rsid w:val="004B1D0E"/>
    <w:rsid w:val="004B4A94"/>
    <w:rsid w:val="004B4CA7"/>
    <w:rsid w:val="004B5108"/>
    <w:rsid w:val="004B6B14"/>
    <w:rsid w:val="004B6DC1"/>
    <w:rsid w:val="004B783B"/>
    <w:rsid w:val="004B7B3A"/>
    <w:rsid w:val="004B7ECB"/>
    <w:rsid w:val="004C0B6A"/>
    <w:rsid w:val="004C0CF7"/>
    <w:rsid w:val="004C1BC5"/>
    <w:rsid w:val="004C29F8"/>
    <w:rsid w:val="004C4611"/>
    <w:rsid w:val="004C4B17"/>
    <w:rsid w:val="004C5DAF"/>
    <w:rsid w:val="004C615D"/>
    <w:rsid w:val="004C725F"/>
    <w:rsid w:val="004C75D3"/>
    <w:rsid w:val="004C7AB9"/>
    <w:rsid w:val="004D0317"/>
    <w:rsid w:val="004D0493"/>
    <w:rsid w:val="004D04A7"/>
    <w:rsid w:val="004D159A"/>
    <w:rsid w:val="004D1BA5"/>
    <w:rsid w:val="004D3F65"/>
    <w:rsid w:val="004D4410"/>
    <w:rsid w:val="004D5384"/>
    <w:rsid w:val="004D5F5B"/>
    <w:rsid w:val="004D71E9"/>
    <w:rsid w:val="004E06AF"/>
    <w:rsid w:val="004E47EC"/>
    <w:rsid w:val="004E4BCE"/>
    <w:rsid w:val="004E514F"/>
    <w:rsid w:val="004E6DE6"/>
    <w:rsid w:val="004E737F"/>
    <w:rsid w:val="004E79AE"/>
    <w:rsid w:val="004E7B21"/>
    <w:rsid w:val="004E7C8C"/>
    <w:rsid w:val="004F03DE"/>
    <w:rsid w:val="004F042A"/>
    <w:rsid w:val="004F06B3"/>
    <w:rsid w:val="004F095D"/>
    <w:rsid w:val="004F0ABA"/>
    <w:rsid w:val="004F18EA"/>
    <w:rsid w:val="004F22DA"/>
    <w:rsid w:val="004F2433"/>
    <w:rsid w:val="004F3648"/>
    <w:rsid w:val="004F4709"/>
    <w:rsid w:val="004F54F7"/>
    <w:rsid w:val="004F5D68"/>
    <w:rsid w:val="004F6992"/>
    <w:rsid w:val="005001A4"/>
    <w:rsid w:val="00500429"/>
    <w:rsid w:val="0050068D"/>
    <w:rsid w:val="00502165"/>
    <w:rsid w:val="0050235D"/>
    <w:rsid w:val="00502B96"/>
    <w:rsid w:val="00503F26"/>
    <w:rsid w:val="00504834"/>
    <w:rsid w:val="00504C7A"/>
    <w:rsid w:val="00505012"/>
    <w:rsid w:val="005055ED"/>
    <w:rsid w:val="00505A8D"/>
    <w:rsid w:val="00505AEE"/>
    <w:rsid w:val="0050632E"/>
    <w:rsid w:val="0050752D"/>
    <w:rsid w:val="00507671"/>
    <w:rsid w:val="00510F4B"/>
    <w:rsid w:val="0051199F"/>
    <w:rsid w:val="00511EF3"/>
    <w:rsid w:val="0051207B"/>
    <w:rsid w:val="005124F7"/>
    <w:rsid w:val="00512522"/>
    <w:rsid w:val="00512857"/>
    <w:rsid w:val="005129A7"/>
    <w:rsid w:val="005135D1"/>
    <w:rsid w:val="005136DA"/>
    <w:rsid w:val="00514507"/>
    <w:rsid w:val="005149C0"/>
    <w:rsid w:val="00514E8A"/>
    <w:rsid w:val="00515650"/>
    <w:rsid w:val="005164AF"/>
    <w:rsid w:val="00516C7F"/>
    <w:rsid w:val="00520061"/>
    <w:rsid w:val="005201E9"/>
    <w:rsid w:val="00521350"/>
    <w:rsid w:val="005219FA"/>
    <w:rsid w:val="00521D1C"/>
    <w:rsid w:val="00522A8D"/>
    <w:rsid w:val="005241CB"/>
    <w:rsid w:val="005259A4"/>
    <w:rsid w:val="00527297"/>
    <w:rsid w:val="00527C90"/>
    <w:rsid w:val="00530051"/>
    <w:rsid w:val="00533E46"/>
    <w:rsid w:val="00533E5F"/>
    <w:rsid w:val="005351B9"/>
    <w:rsid w:val="00536011"/>
    <w:rsid w:val="005377F4"/>
    <w:rsid w:val="00537CFE"/>
    <w:rsid w:val="00540821"/>
    <w:rsid w:val="00540A0B"/>
    <w:rsid w:val="00540A8F"/>
    <w:rsid w:val="00541283"/>
    <w:rsid w:val="00541775"/>
    <w:rsid w:val="00541F34"/>
    <w:rsid w:val="00542731"/>
    <w:rsid w:val="005442C9"/>
    <w:rsid w:val="00544604"/>
    <w:rsid w:val="00544707"/>
    <w:rsid w:val="0054520B"/>
    <w:rsid w:val="00546D18"/>
    <w:rsid w:val="00547AB2"/>
    <w:rsid w:val="00547F71"/>
    <w:rsid w:val="00550B79"/>
    <w:rsid w:val="00550F08"/>
    <w:rsid w:val="0055150B"/>
    <w:rsid w:val="00552200"/>
    <w:rsid w:val="00552520"/>
    <w:rsid w:val="00552865"/>
    <w:rsid w:val="005532F9"/>
    <w:rsid w:val="0055399D"/>
    <w:rsid w:val="0055440B"/>
    <w:rsid w:val="0055458F"/>
    <w:rsid w:val="005545F9"/>
    <w:rsid w:val="00554A08"/>
    <w:rsid w:val="0055543C"/>
    <w:rsid w:val="005555CA"/>
    <w:rsid w:val="00555B68"/>
    <w:rsid w:val="00556E53"/>
    <w:rsid w:val="0055708D"/>
    <w:rsid w:val="00560121"/>
    <w:rsid w:val="005601A0"/>
    <w:rsid w:val="00561CA6"/>
    <w:rsid w:val="005630CB"/>
    <w:rsid w:val="005642F4"/>
    <w:rsid w:val="00564565"/>
    <w:rsid w:val="005647BE"/>
    <w:rsid w:val="0056511F"/>
    <w:rsid w:val="00566299"/>
    <w:rsid w:val="005674D7"/>
    <w:rsid w:val="0056798A"/>
    <w:rsid w:val="0057147D"/>
    <w:rsid w:val="0057210D"/>
    <w:rsid w:val="005725A3"/>
    <w:rsid w:val="005725F6"/>
    <w:rsid w:val="00574858"/>
    <w:rsid w:val="00575468"/>
    <w:rsid w:val="005757F1"/>
    <w:rsid w:val="00577FCD"/>
    <w:rsid w:val="00580102"/>
    <w:rsid w:val="005802FD"/>
    <w:rsid w:val="005805DD"/>
    <w:rsid w:val="00580A6C"/>
    <w:rsid w:val="00580E55"/>
    <w:rsid w:val="005819F3"/>
    <w:rsid w:val="00582160"/>
    <w:rsid w:val="0058251D"/>
    <w:rsid w:val="00582D05"/>
    <w:rsid w:val="005844C2"/>
    <w:rsid w:val="00584770"/>
    <w:rsid w:val="00585E38"/>
    <w:rsid w:val="00586123"/>
    <w:rsid w:val="00586817"/>
    <w:rsid w:val="00586D92"/>
    <w:rsid w:val="00587037"/>
    <w:rsid w:val="005871AE"/>
    <w:rsid w:val="00587507"/>
    <w:rsid w:val="00587ECA"/>
    <w:rsid w:val="00590881"/>
    <w:rsid w:val="00590B16"/>
    <w:rsid w:val="00591A09"/>
    <w:rsid w:val="00591E84"/>
    <w:rsid w:val="005922DA"/>
    <w:rsid w:val="005925CC"/>
    <w:rsid w:val="00592F7A"/>
    <w:rsid w:val="005932E7"/>
    <w:rsid w:val="00593D60"/>
    <w:rsid w:val="005943FA"/>
    <w:rsid w:val="00594907"/>
    <w:rsid w:val="00596181"/>
    <w:rsid w:val="00596287"/>
    <w:rsid w:val="00596A0B"/>
    <w:rsid w:val="00596E05"/>
    <w:rsid w:val="00596F85"/>
    <w:rsid w:val="00597059"/>
    <w:rsid w:val="005970FA"/>
    <w:rsid w:val="00597DD1"/>
    <w:rsid w:val="005A0176"/>
    <w:rsid w:val="005A023D"/>
    <w:rsid w:val="005A088E"/>
    <w:rsid w:val="005A183C"/>
    <w:rsid w:val="005A2298"/>
    <w:rsid w:val="005A28A4"/>
    <w:rsid w:val="005A28C1"/>
    <w:rsid w:val="005A3CFF"/>
    <w:rsid w:val="005A3F4B"/>
    <w:rsid w:val="005A4158"/>
    <w:rsid w:val="005A4E44"/>
    <w:rsid w:val="005A5FE3"/>
    <w:rsid w:val="005A6777"/>
    <w:rsid w:val="005A72FC"/>
    <w:rsid w:val="005A7705"/>
    <w:rsid w:val="005B0388"/>
    <w:rsid w:val="005B092B"/>
    <w:rsid w:val="005B109A"/>
    <w:rsid w:val="005B55EC"/>
    <w:rsid w:val="005B6FC5"/>
    <w:rsid w:val="005B71B1"/>
    <w:rsid w:val="005B7B39"/>
    <w:rsid w:val="005C158C"/>
    <w:rsid w:val="005C2FD5"/>
    <w:rsid w:val="005C35E2"/>
    <w:rsid w:val="005C4100"/>
    <w:rsid w:val="005C524C"/>
    <w:rsid w:val="005C5292"/>
    <w:rsid w:val="005C5378"/>
    <w:rsid w:val="005C5923"/>
    <w:rsid w:val="005C71EC"/>
    <w:rsid w:val="005C7530"/>
    <w:rsid w:val="005C7648"/>
    <w:rsid w:val="005C7F1F"/>
    <w:rsid w:val="005D2AB9"/>
    <w:rsid w:val="005D34E2"/>
    <w:rsid w:val="005D3EA7"/>
    <w:rsid w:val="005D496E"/>
    <w:rsid w:val="005D4BDC"/>
    <w:rsid w:val="005D5B95"/>
    <w:rsid w:val="005D6027"/>
    <w:rsid w:val="005D64E0"/>
    <w:rsid w:val="005D687F"/>
    <w:rsid w:val="005D6F5B"/>
    <w:rsid w:val="005D7A80"/>
    <w:rsid w:val="005D7C20"/>
    <w:rsid w:val="005E07B0"/>
    <w:rsid w:val="005E0CB7"/>
    <w:rsid w:val="005E25B6"/>
    <w:rsid w:val="005E2AE9"/>
    <w:rsid w:val="005E3D36"/>
    <w:rsid w:val="005E677C"/>
    <w:rsid w:val="005E691B"/>
    <w:rsid w:val="005E6960"/>
    <w:rsid w:val="005E7110"/>
    <w:rsid w:val="005E7B3C"/>
    <w:rsid w:val="005E7C56"/>
    <w:rsid w:val="005E7D9B"/>
    <w:rsid w:val="005E7E31"/>
    <w:rsid w:val="005E7EB8"/>
    <w:rsid w:val="005F01D1"/>
    <w:rsid w:val="005F0256"/>
    <w:rsid w:val="005F15DA"/>
    <w:rsid w:val="005F18D6"/>
    <w:rsid w:val="005F1BEA"/>
    <w:rsid w:val="005F34B2"/>
    <w:rsid w:val="005F38FA"/>
    <w:rsid w:val="005F6318"/>
    <w:rsid w:val="005F7F43"/>
    <w:rsid w:val="006013EE"/>
    <w:rsid w:val="00603024"/>
    <w:rsid w:val="00604707"/>
    <w:rsid w:val="00604D8E"/>
    <w:rsid w:val="00604DC2"/>
    <w:rsid w:val="00605111"/>
    <w:rsid w:val="00606B53"/>
    <w:rsid w:val="00607E96"/>
    <w:rsid w:val="00610C13"/>
    <w:rsid w:val="006116E3"/>
    <w:rsid w:val="00611B62"/>
    <w:rsid w:val="006123B6"/>
    <w:rsid w:val="006131BC"/>
    <w:rsid w:val="00614FFA"/>
    <w:rsid w:val="00616201"/>
    <w:rsid w:val="00620DF1"/>
    <w:rsid w:val="006211E1"/>
    <w:rsid w:val="006239A8"/>
    <w:rsid w:val="00623FAF"/>
    <w:rsid w:val="00624400"/>
    <w:rsid w:val="006245C6"/>
    <w:rsid w:val="00624889"/>
    <w:rsid w:val="00624E51"/>
    <w:rsid w:val="0062542F"/>
    <w:rsid w:val="006257BF"/>
    <w:rsid w:val="00626162"/>
    <w:rsid w:val="006267DC"/>
    <w:rsid w:val="00626877"/>
    <w:rsid w:val="00626CA2"/>
    <w:rsid w:val="00627919"/>
    <w:rsid w:val="00630AC7"/>
    <w:rsid w:val="006320F6"/>
    <w:rsid w:val="00632219"/>
    <w:rsid w:val="00634219"/>
    <w:rsid w:val="00634719"/>
    <w:rsid w:val="00634F28"/>
    <w:rsid w:val="00634FC0"/>
    <w:rsid w:val="0063536D"/>
    <w:rsid w:val="006360CA"/>
    <w:rsid w:val="006377BB"/>
    <w:rsid w:val="00641FC1"/>
    <w:rsid w:val="00643E66"/>
    <w:rsid w:val="00645300"/>
    <w:rsid w:val="00646299"/>
    <w:rsid w:val="00646C36"/>
    <w:rsid w:val="00647287"/>
    <w:rsid w:val="006503E8"/>
    <w:rsid w:val="00651964"/>
    <w:rsid w:val="006545C0"/>
    <w:rsid w:val="00654A4A"/>
    <w:rsid w:val="0065545A"/>
    <w:rsid w:val="00656AB6"/>
    <w:rsid w:val="00660584"/>
    <w:rsid w:val="006609E1"/>
    <w:rsid w:val="006612D8"/>
    <w:rsid w:val="0066214A"/>
    <w:rsid w:val="00662834"/>
    <w:rsid w:val="006632D6"/>
    <w:rsid w:val="006636E3"/>
    <w:rsid w:val="00664F3D"/>
    <w:rsid w:val="006657AE"/>
    <w:rsid w:val="006661CF"/>
    <w:rsid w:val="006662A5"/>
    <w:rsid w:val="00667804"/>
    <w:rsid w:val="006678A9"/>
    <w:rsid w:val="00667BA2"/>
    <w:rsid w:val="00670BFD"/>
    <w:rsid w:val="006710F1"/>
    <w:rsid w:val="00671BB0"/>
    <w:rsid w:val="00671E4C"/>
    <w:rsid w:val="00671F3B"/>
    <w:rsid w:val="00672736"/>
    <w:rsid w:val="00673969"/>
    <w:rsid w:val="00674295"/>
    <w:rsid w:val="00675503"/>
    <w:rsid w:val="006764FF"/>
    <w:rsid w:val="00677D8A"/>
    <w:rsid w:val="006801B8"/>
    <w:rsid w:val="006818A8"/>
    <w:rsid w:val="00681A51"/>
    <w:rsid w:val="00682469"/>
    <w:rsid w:val="00682CBE"/>
    <w:rsid w:val="00683D97"/>
    <w:rsid w:val="00684C5F"/>
    <w:rsid w:val="00684FCA"/>
    <w:rsid w:val="00684FF8"/>
    <w:rsid w:val="00685C81"/>
    <w:rsid w:val="00685E9D"/>
    <w:rsid w:val="00685EA5"/>
    <w:rsid w:val="0068606A"/>
    <w:rsid w:val="006862B8"/>
    <w:rsid w:val="00686B5C"/>
    <w:rsid w:val="00686D5E"/>
    <w:rsid w:val="00687B15"/>
    <w:rsid w:val="00690741"/>
    <w:rsid w:val="006907E9"/>
    <w:rsid w:val="00690CF2"/>
    <w:rsid w:val="00691E95"/>
    <w:rsid w:val="00693FCD"/>
    <w:rsid w:val="0069485D"/>
    <w:rsid w:val="00694969"/>
    <w:rsid w:val="00695299"/>
    <w:rsid w:val="006954C3"/>
    <w:rsid w:val="00695BAA"/>
    <w:rsid w:val="00695C58"/>
    <w:rsid w:val="00696825"/>
    <w:rsid w:val="00696997"/>
    <w:rsid w:val="0069760A"/>
    <w:rsid w:val="00697A75"/>
    <w:rsid w:val="006A0049"/>
    <w:rsid w:val="006A059E"/>
    <w:rsid w:val="006A1795"/>
    <w:rsid w:val="006A2B40"/>
    <w:rsid w:val="006A4182"/>
    <w:rsid w:val="006A4622"/>
    <w:rsid w:val="006A46AD"/>
    <w:rsid w:val="006A528C"/>
    <w:rsid w:val="006A6C65"/>
    <w:rsid w:val="006A7090"/>
    <w:rsid w:val="006A758C"/>
    <w:rsid w:val="006A7D14"/>
    <w:rsid w:val="006B0C84"/>
    <w:rsid w:val="006B1722"/>
    <w:rsid w:val="006B22DD"/>
    <w:rsid w:val="006B245E"/>
    <w:rsid w:val="006B28F5"/>
    <w:rsid w:val="006B32A1"/>
    <w:rsid w:val="006B3D27"/>
    <w:rsid w:val="006B4A74"/>
    <w:rsid w:val="006B4D1C"/>
    <w:rsid w:val="006B5974"/>
    <w:rsid w:val="006B5B2C"/>
    <w:rsid w:val="006B6166"/>
    <w:rsid w:val="006B63EC"/>
    <w:rsid w:val="006B6A02"/>
    <w:rsid w:val="006C1EEC"/>
    <w:rsid w:val="006C1FE0"/>
    <w:rsid w:val="006C2B00"/>
    <w:rsid w:val="006C3FEA"/>
    <w:rsid w:val="006C460B"/>
    <w:rsid w:val="006C5730"/>
    <w:rsid w:val="006C580F"/>
    <w:rsid w:val="006C6895"/>
    <w:rsid w:val="006C69E7"/>
    <w:rsid w:val="006C7772"/>
    <w:rsid w:val="006C7C60"/>
    <w:rsid w:val="006D0BBD"/>
    <w:rsid w:val="006D10AE"/>
    <w:rsid w:val="006D1A24"/>
    <w:rsid w:val="006D1C89"/>
    <w:rsid w:val="006D29F2"/>
    <w:rsid w:val="006D3AA7"/>
    <w:rsid w:val="006D3D11"/>
    <w:rsid w:val="006D4D5B"/>
    <w:rsid w:val="006D6058"/>
    <w:rsid w:val="006D7076"/>
    <w:rsid w:val="006D79E7"/>
    <w:rsid w:val="006D7CA2"/>
    <w:rsid w:val="006E0004"/>
    <w:rsid w:val="006E065B"/>
    <w:rsid w:val="006E071D"/>
    <w:rsid w:val="006E09D3"/>
    <w:rsid w:val="006E0C78"/>
    <w:rsid w:val="006E1E6C"/>
    <w:rsid w:val="006E3121"/>
    <w:rsid w:val="006E3F2B"/>
    <w:rsid w:val="006E5505"/>
    <w:rsid w:val="006E5B7B"/>
    <w:rsid w:val="006E7927"/>
    <w:rsid w:val="006F018B"/>
    <w:rsid w:val="006F032F"/>
    <w:rsid w:val="006F072A"/>
    <w:rsid w:val="006F11C1"/>
    <w:rsid w:val="006F140D"/>
    <w:rsid w:val="006F240A"/>
    <w:rsid w:val="006F2FB3"/>
    <w:rsid w:val="006F3BBD"/>
    <w:rsid w:val="006F531B"/>
    <w:rsid w:val="006F56C6"/>
    <w:rsid w:val="006F5939"/>
    <w:rsid w:val="006F5AFE"/>
    <w:rsid w:val="006F62BC"/>
    <w:rsid w:val="006F72A4"/>
    <w:rsid w:val="006F738F"/>
    <w:rsid w:val="006F7676"/>
    <w:rsid w:val="006F7F11"/>
    <w:rsid w:val="007000D5"/>
    <w:rsid w:val="00700A66"/>
    <w:rsid w:val="00702493"/>
    <w:rsid w:val="00703DAD"/>
    <w:rsid w:val="00704121"/>
    <w:rsid w:val="00705918"/>
    <w:rsid w:val="00710149"/>
    <w:rsid w:val="0071077C"/>
    <w:rsid w:val="0071095E"/>
    <w:rsid w:val="007109AE"/>
    <w:rsid w:val="00711ACA"/>
    <w:rsid w:val="00711B71"/>
    <w:rsid w:val="00712B01"/>
    <w:rsid w:val="00714A5A"/>
    <w:rsid w:val="00714F3B"/>
    <w:rsid w:val="007166F7"/>
    <w:rsid w:val="007168BD"/>
    <w:rsid w:val="00716AEF"/>
    <w:rsid w:val="00717076"/>
    <w:rsid w:val="00717296"/>
    <w:rsid w:val="007176C0"/>
    <w:rsid w:val="00717EE4"/>
    <w:rsid w:val="00717EE9"/>
    <w:rsid w:val="007216BE"/>
    <w:rsid w:val="00722C25"/>
    <w:rsid w:val="00723204"/>
    <w:rsid w:val="00723698"/>
    <w:rsid w:val="0072374D"/>
    <w:rsid w:val="007240BF"/>
    <w:rsid w:val="00725594"/>
    <w:rsid w:val="00727370"/>
    <w:rsid w:val="007274FE"/>
    <w:rsid w:val="00727A5F"/>
    <w:rsid w:val="00727CD6"/>
    <w:rsid w:val="007315C5"/>
    <w:rsid w:val="0073244D"/>
    <w:rsid w:val="007336EA"/>
    <w:rsid w:val="00733FD3"/>
    <w:rsid w:val="00734C87"/>
    <w:rsid w:val="00735D9E"/>
    <w:rsid w:val="007363D2"/>
    <w:rsid w:val="00736AC6"/>
    <w:rsid w:val="00736E5C"/>
    <w:rsid w:val="00736F9F"/>
    <w:rsid w:val="00740603"/>
    <w:rsid w:val="0074109C"/>
    <w:rsid w:val="00742335"/>
    <w:rsid w:val="00742842"/>
    <w:rsid w:val="0074292B"/>
    <w:rsid w:val="007460F6"/>
    <w:rsid w:val="00746460"/>
    <w:rsid w:val="00747619"/>
    <w:rsid w:val="0074790D"/>
    <w:rsid w:val="007479E4"/>
    <w:rsid w:val="0075176E"/>
    <w:rsid w:val="00751C2E"/>
    <w:rsid w:val="00752FF4"/>
    <w:rsid w:val="00753376"/>
    <w:rsid w:val="00753415"/>
    <w:rsid w:val="007543B0"/>
    <w:rsid w:val="007549DF"/>
    <w:rsid w:val="007551EC"/>
    <w:rsid w:val="007557D4"/>
    <w:rsid w:val="007568A9"/>
    <w:rsid w:val="00757137"/>
    <w:rsid w:val="00757BF3"/>
    <w:rsid w:val="00760EDE"/>
    <w:rsid w:val="00761514"/>
    <w:rsid w:val="00761A1E"/>
    <w:rsid w:val="00763CE7"/>
    <w:rsid w:val="007664D2"/>
    <w:rsid w:val="00766BF3"/>
    <w:rsid w:val="007677A5"/>
    <w:rsid w:val="00770260"/>
    <w:rsid w:val="00772177"/>
    <w:rsid w:val="00774295"/>
    <w:rsid w:val="00774766"/>
    <w:rsid w:val="0077486F"/>
    <w:rsid w:val="00775C65"/>
    <w:rsid w:val="0077639A"/>
    <w:rsid w:val="00777F38"/>
    <w:rsid w:val="0078047E"/>
    <w:rsid w:val="00780663"/>
    <w:rsid w:val="0078100C"/>
    <w:rsid w:val="0078157F"/>
    <w:rsid w:val="00782EDB"/>
    <w:rsid w:val="007837EF"/>
    <w:rsid w:val="007860C9"/>
    <w:rsid w:val="00786432"/>
    <w:rsid w:val="00786F48"/>
    <w:rsid w:val="0078772C"/>
    <w:rsid w:val="007878E4"/>
    <w:rsid w:val="00787D13"/>
    <w:rsid w:val="0079063F"/>
    <w:rsid w:val="00792FBD"/>
    <w:rsid w:val="00795CF8"/>
    <w:rsid w:val="007963BD"/>
    <w:rsid w:val="00796F7F"/>
    <w:rsid w:val="007971BE"/>
    <w:rsid w:val="007972C1"/>
    <w:rsid w:val="0079731F"/>
    <w:rsid w:val="00797440"/>
    <w:rsid w:val="00797BF8"/>
    <w:rsid w:val="007A00DE"/>
    <w:rsid w:val="007A0BB1"/>
    <w:rsid w:val="007A2D05"/>
    <w:rsid w:val="007A32BA"/>
    <w:rsid w:val="007A35A1"/>
    <w:rsid w:val="007A4783"/>
    <w:rsid w:val="007A4EEC"/>
    <w:rsid w:val="007A5191"/>
    <w:rsid w:val="007A5588"/>
    <w:rsid w:val="007A5AFC"/>
    <w:rsid w:val="007A6425"/>
    <w:rsid w:val="007A64DA"/>
    <w:rsid w:val="007B0500"/>
    <w:rsid w:val="007B065F"/>
    <w:rsid w:val="007B075A"/>
    <w:rsid w:val="007B111B"/>
    <w:rsid w:val="007B12E5"/>
    <w:rsid w:val="007B1899"/>
    <w:rsid w:val="007B25C7"/>
    <w:rsid w:val="007B3AE8"/>
    <w:rsid w:val="007B3C47"/>
    <w:rsid w:val="007B4418"/>
    <w:rsid w:val="007B5F62"/>
    <w:rsid w:val="007B66B3"/>
    <w:rsid w:val="007B7077"/>
    <w:rsid w:val="007B7679"/>
    <w:rsid w:val="007C1CA9"/>
    <w:rsid w:val="007C299A"/>
    <w:rsid w:val="007C3003"/>
    <w:rsid w:val="007C39A4"/>
    <w:rsid w:val="007C6B60"/>
    <w:rsid w:val="007C6F85"/>
    <w:rsid w:val="007C7A14"/>
    <w:rsid w:val="007C7A6E"/>
    <w:rsid w:val="007D0295"/>
    <w:rsid w:val="007D3AA0"/>
    <w:rsid w:val="007D3FE2"/>
    <w:rsid w:val="007D5690"/>
    <w:rsid w:val="007D58E1"/>
    <w:rsid w:val="007D5E30"/>
    <w:rsid w:val="007D6607"/>
    <w:rsid w:val="007D69CE"/>
    <w:rsid w:val="007D69FA"/>
    <w:rsid w:val="007D7294"/>
    <w:rsid w:val="007D7525"/>
    <w:rsid w:val="007D7A61"/>
    <w:rsid w:val="007D7FF0"/>
    <w:rsid w:val="007E05FC"/>
    <w:rsid w:val="007E074B"/>
    <w:rsid w:val="007E093F"/>
    <w:rsid w:val="007E1600"/>
    <w:rsid w:val="007E1ABD"/>
    <w:rsid w:val="007E1FA4"/>
    <w:rsid w:val="007E5917"/>
    <w:rsid w:val="007E5967"/>
    <w:rsid w:val="007E71E6"/>
    <w:rsid w:val="007E74CC"/>
    <w:rsid w:val="007E7BD7"/>
    <w:rsid w:val="007F1FA9"/>
    <w:rsid w:val="007F29F2"/>
    <w:rsid w:val="007F2E9A"/>
    <w:rsid w:val="007F6022"/>
    <w:rsid w:val="007F7CDC"/>
    <w:rsid w:val="008000CF"/>
    <w:rsid w:val="00800418"/>
    <w:rsid w:val="00800698"/>
    <w:rsid w:val="00802142"/>
    <w:rsid w:val="00802DDB"/>
    <w:rsid w:val="00802DF4"/>
    <w:rsid w:val="00803B7E"/>
    <w:rsid w:val="008058BF"/>
    <w:rsid w:val="00806EA2"/>
    <w:rsid w:val="00807A35"/>
    <w:rsid w:val="008104C7"/>
    <w:rsid w:val="00810603"/>
    <w:rsid w:val="008109FB"/>
    <w:rsid w:val="00810BBB"/>
    <w:rsid w:val="008120F6"/>
    <w:rsid w:val="0081352B"/>
    <w:rsid w:val="0081363F"/>
    <w:rsid w:val="00814283"/>
    <w:rsid w:val="0081552E"/>
    <w:rsid w:val="0081584B"/>
    <w:rsid w:val="00815A2B"/>
    <w:rsid w:val="00816972"/>
    <w:rsid w:val="00816B8D"/>
    <w:rsid w:val="00816E21"/>
    <w:rsid w:val="008178FA"/>
    <w:rsid w:val="00817A56"/>
    <w:rsid w:val="00820209"/>
    <w:rsid w:val="00820811"/>
    <w:rsid w:val="00820F35"/>
    <w:rsid w:val="00820FEC"/>
    <w:rsid w:val="008215A9"/>
    <w:rsid w:val="00821681"/>
    <w:rsid w:val="00821B53"/>
    <w:rsid w:val="00822A07"/>
    <w:rsid w:val="008237DB"/>
    <w:rsid w:val="0082393D"/>
    <w:rsid w:val="00823D79"/>
    <w:rsid w:val="008243D6"/>
    <w:rsid w:val="0082484B"/>
    <w:rsid w:val="00825FC3"/>
    <w:rsid w:val="008265FD"/>
    <w:rsid w:val="00826E80"/>
    <w:rsid w:val="008314C5"/>
    <w:rsid w:val="008319DE"/>
    <w:rsid w:val="008326DE"/>
    <w:rsid w:val="00833248"/>
    <w:rsid w:val="0083324D"/>
    <w:rsid w:val="0083505A"/>
    <w:rsid w:val="0083532E"/>
    <w:rsid w:val="00835C95"/>
    <w:rsid w:val="00836A61"/>
    <w:rsid w:val="00836D94"/>
    <w:rsid w:val="00837EEB"/>
    <w:rsid w:val="00837F03"/>
    <w:rsid w:val="00841025"/>
    <w:rsid w:val="00841733"/>
    <w:rsid w:val="00842AD8"/>
    <w:rsid w:val="00842C9A"/>
    <w:rsid w:val="00844D38"/>
    <w:rsid w:val="00844D85"/>
    <w:rsid w:val="00845369"/>
    <w:rsid w:val="00847E02"/>
    <w:rsid w:val="008503DE"/>
    <w:rsid w:val="00850798"/>
    <w:rsid w:val="008524BE"/>
    <w:rsid w:val="0085271A"/>
    <w:rsid w:val="008528CD"/>
    <w:rsid w:val="00852956"/>
    <w:rsid w:val="00852A79"/>
    <w:rsid w:val="00852CFC"/>
    <w:rsid w:val="00853BC2"/>
    <w:rsid w:val="00854278"/>
    <w:rsid w:val="00854321"/>
    <w:rsid w:val="00854335"/>
    <w:rsid w:val="00855C85"/>
    <w:rsid w:val="00856063"/>
    <w:rsid w:val="00856390"/>
    <w:rsid w:val="00856BC4"/>
    <w:rsid w:val="00856E33"/>
    <w:rsid w:val="00857172"/>
    <w:rsid w:val="008578EA"/>
    <w:rsid w:val="0086236A"/>
    <w:rsid w:val="008625F3"/>
    <w:rsid w:val="00862CD5"/>
    <w:rsid w:val="00862CDC"/>
    <w:rsid w:val="00864D18"/>
    <w:rsid w:val="008652DD"/>
    <w:rsid w:val="008660C4"/>
    <w:rsid w:val="00866BD3"/>
    <w:rsid w:val="00867E3F"/>
    <w:rsid w:val="0087035A"/>
    <w:rsid w:val="0087195E"/>
    <w:rsid w:val="00872AE4"/>
    <w:rsid w:val="00872F56"/>
    <w:rsid w:val="008732E2"/>
    <w:rsid w:val="0087347D"/>
    <w:rsid w:val="00880245"/>
    <w:rsid w:val="00880825"/>
    <w:rsid w:val="0088191A"/>
    <w:rsid w:val="008829CD"/>
    <w:rsid w:val="00882DAD"/>
    <w:rsid w:val="00883008"/>
    <w:rsid w:val="0088496E"/>
    <w:rsid w:val="00884C96"/>
    <w:rsid w:val="00885263"/>
    <w:rsid w:val="00885604"/>
    <w:rsid w:val="008866C5"/>
    <w:rsid w:val="00886AF6"/>
    <w:rsid w:val="00890564"/>
    <w:rsid w:val="00890FF0"/>
    <w:rsid w:val="008913D8"/>
    <w:rsid w:val="00891F98"/>
    <w:rsid w:val="00892076"/>
    <w:rsid w:val="00892B35"/>
    <w:rsid w:val="00892DA5"/>
    <w:rsid w:val="008948DE"/>
    <w:rsid w:val="008949B1"/>
    <w:rsid w:val="0089641C"/>
    <w:rsid w:val="0089713E"/>
    <w:rsid w:val="0089751C"/>
    <w:rsid w:val="008979B6"/>
    <w:rsid w:val="00897ED3"/>
    <w:rsid w:val="008A10F3"/>
    <w:rsid w:val="008A138F"/>
    <w:rsid w:val="008A2C06"/>
    <w:rsid w:val="008A4439"/>
    <w:rsid w:val="008A490A"/>
    <w:rsid w:val="008A5387"/>
    <w:rsid w:val="008A5C0F"/>
    <w:rsid w:val="008A7CED"/>
    <w:rsid w:val="008B056A"/>
    <w:rsid w:val="008B1596"/>
    <w:rsid w:val="008B22F1"/>
    <w:rsid w:val="008B251B"/>
    <w:rsid w:val="008B4553"/>
    <w:rsid w:val="008B4AB7"/>
    <w:rsid w:val="008B5A3C"/>
    <w:rsid w:val="008B711D"/>
    <w:rsid w:val="008B720F"/>
    <w:rsid w:val="008B72AF"/>
    <w:rsid w:val="008C01FF"/>
    <w:rsid w:val="008C07EA"/>
    <w:rsid w:val="008C09C4"/>
    <w:rsid w:val="008C13FD"/>
    <w:rsid w:val="008C1AFF"/>
    <w:rsid w:val="008C1F44"/>
    <w:rsid w:val="008C2BD6"/>
    <w:rsid w:val="008C5482"/>
    <w:rsid w:val="008C646F"/>
    <w:rsid w:val="008C788A"/>
    <w:rsid w:val="008D0460"/>
    <w:rsid w:val="008D0468"/>
    <w:rsid w:val="008D11E1"/>
    <w:rsid w:val="008D2146"/>
    <w:rsid w:val="008D44EC"/>
    <w:rsid w:val="008D47ED"/>
    <w:rsid w:val="008D4A37"/>
    <w:rsid w:val="008D4E01"/>
    <w:rsid w:val="008D4EC4"/>
    <w:rsid w:val="008D521C"/>
    <w:rsid w:val="008D5277"/>
    <w:rsid w:val="008D5E8A"/>
    <w:rsid w:val="008D736D"/>
    <w:rsid w:val="008D79FD"/>
    <w:rsid w:val="008E078A"/>
    <w:rsid w:val="008E1773"/>
    <w:rsid w:val="008E1833"/>
    <w:rsid w:val="008E23F0"/>
    <w:rsid w:val="008E32C6"/>
    <w:rsid w:val="008E348B"/>
    <w:rsid w:val="008E3E4B"/>
    <w:rsid w:val="008E3F9F"/>
    <w:rsid w:val="008E4331"/>
    <w:rsid w:val="008E4E06"/>
    <w:rsid w:val="008E4EF9"/>
    <w:rsid w:val="008E5174"/>
    <w:rsid w:val="008E5AC8"/>
    <w:rsid w:val="008E6DFC"/>
    <w:rsid w:val="008E7710"/>
    <w:rsid w:val="008E7824"/>
    <w:rsid w:val="008E7961"/>
    <w:rsid w:val="008F1AB1"/>
    <w:rsid w:val="008F29FC"/>
    <w:rsid w:val="008F2A1D"/>
    <w:rsid w:val="008F2CB9"/>
    <w:rsid w:val="008F6C24"/>
    <w:rsid w:val="008F6CC9"/>
    <w:rsid w:val="00900D4D"/>
    <w:rsid w:val="009025CF"/>
    <w:rsid w:val="009027D9"/>
    <w:rsid w:val="00903A89"/>
    <w:rsid w:val="00903F34"/>
    <w:rsid w:val="00904C31"/>
    <w:rsid w:val="00905C0A"/>
    <w:rsid w:val="009102F6"/>
    <w:rsid w:val="0091106C"/>
    <w:rsid w:val="009122F8"/>
    <w:rsid w:val="009130A4"/>
    <w:rsid w:val="009131B2"/>
    <w:rsid w:val="009152BC"/>
    <w:rsid w:val="00915520"/>
    <w:rsid w:val="009155F7"/>
    <w:rsid w:val="009159CA"/>
    <w:rsid w:val="00915B5E"/>
    <w:rsid w:val="00916712"/>
    <w:rsid w:val="009173CC"/>
    <w:rsid w:val="00921131"/>
    <w:rsid w:val="00923D3B"/>
    <w:rsid w:val="009247F5"/>
    <w:rsid w:val="00926AB2"/>
    <w:rsid w:val="0092712C"/>
    <w:rsid w:val="009271D1"/>
    <w:rsid w:val="0092732E"/>
    <w:rsid w:val="00930923"/>
    <w:rsid w:val="00931127"/>
    <w:rsid w:val="00931CA3"/>
    <w:rsid w:val="00932E5E"/>
    <w:rsid w:val="009339C6"/>
    <w:rsid w:val="0093427B"/>
    <w:rsid w:val="009343BE"/>
    <w:rsid w:val="00934D08"/>
    <w:rsid w:val="00935572"/>
    <w:rsid w:val="009404EE"/>
    <w:rsid w:val="009407FE"/>
    <w:rsid w:val="00941915"/>
    <w:rsid w:val="00941F24"/>
    <w:rsid w:val="00942436"/>
    <w:rsid w:val="00942C12"/>
    <w:rsid w:val="00943C78"/>
    <w:rsid w:val="0094403E"/>
    <w:rsid w:val="00944321"/>
    <w:rsid w:val="0094726A"/>
    <w:rsid w:val="00947432"/>
    <w:rsid w:val="00947BAA"/>
    <w:rsid w:val="00947C5C"/>
    <w:rsid w:val="00950509"/>
    <w:rsid w:val="00950856"/>
    <w:rsid w:val="009513D3"/>
    <w:rsid w:val="00951BB4"/>
    <w:rsid w:val="00953CF4"/>
    <w:rsid w:val="009552EB"/>
    <w:rsid w:val="00955AD0"/>
    <w:rsid w:val="00956957"/>
    <w:rsid w:val="00956B51"/>
    <w:rsid w:val="00956E06"/>
    <w:rsid w:val="0095737A"/>
    <w:rsid w:val="00957510"/>
    <w:rsid w:val="00957603"/>
    <w:rsid w:val="00957A1D"/>
    <w:rsid w:val="00957B47"/>
    <w:rsid w:val="00957BC0"/>
    <w:rsid w:val="0096037F"/>
    <w:rsid w:val="00960C44"/>
    <w:rsid w:val="00962322"/>
    <w:rsid w:val="00962C5F"/>
    <w:rsid w:val="009636F2"/>
    <w:rsid w:val="00964203"/>
    <w:rsid w:val="0096487B"/>
    <w:rsid w:val="00965B67"/>
    <w:rsid w:val="00966974"/>
    <w:rsid w:val="009674A4"/>
    <w:rsid w:val="00967BF1"/>
    <w:rsid w:val="00970268"/>
    <w:rsid w:val="00970C27"/>
    <w:rsid w:val="009721DD"/>
    <w:rsid w:val="00973189"/>
    <w:rsid w:val="00974605"/>
    <w:rsid w:val="00975324"/>
    <w:rsid w:val="009757D1"/>
    <w:rsid w:val="00975B6E"/>
    <w:rsid w:val="009765E9"/>
    <w:rsid w:val="009767D5"/>
    <w:rsid w:val="00977AB0"/>
    <w:rsid w:val="00980754"/>
    <w:rsid w:val="0098094F"/>
    <w:rsid w:val="00981535"/>
    <w:rsid w:val="00982023"/>
    <w:rsid w:val="009822B5"/>
    <w:rsid w:val="009825C8"/>
    <w:rsid w:val="009826A1"/>
    <w:rsid w:val="00982779"/>
    <w:rsid w:val="00983806"/>
    <w:rsid w:val="0098409F"/>
    <w:rsid w:val="00984682"/>
    <w:rsid w:val="00985537"/>
    <w:rsid w:val="009865AE"/>
    <w:rsid w:val="00991082"/>
    <w:rsid w:val="00991698"/>
    <w:rsid w:val="00991A66"/>
    <w:rsid w:val="00991C17"/>
    <w:rsid w:val="00992D1E"/>
    <w:rsid w:val="0099352E"/>
    <w:rsid w:val="00994EB8"/>
    <w:rsid w:val="00997EB2"/>
    <w:rsid w:val="009A06F5"/>
    <w:rsid w:val="009A0788"/>
    <w:rsid w:val="009A0E92"/>
    <w:rsid w:val="009A17EC"/>
    <w:rsid w:val="009A273E"/>
    <w:rsid w:val="009A3E4B"/>
    <w:rsid w:val="009B03DF"/>
    <w:rsid w:val="009B06DC"/>
    <w:rsid w:val="009B11A7"/>
    <w:rsid w:val="009B181A"/>
    <w:rsid w:val="009B1FA2"/>
    <w:rsid w:val="009B2418"/>
    <w:rsid w:val="009B29E7"/>
    <w:rsid w:val="009B3D0F"/>
    <w:rsid w:val="009B46F6"/>
    <w:rsid w:val="009B47D1"/>
    <w:rsid w:val="009B5B08"/>
    <w:rsid w:val="009B5BD5"/>
    <w:rsid w:val="009B6AF0"/>
    <w:rsid w:val="009B701C"/>
    <w:rsid w:val="009B7733"/>
    <w:rsid w:val="009B7B55"/>
    <w:rsid w:val="009C0097"/>
    <w:rsid w:val="009C0D48"/>
    <w:rsid w:val="009C2902"/>
    <w:rsid w:val="009C292D"/>
    <w:rsid w:val="009C3248"/>
    <w:rsid w:val="009C355F"/>
    <w:rsid w:val="009C4564"/>
    <w:rsid w:val="009C4A9E"/>
    <w:rsid w:val="009C4EB0"/>
    <w:rsid w:val="009C5D54"/>
    <w:rsid w:val="009C5F0C"/>
    <w:rsid w:val="009C67C0"/>
    <w:rsid w:val="009C702F"/>
    <w:rsid w:val="009C7319"/>
    <w:rsid w:val="009C776E"/>
    <w:rsid w:val="009D0581"/>
    <w:rsid w:val="009D1035"/>
    <w:rsid w:val="009D10DB"/>
    <w:rsid w:val="009D13D0"/>
    <w:rsid w:val="009D2068"/>
    <w:rsid w:val="009D3869"/>
    <w:rsid w:val="009D4861"/>
    <w:rsid w:val="009D514B"/>
    <w:rsid w:val="009D69D5"/>
    <w:rsid w:val="009D7491"/>
    <w:rsid w:val="009D7D33"/>
    <w:rsid w:val="009E115D"/>
    <w:rsid w:val="009E1B4E"/>
    <w:rsid w:val="009E210F"/>
    <w:rsid w:val="009E49A3"/>
    <w:rsid w:val="009E4B7C"/>
    <w:rsid w:val="009E4DD4"/>
    <w:rsid w:val="009E4E3F"/>
    <w:rsid w:val="009E698B"/>
    <w:rsid w:val="009E6EC8"/>
    <w:rsid w:val="009E7393"/>
    <w:rsid w:val="009E7DBA"/>
    <w:rsid w:val="009E7F24"/>
    <w:rsid w:val="009F1547"/>
    <w:rsid w:val="009F2A42"/>
    <w:rsid w:val="009F2B53"/>
    <w:rsid w:val="009F395C"/>
    <w:rsid w:val="009F405E"/>
    <w:rsid w:val="009F4ABA"/>
    <w:rsid w:val="009F5BFD"/>
    <w:rsid w:val="009F72D8"/>
    <w:rsid w:val="00A00097"/>
    <w:rsid w:val="00A00457"/>
    <w:rsid w:val="00A0174A"/>
    <w:rsid w:val="00A030F6"/>
    <w:rsid w:val="00A0486F"/>
    <w:rsid w:val="00A049AD"/>
    <w:rsid w:val="00A05948"/>
    <w:rsid w:val="00A06114"/>
    <w:rsid w:val="00A066AE"/>
    <w:rsid w:val="00A07006"/>
    <w:rsid w:val="00A07F3E"/>
    <w:rsid w:val="00A10A99"/>
    <w:rsid w:val="00A10DD9"/>
    <w:rsid w:val="00A11117"/>
    <w:rsid w:val="00A119F7"/>
    <w:rsid w:val="00A12C6B"/>
    <w:rsid w:val="00A132EA"/>
    <w:rsid w:val="00A14117"/>
    <w:rsid w:val="00A14676"/>
    <w:rsid w:val="00A1493B"/>
    <w:rsid w:val="00A149FA"/>
    <w:rsid w:val="00A171C4"/>
    <w:rsid w:val="00A17DF0"/>
    <w:rsid w:val="00A204EA"/>
    <w:rsid w:val="00A205DE"/>
    <w:rsid w:val="00A20F78"/>
    <w:rsid w:val="00A217AB"/>
    <w:rsid w:val="00A218F1"/>
    <w:rsid w:val="00A21EC0"/>
    <w:rsid w:val="00A23554"/>
    <w:rsid w:val="00A238A6"/>
    <w:rsid w:val="00A23BAC"/>
    <w:rsid w:val="00A240C8"/>
    <w:rsid w:val="00A24123"/>
    <w:rsid w:val="00A248A1"/>
    <w:rsid w:val="00A2574B"/>
    <w:rsid w:val="00A27BD8"/>
    <w:rsid w:val="00A27D4E"/>
    <w:rsid w:val="00A27DEE"/>
    <w:rsid w:val="00A27E0F"/>
    <w:rsid w:val="00A3042B"/>
    <w:rsid w:val="00A3071B"/>
    <w:rsid w:val="00A3085D"/>
    <w:rsid w:val="00A30F65"/>
    <w:rsid w:val="00A31B93"/>
    <w:rsid w:val="00A32B45"/>
    <w:rsid w:val="00A33964"/>
    <w:rsid w:val="00A34BD7"/>
    <w:rsid w:val="00A35299"/>
    <w:rsid w:val="00A35991"/>
    <w:rsid w:val="00A35CCA"/>
    <w:rsid w:val="00A364E4"/>
    <w:rsid w:val="00A375EF"/>
    <w:rsid w:val="00A37BDA"/>
    <w:rsid w:val="00A40E77"/>
    <w:rsid w:val="00A4251D"/>
    <w:rsid w:val="00A42564"/>
    <w:rsid w:val="00A4434D"/>
    <w:rsid w:val="00A46037"/>
    <w:rsid w:val="00A46B4E"/>
    <w:rsid w:val="00A47C69"/>
    <w:rsid w:val="00A505A9"/>
    <w:rsid w:val="00A510CB"/>
    <w:rsid w:val="00A51FD3"/>
    <w:rsid w:val="00A51FEA"/>
    <w:rsid w:val="00A528C2"/>
    <w:rsid w:val="00A54223"/>
    <w:rsid w:val="00A54998"/>
    <w:rsid w:val="00A54AFD"/>
    <w:rsid w:val="00A54E69"/>
    <w:rsid w:val="00A56D2B"/>
    <w:rsid w:val="00A57919"/>
    <w:rsid w:val="00A61B06"/>
    <w:rsid w:val="00A62113"/>
    <w:rsid w:val="00A62901"/>
    <w:rsid w:val="00A630E4"/>
    <w:rsid w:val="00A6359A"/>
    <w:rsid w:val="00A64181"/>
    <w:rsid w:val="00A64A91"/>
    <w:rsid w:val="00A64B2C"/>
    <w:rsid w:val="00A66EE5"/>
    <w:rsid w:val="00A6759C"/>
    <w:rsid w:val="00A677A9"/>
    <w:rsid w:val="00A67923"/>
    <w:rsid w:val="00A70E7C"/>
    <w:rsid w:val="00A713ED"/>
    <w:rsid w:val="00A714B8"/>
    <w:rsid w:val="00A73D50"/>
    <w:rsid w:val="00A7427F"/>
    <w:rsid w:val="00A743BF"/>
    <w:rsid w:val="00A74901"/>
    <w:rsid w:val="00A75279"/>
    <w:rsid w:val="00A75641"/>
    <w:rsid w:val="00A75733"/>
    <w:rsid w:val="00A76308"/>
    <w:rsid w:val="00A77C08"/>
    <w:rsid w:val="00A814B4"/>
    <w:rsid w:val="00A81527"/>
    <w:rsid w:val="00A82058"/>
    <w:rsid w:val="00A835BE"/>
    <w:rsid w:val="00A84AE7"/>
    <w:rsid w:val="00A8574F"/>
    <w:rsid w:val="00A869B0"/>
    <w:rsid w:val="00A87783"/>
    <w:rsid w:val="00A90363"/>
    <w:rsid w:val="00A91667"/>
    <w:rsid w:val="00A9210D"/>
    <w:rsid w:val="00A9289F"/>
    <w:rsid w:val="00A92C1D"/>
    <w:rsid w:val="00A93A9F"/>
    <w:rsid w:val="00A95D7B"/>
    <w:rsid w:val="00A95E58"/>
    <w:rsid w:val="00A9625D"/>
    <w:rsid w:val="00A96278"/>
    <w:rsid w:val="00AA02A7"/>
    <w:rsid w:val="00AA042C"/>
    <w:rsid w:val="00AA0C77"/>
    <w:rsid w:val="00AA11EB"/>
    <w:rsid w:val="00AA1235"/>
    <w:rsid w:val="00AA1D27"/>
    <w:rsid w:val="00AA204C"/>
    <w:rsid w:val="00AA2D57"/>
    <w:rsid w:val="00AA3941"/>
    <w:rsid w:val="00AA4164"/>
    <w:rsid w:val="00AA56D0"/>
    <w:rsid w:val="00AA6669"/>
    <w:rsid w:val="00AA755D"/>
    <w:rsid w:val="00AA7E74"/>
    <w:rsid w:val="00AB0C9F"/>
    <w:rsid w:val="00AB1205"/>
    <w:rsid w:val="00AB143A"/>
    <w:rsid w:val="00AB2067"/>
    <w:rsid w:val="00AB3329"/>
    <w:rsid w:val="00AB34A9"/>
    <w:rsid w:val="00AB37F7"/>
    <w:rsid w:val="00AB3EB5"/>
    <w:rsid w:val="00AB57CE"/>
    <w:rsid w:val="00AC003C"/>
    <w:rsid w:val="00AC0103"/>
    <w:rsid w:val="00AC0DF1"/>
    <w:rsid w:val="00AC1404"/>
    <w:rsid w:val="00AC160B"/>
    <w:rsid w:val="00AC2097"/>
    <w:rsid w:val="00AC20FA"/>
    <w:rsid w:val="00AC27BE"/>
    <w:rsid w:val="00AC34D8"/>
    <w:rsid w:val="00AC44E0"/>
    <w:rsid w:val="00AC4FCC"/>
    <w:rsid w:val="00AC5E5A"/>
    <w:rsid w:val="00AC781C"/>
    <w:rsid w:val="00AD01B4"/>
    <w:rsid w:val="00AD039F"/>
    <w:rsid w:val="00AD06B5"/>
    <w:rsid w:val="00AD0A03"/>
    <w:rsid w:val="00AD1705"/>
    <w:rsid w:val="00AD2B66"/>
    <w:rsid w:val="00AD3902"/>
    <w:rsid w:val="00AD4137"/>
    <w:rsid w:val="00AD5C05"/>
    <w:rsid w:val="00AD6010"/>
    <w:rsid w:val="00AD618A"/>
    <w:rsid w:val="00AD645E"/>
    <w:rsid w:val="00AD66FE"/>
    <w:rsid w:val="00AD77E6"/>
    <w:rsid w:val="00AE0FFF"/>
    <w:rsid w:val="00AE191C"/>
    <w:rsid w:val="00AE2B2F"/>
    <w:rsid w:val="00AE2D35"/>
    <w:rsid w:val="00AE33FF"/>
    <w:rsid w:val="00AE3DFE"/>
    <w:rsid w:val="00AE5194"/>
    <w:rsid w:val="00AE56F5"/>
    <w:rsid w:val="00AE751A"/>
    <w:rsid w:val="00AF06D5"/>
    <w:rsid w:val="00AF09DD"/>
    <w:rsid w:val="00AF3C2E"/>
    <w:rsid w:val="00AF430E"/>
    <w:rsid w:val="00AF7A47"/>
    <w:rsid w:val="00AF7C96"/>
    <w:rsid w:val="00B0195C"/>
    <w:rsid w:val="00B019C7"/>
    <w:rsid w:val="00B0237F"/>
    <w:rsid w:val="00B02655"/>
    <w:rsid w:val="00B0335C"/>
    <w:rsid w:val="00B033BC"/>
    <w:rsid w:val="00B049F7"/>
    <w:rsid w:val="00B05102"/>
    <w:rsid w:val="00B051A0"/>
    <w:rsid w:val="00B06061"/>
    <w:rsid w:val="00B112E7"/>
    <w:rsid w:val="00B1214C"/>
    <w:rsid w:val="00B122AF"/>
    <w:rsid w:val="00B131F8"/>
    <w:rsid w:val="00B133D7"/>
    <w:rsid w:val="00B1530D"/>
    <w:rsid w:val="00B15392"/>
    <w:rsid w:val="00B15AE2"/>
    <w:rsid w:val="00B15B69"/>
    <w:rsid w:val="00B169E8"/>
    <w:rsid w:val="00B16A34"/>
    <w:rsid w:val="00B174FE"/>
    <w:rsid w:val="00B20762"/>
    <w:rsid w:val="00B20A19"/>
    <w:rsid w:val="00B20B3C"/>
    <w:rsid w:val="00B23905"/>
    <w:rsid w:val="00B23C06"/>
    <w:rsid w:val="00B24120"/>
    <w:rsid w:val="00B246D5"/>
    <w:rsid w:val="00B24AC8"/>
    <w:rsid w:val="00B25453"/>
    <w:rsid w:val="00B25955"/>
    <w:rsid w:val="00B27239"/>
    <w:rsid w:val="00B27822"/>
    <w:rsid w:val="00B3074B"/>
    <w:rsid w:val="00B31B9C"/>
    <w:rsid w:val="00B33C7D"/>
    <w:rsid w:val="00B3480B"/>
    <w:rsid w:val="00B34D6C"/>
    <w:rsid w:val="00B35010"/>
    <w:rsid w:val="00B36A01"/>
    <w:rsid w:val="00B36D27"/>
    <w:rsid w:val="00B4055A"/>
    <w:rsid w:val="00B4076D"/>
    <w:rsid w:val="00B41146"/>
    <w:rsid w:val="00B4222A"/>
    <w:rsid w:val="00B4478F"/>
    <w:rsid w:val="00B44F10"/>
    <w:rsid w:val="00B4612E"/>
    <w:rsid w:val="00B47206"/>
    <w:rsid w:val="00B52480"/>
    <w:rsid w:val="00B529B5"/>
    <w:rsid w:val="00B53F93"/>
    <w:rsid w:val="00B54CC5"/>
    <w:rsid w:val="00B550A9"/>
    <w:rsid w:val="00B5544F"/>
    <w:rsid w:val="00B55A9F"/>
    <w:rsid w:val="00B55E5D"/>
    <w:rsid w:val="00B56786"/>
    <w:rsid w:val="00B6039D"/>
    <w:rsid w:val="00B60A36"/>
    <w:rsid w:val="00B631AC"/>
    <w:rsid w:val="00B63684"/>
    <w:rsid w:val="00B66867"/>
    <w:rsid w:val="00B66994"/>
    <w:rsid w:val="00B66D2E"/>
    <w:rsid w:val="00B66FC5"/>
    <w:rsid w:val="00B702A1"/>
    <w:rsid w:val="00B7071C"/>
    <w:rsid w:val="00B7074C"/>
    <w:rsid w:val="00B70BF5"/>
    <w:rsid w:val="00B70D95"/>
    <w:rsid w:val="00B717C5"/>
    <w:rsid w:val="00B71975"/>
    <w:rsid w:val="00B71AFB"/>
    <w:rsid w:val="00B71F3A"/>
    <w:rsid w:val="00B7249E"/>
    <w:rsid w:val="00B72931"/>
    <w:rsid w:val="00B729C6"/>
    <w:rsid w:val="00B734DB"/>
    <w:rsid w:val="00B73C97"/>
    <w:rsid w:val="00B75113"/>
    <w:rsid w:val="00B7570F"/>
    <w:rsid w:val="00B75823"/>
    <w:rsid w:val="00B759B6"/>
    <w:rsid w:val="00B75C24"/>
    <w:rsid w:val="00B75FCF"/>
    <w:rsid w:val="00B76340"/>
    <w:rsid w:val="00B80C43"/>
    <w:rsid w:val="00B81585"/>
    <w:rsid w:val="00B818F1"/>
    <w:rsid w:val="00B828AD"/>
    <w:rsid w:val="00B829D2"/>
    <w:rsid w:val="00B831CD"/>
    <w:rsid w:val="00B83243"/>
    <w:rsid w:val="00B84B81"/>
    <w:rsid w:val="00B84F53"/>
    <w:rsid w:val="00B85F54"/>
    <w:rsid w:val="00B8611A"/>
    <w:rsid w:val="00B877C3"/>
    <w:rsid w:val="00B878AE"/>
    <w:rsid w:val="00B87E19"/>
    <w:rsid w:val="00B91C66"/>
    <w:rsid w:val="00B925FA"/>
    <w:rsid w:val="00B92B25"/>
    <w:rsid w:val="00B93DDB"/>
    <w:rsid w:val="00B94786"/>
    <w:rsid w:val="00B948B0"/>
    <w:rsid w:val="00B95372"/>
    <w:rsid w:val="00B958BB"/>
    <w:rsid w:val="00B95B16"/>
    <w:rsid w:val="00B960FE"/>
    <w:rsid w:val="00B967AF"/>
    <w:rsid w:val="00B97BA3"/>
    <w:rsid w:val="00BA153E"/>
    <w:rsid w:val="00BA2C26"/>
    <w:rsid w:val="00BA2E21"/>
    <w:rsid w:val="00BA2E9C"/>
    <w:rsid w:val="00BA4BEE"/>
    <w:rsid w:val="00BA4CEA"/>
    <w:rsid w:val="00BA53F1"/>
    <w:rsid w:val="00BA66E7"/>
    <w:rsid w:val="00BA78B6"/>
    <w:rsid w:val="00BA7DA7"/>
    <w:rsid w:val="00BB26AD"/>
    <w:rsid w:val="00BB3338"/>
    <w:rsid w:val="00BB4C39"/>
    <w:rsid w:val="00BB4D65"/>
    <w:rsid w:val="00BB6278"/>
    <w:rsid w:val="00BB6AC0"/>
    <w:rsid w:val="00BB6CBF"/>
    <w:rsid w:val="00BB7215"/>
    <w:rsid w:val="00BB79BD"/>
    <w:rsid w:val="00BC3C1A"/>
    <w:rsid w:val="00BC53AF"/>
    <w:rsid w:val="00BC5FF7"/>
    <w:rsid w:val="00BC6C10"/>
    <w:rsid w:val="00BC6E34"/>
    <w:rsid w:val="00BC7208"/>
    <w:rsid w:val="00BC7929"/>
    <w:rsid w:val="00BC7CCF"/>
    <w:rsid w:val="00BD0969"/>
    <w:rsid w:val="00BD0B48"/>
    <w:rsid w:val="00BD133A"/>
    <w:rsid w:val="00BD1909"/>
    <w:rsid w:val="00BD24E7"/>
    <w:rsid w:val="00BD2937"/>
    <w:rsid w:val="00BD2A0A"/>
    <w:rsid w:val="00BD2D89"/>
    <w:rsid w:val="00BD315B"/>
    <w:rsid w:val="00BD38D2"/>
    <w:rsid w:val="00BD50A8"/>
    <w:rsid w:val="00BD5D0F"/>
    <w:rsid w:val="00BD5D14"/>
    <w:rsid w:val="00BD7490"/>
    <w:rsid w:val="00BD78B5"/>
    <w:rsid w:val="00BD7A2C"/>
    <w:rsid w:val="00BD7C68"/>
    <w:rsid w:val="00BE04F8"/>
    <w:rsid w:val="00BE06D4"/>
    <w:rsid w:val="00BE10CC"/>
    <w:rsid w:val="00BE1CBC"/>
    <w:rsid w:val="00BE2559"/>
    <w:rsid w:val="00BE29DC"/>
    <w:rsid w:val="00BE38B1"/>
    <w:rsid w:val="00BE5F10"/>
    <w:rsid w:val="00BE5FF4"/>
    <w:rsid w:val="00BF04E6"/>
    <w:rsid w:val="00BF0FF3"/>
    <w:rsid w:val="00BF1063"/>
    <w:rsid w:val="00BF158B"/>
    <w:rsid w:val="00BF2BF1"/>
    <w:rsid w:val="00BF4CB6"/>
    <w:rsid w:val="00BF525D"/>
    <w:rsid w:val="00BF54C0"/>
    <w:rsid w:val="00BF697A"/>
    <w:rsid w:val="00BF6ADB"/>
    <w:rsid w:val="00BF74C3"/>
    <w:rsid w:val="00C026D0"/>
    <w:rsid w:val="00C02B8F"/>
    <w:rsid w:val="00C03776"/>
    <w:rsid w:val="00C0384B"/>
    <w:rsid w:val="00C05573"/>
    <w:rsid w:val="00C067EA"/>
    <w:rsid w:val="00C128D3"/>
    <w:rsid w:val="00C13120"/>
    <w:rsid w:val="00C13821"/>
    <w:rsid w:val="00C14051"/>
    <w:rsid w:val="00C14CF6"/>
    <w:rsid w:val="00C14D85"/>
    <w:rsid w:val="00C15A48"/>
    <w:rsid w:val="00C15B78"/>
    <w:rsid w:val="00C15D62"/>
    <w:rsid w:val="00C15F73"/>
    <w:rsid w:val="00C1632B"/>
    <w:rsid w:val="00C17004"/>
    <w:rsid w:val="00C170ED"/>
    <w:rsid w:val="00C1725E"/>
    <w:rsid w:val="00C200CE"/>
    <w:rsid w:val="00C2037B"/>
    <w:rsid w:val="00C20C90"/>
    <w:rsid w:val="00C211CB"/>
    <w:rsid w:val="00C22258"/>
    <w:rsid w:val="00C22614"/>
    <w:rsid w:val="00C22FF7"/>
    <w:rsid w:val="00C23E96"/>
    <w:rsid w:val="00C245D5"/>
    <w:rsid w:val="00C2625F"/>
    <w:rsid w:val="00C26494"/>
    <w:rsid w:val="00C267E5"/>
    <w:rsid w:val="00C277BE"/>
    <w:rsid w:val="00C27F76"/>
    <w:rsid w:val="00C30DA4"/>
    <w:rsid w:val="00C30EC0"/>
    <w:rsid w:val="00C31388"/>
    <w:rsid w:val="00C31D13"/>
    <w:rsid w:val="00C32344"/>
    <w:rsid w:val="00C332A1"/>
    <w:rsid w:val="00C342C6"/>
    <w:rsid w:val="00C349DF"/>
    <w:rsid w:val="00C357A5"/>
    <w:rsid w:val="00C40685"/>
    <w:rsid w:val="00C409E4"/>
    <w:rsid w:val="00C40C5B"/>
    <w:rsid w:val="00C42E17"/>
    <w:rsid w:val="00C44719"/>
    <w:rsid w:val="00C44A2E"/>
    <w:rsid w:val="00C44BB9"/>
    <w:rsid w:val="00C4517C"/>
    <w:rsid w:val="00C470DB"/>
    <w:rsid w:val="00C47435"/>
    <w:rsid w:val="00C474D1"/>
    <w:rsid w:val="00C4777B"/>
    <w:rsid w:val="00C47C7E"/>
    <w:rsid w:val="00C50108"/>
    <w:rsid w:val="00C50770"/>
    <w:rsid w:val="00C5122B"/>
    <w:rsid w:val="00C52124"/>
    <w:rsid w:val="00C52ED2"/>
    <w:rsid w:val="00C54A86"/>
    <w:rsid w:val="00C55D48"/>
    <w:rsid w:val="00C560D7"/>
    <w:rsid w:val="00C56235"/>
    <w:rsid w:val="00C608FC"/>
    <w:rsid w:val="00C62A2C"/>
    <w:rsid w:val="00C63F6F"/>
    <w:rsid w:val="00C63F8E"/>
    <w:rsid w:val="00C64216"/>
    <w:rsid w:val="00C6572C"/>
    <w:rsid w:val="00C67221"/>
    <w:rsid w:val="00C67B77"/>
    <w:rsid w:val="00C67E0D"/>
    <w:rsid w:val="00C67EFA"/>
    <w:rsid w:val="00C70CFF"/>
    <w:rsid w:val="00C717C5"/>
    <w:rsid w:val="00C719BE"/>
    <w:rsid w:val="00C73343"/>
    <w:rsid w:val="00C739E0"/>
    <w:rsid w:val="00C75655"/>
    <w:rsid w:val="00C77324"/>
    <w:rsid w:val="00C80063"/>
    <w:rsid w:val="00C81A23"/>
    <w:rsid w:val="00C837C3"/>
    <w:rsid w:val="00C83D87"/>
    <w:rsid w:val="00C84311"/>
    <w:rsid w:val="00C84497"/>
    <w:rsid w:val="00C8501A"/>
    <w:rsid w:val="00C85258"/>
    <w:rsid w:val="00C85B51"/>
    <w:rsid w:val="00C868F6"/>
    <w:rsid w:val="00C9115C"/>
    <w:rsid w:val="00C9137C"/>
    <w:rsid w:val="00C91644"/>
    <w:rsid w:val="00C94DDA"/>
    <w:rsid w:val="00C94ECB"/>
    <w:rsid w:val="00C95256"/>
    <w:rsid w:val="00C9663B"/>
    <w:rsid w:val="00C97676"/>
    <w:rsid w:val="00C9799A"/>
    <w:rsid w:val="00C979AB"/>
    <w:rsid w:val="00C97B20"/>
    <w:rsid w:val="00C97E1A"/>
    <w:rsid w:val="00CA094F"/>
    <w:rsid w:val="00CA156B"/>
    <w:rsid w:val="00CA1772"/>
    <w:rsid w:val="00CA177F"/>
    <w:rsid w:val="00CA2D9D"/>
    <w:rsid w:val="00CA43A5"/>
    <w:rsid w:val="00CA470F"/>
    <w:rsid w:val="00CA60EF"/>
    <w:rsid w:val="00CA788D"/>
    <w:rsid w:val="00CA7C0B"/>
    <w:rsid w:val="00CB0E0D"/>
    <w:rsid w:val="00CB3101"/>
    <w:rsid w:val="00CB5BCB"/>
    <w:rsid w:val="00CB6E2B"/>
    <w:rsid w:val="00CB6EC0"/>
    <w:rsid w:val="00CB6FF7"/>
    <w:rsid w:val="00CB7302"/>
    <w:rsid w:val="00CC197F"/>
    <w:rsid w:val="00CC1E9F"/>
    <w:rsid w:val="00CC2D41"/>
    <w:rsid w:val="00CC3B0D"/>
    <w:rsid w:val="00CC586D"/>
    <w:rsid w:val="00CC5896"/>
    <w:rsid w:val="00CC62BA"/>
    <w:rsid w:val="00CD03C1"/>
    <w:rsid w:val="00CD2141"/>
    <w:rsid w:val="00CD2470"/>
    <w:rsid w:val="00CD29EA"/>
    <w:rsid w:val="00CD2D67"/>
    <w:rsid w:val="00CD3F93"/>
    <w:rsid w:val="00CD46E2"/>
    <w:rsid w:val="00CD487B"/>
    <w:rsid w:val="00CD4EEC"/>
    <w:rsid w:val="00CD5480"/>
    <w:rsid w:val="00CD5FE9"/>
    <w:rsid w:val="00CD627F"/>
    <w:rsid w:val="00CD7029"/>
    <w:rsid w:val="00CD70C7"/>
    <w:rsid w:val="00CE0C35"/>
    <w:rsid w:val="00CE1D36"/>
    <w:rsid w:val="00CE1DA8"/>
    <w:rsid w:val="00CE3810"/>
    <w:rsid w:val="00CE52B4"/>
    <w:rsid w:val="00CE56C8"/>
    <w:rsid w:val="00CE5DCD"/>
    <w:rsid w:val="00CE701C"/>
    <w:rsid w:val="00CE7599"/>
    <w:rsid w:val="00CE7DC4"/>
    <w:rsid w:val="00CE7F03"/>
    <w:rsid w:val="00CF1D4D"/>
    <w:rsid w:val="00CF27A4"/>
    <w:rsid w:val="00CF2E17"/>
    <w:rsid w:val="00CF326D"/>
    <w:rsid w:val="00CF33E3"/>
    <w:rsid w:val="00CF402A"/>
    <w:rsid w:val="00CF4105"/>
    <w:rsid w:val="00CF414A"/>
    <w:rsid w:val="00CF45E3"/>
    <w:rsid w:val="00CF4FF0"/>
    <w:rsid w:val="00CF5B47"/>
    <w:rsid w:val="00CF5D28"/>
    <w:rsid w:val="00CF65A6"/>
    <w:rsid w:val="00CF7830"/>
    <w:rsid w:val="00D0020E"/>
    <w:rsid w:val="00D00B26"/>
    <w:rsid w:val="00D01840"/>
    <w:rsid w:val="00D0311E"/>
    <w:rsid w:val="00D035CC"/>
    <w:rsid w:val="00D0448F"/>
    <w:rsid w:val="00D05C1F"/>
    <w:rsid w:val="00D07078"/>
    <w:rsid w:val="00D077BC"/>
    <w:rsid w:val="00D10211"/>
    <w:rsid w:val="00D104F9"/>
    <w:rsid w:val="00D11A20"/>
    <w:rsid w:val="00D12FB1"/>
    <w:rsid w:val="00D140F0"/>
    <w:rsid w:val="00D14240"/>
    <w:rsid w:val="00D14323"/>
    <w:rsid w:val="00D16008"/>
    <w:rsid w:val="00D166D4"/>
    <w:rsid w:val="00D20B17"/>
    <w:rsid w:val="00D213B8"/>
    <w:rsid w:val="00D21667"/>
    <w:rsid w:val="00D2177C"/>
    <w:rsid w:val="00D22FAF"/>
    <w:rsid w:val="00D232C4"/>
    <w:rsid w:val="00D232E0"/>
    <w:rsid w:val="00D23640"/>
    <w:rsid w:val="00D24E91"/>
    <w:rsid w:val="00D262AD"/>
    <w:rsid w:val="00D2638C"/>
    <w:rsid w:val="00D27970"/>
    <w:rsid w:val="00D27F32"/>
    <w:rsid w:val="00D27F3A"/>
    <w:rsid w:val="00D30254"/>
    <w:rsid w:val="00D3151E"/>
    <w:rsid w:val="00D32DAE"/>
    <w:rsid w:val="00D33078"/>
    <w:rsid w:val="00D33768"/>
    <w:rsid w:val="00D3398F"/>
    <w:rsid w:val="00D33BF5"/>
    <w:rsid w:val="00D33D87"/>
    <w:rsid w:val="00D34477"/>
    <w:rsid w:val="00D34975"/>
    <w:rsid w:val="00D34DC9"/>
    <w:rsid w:val="00D35077"/>
    <w:rsid w:val="00D359BA"/>
    <w:rsid w:val="00D35A6E"/>
    <w:rsid w:val="00D35FE0"/>
    <w:rsid w:val="00D3628C"/>
    <w:rsid w:val="00D36C7F"/>
    <w:rsid w:val="00D36D27"/>
    <w:rsid w:val="00D37469"/>
    <w:rsid w:val="00D406B5"/>
    <w:rsid w:val="00D408A8"/>
    <w:rsid w:val="00D40DCA"/>
    <w:rsid w:val="00D41405"/>
    <w:rsid w:val="00D4141C"/>
    <w:rsid w:val="00D440A5"/>
    <w:rsid w:val="00D445F3"/>
    <w:rsid w:val="00D46377"/>
    <w:rsid w:val="00D46634"/>
    <w:rsid w:val="00D46DAE"/>
    <w:rsid w:val="00D50548"/>
    <w:rsid w:val="00D50BB3"/>
    <w:rsid w:val="00D50CD2"/>
    <w:rsid w:val="00D51C8F"/>
    <w:rsid w:val="00D51F93"/>
    <w:rsid w:val="00D5204B"/>
    <w:rsid w:val="00D52DE1"/>
    <w:rsid w:val="00D5306A"/>
    <w:rsid w:val="00D53276"/>
    <w:rsid w:val="00D546B3"/>
    <w:rsid w:val="00D54C10"/>
    <w:rsid w:val="00D55191"/>
    <w:rsid w:val="00D55855"/>
    <w:rsid w:val="00D55CD0"/>
    <w:rsid w:val="00D57544"/>
    <w:rsid w:val="00D5768E"/>
    <w:rsid w:val="00D57973"/>
    <w:rsid w:val="00D60058"/>
    <w:rsid w:val="00D60CC6"/>
    <w:rsid w:val="00D60CE2"/>
    <w:rsid w:val="00D612EC"/>
    <w:rsid w:val="00D6153E"/>
    <w:rsid w:val="00D62262"/>
    <w:rsid w:val="00D623C4"/>
    <w:rsid w:val="00D62C50"/>
    <w:rsid w:val="00D6505D"/>
    <w:rsid w:val="00D66101"/>
    <w:rsid w:val="00D66948"/>
    <w:rsid w:val="00D66CEE"/>
    <w:rsid w:val="00D702DA"/>
    <w:rsid w:val="00D7158C"/>
    <w:rsid w:val="00D71A73"/>
    <w:rsid w:val="00D722DF"/>
    <w:rsid w:val="00D734D4"/>
    <w:rsid w:val="00D73765"/>
    <w:rsid w:val="00D73CE9"/>
    <w:rsid w:val="00D75B67"/>
    <w:rsid w:val="00D760FE"/>
    <w:rsid w:val="00D77FE0"/>
    <w:rsid w:val="00D80F0B"/>
    <w:rsid w:val="00D81AB4"/>
    <w:rsid w:val="00D84675"/>
    <w:rsid w:val="00D84696"/>
    <w:rsid w:val="00D848FC"/>
    <w:rsid w:val="00D85135"/>
    <w:rsid w:val="00D8526A"/>
    <w:rsid w:val="00D8548A"/>
    <w:rsid w:val="00D85C16"/>
    <w:rsid w:val="00D86252"/>
    <w:rsid w:val="00D87441"/>
    <w:rsid w:val="00D87EF6"/>
    <w:rsid w:val="00D903B1"/>
    <w:rsid w:val="00D917F3"/>
    <w:rsid w:val="00D92026"/>
    <w:rsid w:val="00D92356"/>
    <w:rsid w:val="00D9319D"/>
    <w:rsid w:val="00D93A51"/>
    <w:rsid w:val="00D9459E"/>
    <w:rsid w:val="00D969DF"/>
    <w:rsid w:val="00D97065"/>
    <w:rsid w:val="00D97BAA"/>
    <w:rsid w:val="00DA120A"/>
    <w:rsid w:val="00DA1674"/>
    <w:rsid w:val="00DA1693"/>
    <w:rsid w:val="00DA181B"/>
    <w:rsid w:val="00DA1FA3"/>
    <w:rsid w:val="00DA25C9"/>
    <w:rsid w:val="00DA3AF3"/>
    <w:rsid w:val="00DA4090"/>
    <w:rsid w:val="00DA4D45"/>
    <w:rsid w:val="00DA508F"/>
    <w:rsid w:val="00DA5455"/>
    <w:rsid w:val="00DA576E"/>
    <w:rsid w:val="00DA5888"/>
    <w:rsid w:val="00DA5C2B"/>
    <w:rsid w:val="00DA62C8"/>
    <w:rsid w:val="00DA698B"/>
    <w:rsid w:val="00DB0999"/>
    <w:rsid w:val="00DB0E14"/>
    <w:rsid w:val="00DB4237"/>
    <w:rsid w:val="00DB4553"/>
    <w:rsid w:val="00DB4FCC"/>
    <w:rsid w:val="00DB5291"/>
    <w:rsid w:val="00DB5EFB"/>
    <w:rsid w:val="00DB6EF1"/>
    <w:rsid w:val="00DC0767"/>
    <w:rsid w:val="00DC0818"/>
    <w:rsid w:val="00DC19BB"/>
    <w:rsid w:val="00DC3B62"/>
    <w:rsid w:val="00DC4D28"/>
    <w:rsid w:val="00DC5F69"/>
    <w:rsid w:val="00DC6404"/>
    <w:rsid w:val="00DC6987"/>
    <w:rsid w:val="00DD0D99"/>
    <w:rsid w:val="00DD1B54"/>
    <w:rsid w:val="00DD2BFD"/>
    <w:rsid w:val="00DD2DC6"/>
    <w:rsid w:val="00DD3633"/>
    <w:rsid w:val="00DD3F91"/>
    <w:rsid w:val="00DD4B0C"/>
    <w:rsid w:val="00DD4BCC"/>
    <w:rsid w:val="00DD718A"/>
    <w:rsid w:val="00DD7FDF"/>
    <w:rsid w:val="00DE04B6"/>
    <w:rsid w:val="00DE0816"/>
    <w:rsid w:val="00DE0EA6"/>
    <w:rsid w:val="00DE0F8D"/>
    <w:rsid w:val="00DE1703"/>
    <w:rsid w:val="00DE1AD8"/>
    <w:rsid w:val="00DE25AC"/>
    <w:rsid w:val="00DE311B"/>
    <w:rsid w:val="00DE312E"/>
    <w:rsid w:val="00DE44D0"/>
    <w:rsid w:val="00DE7CD8"/>
    <w:rsid w:val="00DF14DC"/>
    <w:rsid w:val="00DF1E50"/>
    <w:rsid w:val="00DF2601"/>
    <w:rsid w:val="00DF42EA"/>
    <w:rsid w:val="00DF4A01"/>
    <w:rsid w:val="00DF4B0B"/>
    <w:rsid w:val="00DF568D"/>
    <w:rsid w:val="00DF5DC8"/>
    <w:rsid w:val="00E000E9"/>
    <w:rsid w:val="00E00757"/>
    <w:rsid w:val="00E00CCB"/>
    <w:rsid w:val="00E0108B"/>
    <w:rsid w:val="00E03A3E"/>
    <w:rsid w:val="00E03F7A"/>
    <w:rsid w:val="00E04293"/>
    <w:rsid w:val="00E042C7"/>
    <w:rsid w:val="00E05BAF"/>
    <w:rsid w:val="00E05E95"/>
    <w:rsid w:val="00E077A7"/>
    <w:rsid w:val="00E0781A"/>
    <w:rsid w:val="00E1098C"/>
    <w:rsid w:val="00E11475"/>
    <w:rsid w:val="00E1240A"/>
    <w:rsid w:val="00E125D8"/>
    <w:rsid w:val="00E12BF4"/>
    <w:rsid w:val="00E1594B"/>
    <w:rsid w:val="00E15AD2"/>
    <w:rsid w:val="00E15BD0"/>
    <w:rsid w:val="00E1648E"/>
    <w:rsid w:val="00E175A7"/>
    <w:rsid w:val="00E17C8D"/>
    <w:rsid w:val="00E17CB6"/>
    <w:rsid w:val="00E20168"/>
    <w:rsid w:val="00E20740"/>
    <w:rsid w:val="00E20BAD"/>
    <w:rsid w:val="00E20E92"/>
    <w:rsid w:val="00E22173"/>
    <w:rsid w:val="00E221B2"/>
    <w:rsid w:val="00E245DA"/>
    <w:rsid w:val="00E24645"/>
    <w:rsid w:val="00E2488B"/>
    <w:rsid w:val="00E24FA2"/>
    <w:rsid w:val="00E263AC"/>
    <w:rsid w:val="00E27252"/>
    <w:rsid w:val="00E2758E"/>
    <w:rsid w:val="00E27A40"/>
    <w:rsid w:val="00E27F87"/>
    <w:rsid w:val="00E30CE1"/>
    <w:rsid w:val="00E30D21"/>
    <w:rsid w:val="00E3112E"/>
    <w:rsid w:val="00E31BCB"/>
    <w:rsid w:val="00E32963"/>
    <w:rsid w:val="00E33160"/>
    <w:rsid w:val="00E337BC"/>
    <w:rsid w:val="00E34F20"/>
    <w:rsid w:val="00E350CD"/>
    <w:rsid w:val="00E36F82"/>
    <w:rsid w:val="00E372A9"/>
    <w:rsid w:val="00E4001B"/>
    <w:rsid w:val="00E40157"/>
    <w:rsid w:val="00E4081B"/>
    <w:rsid w:val="00E419FC"/>
    <w:rsid w:val="00E41B5A"/>
    <w:rsid w:val="00E4664A"/>
    <w:rsid w:val="00E50DB3"/>
    <w:rsid w:val="00E50DB6"/>
    <w:rsid w:val="00E51FDE"/>
    <w:rsid w:val="00E534B2"/>
    <w:rsid w:val="00E53734"/>
    <w:rsid w:val="00E543F4"/>
    <w:rsid w:val="00E54BF8"/>
    <w:rsid w:val="00E555D1"/>
    <w:rsid w:val="00E55AD7"/>
    <w:rsid w:val="00E5679E"/>
    <w:rsid w:val="00E56AEE"/>
    <w:rsid w:val="00E56B66"/>
    <w:rsid w:val="00E579AF"/>
    <w:rsid w:val="00E613AA"/>
    <w:rsid w:val="00E613E4"/>
    <w:rsid w:val="00E61FDB"/>
    <w:rsid w:val="00E643B4"/>
    <w:rsid w:val="00E64528"/>
    <w:rsid w:val="00E705B7"/>
    <w:rsid w:val="00E70763"/>
    <w:rsid w:val="00E7086E"/>
    <w:rsid w:val="00E70ECC"/>
    <w:rsid w:val="00E715F8"/>
    <w:rsid w:val="00E71A89"/>
    <w:rsid w:val="00E72944"/>
    <w:rsid w:val="00E73167"/>
    <w:rsid w:val="00E73499"/>
    <w:rsid w:val="00E75E00"/>
    <w:rsid w:val="00E77197"/>
    <w:rsid w:val="00E77405"/>
    <w:rsid w:val="00E7784C"/>
    <w:rsid w:val="00E80D18"/>
    <w:rsid w:val="00E815D1"/>
    <w:rsid w:val="00E81B1A"/>
    <w:rsid w:val="00E82273"/>
    <w:rsid w:val="00E82636"/>
    <w:rsid w:val="00E82F29"/>
    <w:rsid w:val="00E83086"/>
    <w:rsid w:val="00E8431A"/>
    <w:rsid w:val="00E84FB3"/>
    <w:rsid w:val="00E87037"/>
    <w:rsid w:val="00E87C1F"/>
    <w:rsid w:val="00E90087"/>
    <w:rsid w:val="00E900B8"/>
    <w:rsid w:val="00E915BA"/>
    <w:rsid w:val="00E91935"/>
    <w:rsid w:val="00E9253B"/>
    <w:rsid w:val="00E94043"/>
    <w:rsid w:val="00E95871"/>
    <w:rsid w:val="00E95CAF"/>
    <w:rsid w:val="00E95D13"/>
    <w:rsid w:val="00E97252"/>
    <w:rsid w:val="00E979AC"/>
    <w:rsid w:val="00EA0F03"/>
    <w:rsid w:val="00EA1EF9"/>
    <w:rsid w:val="00EA200F"/>
    <w:rsid w:val="00EA22FF"/>
    <w:rsid w:val="00EA26BB"/>
    <w:rsid w:val="00EA2C33"/>
    <w:rsid w:val="00EA2CA0"/>
    <w:rsid w:val="00EA2DC6"/>
    <w:rsid w:val="00EA2F20"/>
    <w:rsid w:val="00EA3469"/>
    <w:rsid w:val="00EA42A8"/>
    <w:rsid w:val="00EA46A4"/>
    <w:rsid w:val="00EA4BF0"/>
    <w:rsid w:val="00EA53B4"/>
    <w:rsid w:val="00EA5514"/>
    <w:rsid w:val="00EA7237"/>
    <w:rsid w:val="00EA7856"/>
    <w:rsid w:val="00EB055B"/>
    <w:rsid w:val="00EB09D2"/>
    <w:rsid w:val="00EB0E1C"/>
    <w:rsid w:val="00EB0F36"/>
    <w:rsid w:val="00EB112A"/>
    <w:rsid w:val="00EB1E1E"/>
    <w:rsid w:val="00EB3097"/>
    <w:rsid w:val="00EB4616"/>
    <w:rsid w:val="00EB4DF2"/>
    <w:rsid w:val="00EB5445"/>
    <w:rsid w:val="00EB5B7E"/>
    <w:rsid w:val="00EB674E"/>
    <w:rsid w:val="00EB6B3E"/>
    <w:rsid w:val="00EB78D6"/>
    <w:rsid w:val="00EC0907"/>
    <w:rsid w:val="00EC1212"/>
    <w:rsid w:val="00EC1D3D"/>
    <w:rsid w:val="00EC3331"/>
    <w:rsid w:val="00EC3A17"/>
    <w:rsid w:val="00EC5526"/>
    <w:rsid w:val="00EC5D5E"/>
    <w:rsid w:val="00EC6520"/>
    <w:rsid w:val="00EC677E"/>
    <w:rsid w:val="00EC7E67"/>
    <w:rsid w:val="00ED15A4"/>
    <w:rsid w:val="00ED5B5C"/>
    <w:rsid w:val="00ED70BD"/>
    <w:rsid w:val="00ED74C0"/>
    <w:rsid w:val="00ED7A73"/>
    <w:rsid w:val="00EE0B3E"/>
    <w:rsid w:val="00EE2475"/>
    <w:rsid w:val="00EE2F67"/>
    <w:rsid w:val="00EE340E"/>
    <w:rsid w:val="00EE37BB"/>
    <w:rsid w:val="00EE4755"/>
    <w:rsid w:val="00EE5491"/>
    <w:rsid w:val="00EE5A50"/>
    <w:rsid w:val="00EE6AE1"/>
    <w:rsid w:val="00EE74A8"/>
    <w:rsid w:val="00EF0800"/>
    <w:rsid w:val="00EF3EBD"/>
    <w:rsid w:val="00EF4099"/>
    <w:rsid w:val="00EF6330"/>
    <w:rsid w:val="00EF693C"/>
    <w:rsid w:val="00EF6BDC"/>
    <w:rsid w:val="00F0101C"/>
    <w:rsid w:val="00F01C4C"/>
    <w:rsid w:val="00F02786"/>
    <w:rsid w:val="00F02B19"/>
    <w:rsid w:val="00F0434F"/>
    <w:rsid w:val="00F0670F"/>
    <w:rsid w:val="00F070A8"/>
    <w:rsid w:val="00F072A7"/>
    <w:rsid w:val="00F079FB"/>
    <w:rsid w:val="00F07FA6"/>
    <w:rsid w:val="00F10E92"/>
    <w:rsid w:val="00F11BB3"/>
    <w:rsid w:val="00F12636"/>
    <w:rsid w:val="00F13036"/>
    <w:rsid w:val="00F13D8C"/>
    <w:rsid w:val="00F14118"/>
    <w:rsid w:val="00F14973"/>
    <w:rsid w:val="00F157F2"/>
    <w:rsid w:val="00F15C9D"/>
    <w:rsid w:val="00F1650E"/>
    <w:rsid w:val="00F170CA"/>
    <w:rsid w:val="00F17E6B"/>
    <w:rsid w:val="00F20151"/>
    <w:rsid w:val="00F210DB"/>
    <w:rsid w:val="00F21D1A"/>
    <w:rsid w:val="00F22855"/>
    <w:rsid w:val="00F22865"/>
    <w:rsid w:val="00F23802"/>
    <w:rsid w:val="00F2382D"/>
    <w:rsid w:val="00F24D75"/>
    <w:rsid w:val="00F25CA9"/>
    <w:rsid w:val="00F26178"/>
    <w:rsid w:val="00F261E3"/>
    <w:rsid w:val="00F275FC"/>
    <w:rsid w:val="00F34B2F"/>
    <w:rsid w:val="00F34D96"/>
    <w:rsid w:val="00F34F33"/>
    <w:rsid w:val="00F35C3A"/>
    <w:rsid w:val="00F36D1F"/>
    <w:rsid w:val="00F36EA9"/>
    <w:rsid w:val="00F3769E"/>
    <w:rsid w:val="00F4022A"/>
    <w:rsid w:val="00F40F06"/>
    <w:rsid w:val="00F4207F"/>
    <w:rsid w:val="00F42669"/>
    <w:rsid w:val="00F43372"/>
    <w:rsid w:val="00F43566"/>
    <w:rsid w:val="00F4445B"/>
    <w:rsid w:val="00F44CC8"/>
    <w:rsid w:val="00F45334"/>
    <w:rsid w:val="00F460B2"/>
    <w:rsid w:val="00F46953"/>
    <w:rsid w:val="00F4749B"/>
    <w:rsid w:val="00F50A70"/>
    <w:rsid w:val="00F50F3C"/>
    <w:rsid w:val="00F51057"/>
    <w:rsid w:val="00F514FB"/>
    <w:rsid w:val="00F51657"/>
    <w:rsid w:val="00F51766"/>
    <w:rsid w:val="00F52ACF"/>
    <w:rsid w:val="00F5359B"/>
    <w:rsid w:val="00F53696"/>
    <w:rsid w:val="00F547C7"/>
    <w:rsid w:val="00F560D7"/>
    <w:rsid w:val="00F5637F"/>
    <w:rsid w:val="00F56CE9"/>
    <w:rsid w:val="00F57358"/>
    <w:rsid w:val="00F603F7"/>
    <w:rsid w:val="00F61151"/>
    <w:rsid w:val="00F61B7A"/>
    <w:rsid w:val="00F62BD9"/>
    <w:rsid w:val="00F632A0"/>
    <w:rsid w:val="00F63F17"/>
    <w:rsid w:val="00F643AF"/>
    <w:rsid w:val="00F64767"/>
    <w:rsid w:val="00F64ECE"/>
    <w:rsid w:val="00F66CF3"/>
    <w:rsid w:val="00F67B6E"/>
    <w:rsid w:val="00F70016"/>
    <w:rsid w:val="00F70FA6"/>
    <w:rsid w:val="00F7274A"/>
    <w:rsid w:val="00F72E7F"/>
    <w:rsid w:val="00F74EA1"/>
    <w:rsid w:val="00F760D1"/>
    <w:rsid w:val="00F77765"/>
    <w:rsid w:val="00F779BA"/>
    <w:rsid w:val="00F77EC3"/>
    <w:rsid w:val="00F801D9"/>
    <w:rsid w:val="00F83FCF"/>
    <w:rsid w:val="00F85318"/>
    <w:rsid w:val="00F8534B"/>
    <w:rsid w:val="00F85674"/>
    <w:rsid w:val="00F85E98"/>
    <w:rsid w:val="00F8606A"/>
    <w:rsid w:val="00F87559"/>
    <w:rsid w:val="00F87B9F"/>
    <w:rsid w:val="00F902E5"/>
    <w:rsid w:val="00F908A4"/>
    <w:rsid w:val="00F90A75"/>
    <w:rsid w:val="00F90D48"/>
    <w:rsid w:val="00F919E7"/>
    <w:rsid w:val="00F922E5"/>
    <w:rsid w:val="00F93BA1"/>
    <w:rsid w:val="00F94A77"/>
    <w:rsid w:val="00F95E47"/>
    <w:rsid w:val="00F96B34"/>
    <w:rsid w:val="00F972C6"/>
    <w:rsid w:val="00FA0D23"/>
    <w:rsid w:val="00FA1255"/>
    <w:rsid w:val="00FA24DF"/>
    <w:rsid w:val="00FA57F7"/>
    <w:rsid w:val="00FA59D3"/>
    <w:rsid w:val="00FA5A41"/>
    <w:rsid w:val="00FA65D9"/>
    <w:rsid w:val="00FA7C8B"/>
    <w:rsid w:val="00FB0249"/>
    <w:rsid w:val="00FB0E4C"/>
    <w:rsid w:val="00FB2750"/>
    <w:rsid w:val="00FB30FE"/>
    <w:rsid w:val="00FB3A8E"/>
    <w:rsid w:val="00FB3C2B"/>
    <w:rsid w:val="00FB40A3"/>
    <w:rsid w:val="00FB4228"/>
    <w:rsid w:val="00FB514F"/>
    <w:rsid w:val="00FB6170"/>
    <w:rsid w:val="00FB793A"/>
    <w:rsid w:val="00FB7CA3"/>
    <w:rsid w:val="00FC04B2"/>
    <w:rsid w:val="00FC17DF"/>
    <w:rsid w:val="00FC3139"/>
    <w:rsid w:val="00FC3289"/>
    <w:rsid w:val="00FC4212"/>
    <w:rsid w:val="00FC54E6"/>
    <w:rsid w:val="00FC5915"/>
    <w:rsid w:val="00FC5D6D"/>
    <w:rsid w:val="00FC612E"/>
    <w:rsid w:val="00FD2A6A"/>
    <w:rsid w:val="00FD44EC"/>
    <w:rsid w:val="00FD5A88"/>
    <w:rsid w:val="00FD6354"/>
    <w:rsid w:val="00FD6657"/>
    <w:rsid w:val="00FE01FD"/>
    <w:rsid w:val="00FE0BC6"/>
    <w:rsid w:val="00FE19C5"/>
    <w:rsid w:val="00FE2A2F"/>
    <w:rsid w:val="00FE31B0"/>
    <w:rsid w:val="00FE3AE6"/>
    <w:rsid w:val="00FE3F4B"/>
    <w:rsid w:val="00FE418C"/>
    <w:rsid w:val="00FE5C25"/>
    <w:rsid w:val="00FE607E"/>
    <w:rsid w:val="00FE60E1"/>
    <w:rsid w:val="00FE6B37"/>
    <w:rsid w:val="00FF001C"/>
    <w:rsid w:val="00FF0B48"/>
    <w:rsid w:val="00FF1A54"/>
    <w:rsid w:val="00FF1D24"/>
    <w:rsid w:val="00FF319A"/>
    <w:rsid w:val="00FF392F"/>
    <w:rsid w:val="00FF5288"/>
    <w:rsid w:val="00FF7A74"/>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BE0253"/>
  <w15:docId w15:val="{F4B3C931-030C-467F-9A01-08C8EA79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3D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07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59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922E5"/>
    <w:pPr>
      <w:widowControl/>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Style 13,Style 12,Style 28,(NECG) Footnote Reference,Style 11,Style 9,Style 16,Style 15,Style 17,Style 20,o1,fr1,o2,fr2,o3,fr3,Style 8,Style 7,Style 19"/>
    <w:basedOn w:val="DefaultParagraphFont"/>
    <w:uiPriority w:val="99"/>
    <w:rsid w:val="00671E4C"/>
    <w:rPr>
      <w:vertAlign w:val="superscript"/>
    </w:rPr>
  </w:style>
  <w:style w:type="character" w:styleId="Hyperlink">
    <w:name w:val="Hyperlink"/>
    <w:basedOn w:val="DefaultParagraphFont"/>
    <w:uiPriority w:val="99"/>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character" w:customStyle="1" w:styleId="Heading4Char">
    <w:name w:val="Heading 4 Char"/>
    <w:basedOn w:val="DefaultParagraphFont"/>
    <w:link w:val="Heading4"/>
    <w:uiPriority w:val="9"/>
    <w:rsid w:val="00F922E5"/>
    <w:rPr>
      <w:rFonts w:ascii="Times New Roman" w:eastAsia="Times New Roman" w:hAnsi="Times New Roman" w:cs="Times New Roman"/>
      <w:b/>
      <w:bCs/>
      <w:sz w:val="24"/>
      <w:szCs w:val="24"/>
    </w:rPr>
  </w:style>
  <w:style w:type="paragraph" w:styleId="NormalWeb">
    <w:name w:val="Normal (Web)"/>
    <w:basedOn w:val="Normal"/>
    <w:uiPriority w:val="99"/>
    <w:unhideWhenUsed/>
    <w:rsid w:val="00F922E5"/>
    <w:pPr>
      <w:widowControl/>
      <w:spacing w:before="100" w:beforeAutospacing="1" w:after="100" w:afterAutospacing="1"/>
    </w:pPr>
    <w:rPr>
      <w:sz w:val="24"/>
      <w:szCs w:val="24"/>
    </w:rPr>
  </w:style>
  <w:style w:type="paragraph" w:styleId="ListParagraph">
    <w:name w:val="List Paragraph"/>
    <w:basedOn w:val="Normal"/>
    <w:uiPriority w:val="34"/>
    <w:qFormat/>
    <w:rsid w:val="00F922E5"/>
    <w:pPr>
      <w:ind w:left="720"/>
      <w:contextualSpacing/>
    </w:pPr>
  </w:style>
  <w:style w:type="paragraph" w:styleId="EndnoteText">
    <w:name w:val="endnote text"/>
    <w:basedOn w:val="Normal"/>
    <w:link w:val="EndnoteTextChar"/>
    <w:uiPriority w:val="99"/>
    <w:semiHidden/>
    <w:unhideWhenUsed/>
    <w:rsid w:val="003E62C2"/>
  </w:style>
  <w:style w:type="character" w:customStyle="1" w:styleId="EndnoteTextChar">
    <w:name w:val="Endnote Text Char"/>
    <w:basedOn w:val="DefaultParagraphFont"/>
    <w:link w:val="EndnoteText"/>
    <w:uiPriority w:val="99"/>
    <w:semiHidden/>
    <w:rsid w:val="003E62C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E62C2"/>
    <w:rPr>
      <w:vertAlign w:val="superscript"/>
    </w:rPr>
  </w:style>
  <w:style w:type="paragraph" w:styleId="FootnoteText">
    <w:name w:val="footnote text"/>
    <w:aliases w:val="fn,ALTS FOOTNOTE,Footnote Text 2,Footnote text,FOOTNOTE,fn Char Char,fn Char,Car,Footnote Text Char1 Char,Footnote Text Char Char Char,ALTS FOOTNOTE Char Char Char,Footnote Text Char2 Char Char Char,ft,Style 14,Style 18"/>
    <w:basedOn w:val="Normal"/>
    <w:link w:val="FootnoteTextChar"/>
    <w:uiPriority w:val="99"/>
    <w:unhideWhenUsed/>
    <w:qFormat/>
    <w:rsid w:val="003E62C2"/>
  </w:style>
  <w:style w:type="character" w:customStyle="1" w:styleId="FootnoteTextChar">
    <w:name w:val="Footnote Text Char"/>
    <w:aliases w:val="fn Char1,ALTS FOOTNOTE Char,Footnote Text 2 Char,Footnote text Char,FOOTNOTE Char,fn Char Char Char,fn Char Char1,Car Char,Footnote Text Char1 Char Char,Footnote Text Char Char Char Char,ALTS FOOTNOTE Char Char Char Char,ft Char"/>
    <w:basedOn w:val="DefaultParagraphFont"/>
    <w:link w:val="FootnoteText"/>
    <w:uiPriority w:val="99"/>
    <w:qFormat/>
    <w:rsid w:val="003E62C2"/>
    <w:rPr>
      <w:rFonts w:ascii="Times New Roman" w:eastAsia="Times New Roman" w:hAnsi="Times New Roman" w:cs="Times New Roman"/>
      <w:sz w:val="20"/>
      <w:szCs w:val="20"/>
    </w:rPr>
  </w:style>
  <w:style w:type="character" w:customStyle="1" w:styleId="pmterms11">
    <w:name w:val="pmterms11"/>
    <w:basedOn w:val="DefaultParagraphFont"/>
    <w:rsid w:val="00F760D1"/>
    <w:rPr>
      <w:b/>
      <w:bCs/>
      <w:i w:val="0"/>
      <w:iCs w:val="0"/>
      <w:color w:val="000000"/>
    </w:rPr>
  </w:style>
  <w:style w:type="character" w:styleId="CommentReference">
    <w:name w:val="annotation reference"/>
    <w:basedOn w:val="DefaultParagraphFont"/>
    <w:uiPriority w:val="99"/>
    <w:semiHidden/>
    <w:unhideWhenUsed/>
    <w:rsid w:val="00B0237F"/>
    <w:rPr>
      <w:sz w:val="16"/>
      <w:szCs w:val="16"/>
    </w:rPr>
  </w:style>
  <w:style w:type="paragraph" w:styleId="CommentText">
    <w:name w:val="annotation text"/>
    <w:basedOn w:val="Normal"/>
    <w:link w:val="CommentTextChar"/>
    <w:uiPriority w:val="99"/>
    <w:semiHidden/>
    <w:unhideWhenUsed/>
    <w:rsid w:val="00B0237F"/>
  </w:style>
  <w:style w:type="character" w:customStyle="1" w:styleId="CommentTextChar">
    <w:name w:val="Comment Text Char"/>
    <w:basedOn w:val="DefaultParagraphFont"/>
    <w:link w:val="CommentText"/>
    <w:uiPriority w:val="99"/>
    <w:semiHidden/>
    <w:rsid w:val="00B023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37F"/>
    <w:rPr>
      <w:b/>
      <w:bCs/>
    </w:rPr>
  </w:style>
  <w:style w:type="character" w:customStyle="1" w:styleId="CommentSubjectChar">
    <w:name w:val="Comment Subject Char"/>
    <w:basedOn w:val="CommentTextChar"/>
    <w:link w:val="CommentSubject"/>
    <w:uiPriority w:val="99"/>
    <w:semiHidden/>
    <w:rsid w:val="00B0237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A755D"/>
    <w:pPr>
      <w:tabs>
        <w:tab w:val="center" w:pos="4680"/>
        <w:tab w:val="right" w:pos="9360"/>
      </w:tabs>
    </w:pPr>
  </w:style>
  <w:style w:type="character" w:customStyle="1" w:styleId="HeaderChar">
    <w:name w:val="Header Char"/>
    <w:basedOn w:val="DefaultParagraphFont"/>
    <w:link w:val="Header"/>
    <w:uiPriority w:val="99"/>
    <w:rsid w:val="00AA75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755D"/>
    <w:pPr>
      <w:tabs>
        <w:tab w:val="center" w:pos="4680"/>
        <w:tab w:val="right" w:pos="9360"/>
      </w:tabs>
    </w:pPr>
  </w:style>
  <w:style w:type="character" w:customStyle="1" w:styleId="FooterChar">
    <w:name w:val="Footer Char"/>
    <w:basedOn w:val="DefaultParagraphFont"/>
    <w:link w:val="Footer"/>
    <w:uiPriority w:val="99"/>
    <w:rsid w:val="00AA755D"/>
    <w:rPr>
      <w:rFonts w:ascii="Times New Roman" w:eastAsia="Times New Roman" w:hAnsi="Times New Roman" w:cs="Times New Roman"/>
      <w:sz w:val="20"/>
      <w:szCs w:val="20"/>
    </w:rPr>
  </w:style>
  <w:style w:type="paragraph" w:styleId="Revision">
    <w:name w:val="Revision"/>
    <w:hidden/>
    <w:uiPriority w:val="99"/>
    <w:semiHidden/>
    <w:rsid w:val="004604C7"/>
    <w:pPr>
      <w:spacing w:after="0" w:line="240" w:lineRule="auto"/>
    </w:pPr>
    <w:rPr>
      <w:rFonts w:ascii="Times New Roman" w:eastAsia="Times New Roman" w:hAnsi="Times New Roman" w:cs="Times New Roman"/>
      <w:sz w:val="20"/>
      <w:szCs w:val="20"/>
    </w:rPr>
  </w:style>
  <w:style w:type="paragraph" w:styleId="BodyText2">
    <w:name w:val="Body Text 2"/>
    <w:basedOn w:val="Normal"/>
    <w:link w:val="BodyText2Char"/>
    <w:rsid w:val="006239A8"/>
    <w:pPr>
      <w:widowControl/>
      <w:spacing w:line="480" w:lineRule="auto"/>
      <w:ind w:firstLine="720"/>
      <w:jc w:val="both"/>
    </w:pPr>
    <w:rPr>
      <w:sz w:val="24"/>
      <w:szCs w:val="24"/>
    </w:rPr>
  </w:style>
  <w:style w:type="character" w:customStyle="1" w:styleId="BodyText2Char">
    <w:name w:val="Body Text 2 Char"/>
    <w:basedOn w:val="DefaultParagraphFont"/>
    <w:link w:val="BodyText2"/>
    <w:rsid w:val="006239A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93DD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93DDB"/>
    <w:pPr>
      <w:widowControl/>
      <w:spacing w:line="276" w:lineRule="auto"/>
      <w:outlineLvl w:val="9"/>
    </w:pPr>
    <w:rPr>
      <w:lang w:eastAsia="ja-JP"/>
    </w:rPr>
  </w:style>
  <w:style w:type="paragraph" w:customStyle="1" w:styleId="Default">
    <w:name w:val="Default"/>
    <w:rsid w:val="009674A4"/>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364133"/>
    <w:pPr>
      <w:tabs>
        <w:tab w:val="right" w:leader="dot" w:pos="9350"/>
      </w:tabs>
      <w:spacing w:after="100"/>
    </w:pPr>
    <w:rPr>
      <w:noProof/>
      <w:sz w:val="26"/>
      <w:szCs w:val="26"/>
    </w:rPr>
  </w:style>
  <w:style w:type="character" w:customStyle="1" w:styleId="Heading2Char">
    <w:name w:val="Heading 2 Char"/>
    <w:basedOn w:val="DefaultParagraphFont"/>
    <w:link w:val="Heading2"/>
    <w:uiPriority w:val="9"/>
    <w:rsid w:val="00B7074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42B63"/>
    <w:pPr>
      <w:tabs>
        <w:tab w:val="left" w:pos="720"/>
        <w:tab w:val="right" w:leader="dot" w:pos="9350"/>
      </w:tabs>
      <w:spacing w:after="100"/>
      <w:ind w:left="200"/>
    </w:pPr>
  </w:style>
  <w:style w:type="character" w:customStyle="1" w:styleId="Heading3Char">
    <w:name w:val="Heading 3 Char"/>
    <w:basedOn w:val="DefaultParagraphFont"/>
    <w:link w:val="Heading3"/>
    <w:uiPriority w:val="9"/>
    <w:rsid w:val="00705918"/>
    <w:rPr>
      <w:rFonts w:asciiTheme="majorHAnsi" w:eastAsiaTheme="majorEastAsia" w:hAnsiTheme="majorHAnsi" w:cstheme="majorBidi"/>
      <w:b/>
      <w:bCs/>
      <w:color w:val="4F81BD" w:themeColor="accent1"/>
      <w:sz w:val="20"/>
      <w:szCs w:val="20"/>
    </w:rPr>
  </w:style>
  <w:style w:type="paragraph" w:styleId="TOC3">
    <w:name w:val="toc 3"/>
    <w:basedOn w:val="Normal"/>
    <w:next w:val="Normal"/>
    <w:autoRedefine/>
    <w:uiPriority w:val="39"/>
    <w:unhideWhenUsed/>
    <w:rsid w:val="0038610B"/>
    <w:pPr>
      <w:spacing w:after="100"/>
      <w:ind w:left="400"/>
    </w:pPr>
  </w:style>
  <w:style w:type="paragraph" w:customStyle="1" w:styleId="ParaTab1">
    <w:name w:val="ParaTab 1"/>
    <w:rsid w:val="00B83243"/>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B83243"/>
    <w:pPr>
      <w:widowControl/>
      <w:tabs>
        <w:tab w:val="left" w:pos="-1440"/>
        <w:tab w:val="left" w:pos="-720"/>
        <w:tab w:val="left" w:pos="0"/>
        <w:tab w:val="left" w:pos="720"/>
        <w:tab w:val="left" w:pos="1440"/>
      </w:tabs>
      <w:spacing w:line="480" w:lineRule="auto"/>
      <w:jc w:val="both"/>
    </w:pPr>
    <w:rPr>
      <w:sz w:val="24"/>
    </w:rPr>
  </w:style>
  <w:style w:type="character" w:customStyle="1" w:styleId="BodyTextChar">
    <w:name w:val="Body Text Char"/>
    <w:basedOn w:val="DefaultParagraphFont"/>
    <w:link w:val="BodyText"/>
    <w:rsid w:val="00B83243"/>
    <w:rPr>
      <w:rFonts w:ascii="Times New Roman" w:eastAsia="Times New Roman" w:hAnsi="Times New Roman" w:cs="Times New Roman"/>
      <w:sz w:val="24"/>
      <w:szCs w:val="20"/>
    </w:rPr>
  </w:style>
  <w:style w:type="paragraph" w:styleId="BlockText">
    <w:name w:val="Block Text"/>
    <w:basedOn w:val="Normal"/>
    <w:rsid w:val="00B83243"/>
    <w:pPr>
      <w:tabs>
        <w:tab w:val="left" w:pos="-720"/>
      </w:tabs>
      <w:spacing w:line="360" w:lineRule="auto"/>
      <w:ind w:left="1440" w:right="2160"/>
    </w:pPr>
    <w:rPr>
      <w:sz w:val="26"/>
    </w:rPr>
  </w:style>
  <w:style w:type="character" w:styleId="Strong">
    <w:name w:val="Strong"/>
    <w:basedOn w:val="DefaultParagraphFont"/>
    <w:uiPriority w:val="22"/>
    <w:qFormat/>
    <w:rsid w:val="00B83243"/>
    <w:rPr>
      <w:b/>
      <w:bCs/>
    </w:rPr>
  </w:style>
  <w:style w:type="table" w:customStyle="1" w:styleId="ListTable7Colorful1">
    <w:name w:val="List Table 7 Colorful1"/>
    <w:basedOn w:val="TableNormal"/>
    <w:uiPriority w:val="52"/>
    <w:rsid w:val="00CF5D2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23423">
      <w:bodyDiv w:val="1"/>
      <w:marLeft w:val="0"/>
      <w:marRight w:val="0"/>
      <w:marTop w:val="0"/>
      <w:marBottom w:val="0"/>
      <w:divBdr>
        <w:top w:val="none" w:sz="0" w:space="0" w:color="auto"/>
        <w:left w:val="none" w:sz="0" w:space="0" w:color="auto"/>
        <w:bottom w:val="none" w:sz="0" w:space="0" w:color="auto"/>
        <w:right w:val="none" w:sz="0" w:space="0" w:color="auto"/>
      </w:divBdr>
      <w:divsChild>
        <w:div w:id="885412230">
          <w:marLeft w:val="0"/>
          <w:marRight w:val="0"/>
          <w:marTop w:val="0"/>
          <w:marBottom w:val="0"/>
          <w:divBdr>
            <w:top w:val="none" w:sz="0" w:space="0" w:color="auto"/>
            <w:left w:val="none" w:sz="0" w:space="0" w:color="auto"/>
            <w:bottom w:val="none" w:sz="0" w:space="0" w:color="auto"/>
            <w:right w:val="none" w:sz="0" w:space="0" w:color="auto"/>
          </w:divBdr>
          <w:divsChild>
            <w:div w:id="544804119">
              <w:marLeft w:val="0"/>
              <w:marRight w:val="0"/>
              <w:marTop w:val="0"/>
              <w:marBottom w:val="0"/>
              <w:divBdr>
                <w:top w:val="none" w:sz="0" w:space="0" w:color="auto"/>
                <w:left w:val="none" w:sz="0" w:space="0" w:color="auto"/>
                <w:bottom w:val="none" w:sz="0" w:space="0" w:color="auto"/>
                <w:right w:val="none" w:sz="0" w:space="0" w:color="auto"/>
              </w:divBdr>
              <w:divsChild>
                <w:div w:id="1399329240">
                  <w:marLeft w:val="0"/>
                  <w:marRight w:val="0"/>
                  <w:marTop w:val="0"/>
                  <w:marBottom w:val="0"/>
                  <w:divBdr>
                    <w:top w:val="none" w:sz="0" w:space="0" w:color="auto"/>
                    <w:left w:val="none" w:sz="0" w:space="0" w:color="auto"/>
                    <w:bottom w:val="none" w:sz="0" w:space="0" w:color="auto"/>
                    <w:right w:val="none" w:sz="0" w:space="0" w:color="auto"/>
                  </w:divBdr>
                  <w:divsChild>
                    <w:div w:id="1862081660">
                      <w:marLeft w:val="0"/>
                      <w:marRight w:val="0"/>
                      <w:marTop w:val="0"/>
                      <w:marBottom w:val="0"/>
                      <w:divBdr>
                        <w:top w:val="none" w:sz="0" w:space="0" w:color="auto"/>
                        <w:left w:val="none" w:sz="0" w:space="0" w:color="auto"/>
                        <w:bottom w:val="none" w:sz="0" w:space="0" w:color="auto"/>
                        <w:right w:val="none" w:sz="0" w:space="0" w:color="auto"/>
                      </w:divBdr>
                      <w:divsChild>
                        <w:div w:id="16558334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70757958">
                              <w:marLeft w:val="0"/>
                              <w:marRight w:val="0"/>
                              <w:marTop w:val="0"/>
                              <w:marBottom w:val="0"/>
                              <w:divBdr>
                                <w:top w:val="none" w:sz="0" w:space="0" w:color="auto"/>
                                <w:left w:val="none" w:sz="0" w:space="0" w:color="auto"/>
                                <w:bottom w:val="none" w:sz="0" w:space="0" w:color="auto"/>
                                <w:right w:val="none" w:sz="0" w:space="0" w:color="auto"/>
                              </w:divBdr>
                              <w:divsChild>
                                <w:div w:id="463501302">
                                  <w:marLeft w:val="0"/>
                                  <w:marRight w:val="0"/>
                                  <w:marTop w:val="0"/>
                                  <w:marBottom w:val="0"/>
                                  <w:divBdr>
                                    <w:top w:val="none" w:sz="0" w:space="0" w:color="auto"/>
                                    <w:left w:val="none" w:sz="0" w:space="0" w:color="auto"/>
                                    <w:bottom w:val="none" w:sz="0" w:space="0" w:color="auto"/>
                                    <w:right w:val="none" w:sz="0" w:space="0" w:color="auto"/>
                                  </w:divBdr>
                                  <w:divsChild>
                                    <w:div w:id="1676103823">
                                      <w:marLeft w:val="0"/>
                                      <w:marRight w:val="0"/>
                                      <w:marTop w:val="0"/>
                                      <w:marBottom w:val="0"/>
                                      <w:divBdr>
                                        <w:top w:val="none" w:sz="0" w:space="0" w:color="auto"/>
                                        <w:left w:val="none" w:sz="0" w:space="0" w:color="auto"/>
                                        <w:bottom w:val="none" w:sz="0" w:space="0" w:color="auto"/>
                                        <w:right w:val="none" w:sz="0" w:space="0" w:color="auto"/>
                                      </w:divBdr>
                                      <w:divsChild>
                                        <w:div w:id="1015620112">
                                          <w:marLeft w:val="0"/>
                                          <w:marRight w:val="0"/>
                                          <w:marTop w:val="0"/>
                                          <w:marBottom w:val="0"/>
                                          <w:divBdr>
                                            <w:top w:val="none" w:sz="0" w:space="0" w:color="auto"/>
                                            <w:left w:val="none" w:sz="0" w:space="0" w:color="auto"/>
                                            <w:bottom w:val="none" w:sz="0" w:space="0" w:color="auto"/>
                                            <w:right w:val="none" w:sz="0" w:space="0" w:color="auto"/>
                                          </w:divBdr>
                                          <w:divsChild>
                                            <w:div w:id="111637587">
                                              <w:marLeft w:val="0"/>
                                              <w:marRight w:val="0"/>
                                              <w:marTop w:val="0"/>
                                              <w:marBottom w:val="0"/>
                                              <w:divBdr>
                                                <w:top w:val="none" w:sz="0" w:space="0" w:color="auto"/>
                                                <w:left w:val="none" w:sz="0" w:space="0" w:color="auto"/>
                                                <w:bottom w:val="none" w:sz="0" w:space="0" w:color="auto"/>
                                                <w:right w:val="none" w:sz="0" w:space="0" w:color="auto"/>
                                              </w:divBdr>
                                              <w:divsChild>
                                                <w:div w:id="388043179">
                                                  <w:marLeft w:val="0"/>
                                                  <w:marRight w:val="0"/>
                                                  <w:marTop w:val="0"/>
                                                  <w:marBottom w:val="0"/>
                                                  <w:divBdr>
                                                    <w:top w:val="none" w:sz="0" w:space="0" w:color="auto"/>
                                                    <w:left w:val="none" w:sz="0" w:space="0" w:color="auto"/>
                                                    <w:bottom w:val="none" w:sz="0" w:space="0" w:color="auto"/>
                                                    <w:right w:val="none" w:sz="0" w:space="0" w:color="auto"/>
                                                  </w:divBdr>
                                                  <w:divsChild>
                                                    <w:div w:id="1534461179">
                                                      <w:marLeft w:val="0"/>
                                                      <w:marRight w:val="0"/>
                                                      <w:marTop w:val="0"/>
                                                      <w:marBottom w:val="0"/>
                                                      <w:divBdr>
                                                        <w:top w:val="none" w:sz="0" w:space="0" w:color="auto"/>
                                                        <w:left w:val="none" w:sz="0" w:space="0" w:color="auto"/>
                                                        <w:bottom w:val="none" w:sz="0" w:space="0" w:color="auto"/>
                                                        <w:right w:val="none" w:sz="0" w:space="0" w:color="auto"/>
                                                      </w:divBdr>
                                                    </w:div>
                                                  </w:divsChild>
                                                </w:div>
                                                <w:div w:id="1810128966">
                                                  <w:marLeft w:val="0"/>
                                                  <w:marRight w:val="0"/>
                                                  <w:marTop w:val="0"/>
                                                  <w:marBottom w:val="0"/>
                                                  <w:divBdr>
                                                    <w:top w:val="none" w:sz="0" w:space="0" w:color="auto"/>
                                                    <w:left w:val="none" w:sz="0" w:space="0" w:color="auto"/>
                                                    <w:bottom w:val="none" w:sz="0" w:space="0" w:color="auto"/>
                                                    <w:right w:val="none" w:sz="0" w:space="0" w:color="auto"/>
                                                  </w:divBdr>
                                                  <w:divsChild>
                                                    <w:div w:id="117530947">
                                                      <w:marLeft w:val="0"/>
                                                      <w:marRight w:val="0"/>
                                                      <w:marTop w:val="0"/>
                                                      <w:marBottom w:val="0"/>
                                                      <w:divBdr>
                                                        <w:top w:val="none" w:sz="0" w:space="0" w:color="auto"/>
                                                        <w:left w:val="none" w:sz="0" w:space="0" w:color="auto"/>
                                                        <w:bottom w:val="none" w:sz="0" w:space="0" w:color="auto"/>
                                                        <w:right w:val="none" w:sz="0" w:space="0" w:color="auto"/>
                                                      </w:divBdr>
                                                      <w:divsChild>
                                                        <w:div w:id="15338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6055">
                                                  <w:marLeft w:val="0"/>
                                                  <w:marRight w:val="0"/>
                                                  <w:marTop w:val="0"/>
                                                  <w:marBottom w:val="0"/>
                                                  <w:divBdr>
                                                    <w:top w:val="none" w:sz="0" w:space="0" w:color="auto"/>
                                                    <w:left w:val="none" w:sz="0" w:space="0" w:color="auto"/>
                                                    <w:bottom w:val="none" w:sz="0" w:space="0" w:color="auto"/>
                                                    <w:right w:val="none" w:sz="0" w:space="0" w:color="auto"/>
                                                  </w:divBdr>
                                                  <w:divsChild>
                                                    <w:div w:id="1967200080">
                                                      <w:marLeft w:val="0"/>
                                                      <w:marRight w:val="0"/>
                                                      <w:marTop w:val="0"/>
                                                      <w:marBottom w:val="0"/>
                                                      <w:divBdr>
                                                        <w:top w:val="none" w:sz="0" w:space="0" w:color="auto"/>
                                                        <w:left w:val="none" w:sz="0" w:space="0" w:color="auto"/>
                                                        <w:bottom w:val="none" w:sz="0" w:space="0" w:color="auto"/>
                                                        <w:right w:val="none" w:sz="0" w:space="0" w:color="auto"/>
                                                      </w:divBdr>
                                                      <w:divsChild>
                                                        <w:div w:id="198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833">
                                                  <w:marLeft w:val="0"/>
                                                  <w:marRight w:val="0"/>
                                                  <w:marTop w:val="0"/>
                                                  <w:marBottom w:val="0"/>
                                                  <w:divBdr>
                                                    <w:top w:val="none" w:sz="0" w:space="0" w:color="auto"/>
                                                    <w:left w:val="none" w:sz="0" w:space="0" w:color="auto"/>
                                                    <w:bottom w:val="none" w:sz="0" w:space="0" w:color="auto"/>
                                                    <w:right w:val="none" w:sz="0" w:space="0" w:color="auto"/>
                                                  </w:divBdr>
                                                  <w:divsChild>
                                                    <w:div w:id="907618329">
                                                      <w:marLeft w:val="0"/>
                                                      <w:marRight w:val="0"/>
                                                      <w:marTop w:val="0"/>
                                                      <w:marBottom w:val="0"/>
                                                      <w:divBdr>
                                                        <w:top w:val="none" w:sz="0" w:space="0" w:color="auto"/>
                                                        <w:left w:val="none" w:sz="0" w:space="0" w:color="auto"/>
                                                        <w:bottom w:val="none" w:sz="0" w:space="0" w:color="auto"/>
                                                        <w:right w:val="none" w:sz="0" w:space="0" w:color="auto"/>
                                                      </w:divBdr>
                                                      <w:divsChild>
                                                        <w:div w:id="9334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327022">
      <w:bodyDiv w:val="1"/>
      <w:marLeft w:val="0"/>
      <w:marRight w:val="0"/>
      <w:marTop w:val="0"/>
      <w:marBottom w:val="0"/>
      <w:divBdr>
        <w:top w:val="none" w:sz="0" w:space="0" w:color="auto"/>
        <w:left w:val="none" w:sz="0" w:space="0" w:color="auto"/>
        <w:bottom w:val="none" w:sz="0" w:space="0" w:color="auto"/>
        <w:right w:val="none" w:sz="0" w:space="0" w:color="auto"/>
      </w:divBdr>
      <w:divsChild>
        <w:div w:id="1706100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C72E-C17F-4AA1-8C7B-B76EB9FD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87</Pages>
  <Words>22019</Words>
  <Characters>125512</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jnase</dc:creator>
  <cp:lastModifiedBy>Reynolds, Doris</cp:lastModifiedBy>
  <cp:revision>5</cp:revision>
  <cp:lastPrinted>2017-11-29T16:19:00Z</cp:lastPrinted>
  <dcterms:created xsi:type="dcterms:W3CDTF">2017-11-29T13:07:00Z</dcterms:created>
  <dcterms:modified xsi:type="dcterms:W3CDTF">2017-11-29T16:19:00Z</dcterms:modified>
</cp:coreProperties>
</file>