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5843C" w14:textId="77777777" w:rsidR="009E5583" w:rsidRPr="00892425" w:rsidRDefault="009E5583" w:rsidP="002C4EC5">
      <w:pPr>
        <w:pStyle w:val="Subtitle"/>
        <w:contextualSpacing/>
        <w:rPr>
          <w:sz w:val="26"/>
          <w:szCs w:val="26"/>
        </w:rPr>
      </w:pPr>
      <w:r w:rsidRPr="00892425">
        <w:rPr>
          <w:sz w:val="26"/>
          <w:szCs w:val="26"/>
        </w:rPr>
        <w:t>PENNSYLVANIA</w:t>
      </w:r>
    </w:p>
    <w:p w14:paraId="0CDED9F3" w14:textId="77777777" w:rsidR="009E5583" w:rsidRPr="00892425" w:rsidRDefault="009E5583" w:rsidP="002C4EC5">
      <w:pPr>
        <w:pStyle w:val="Subtitle"/>
        <w:contextualSpacing/>
        <w:rPr>
          <w:sz w:val="26"/>
          <w:szCs w:val="26"/>
        </w:rPr>
      </w:pPr>
      <w:r w:rsidRPr="00892425">
        <w:rPr>
          <w:sz w:val="26"/>
          <w:szCs w:val="26"/>
        </w:rPr>
        <w:t>PUBLIC UTILITY COMMISSION</w:t>
      </w:r>
    </w:p>
    <w:p w14:paraId="5C5C052F" w14:textId="77777777" w:rsidR="009E5583" w:rsidRPr="00892425" w:rsidRDefault="009E5583" w:rsidP="002C4EC5">
      <w:pPr>
        <w:pStyle w:val="Subtitle"/>
        <w:contextualSpacing/>
        <w:rPr>
          <w:sz w:val="26"/>
          <w:szCs w:val="26"/>
        </w:rPr>
      </w:pPr>
      <w:r w:rsidRPr="00892425">
        <w:rPr>
          <w:sz w:val="26"/>
          <w:szCs w:val="26"/>
        </w:rPr>
        <w:t>Harrisburg, PA 17105-3265</w:t>
      </w:r>
    </w:p>
    <w:p w14:paraId="513FC7F8" w14:textId="77777777" w:rsidR="009E5583" w:rsidRPr="003B7DF2" w:rsidRDefault="009E5583" w:rsidP="002C4EC5">
      <w:pPr>
        <w:pStyle w:val="Subtitle"/>
        <w:contextualSpacing/>
        <w:jc w:val="left"/>
        <w:rPr>
          <w:b w:val="0"/>
          <w:sz w:val="26"/>
          <w:szCs w:val="26"/>
        </w:rPr>
      </w:pPr>
    </w:p>
    <w:p w14:paraId="16E76484" w14:textId="77777777" w:rsidR="004622BB" w:rsidRPr="00892425" w:rsidRDefault="004622BB" w:rsidP="002C4EC5">
      <w:pPr>
        <w:spacing w:line="240" w:lineRule="auto"/>
        <w:contextualSpacing/>
        <w:jc w:val="right"/>
        <w:rPr>
          <w:sz w:val="26"/>
          <w:szCs w:val="26"/>
        </w:rPr>
      </w:pPr>
      <w:r w:rsidRPr="00892425">
        <w:rPr>
          <w:sz w:val="26"/>
          <w:szCs w:val="26"/>
        </w:rPr>
        <w:t>Public Meeting held May 9, 2019</w:t>
      </w:r>
    </w:p>
    <w:p w14:paraId="4607D340" w14:textId="77777777" w:rsidR="004622BB" w:rsidRPr="00892425" w:rsidRDefault="004622BB" w:rsidP="002C4EC5">
      <w:pPr>
        <w:spacing w:line="240" w:lineRule="auto"/>
        <w:contextualSpacing/>
        <w:jc w:val="right"/>
        <w:rPr>
          <w:sz w:val="26"/>
          <w:szCs w:val="26"/>
        </w:rPr>
      </w:pPr>
    </w:p>
    <w:p w14:paraId="35401A0A" w14:textId="77777777" w:rsidR="004622BB" w:rsidRPr="00892425" w:rsidRDefault="004622BB" w:rsidP="002C4EC5">
      <w:pPr>
        <w:spacing w:line="240" w:lineRule="auto"/>
        <w:contextualSpacing/>
        <w:rPr>
          <w:sz w:val="26"/>
          <w:szCs w:val="26"/>
        </w:rPr>
      </w:pPr>
      <w:r w:rsidRPr="00892425">
        <w:rPr>
          <w:sz w:val="26"/>
          <w:szCs w:val="26"/>
        </w:rPr>
        <w:t>Commissioners Present:</w:t>
      </w:r>
    </w:p>
    <w:p w14:paraId="7733B8A9" w14:textId="77777777" w:rsidR="004622BB" w:rsidRPr="00892425" w:rsidRDefault="004622BB" w:rsidP="002C4EC5">
      <w:pPr>
        <w:spacing w:line="240" w:lineRule="auto"/>
        <w:contextualSpacing/>
        <w:rPr>
          <w:sz w:val="26"/>
          <w:szCs w:val="26"/>
        </w:rPr>
      </w:pPr>
    </w:p>
    <w:p w14:paraId="16403318" w14:textId="7B9C227D" w:rsidR="004622BB" w:rsidRPr="00892425" w:rsidRDefault="004622BB" w:rsidP="002C4EC5">
      <w:pPr>
        <w:tabs>
          <w:tab w:val="left" w:pos="705"/>
        </w:tabs>
        <w:spacing w:line="240" w:lineRule="auto"/>
        <w:ind w:firstLine="720"/>
        <w:contextualSpacing/>
        <w:rPr>
          <w:sz w:val="26"/>
          <w:szCs w:val="26"/>
        </w:rPr>
      </w:pPr>
      <w:r w:rsidRPr="00892425">
        <w:rPr>
          <w:sz w:val="26"/>
          <w:szCs w:val="26"/>
        </w:rPr>
        <w:t>Gladys Brown</w:t>
      </w:r>
      <w:r w:rsidR="000D1409" w:rsidRPr="00892425">
        <w:rPr>
          <w:sz w:val="26"/>
          <w:szCs w:val="26"/>
        </w:rPr>
        <w:t xml:space="preserve"> Dutrieuille</w:t>
      </w:r>
      <w:r w:rsidRPr="00892425">
        <w:rPr>
          <w:sz w:val="26"/>
          <w:szCs w:val="26"/>
        </w:rPr>
        <w:t>, Chairman</w:t>
      </w:r>
    </w:p>
    <w:p w14:paraId="37F4D166" w14:textId="77777777" w:rsidR="004622BB" w:rsidRPr="00892425" w:rsidRDefault="004622BB" w:rsidP="002C4EC5">
      <w:pPr>
        <w:tabs>
          <w:tab w:val="left" w:pos="705"/>
        </w:tabs>
        <w:spacing w:line="240" w:lineRule="auto"/>
        <w:ind w:firstLine="720"/>
        <w:contextualSpacing/>
        <w:rPr>
          <w:sz w:val="26"/>
          <w:szCs w:val="26"/>
        </w:rPr>
      </w:pPr>
      <w:r w:rsidRPr="00892425">
        <w:rPr>
          <w:sz w:val="26"/>
          <w:szCs w:val="26"/>
        </w:rPr>
        <w:t>David W. Sweet, Vice Chairman</w:t>
      </w:r>
    </w:p>
    <w:p w14:paraId="4611F9F1" w14:textId="77777777" w:rsidR="004622BB" w:rsidRPr="00892425" w:rsidRDefault="004622BB" w:rsidP="002C4EC5">
      <w:pPr>
        <w:tabs>
          <w:tab w:val="left" w:pos="705"/>
        </w:tabs>
        <w:spacing w:line="240" w:lineRule="auto"/>
        <w:ind w:firstLine="720"/>
        <w:contextualSpacing/>
        <w:rPr>
          <w:sz w:val="26"/>
          <w:szCs w:val="26"/>
        </w:rPr>
      </w:pPr>
      <w:r w:rsidRPr="00892425">
        <w:rPr>
          <w:sz w:val="26"/>
          <w:szCs w:val="26"/>
        </w:rPr>
        <w:t>Norman J. Kennard</w:t>
      </w:r>
    </w:p>
    <w:p w14:paraId="3AAE5BC2" w14:textId="77777777" w:rsidR="004622BB" w:rsidRPr="00892425" w:rsidRDefault="004622BB" w:rsidP="002C4EC5">
      <w:pPr>
        <w:tabs>
          <w:tab w:val="left" w:pos="705"/>
        </w:tabs>
        <w:spacing w:line="240" w:lineRule="auto"/>
        <w:ind w:firstLine="720"/>
        <w:contextualSpacing/>
        <w:rPr>
          <w:sz w:val="26"/>
          <w:szCs w:val="26"/>
        </w:rPr>
      </w:pPr>
      <w:r w:rsidRPr="00892425">
        <w:rPr>
          <w:sz w:val="26"/>
          <w:szCs w:val="26"/>
        </w:rPr>
        <w:t>Andrew G. Place</w:t>
      </w:r>
    </w:p>
    <w:p w14:paraId="4E02E6B6" w14:textId="77777777" w:rsidR="004622BB" w:rsidRPr="00892425" w:rsidRDefault="004622BB" w:rsidP="002C4EC5">
      <w:pPr>
        <w:tabs>
          <w:tab w:val="left" w:pos="705"/>
        </w:tabs>
        <w:spacing w:line="240" w:lineRule="auto"/>
        <w:ind w:firstLine="720"/>
        <w:contextualSpacing/>
        <w:rPr>
          <w:sz w:val="26"/>
          <w:szCs w:val="26"/>
        </w:rPr>
      </w:pPr>
      <w:r w:rsidRPr="00892425">
        <w:rPr>
          <w:sz w:val="26"/>
          <w:szCs w:val="26"/>
        </w:rPr>
        <w:t>John F. Coleman, Jr.</w:t>
      </w:r>
    </w:p>
    <w:p w14:paraId="6059A7A9" w14:textId="77777777" w:rsidR="004622BB" w:rsidRPr="00892425" w:rsidRDefault="004622BB" w:rsidP="002C4EC5">
      <w:pPr>
        <w:spacing w:line="240" w:lineRule="auto"/>
        <w:contextualSpacing/>
        <w:rPr>
          <w:sz w:val="26"/>
          <w:szCs w:val="26"/>
        </w:rPr>
      </w:pPr>
    </w:p>
    <w:p w14:paraId="6A81EC89" w14:textId="7D2B7673" w:rsidR="00E05523" w:rsidRPr="00892425" w:rsidRDefault="00E05523" w:rsidP="002C4EC5">
      <w:pPr>
        <w:autoSpaceDE w:val="0"/>
        <w:autoSpaceDN w:val="0"/>
        <w:spacing w:line="240" w:lineRule="auto"/>
        <w:ind w:right="-14"/>
        <w:contextualSpacing/>
        <w:rPr>
          <w:sz w:val="26"/>
          <w:szCs w:val="26"/>
        </w:rPr>
      </w:pPr>
      <w:r w:rsidRPr="00892425">
        <w:rPr>
          <w:sz w:val="26"/>
          <w:szCs w:val="26"/>
        </w:rPr>
        <w:t>Pennsylvania Public Utility Commission</w:t>
      </w:r>
      <w:r w:rsidR="003929FC" w:rsidRPr="00892425">
        <w:rPr>
          <w:sz w:val="26"/>
          <w:szCs w:val="26"/>
        </w:rPr>
        <w:tab/>
      </w:r>
      <w:r w:rsidRPr="00892425">
        <w:rPr>
          <w:sz w:val="26"/>
          <w:szCs w:val="26"/>
        </w:rPr>
        <w:tab/>
      </w:r>
      <w:r w:rsidRPr="00892425">
        <w:rPr>
          <w:sz w:val="26"/>
          <w:szCs w:val="26"/>
        </w:rPr>
        <w:tab/>
      </w:r>
      <w:r w:rsidRPr="00892425">
        <w:rPr>
          <w:sz w:val="26"/>
          <w:szCs w:val="26"/>
        </w:rPr>
        <w:tab/>
      </w:r>
      <w:r w:rsidR="00B76A0A" w:rsidRPr="00892425">
        <w:rPr>
          <w:sz w:val="26"/>
          <w:szCs w:val="26"/>
        </w:rPr>
        <w:t xml:space="preserve">     </w:t>
      </w:r>
      <w:r w:rsidRPr="00892425">
        <w:rPr>
          <w:sz w:val="26"/>
          <w:szCs w:val="26"/>
        </w:rPr>
        <w:t>R-</w:t>
      </w:r>
      <w:r w:rsidR="004622BB" w:rsidRPr="00892425">
        <w:rPr>
          <w:sz w:val="26"/>
          <w:szCs w:val="26"/>
        </w:rPr>
        <w:t>2018-3003558</w:t>
      </w:r>
    </w:p>
    <w:p w14:paraId="155C446D" w14:textId="076C0215" w:rsidR="004622BB" w:rsidRPr="00892425" w:rsidRDefault="006C0376" w:rsidP="002C4EC5">
      <w:pPr>
        <w:autoSpaceDE w:val="0"/>
        <w:autoSpaceDN w:val="0"/>
        <w:spacing w:line="240" w:lineRule="auto"/>
        <w:ind w:right="-14"/>
        <w:contextualSpacing/>
        <w:rPr>
          <w:sz w:val="26"/>
          <w:szCs w:val="26"/>
        </w:rPr>
      </w:pPr>
      <w:r w:rsidRPr="00892425">
        <w:rPr>
          <w:sz w:val="26"/>
          <w:szCs w:val="26"/>
        </w:rPr>
        <w:t>Aqua Large Users Group</w:t>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r>
      <w:r w:rsidR="004622BB" w:rsidRPr="00892425">
        <w:rPr>
          <w:sz w:val="26"/>
          <w:szCs w:val="26"/>
        </w:rPr>
        <w:t xml:space="preserve">     </w:t>
      </w:r>
      <w:r w:rsidR="00523600" w:rsidRPr="00892425">
        <w:rPr>
          <w:sz w:val="26"/>
          <w:szCs w:val="26"/>
        </w:rPr>
        <w:t>C-2018-3004981</w:t>
      </w:r>
    </w:p>
    <w:p w14:paraId="0819397A" w14:textId="55988D1C" w:rsidR="00523600" w:rsidRPr="00892425" w:rsidRDefault="00523600" w:rsidP="002C4EC5">
      <w:pPr>
        <w:autoSpaceDE w:val="0"/>
        <w:autoSpaceDN w:val="0"/>
        <w:spacing w:line="240" w:lineRule="auto"/>
        <w:ind w:right="-14"/>
        <w:contextualSpacing/>
        <w:rPr>
          <w:i/>
          <w:sz w:val="26"/>
          <w:szCs w:val="26"/>
        </w:rPr>
      </w:pPr>
      <w:r w:rsidRPr="00892425">
        <w:rPr>
          <w:sz w:val="26"/>
          <w:szCs w:val="26"/>
        </w:rPr>
        <w:t>Office of Consumer Advocate</w:t>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t xml:space="preserve">     C-2018-3004331</w:t>
      </w:r>
    </w:p>
    <w:p w14:paraId="6882C53E" w14:textId="586A4ED3" w:rsidR="00523600" w:rsidRPr="00892425" w:rsidRDefault="00523600" w:rsidP="002C4EC5">
      <w:pPr>
        <w:autoSpaceDE w:val="0"/>
        <w:autoSpaceDN w:val="0"/>
        <w:spacing w:line="240" w:lineRule="auto"/>
        <w:ind w:right="-14"/>
        <w:contextualSpacing/>
        <w:rPr>
          <w:i/>
          <w:sz w:val="26"/>
          <w:szCs w:val="26"/>
        </w:rPr>
      </w:pPr>
      <w:r w:rsidRPr="00892425">
        <w:rPr>
          <w:sz w:val="26"/>
          <w:szCs w:val="26"/>
        </w:rPr>
        <w:t>Office of Small Business Advocate</w:t>
      </w:r>
      <w:r w:rsidRPr="00892425">
        <w:rPr>
          <w:sz w:val="26"/>
          <w:szCs w:val="26"/>
        </w:rPr>
        <w:tab/>
      </w:r>
      <w:r w:rsidRPr="00892425">
        <w:rPr>
          <w:sz w:val="26"/>
          <w:szCs w:val="26"/>
        </w:rPr>
        <w:tab/>
      </w:r>
      <w:r w:rsidRPr="00892425">
        <w:rPr>
          <w:sz w:val="26"/>
          <w:szCs w:val="26"/>
        </w:rPr>
        <w:tab/>
      </w:r>
      <w:r w:rsidRPr="00892425">
        <w:rPr>
          <w:sz w:val="26"/>
          <w:szCs w:val="26"/>
        </w:rPr>
        <w:tab/>
      </w:r>
      <w:r w:rsidR="00341327" w:rsidRPr="00892425">
        <w:rPr>
          <w:sz w:val="26"/>
          <w:szCs w:val="26"/>
        </w:rPr>
        <w:t xml:space="preserve"> </w:t>
      </w:r>
      <w:r w:rsidRPr="00892425">
        <w:rPr>
          <w:sz w:val="26"/>
          <w:szCs w:val="26"/>
        </w:rPr>
        <w:t xml:space="preserve">    C-2018-3004941</w:t>
      </w:r>
    </w:p>
    <w:p w14:paraId="7C60B807" w14:textId="4BB0F739" w:rsidR="00523600" w:rsidRPr="00892425" w:rsidRDefault="00523600" w:rsidP="002C4EC5">
      <w:pPr>
        <w:autoSpaceDE w:val="0"/>
        <w:autoSpaceDN w:val="0"/>
        <w:spacing w:line="240" w:lineRule="auto"/>
        <w:ind w:right="-14"/>
        <w:contextualSpacing/>
        <w:rPr>
          <w:sz w:val="26"/>
          <w:szCs w:val="26"/>
        </w:rPr>
      </w:pPr>
      <w:r w:rsidRPr="00892425">
        <w:rPr>
          <w:sz w:val="26"/>
          <w:szCs w:val="26"/>
        </w:rPr>
        <w:t>Pennsylvania American Water Company</w:t>
      </w:r>
      <w:r w:rsidRPr="00892425">
        <w:rPr>
          <w:sz w:val="26"/>
          <w:szCs w:val="26"/>
        </w:rPr>
        <w:tab/>
      </w:r>
      <w:r w:rsidRPr="00892425">
        <w:rPr>
          <w:sz w:val="26"/>
          <w:szCs w:val="26"/>
        </w:rPr>
        <w:tab/>
      </w:r>
      <w:r w:rsidRPr="00892425">
        <w:rPr>
          <w:sz w:val="26"/>
          <w:szCs w:val="26"/>
        </w:rPr>
        <w:tab/>
      </w:r>
      <w:r w:rsidRPr="00892425">
        <w:rPr>
          <w:sz w:val="26"/>
          <w:szCs w:val="26"/>
        </w:rPr>
        <w:tab/>
      </w:r>
      <w:r w:rsidR="00A90914">
        <w:rPr>
          <w:sz w:val="26"/>
          <w:szCs w:val="26"/>
        </w:rPr>
        <w:t xml:space="preserve"> </w:t>
      </w:r>
      <w:r w:rsidRPr="00892425">
        <w:rPr>
          <w:sz w:val="26"/>
          <w:szCs w:val="26"/>
        </w:rPr>
        <w:t xml:space="preserve">    C-2018-3004425</w:t>
      </w:r>
    </w:p>
    <w:p w14:paraId="737A790E" w14:textId="5F091BFC" w:rsidR="00523600" w:rsidRPr="00892425" w:rsidRDefault="00523600" w:rsidP="002C4EC5">
      <w:pPr>
        <w:autoSpaceDE w:val="0"/>
        <w:autoSpaceDN w:val="0"/>
        <w:spacing w:line="240" w:lineRule="auto"/>
        <w:ind w:right="-14"/>
        <w:contextualSpacing/>
        <w:rPr>
          <w:sz w:val="26"/>
          <w:szCs w:val="26"/>
        </w:rPr>
      </w:pPr>
      <w:r w:rsidRPr="00892425">
        <w:rPr>
          <w:sz w:val="26"/>
          <w:szCs w:val="26"/>
        </w:rPr>
        <w:t>Athens Borough</w:t>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t xml:space="preserve">     C-2018-3005332</w:t>
      </w:r>
    </w:p>
    <w:p w14:paraId="6F5F2A20" w14:textId="7FAA980D" w:rsidR="00523600" w:rsidRPr="00892425" w:rsidRDefault="00523600" w:rsidP="002C4EC5">
      <w:pPr>
        <w:autoSpaceDE w:val="0"/>
        <w:autoSpaceDN w:val="0"/>
        <w:spacing w:after="120" w:line="240" w:lineRule="auto"/>
        <w:ind w:right="-14"/>
        <w:contextualSpacing/>
        <w:rPr>
          <w:i/>
          <w:sz w:val="26"/>
          <w:szCs w:val="26"/>
        </w:rPr>
      </w:pPr>
      <w:r w:rsidRPr="00892425">
        <w:rPr>
          <w:sz w:val="26"/>
          <w:szCs w:val="26"/>
        </w:rPr>
        <w:t xml:space="preserve">John Bahnweg, </w:t>
      </w:r>
      <w:r w:rsidRPr="00892425">
        <w:rPr>
          <w:i/>
          <w:sz w:val="26"/>
          <w:szCs w:val="26"/>
        </w:rPr>
        <w:t>et al.</w:t>
      </w:r>
      <w:r w:rsidRPr="00892425">
        <w:rPr>
          <w:i/>
          <w:sz w:val="26"/>
          <w:szCs w:val="26"/>
        </w:rPr>
        <w:tab/>
      </w:r>
      <w:r w:rsidRPr="00892425">
        <w:rPr>
          <w:i/>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t xml:space="preserve">     C-2018-3005657, </w:t>
      </w:r>
      <w:r w:rsidRPr="00892425">
        <w:rPr>
          <w:i/>
          <w:sz w:val="26"/>
          <w:szCs w:val="26"/>
        </w:rPr>
        <w:t>et al.</w:t>
      </w:r>
    </w:p>
    <w:p w14:paraId="62E23BB8" w14:textId="77777777" w:rsidR="00E05523" w:rsidRPr="00892425" w:rsidRDefault="00DA15BB" w:rsidP="002C4EC5">
      <w:pPr>
        <w:autoSpaceDE w:val="0"/>
        <w:autoSpaceDN w:val="0"/>
        <w:spacing w:after="120" w:line="240" w:lineRule="auto"/>
        <w:ind w:right="-14"/>
        <w:contextualSpacing/>
        <w:rPr>
          <w:sz w:val="26"/>
          <w:szCs w:val="26"/>
        </w:rPr>
      </w:pPr>
      <w:bookmarkStart w:id="0" w:name="_Hlk5869013"/>
      <w:r w:rsidRPr="00892425">
        <w:rPr>
          <w:sz w:val="26"/>
          <w:szCs w:val="26"/>
        </w:rPr>
        <w:tab/>
      </w:r>
      <w:r w:rsidRPr="00892425">
        <w:rPr>
          <w:sz w:val="26"/>
          <w:szCs w:val="26"/>
        </w:rPr>
        <w:tab/>
      </w:r>
      <w:r w:rsidR="00E05523" w:rsidRPr="00892425">
        <w:rPr>
          <w:sz w:val="26"/>
          <w:szCs w:val="26"/>
        </w:rPr>
        <w:t>v.</w:t>
      </w:r>
    </w:p>
    <w:bookmarkEnd w:id="0"/>
    <w:p w14:paraId="2B660833" w14:textId="77777777" w:rsidR="00E05523" w:rsidRPr="00892425" w:rsidRDefault="004622BB" w:rsidP="002C4EC5">
      <w:pPr>
        <w:autoSpaceDE w:val="0"/>
        <w:autoSpaceDN w:val="0"/>
        <w:spacing w:line="240" w:lineRule="auto"/>
        <w:ind w:right="-14"/>
        <w:contextualSpacing/>
        <w:rPr>
          <w:sz w:val="26"/>
          <w:szCs w:val="26"/>
        </w:rPr>
      </w:pPr>
      <w:r w:rsidRPr="00892425">
        <w:rPr>
          <w:sz w:val="26"/>
          <w:szCs w:val="26"/>
        </w:rPr>
        <w:t>Aqua Pennsylvania, Inc.</w:t>
      </w:r>
    </w:p>
    <w:p w14:paraId="5D52F45B" w14:textId="77777777" w:rsidR="003B7DF2" w:rsidRPr="00892425" w:rsidRDefault="003B7DF2" w:rsidP="002C4EC5">
      <w:pPr>
        <w:autoSpaceDE w:val="0"/>
        <w:autoSpaceDN w:val="0"/>
        <w:spacing w:line="240" w:lineRule="auto"/>
        <w:ind w:right="-14"/>
        <w:contextualSpacing/>
        <w:rPr>
          <w:sz w:val="26"/>
          <w:szCs w:val="26"/>
        </w:rPr>
      </w:pPr>
    </w:p>
    <w:p w14:paraId="6465E904" w14:textId="4E9822D5" w:rsidR="003929FC" w:rsidRPr="00892425" w:rsidRDefault="003929FC" w:rsidP="002C4EC5">
      <w:pPr>
        <w:autoSpaceDE w:val="0"/>
        <w:autoSpaceDN w:val="0"/>
        <w:spacing w:line="240" w:lineRule="auto"/>
        <w:ind w:right="-14"/>
        <w:contextualSpacing/>
        <w:rPr>
          <w:sz w:val="26"/>
          <w:szCs w:val="26"/>
        </w:rPr>
      </w:pPr>
      <w:r w:rsidRPr="00892425">
        <w:rPr>
          <w:sz w:val="26"/>
          <w:szCs w:val="26"/>
        </w:rPr>
        <w:t>Pennsylvania Public Utility Commission</w:t>
      </w:r>
      <w:r w:rsidRPr="00892425">
        <w:rPr>
          <w:sz w:val="26"/>
          <w:szCs w:val="26"/>
        </w:rPr>
        <w:tab/>
      </w:r>
      <w:r w:rsidRPr="00892425">
        <w:rPr>
          <w:sz w:val="26"/>
          <w:szCs w:val="26"/>
        </w:rPr>
        <w:tab/>
      </w:r>
      <w:r w:rsidRPr="00892425">
        <w:rPr>
          <w:sz w:val="26"/>
          <w:szCs w:val="26"/>
        </w:rPr>
        <w:tab/>
      </w:r>
      <w:r w:rsidRPr="00892425">
        <w:rPr>
          <w:sz w:val="26"/>
          <w:szCs w:val="26"/>
        </w:rPr>
        <w:tab/>
        <w:t xml:space="preserve">     R-2018-3003561</w:t>
      </w:r>
    </w:p>
    <w:p w14:paraId="5A4E964A" w14:textId="3D7D25D0" w:rsidR="003929FC" w:rsidRPr="00892425" w:rsidRDefault="00523600" w:rsidP="002C4EC5">
      <w:pPr>
        <w:autoSpaceDE w:val="0"/>
        <w:autoSpaceDN w:val="0"/>
        <w:spacing w:line="240" w:lineRule="auto"/>
        <w:ind w:right="-14"/>
        <w:contextualSpacing/>
        <w:rPr>
          <w:sz w:val="26"/>
          <w:szCs w:val="26"/>
        </w:rPr>
      </w:pPr>
      <w:r w:rsidRPr="00892425">
        <w:rPr>
          <w:sz w:val="26"/>
          <w:szCs w:val="26"/>
        </w:rPr>
        <w:t>Office of Consumer Advocate</w:t>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t xml:space="preserve">     C-2018-3004333</w:t>
      </w:r>
    </w:p>
    <w:p w14:paraId="5B59406B" w14:textId="05206DA4" w:rsidR="00523600" w:rsidRPr="00892425" w:rsidRDefault="00523600" w:rsidP="002C4EC5">
      <w:pPr>
        <w:autoSpaceDE w:val="0"/>
        <w:autoSpaceDN w:val="0"/>
        <w:spacing w:line="240" w:lineRule="auto"/>
        <w:ind w:right="-14"/>
        <w:contextualSpacing/>
        <w:rPr>
          <w:sz w:val="26"/>
          <w:szCs w:val="26"/>
        </w:rPr>
      </w:pPr>
      <w:r w:rsidRPr="00892425">
        <w:rPr>
          <w:sz w:val="26"/>
          <w:szCs w:val="26"/>
        </w:rPr>
        <w:t>Office of Small Business Advocate</w:t>
      </w:r>
      <w:r w:rsidRPr="00892425">
        <w:rPr>
          <w:sz w:val="26"/>
          <w:szCs w:val="26"/>
        </w:rPr>
        <w:tab/>
      </w:r>
      <w:r w:rsidRPr="00892425">
        <w:rPr>
          <w:sz w:val="26"/>
          <w:szCs w:val="26"/>
        </w:rPr>
        <w:tab/>
      </w:r>
      <w:r w:rsidRPr="00892425">
        <w:rPr>
          <w:sz w:val="26"/>
          <w:szCs w:val="26"/>
        </w:rPr>
        <w:tab/>
      </w:r>
      <w:r w:rsidRPr="00892425">
        <w:rPr>
          <w:sz w:val="26"/>
          <w:szCs w:val="26"/>
        </w:rPr>
        <w:tab/>
        <w:t xml:space="preserve">     C-2018-3004939</w:t>
      </w:r>
    </w:p>
    <w:p w14:paraId="020EDB52" w14:textId="4766298A" w:rsidR="00523600" w:rsidRPr="00892425" w:rsidRDefault="00523600" w:rsidP="002C4EC5">
      <w:pPr>
        <w:autoSpaceDE w:val="0"/>
        <w:autoSpaceDN w:val="0"/>
        <w:spacing w:after="120" w:line="240" w:lineRule="auto"/>
        <w:ind w:right="-14"/>
        <w:contextualSpacing/>
        <w:rPr>
          <w:i/>
          <w:sz w:val="26"/>
          <w:szCs w:val="26"/>
        </w:rPr>
      </w:pPr>
      <w:r w:rsidRPr="00892425">
        <w:rPr>
          <w:sz w:val="26"/>
          <w:szCs w:val="26"/>
        </w:rPr>
        <w:t xml:space="preserve">Grace Bowes, </w:t>
      </w:r>
      <w:r w:rsidRPr="00892425">
        <w:rPr>
          <w:i/>
          <w:sz w:val="26"/>
          <w:szCs w:val="26"/>
        </w:rPr>
        <w:t>et al.</w:t>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r>
      <w:r w:rsidRPr="00892425">
        <w:rPr>
          <w:sz w:val="26"/>
          <w:szCs w:val="26"/>
        </w:rPr>
        <w:tab/>
        <w:t xml:space="preserve">     C-2018-3005069, </w:t>
      </w:r>
      <w:r w:rsidRPr="00892425">
        <w:rPr>
          <w:i/>
          <w:sz w:val="26"/>
          <w:szCs w:val="26"/>
        </w:rPr>
        <w:t>et al.</w:t>
      </w:r>
    </w:p>
    <w:p w14:paraId="0EFEFB03" w14:textId="77777777" w:rsidR="00523600" w:rsidRPr="00892425" w:rsidRDefault="00523600" w:rsidP="002C4EC5">
      <w:pPr>
        <w:autoSpaceDE w:val="0"/>
        <w:autoSpaceDN w:val="0"/>
        <w:spacing w:after="120" w:line="240" w:lineRule="auto"/>
        <w:ind w:right="-14"/>
        <w:contextualSpacing/>
        <w:rPr>
          <w:sz w:val="26"/>
          <w:szCs w:val="26"/>
        </w:rPr>
      </w:pPr>
      <w:r w:rsidRPr="00892425">
        <w:rPr>
          <w:sz w:val="26"/>
          <w:szCs w:val="26"/>
        </w:rPr>
        <w:tab/>
      </w:r>
      <w:r w:rsidRPr="00892425">
        <w:rPr>
          <w:sz w:val="26"/>
          <w:szCs w:val="26"/>
        </w:rPr>
        <w:tab/>
        <w:t>v.</w:t>
      </w:r>
    </w:p>
    <w:p w14:paraId="07DFDDB4" w14:textId="7FA9D428" w:rsidR="00523600" w:rsidRPr="00892425" w:rsidRDefault="00523600" w:rsidP="002C4EC5">
      <w:pPr>
        <w:autoSpaceDE w:val="0"/>
        <w:autoSpaceDN w:val="0"/>
        <w:spacing w:line="240" w:lineRule="auto"/>
        <w:ind w:right="-14"/>
        <w:contextualSpacing/>
        <w:rPr>
          <w:sz w:val="26"/>
          <w:szCs w:val="26"/>
        </w:rPr>
      </w:pPr>
      <w:r w:rsidRPr="00892425">
        <w:rPr>
          <w:sz w:val="26"/>
          <w:szCs w:val="26"/>
        </w:rPr>
        <w:t>Aqua Pennsylvania Wastewater, Inc</w:t>
      </w:r>
      <w:r w:rsidR="00613283">
        <w:rPr>
          <w:sz w:val="26"/>
          <w:szCs w:val="26"/>
        </w:rPr>
        <w:t>.</w:t>
      </w:r>
    </w:p>
    <w:p w14:paraId="30BE42EE" w14:textId="3D39CD5E" w:rsidR="00523600" w:rsidRPr="00892425" w:rsidRDefault="00523600" w:rsidP="002C4EC5">
      <w:pPr>
        <w:autoSpaceDE w:val="0"/>
        <w:autoSpaceDN w:val="0"/>
        <w:spacing w:line="240" w:lineRule="auto"/>
        <w:ind w:right="-14"/>
        <w:contextualSpacing/>
        <w:rPr>
          <w:sz w:val="26"/>
          <w:szCs w:val="26"/>
        </w:rPr>
      </w:pPr>
    </w:p>
    <w:p w14:paraId="24E97245" w14:textId="3B36D939" w:rsidR="0004092B" w:rsidRDefault="0004092B" w:rsidP="002C4EC5">
      <w:pPr>
        <w:autoSpaceDE w:val="0"/>
        <w:autoSpaceDN w:val="0"/>
        <w:spacing w:line="240" w:lineRule="auto"/>
        <w:ind w:right="-14"/>
        <w:contextualSpacing/>
        <w:rPr>
          <w:sz w:val="26"/>
          <w:szCs w:val="26"/>
        </w:rPr>
      </w:pPr>
      <w:r w:rsidRPr="00892425">
        <w:rPr>
          <w:sz w:val="26"/>
          <w:szCs w:val="26"/>
        </w:rPr>
        <w:t xml:space="preserve">Joint Application of Aqua </w:t>
      </w:r>
      <w:r>
        <w:rPr>
          <w:sz w:val="26"/>
          <w:szCs w:val="26"/>
        </w:rPr>
        <w:t>Pennsylvania Inc</w:t>
      </w:r>
      <w:r w:rsidR="007D267E">
        <w:rPr>
          <w:sz w:val="26"/>
          <w:szCs w:val="26"/>
        </w:rPr>
        <w:t>.</w:t>
      </w:r>
      <w:r>
        <w:rPr>
          <w:sz w:val="26"/>
          <w:szCs w:val="26"/>
        </w:rPr>
        <w:t xml:space="preserve"> </w:t>
      </w:r>
      <w:r w:rsidRPr="00892425">
        <w:rPr>
          <w:sz w:val="26"/>
          <w:szCs w:val="26"/>
        </w:rPr>
        <w:t>and</w:t>
      </w:r>
      <w:r w:rsidR="007D267E">
        <w:rPr>
          <w:sz w:val="26"/>
          <w:szCs w:val="26"/>
        </w:rPr>
        <w:t xml:space="preserve"> </w:t>
      </w:r>
      <w:r>
        <w:rPr>
          <w:sz w:val="26"/>
          <w:szCs w:val="26"/>
        </w:rPr>
        <w:t>its</w:t>
      </w:r>
      <w:r>
        <w:rPr>
          <w:sz w:val="26"/>
          <w:szCs w:val="26"/>
        </w:rPr>
        <w:tab/>
      </w:r>
      <w:r>
        <w:rPr>
          <w:sz w:val="26"/>
          <w:szCs w:val="26"/>
        </w:rPr>
        <w:tab/>
      </w:r>
      <w:r w:rsidRPr="00892425">
        <w:rPr>
          <w:sz w:val="26"/>
          <w:szCs w:val="26"/>
        </w:rPr>
        <w:t xml:space="preserve">     A-2018-300</w:t>
      </w:r>
      <w:r>
        <w:rPr>
          <w:sz w:val="26"/>
          <w:szCs w:val="26"/>
        </w:rPr>
        <w:t>4</w:t>
      </w:r>
      <w:r w:rsidRPr="00892425">
        <w:rPr>
          <w:sz w:val="26"/>
          <w:szCs w:val="26"/>
        </w:rPr>
        <w:t>108</w:t>
      </w:r>
    </w:p>
    <w:p w14:paraId="68A773B2" w14:textId="1466E489" w:rsidR="007D267E" w:rsidRDefault="0004092B" w:rsidP="002C4EC5">
      <w:pPr>
        <w:autoSpaceDE w:val="0"/>
        <w:autoSpaceDN w:val="0"/>
        <w:spacing w:line="240" w:lineRule="auto"/>
        <w:ind w:right="-14"/>
        <w:contextualSpacing/>
        <w:rPr>
          <w:sz w:val="26"/>
          <w:szCs w:val="26"/>
        </w:rPr>
      </w:pPr>
      <w:r>
        <w:rPr>
          <w:sz w:val="26"/>
          <w:szCs w:val="26"/>
        </w:rPr>
        <w:t xml:space="preserve">Subsidiary, </w:t>
      </w:r>
      <w:r w:rsidRPr="00892425">
        <w:rPr>
          <w:sz w:val="26"/>
          <w:szCs w:val="26"/>
        </w:rPr>
        <w:t xml:space="preserve">Superior </w:t>
      </w:r>
      <w:r>
        <w:rPr>
          <w:sz w:val="26"/>
          <w:szCs w:val="26"/>
        </w:rPr>
        <w:t>Water Company</w:t>
      </w:r>
      <w:r w:rsidR="007D267E">
        <w:rPr>
          <w:sz w:val="26"/>
          <w:szCs w:val="26"/>
        </w:rPr>
        <w:t>,</w:t>
      </w:r>
      <w:r>
        <w:rPr>
          <w:sz w:val="26"/>
          <w:szCs w:val="26"/>
        </w:rPr>
        <w:t xml:space="preserve"> for</w:t>
      </w:r>
      <w:r w:rsidR="007D267E">
        <w:rPr>
          <w:sz w:val="26"/>
          <w:szCs w:val="26"/>
        </w:rPr>
        <w:t xml:space="preserve">: (1) </w:t>
      </w:r>
      <w:r>
        <w:rPr>
          <w:sz w:val="26"/>
          <w:szCs w:val="26"/>
        </w:rPr>
        <w:t xml:space="preserve">the </w:t>
      </w:r>
      <w:r w:rsidR="007D267E">
        <w:rPr>
          <w:sz w:val="26"/>
          <w:szCs w:val="26"/>
        </w:rPr>
        <w:tab/>
      </w:r>
      <w:r w:rsidR="007D267E">
        <w:rPr>
          <w:sz w:val="26"/>
          <w:szCs w:val="26"/>
        </w:rPr>
        <w:tab/>
      </w:r>
      <w:r w:rsidR="007D267E" w:rsidRPr="00892425">
        <w:rPr>
          <w:sz w:val="26"/>
          <w:szCs w:val="26"/>
        </w:rPr>
        <w:t xml:space="preserve">     A-2018-3004109</w:t>
      </w:r>
    </w:p>
    <w:p w14:paraId="49A0A605" w14:textId="501C5F31" w:rsidR="007D267E" w:rsidRDefault="007D267E" w:rsidP="002C4EC5">
      <w:pPr>
        <w:autoSpaceDE w:val="0"/>
        <w:autoSpaceDN w:val="0"/>
        <w:spacing w:line="240" w:lineRule="auto"/>
        <w:ind w:right="-14"/>
        <w:contextualSpacing/>
        <w:rPr>
          <w:sz w:val="26"/>
          <w:szCs w:val="26"/>
        </w:rPr>
      </w:pPr>
      <w:r>
        <w:rPr>
          <w:sz w:val="26"/>
          <w:szCs w:val="26"/>
        </w:rPr>
        <w:t>a</w:t>
      </w:r>
      <w:r w:rsidRPr="00892425">
        <w:rPr>
          <w:sz w:val="26"/>
          <w:szCs w:val="26"/>
        </w:rPr>
        <w:t>pprova</w:t>
      </w:r>
      <w:r>
        <w:rPr>
          <w:sz w:val="26"/>
          <w:szCs w:val="26"/>
        </w:rPr>
        <w:t xml:space="preserve">l of </w:t>
      </w:r>
      <w:r w:rsidRPr="007D267E">
        <w:rPr>
          <w:sz w:val="26"/>
          <w:szCs w:val="26"/>
        </w:rPr>
        <w:t>the transfer to Aqua</w:t>
      </w:r>
      <w:r>
        <w:rPr>
          <w:sz w:val="26"/>
          <w:szCs w:val="26"/>
        </w:rPr>
        <w:t xml:space="preserve"> Pennsylvanian Inc.</w:t>
      </w:r>
      <w:r w:rsidRPr="007D267E">
        <w:rPr>
          <w:sz w:val="26"/>
          <w:szCs w:val="26"/>
        </w:rPr>
        <w:t>,</w:t>
      </w:r>
    </w:p>
    <w:p w14:paraId="6D81E1EE" w14:textId="77777777" w:rsidR="007D267E" w:rsidRDefault="007D267E" w:rsidP="002C4EC5">
      <w:pPr>
        <w:autoSpaceDE w:val="0"/>
        <w:autoSpaceDN w:val="0"/>
        <w:spacing w:line="240" w:lineRule="auto"/>
        <w:ind w:right="-14"/>
        <w:contextualSpacing/>
        <w:rPr>
          <w:sz w:val="26"/>
          <w:szCs w:val="26"/>
        </w:rPr>
      </w:pPr>
      <w:r w:rsidRPr="007D267E">
        <w:rPr>
          <w:sz w:val="26"/>
          <w:szCs w:val="26"/>
        </w:rPr>
        <w:t>through merger, of</w:t>
      </w:r>
      <w:r>
        <w:rPr>
          <w:sz w:val="26"/>
          <w:szCs w:val="26"/>
        </w:rPr>
        <w:t xml:space="preserve"> </w:t>
      </w:r>
      <w:r w:rsidRPr="007D267E">
        <w:rPr>
          <w:sz w:val="26"/>
          <w:szCs w:val="26"/>
        </w:rPr>
        <w:t xml:space="preserve">all property of Superior </w:t>
      </w:r>
      <w:r>
        <w:rPr>
          <w:sz w:val="26"/>
          <w:szCs w:val="26"/>
        </w:rPr>
        <w:t xml:space="preserve">Water </w:t>
      </w:r>
    </w:p>
    <w:p w14:paraId="5468B82B" w14:textId="1ACD21E0" w:rsidR="007D267E" w:rsidRDefault="007D267E" w:rsidP="002C4EC5">
      <w:pPr>
        <w:autoSpaceDE w:val="0"/>
        <w:autoSpaceDN w:val="0"/>
        <w:spacing w:line="240" w:lineRule="auto"/>
        <w:ind w:right="-14"/>
        <w:contextualSpacing/>
        <w:rPr>
          <w:sz w:val="26"/>
          <w:szCs w:val="26"/>
        </w:rPr>
      </w:pPr>
      <w:r>
        <w:rPr>
          <w:sz w:val="26"/>
          <w:szCs w:val="26"/>
        </w:rPr>
        <w:t xml:space="preserve">Company </w:t>
      </w:r>
      <w:r w:rsidRPr="007D267E">
        <w:rPr>
          <w:sz w:val="26"/>
          <w:szCs w:val="26"/>
        </w:rPr>
        <w:t>used or useful in the</w:t>
      </w:r>
      <w:r>
        <w:rPr>
          <w:sz w:val="26"/>
          <w:szCs w:val="26"/>
        </w:rPr>
        <w:t xml:space="preserve"> </w:t>
      </w:r>
      <w:r w:rsidRPr="007D267E">
        <w:rPr>
          <w:sz w:val="26"/>
          <w:szCs w:val="26"/>
        </w:rPr>
        <w:t>public service;</w:t>
      </w:r>
      <w:r>
        <w:rPr>
          <w:sz w:val="26"/>
          <w:szCs w:val="26"/>
        </w:rPr>
        <w:t xml:space="preserve"> (2) the </w:t>
      </w:r>
    </w:p>
    <w:p w14:paraId="6C6D21E0" w14:textId="77777777" w:rsidR="003B7DF2" w:rsidRDefault="007D267E" w:rsidP="002C4EC5">
      <w:pPr>
        <w:autoSpaceDE w:val="0"/>
        <w:autoSpaceDN w:val="0"/>
        <w:spacing w:line="240" w:lineRule="auto"/>
        <w:ind w:right="-14"/>
        <w:contextualSpacing/>
        <w:rPr>
          <w:sz w:val="26"/>
          <w:szCs w:val="26"/>
        </w:rPr>
      </w:pPr>
      <w:r>
        <w:rPr>
          <w:sz w:val="26"/>
          <w:szCs w:val="26"/>
        </w:rPr>
        <w:t xml:space="preserve">right for </w:t>
      </w:r>
      <w:r w:rsidR="0004092B" w:rsidRPr="00892425">
        <w:rPr>
          <w:sz w:val="26"/>
          <w:szCs w:val="26"/>
        </w:rPr>
        <w:t xml:space="preserve">Aqua </w:t>
      </w:r>
      <w:r>
        <w:rPr>
          <w:sz w:val="26"/>
          <w:szCs w:val="26"/>
        </w:rPr>
        <w:t xml:space="preserve">Pennsylvania Inc. </w:t>
      </w:r>
      <w:r w:rsidR="0004092B" w:rsidRPr="00892425">
        <w:rPr>
          <w:sz w:val="26"/>
          <w:szCs w:val="26"/>
        </w:rPr>
        <w:t>to begin to offer</w:t>
      </w:r>
      <w:r w:rsidR="003B7DF2">
        <w:rPr>
          <w:sz w:val="26"/>
          <w:szCs w:val="26"/>
        </w:rPr>
        <w:t xml:space="preserve"> water </w:t>
      </w:r>
    </w:p>
    <w:p w14:paraId="4A5A49D6" w14:textId="548AD07D" w:rsidR="003B7DF2" w:rsidRDefault="0004092B" w:rsidP="002C4EC5">
      <w:pPr>
        <w:autoSpaceDE w:val="0"/>
        <w:autoSpaceDN w:val="0"/>
        <w:spacing w:line="240" w:lineRule="auto"/>
        <w:ind w:right="-14"/>
        <w:contextualSpacing/>
        <w:rPr>
          <w:sz w:val="26"/>
          <w:szCs w:val="26"/>
        </w:rPr>
      </w:pPr>
      <w:r w:rsidRPr="00892425">
        <w:rPr>
          <w:sz w:val="26"/>
          <w:szCs w:val="26"/>
        </w:rPr>
        <w:t>service in the service territory</w:t>
      </w:r>
      <w:r w:rsidR="007D267E">
        <w:rPr>
          <w:sz w:val="26"/>
          <w:szCs w:val="26"/>
        </w:rPr>
        <w:t xml:space="preserve"> </w:t>
      </w:r>
      <w:r w:rsidRPr="00892425">
        <w:rPr>
          <w:sz w:val="26"/>
          <w:szCs w:val="26"/>
        </w:rPr>
        <w:t>of Superior</w:t>
      </w:r>
      <w:r w:rsidR="007D267E">
        <w:rPr>
          <w:sz w:val="26"/>
          <w:szCs w:val="26"/>
        </w:rPr>
        <w:t xml:space="preserve"> Water</w:t>
      </w:r>
      <w:r w:rsidR="003B7DF2">
        <w:rPr>
          <w:sz w:val="26"/>
          <w:szCs w:val="26"/>
        </w:rPr>
        <w:t xml:space="preserve"> </w:t>
      </w:r>
    </w:p>
    <w:p w14:paraId="35D542BD" w14:textId="6E083CC8" w:rsidR="003B7DF2" w:rsidRDefault="003B7DF2" w:rsidP="002C4EC5">
      <w:pPr>
        <w:autoSpaceDE w:val="0"/>
        <w:autoSpaceDN w:val="0"/>
        <w:spacing w:line="240" w:lineRule="auto"/>
        <w:ind w:right="-14"/>
        <w:contextualSpacing/>
        <w:rPr>
          <w:sz w:val="26"/>
          <w:szCs w:val="26"/>
        </w:rPr>
      </w:pPr>
      <w:r>
        <w:rPr>
          <w:sz w:val="26"/>
          <w:szCs w:val="26"/>
        </w:rPr>
        <w:t xml:space="preserve">Company; </w:t>
      </w:r>
      <w:r w:rsidR="0004092B" w:rsidRPr="00892425">
        <w:rPr>
          <w:sz w:val="26"/>
          <w:szCs w:val="26"/>
        </w:rPr>
        <w:t xml:space="preserve">and </w:t>
      </w:r>
      <w:r w:rsidR="007D267E">
        <w:rPr>
          <w:sz w:val="26"/>
          <w:szCs w:val="26"/>
        </w:rPr>
        <w:t xml:space="preserve">(3) </w:t>
      </w:r>
      <w:r w:rsidR="007D267E" w:rsidRPr="007D267E">
        <w:rPr>
          <w:sz w:val="26"/>
          <w:szCs w:val="26"/>
        </w:rPr>
        <w:t xml:space="preserve">the abandonment by Superior </w:t>
      </w:r>
      <w:r>
        <w:rPr>
          <w:sz w:val="26"/>
          <w:szCs w:val="26"/>
        </w:rPr>
        <w:t xml:space="preserve">Water </w:t>
      </w:r>
    </w:p>
    <w:p w14:paraId="50EFF93E" w14:textId="73AFDD6D" w:rsidR="004622BB" w:rsidRPr="00892425" w:rsidRDefault="003B7DF2" w:rsidP="002C4EC5">
      <w:pPr>
        <w:autoSpaceDE w:val="0"/>
        <w:autoSpaceDN w:val="0"/>
        <w:spacing w:line="240" w:lineRule="auto"/>
        <w:ind w:right="-14"/>
        <w:contextualSpacing/>
        <w:rPr>
          <w:sz w:val="26"/>
          <w:szCs w:val="26"/>
        </w:rPr>
      </w:pPr>
      <w:r>
        <w:rPr>
          <w:sz w:val="26"/>
          <w:szCs w:val="26"/>
        </w:rPr>
        <w:t xml:space="preserve">Company </w:t>
      </w:r>
      <w:r w:rsidR="007D267E">
        <w:rPr>
          <w:sz w:val="26"/>
          <w:szCs w:val="26"/>
        </w:rPr>
        <w:t xml:space="preserve">to provide </w:t>
      </w:r>
      <w:r>
        <w:rPr>
          <w:sz w:val="26"/>
          <w:szCs w:val="26"/>
        </w:rPr>
        <w:t>water service to the public.</w:t>
      </w:r>
    </w:p>
    <w:p w14:paraId="21399D43" w14:textId="77777777" w:rsidR="000B24E9" w:rsidRPr="00892425" w:rsidRDefault="000B24E9" w:rsidP="002C4EC5">
      <w:pPr>
        <w:pStyle w:val="Heading1"/>
        <w:contextualSpacing/>
        <w:sectPr w:rsidR="000B24E9" w:rsidRPr="00892425" w:rsidSect="002A6EA1">
          <w:footerReference w:type="default" r:id="rId8"/>
          <w:footerReference w:type="first" r:id="rId9"/>
          <w:pgSz w:w="12240" w:h="15840"/>
          <w:pgMar w:top="1440" w:right="1440" w:bottom="1440" w:left="1440" w:header="720" w:footer="720" w:gutter="0"/>
          <w:pgNumType w:fmt="lowerRoman" w:start="1"/>
          <w:cols w:space="720"/>
          <w:titlePg/>
          <w:docGrid w:linePitch="360"/>
        </w:sectPr>
      </w:pPr>
    </w:p>
    <w:p w14:paraId="575F58D1" w14:textId="1361AF05" w:rsidR="0065528A" w:rsidRDefault="0065528A" w:rsidP="0065528A">
      <w:pPr>
        <w:pStyle w:val="BodyTextIndent"/>
        <w:keepNext/>
        <w:spacing w:after="0"/>
        <w:ind w:left="0"/>
        <w:contextualSpacing/>
        <w:jc w:val="center"/>
        <w:rPr>
          <w:b/>
          <w:sz w:val="26"/>
          <w:szCs w:val="26"/>
        </w:rPr>
      </w:pPr>
      <w:r>
        <w:rPr>
          <w:b/>
          <w:sz w:val="26"/>
          <w:szCs w:val="26"/>
        </w:rPr>
        <w:lastRenderedPageBreak/>
        <w:t>OPINION AND ORDER</w:t>
      </w:r>
    </w:p>
    <w:p w14:paraId="31826450" w14:textId="77777777" w:rsidR="0065528A" w:rsidRDefault="0065528A" w:rsidP="002C4EC5">
      <w:pPr>
        <w:pStyle w:val="BodyTextIndent"/>
        <w:keepNext/>
        <w:spacing w:after="0"/>
        <w:ind w:left="0"/>
        <w:contextualSpacing/>
        <w:rPr>
          <w:b/>
          <w:sz w:val="26"/>
          <w:szCs w:val="26"/>
        </w:rPr>
      </w:pPr>
    </w:p>
    <w:p w14:paraId="3A52CFBC" w14:textId="5934BDB9" w:rsidR="009E5583" w:rsidRPr="00892425" w:rsidRDefault="009E5583" w:rsidP="002C4EC5">
      <w:pPr>
        <w:pStyle w:val="BodyTextIndent"/>
        <w:keepNext/>
        <w:spacing w:after="0"/>
        <w:ind w:left="0"/>
        <w:contextualSpacing/>
        <w:rPr>
          <w:b/>
          <w:sz w:val="26"/>
          <w:szCs w:val="26"/>
        </w:rPr>
      </w:pPr>
      <w:r w:rsidRPr="00892425">
        <w:rPr>
          <w:b/>
          <w:sz w:val="26"/>
          <w:szCs w:val="26"/>
        </w:rPr>
        <w:t>BY THE COMMISSION:</w:t>
      </w:r>
    </w:p>
    <w:p w14:paraId="15F82236" w14:textId="77777777" w:rsidR="003F001F" w:rsidRPr="00892425" w:rsidRDefault="003F001F" w:rsidP="002C4EC5">
      <w:pPr>
        <w:pStyle w:val="BodyTextIndent"/>
        <w:keepNext/>
        <w:spacing w:after="0"/>
        <w:ind w:left="0"/>
        <w:contextualSpacing/>
        <w:rPr>
          <w:b/>
          <w:sz w:val="26"/>
          <w:szCs w:val="26"/>
        </w:rPr>
      </w:pPr>
    </w:p>
    <w:p w14:paraId="6B452CF5" w14:textId="77777777" w:rsidR="003F001F" w:rsidRPr="00892425" w:rsidRDefault="003F001F" w:rsidP="002C4EC5">
      <w:pPr>
        <w:pStyle w:val="Heading1"/>
        <w:contextualSpacing/>
      </w:pPr>
      <w:bookmarkStart w:id="1" w:name="_Toc471747989"/>
      <w:bookmarkStart w:id="2" w:name="_Toc471748127"/>
      <w:r w:rsidRPr="00892425">
        <w:t>I.</w:t>
      </w:r>
      <w:r w:rsidRPr="00892425">
        <w:tab/>
        <w:t>Matter Before the Commission</w:t>
      </w:r>
      <w:bookmarkEnd w:id="1"/>
      <w:bookmarkEnd w:id="2"/>
    </w:p>
    <w:p w14:paraId="57DAADCF" w14:textId="77777777" w:rsidR="003F001F" w:rsidRPr="00892425" w:rsidRDefault="003F001F" w:rsidP="002C4EC5">
      <w:pPr>
        <w:pStyle w:val="BodyTextIndent"/>
        <w:keepNext/>
        <w:spacing w:after="0"/>
        <w:ind w:left="0"/>
        <w:contextualSpacing/>
        <w:rPr>
          <w:b/>
          <w:sz w:val="26"/>
          <w:szCs w:val="26"/>
        </w:rPr>
      </w:pPr>
    </w:p>
    <w:p w14:paraId="0EF9428C" w14:textId="0358C78F" w:rsidR="00FA0381" w:rsidRDefault="009E5583" w:rsidP="002C4EC5">
      <w:pPr>
        <w:pStyle w:val="BodyTextIndent"/>
        <w:spacing w:after="0"/>
        <w:ind w:left="0" w:firstLine="1440"/>
        <w:contextualSpacing/>
        <w:rPr>
          <w:sz w:val="26"/>
          <w:szCs w:val="26"/>
        </w:rPr>
      </w:pPr>
      <w:r w:rsidRPr="00892425">
        <w:rPr>
          <w:sz w:val="26"/>
          <w:szCs w:val="26"/>
        </w:rPr>
        <w:t>Before the Pennsylvania Public Utility Commission (Commission) for consideration and disposition are</w:t>
      </w:r>
      <w:r w:rsidR="000C3A4F">
        <w:rPr>
          <w:sz w:val="26"/>
          <w:szCs w:val="26"/>
        </w:rPr>
        <w:t>:</w:t>
      </w:r>
      <w:r w:rsidR="007C74B0">
        <w:rPr>
          <w:sz w:val="26"/>
          <w:szCs w:val="26"/>
        </w:rPr>
        <w:t xml:space="preserve"> </w:t>
      </w:r>
      <w:r w:rsidR="000C3A4F">
        <w:rPr>
          <w:sz w:val="26"/>
          <w:szCs w:val="26"/>
        </w:rPr>
        <w:t xml:space="preserve">(1) </w:t>
      </w:r>
      <w:r w:rsidR="007C74B0">
        <w:rPr>
          <w:sz w:val="26"/>
          <w:szCs w:val="26"/>
        </w:rPr>
        <w:t xml:space="preserve">the Exceptions </w:t>
      </w:r>
      <w:r w:rsidR="00031667">
        <w:rPr>
          <w:sz w:val="26"/>
          <w:szCs w:val="26"/>
        </w:rPr>
        <w:t xml:space="preserve">of </w:t>
      </w:r>
      <w:r w:rsidR="00031667" w:rsidRPr="00892425">
        <w:rPr>
          <w:sz w:val="26"/>
          <w:szCs w:val="26"/>
        </w:rPr>
        <w:t>Mr. Robert Curtius (Mr. Curtius)</w:t>
      </w:r>
      <w:r w:rsidR="00031667">
        <w:rPr>
          <w:sz w:val="26"/>
          <w:szCs w:val="26"/>
        </w:rPr>
        <w:t>, filed on March 26, 2019, and</w:t>
      </w:r>
      <w:r w:rsidRPr="00892425">
        <w:rPr>
          <w:sz w:val="26"/>
          <w:szCs w:val="26"/>
        </w:rPr>
        <w:t xml:space="preserve"> the Exceptions of</w:t>
      </w:r>
      <w:r w:rsidR="00753896" w:rsidRPr="00892425">
        <w:rPr>
          <w:sz w:val="26"/>
          <w:szCs w:val="26"/>
        </w:rPr>
        <w:t xml:space="preserve"> </w:t>
      </w:r>
      <w:r w:rsidR="00566940" w:rsidRPr="00892425">
        <w:rPr>
          <w:sz w:val="26"/>
          <w:szCs w:val="26"/>
        </w:rPr>
        <w:t>the Treasure Lake Property Owners Association</w:t>
      </w:r>
      <w:r w:rsidR="00423FA6">
        <w:rPr>
          <w:sz w:val="26"/>
          <w:szCs w:val="26"/>
        </w:rPr>
        <w:t>, Inc.</w:t>
      </w:r>
      <w:r w:rsidR="00566940" w:rsidRPr="00892425">
        <w:rPr>
          <w:sz w:val="26"/>
          <w:szCs w:val="26"/>
        </w:rPr>
        <w:t xml:space="preserve"> (TLPOA), filed on March 28, 2019, to the Recommended Decision (R.D.) of Administrative Law Judges (ALJs) Angela T. Jones and F. Joseph Brady, issued on March 18, 2019, relative to the above-captioned proceedings.  Replies to Exceptions were </w:t>
      </w:r>
      <w:r w:rsidR="003134BE" w:rsidRPr="00892425">
        <w:rPr>
          <w:sz w:val="26"/>
          <w:szCs w:val="26"/>
        </w:rPr>
        <w:t xml:space="preserve">jointly </w:t>
      </w:r>
      <w:r w:rsidR="00566940" w:rsidRPr="00892425">
        <w:rPr>
          <w:sz w:val="26"/>
          <w:szCs w:val="26"/>
        </w:rPr>
        <w:t xml:space="preserve">filed on April 3, 2019 by Aqua Pennsylvania, Inc., </w:t>
      </w:r>
      <w:r w:rsidR="00EB7365" w:rsidRPr="00892425">
        <w:rPr>
          <w:sz w:val="26"/>
          <w:szCs w:val="26"/>
        </w:rPr>
        <w:t>(Aqua Water)</w:t>
      </w:r>
      <w:r w:rsidR="003134BE" w:rsidRPr="00892425">
        <w:rPr>
          <w:sz w:val="26"/>
          <w:szCs w:val="26"/>
        </w:rPr>
        <w:t>,</w:t>
      </w:r>
      <w:r w:rsidR="00EB7365" w:rsidRPr="00892425">
        <w:rPr>
          <w:sz w:val="26"/>
          <w:szCs w:val="26"/>
        </w:rPr>
        <w:t xml:space="preserve"> </w:t>
      </w:r>
      <w:r w:rsidR="00566940" w:rsidRPr="00892425">
        <w:rPr>
          <w:sz w:val="26"/>
          <w:szCs w:val="26"/>
        </w:rPr>
        <w:t>Aqua Pennsylvania Wastewater, Inc.,</w:t>
      </w:r>
      <w:r w:rsidR="00EB7365" w:rsidRPr="00892425">
        <w:rPr>
          <w:sz w:val="26"/>
          <w:szCs w:val="26"/>
        </w:rPr>
        <w:t xml:space="preserve"> (Aqua Wastewater)</w:t>
      </w:r>
      <w:r w:rsidR="00F15D86" w:rsidRPr="00892425">
        <w:rPr>
          <w:sz w:val="26"/>
          <w:szCs w:val="26"/>
        </w:rPr>
        <w:t xml:space="preserve"> (collectively, Aqua)</w:t>
      </w:r>
      <w:r w:rsidR="00566940" w:rsidRPr="00892425">
        <w:rPr>
          <w:sz w:val="26"/>
          <w:szCs w:val="26"/>
        </w:rPr>
        <w:t xml:space="preserve"> and </w:t>
      </w:r>
      <w:r w:rsidR="00F15D86" w:rsidRPr="00892425">
        <w:rPr>
          <w:sz w:val="26"/>
          <w:szCs w:val="26"/>
        </w:rPr>
        <w:t xml:space="preserve">its subsidiary, </w:t>
      </w:r>
      <w:r w:rsidR="00566940" w:rsidRPr="00892425">
        <w:rPr>
          <w:sz w:val="26"/>
          <w:szCs w:val="26"/>
        </w:rPr>
        <w:t xml:space="preserve">Superior Water Company, Inc. </w:t>
      </w:r>
      <w:r w:rsidR="00F1494E" w:rsidRPr="00892425">
        <w:rPr>
          <w:sz w:val="26"/>
          <w:szCs w:val="26"/>
        </w:rPr>
        <w:t>(Superior)</w:t>
      </w:r>
      <w:r w:rsidR="000C3A4F">
        <w:rPr>
          <w:sz w:val="26"/>
          <w:szCs w:val="26"/>
        </w:rPr>
        <w:t xml:space="preserve">; (2) </w:t>
      </w:r>
      <w:r w:rsidR="00566940" w:rsidRPr="00892425">
        <w:rPr>
          <w:sz w:val="26"/>
          <w:szCs w:val="26"/>
        </w:rPr>
        <w:t xml:space="preserve">the Joint Petition for Settlement </w:t>
      </w:r>
      <w:r w:rsidR="002A030A">
        <w:rPr>
          <w:sz w:val="26"/>
          <w:szCs w:val="26"/>
        </w:rPr>
        <w:t xml:space="preserve">of Aqua’s water and wastewater general base rate increase proceedings </w:t>
      </w:r>
      <w:r w:rsidR="00566940" w:rsidRPr="00892425">
        <w:rPr>
          <w:sz w:val="26"/>
          <w:szCs w:val="26"/>
        </w:rPr>
        <w:t>(Joint Petition</w:t>
      </w:r>
      <w:r w:rsidR="00A2557E" w:rsidRPr="00892425">
        <w:rPr>
          <w:sz w:val="26"/>
          <w:szCs w:val="26"/>
        </w:rPr>
        <w:t>, Joint Settlement,</w:t>
      </w:r>
      <w:r w:rsidR="00566940" w:rsidRPr="00892425">
        <w:rPr>
          <w:sz w:val="26"/>
          <w:szCs w:val="26"/>
        </w:rPr>
        <w:t xml:space="preserve"> </w:t>
      </w:r>
      <w:r w:rsidR="00030A78" w:rsidRPr="00892425">
        <w:rPr>
          <w:sz w:val="26"/>
          <w:szCs w:val="26"/>
        </w:rPr>
        <w:t>or Settlement)</w:t>
      </w:r>
      <w:r w:rsidR="0098356A">
        <w:rPr>
          <w:sz w:val="26"/>
          <w:szCs w:val="26"/>
        </w:rPr>
        <w:t xml:space="preserve"> </w:t>
      </w:r>
      <w:r w:rsidR="00030A78" w:rsidRPr="00892425">
        <w:rPr>
          <w:sz w:val="26"/>
          <w:szCs w:val="26"/>
        </w:rPr>
        <w:t xml:space="preserve">filed by Aqua, the Bureau of Investigation and Enforcement (I&amp;E), the Office of Consumer Advocate (OCA), the Office of Small Business Advocate (OSBA), the Aqua Large Users Group (Aqua LUG), the Coalition for Affordable Utility Services and Energy Efficiency in Pennsylvania (CAUSE-PA), the Masthope </w:t>
      </w:r>
      <w:r w:rsidR="0021514A" w:rsidRPr="00892425">
        <w:rPr>
          <w:sz w:val="26"/>
          <w:szCs w:val="26"/>
        </w:rPr>
        <w:t>Mountain</w:t>
      </w:r>
      <w:r w:rsidR="00030A78" w:rsidRPr="00892425">
        <w:rPr>
          <w:sz w:val="26"/>
          <w:szCs w:val="26"/>
        </w:rPr>
        <w:t xml:space="preserve"> Community Property Owners Council (MMPOC), </w:t>
      </w:r>
      <w:r w:rsidR="00F15D86" w:rsidRPr="00892425">
        <w:rPr>
          <w:sz w:val="26"/>
          <w:szCs w:val="26"/>
        </w:rPr>
        <w:t xml:space="preserve">Superior, </w:t>
      </w:r>
      <w:r w:rsidR="00030A78" w:rsidRPr="00892425">
        <w:rPr>
          <w:sz w:val="26"/>
          <w:szCs w:val="26"/>
        </w:rPr>
        <w:t>and The Links at Gettysburg Master Association (LGMA) (collectively, the Joint Petitioners) on February 8, 2019</w:t>
      </w:r>
      <w:r w:rsidR="000C3A4F">
        <w:rPr>
          <w:sz w:val="26"/>
          <w:szCs w:val="26"/>
        </w:rPr>
        <w:t xml:space="preserve">; and (3) </w:t>
      </w:r>
      <w:r w:rsidR="00663666" w:rsidRPr="00892425">
        <w:rPr>
          <w:sz w:val="26"/>
          <w:szCs w:val="26"/>
        </w:rPr>
        <w:t xml:space="preserve">the </w:t>
      </w:r>
      <w:r w:rsidR="00A9635F" w:rsidRPr="00892425">
        <w:rPr>
          <w:sz w:val="26"/>
          <w:szCs w:val="26"/>
        </w:rPr>
        <w:t xml:space="preserve">Joint Application of Aqua </w:t>
      </w:r>
      <w:r w:rsidR="00FA0381">
        <w:rPr>
          <w:sz w:val="26"/>
          <w:szCs w:val="26"/>
        </w:rPr>
        <w:t xml:space="preserve">Water </w:t>
      </w:r>
      <w:r w:rsidR="00A9635F" w:rsidRPr="00892425">
        <w:rPr>
          <w:sz w:val="26"/>
          <w:szCs w:val="26"/>
        </w:rPr>
        <w:t xml:space="preserve">and </w:t>
      </w:r>
      <w:r w:rsidR="00FA0381">
        <w:rPr>
          <w:sz w:val="26"/>
          <w:szCs w:val="26"/>
        </w:rPr>
        <w:t xml:space="preserve">its subsidiary, </w:t>
      </w:r>
      <w:r w:rsidR="00A9635F" w:rsidRPr="00892425">
        <w:rPr>
          <w:sz w:val="26"/>
          <w:szCs w:val="26"/>
        </w:rPr>
        <w:t>Superior (collectively, the Joint Applicants)</w:t>
      </w:r>
      <w:r w:rsidR="0098356A">
        <w:rPr>
          <w:sz w:val="26"/>
          <w:szCs w:val="26"/>
        </w:rPr>
        <w:t xml:space="preserve"> (Joint Merger Application)</w:t>
      </w:r>
      <w:r w:rsidR="00B0136D" w:rsidRPr="00892425">
        <w:rPr>
          <w:sz w:val="26"/>
          <w:szCs w:val="26"/>
        </w:rPr>
        <w:t xml:space="preserve">, </w:t>
      </w:r>
      <w:r w:rsidR="00DC7050">
        <w:rPr>
          <w:sz w:val="26"/>
          <w:szCs w:val="26"/>
        </w:rPr>
        <w:t xml:space="preserve">filed on </w:t>
      </w:r>
      <w:r w:rsidR="00D54137">
        <w:rPr>
          <w:sz w:val="26"/>
          <w:szCs w:val="26"/>
        </w:rPr>
        <w:t>August</w:t>
      </w:r>
      <w:r w:rsidR="002A030A">
        <w:rPr>
          <w:sz w:val="26"/>
          <w:szCs w:val="26"/>
        </w:rPr>
        <w:t> </w:t>
      </w:r>
      <w:r w:rsidR="00D54137">
        <w:rPr>
          <w:sz w:val="26"/>
          <w:szCs w:val="26"/>
        </w:rPr>
        <w:t>17, 2018, at Docket Nos. A</w:t>
      </w:r>
      <w:r w:rsidR="006F0EC3">
        <w:rPr>
          <w:sz w:val="26"/>
          <w:szCs w:val="26"/>
        </w:rPr>
        <w:noBreakHyphen/>
      </w:r>
      <w:r w:rsidR="00D54137">
        <w:rPr>
          <w:sz w:val="26"/>
          <w:szCs w:val="26"/>
        </w:rPr>
        <w:t xml:space="preserve">2018-3004108 and A-2018-3004109, </w:t>
      </w:r>
      <w:r w:rsidR="00FA0381">
        <w:rPr>
          <w:sz w:val="26"/>
          <w:szCs w:val="26"/>
        </w:rPr>
        <w:t>for the a</w:t>
      </w:r>
      <w:r w:rsidR="00FA0381" w:rsidRPr="00892425">
        <w:rPr>
          <w:sz w:val="26"/>
          <w:szCs w:val="26"/>
        </w:rPr>
        <w:t>pprova</w:t>
      </w:r>
      <w:r w:rsidR="00FA0381">
        <w:rPr>
          <w:sz w:val="26"/>
          <w:szCs w:val="26"/>
        </w:rPr>
        <w:t xml:space="preserve">l of </w:t>
      </w:r>
      <w:r w:rsidR="00FA0381" w:rsidRPr="007D267E">
        <w:rPr>
          <w:sz w:val="26"/>
          <w:szCs w:val="26"/>
        </w:rPr>
        <w:t>the transfer to Aqua</w:t>
      </w:r>
      <w:r w:rsidR="00FA0381">
        <w:rPr>
          <w:sz w:val="26"/>
          <w:szCs w:val="26"/>
        </w:rPr>
        <w:t xml:space="preserve"> Water</w:t>
      </w:r>
      <w:r w:rsidR="00FA0381" w:rsidRPr="007D267E">
        <w:rPr>
          <w:sz w:val="26"/>
          <w:szCs w:val="26"/>
        </w:rPr>
        <w:t>,</w:t>
      </w:r>
      <w:r w:rsidR="00FA0381">
        <w:rPr>
          <w:sz w:val="26"/>
          <w:szCs w:val="26"/>
        </w:rPr>
        <w:t xml:space="preserve"> </w:t>
      </w:r>
      <w:r w:rsidR="00FA0381" w:rsidRPr="007D267E">
        <w:rPr>
          <w:sz w:val="26"/>
          <w:szCs w:val="26"/>
        </w:rPr>
        <w:t>through merger, of</w:t>
      </w:r>
      <w:r w:rsidR="00FA0381">
        <w:rPr>
          <w:sz w:val="26"/>
          <w:szCs w:val="26"/>
        </w:rPr>
        <w:t xml:space="preserve"> </w:t>
      </w:r>
      <w:r w:rsidR="00FA0381" w:rsidRPr="007D267E">
        <w:rPr>
          <w:sz w:val="26"/>
          <w:szCs w:val="26"/>
        </w:rPr>
        <w:t>all property of Superior used or useful in the</w:t>
      </w:r>
      <w:r w:rsidR="00FA0381">
        <w:rPr>
          <w:sz w:val="26"/>
          <w:szCs w:val="26"/>
        </w:rPr>
        <w:t xml:space="preserve"> </w:t>
      </w:r>
      <w:r w:rsidR="00FA0381" w:rsidRPr="007D267E">
        <w:rPr>
          <w:sz w:val="26"/>
          <w:szCs w:val="26"/>
        </w:rPr>
        <w:t>public service;</w:t>
      </w:r>
      <w:r w:rsidR="00FA0381">
        <w:rPr>
          <w:sz w:val="26"/>
          <w:szCs w:val="26"/>
        </w:rPr>
        <w:t xml:space="preserve"> the right for </w:t>
      </w:r>
      <w:r w:rsidR="00FA0381" w:rsidRPr="00892425">
        <w:rPr>
          <w:sz w:val="26"/>
          <w:szCs w:val="26"/>
        </w:rPr>
        <w:t xml:space="preserve">Aqua </w:t>
      </w:r>
      <w:r w:rsidR="00FA0381">
        <w:rPr>
          <w:sz w:val="26"/>
          <w:szCs w:val="26"/>
        </w:rPr>
        <w:t xml:space="preserve">Water </w:t>
      </w:r>
      <w:r w:rsidR="00FA0381" w:rsidRPr="00892425">
        <w:rPr>
          <w:sz w:val="26"/>
          <w:szCs w:val="26"/>
        </w:rPr>
        <w:t>to begin to offer</w:t>
      </w:r>
      <w:r w:rsidR="00FA0381">
        <w:rPr>
          <w:sz w:val="26"/>
          <w:szCs w:val="26"/>
        </w:rPr>
        <w:t xml:space="preserve"> water </w:t>
      </w:r>
      <w:r w:rsidR="00FA0381" w:rsidRPr="00892425">
        <w:rPr>
          <w:sz w:val="26"/>
          <w:szCs w:val="26"/>
        </w:rPr>
        <w:t>service in the service territory</w:t>
      </w:r>
      <w:r w:rsidR="00FA0381">
        <w:rPr>
          <w:sz w:val="26"/>
          <w:szCs w:val="26"/>
        </w:rPr>
        <w:t xml:space="preserve"> </w:t>
      </w:r>
      <w:r w:rsidR="00FA0381" w:rsidRPr="00892425">
        <w:rPr>
          <w:sz w:val="26"/>
          <w:szCs w:val="26"/>
        </w:rPr>
        <w:t>of Superior</w:t>
      </w:r>
      <w:r w:rsidR="00FA0381">
        <w:rPr>
          <w:sz w:val="26"/>
          <w:szCs w:val="26"/>
        </w:rPr>
        <w:t xml:space="preserve">; </w:t>
      </w:r>
      <w:r w:rsidR="00FA0381" w:rsidRPr="00892425">
        <w:rPr>
          <w:sz w:val="26"/>
          <w:szCs w:val="26"/>
        </w:rPr>
        <w:t>and</w:t>
      </w:r>
      <w:r w:rsidR="00FA0381">
        <w:rPr>
          <w:sz w:val="26"/>
          <w:szCs w:val="26"/>
        </w:rPr>
        <w:t xml:space="preserve"> </w:t>
      </w:r>
      <w:r w:rsidR="00FA0381" w:rsidRPr="007D267E">
        <w:rPr>
          <w:sz w:val="26"/>
          <w:szCs w:val="26"/>
        </w:rPr>
        <w:t xml:space="preserve">the abandonment by Superior </w:t>
      </w:r>
      <w:r w:rsidR="00FA0381">
        <w:rPr>
          <w:sz w:val="26"/>
          <w:szCs w:val="26"/>
        </w:rPr>
        <w:t>to provide water service to the public.</w:t>
      </w:r>
    </w:p>
    <w:p w14:paraId="7A14AE5F" w14:textId="77777777" w:rsidR="00FA0381" w:rsidRPr="00892425" w:rsidRDefault="00FA0381" w:rsidP="002C4EC5">
      <w:pPr>
        <w:pStyle w:val="BodyTextIndent"/>
        <w:spacing w:after="0"/>
        <w:ind w:left="0" w:firstLine="1440"/>
        <w:contextualSpacing/>
        <w:rPr>
          <w:sz w:val="26"/>
          <w:szCs w:val="26"/>
        </w:rPr>
      </w:pPr>
    </w:p>
    <w:p w14:paraId="573A87B2" w14:textId="5CC6239E" w:rsidR="00432323" w:rsidRPr="00892425" w:rsidRDefault="00ED559D" w:rsidP="002C4EC5">
      <w:pPr>
        <w:pStyle w:val="BodyTextIndent"/>
        <w:spacing w:after="0"/>
        <w:ind w:left="0" w:firstLine="1440"/>
        <w:contextualSpacing/>
        <w:rPr>
          <w:sz w:val="26"/>
          <w:szCs w:val="26"/>
        </w:rPr>
      </w:pPr>
      <w:r w:rsidRPr="00892425">
        <w:rPr>
          <w:sz w:val="26"/>
          <w:szCs w:val="26"/>
        </w:rPr>
        <w:t>For the reasons stated</w:t>
      </w:r>
      <w:r w:rsidRPr="00892425">
        <w:rPr>
          <w:i/>
          <w:sz w:val="26"/>
          <w:szCs w:val="26"/>
        </w:rPr>
        <w:t xml:space="preserve">, infra, </w:t>
      </w:r>
      <w:r w:rsidRPr="00892425">
        <w:rPr>
          <w:sz w:val="26"/>
          <w:szCs w:val="26"/>
        </w:rPr>
        <w:t>we shall</w:t>
      </w:r>
      <w:r w:rsidR="00AA68FB">
        <w:rPr>
          <w:sz w:val="26"/>
          <w:szCs w:val="26"/>
        </w:rPr>
        <w:t>:</w:t>
      </w:r>
      <w:r w:rsidRPr="00892425">
        <w:rPr>
          <w:sz w:val="26"/>
          <w:szCs w:val="26"/>
        </w:rPr>
        <w:t xml:space="preserve"> </w:t>
      </w:r>
      <w:r w:rsidR="00AA68FB">
        <w:rPr>
          <w:sz w:val="26"/>
          <w:szCs w:val="26"/>
        </w:rPr>
        <w:t xml:space="preserve">(1) </w:t>
      </w:r>
      <w:r w:rsidRPr="00892425">
        <w:rPr>
          <w:sz w:val="26"/>
          <w:szCs w:val="26"/>
        </w:rPr>
        <w:t>deny the Exceptions of Mr.</w:t>
      </w:r>
      <w:r w:rsidR="008C0146">
        <w:rPr>
          <w:sz w:val="26"/>
          <w:szCs w:val="26"/>
        </w:rPr>
        <w:t> </w:t>
      </w:r>
      <w:r w:rsidRPr="00892425">
        <w:rPr>
          <w:sz w:val="26"/>
          <w:szCs w:val="26"/>
        </w:rPr>
        <w:t>Curtius</w:t>
      </w:r>
      <w:r w:rsidR="008C0146">
        <w:rPr>
          <w:sz w:val="26"/>
          <w:szCs w:val="26"/>
        </w:rPr>
        <w:t xml:space="preserve"> and </w:t>
      </w:r>
      <w:r w:rsidR="008C0146" w:rsidRPr="00892425">
        <w:rPr>
          <w:sz w:val="26"/>
          <w:szCs w:val="26"/>
        </w:rPr>
        <w:t xml:space="preserve">TLPOA </w:t>
      </w:r>
      <w:r w:rsidR="00AA68FB">
        <w:rPr>
          <w:sz w:val="26"/>
          <w:szCs w:val="26"/>
        </w:rPr>
        <w:t>; (2)</w:t>
      </w:r>
      <w:r w:rsidRPr="00892425">
        <w:rPr>
          <w:sz w:val="26"/>
          <w:szCs w:val="26"/>
        </w:rPr>
        <w:t xml:space="preserve"> adopt the Recommended Decision</w:t>
      </w:r>
      <w:r w:rsidR="002A030A">
        <w:rPr>
          <w:sz w:val="26"/>
          <w:szCs w:val="26"/>
        </w:rPr>
        <w:t xml:space="preserve"> of ALJs Jones and Brady</w:t>
      </w:r>
      <w:r w:rsidR="00AA68FB">
        <w:rPr>
          <w:sz w:val="26"/>
          <w:szCs w:val="26"/>
        </w:rPr>
        <w:t>;</w:t>
      </w:r>
      <w:r w:rsidRPr="00892425">
        <w:rPr>
          <w:sz w:val="26"/>
          <w:szCs w:val="26"/>
        </w:rPr>
        <w:t xml:space="preserve"> </w:t>
      </w:r>
      <w:r w:rsidR="00AA68FB">
        <w:rPr>
          <w:sz w:val="26"/>
          <w:szCs w:val="26"/>
        </w:rPr>
        <w:t xml:space="preserve">(3) </w:t>
      </w:r>
      <w:r w:rsidR="002A030A">
        <w:rPr>
          <w:sz w:val="26"/>
          <w:szCs w:val="26"/>
        </w:rPr>
        <w:t xml:space="preserve">grant the Joint Petition </w:t>
      </w:r>
      <w:r w:rsidR="00ED0B4A">
        <w:rPr>
          <w:sz w:val="26"/>
          <w:szCs w:val="26"/>
        </w:rPr>
        <w:t xml:space="preserve">that </w:t>
      </w:r>
      <w:r w:rsidR="002A030A">
        <w:rPr>
          <w:sz w:val="26"/>
          <w:szCs w:val="26"/>
        </w:rPr>
        <w:t>approve</w:t>
      </w:r>
      <w:r w:rsidR="00ED0B4A">
        <w:rPr>
          <w:sz w:val="26"/>
          <w:szCs w:val="26"/>
        </w:rPr>
        <w:t>s</w:t>
      </w:r>
      <w:r w:rsidR="002A030A">
        <w:rPr>
          <w:sz w:val="26"/>
          <w:szCs w:val="26"/>
        </w:rPr>
        <w:t xml:space="preserve"> the </w:t>
      </w:r>
      <w:r w:rsidRPr="00892425">
        <w:rPr>
          <w:sz w:val="26"/>
          <w:szCs w:val="26"/>
        </w:rPr>
        <w:t>Joint Settlement, without modification</w:t>
      </w:r>
      <w:r w:rsidR="00AA68FB">
        <w:rPr>
          <w:sz w:val="26"/>
          <w:szCs w:val="26"/>
        </w:rPr>
        <w:t>; and (4)</w:t>
      </w:r>
      <w:r w:rsidRPr="00892425">
        <w:rPr>
          <w:sz w:val="26"/>
          <w:szCs w:val="26"/>
        </w:rPr>
        <w:t xml:space="preserve"> approve the Joint </w:t>
      </w:r>
      <w:r w:rsidR="0098356A">
        <w:rPr>
          <w:sz w:val="26"/>
          <w:szCs w:val="26"/>
        </w:rPr>
        <w:t xml:space="preserve">Merger </w:t>
      </w:r>
      <w:r w:rsidRPr="00892425">
        <w:rPr>
          <w:sz w:val="26"/>
          <w:szCs w:val="26"/>
        </w:rPr>
        <w:t>Application.</w:t>
      </w:r>
    </w:p>
    <w:p w14:paraId="00997A3C" w14:textId="209229A4" w:rsidR="00C321EA" w:rsidRPr="00892425" w:rsidRDefault="00C321EA" w:rsidP="002C4EC5">
      <w:pPr>
        <w:pStyle w:val="BodyTextIndent"/>
        <w:spacing w:after="0"/>
        <w:ind w:left="0" w:firstLine="1440"/>
        <w:contextualSpacing/>
        <w:rPr>
          <w:sz w:val="26"/>
          <w:szCs w:val="26"/>
        </w:rPr>
      </w:pPr>
    </w:p>
    <w:p w14:paraId="238A4631" w14:textId="66150C10" w:rsidR="00155781" w:rsidRPr="00892425" w:rsidRDefault="00155781" w:rsidP="002C4EC5">
      <w:pPr>
        <w:ind w:firstLine="1440"/>
        <w:contextualSpacing/>
        <w:rPr>
          <w:sz w:val="26"/>
          <w:szCs w:val="26"/>
        </w:rPr>
      </w:pPr>
      <w:r w:rsidRPr="00892425">
        <w:rPr>
          <w:sz w:val="26"/>
          <w:szCs w:val="26"/>
        </w:rPr>
        <w:t xml:space="preserve">As discussed below, </w:t>
      </w:r>
      <w:r w:rsidR="0019078D" w:rsidRPr="00892425">
        <w:rPr>
          <w:sz w:val="26"/>
          <w:szCs w:val="26"/>
        </w:rPr>
        <w:t>Aqua</w:t>
      </w:r>
      <w:r w:rsidRPr="00892425">
        <w:rPr>
          <w:sz w:val="26"/>
          <w:szCs w:val="26"/>
        </w:rPr>
        <w:t xml:space="preserve"> originally proposed a rate base change that would have increased its annual water revenues by $</w:t>
      </w:r>
      <w:r w:rsidR="0019078D" w:rsidRPr="00892425">
        <w:rPr>
          <w:sz w:val="26"/>
          <w:szCs w:val="26"/>
        </w:rPr>
        <w:t>66.3 Million</w:t>
      </w:r>
      <w:r w:rsidRPr="00892425">
        <w:rPr>
          <w:sz w:val="26"/>
          <w:szCs w:val="26"/>
        </w:rPr>
        <w:t xml:space="preserve">, or </w:t>
      </w:r>
      <w:r w:rsidR="0019078D" w:rsidRPr="00892425">
        <w:rPr>
          <w:sz w:val="26"/>
          <w:szCs w:val="26"/>
        </w:rPr>
        <w:t>15.39</w:t>
      </w:r>
      <w:r w:rsidRPr="00892425">
        <w:rPr>
          <w:sz w:val="26"/>
          <w:szCs w:val="26"/>
        </w:rPr>
        <w:t>% over present rates; and annual wastewater revenues by $</w:t>
      </w:r>
      <w:r w:rsidR="0019078D" w:rsidRPr="00892425">
        <w:rPr>
          <w:sz w:val="26"/>
          <w:szCs w:val="26"/>
        </w:rPr>
        <w:t>5.4 Million</w:t>
      </w:r>
      <w:r w:rsidRPr="00892425">
        <w:rPr>
          <w:sz w:val="26"/>
          <w:szCs w:val="26"/>
        </w:rPr>
        <w:t xml:space="preserve">, or </w:t>
      </w:r>
      <w:r w:rsidR="0019078D" w:rsidRPr="00892425">
        <w:rPr>
          <w:sz w:val="26"/>
          <w:szCs w:val="26"/>
        </w:rPr>
        <w:t>40.14</w:t>
      </w:r>
      <w:r w:rsidRPr="00892425">
        <w:rPr>
          <w:sz w:val="26"/>
          <w:szCs w:val="26"/>
        </w:rPr>
        <w:t xml:space="preserve">% over present rates, based on a </w:t>
      </w:r>
      <w:r w:rsidR="00ED559D" w:rsidRPr="00892425">
        <w:rPr>
          <w:sz w:val="26"/>
          <w:szCs w:val="26"/>
        </w:rPr>
        <w:t>Fully Projected Future Test Year (FPFTY) ending March 31, 2020</w:t>
      </w:r>
      <w:r w:rsidRPr="00892425">
        <w:rPr>
          <w:sz w:val="26"/>
          <w:szCs w:val="26"/>
        </w:rPr>
        <w:t xml:space="preserve">. </w:t>
      </w:r>
      <w:r w:rsidR="0019078D" w:rsidRPr="00892425">
        <w:rPr>
          <w:sz w:val="26"/>
          <w:szCs w:val="26"/>
        </w:rPr>
        <w:t xml:space="preserve"> The combined annual revenue increase Aqua proposed was $71.8 Million, or 16.13%</w:t>
      </w:r>
      <w:r w:rsidR="003134BE" w:rsidRPr="00892425">
        <w:rPr>
          <w:sz w:val="26"/>
          <w:szCs w:val="26"/>
        </w:rPr>
        <w:t xml:space="preserve"> over present r</w:t>
      </w:r>
      <w:r w:rsidR="002A030A">
        <w:rPr>
          <w:sz w:val="26"/>
          <w:szCs w:val="26"/>
        </w:rPr>
        <w:t>evenues</w:t>
      </w:r>
      <w:r w:rsidR="0019078D" w:rsidRPr="00892425">
        <w:rPr>
          <w:sz w:val="26"/>
          <w:szCs w:val="26"/>
        </w:rPr>
        <w:t>.  Aqua also proposed to recover approximately $8.1 Million of its wastewater revenue requirement from its water operations as authorized by Section 1311(c) of the Pennsylvania Public Utility Code (Code), 66 Pa. C.S. § 1311(</w:t>
      </w:r>
      <w:r w:rsidR="003134BE" w:rsidRPr="00892425">
        <w:rPr>
          <w:sz w:val="26"/>
          <w:szCs w:val="26"/>
        </w:rPr>
        <w:t>c</w:t>
      </w:r>
      <w:r w:rsidR="0019078D" w:rsidRPr="00892425">
        <w:rPr>
          <w:sz w:val="26"/>
          <w:szCs w:val="26"/>
        </w:rPr>
        <w:t xml:space="preserve">).  </w:t>
      </w:r>
      <w:r w:rsidRPr="00892425">
        <w:rPr>
          <w:sz w:val="26"/>
          <w:szCs w:val="26"/>
        </w:rPr>
        <w:t>In this Opinion and Order, we shall approve an annual water revenue increase of $</w:t>
      </w:r>
      <w:r w:rsidR="0019078D" w:rsidRPr="00892425">
        <w:rPr>
          <w:sz w:val="26"/>
          <w:szCs w:val="26"/>
        </w:rPr>
        <w:t>42.3 Million</w:t>
      </w:r>
      <w:r w:rsidRPr="00892425">
        <w:rPr>
          <w:sz w:val="26"/>
          <w:szCs w:val="26"/>
        </w:rPr>
        <w:t xml:space="preserve">, </w:t>
      </w:r>
      <w:r w:rsidR="002A030A">
        <w:rPr>
          <w:sz w:val="26"/>
          <w:szCs w:val="26"/>
        </w:rPr>
        <w:t xml:space="preserve">an increase of </w:t>
      </w:r>
      <w:r w:rsidR="0021514A" w:rsidRPr="00892425">
        <w:rPr>
          <w:sz w:val="26"/>
          <w:szCs w:val="26"/>
        </w:rPr>
        <w:t>9.8%</w:t>
      </w:r>
      <w:r w:rsidR="002A030A">
        <w:rPr>
          <w:sz w:val="26"/>
          <w:szCs w:val="26"/>
        </w:rPr>
        <w:t xml:space="preserve"> in annual water operating revenues</w:t>
      </w:r>
      <w:r w:rsidR="0021514A" w:rsidRPr="00892425">
        <w:rPr>
          <w:sz w:val="26"/>
          <w:szCs w:val="26"/>
        </w:rPr>
        <w:t>,</w:t>
      </w:r>
      <w:r w:rsidRPr="00892425">
        <w:rPr>
          <w:sz w:val="26"/>
          <w:szCs w:val="26"/>
        </w:rPr>
        <w:t xml:space="preserve"> and an annual wastewater revenue increase of $</w:t>
      </w:r>
      <w:r w:rsidR="0019078D" w:rsidRPr="00892425">
        <w:rPr>
          <w:sz w:val="26"/>
          <w:szCs w:val="26"/>
        </w:rPr>
        <w:t>4.7 Million</w:t>
      </w:r>
      <w:r w:rsidRPr="00892425">
        <w:rPr>
          <w:sz w:val="26"/>
          <w:szCs w:val="26"/>
        </w:rPr>
        <w:t xml:space="preserve">, </w:t>
      </w:r>
      <w:r w:rsidR="002A030A">
        <w:rPr>
          <w:sz w:val="26"/>
          <w:szCs w:val="26"/>
        </w:rPr>
        <w:t xml:space="preserve">an increase of </w:t>
      </w:r>
      <w:r w:rsidR="0021514A" w:rsidRPr="00892425">
        <w:rPr>
          <w:sz w:val="26"/>
          <w:szCs w:val="26"/>
        </w:rPr>
        <w:t>34.6</w:t>
      </w:r>
      <w:r w:rsidRPr="00892425">
        <w:rPr>
          <w:sz w:val="26"/>
          <w:szCs w:val="26"/>
        </w:rPr>
        <w:t>%</w:t>
      </w:r>
      <w:r w:rsidR="002A030A">
        <w:rPr>
          <w:sz w:val="26"/>
          <w:szCs w:val="26"/>
        </w:rPr>
        <w:t xml:space="preserve"> in annual wastewater operating revenues</w:t>
      </w:r>
      <w:r w:rsidRPr="00892425">
        <w:rPr>
          <w:sz w:val="26"/>
          <w:szCs w:val="26"/>
        </w:rPr>
        <w:t xml:space="preserve">, based on the </w:t>
      </w:r>
      <w:r w:rsidR="00634F96">
        <w:rPr>
          <w:sz w:val="26"/>
          <w:szCs w:val="26"/>
        </w:rPr>
        <w:t xml:space="preserve">Joint </w:t>
      </w:r>
      <w:r w:rsidR="0019078D" w:rsidRPr="00892425">
        <w:rPr>
          <w:sz w:val="26"/>
          <w:szCs w:val="26"/>
        </w:rPr>
        <w:t>Settlement</w:t>
      </w:r>
      <w:r w:rsidR="002A030A">
        <w:rPr>
          <w:sz w:val="26"/>
          <w:szCs w:val="26"/>
        </w:rPr>
        <w:t xml:space="preserve"> that we will </w:t>
      </w:r>
      <w:r w:rsidR="00634F96">
        <w:rPr>
          <w:sz w:val="26"/>
          <w:szCs w:val="26"/>
        </w:rPr>
        <w:t>also approve</w:t>
      </w:r>
      <w:r w:rsidRPr="00892425">
        <w:rPr>
          <w:sz w:val="26"/>
          <w:szCs w:val="26"/>
        </w:rPr>
        <w:t>.</w:t>
      </w:r>
      <w:r w:rsidR="0019078D" w:rsidRPr="00892425">
        <w:rPr>
          <w:sz w:val="26"/>
          <w:szCs w:val="26"/>
        </w:rPr>
        <w:t xml:space="preserve">  This will result in a combined annual revenue increase of $47 Million, or </w:t>
      </w:r>
      <w:r w:rsidR="00F86CE5" w:rsidRPr="00892425">
        <w:rPr>
          <w:sz w:val="26"/>
          <w:szCs w:val="26"/>
        </w:rPr>
        <w:t>10.6</w:t>
      </w:r>
      <w:r w:rsidR="0019078D" w:rsidRPr="00892425">
        <w:rPr>
          <w:sz w:val="26"/>
          <w:szCs w:val="26"/>
        </w:rPr>
        <w:t xml:space="preserve">%.  Under the </w:t>
      </w:r>
      <w:r w:rsidR="00634F96">
        <w:rPr>
          <w:sz w:val="26"/>
          <w:szCs w:val="26"/>
        </w:rPr>
        <w:t xml:space="preserve">Joint </w:t>
      </w:r>
      <w:r w:rsidR="0019078D" w:rsidRPr="00892425">
        <w:rPr>
          <w:sz w:val="26"/>
          <w:szCs w:val="26"/>
        </w:rPr>
        <w:t>Settlement</w:t>
      </w:r>
      <w:r w:rsidR="0036594D" w:rsidRPr="00892425">
        <w:rPr>
          <w:sz w:val="26"/>
          <w:szCs w:val="26"/>
        </w:rPr>
        <w:t>, the Company will recover approximately $7.1 Million of its wastewater revenue requirement from its water operations.</w:t>
      </w:r>
    </w:p>
    <w:p w14:paraId="02945366" w14:textId="77777777" w:rsidR="00155781" w:rsidRPr="00892425" w:rsidRDefault="00155781" w:rsidP="002C4EC5">
      <w:pPr>
        <w:pStyle w:val="BodyTextIndent"/>
        <w:spacing w:after="0"/>
        <w:ind w:left="0" w:firstLine="1440"/>
        <w:contextualSpacing/>
        <w:rPr>
          <w:sz w:val="26"/>
          <w:szCs w:val="26"/>
        </w:rPr>
      </w:pPr>
    </w:p>
    <w:p w14:paraId="1AF2FF14" w14:textId="77777777" w:rsidR="009E5583" w:rsidRPr="00892425" w:rsidRDefault="003F001F" w:rsidP="002C4EC5">
      <w:pPr>
        <w:pStyle w:val="Heading1"/>
        <w:keepNext/>
        <w:keepLines/>
        <w:contextualSpacing/>
      </w:pPr>
      <w:bookmarkStart w:id="3" w:name="_Toc385423060"/>
      <w:bookmarkStart w:id="4" w:name="_Toc471747990"/>
      <w:bookmarkStart w:id="5" w:name="_Toc471748128"/>
      <w:r w:rsidRPr="00892425">
        <w:t>II.</w:t>
      </w:r>
      <w:r w:rsidRPr="00892425">
        <w:tab/>
      </w:r>
      <w:r w:rsidR="009E5583" w:rsidRPr="00892425">
        <w:t>History of the Proceeding</w:t>
      </w:r>
      <w:bookmarkEnd w:id="3"/>
      <w:bookmarkEnd w:id="4"/>
      <w:bookmarkEnd w:id="5"/>
    </w:p>
    <w:p w14:paraId="77306D58" w14:textId="77777777" w:rsidR="00693818" w:rsidRPr="00892425" w:rsidRDefault="00693818" w:rsidP="002C4EC5">
      <w:pPr>
        <w:keepNext/>
        <w:keepLines/>
        <w:tabs>
          <w:tab w:val="left" w:pos="4680"/>
        </w:tabs>
        <w:ind w:firstLine="1440"/>
        <w:contextualSpacing/>
        <w:rPr>
          <w:sz w:val="26"/>
          <w:szCs w:val="26"/>
        </w:rPr>
      </w:pPr>
    </w:p>
    <w:p w14:paraId="17DFAE76" w14:textId="5F3E49B9" w:rsidR="00994240" w:rsidRPr="00892425" w:rsidRDefault="00933BF7" w:rsidP="002C4EC5">
      <w:pPr>
        <w:pStyle w:val="Footer"/>
        <w:spacing w:line="360" w:lineRule="auto"/>
        <w:ind w:firstLine="1440"/>
        <w:contextualSpacing/>
        <w:rPr>
          <w:sz w:val="26"/>
          <w:szCs w:val="26"/>
        </w:rPr>
      </w:pPr>
      <w:r w:rsidRPr="00892425">
        <w:rPr>
          <w:sz w:val="26"/>
          <w:szCs w:val="26"/>
        </w:rPr>
        <w:t xml:space="preserve">The history of this proceeding that follows is summarized from the </w:t>
      </w:r>
      <w:r w:rsidR="00ED0B4A">
        <w:rPr>
          <w:sz w:val="26"/>
          <w:szCs w:val="26"/>
        </w:rPr>
        <w:t>Recommended</w:t>
      </w:r>
      <w:r w:rsidRPr="00892425">
        <w:rPr>
          <w:sz w:val="26"/>
          <w:szCs w:val="26"/>
        </w:rPr>
        <w:t xml:space="preserve"> Decision of ALJs Jones and Brady, the majority of which may be found </w:t>
      </w:r>
      <w:r w:rsidR="00ED0B4A">
        <w:rPr>
          <w:sz w:val="26"/>
          <w:szCs w:val="26"/>
        </w:rPr>
        <w:t>on</w:t>
      </w:r>
      <w:r w:rsidRPr="00892425">
        <w:rPr>
          <w:sz w:val="26"/>
          <w:szCs w:val="26"/>
        </w:rPr>
        <w:t xml:space="preserve"> pages one through eleven of th</w:t>
      </w:r>
      <w:r w:rsidR="00ED0B4A">
        <w:rPr>
          <w:sz w:val="26"/>
          <w:szCs w:val="26"/>
        </w:rPr>
        <w:t>eir Recommended Decision</w:t>
      </w:r>
      <w:r w:rsidRPr="00892425">
        <w:rPr>
          <w:sz w:val="26"/>
          <w:szCs w:val="26"/>
        </w:rPr>
        <w:t>.</w:t>
      </w:r>
    </w:p>
    <w:p w14:paraId="344A0C97" w14:textId="17D1BAE6" w:rsidR="00933BF7" w:rsidRPr="00892425" w:rsidRDefault="00933BF7" w:rsidP="002C4EC5">
      <w:pPr>
        <w:pStyle w:val="Footer"/>
        <w:spacing w:line="360" w:lineRule="auto"/>
        <w:ind w:firstLine="1440"/>
        <w:contextualSpacing/>
        <w:rPr>
          <w:sz w:val="26"/>
          <w:szCs w:val="26"/>
        </w:rPr>
      </w:pPr>
    </w:p>
    <w:p w14:paraId="2ED8D635" w14:textId="56D1DEA9" w:rsidR="004622BB" w:rsidRPr="00892425" w:rsidRDefault="00CD2D1E" w:rsidP="002C4EC5">
      <w:pPr>
        <w:pStyle w:val="Footer"/>
        <w:spacing w:line="360" w:lineRule="auto"/>
        <w:ind w:firstLine="1440"/>
        <w:contextualSpacing/>
        <w:rPr>
          <w:sz w:val="26"/>
          <w:szCs w:val="26"/>
        </w:rPr>
      </w:pPr>
      <w:r w:rsidRPr="00892425">
        <w:rPr>
          <w:sz w:val="26"/>
          <w:szCs w:val="26"/>
        </w:rPr>
        <w:lastRenderedPageBreak/>
        <w:t xml:space="preserve">On August 17, 2018, Aqua filed proposed Tariff Water </w:t>
      </w:r>
      <w:r w:rsidR="00ED0B4A">
        <w:rPr>
          <w:sz w:val="26"/>
          <w:szCs w:val="26"/>
        </w:rPr>
        <w:t>–</w:t>
      </w:r>
      <w:r w:rsidR="00425B5B">
        <w:rPr>
          <w:sz w:val="26"/>
          <w:szCs w:val="26"/>
        </w:rPr>
        <w:t xml:space="preserve"> </w:t>
      </w:r>
      <w:r w:rsidRPr="00892425">
        <w:rPr>
          <w:sz w:val="26"/>
          <w:szCs w:val="26"/>
        </w:rPr>
        <w:t>Pa. P.U.C. No. 2</w:t>
      </w:r>
      <w:r w:rsidR="00ED0B4A">
        <w:rPr>
          <w:sz w:val="26"/>
          <w:szCs w:val="26"/>
        </w:rPr>
        <w:t>,</w:t>
      </w:r>
      <w:r w:rsidRPr="00892425">
        <w:rPr>
          <w:sz w:val="26"/>
          <w:szCs w:val="26"/>
        </w:rPr>
        <w:t xml:space="preserve"> to become effective October 16, 2018.  Also</w:t>
      </w:r>
      <w:r w:rsidR="009675D2">
        <w:rPr>
          <w:sz w:val="26"/>
          <w:szCs w:val="26"/>
        </w:rPr>
        <w:t>,</w:t>
      </w:r>
      <w:r w:rsidRPr="00892425">
        <w:rPr>
          <w:sz w:val="26"/>
          <w:szCs w:val="26"/>
        </w:rPr>
        <w:t xml:space="preserve"> on August 17, 2018, Aqua filed proposed Tariff Sewer – Pa. P.U.C. No. 2 to become effective on October 16, 2018.</w:t>
      </w:r>
      <w:r w:rsidR="00C75D0B" w:rsidRPr="00892425">
        <w:rPr>
          <w:rStyle w:val="FootnoteReference"/>
          <w:sz w:val="26"/>
          <w:szCs w:val="26"/>
        </w:rPr>
        <w:footnoteReference w:id="2"/>
      </w:r>
      <w:r w:rsidRPr="00892425">
        <w:rPr>
          <w:sz w:val="26"/>
          <w:szCs w:val="26"/>
        </w:rPr>
        <w:t xml:space="preserve"> </w:t>
      </w:r>
      <w:r w:rsidR="00EB7365" w:rsidRPr="00892425">
        <w:rPr>
          <w:sz w:val="26"/>
          <w:szCs w:val="26"/>
        </w:rPr>
        <w:t xml:space="preserve"> </w:t>
      </w:r>
      <w:r w:rsidRPr="00892425">
        <w:rPr>
          <w:sz w:val="26"/>
          <w:szCs w:val="26"/>
        </w:rPr>
        <w:t>The water tariff proposed an increase in total annual operating</w:t>
      </w:r>
      <w:r w:rsidR="00EB7365" w:rsidRPr="00892425">
        <w:rPr>
          <w:sz w:val="26"/>
          <w:szCs w:val="26"/>
        </w:rPr>
        <w:t xml:space="preserve"> revenues of approximately $66.3 million or 15.39%.  The sewer tariff proposed an increase in total annual operating revenues of approximately $5.4 million or 40.14%.  As noted above, the combined proposed water and wastewater increase for Aqua was about $71.8 million or 16.13% in annual revenues based on data for a FPFTY ending March 31, 2020.  Aqua also proposed to recover approximately $8.1 million of its wastewater revenue requirement from its water operations as authorized by Section 1311(c) of the Code</w:t>
      </w:r>
      <w:r w:rsidR="003134BE" w:rsidRPr="00892425">
        <w:rPr>
          <w:sz w:val="26"/>
          <w:szCs w:val="26"/>
        </w:rPr>
        <w:t>,</w:t>
      </w:r>
      <w:r w:rsidR="00EB7365" w:rsidRPr="00892425">
        <w:rPr>
          <w:sz w:val="26"/>
          <w:szCs w:val="26"/>
        </w:rPr>
        <w:t xml:space="preserve"> 66 Pa.</w:t>
      </w:r>
      <w:r w:rsidR="005D51D9">
        <w:rPr>
          <w:sz w:val="26"/>
          <w:szCs w:val="26"/>
        </w:rPr>
        <w:t xml:space="preserve"> </w:t>
      </w:r>
      <w:r w:rsidR="00EB7365" w:rsidRPr="00892425">
        <w:rPr>
          <w:sz w:val="26"/>
          <w:szCs w:val="26"/>
        </w:rPr>
        <w:t>C.S. § 1311(c).</w:t>
      </w:r>
    </w:p>
    <w:p w14:paraId="293F03F4" w14:textId="71877A0F" w:rsidR="00EB7365" w:rsidRPr="00892425" w:rsidRDefault="00EB7365" w:rsidP="002C4EC5">
      <w:pPr>
        <w:pStyle w:val="Footer"/>
        <w:spacing w:line="360" w:lineRule="auto"/>
        <w:ind w:firstLine="1440"/>
        <w:contextualSpacing/>
        <w:rPr>
          <w:sz w:val="26"/>
          <w:szCs w:val="26"/>
        </w:rPr>
      </w:pPr>
    </w:p>
    <w:p w14:paraId="75628A28" w14:textId="350850BC" w:rsidR="009675D2" w:rsidRPr="00892425" w:rsidRDefault="009675D2" w:rsidP="002C4EC5">
      <w:pPr>
        <w:autoSpaceDE w:val="0"/>
        <w:autoSpaceDN w:val="0"/>
        <w:ind w:right="-14"/>
        <w:contextualSpacing/>
        <w:rPr>
          <w:sz w:val="26"/>
          <w:szCs w:val="26"/>
        </w:rPr>
      </w:pPr>
      <w:r>
        <w:rPr>
          <w:sz w:val="26"/>
          <w:szCs w:val="26"/>
        </w:rPr>
        <w:tab/>
      </w:r>
      <w:r>
        <w:rPr>
          <w:sz w:val="26"/>
          <w:szCs w:val="26"/>
        </w:rPr>
        <w:tab/>
      </w:r>
      <w:r w:rsidR="00EB7365" w:rsidRPr="00892425">
        <w:rPr>
          <w:sz w:val="26"/>
          <w:szCs w:val="26"/>
        </w:rPr>
        <w:t xml:space="preserve">Additionally, on August 17, 2018, the Joint Applicants filed their Joint </w:t>
      </w:r>
      <w:r w:rsidR="00177260" w:rsidRPr="00892425">
        <w:rPr>
          <w:sz w:val="26"/>
          <w:szCs w:val="26"/>
        </w:rPr>
        <w:t>Application</w:t>
      </w:r>
      <w:r w:rsidR="00EB7365" w:rsidRPr="00892425">
        <w:rPr>
          <w:sz w:val="26"/>
          <w:szCs w:val="26"/>
        </w:rPr>
        <w:t xml:space="preserve"> </w:t>
      </w:r>
      <w:bookmarkStart w:id="6" w:name="_Hlk7078392"/>
      <w:r w:rsidR="00ED0B4A">
        <w:rPr>
          <w:sz w:val="26"/>
          <w:szCs w:val="26"/>
        </w:rPr>
        <w:t xml:space="preserve">requesting </w:t>
      </w:r>
      <w:r w:rsidR="00EB7365" w:rsidRPr="00892425">
        <w:rPr>
          <w:sz w:val="26"/>
          <w:szCs w:val="26"/>
        </w:rPr>
        <w:t>Commission approval</w:t>
      </w:r>
      <w:r>
        <w:rPr>
          <w:sz w:val="26"/>
          <w:szCs w:val="26"/>
        </w:rPr>
        <w:t xml:space="preserve"> of </w:t>
      </w:r>
      <w:r w:rsidRPr="007D267E">
        <w:rPr>
          <w:sz w:val="26"/>
          <w:szCs w:val="26"/>
        </w:rPr>
        <w:t>the transfer</w:t>
      </w:r>
      <w:r>
        <w:rPr>
          <w:sz w:val="26"/>
          <w:szCs w:val="26"/>
        </w:rPr>
        <w:t>, through merger,</w:t>
      </w:r>
      <w:r w:rsidRPr="007D267E">
        <w:rPr>
          <w:sz w:val="26"/>
          <w:szCs w:val="26"/>
        </w:rPr>
        <w:t xml:space="preserve"> of</w:t>
      </w:r>
      <w:r>
        <w:rPr>
          <w:sz w:val="26"/>
          <w:szCs w:val="26"/>
        </w:rPr>
        <w:t xml:space="preserve"> </w:t>
      </w:r>
      <w:r w:rsidRPr="007D267E">
        <w:rPr>
          <w:sz w:val="26"/>
          <w:szCs w:val="26"/>
        </w:rPr>
        <w:t xml:space="preserve">all Superior </w:t>
      </w:r>
      <w:r>
        <w:rPr>
          <w:sz w:val="26"/>
          <w:szCs w:val="26"/>
        </w:rPr>
        <w:t>Water’s</w:t>
      </w:r>
      <w:r w:rsidR="00EB7365" w:rsidRPr="00892425">
        <w:rPr>
          <w:sz w:val="26"/>
          <w:szCs w:val="26"/>
        </w:rPr>
        <w:t xml:space="preserve"> </w:t>
      </w:r>
      <w:r w:rsidRPr="007D267E">
        <w:rPr>
          <w:sz w:val="26"/>
          <w:szCs w:val="26"/>
        </w:rPr>
        <w:t>used or useful</w:t>
      </w:r>
      <w:r>
        <w:rPr>
          <w:sz w:val="26"/>
          <w:szCs w:val="26"/>
        </w:rPr>
        <w:t xml:space="preserve"> property </w:t>
      </w:r>
      <w:r w:rsidRPr="007D267E">
        <w:rPr>
          <w:sz w:val="26"/>
          <w:szCs w:val="26"/>
        </w:rPr>
        <w:t>in the</w:t>
      </w:r>
      <w:r>
        <w:rPr>
          <w:sz w:val="26"/>
          <w:szCs w:val="26"/>
        </w:rPr>
        <w:t xml:space="preserve"> </w:t>
      </w:r>
      <w:r w:rsidRPr="007D267E">
        <w:rPr>
          <w:sz w:val="26"/>
          <w:szCs w:val="26"/>
        </w:rPr>
        <w:t>public service</w:t>
      </w:r>
      <w:r w:rsidR="00EB7365" w:rsidRPr="00892425">
        <w:rPr>
          <w:sz w:val="26"/>
          <w:szCs w:val="26"/>
        </w:rPr>
        <w:t xml:space="preserve"> to Aqua</w:t>
      </w:r>
      <w:r w:rsidR="0098356A">
        <w:rPr>
          <w:sz w:val="26"/>
          <w:szCs w:val="26"/>
        </w:rPr>
        <w:t xml:space="preserve"> Water</w:t>
      </w:r>
      <w:r>
        <w:rPr>
          <w:sz w:val="26"/>
          <w:szCs w:val="26"/>
        </w:rPr>
        <w:t xml:space="preserve">; </w:t>
      </w:r>
      <w:r w:rsidR="00EB7365" w:rsidRPr="00892425">
        <w:rPr>
          <w:sz w:val="26"/>
          <w:szCs w:val="26"/>
        </w:rPr>
        <w:t xml:space="preserve">for Aqua </w:t>
      </w:r>
      <w:r w:rsidR="0098356A">
        <w:rPr>
          <w:sz w:val="26"/>
          <w:szCs w:val="26"/>
        </w:rPr>
        <w:t xml:space="preserve">Water </w:t>
      </w:r>
      <w:r w:rsidR="00EB7365" w:rsidRPr="00892425">
        <w:rPr>
          <w:sz w:val="26"/>
          <w:szCs w:val="26"/>
        </w:rPr>
        <w:t>to begin to offer water service in the service territory of Superior</w:t>
      </w:r>
      <w:r w:rsidR="00C10407" w:rsidRPr="00892425">
        <w:rPr>
          <w:sz w:val="26"/>
          <w:szCs w:val="26"/>
        </w:rPr>
        <w:t>,</w:t>
      </w:r>
      <w:r w:rsidR="005D1208" w:rsidRPr="00892425">
        <w:rPr>
          <w:sz w:val="26"/>
          <w:szCs w:val="26"/>
        </w:rPr>
        <w:t xml:space="preserve"> and for </w:t>
      </w:r>
      <w:r w:rsidR="00EB7365" w:rsidRPr="00892425">
        <w:rPr>
          <w:sz w:val="26"/>
          <w:szCs w:val="26"/>
        </w:rPr>
        <w:t>Superior to abandon its authority to provide water service.</w:t>
      </w:r>
      <w:bookmarkEnd w:id="6"/>
    </w:p>
    <w:p w14:paraId="3C3CEC3C" w14:textId="7A605B6C" w:rsidR="005D1208" w:rsidRPr="00892425" w:rsidRDefault="005D1208" w:rsidP="002C4EC5">
      <w:pPr>
        <w:pStyle w:val="Footer"/>
        <w:spacing w:line="360" w:lineRule="auto"/>
        <w:ind w:firstLine="1440"/>
        <w:contextualSpacing/>
        <w:rPr>
          <w:sz w:val="26"/>
          <w:szCs w:val="26"/>
        </w:rPr>
      </w:pPr>
    </w:p>
    <w:p w14:paraId="19374435" w14:textId="1A580FD3" w:rsidR="008B28E7" w:rsidRPr="00892425" w:rsidRDefault="00CA2171" w:rsidP="002C4EC5">
      <w:pPr>
        <w:pStyle w:val="Footer"/>
        <w:spacing w:line="360" w:lineRule="auto"/>
        <w:ind w:firstLine="1440"/>
        <w:contextualSpacing/>
        <w:rPr>
          <w:sz w:val="26"/>
          <w:szCs w:val="26"/>
        </w:rPr>
      </w:pPr>
      <w:r w:rsidRPr="00892425">
        <w:rPr>
          <w:sz w:val="26"/>
          <w:szCs w:val="26"/>
        </w:rPr>
        <w:t>On August 28, 2018, the OCA</w:t>
      </w:r>
      <w:r w:rsidR="00C10407" w:rsidRPr="00892425">
        <w:rPr>
          <w:sz w:val="26"/>
          <w:szCs w:val="26"/>
        </w:rPr>
        <w:t xml:space="preserve"> filed</w:t>
      </w:r>
      <w:r w:rsidRPr="00892425">
        <w:rPr>
          <w:sz w:val="26"/>
          <w:szCs w:val="26"/>
        </w:rPr>
        <w:t xml:space="preserve"> </w:t>
      </w:r>
      <w:r w:rsidR="005575CE" w:rsidRPr="00892425">
        <w:rPr>
          <w:sz w:val="26"/>
          <w:szCs w:val="26"/>
        </w:rPr>
        <w:t>Formal Complaints</w:t>
      </w:r>
      <w:r w:rsidR="007769DF" w:rsidRPr="00892425">
        <w:rPr>
          <w:sz w:val="26"/>
          <w:szCs w:val="26"/>
        </w:rPr>
        <w:t xml:space="preserve"> against the proposed water and wastewater </w:t>
      </w:r>
      <w:r w:rsidR="00157B77" w:rsidRPr="00892425">
        <w:rPr>
          <w:sz w:val="26"/>
          <w:szCs w:val="26"/>
        </w:rPr>
        <w:t xml:space="preserve">rate </w:t>
      </w:r>
      <w:r w:rsidR="0085385F" w:rsidRPr="00892425">
        <w:rPr>
          <w:sz w:val="26"/>
          <w:szCs w:val="26"/>
        </w:rPr>
        <w:t>increases</w:t>
      </w:r>
      <w:r w:rsidR="008B28E7" w:rsidRPr="00892425">
        <w:rPr>
          <w:sz w:val="26"/>
          <w:szCs w:val="26"/>
        </w:rPr>
        <w:t>.</w:t>
      </w:r>
      <w:r w:rsidR="009675D2">
        <w:rPr>
          <w:sz w:val="26"/>
          <w:szCs w:val="26"/>
        </w:rPr>
        <w:t xml:space="preserve">  </w:t>
      </w:r>
      <w:r w:rsidR="009675D2" w:rsidRPr="00892425">
        <w:rPr>
          <w:sz w:val="26"/>
          <w:szCs w:val="26"/>
        </w:rPr>
        <w:t>I&amp;E filed a Notice of Appearance</w:t>
      </w:r>
      <w:r w:rsidR="009675D2">
        <w:rPr>
          <w:sz w:val="26"/>
          <w:szCs w:val="26"/>
        </w:rPr>
        <w:t xml:space="preserve"> o</w:t>
      </w:r>
      <w:r w:rsidR="009675D2" w:rsidRPr="00892425">
        <w:rPr>
          <w:sz w:val="26"/>
          <w:szCs w:val="26"/>
        </w:rPr>
        <w:t xml:space="preserve">n August 29, 2018, </w:t>
      </w:r>
      <w:r w:rsidR="009675D2">
        <w:rPr>
          <w:sz w:val="26"/>
          <w:szCs w:val="26"/>
        </w:rPr>
        <w:t xml:space="preserve">and </w:t>
      </w:r>
      <w:r w:rsidR="008B28E7" w:rsidRPr="00892425">
        <w:rPr>
          <w:sz w:val="26"/>
          <w:szCs w:val="26"/>
        </w:rPr>
        <w:t xml:space="preserve">Pennsylvania American Water Company (PAWC) filed a Formal Complaint against the proposed water </w:t>
      </w:r>
      <w:r w:rsidR="00157B77" w:rsidRPr="00892425">
        <w:rPr>
          <w:sz w:val="26"/>
          <w:szCs w:val="26"/>
        </w:rPr>
        <w:t xml:space="preserve">rate </w:t>
      </w:r>
      <w:r w:rsidR="008B28E7" w:rsidRPr="00892425">
        <w:rPr>
          <w:sz w:val="26"/>
          <w:szCs w:val="26"/>
        </w:rPr>
        <w:t>increase</w:t>
      </w:r>
      <w:r w:rsidR="009675D2">
        <w:rPr>
          <w:sz w:val="26"/>
          <w:szCs w:val="26"/>
        </w:rPr>
        <w:t xml:space="preserve"> o</w:t>
      </w:r>
      <w:r w:rsidR="009675D2" w:rsidRPr="00892425">
        <w:rPr>
          <w:sz w:val="26"/>
          <w:szCs w:val="26"/>
        </w:rPr>
        <w:t>n August 31, 2018</w:t>
      </w:r>
      <w:r w:rsidR="00157B77" w:rsidRPr="00892425">
        <w:rPr>
          <w:sz w:val="26"/>
          <w:szCs w:val="26"/>
        </w:rPr>
        <w:t>.</w:t>
      </w:r>
    </w:p>
    <w:p w14:paraId="6E8FFE1B" w14:textId="2514389D" w:rsidR="008B28E7" w:rsidRPr="00892425" w:rsidRDefault="008B28E7" w:rsidP="002C4EC5">
      <w:pPr>
        <w:pStyle w:val="Footer"/>
        <w:spacing w:line="360" w:lineRule="auto"/>
        <w:ind w:firstLine="1440"/>
        <w:contextualSpacing/>
        <w:rPr>
          <w:sz w:val="26"/>
          <w:szCs w:val="26"/>
        </w:rPr>
      </w:pPr>
    </w:p>
    <w:p w14:paraId="13CC9A9B" w14:textId="2A535EBF" w:rsidR="008B28E7" w:rsidRPr="00892425" w:rsidRDefault="0085385F" w:rsidP="002C4EC5">
      <w:pPr>
        <w:pStyle w:val="Footer"/>
        <w:spacing w:line="360" w:lineRule="auto"/>
        <w:ind w:firstLine="1440"/>
        <w:contextualSpacing/>
        <w:rPr>
          <w:sz w:val="26"/>
          <w:szCs w:val="26"/>
        </w:rPr>
      </w:pPr>
      <w:r w:rsidRPr="00892425">
        <w:rPr>
          <w:sz w:val="26"/>
          <w:szCs w:val="26"/>
        </w:rPr>
        <w:t>By Order entered September 20, 2018, the Commission suspended</w:t>
      </w:r>
      <w:r w:rsidR="00147813">
        <w:rPr>
          <w:sz w:val="26"/>
          <w:szCs w:val="26"/>
        </w:rPr>
        <w:t xml:space="preserve"> Aqua’s </w:t>
      </w:r>
      <w:r w:rsidR="00147813" w:rsidRPr="00892425">
        <w:rPr>
          <w:sz w:val="26"/>
          <w:szCs w:val="26"/>
        </w:rPr>
        <w:t xml:space="preserve">Tariff Water </w:t>
      </w:r>
      <w:r w:rsidR="00147813">
        <w:rPr>
          <w:sz w:val="26"/>
          <w:szCs w:val="26"/>
        </w:rPr>
        <w:t xml:space="preserve">– </w:t>
      </w:r>
      <w:r w:rsidR="00147813" w:rsidRPr="00892425">
        <w:rPr>
          <w:sz w:val="26"/>
          <w:szCs w:val="26"/>
        </w:rPr>
        <w:t>Pa. P.U.C. No. 2</w:t>
      </w:r>
      <w:r w:rsidR="00147813">
        <w:rPr>
          <w:sz w:val="26"/>
          <w:szCs w:val="26"/>
        </w:rPr>
        <w:t xml:space="preserve"> and Tariff Sewer – Pa. P.U.C. No. 2, by operation of law, </w:t>
      </w:r>
      <w:r w:rsidRPr="00892425">
        <w:rPr>
          <w:sz w:val="26"/>
          <w:szCs w:val="26"/>
        </w:rPr>
        <w:t xml:space="preserve"> until May 16, 2019, unless otherwise directed by Commission Order</w:t>
      </w:r>
      <w:r w:rsidR="00147813">
        <w:rPr>
          <w:sz w:val="26"/>
          <w:szCs w:val="26"/>
        </w:rPr>
        <w:t xml:space="preserve"> to become effective </w:t>
      </w:r>
      <w:r w:rsidR="00147813">
        <w:rPr>
          <w:sz w:val="26"/>
          <w:szCs w:val="26"/>
        </w:rPr>
        <w:lastRenderedPageBreak/>
        <w:t>at an earlier date.</w:t>
      </w:r>
      <w:r w:rsidRPr="00892425">
        <w:rPr>
          <w:sz w:val="26"/>
          <w:szCs w:val="26"/>
        </w:rPr>
        <w:t xml:space="preserve">  </w:t>
      </w:r>
      <w:r w:rsidR="00157B77" w:rsidRPr="00892425">
        <w:rPr>
          <w:sz w:val="26"/>
          <w:szCs w:val="26"/>
        </w:rPr>
        <w:t>Subsequently,</w:t>
      </w:r>
      <w:r w:rsidR="00147813">
        <w:rPr>
          <w:sz w:val="26"/>
          <w:szCs w:val="26"/>
        </w:rPr>
        <w:t xml:space="preserve"> Aqua voluntarily </w:t>
      </w:r>
      <w:r w:rsidR="00157B77" w:rsidRPr="00892425">
        <w:rPr>
          <w:sz w:val="26"/>
          <w:szCs w:val="26"/>
        </w:rPr>
        <w:t xml:space="preserve">agreed to </w:t>
      </w:r>
      <w:r w:rsidR="00147813">
        <w:rPr>
          <w:sz w:val="26"/>
          <w:szCs w:val="26"/>
        </w:rPr>
        <w:t xml:space="preserve">extend the </w:t>
      </w:r>
      <w:r w:rsidR="00157B77" w:rsidRPr="00892425">
        <w:rPr>
          <w:sz w:val="26"/>
          <w:szCs w:val="26"/>
        </w:rPr>
        <w:t xml:space="preserve">suspension </w:t>
      </w:r>
      <w:r w:rsidR="00147813">
        <w:rPr>
          <w:sz w:val="26"/>
          <w:szCs w:val="26"/>
        </w:rPr>
        <w:t xml:space="preserve">date </w:t>
      </w:r>
      <w:r w:rsidR="00157B77" w:rsidRPr="00892425">
        <w:rPr>
          <w:sz w:val="26"/>
          <w:szCs w:val="26"/>
        </w:rPr>
        <w:t>to May 24, 2019.</w:t>
      </w:r>
    </w:p>
    <w:p w14:paraId="1F493B40" w14:textId="3FE44351" w:rsidR="00157B77" w:rsidRPr="00892425" w:rsidRDefault="00157B77" w:rsidP="002C4EC5">
      <w:pPr>
        <w:pStyle w:val="Footer"/>
        <w:spacing w:line="360" w:lineRule="auto"/>
        <w:ind w:firstLine="1440"/>
        <w:contextualSpacing/>
        <w:rPr>
          <w:sz w:val="26"/>
          <w:szCs w:val="26"/>
        </w:rPr>
      </w:pPr>
    </w:p>
    <w:p w14:paraId="32F75BC2" w14:textId="04ABD68A" w:rsidR="00157B77" w:rsidRPr="00892425" w:rsidRDefault="00157B77" w:rsidP="002C4EC5">
      <w:pPr>
        <w:pStyle w:val="Footer"/>
        <w:spacing w:line="360" w:lineRule="auto"/>
        <w:ind w:firstLine="1440"/>
        <w:contextualSpacing/>
        <w:rPr>
          <w:sz w:val="26"/>
          <w:szCs w:val="26"/>
        </w:rPr>
      </w:pPr>
      <w:r w:rsidRPr="00892425">
        <w:rPr>
          <w:sz w:val="26"/>
          <w:szCs w:val="26"/>
        </w:rPr>
        <w:t>On September 24, 2018, Cody Vance filed Formal Complaints on behalf of L</w:t>
      </w:r>
      <w:r w:rsidR="00C10407" w:rsidRPr="00892425">
        <w:rPr>
          <w:sz w:val="26"/>
          <w:szCs w:val="26"/>
        </w:rPr>
        <w:t>GM</w:t>
      </w:r>
      <w:r w:rsidRPr="00892425">
        <w:rPr>
          <w:sz w:val="26"/>
          <w:szCs w:val="26"/>
        </w:rPr>
        <w:t>A against the proposed water and wastewater rate increases.</w:t>
      </w:r>
      <w:r w:rsidR="008D6DAC" w:rsidRPr="00892425">
        <w:rPr>
          <w:sz w:val="26"/>
          <w:szCs w:val="26"/>
        </w:rPr>
        <w:t xml:space="preserve">  Also on September 24, 2018, Cedar Knoll Builders filed a Formal Complaint against the proposed wastewater rate increase.</w:t>
      </w:r>
    </w:p>
    <w:p w14:paraId="39794755" w14:textId="3A64562B" w:rsidR="00157B77" w:rsidRPr="00892425" w:rsidRDefault="00157B77" w:rsidP="002C4EC5">
      <w:pPr>
        <w:pStyle w:val="Footer"/>
        <w:spacing w:line="360" w:lineRule="auto"/>
        <w:ind w:firstLine="1440"/>
        <w:contextualSpacing/>
        <w:rPr>
          <w:sz w:val="26"/>
          <w:szCs w:val="26"/>
        </w:rPr>
      </w:pPr>
    </w:p>
    <w:p w14:paraId="6C39CD77" w14:textId="65FFF8FE" w:rsidR="00157B77" w:rsidRPr="00892425" w:rsidRDefault="00157B77" w:rsidP="002C4EC5">
      <w:pPr>
        <w:pStyle w:val="Footer"/>
        <w:spacing w:line="360" w:lineRule="auto"/>
        <w:ind w:firstLine="1440"/>
        <w:contextualSpacing/>
        <w:rPr>
          <w:sz w:val="26"/>
          <w:szCs w:val="26"/>
        </w:rPr>
      </w:pPr>
      <w:r w:rsidRPr="00892425">
        <w:rPr>
          <w:sz w:val="26"/>
          <w:szCs w:val="26"/>
        </w:rPr>
        <w:t>On September 25, 2018, TLPOA filed a petition to intervene in this proceeding.</w:t>
      </w:r>
      <w:r w:rsidR="00147813">
        <w:rPr>
          <w:sz w:val="26"/>
          <w:szCs w:val="26"/>
        </w:rPr>
        <w:t xml:space="preserve">  </w:t>
      </w:r>
      <w:r w:rsidRPr="00892425">
        <w:rPr>
          <w:sz w:val="26"/>
          <w:szCs w:val="26"/>
        </w:rPr>
        <w:t xml:space="preserve">On September 26, 2018, </w:t>
      </w:r>
      <w:r w:rsidR="00147813">
        <w:rPr>
          <w:sz w:val="26"/>
          <w:szCs w:val="26"/>
        </w:rPr>
        <w:t>and September 27, 2018, t</w:t>
      </w:r>
      <w:r w:rsidRPr="00892425">
        <w:rPr>
          <w:sz w:val="26"/>
          <w:szCs w:val="26"/>
        </w:rPr>
        <w:t xml:space="preserve">he OSBA </w:t>
      </w:r>
      <w:r w:rsidR="00147813">
        <w:rPr>
          <w:sz w:val="26"/>
          <w:szCs w:val="26"/>
        </w:rPr>
        <w:t xml:space="preserve">and </w:t>
      </w:r>
      <w:r w:rsidR="00147813" w:rsidRPr="00892425">
        <w:rPr>
          <w:sz w:val="26"/>
          <w:szCs w:val="26"/>
        </w:rPr>
        <w:t>Aqua LUG</w:t>
      </w:r>
      <w:r w:rsidR="00147813">
        <w:rPr>
          <w:sz w:val="26"/>
          <w:szCs w:val="26"/>
        </w:rPr>
        <w:t>, respectively,</w:t>
      </w:r>
      <w:r w:rsidR="00147813" w:rsidRPr="00892425">
        <w:rPr>
          <w:sz w:val="26"/>
          <w:szCs w:val="26"/>
        </w:rPr>
        <w:t xml:space="preserve"> </w:t>
      </w:r>
      <w:r w:rsidRPr="00892425">
        <w:rPr>
          <w:sz w:val="26"/>
          <w:szCs w:val="26"/>
        </w:rPr>
        <w:t>filed Formal Complaints against the proposed water and wastewater rate increases.</w:t>
      </w:r>
    </w:p>
    <w:p w14:paraId="2986023C" w14:textId="24DD9DD1" w:rsidR="00EB7365" w:rsidRPr="00892425" w:rsidRDefault="00EB7365" w:rsidP="002C4EC5">
      <w:pPr>
        <w:pStyle w:val="Footer"/>
        <w:spacing w:line="360" w:lineRule="auto"/>
        <w:ind w:firstLine="1440"/>
        <w:contextualSpacing/>
        <w:rPr>
          <w:sz w:val="26"/>
          <w:szCs w:val="26"/>
        </w:rPr>
      </w:pPr>
    </w:p>
    <w:p w14:paraId="54EC3981" w14:textId="5F398A49" w:rsidR="00DC7F85" w:rsidRPr="00892425" w:rsidRDefault="00157B77" w:rsidP="002C4EC5">
      <w:pPr>
        <w:pStyle w:val="Footer"/>
        <w:spacing w:line="360" w:lineRule="auto"/>
        <w:ind w:firstLine="1440"/>
        <w:contextualSpacing/>
        <w:rPr>
          <w:sz w:val="26"/>
          <w:szCs w:val="26"/>
        </w:rPr>
      </w:pPr>
      <w:r w:rsidRPr="00892425">
        <w:rPr>
          <w:sz w:val="26"/>
          <w:szCs w:val="26"/>
        </w:rPr>
        <w:t>On September 28, 2018, CAUSE-PA filed a petition to intervene in this proceeding, citing a direct interest for low-income individuals to obtain affordable water and wastewater</w:t>
      </w:r>
      <w:r w:rsidR="00C10407" w:rsidRPr="00892425">
        <w:rPr>
          <w:sz w:val="26"/>
          <w:szCs w:val="26"/>
        </w:rPr>
        <w:t xml:space="preserve"> in the service territory of Aqua.</w:t>
      </w:r>
      <w:r w:rsidR="00147813">
        <w:rPr>
          <w:sz w:val="26"/>
          <w:szCs w:val="26"/>
        </w:rPr>
        <w:t xml:space="preserve">  Formal Complaints were filed on </w:t>
      </w:r>
      <w:r w:rsidR="00D05A01" w:rsidRPr="00892425">
        <w:rPr>
          <w:sz w:val="26"/>
          <w:szCs w:val="26"/>
        </w:rPr>
        <w:t>October</w:t>
      </w:r>
      <w:r w:rsidR="00147813">
        <w:rPr>
          <w:sz w:val="26"/>
          <w:szCs w:val="26"/>
        </w:rPr>
        <w:t> </w:t>
      </w:r>
      <w:r w:rsidR="00DC7F85" w:rsidRPr="00892425">
        <w:rPr>
          <w:sz w:val="26"/>
          <w:szCs w:val="26"/>
        </w:rPr>
        <w:t>2</w:t>
      </w:r>
      <w:r w:rsidR="00D05A01" w:rsidRPr="00892425">
        <w:rPr>
          <w:sz w:val="26"/>
          <w:szCs w:val="26"/>
        </w:rPr>
        <w:t xml:space="preserve">, 2018, </w:t>
      </w:r>
      <w:r w:rsidR="00147813">
        <w:rPr>
          <w:sz w:val="26"/>
          <w:szCs w:val="26"/>
        </w:rPr>
        <w:t xml:space="preserve">and </w:t>
      </w:r>
      <w:r w:rsidR="00806E01" w:rsidRPr="00892425">
        <w:rPr>
          <w:sz w:val="26"/>
          <w:szCs w:val="26"/>
        </w:rPr>
        <w:t xml:space="preserve">October </w:t>
      </w:r>
      <w:r w:rsidR="000D1409" w:rsidRPr="00892425">
        <w:rPr>
          <w:sz w:val="26"/>
          <w:szCs w:val="26"/>
        </w:rPr>
        <w:t xml:space="preserve">10, 2018, </w:t>
      </w:r>
      <w:r w:rsidR="00147813">
        <w:rPr>
          <w:sz w:val="26"/>
          <w:szCs w:val="26"/>
        </w:rPr>
        <w:t xml:space="preserve">by </w:t>
      </w:r>
      <w:r w:rsidR="00147813" w:rsidRPr="00892425">
        <w:rPr>
          <w:sz w:val="26"/>
          <w:szCs w:val="26"/>
        </w:rPr>
        <w:t xml:space="preserve">MMPOC </w:t>
      </w:r>
      <w:r w:rsidR="00147813">
        <w:rPr>
          <w:sz w:val="26"/>
          <w:szCs w:val="26"/>
        </w:rPr>
        <w:t xml:space="preserve">and </w:t>
      </w:r>
      <w:r w:rsidR="000D1409" w:rsidRPr="00892425">
        <w:rPr>
          <w:sz w:val="26"/>
          <w:szCs w:val="26"/>
        </w:rPr>
        <w:t xml:space="preserve">the Borough of Athens </w:t>
      </w:r>
      <w:r w:rsidR="00DC7F85" w:rsidRPr="00892425">
        <w:rPr>
          <w:sz w:val="26"/>
          <w:szCs w:val="26"/>
        </w:rPr>
        <w:t>and the South Waverly Borough</w:t>
      </w:r>
      <w:r w:rsidR="00147813">
        <w:rPr>
          <w:sz w:val="26"/>
          <w:szCs w:val="26"/>
        </w:rPr>
        <w:t xml:space="preserve"> </w:t>
      </w:r>
      <w:r w:rsidR="000D1409" w:rsidRPr="00892425">
        <w:rPr>
          <w:sz w:val="26"/>
          <w:szCs w:val="26"/>
        </w:rPr>
        <w:t>against the</w:t>
      </w:r>
      <w:r w:rsidR="00A8394B" w:rsidRPr="00892425">
        <w:rPr>
          <w:sz w:val="26"/>
          <w:szCs w:val="26"/>
        </w:rPr>
        <w:t xml:space="preserve"> proposed</w:t>
      </w:r>
      <w:r w:rsidR="000D1409" w:rsidRPr="00892425">
        <w:rPr>
          <w:sz w:val="26"/>
          <w:szCs w:val="26"/>
        </w:rPr>
        <w:t xml:space="preserve"> water rate increase.</w:t>
      </w:r>
    </w:p>
    <w:p w14:paraId="5A0601DC" w14:textId="77777777" w:rsidR="00DC7F85" w:rsidRPr="00892425" w:rsidRDefault="00DC7F85" w:rsidP="002C4EC5">
      <w:pPr>
        <w:pStyle w:val="Footer"/>
        <w:spacing w:line="360" w:lineRule="auto"/>
        <w:ind w:firstLine="1440"/>
        <w:contextualSpacing/>
        <w:rPr>
          <w:sz w:val="26"/>
          <w:szCs w:val="26"/>
        </w:rPr>
      </w:pPr>
    </w:p>
    <w:p w14:paraId="59E6C2E2" w14:textId="1944F2AE" w:rsidR="00806E01" w:rsidRPr="00892425" w:rsidRDefault="008D6DAC" w:rsidP="002C4EC5">
      <w:pPr>
        <w:pStyle w:val="Footer"/>
        <w:spacing w:line="360" w:lineRule="auto"/>
        <w:ind w:firstLine="1440"/>
        <w:contextualSpacing/>
        <w:rPr>
          <w:sz w:val="26"/>
          <w:szCs w:val="26"/>
        </w:rPr>
      </w:pPr>
      <w:r w:rsidRPr="00892425">
        <w:rPr>
          <w:sz w:val="26"/>
          <w:szCs w:val="26"/>
        </w:rPr>
        <w:t>Additionally,</w:t>
      </w:r>
      <w:r w:rsidR="00DC7F85" w:rsidRPr="00892425">
        <w:rPr>
          <w:sz w:val="26"/>
          <w:szCs w:val="26"/>
        </w:rPr>
        <w:t xml:space="preserve"> during this proceeding</w:t>
      </w:r>
      <w:r w:rsidR="000D1409" w:rsidRPr="00892425">
        <w:rPr>
          <w:sz w:val="26"/>
          <w:szCs w:val="26"/>
        </w:rPr>
        <w:t xml:space="preserve">, </w:t>
      </w:r>
      <w:r w:rsidR="00DC7F85" w:rsidRPr="00892425">
        <w:rPr>
          <w:sz w:val="26"/>
          <w:szCs w:val="26"/>
        </w:rPr>
        <w:t xml:space="preserve">twenty-eight </w:t>
      </w:r>
      <w:r w:rsidR="00DC7F85" w:rsidRPr="00892425">
        <w:rPr>
          <w:i/>
          <w:sz w:val="26"/>
          <w:szCs w:val="26"/>
        </w:rPr>
        <w:t xml:space="preserve">pro se </w:t>
      </w:r>
      <w:r w:rsidR="00DC7F85" w:rsidRPr="00892425">
        <w:rPr>
          <w:sz w:val="26"/>
          <w:szCs w:val="26"/>
        </w:rPr>
        <w:t xml:space="preserve">Complainants filed Formal Complaints against the proposed water rate increase and </w:t>
      </w:r>
      <w:r w:rsidRPr="00892425">
        <w:rPr>
          <w:sz w:val="26"/>
          <w:szCs w:val="26"/>
        </w:rPr>
        <w:t xml:space="preserve">forty-six </w:t>
      </w:r>
      <w:r w:rsidRPr="00892425">
        <w:rPr>
          <w:i/>
          <w:sz w:val="26"/>
          <w:szCs w:val="26"/>
        </w:rPr>
        <w:t xml:space="preserve">pro se </w:t>
      </w:r>
      <w:r w:rsidRPr="00892425">
        <w:rPr>
          <w:sz w:val="26"/>
          <w:szCs w:val="26"/>
        </w:rPr>
        <w:t>Complainants filed Formal Complaints against the proposed wastewater rate increase.  This includes the Formal Complaints filed by Mr. Curtius on October 22, 2018 against the proposed water and wastewater increases.</w:t>
      </w:r>
    </w:p>
    <w:p w14:paraId="051EBDE1" w14:textId="07670ADA" w:rsidR="008214E7" w:rsidRPr="00892425" w:rsidRDefault="008214E7" w:rsidP="002C4EC5">
      <w:pPr>
        <w:pStyle w:val="Footer"/>
        <w:spacing w:line="360" w:lineRule="auto"/>
        <w:ind w:firstLine="1440"/>
        <w:contextualSpacing/>
        <w:rPr>
          <w:sz w:val="26"/>
          <w:szCs w:val="26"/>
        </w:rPr>
      </w:pPr>
    </w:p>
    <w:p w14:paraId="278D3C50" w14:textId="5FCE14E8" w:rsidR="008214E7" w:rsidRPr="00892425" w:rsidRDefault="008214E7" w:rsidP="002C4EC5">
      <w:pPr>
        <w:pStyle w:val="Footer"/>
        <w:spacing w:line="360" w:lineRule="auto"/>
        <w:ind w:firstLine="1440"/>
        <w:contextualSpacing/>
        <w:rPr>
          <w:sz w:val="26"/>
          <w:szCs w:val="26"/>
        </w:rPr>
      </w:pPr>
      <w:r w:rsidRPr="00892425">
        <w:rPr>
          <w:sz w:val="26"/>
          <w:szCs w:val="26"/>
        </w:rPr>
        <w:t>Consistent with the ALJs’ Prehearing Conference Order dated September</w:t>
      </w:r>
      <w:r w:rsidR="00DC0801">
        <w:rPr>
          <w:sz w:val="26"/>
          <w:szCs w:val="26"/>
        </w:rPr>
        <w:t> </w:t>
      </w:r>
      <w:r w:rsidRPr="00892425">
        <w:rPr>
          <w:sz w:val="26"/>
          <w:szCs w:val="26"/>
        </w:rPr>
        <w:t xml:space="preserve">21, 2018, at paragraph 9, the following parties took the appropriate steps to be active participants in this proceeding: </w:t>
      </w:r>
    </w:p>
    <w:p w14:paraId="082FC5F4" w14:textId="77777777" w:rsidR="008214E7" w:rsidRPr="00892425" w:rsidRDefault="008214E7" w:rsidP="002C4EC5">
      <w:pPr>
        <w:pStyle w:val="Footer"/>
        <w:spacing w:line="360" w:lineRule="auto"/>
        <w:ind w:firstLine="1440"/>
        <w:contextualSpacing/>
        <w:rPr>
          <w:sz w:val="26"/>
          <w:szCs w:val="26"/>
        </w:rPr>
      </w:pPr>
    </w:p>
    <w:p w14:paraId="50E19E57" w14:textId="77777777" w:rsidR="008214E7" w:rsidRPr="00892425" w:rsidRDefault="008214E7" w:rsidP="002A6EA1">
      <w:pPr>
        <w:pStyle w:val="Footer"/>
        <w:keepNext/>
        <w:keepLines/>
        <w:spacing w:line="360" w:lineRule="auto"/>
        <w:ind w:firstLine="1440"/>
        <w:contextualSpacing/>
        <w:rPr>
          <w:sz w:val="26"/>
          <w:szCs w:val="26"/>
        </w:rPr>
      </w:pPr>
      <w:r w:rsidRPr="00892425">
        <w:rPr>
          <w:sz w:val="26"/>
          <w:szCs w:val="26"/>
        </w:rPr>
        <w:lastRenderedPageBreak/>
        <w:t xml:space="preserve">(1) Aqua; </w:t>
      </w:r>
    </w:p>
    <w:p w14:paraId="400DEB92" w14:textId="77777777" w:rsidR="008214E7" w:rsidRPr="00892425" w:rsidRDefault="008214E7" w:rsidP="002A6EA1">
      <w:pPr>
        <w:pStyle w:val="Footer"/>
        <w:keepNext/>
        <w:keepLines/>
        <w:spacing w:line="360" w:lineRule="auto"/>
        <w:ind w:firstLine="1440"/>
        <w:contextualSpacing/>
        <w:rPr>
          <w:sz w:val="26"/>
          <w:szCs w:val="26"/>
        </w:rPr>
      </w:pPr>
      <w:r w:rsidRPr="00892425">
        <w:rPr>
          <w:sz w:val="26"/>
          <w:szCs w:val="26"/>
        </w:rPr>
        <w:t xml:space="preserve">(2) Aqua LUG; </w:t>
      </w:r>
    </w:p>
    <w:p w14:paraId="0250BB62" w14:textId="77777777" w:rsidR="008214E7" w:rsidRPr="00892425" w:rsidRDefault="008214E7" w:rsidP="002A6EA1">
      <w:pPr>
        <w:pStyle w:val="Footer"/>
        <w:keepNext/>
        <w:keepLines/>
        <w:spacing w:line="360" w:lineRule="auto"/>
        <w:ind w:firstLine="1440"/>
        <w:contextualSpacing/>
        <w:rPr>
          <w:sz w:val="26"/>
          <w:szCs w:val="26"/>
        </w:rPr>
      </w:pPr>
      <w:r w:rsidRPr="00892425">
        <w:rPr>
          <w:sz w:val="26"/>
          <w:szCs w:val="26"/>
        </w:rPr>
        <w:t xml:space="preserve">(3) I&amp;E; </w:t>
      </w:r>
    </w:p>
    <w:p w14:paraId="75771751" w14:textId="77777777" w:rsidR="008214E7" w:rsidRPr="00892425" w:rsidRDefault="008214E7" w:rsidP="002C4EC5">
      <w:pPr>
        <w:pStyle w:val="Footer"/>
        <w:spacing w:line="360" w:lineRule="auto"/>
        <w:ind w:firstLine="1440"/>
        <w:contextualSpacing/>
        <w:rPr>
          <w:sz w:val="26"/>
          <w:szCs w:val="26"/>
        </w:rPr>
      </w:pPr>
      <w:r w:rsidRPr="00892425">
        <w:rPr>
          <w:sz w:val="26"/>
          <w:szCs w:val="26"/>
        </w:rPr>
        <w:t xml:space="preserve">(4) LGMA; </w:t>
      </w:r>
    </w:p>
    <w:p w14:paraId="7B8D93E8" w14:textId="77777777" w:rsidR="008214E7" w:rsidRPr="00892425" w:rsidRDefault="008214E7" w:rsidP="002C4EC5">
      <w:pPr>
        <w:pStyle w:val="Footer"/>
        <w:spacing w:line="360" w:lineRule="auto"/>
        <w:ind w:firstLine="1440"/>
        <w:contextualSpacing/>
        <w:rPr>
          <w:sz w:val="26"/>
          <w:szCs w:val="26"/>
        </w:rPr>
      </w:pPr>
      <w:r w:rsidRPr="00892425">
        <w:rPr>
          <w:sz w:val="26"/>
          <w:szCs w:val="26"/>
        </w:rPr>
        <w:t xml:space="preserve">(5) OCA; </w:t>
      </w:r>
    </w:p>
    <w:p w14:paraId="482CBB30" w14:textId="77777777" w:rsidR="008214E7" w:rsidRPr="00892425" w:rsidRDefault="008214E7" w:rsidP="002C4EC5">
      <w:pPr>
        <w:pStyle w:val="Footer"/>
        <w:spacing w:line="360" w:lineRule="auto"/>
        <w:ind w:firstLine="1440"/>
        <w:contextualSpacing/>
        <w:rPr>
          <w:sz w:val="26"/>
          <w:szCs w:val="26"/>
        </w:rPr>
      </w:pPr>
      <w:r w:rsidRPr="00892425">
        <w:rPr>
          <w:sz w:val="26"/>
          <w:szCs w:val="26"/>
        </w:rPr>
        <w:t xml:space="preserve">(6) OSBA; </w:t>
      </w:r>
    </w:p>
    <w:p w14:paraId="23431B01" w14:textId="77777777" w:rsidR="008214E7" w:rsidRPr="00892425" w:rsidRDefault="008214E7" w:rsidP="002C4EC5">
      <w:pPr>
        <w:pStyle w:val="Footer"/>
        <w:spacing w:line="360" w:lineRule="auto"/>
        <w:ind w:firstLine="1440"/>
        <w:contextualSpacing/>
        <w:rPr>
          <w:sz w:val="26"/>
          <w:szCs w:val="26"/>
        </w:rPr>
      </w:pPr>
      <w:r w:rsidRPr="00892425">
        <w:rPr>
          <w:sz w:val="26"/>
          <w:szCs w:val="26"/>
        </w:rPr>
        <w:t xml:space="preserve">(7) PAWC; and  </w:t>
      </w:r>
    </w:p>
    <w:p w14:paraId="171803D2" w14:textId="606FCB9B" w:rsidR="008214E7" w:rsidRPr="00892425" w:rsidRDefault="008214E7" w:rsidP="002C4EC5">
      <w:pPr>
        <w:pStyle w:val="Footer"/>
        <w:spacing w:line="360" w:lineRule="auto"/>
        <w:ind w:firstLine="1440"/>
        <w:contextualSpacing/>
        <w:rPr>
          <w:sz w:val="26"/>
          <w:szCs w:val="26"/>
        </w:rPr>
      </w:pPr>
      <w:r w:rsidRPr="00892425">
        <w:rPr>
          <w:sz w:val="26"/>
          <w:szCs w:val="26"/>
        </w:rPr>
        <w:t>(8) TLPOA.</w:t>
      </w:r>
    </w:p>
    <w:p w14:paraId="76A5D6BB" w14:textId="2BC9DDE2" w:rsidR="00D05A01" w:rsidRPr="00892425" w:rsidRDefault="00D05A01" w:rsidP="002C4EC5">
      <w:pPr>
        <w:pStyle w:val="Footer"/>
        <w:spacing w:line="360" w:lineRule="auto"/>
        <w:ind w:firstLine="1440"/>
        <w:contextualSpacing/>
        <w:rPr>
          <w:sz w:val="26"/>
          <w:szCs w:val="26"/>
        </w:rPr>
      </w:pPr>
    </w:p>
    <w:p w14:paraId="7A520270" w14:textId="28F263EE" w:rsidR="008214E7" w:rsidRPr="00892425" w:rsidRDefault="008214E7" w:rsidP="002C4EC5">
      <w:pPr>
        <w:pStyle w:val="Footer"/>
        <w:spacing w:line="360" w:lineRule="auto"/>
        <w:contextualSpacing/>
        <w:rPr>
          <w:sz w:val="26"/>
          <w:szCs w:val="26"/>
        </w:rPr>
      </w:pPr>
      <w:r w:rsidRPr="00892425">
        <w:rPr>
          <w:sz w:val="26"/>
          <w:szCs w:val="26"/>
        </w:rPr>
        <w:t>Additionally, MMPOC and CAUSE-PA filed requests to be treated as active participants.  No objection was filed</w:t>
      </w:r>
      <w:r w:rsidR="00DC0801">
        <w:rPr>
          <w:sz w:val="26"/>
          <w:szCs w:val="26"/>
        </w:rPr>
        <w:t>,</w:t>
      </w:r>
      <w:r w:rsidRPr="00892425">
        <w:rPr>
          <w:sz w:val="26"/>
          <w:szCs w:val="26"/>
        </w:rPr>
        <w:t xml:space="preserve"> and the ALJs granted active participant status </w:t>
      </w:r>
      <w:r w:rsidR="00DC0801">
        <w:rPr>
          <w:sz w:val="26"/>
          <w:szCs w:val="26"/>
        </w:rPr>
        <w:t xml:space="preserve">to these Parties </w:t>
      </w:r>
      <w:r w:rsidRPr="00892425">
        <w:rPr>
          <w:sz w:val="26"/>
          <w:szCs w:val="26"/>
        </w:rPr>
        <w:t>by Prehearing Order dated October 19, 2018.</w:t>
      </w:r>
    </w:p>
    <w:p w14:paraId="71387D0F" w14:textId="77777777" w:rsidR="008214E7" w:rsidRPr="00892425" w:rsidRDefault="008214E7" w:rsidP="002C4EC5">
      <w:pPr>
        <w:pStyle w:val="Footer"/>
        <w:spacing w:line="360" w:lineRule="auto"/>
        <w:ind w:firstLine="1440"/>
        <w:contextualSpacing/>
        <w:rPr>
          <w:sz w:val="26"/>
          <w:szCs w:val="26"/>
        </w:rPr>
      </w:pPr>
    </w:p>
    <w:p w14:paraId="4F9A9546" w14:textId="6144EA70" w:rsidR="00D05A01" w:rsidRPr="00892425" w:rsidRDefault="00D05A01" w:rsidP="002C4EC5">
      <w:pPr>
        <w:pStyle w:val="Footer"/>
        <w:spacing w:line="360" w:lineRule="auto"/>
        <w:ind w:firstLine="1440"/>
        <w:contextualSpacing/>
        <w:rPr>
          <w:sz w:val="26"/>
          <w:szCs w:val="26"/>
        </w:rPr>
      </w:pPr>
      <w:r w:rsidRPr="00892425">
        <w:rPr>
          <w:sz w:val="26"/>
          <w:szCs w:val="26"/>
        </w:rPr>
        <w:t xml:space="preserve">Public </w:t>
      </w:r>
      <w:r w:rsidR="00981E12" w:rsidRPr="00892425">
        <w:rPr>
          <w:sz w:val="26"/>
          <w:szCs w:val="26"/>
        </w:rPr>
        <w:t>i</w:t>
      </w:r>
      <w:r w:rsidRPr="00892425">
        <w:rPr>
          <w:sz w:val="26"/>
          <w:szCs w:val="26"/>
        </w:rPr>
        <w:t xml:space="preserve">nput hearings were held on November 13, 2018, November 14, 2018, November </w:t>
      </w:r>
      <w:r w:rsidR="002C2F26" w:rsidRPr="00892425">
        <w:rPr>
          <w:sz w:val="26"/>
          <w:szCs w:val="26"/>
        </w:rPr>
        <w:t>15, 2018, November 16, 2018, and November 27, 2018.</w:t>
      </w:r>
      <w:r w:rsidR="00726A65" w:rsidRPr="00892425">
        <w:rPr>
          <w:rStyle w:val="FootnoteReference"/>
          <w:sz w:val="26"/>
          <w:szCs w:val="26"/>
        </w:rPr>
        <w:footnoteReference w:id="3"/>
      </w:r>
    </w:p>
    <w:p w14:paraId="0C7E1BE7" w14:textId="3D9CB31E" w:rsidR="00157B77" w:rsidRPr="00892425" w:rsidRDefault="00157B77" w:rsidP="002C4EC5">
      <w:pPr>
        <w:pStyle w:val="Footer"/>
        <w:spacing w:line="360" w:lineRule="auto"/>
        <w:ind w:firstLine="1440"/>
        <w:contextualSpacing/>
        <w:rPr>
          <w:sz w:val="26"/>
          <w:szCs w:val="26"/>
        </w:rPr>
      </w:pPr>
    </w:p>
    <w:p w14:paraId="3F9066DB" w14:textId="1B4C6310" w:rsidR="008214E7" w:rsidRPr="00892425" w:rsidRDefault="008214E7" w:rsidP="002C4EC5">
      <w:pPr>
        <w:pStyle w:val="Footer"/>
        <w:spacing w:line="360" w:lineRule="auto"/>
        <w:ind w:firstLine="1440"/>
        <w:contextualSpacing/>
        <w:rPr>
          <w:sz w:val="26"/>
          <w:szCs w:val="26"/>
        </w:rPr>
      </w:pPr>
      <w:r w:rsidRPr="00892425">
        <w:rPr>
          <w:sz w:val="26"/>
          <w:szCs w:val="26"/>
        </w:rPr>
        <w:t xml:space="preserve">On January 18, 2019, an evidentiary hearing convened as scheduled for the sole purpose of admitting uncontested testimony and exhibits into the record.  The testimony and exhibits support the </w:t>
      </w:r>
      <w:r w:rsidR="00634F96">
        <w:rPr>
          <w:sz w:val="26"/>
          <w:szCs w:val="26"/>
        </w:rPr>
        <w:t xml:space="preserve">Joint </w:t>
      </w:r>
      <w:r w:rsidR="009D0995" w:rsidRPr="00892425">
        <w:rPr>
          <w:sz w:val="26"/>
          <w:szCs w:val="26"/>
        </w:rPr>
        <w:t>S</w:t>
      </w:r>
      <w:r w:rsidRPr="00892425">
        <w:rPr>
          <w:sz w:val="26"/>
          <w:szCs w:val="26"/>
        </w:rPr>
        <w:t>ettlement reached by the Joint Petitioners.</w:t>
      </w:r>
      <w:r w:rsidRPr="00892425">
        <w:rPr>
          <w:rStyle w:val="FootnoteReference"/>
          <w:sz w:val="26"/>
          <w:szCs w:val="26"/>
        </w:rPr>
        <w:footnoteReference w:id="4"/>
      </w:r>
    </w:p>
    <w:p w14:paraId="74FEFDE1" w14:textId="2D32B8CD" w:rsidR="009D0995" w:rsidRPr="00892425" w:rsidRDefault="009D0995" w:rsidP="002C4EC5">
      <w:pPr>
        <w:pStyle w:val="Footer"/>
        <w:spacing w:line="360" w:lineRule="auto"/>
        <w:ind w:firstLine="1440"/>
        <w:contextualSpacing/>
        <w:rPr>
          <w:sz w:val="26"/>
          <w:szCs w:val="26"/>
        </w:rPr>
      </w:pPr>
    </w:p>
    <w:p w14:paraId="0DE86C0A" w14:textId="3ADA7324" w:rsidR="009D0995" w:rsidRPr="00892425" w:rsidRDefault="009D0995" w:rsidP="002C4EC5">
      <w:pPr>
        <w:pStyle w:val="Footer"/>
        <w:spacing w:line="360" w:lineRule="auto"/>
        <w:ind w:firstLine="1440"/>
        <w:contextualSpacing/>
        <w:rPr>
          <w:sz w:val="26"/>
          <w:szCs w:val="26"/>
        </w:rPr>
      </w:pPr>
      <w:r w:rsidRPr="00892425">
        <w:rPr>
          <w:sz w:val="26"/>
          <w:szCs w:val="26"/>
        </w:rPr>
        <w:t>O</w:t>
      </w:r>
      <w:r w:rsidR="00AE0062" w:rsidRPr="00892425">
        <w:rPr>
          <w:sz w:val="26"/>
          <w:szCs w:val="26"/>
        </w:rPr>
        <w:t>n</w:t>
      </w:r>
      <w:r w:rsidRPr="00892425">
        <w:rPr>
          <w:sz w:val="26"/>
          <w:szCs w:val="26"/>
        </w:rPr>
        <w:t xml:space="preserve"> February </w:t>
      </w:r>
      <w:r w:rsidR="00AE0062" w:rsidRPr="00892425">
        <w:rPr>
          <w:sz w:val="26"/>
          <w:szCs w:val="26"/>
        </w:rPr>
        <w:t>8,</w:t>
      </w:r>
      <w:r w:rsidR="00726A65" w:rsidRPr="00892425">
        <w:rPr>
          <w:sz w:val="26"/>
          <w:szCs w:val="26"/>
        </w:rPr>
        <w:t xml:space="preserve"> 2019,</w:t>
      </w:r>
      <w:r w:rsidR="00AE0062" w:rsidRPr="00892425">
        <w:rPr>
          <w:sz w:val="26"/>
          <w:szCs w:val="26"/>
        </w:rPr>
        <w:t xml:space="preserve"> the Joint Petitioners filed the Joint Settlement, including statements in support.</w:t>
      </w:r>
      <w:r w:rsidR="00AE0062" w:rsidRPr="00892425">
        <w:rPr>
          <w:rStyle w:val="FootnoteReference"/>
          <w:sz w:val="26"/>
          <w:szCs w:val="26"/>
        </w:rPr>
        <w:footnoteReference w:id="5"/>
      </w:r>
      <w:r w:rsidR="00AE0062" w:rsidRPr="00892425">
        <w:rPr>
          <w:sz w:val="26"/>
          <w:szCs w:val="26"/>
        </w:rPr>
        <w:t xml:space="preserve">  Additionally, the Joint Settlement represented that </w:t>
      </w:r>
      <w:r w:rsidR="00AE0062" w:rsidRPr="00892425">
        <w:rPr>
          <w:sz w:val="26"/>
          <w:szCs w:val="26"/>
        </w:rPr>
        <w:lastRenderedPageBreak/>
        <w:t xml:space="preserve">PAWC, while not a signatory party to the proposed Joint Settlement, does not oppose it.  Further, the Joint Settlement noted that TLPOA opposed the </w:t>
      </w:r>
      <w:r w:rsidR="00634F96">
        <w:rPr>
          <w:sz w:val="26"/>
          <w:szCs w:val="26"/>
        </w:rPr>
        <w:t>Joint Settlement</w:t>
      </w:r>
      <w:r w:rsidR="00AE0062" w:rsidRPr="00892425">
        <w:rPr>
          <w:sz w:val="26"/>
          <w:szCs w:val="26"/>
        </w:rPr>
        <w:t xml:space="preserve"> due to the rates allocated to Treasure Lake.</w:t>
      </w:r>
    </w:p>
    <w:p w14:paraId="43EC4814" w14:textId="5A9600E1" w:rsidR="00AE0062" w:rsidRPr="00892425" w:rsidRDefault="00AE0062" w:rsidP="002C4EC5">
      <w:pPr>
        <w:pStyle w:val="Footer"/>
        <w:spacing w:line="360" w:lineRule="auto"/>
        <w:ind w:firstLine="1440"/>
        <w:contextualSpacing/>
        <w:rPr>
          <w:sz w:val="26"/>
          <w:szCs w:val="26"/>
        </w:rPr>
      </w:pPr>
    </w:p>
    <w:p w14:paraId="47AC9ADE" w14:textId="577FEDFF" w:rsidR="00AE0062" w:rsidRPr="004C5EE5" w:rsidRDefault="00AE0062" w:rsidP="002C4EC5">
      <w:pPr>
        <w:pStyle w:val="Footer"/>
        <w:spacing w:line="360" w:lineRule="auto"/>
        <w:ind w:firstLine="1440"/>
        <w:contextualSpacing/>
        <w:rPr>
          <w:sz w:val="26"/>
          <w:szCs w:val="26"/>
        </w:rPr>
      </w:pPr>
      <w:r w:rsidRPr="00892425">
        <w:rPr>
          <w:sz w:val="26"/>
          <w:szCs w:val="26"/>
        </w:rPr>
        <w:t xml:space="preserve">By letter served February 11, 2019, the OCA informed the </w:t>
      </w:r>
      <w:r w:rsidRPr="00892425">
        <w:rPr>
          <w:i/>
          <w:sz w:val="26"/>
          <w:szCs w:val="26"/>
        </w:rPr>
        <w:t>pro se</w:t>
      </w:r>
      <w:r w:rsidRPr="00892425">
        <w:rPr>
          <w:sz w:val="26"/>
          <w:szCs w:val="26"/>
        </w:rPr>
        <w:t xml:space="preserve"> Complainants that a Joint Settlement was reached </w:t>
      </w:r>
      <w:r w:rsidR="00C10407" w:rsidRPr="00892425">
        <w:rPr>
          <w:sz w:val="26"/>
          <w:szCs w:val="26"/>
        </w:rPr>
        <w:t>in this proceeding</w:t>
      </w:r>
      <w:r w:rsidRPr="00892425">
        <w:rPr>
          <w:sz w:val="26"/>
          <w:szCs w:val="26"/>
        </w:rPr>
        <w:t xml:space="preserve">.  The letter referenced a website where the </w:t>
      </w:r>
      <w:r w:rsidRPr="00892425">
        <w:rPr>
          <w:i/>
          <w:sz w:val="26"/>
          <w:szCs w:val="26"/>
        </w:rPr>
        <w:t>pro se</w:t>
      </w:r>
      <w:r w:rsidRPr="00892425">
        <w:rPr>
          <w:sz w:val="26"/>
          <w:szCs w:val="26"/>
        </w:rPr>
        <w:t xml:space="preserve"> Complainants could view the proposed Joint Settlement and </w:t>
      </w:r>
      <w:r w:rsidR="004C5EE5">
        <w:rPr>
          <w:sz w:val="26"/>
          <w:szCs w:val="26"/>
        </w:rPr>
        <w:t xml:space="preserve">also included an offer </w:t>
      </w:r>
      <w:r w:rsidRPr="00892425">
        <w:rPr>
          <w:sz w:val="26"/>
          <w:szCs w:val="26"/>
        </w:rPr>
        <w:t>to mail a hard copy at the Complainants</w:t>
      </w:r>
      <w:r w:rsidR="005D51D9">
        <w:rPr>
          <w:sz w:val="26"/>
          <w:szCs w:val="26"/>
        </w:rPr>
        <w:t>’</w:t>
      </w:r>
      <w:r w:rsidRPr="00892425">
        <w:rPr>
          <w:sz w:val="26"/>
          <w:szCs w:val="26"/>
        </w:rPr>
        <w:t xml:space="preserve"> discretion.  The letter welcomed any response to the Joint Settlement but specifically notified the Complainants that any objection to the proposed Joint Settlement must be postmarked by February 25, 2019.  Subsequently, </w:t>
      </w:r>
      <w:r w:rsidR="00552F5A" w:rsidRPr="00892425">
        <w:rPr>
          <w:sz w:val="26"/>
          <w:szCs w:val="26"/>
        </w:rPr>
        <w:t xml:space="preserve">Cedar Knoll Builders filed a statement in opposition to the </w:t>
      </w:r>
      <w:r w:rsidR="00634F96">
        <w:rPr>
          <w:sz w:val="26"/>
          <w:szCs w:val="26"/>
        </w:rPr>
        <w:t xml:space="preserve">Joint </w:t>
      </w:r>
      <w:r w:rsidR="00C10407" w:rsidRPr="00892425">
        <w:rPr>
          <w:sz w:val="26"/>
          <w:szCs w:val="26"/>
        </w:rPr>
        <w:t>Settlement</w:t>
      </w:r>
      <w:r w:rsidR="00552F5A" w:rsidRPr="00892425">
        <w:rPr>
          <w:sz w:val="26"/>
          <w:szCs w:val="26"/>
        </w:rPr>
        <w:t>.  Additionally, nineteen</w:t>
      </w:r>
      <w:r w:rsidRPr="00892425">
        <w:rPr>
          <w:sz w:val="26"/>
          <w:szCs w:val="26"/>
        </w:rPr>
        <w:t xml:space="preserve"> </w:t>
      </w:r>
      <w:r w:rsidRPr="00892425">
        <w:rPr>
          <w:i/>
          <w:sz w:val="26"/>
          <w:szCs w:val="26"/>
        </w:rPr>
        <w:t xml:space="preserve">pro se </w:t>
      </w:r>
      <w:r w:rsidRPr="00892425">
        <w:rPr>
          <w:sz w:val="26"/>
          <w:szCs w:val="26"/>
        </w:rPr>
        <w:t>Complainants</w:t>
      </w:r>
      <w:r w:rsidR="00F643FD" w:rsidRPr="00892425">
        <w:rPr>
          <w:sz w:val="26"/>
          <w:szCs w:val="26"/>
        </w:rPr>
        <w:t>, including Mr. Curtius,</w:t>
      </w:r>
      <w:r w:rsidRPr="00892425">
        <w:rPr>
          <w:sz w:val="26"/>
          <w:szCs w:val="26"/>
        </w:rPr>
        <w:t xml:space="preserve"> filed statements in opposition to the </w:t>
      </w:r>
      <w:r w:rsidR="00634F96">
        <w:rPr>
          <w:sz w:val="26"/>
          <w:szCs w:val="26"/>
        </w:rPr>
        <w:t>Joint Settlement</w:t>
      </w:r>
      <w:r w:rsidRPr="00892425">
        <w:rPr>
          <w:sz w:val="26"/>
          <w:szCs w:val="26"/>
        </w:rPr>
        <w:t xml:space="preserve">.  </w:t>
      </w:r>
      <w:r w:rsidR="004C5EE5">
        <w:rPr>
          <w:i/>
          <w:sz w:val="26"/>
          <w:szCs w:val="26"/>
        </w:rPr>
        <w:t xml:space="preserve">See </w:t>
      </w:r>
      <w:r w:rsidR="004C5EE5">
        <w:rPr>
          <w:sz w:val="26"/>
          <w:szCs w:val="26"/>
        </w:rPr>
        <w:t xml:space="preserve">R.D. at 10 for a list of the </w:t>
      </w:r>
      <w:r w:rsidR="004C5EE5" w:rsidRPr="004C5EE5">
        <w:rPr>
          <w:i/>
          <w:sz w:val="26"/>
          <w:szCs w:val="26"/>
        </w:rPr>
        <w:t>pro se</w:t>
      </w:r>
      <w:r w:rsidR="004C5EE5" w:rsidRPr="004C5EE5">
        <w:rPr>
          <w:sz w:val="26"/>
          <w:szCs w:val="26"/>
        </w:rPr>
        <w:t xml:space="preserve"> Complainants who objected to the proposed Joint Settlement</w:t>
      </w:r>
      <w:r w:rsidR="004C5EE5">
        <w:rPr>
          <w:sz w:val="26"/>
          <w:szCs w:val="26"/>
        </w:rPr>
        <w:t>.</w:t>
      </w:r>
    </w:p>
    <w:p w14:paraId="60028CE1" w14:textId="2F944725" w:rsidR="008214E7" w:rsidRPr="00892425" w:rsidRDefault="008214E7" w:rsidP="002C4EC5">
      <w:pPr>
        <w:pStyle w:val="Footer"/>
        <w:spacing w:line="360" w:lineRule="auto"/>
        <w:ind w:firstLine="1440"/>
        <w:contextualSpacing/>
        <w:rPr>
          <w:sz w:val="26"/>
          <w:szCs w:val="26"/>
        </w:rPr>
      </w:pPr>
    </w:p>
    <w:p w14:paraId="667A20D8" w14:textId="3C86ECF5" w:rsidR="00A37BAC" w:rsidRPr="00892425" w:rsidRDefault="00A37BAC" w:rsidP="002C4EC5">
      <w:pPr>
        <w:pStyle w:val="Footer"/>
        <w:spacing w:line="360" w:lineRule="auto"/>
        <w:ind w:firstLine="1440"/>
        <w:contextualSpacing/>
        <w:rPr>
          <w:sz w:val="26"/>
          <w:szCs w:val="26"/>
        </w:rPr>
      </w:pPr>
      <w:r w:rsidRPr="00892425">
        <w:rPr>
          <w:sz w:val="26"/>
          <w:szCs w:val="26"/>
        </w:rPr>
        <w:t>The record</w:t>
      </w:r>
      <w:r w:rsidR="004C5EE5">
        <w:rPr>
          <w:sz w:val="26"/>
          <w:szCs w:val="26"/>
        </w:rPr>
        <w:t xml:space="preserve"> in this proceeding</w:t>
      </w:r>
      <w:r w:rsidRPr="00892425">
        <w:rPr>
          <w:sz w:val="26"/>
          <w:szCs w:val="26"/>
        </w:rPr>
        <w:t xml:space="preserve"> closed as ordered on February 25, 2019.</w:t>
      </w:r>
    </w:p>
    <w:p w14:paraId="0B184357" w14:textId="77777777" w:rsidR="00A37BAC" w:rsidRPr="00892425" w:rsidRDefault="00A37BAC" w:rsidP="002C4EC5">
      <w:pPr>
        <w:pStyle w:val="Footer"/>
        <w:spacing w:line="360" w:lineRule="auto"/>
        <w:ind w:firstLine="1440"/>
        <w:contextualSpacing/>
        <w:rPr>
          <w:sz w:val="26"/>
          <w:szCs w:val="26"/>
        </w:rPr>
      </w:pPr>
    </w:p>
    <w:p w14:paraId="11044999" w14:textId="5B6537C6" w:rsidR="00A37BAC" w:rsidRPr="00892425" w:rsidRDefault="00A37BAC" w:rsidP="002C4EC5">
      <w:pPr>
        <w:pStyle w:val="Footer"/>
        <w:spacing w:line="360" w:lineRule="auto"/>
        <w:ind w:firstLine="1440"/>
        <w:contextualSpacing/>
        <w:rPr>
          <w:sz w:val="26"/>
          <w:szCs w:val="26"/>
        </w:rPr>
      </w:pPr>
      <w:r w:rsidRPr="00892425">
        <w:rPr>
          <w:sz w:val="26"/>
          <w:szCs w:val="26"/>
        </w:rPr>
        <w:t xml:space="preserve">On March 18, 2019, the Commission issued the </w:t>
      </w:r>
      <w:r w:rsidR="003216A1" w:rsidRPr="00892425">
        <w:rPr>
          <w:sz w:val="26"/>
          <w:szCs w:val="26"/>
        </w:rPr>
        <w:t xml:space="preserve">Recommended Decision of ALJs Jones and Brady, in which the ALJs recommended that the Commission approve </w:t>
      </w:r>
      <w:r w:rsidR="004C5EE5">
        <w:rPr>
          <w:sz w:val="26"/>
          <w:szCs w:val="26"/>
        </w:rPr>
        <w:t xml:space="preserve">grant the Joint Petition to approve </w:t>
      </w:r>
      <w:r w:rsidR="003216A1" w:rsidRPr="00892425">
        <w:rPr>
          <w:sz w:val="26"/>
          <w:szCs w:val="26"/>
        </w:rPr>
        <w:t xml:space="preserve">the </w:t>
      </w:r>
      <w:r w:rsidR="00634F96">
        <w:rPr>
          <w:sz w:val="26"/>
          <w:szCs w:val="26"/>
        </w:rPr>
        <w:t>Joint Settlement</w:t>
      </w:r>
      <w:r w:rsidR="004C5EE5">
        <w:rPr>
          <w:sz w:val="26"/>
          <w:szCs w:val="26"/>
        </w:rPr>
        <w:t>,</w:t>
      </w:r>
      <w:r w:rsidR="003216A1" w:rsidRPr="00892425">
        <w:rPr>
          <w:sz w:val="26"/>
          <w:szCs w:val="26"/>
        </w:rPr>
        <w:t xml:space="preserve"> without modification</w:t>
      </w:r>
      <w:r w:rsidR="004C5EE5">
        <w:rPr>
          <w:sz w:val="26"/>
          <w:szCs w:val="26"/>
        </w:rPr>
        <w:t>,</w:t>
      </w:r>
      <w:r w:rsidR="003216A1" w:rsidRPr="00892425">
        <w:rPr>
          <w:sz w:val="26"/>
          <w:szCs w:val="26"/>
        </w:rPr>
        <w:t xml:space="preserve"> and that the </w:t>
      </w:r>
      <w:r w:rsidR="0098356A">
        <w:rPr>
          <w:sz w:val="26"/>
          <w:szCs w:val="26"/>
        </w:rPr>
        <w:t>Joint Merger Application</w:t>
      </w:r>
      <w:r w:rsidR="004C5EE5">
        <w:rPr>
          <w:sz w:val="26"/>
          <w:szCs w:val="26"/>
        </w:rPr>
        <w:t xml:space="preserve"> be approved</w:t>
      </w:r>
      <w:r w:rsidR="003216A1" w:rsidRPr="00892425">
        <w:rPr>
          <w:sz w:val="26"/>
          <w:szCs w:val="26"/>
        </w:rPr>
        <w:t>.</w:t>
      </w:r>
    </w:p>
    <w:p w14:paraId="59DCD08A" w14:textId="073919C6" w:rsidR="003216A1" w:rsidRPr="00892425" w:rsidRDefault="003216A1" w:rsidP="002C4EC5">
      <w:pPr>
        <w:pStyle w:val="Footer"/>
        <w:spacing w:line="360" w:lineRule="auto"/>
        <w:ind w:firstLine="1440"/>
        <w:contextualSpacing/>
        <w:rPr>
          <w:sz w:val="26"/>
          <w:szCs w:val="26"/>
        </w:rPr>
      </w:pPr>
    </w:p>
    <w:p w14:paraId="349E7A07" w14:textId="32F26876" w:rsidR="003216A1" w:rsidRPr="00892425" w:rsidRDefault="003216A1" w:rsidP="002C4EC5">
      <w:pPr>
        <w:pStyle w:val="Footer"/>
        <w:spacing w:line="360" w:lineRule="auto"/>
        <w:ind w:firstLine="1440"/>
        <w:contextualSpacing/>
        <w:rPr>
          <w:sz w:val="26"/>
          <w:szCs w:val="26"/>
        </w:rPr>
      </w:pPr>
      <w:r w:rsidRPr="00892425">
        <w:rPr>
          <w:sz w:val="26"/>
          <w:szCs w:val="26"/>
        </w:rPr>
        <w:t>As previously noted, TLPOA and Mr. Curtius each filed Exceptions on March 28, 2019.  Aqua filed Replies to Exceptions on April 3, 2019.</w:t>
      </w:r>
    </w:p>
    <w:p w14:paraId="3EC9D7E1" w14:textId="77777777" w:rsidR="00A37BAC" w:rsidRPr="00892425" w:rsidRDefault="00A37BAC" w:rsidP="002C4EC5">
      <w:pPr>
        <w:pStyle w:val="Footer"/>
        <w:spacing w:line="360" w:lineRule="auto"/>
        <w:ind w:firstLine="1440"/>
        <w:contextualSpacing/>
        <w:rPr>
          <w:sz w:val="26"/>
          <w:szCs w:val="26"/>
        </w:rPr>
      </w:pPr>
    </w:p>
    <w:p w14:paraId="4F9E7802" w14:textId="77777777" w:rsidR="00E160C4" w:rsidRPr="00892425" w:rsidRDefault="00E160C4" w:rsidP="002C4EC5">
      <w:pPr>
        <w:pStyle w:val="Heading1"/>
        <w:keepNext/>
        <w:keepLines/>
        <w:contextualSpacing/>
      </w:pPr>
      <w:bookmarkStart w:id="7" w:name="_Toc471747991"/>
      <w:bookmarkStart w:id="8" w:name="_Toc471748129"/>
      <w:r w:rsidRPr="00892425">
        <w:t>II</w:t>
      </w:r>
      <w:r w:rsidR="003F001F" w:rsidRPr="00892425">
        <w:t>I</w:t>
      </w:r>
      <w:r w:rsidRPr="00892425">
        <w:t>.</w:t>
      </w:r>
      <w:r w:rsidRPr="00892425">
        <w:tab/>
      </w:r>
      <w:bookmarkEnd w:id="7"/>
      <w:bookmarkEnd w:id="8"/>
      <w:r w:rsidR="004622BB" w:rsidRPr="00892425">
        <w:t>Description of the Company</w:t>
      </w:r>
    </w:p>
    <w:p w14:paraId="0D6ECCE1" w14:textId="77777777" w:rsidR="000F1E54" w:rsidRPr="00892425" w:rsidRDefault="000F1E54" w:rsidP="002C4EC5">
      <w:pPr>
        <w:keepNext/>
        <w:keepLines/>
        <w:contextualSpacing/>
        <w:rPr>
          <w:sz w:val="26"/>
          <w:szCs w:val="26"/>
        </w:rPr>
      </w:pPr>
    </w:p>
    <w:p w14:paraId="6E313AD6" w14:textId="45FFA09A" w:rsidR="004622BB" w:rsidRPr="00892425" w:rsidRDefault="00EE7A74" w:rsidP="002C4EC5">
      <w:pPr>
        <w:ind w:firstLine="1440"/>
        <w:contextualSpacing/>
        <w:rPr>
          <w:sz w:val="26"/>
          <w:szCs w:val="26"/>
        </w:rPr>
      </w:pPr>
      <w:r w:rsidRPr="00892425">
        <w:rPr>
          <w:sz w:val="26"/>
          <w:szCs w:val="26"/>
        </w:rPr>
        <w:t>As of December 31, 2017, Aqua provided water service to</w:t>
      </w:r>
      <w:r w:rsidR="00763903" w:rsidRPr="00892425">
        <w:rPr>
          <w:sz w:val="26"/>
          <w:szCs w:val="26"/>
        </w:rPr>
        <w:t xml:space="preserve"> approximately</w:t>
      </w:r>
      <w:r w:rsidRPr="00892425">
        <w:rPr>
          <w:sz w:val="26"/>
          <w:szCs w:val="26"/>
        </w:rPr>
        <w:t xml:space="preserve"> 433,683 customers in the five counties that comprise the Philadelphia suburbs, as well as </w:t>
      </w:r>
      <w:r w:rsidRPr="00892425">
        <w:rPr>
          <w:sz w:val="26"/>
          <w:szCs w:val="26"/>
        </w:rPr>
        <w:lastRenderedPageBreak/>
        <w:t xml:space="preserve">in twenty-four additional counties in the northwestern, central, and Pocono Mountains regions of Pennsylvania. </w:t>
      </w:r>
      <w:r w:rsidR="00763903" w:rsidRPr="00892425">
        <w:rPr>
          <w:sz w:val="26"/>
          <w:szCs w:val="26"/>
        </w:rPr>
        <w:t xml:space="preserve"> </w:t>
      </w:r>
      <w:r w:rsidRPr="00892425">
        <w:rPr>
          <w:sz w:val="26"/>
          <w:szCs w:val="26"/>
        </w:rPr>
        <w:t xml:space="preserve">The Company </w:t>
      </w:r>
      <w:r w:rsidR="00E633E6">
        <w:rPr>
          <w:sz w:val="26"/>
          <w:szCs w:val="26"/>
        </w:rPr>
        <w:t>obtains water for i</w:t>
      </w:r>
      <w:r w:rsidRPr="00892425">
        <w:rPr>
          <w:sz w:val="26"/>
          <w:szCs w:val="26"/>
        </w:rPr>
        <w:t xml:space="preserve">ts customers from surface and ground water supplies and </w:t>
      </w:r>
      <w:r w:rsidR="00E633E6">
        <w:rPr>
          <w:sz w:val="26"/>
          <w:szCs w:val="26"/>
        </w:rPr>
        <w:t>p</w:t>
      </w:r>
      <w:r w:rsidRPr="00892425">
        <w:rPr>
          <w:sz w:val="26"/>
          <w:szCs w:val="26"/>
        </w:rPr>
        <w:t xml:space="preserve">urchases. </w:t>
      </w:r>
      <w:r w:rsidR="00763903" w:rsidRPr="00892425">
        <w:rPr>
          <w:sz w:val="26"/>
          <w:szCs w:val="26"/>
        </w:rPr>
        <w:t xml:space="preserve"> </w:t>
      </w:r>
      <w:r w:rsidRPr="00892425">
        <w:rPr>
          <w:sz w:val="26"/>
          <w:szCs w:val="26"/>
        </w:rPr>
        <w:t>The Company also furnishes wastewater service to</w:t>
      </w:r>
      <w:r w:rsidR="00763903" w:rsidRPr="00892425">
        <w:rPr>
          <w:sz w:val="26"/>
          <w:szCs w:val="26"/>
        </w:rPr>
        <w:t xml:space="preserve"> approximately</w:t>
      </w:r>
      <w:r w:rsidRPr="00892425">
        <w:rPr>
          <w:sz w:val="26"/>
          <w:szCs w:val="26"/>
        </w:rPr>
        <w:t xml:space="preserve"> 21,306 wastewater customers located throughout Pennsylvania. </w:t>
      </w:r>
      <w:r w:rsidR="00763903" w:rsidRPr="00892425">
        <w:rPr>
          <w:sz w:val="26"/>
          <w:szCs w:val="26"/>
        </w:rPr>
        <w:t xml:space="preserve"> </w:t>
      </w:r>
      <w:r w:rsidRPr="00892425">
        <w:rPr>
          <w:sz w:val="26"/>
          <w:szCs w:val="26"/>
        </w:rPr>
        <w:t xml:space="preserve">Its service areas are concentrated in </w:t>
      </w:r>
      <w:r w:rsidR="00E633E6">
        <w:rPr>
          <w:sz w:val="26"/>
          <w:szCs w:val="26"/>
        </w:rPr>
        <w:t>s</w:t>
      </w:r>
      <w:r w:rsidRPr="00892425">
        <w:rPr>
          <w:sz w:val="26"/>
          <w:szCs w:val="26"/>
        </w:rPr>
        <w:t xml:space="preserve">outheastern, </w:t>
      </w:r>
      <w:r w:rsidR="00E633E6">
        <w:rPr>
          <w:sz w:val="26"/>
          <w:szCs w:val="26"/>
        </w:rPr>
        <w:t>n</w:t>
      </w:r>
      <w:r w:rsidRPr="00892425">
        <w:rPr>
          <w:sz w:val="26"/>
          <w:szCs w:val="26"/>
        </w:rPr>
        <w:t xml:space="preserve">ortheastern, and </w:t>
      </w:r>
      <w:r w:rsidR="00E633E6">
        <w:rPr>
          <w:sz w:val="26"/>
          <w:szCs w:val="26"/>
        </w:rPr>
        <w:t>w</w:t>
      </w:r>
      <w:r w:rsidRPr="00892425">
        <w:rPr>
          <w:sz w:val="26"/>
          <w:szCs w:val="26"/>
        </w:rPr>
        <w:t>estern areas of the Commonwealth</w:t>
      </w:r>
      <w:r w:rsidR="00763903" w:rsidRPr="00892425">
        <w:rPr>
          <w:sz w:val="26"/>
          <w:szCs w:val="26"/>
        </w:rPr>
        <w:t xml:space="preserve">. </w:t>
      </w:r>
      <w:r w:rsidRPr="00892425">
        <w:rPr>
          <w:sz w:val="26"/>
          <w:szCs w:val="26"/>
        </w:rPr>
        <w:t xml:space="preserve"> </w:t>
      </w:r>
      <w:r w:rsidR="00763903" w:rsidRPr="00892425">
        <w:rPr>
          <w:sz w:val="26"/>
          <w:szCs w:val="26"/>
        </w:rPr>
        <w:t>H</w:t>
      </w:r>
      <w:r w:rsidRPr="00892425">
        <w:rPr>
          <w:sz w:val="26"/>
          <w:szCs w:val="26"/>
        </w:rPr>
        <w:t>owever, most are not contiguous and are operated independently.  Aqua St. 4</w:t>
      </w:r>
      <w:r w:rsidR="00763903" w:rsidRPr="00892425">
        <w:rPr>
          <w:sz w:val="26"/>
          <w:szCs w:val="26"/>
        </w:rPr>
        <w:t>.0</w:t>
      </w:r>
      <w:r w:rsidRPr="00892425">
        <w:rPr>
          <w:sz w:val="26"/>
          <w:szCs w:val="26"/>
        </w:rPr>
        <w:t xml:space="preserve"> at 3.</w:t>
      </w:r>
    </w:p>
    <w:p w14:paraId="306F3F5B" w14:textId="77777777" w:rsidR="00D749C2" w:rsidRDefault="00D749C2" w:rsidP="002C4EC5">
      <w:pPr>
        <w:pStyle w:val="Heading1"/>
        <w:contextualSpacing/>
        <w:jc w:val="left"/>
      </w:pPr>
    </w:p>
    <w:p w14:paraId="71AB1328" w14:textId="54C8A503" w:rsidR="004622BB" w:rsidRPr="00892425" w:rsidRDefault="004622BB" w:rsidP="002C4EC5">
      <w:pPr>
        <w:pStyle w:val="Heading1"/>
        <w:keepNext/>
        <w:keepLines/>
        <w:contextualSpacing/>
      </w:pPr>
      <w:r w:rsidRPr="00892425">
        <w:t>IV.</w:t>
      </w:r>
      <w:r w:rsidRPr="00892425">
        <w:tab/>
        <w:t>Discussion</w:t>
      </w:r>
    </w:p>
    <w:p w14:paraId="4B0AE9A1" w14:textId="77777777" w:rsidR="004622BB" w:rsidRPr="00892425" w:rsidRDefault="004622BB" w:rsidP="002C4EC5">
      <w:pPr>
        <w:keepNext/>
        <w:keepLines/>
        <w:ind w:firstLine="1440"/>
        <w:contextualSpacing/>
        <w:rPr>
          <w:sz w:val="26"/>
          <w:szCs w:val="26"/>
        </w:rPr>
      </w:pPr>
    </w:p>
    <w:p w14:paraId="7CB1A851" w14:textId="77777777" w:rsidR="00CB3B05" w:rsidRPr="00892425" w:rsidRDefault="00CB3B05" w:rsidP="002C4EC5">
      <w:pPr>
        <w:spacing w:after="200"/>
        <w:ind w:firstLine="1440"/>
        <w:contextualSpacing/>
        <w:rPr>
          <w:sz w:val="26"/>
          <w:szCs w:val="26"/>
        </w:rPr>
      </w:pPr>
      <w:r w:rsidRPr="00892425">
        <w:rPr>
          <w:sz w:val="26"/>
          <w:szCs w:val="26"/>
        </w:rPr>
        <w:t xml:space="preserve">As a preliminary matter, we note that any issue or exception that we do not specifically delineate shall be deemed to have been duly considered and denied without further discussion.  We are not required to consider expressly or at length each contention or argument raised by the parties.  </w:t>
      </w:r>
      <w:r w:rsidRPr="00892425">
        <w:rPr>
          <w:i/>
          <w:sz w:val="26"/>
          <w:szCs w:val="26"/>
        </w:rPr>
        <w:t>Consolidated Rail Corp. v. Pa. PUC</w:t>
      </w:r>
      <w:r w:rsidRPr="00892425">
        <w:rPr>
          <w:sz w:val="26"/>
          <w:szCs w:val="26"/>
        </w:rPr>
        <w:t xml:space="preserve">, 625 A.2d 741 (Pa. Cmwlth. 1993); </w:t>
      </w:r>
      <w:r w:rsidRPr="00892425">
        <w:rPr>
          <w:i/>
          <w:sz w:val="26"/>
          <w:szCs w:val="26"/>
        </w:rPr>
        <w:t>also see,</w:t>
      </w:r>
      <w:r w:rsidRPr="00892425">
        <w:rPr>
          <w:sz w:val="26"/>
          <w:szCs w:val="26"/>
        </w:rPr>
        <w:t xml:space="preserve"> </w:t>
      </w:r>
      <w:r w:rsidRPr="00892425">
        <w:rPr>
          <w:i/>
          <w:sz w:val="26"/>
          <w:szCs w:val="26"/>
        </w:rPr>
        <w:t>generally</w:t>
      </w:r>
      <w:r w:rsidRPr="00892425">
        <w:rPr>
          <w:sz w:val="26"/>
          <w:szCs w:val="26"/>
        </w:rPr>
        <w:t xml:space="preserve">, </w:t>
      </w:r>
      <w:r w:rsidRPr="00892425">
        <w:rPr>
          <w:i/>
          <w:sz w:val="26"/>
          <w:szCs w:val="26"/>
        </w:rPr>
        <w:t>University of Pennsylvania v. Pa. PUC</w:t>
      </w:r>
      <w:r w:rsidRPr="00892425">
        <w:rPr>
          <w:sz w:val="26"/>
          <w:szCs w:val="26"/>
        </w:rPr>
        <w:t>, 485 A.2d 1217 (Pa. Cmwlth. 1984).</w:t>
      </w:r>
    </w:p>
    <w:p w14:paraId="46931BAB" w14:textId="77777777" w:rsidR="00CB3B05" w:rsidRPr="00892425" w:rsidRDefault="00CB3B05" w:rsidP="002C4EC5">
      <w:pPr>
        <w:spacing w:after="200"/>
        <w:ind w:firstLine="1440"/>
        <w:contextualSpacing/>
        <w:rPr>
          <w:sz w:val="26"/>
          <w:szCs w:val="26"/>
        </w:rPr>
      </w:pPr>
    </w:p>
    <w:p w14:paraId="14994CDC" w14:textId="41780BEF" w:rsidR="00CB3B05" w:rsidRPr="00892425" w:rsidRDefault="00CB3B05" w:rsidP="002C4EC5">
      <w:pPr>
        <w:spacing w:after="200"/>
        <w:ind w:firstLine="1440"/>
        <w:contextualSpacing/>
        <w:rPr>
          <w:sz w:val="26"/>
          <w:szCs w:val="26"/>
        </w:rPr>
      </w:pPr>
      <w:r w:rsidRPr="00892425">
        <w:rPr>
          <w:sz w:val="26"/>
          <w:szCs w:val="26"/>
        </w:rPr>
        <w:t xml:space="preserve">In </w:t>
      </w:r>
      <w:r w:rsidR="003216A1" w:rsidRPr="00892425">
        <w:rPr>
          <w:sz w:val="26"/>
          <w:szCs w:val="26"/>
        </w:rPr>
        <w:t xml:space="preserve">their </w:t>
      </w:r>
      <w:r w:rsidRPr="00892425">
        <w:rPr>
          <w:sz w:val="26"/>
          <w:szCs w:val="26"/>
        </w:rPr>
        <w:t>Recommended Decision, the ALJ</w:t>
      </w:r>
      <w:r w:rsidR="003216A1" w:rsidRPr="00892425">
        <w:rPr>
          <w:sz w:val="26"/>
          <w:szCs w:val="26"/>
        </w:rPr>
        <w:t>s</w:t>
      </w:r>
      <w:r w:rsidRPr="00892425">
        <w:rPr>
          <w:sz w:val="26"/>
          <w:szCs w:val="26"/>
        </w:rPr>
        <w:t xml:space="preserve"> reached t</w:t>
      </w:r>
      <w:r w:rsidR="003216A1" w:rsidRPr="00892425">
        <w:rPr>
          <w:sz w:val="26"/>
          <w:szCs w:val="26"/>
        </w:rPr>
        <w:t>wenty-one</w:t>
      </w:r>
      <w:r w:rsidRPr="00892425">
        <w:rPr>
          <w:sz w:val="26"/>
          <w:szCs w:val="26"/>
        </w:rPr>
        <w:t xml:space="preserve"> Conclusions of Law.  R.D. at </w:t>
      </w:r>
      <w:r w:rsidR="003216A1" w:rsidRPr="00892425">
        <w:rPr>
          <w:sz w:val="26"/>
          <w:szCs w:val="26"/>
        </w:rPr>
        <w:t>86-89</w:t>
      </w:r>
      <w:r w:rsidRPr="00892425">
        <w:rPr>
          <w:sz w:val="26"/>
          <w:szCs w:val="26"/>
        </w:rPr>
        <w:t>.  The Conclusions of Law are incorporated herein by reference and are adopted without comment unless they are either expressly or by necessary implication rejected or modified by this Opinion and Order.</w:t>
      </w:r>
    </w:p>
    <w:p w14:paraId="58265050" w14:textId="77777777" w:rsidR="00CB3B05" w:rsidRPr="00892425" w:rsidRDefault="00CB3B05" w:rsidP="002C4EC5">
      <w:pPr>
        <w:contextualSpacing/>
        <w:rPr>
          <w:sz w:val="26"/>
          <w:szCs w:val="26"/>
        </w:rPr>
      </w:pPr>
    </w:p>
    <w:p w14:paraId="50E3F656" w14:textId="77777777" w:rsidR="00CB3B05" w:rsidRPr="00892425" w:rsidRDefault="00E160C4" w:rsidP="002C4EC5">
      <w:pPr>
        <w:pStyle w:val="Heading2"/>
        <w:keepLines/>
        <w:ind w:left="1440" w:hanging="720"/>
        <w:contextualSpacing/>
      </w:pPr>
      <w:bookmarkStart w:id="9" w:name="_Toc471747992"/>
      <w:bookmarkStart w:id="10" w:name="_Toc471748130"/>
      <w:r w:rsidRPr="00892425">
        <w:t>A.</w:t>
      </w:r>
      <w:r w:rsidRPr="00892425">
        <w:tab/>
      </w:r>
      <w:r w:rsidR="00C04859" w:rsidRPr="00892425">
        <w:t>Joint Petition for Settlement</w:t>
      </w:r>
    </w:p>
    <w:p w14:paraId="546E22F3" w14:textId="77777777" w:rsidR="00CB3B05" w:rsidRPr="00892425" w:rsidRDefault="00CB3B05" w:rsidP="002C4EC5">
      <w:pPr>
        <w:keepNext/>
        <w:keepLines/>
        <w:contextualSpacing/>
        <w:rPr>
          <w:sz w:val="26"/>
          <w:szCs w:val="26"/>
        </w:rPr>
      </w:pPr>
    </w:p>
    <w:p w14:paraId="203F98B9" w14:textId="77777777" w:rsidR="00C04859" w:rsidRPr="00892425" w:rsidRDefault="00C04859" w:rsidP="002C4EC5">
      <w:pPr>
        <w:pStyle w:val="Heading4"/>
        <w:ind w:left="2160" w:hanging="720"/>
        <w:contextualSpacing/>
        <w:jc w:val="left"/>
      </w:pPr>
      <w:r w:rsidRPr="00892425">
        <w:t>1.</w:t>
      </w:r>
      <w:r w:rsidRPr="00892425">
        <w:tab/>
        <w:t>Legal Standard</w:t>
      </w:r>
    </w:p>
    <w:p w14:paraId="42D2BFE2" w14:textId="77777777" w:rsidR="00C04859" w:rsidRPr="00892425" w:rsidRDefault="00C04859" w:rsidP="002C4EC5">
      <w:pPr>
        <w:keepNext/>
        <w:keepLines/>
        <w:contextualSpacing/>
        <w:rPr>
          <w:sz w:val="26"/>
          <w:szCs w:val="26"/>
        </w:rPr>
      </w:pPr>
    </w:p>
    <w:p w14:paraId="2A18104D" w14:textId="402DEA92" w:rsidR="00CB3B05" w:rsidRPr="00892425" w:rsidRDefault="00CB3B05" w:rsidP="002C4EC5">
      <w:pPr>
        <w:ind w:firstLine="1440"/>
        <w:contextualSpacing/>
        <w:rPr>
          <w:sz w:val="26"/>
          <w:szCs w:val="26"/>
        </w:rPr>
      </w:pPr>
      <w:r w:rsidRPr="00892425">
        <w:rPr>
          <w:sz w:val="26"/>
          <w:szCs w:val="26"/>
        </w:rPr>
        <w:t xml:space="preserve">The purpose of this investigation is to establish distribution rates for </w:t>
      </w:r>
      <w:r w:rsidR="003216A1" w:rsidRPr="00892425">
        <w:rPr>
          <w:sz w:val="26"/>
          <w:szCs w:val="26"/>
        </w:rPr>
        <w:t>Aqua’s</w:t>
      </w:r>
      <w:r w:rsidRPr="00892425">
        <w:rPr>
          <w:sz w:val="26"/>
          <w:szCs w:val="26"/>
        </w:rPr>
        <w:t xml:space="preserve"> customers that are “just and reasonable” pursuant to Section 1301 of the Code, 66 Pa. C.S. § 1301.  A public utility seeking a general rate increase is entitled to an opportunity </w:t>
      </w:r>
      <w:r w:rsidRPr="00892425">
        <w:rPr>
          <w:sz w:val="26"/>
          <w:szCs w:val="26"/>
        </w:rPr>
        <w:lastRenderedPageBreak/>
        <w:t xml:space="preserve">to earn a fair rate of return on the value of the property dedicated to public service.  </w:t>
      </w:r>
      <w:r w:rsidRPr="00892425">
        <w:rPr>
          <w:i/>
          <w:sz w:val="26"/>
          <w:szCs w:val="26"/>
        </w:rPr>
        <w:t>Bluefield Water Works and Improvement Co. v. Public Service Comm’n of West Virginia,</w:t>
      </w:r>
      <w:r w:rsidRPr="00892425">
        <w:rPr>
          <w:sz w:val="26"/>
          <w:szCs w:val="26"/>
        </w:rPr>
        <w:t xml:space="preserve"> 262 U.S. 679 (1923).</w:t>
      </w:r>
    </w:p>
    <w:p w14:paraId="78363395" w14:textId="77777777" w:rsidR="00CB3B05" w:rsidRPr="00892425" w:rsidRDefault="00CB3B05" w:rsidP="002C4EC5">
      <w:pPr>
        <w:contextualSpacing/>
        <w:rPr>
          <w:sz w:val="26"/>
          <w:szCs w:val="26"/>
        </w:rPr>
      </w:pPr>
    </w:p>
    <w:p w14:paraId="5265E49F" w14:textId="77777777" w:rsidR="00CB3B05" w:rsidRPr="00892425" w:rsidRDefault="00CB3B05" w:rsidP="002C4EC5">
      <w:pPr>
        <w:ind w:firstLine="1440"/>
        <w:contextualSpacing/>
        <w:rPr>
          <w:sz w:val="26"/>
          <w:szCs w:val="26"/>
        </w:rPr>
      </w:pPr>
      <w:r w:rsidRPr="00892425">
        <w:rPr>
          <w:sz w:val="26"/>
          <w:szCs w:val="26"/>
        </w:rPr>
        <w:t xml:space="preserve">In determining what constitutes a fair rate of return, the Commission is guided by the criteria set forth in </w:t>
      </w:r>
      <w:r w:rsidRPr="00892425">
        <w:rPr>
          <w:i/>
          <w:sz w:val="26"/>
          <w:szCs w:val="26"/>
        </w:rPr>
        <w:t xml:space="preserve">Bluefield, supra, </w:t>
      </w:r>
      <w:r w:rsidRPr="00892425">
        <w:rPr>
          <w:sz w:val="26"/>
          <w:szCs w:val="26"/>
        </w:rPr>
        <w:t xml:space="preserve">and </w:t>
      </w:r>
      <w:r w:rsidRPr="00892425">
        <w:rPr>
          <w:i/>
          <w:sz w:val="26"/>
          <w:szCs w:val="26"/>
        </w:rPr>
        <w:t>Federal Power Comm’n v. Hope Natural Gas Co.</w:t>
      </w:r>
      <w:r w:rsidRPr="00892425">
        <w:rPr>
          <w:sz w:val="26"/>
          <w:szCs w:val="26"/>
        </w:rPr>
        <w:t xml:space="preserve">, 320 U.S. 591 (1944).  In </w:t>
      </w:r>
      <w:r w:rsidRPr="00892425">
        <w:rPr>
          <w:i/>
          <w:sz w:val="26"/>
          <w:szCs w:val="26"/>
        </w:rPr>
        <w:t>Bluefield</w:t>
      </w:r>
      <w:r w:rsidRPr="00892425">
        <w:rPr>
          <w:sz w:val="26"/>
          <w:szCs w:val="26"/>
        </w:rPr>
        <w:t xml:space="preserve"> the United States Supreme Court stated:</w:t>
      </w:r>
    </w:p>
    <w:p w14:paraId="2A008D97" w14:textId="77777777" w:rsidR="00CB3B05" w:rsidRPr="00892425" w:rsidRDefault="00CB3B05" w:rsidP="002C4EC5">
      <w:pPr>
        <w:contextualSpacing/>
        <w:rPr>
          <w:sz w:val="26"/>
          <w:szCs w:val="26"/>
        </w:rPr>
      </w:pPr>
    </w:p>
    <w:p w14:paraId="7244ADEC" w14:textId="77777777" w:rsidR="00CB3B05" w:rsidRPr="00892425" w:rsidRDefault="00CB3B05" w:rsidP="002C4EC5">
      <w:pPr>
        <w:spacing w:line="240" w:lineRule="auto"/>
        <w:ind w:left="1440" w:right="1440"/>
        <w:contextualSpacing/>
        <w:rPr>
          <w:sz w:val="26"/>
          <w:szCs w:val="26"/>
        </w:rPr>
      </w:pPr>
      <w:r w:rsidRPr="00892425">
        <w:rPr>
          <w:sz w:val="26"/>
          <w:szCs w:val="26"/>
        </w:rPr>
        <w:tab/>
        <w:t xml:space="preserve">A public utility is entitled to such rates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w:t>
      </w:r>
    </w:p>
    <w:p w14:paraId="4FD12F4B" w14:textId="77777777" w:rsidR="00CB3B05" w:rsidRPr="00892425" w:rsidRDefault="00CB3B05" w:rsidP="002C4EC5">
      <w:pPr>
        <w:keepNext/>
        <w:spacing w:line="240" w:lineRule="auto"/>
        <w:ind w:left="1440" w:right="1440"/>
        <w:contextualSpacing/>
        <w:rPr>
          <w:sz w:val="26"/>
          <w:szCs w:val="26"/>
        </w:rPr>
      </w:pPr>
      <w:r w:rsidRPr="00892425">
        <w:rPr>
          <w:sz w:val="26"/>
          <w:szCs w:val="26"/>
        </w:rPr>
        <w:t>A rate of return may be too high or too low by changes affecting opportunities for investment, the money market and business conditions generally.</w:t>
      </w:r>
    </w:p>
    <w:p w14:paraId="27103421" w14:textId="77777777" w:rsidR="00CB3B05" w:rsidRPr="00892425" w:rsidRDefault="00CB3B05" w:rsidP="002C4EC5">
      <w:pPr>
        <w:keepNext/>
        <w:spacing w:line="240" w:lineRule="auto"/>
        <w:ind w:left="1440" w:right="1440"/>
        <w:contextualSpacing/>
        <w:rPr>
          <w:sz w:val="26"/>
          <w:szCs w:val="26"/>
        </w:rPr>
      </w:pPr>
    </w:p>
    <w:p w14:paraId="33AC8E56" w14:textId="77777777" w:rsidR="00CB3B05" w:rsidRPr="00892425" w:rsidRDefault="00CB3B05" w:rsidP="002C4EC5">
      <w:pPr>
        <w:keepNext/>
        <w:spacing w:line="240" w:lineRule="auto"/>
        <w:ind w:left="1440" w:right="1440"/>
        <w:contextualSpacing/>
        <w:rPr>
          <w:sz w:val="26"/>
          <w:szCs w:val="26"/>
        </w:rPr>
      </w:pPr>
    </w:p>
    <w:p w14:paraId="7DDD437E" w14:textId="77777777" w:rsidR="00CB3B05" w:rsidRPr="00892425" w:rsidRDefault="00CB3B05" w:rsidP="002C4EC5">
      <w:pPr>
        <w:pStyle w:val="BodyText"/>
        <w:keepNext/>
        <w:spacing w:line="240" w:lineRule="auto"/>
        <w:contextualSpacing/>
        <w:jc w:val="both"/>
        <w:rPr>
          <w:sz w:val="26"/>
          <w:szCs w:val="26"/>
        </w:rPr>
      </w:pPr>
      <w:r w:rsidRPr="00892425">
        <w:rPr>
          <w:i/>
          <w:sz w:val="26"/>
          <w:szCs w:val="26"/>
        </w:rPr>
        <w:t xml:space="preserve">Bluefield, </w:t>
      </w:r>
      <w:r w:rsidRPr="00892425">
        <w:rPr>
          <w:sz w:val="26"/>
          <w:szCs w:val="26"/>
        </w:rPr>
        <w:t>262 U.S. at 692-3.</w:t>
      </w:r>
    </w:p>
    <w:p w14:paraId="2C733934" w14:textId="77777777" w:rsidR="00CB3B05" w:rsidRPr="00892425" w:rsidRDefault="00CB3B05" w:rsidP="002C4EC5">
      <w:pPr>
        <w:contextualSpacing/>
        <w:rPr>
          <w:sz w:val="26"/>
          <w:szCs w:val="26"/>
        </w:rPr>
      </w:pPr>
    </w:p>
    <w:p w14:paraId="5B664041" w14:textId="77777777" w:rsidR="00CB3B05" w:rsidRPr="00892425" w:rsidRDefault="00CB3B05" w:rsidP="002C4EC5">
      <w:pPr>
        <w:ind w:firstLine="1440"/>
        <w:contextualSpacing/>
        <w:rPr>
          <w:sz w:val="26"/>
          <w:szCs w:val="26"/>
        </w:rPr>
      </w:pPr>
      <w:r w:rsidRPr="00892425">
        <w:rPr>
          <w:sz w:val="26"/>
          <w:szCs w:val="26"/>
        </w:rPr>
        <w:t xml:space="preserve">The policy of the Commission is to encourage settlements, and the Commission has stated that settlement rates are often preferable to those achieved at the conclusion of a fully litigated proceeding.  52 Pa. Code §§ 5.231, 69.401.  A full settlement of all the issues in a proceeding eliminates the time, effort and expense that otherwise would have been used in litigating the proceeding, while a partial settlement may significantly reduce the time, effort and expense of litigating a case.  A settlement, </w:t>
      </w:r>
      <w:r w:rsidRPr="00892425">
        <w:rPr>
          <w:sz w:val="26"/>
          <w:szCs w:val="26"/>
        </w:rPr>
        <w:lastRenderedPageBreak/>
        <w:t>whether whole or partial, benefits not only the named parties directly, but, indirectly, all customers of the public utility involved in the case.</w:t>
      </w:r>
    </w:p>
    <w:p w14:paraId="7CBBD893" w14:textId="57D12BA7" w:rsidR="00CB3B05" w:rsidRPr="00892425" w:rsidRDefault="00CB3B05" w:rsidP="002C4EC5">
      <w:pPr>
        <w:suppressAutoHyphens/>
        <w:contextualSpacing/>
        <w:jc w:val="both"/>
        <w:rPr>
          <w:sz w:val="26"/>
          <w:szCs w:val="26"/>
        </w:rPr>
      </w:pPr>
    </w:p>
    <w:p w14:paraId="13FBC3CF" w14:textId="1AE8F139" w:rsidR="00CA4EA8" w:rsidRPr="00892425" w:rsidRDefault="00CA4EA8" w:rsidP="002C4EC5">
      <w:pPr>
        <w:ind w:firstLine="1440"/>
        <w:contextualSpacing/>
        <w:rPr>
          <w:sz w:val="26"/>
          <w:szCs w:val="26"/>
        </w:rPr>
      </w:pPr>
      <w:r w:rsidRPr="00892425">
        <w:rPr>
          <w:sz w:val="26"/>
          <w:szCs w:val="26"/>
        </w:rPr>
        <w:t xml:space="preserve">The </w:t>
      </w:r>
      <w:r w:rsidR="00634F96">
        <w:rPr>
          <w:sz w:val="26"/>
          <w:szCs w:val="26"/>
        </w:rPr>
        <w:t>Joint Settlement</w:t>
      </w:r>
      <w:r w:rsidRPr="00892425">
        <w:rPr>
          <w:sz w:val="26"/>
          <w:szCs w:val="26"/>
        </w:rPr>
        <w:t>, in this case, is a “black box” settlement.  This means that the Parties did not specify each and every element of the revenue requirement calculations.  The Commission has recognized that “black box “settlements can serve an important purpose in reaching consensus in rate cases:</w:t>
      </w:r>
    </w:p>
    <w:p w14:paraId="3C93A6C1" w14:textId="77777777" w:rsidR="00CA4EA8" w:rsidRPr="00892425" w:rsidRDefault="00CA4EA8" w:rsidP="002C4EC5">
      <w:pPr>
        <w:spacing w:line="240" w:lineRule="auto"/>
        <w:ind w:left="1440" w:right="1440"/>
        <w:contextualSpacing/>
        <w:rPr>
          <w:sz w:val="26"/>
          <w:szCs w:val="26"/>
        </w:rPr>
      </w:pPr>
    </w:p>
    <w:p w14:paraId="077109B1" w14:textId="77777777" w:rsidR="00CA4EA8" w:rsidRPr="00892425" w:rsidRDefault="00CA4EA8" w:rsidP="002C4EC5">
      <w:pPr>
        <w:spacing w:line="240" w:lineRule="auto"/>
        <w:ind w:left="1440" w:right="1440"/>
        <w:contextualSpacing/>
        <w:rPr>
          <w:sz w:val="26"/>
          <w:szCs w:val="26"/>
        </w:rPr>
      </w:pPr>
      <w:r w:rsidRPr="00892425">
        <w:rPr>
          <w:sz w:val="26"/>
          <w:szCs w:val="26"/>
        </w:rPr>
        <w:t xml:space="preserve">We have historically permitted the use of “black box” settlements as a means of promoting settlement among the parties in contentious base rate proceedings.  Settlement of rate cases saves a significant amount of time and expense for customers, companies, and the Commission and often results in alternatives that may not have been realized during the litigation process.  Determining a company’s revenue requirement is a calculation involving many complex and interrelated adjustments that affect expenses, depreciation, rate base, taxes and the company’s cost of capital.  Reaching an agreement between various parties on each component of a rate increase can be difficult and impractical in many cases.  </w:t>
      </w:r>
    </w:p>
    <w:p w14:paraId="168D7B08" w14:textId="77777777" w:rsidR="00CA4EA8" w:rsidRPr="00892425" w:rsidRDefault="00CA4EA8" w:rsidP="002C4EC5">
      <w:pPr>
        <w:spacing w:line="240" w:lineRule="auto"/>
        <w:ind w:left="1440" w:right="1440"/>
        <w:contextualSpacing/>
        <w:rPr>
          <w:sz w:val="26"/>
          <w:szCs w:val="26"/>
        </w:rPr>
      </w:pPr>
    </w:p>
    <w:p w14:paraId="4CB5B06E" w14:textId="77777777" w:rsidR="00CA4EA8" w:rsidRPr="00892425" w:rsidRDefault="00CA4EA8" w:rsidP="002C4EC5">
      <w:pPr>
        <w:spacing w:line="240" w:lineRule="auto"/>
        <w:ind w:left="1440" w:right="1440"/>
        <w:contextualSpacing/>
        <w:rPr>
          <w:sz w:val="26"/>
          <w:szCs w:val="26"/>
        </w:rPr>
      </w:pPr>
    </w:p>
    <w:p w14:paraId="713E5396" w14:textId="4057BBCD" w:rsidR="00CA4EA8" w:rsidRPr="00892425" w:rsidRDefault="00CA4EA8" w:rsidP="002C4EC5">
      <w:pPr>
        <w:contextualSpacing/>
        <w:rPr>
          <w:sz w:val="26"/>
          <w:szCs w:val="26"/>
        </w:rPr>
      </w:pPr>
      <w:r w:rsidRPr="00892425">
        <w:rPr>
          <w:i/>
          <w:sz w:val="26"/>
          <w:szCs w:val="26"/>
        </w:rPr>
        <w:t>Pa.</w:t>
      </w:r>
      <w:r w:rsidRPr="00892425">
        <w:rPr>
          <w:sz w:val="26"/>
          <w:szCs w:val="26"/>
        </w:rPr>
        <w:t xml:space="preserve"> </w:t>
      </w:r>
      <w:r w:rsidRPr="00892425">
        <w:rPr>
          <w:i/>
          <w:sz w:val="26"/>
          <w:szCs w:val="26"/>
        </w:rPr>
        <w:t>PUC v. Peoples TWP LLC</w:t>
      </w:r>
      <w:r w:rsidRPr="00892425">
        <w:rPr>
          <w:sz w:val="26"/>
          <w:szCs w:val="26"/>
        </w:rPr>
        <w:t>, Docket No. R-2013-2355886 (Order entered December 19, 2013)</w:t>
      </w:r>
      <w:r w:rsidR="008F2340" w:rsidRPr="00892425">
        <w:rPr>
          <w:sz w:val="26"/>
          <w:szCs w:val="26"/>
        </w:rPr>
        <w:t>(</w:t>
      </w:r>
      <w:r w:rsidR="008F2340" w:rsidRPr="00892425">
        <w:rPr>
          <w:i/>
          <w:sz w:val="26"/>
          <w:szCs w:val="26"/>
        </w:rPr>
        <w:t>Peoples</w:t>
      </w:r>
      <w:r w:rsidR="008F2340" w:rsidRPr="00892425">
        <w:rPr>
          <w:sz w:val="26"/>
          <w:szCs w:val="26"/>
        </w:rPr>
        <w:t>)</w:t>
      </w:r>
      <w:r w:rsidRPr="00892425">
        <w:rPr>
          <w:sz w:val="26"/>
          <w:szCs w:val="26"/>
        </w:rPr>
        <w:t xml:space="preserve">, at 28 (citations omitted).  </w:t>
      </w:r>
    </w:p>
    <w:p w14:paraId="613E984A" w14:textId="77777777" w:rsidR="00CA4EA8" w:rsidRPr="00892425" w:rsidRDefault="00CA4EA8" w:rsidP="002C4EC5">
      <w:pPr>
        <w:suppressAutoHyphens/>
        <w:contextualSpacing/>
        <w:jc w:val="both"/>
        <w:rPr>
          <w:sz w:val="26"/>
          <w:szCs w:val="26"/>
        </w:rPr>
      </w:pPr>
    </w:p>
    <w:p w14:paraId="4D706CDF" w14:textId="77777777" w:rsidR="00CB3B05" w:rsidRPr="00892425" w:rsidRDefault="00CB3B05" w:rsidP="002C4EC5">
      <w:pPr>
        <w:suppressAutoHyphens/>
        <w:ind w:firstLine="1440"/>
        <w:contextualSpacing/>
        <w:rPr>
          <w:sz w:val="26"/>
          <w:szCs w:val="26"/>
        </w:rPr>
      </w:pPr>
      <w:r w:rsidRPr="00892425">
        <w:rPr>
          <w:sz w:val="26"/>
          <w:szCs w:val="26"/>
        </w:rPr>
        <w:t>Rate cases are expensive to litigate, and the reasonable cost of such litigation is an operating expense recovered in the rates approved by the Commission.  Partial or full settlements allow the parties to avoid the substantial costs of preparing and serving testimony and the cross-examination of witnesses in lengthy hearings, the preparation and service of briefs, reply briefs, exceptions and replies to exceptions, together with the briefs and reply briefs necessitated by any appeal of the Commission’s decision, yielding significant expense savings for the company’s customers.  For this and other sound reasons, settlements are encouraged by long-standing Commission policy.</w:t>
      </w:r>
    </w:p>
    <w:p w14:paraId="6D0D8F62" w14:textId="77777777" w:rsidR="00CB3B05" w:rsidRPr="00892425" w:rsidRDefault="00CB3B05" w:rsidP="002C4EC5">
      <w:pPr>
        <w:suppressAutoHyphens/>
        <w:ind w:firstLine="1440"/>
        <w:contextualSpacing/>
        <w:rPr>
          <w:sz w:val="26"/>
          <w:szCs w:val="26"/>
        </w:rPr>
      </w:pPr>
    </w:p>
    <w:p w14:paraId="6391E8D3" w14:textId="65B927B8" w:rsidR="00CB3B05" w:rsidRPr="00892425" w:rsidRDefault="00CB3B05" w:rsidP="002C4EC5">
      <w:pPr>
        <w:ind w:firstLine="1440"/>
        <w:contextualSpacing/>
        <w:rPr>
          <w:sz w:val="26"/>
          <w:szCs w:val="26"/>
        </w:rPr>
      </w:pPr>
      <w:r w:rsidRPr="00892425">
        <w:rPr>
          <w:sz w:val="26"/>
          <w:szCs w:val="26"/>
        </w:rPr>
        <w:lastRenderedPageBreak/>
        <w:t xml:space="preserve">Despite the policy favoring settlements, the Commission does not simply rubber stamp settlements without further inquiry.  In order to accept a rate case settlement such as that proposed here, the Commission must determine that the proposed terms and conditions are in the public interest.  </w:t>
      </w:r>
      <w:r w:rsidRPr="00892425">
        <w:rPr>
          <w:i/>
          <w:sz w:val="26"/>
          <w:szCs w:val="26"/>
        </w:rPr>
        <w:t>Pa. PUC v. York Water Co.</w:t>
      </w:r>
      <w:r w:rsidRPr="00892425">
        <w:rPr>
          <w:sz w:val="26"/>
          <w:szCs w:val="26"/>
        </w:rPr>
        <w:t>, Docket No. R</w:t>
      </w:r>
      <w:r w:rsidR="001D12EE">
        <w:rPr>
          <w:sz w:val="26"/>
          <w:szCs w:val="26"/>
        </w:rPr>
        <w:noBreakHyphen/>
      </w:r>
      <w:r w:rsidR="00E633E6">
        <w:rPr>
          <w:sz w:val="26"/>
          <w:szCs w:val="26"/>
        </w:rPr>
        <w:t>0</w:t>
      </w:r>
      <w:r w:rsidRPr="00892425">
        <w:rPr>
          <w:sz w:val="26"/>
          <w:szCs w:val="26"/>
        </w:rPr>
        <w:t xml:space="preserve">0049165 (Order entered October 4, 2004); </w:t>
      </w:r>
      <w:r w:rsidRPr="00892425">
        <w:rPr>
          <w:i/>
          <w:sz w:val="26"/>
          <w:szCs w:val="26"/>
        </w:rPr>
        <w:t>Pa. PUC v. C. S. Water and Sewer Assoc.</w:t>
      </w:r>
      <w:r w:rsidRPr="00892425">
        <w:rPr>
          <w:sz w:val="26"/>
          <w:szCs w:val="26"/>
        </w:rPr>
        <w:t>, 74 Pa. P.U.C. 767 (1991).</w:t>
      </w:r>
    </w:p>
    <w:p w14:paraId="6F9DD731" w14:textId="77777777" w:rsidR="00CB3B05" w:rsidRPr="00892425" w:rsidRDefault="00CB3B05" w:rsidP="002C4EC5">
      <w:pPr>
        <w:contextualSpacing/>
        <w:rPr>
          <w:sz w:val="26"/>
          <w:szCs w:val="26"/>
        </w:rPr>
      </w:pPr>
    </w:p>
    <w:p w14:paraId="15556C43" w14:textId="77777777" w:rsidR="00CB3B05" w:rsidRPr="00892425" w:rsidRDefault="00CB3B05" w:rsidP="002C4EC5">
      <w:pPr>
        <w:ind w:firstLine="1440"/>
        <w:contextualSpacing/>
        <w:rPr>
          <w:sz w:val="26"/>
          <w:szCs w:val="26"/>
        </w:rPr>
      </w:pPr>
      <w:r w:rsidRPr="00892425">
        <w:rPr>
          <w:sz w:val="26"/>
          <w:szCs w:val="26"/>
        </w:rPr>
        <w:t>With regard to the burden of proof in this matter, Section 315(a) of the Code provides:</w:t>
      </w:r>
    </w:p>
    <w:p w14:paraId="09270AC1" w14:textId="77777777" w:rsidR="00CB3B05" w:rsidRPr="00892425" w:rsidRDefault="00CB3B05" w:rsidP="002C4EC5">
      <w:pPr>
        <w:ind w:firstLine="1440"/>
        <w:contextualSpacing/>
        <w:rPr>
          <w:sz w:val="26"/>
          <w:szCs w:val="26"/>
        </w:rPr>
      </w:pPr>
    </w:p>
    <w:p w14:paraId="39D43B5F" w14:textId="77777777" w:rsidR="00CB3B05" w:rsidRPr="00892425" w:rsidRDefault="00CB3B05" w:rsidP="002C4EC5">
      <w:pPr>
        <w:keepNext/>
        <w:ind w:left="1440"/>
        <w:contextualSpacing/>
        <w:jc w:val="both"/>
        <w:rPr>
          <w:b/>
          <w:sz w:val="26"/>
          <w:szCs w:val="26"/>
        </w:rPr>
      </w:pPr>
      <w:r w:rsidRPr="00892425">
        <w:rPr>
          <w:b/>
          <w:sz w:val="26"/>
          <w:szCs w:val="26"/>
        </w:rPr>
        <w:t>§ 315.  Burden of proof</w:t>
      </w:r>
    </w:p>
    <w:p w14:paraId="1DF67A44" w14:textId="77777777" w:rsidR="00CB3B05" w:rsidRPr="00892425" w:rsidRDefault="00CB3B05" w:rsidP="002C4EC5">
      <w:pPr>
        <w:keepNext/>
        <w:numPr>
          <w:ilvl w:val="0"/>
          <w:numId w:val="4"/>
        </w:numPr>
        <w:spacing w:line="240" w:lineRule="auto"/>
        <w:ind w:left="1440" w:right="1440" w:firstLine="360"/>
        <w:contextualSpacing/>
        <w:rPr>
          <w:sz w:val="26"/>
          <w:szCs w:val="26"/>
        </w:rPr>
      </w:pPr>
      <w:r w:rsidRPr="00892425">
        <w:rPr>
          <w:b/>
          <w:sz w:val="26"/>
          <w:szCs w:val="26"/>
        </w:rPr>
        <w:t>Reasonableness of rates.—</w:t>
      </w:r>
      <w:r w:rsidRPr="00892425">
        <w:rPr>
          <w:sz w:val="26"/>
          <w:szCs w:val="26"/>
        </w:rPr>
        <w:t>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  The commission shall give to the hearing and decision of any such proceeding preference over all other proceedings, and decide the same as speedily as possible.</w:t>
      </w:r>
    </w:p>
    <w:p w14:paraId="5C477AB8" w14:textId="77777777" w:rsidR="00CB3B05" w:rsidRPr="00892425" w:rsidRDefault="00CB3B05" w:rsidP="002C4EC5">
      <w:pPr>
        <w:ind w:right="1440"/>
        <w:contextualSpacing/>
        <w:rPr>
          <w:sz w:val="26"/>
          <w:szCs w:val="26"/>
        </w:rPr>
      </w:pPr>
    </w:p>
    <w:p w14:paraId="3D3BC859" w14:textId="55A0AC87" w:rsidR="00CB3B05" w:rsidRPr="00892425" w:rsidRDefault="00CB3B05" w:rsidP="002C4EC5">
      <w:pPr>
        <w:contextualSpacing/>
        <w:rPr>
          <w:sz w:val="26"/>
          <w:szCs w:val="26"/>
        </w:rPr>
      </w:pPr>
      <w:r w:rsidRPr="00892425">
        <w:rPr>
          <w:sz w:val="26"/>
          <w:szCs w:val="26"/>
        </w:rPr>
        <w:t xml:space="preserve">66 Pa. C.S. § 315(a).  Consequently, in this proceeding, </w:t>
      </w:r>
      <w:r w:rsidR="002E1AE6" w:rsidRPr="00892425">
        <w:rPr>
          <w:sz w:val="26"/>
          <w:szCs w:val="26"/>
        </w:rPr>
        <w:t>Aqua</w:t>
      </w:r>
      <w:r w:rsidRPr="00892425">
        <w:rPr>
          <w:sz w:val="26"/>
          <w:szCs w:val="26"/>
        </w:rPr>
        <w:t xml:space="preserve"> has the burden to prove that the rate increase proposed by the </w:t>
      </w:r>
      <w:r w:rsidR="00634F96">
        <w:rPr>
          <w:sz w:val="26"/>
          <w:szCs w:val="26"/>
        </w:rPr>
        <w:t>Joint Settlement</w:t>
      </w:r>
      <w:r w:rsidRPr="00892425">
        <w:rPr>
          <w:sz w:val="26"/>
          <w:szCs w:val="26"/>
        </w:rPr>
        <w:t xml:space="preserve"> is just and reasonable.  The Joint Petitioners have reached an accord on the issues and claims that arose in this proceeding and submitted the </w:t>
      </w:r>
      <w:r w:rsidR="00634F96">
        <w:rPr>
          <w:sz w:val="26"/>
          <w:szCs w:val="26"/>
        </w:rPr>
        <w:t>Joint Settlement</w:t>
      </w:r>
      <w:r w:rsidRPr="00892425">
        <w:rPr>
          <w:sz w:val="26"/>
          <w:szCs w:val="26"/>
        </w:rPr>
        <w:t xml:space="preserve">.  The Joint Petitioners have the burden to prove that the </w:t>
      </w:r>
      <w:r w:rsidR="00634F96">
        <w:rPr>
          <w:sz w:val="26"/>
          <w:szCs w:val="26"/>
        </w:rPr>
        <w:t>Joint Settlement</w:t>
      </w:r>
      <w:r w:rsidRPr="00892425">
        <w:rPr>
          <w:sz w:val="26"/>
          <w:szCs w:val="26"/>
        </w:rPr>
        <w:t xml:space="preserve"> is in the public interest. </w:t>
      </w:r>
    </w:p>
    <w:p w14:paraId="3981E090" w14:textId="77777777" w:rsidR="00CB3B05" w:rsidRPr="001D12EE" w:rsidRDefault="00CB3B05" w:rsidP="002C4EC5">
      <w:pPr>
        <w:pStyle w:val="Heading2"/>
        <w:keepNext w:val="0"/>
        <w:contextualSpacing/>
        <w:rPr>
          <w:b w:val="0"/>
        </w:rPr>
      </w:pPr>
    </w:p>
    <w:bookmarkEnd w:id="9"/>
    <w:bookmarkEnd w:id="10"/>
    <w:p w14:paraId="4690D32C" w14:textId="0FA6C4BF" w:rsidR="00873FEA" w:rsidRPr="00892425" w:rsidRDefault="00C04859" w:rsidP="002C4EC5">
      <w:pPr>
        <w:pStyle w:val="Heading4"/>
        <w:keepLines/>
        <w:ind w:left="2160" w:hanging="720"/>
        <w:contextualSpacing/>
        <w:jc w:val="left"/>
      </w:pPr>
      <w:r w:rsidRPr="00892425">
        <w:t>2.</w:t>
      </w:r>
      <w:r w:rsidRPr="00892425">
        <w:tab/>
        <w:t xml:space="preserve">Terms and Conditions of the </w:t>
      </w:r>
      <w:r w:rsidR="00634F96">
        <w:t>Joint Settlement</w:t>
      </w:r>
    </w:p>
    <w:p w14:paraId="3D02172D" w14:textId="31471489" w:rsidR="001B445B" w:rsidRPr="00892425" w:rsidRDefault="001B445B" w:rsidP="002C4EC5">
      <w:pPr>
        <w:keepNext/>
        <w:keepLines/>
        <w:ind w:firstLine="1440"/>
        <w:contextualSpacing/>
        <w:rPr>
          <w:sz w:val="26"/>
          <w:szCs w:val="26"/>
        </w:rPr>
      </w:pPr>
    </w:p>
    <w:p w14:paraId="36487BD1" w14:textId="7940DDB7" w:rsidR="00361D28" w:rsidRPr="00892425" w:rsidRDefault="00361D28" w:rsidP="002C4EC5">
      <w:pPr>
        <w:ind w:firstLine="1440"/>
        <w:contextualSpacing/>
        <w:rPr>
          <w:sz w:val="26"/>
          <w:szCs w:val="26"/>
        </w:rPr>
      </w:pPr>
      <w:r w:rsidRPr="00892425">
        <w:rPr>
          <w:sz w:val="26"/>
          <w:szCs w:val="26"/>
        </w:rPr>
        <w:t xml:space="preserve">As a result of negotiations, the Joint Petitioners were able to agree to the </w:t>
      </w:r>
      <w:r w:rsidR="00634F96">
        <w:rPr>
          <w:sz w:val="26"/>
          <w:szCs w:val="26"/>
        </w:rPr>
        <w:t>Joint Settlement</w:t>
      </w:r>
      <w:r w:rsidRPr="00892425">
        <w:rPr>
          <w:sz w:val="26"/>
          <w:szCs w:val="26"/>
        </w:rPr>
        <w:t xml:space="preserve">, which resolves all of the issues in this proceeding.  This includes the resolution of various issues pertaining to </w:t>
      </w:r>
      <w:r w:rsidRPr="00892425">
        <w:rPr>
          <w:rFonts w:eastAsiaTheme="minorHAnsi"/>
          <w:sz w:val="26"/>
          <w:szCs w:val="26"/>
        </w:rPr>
        <w:t xml:space="preserve">Aqua’s allowed revenue requirement.  The </w:t>
      </w:r>
      <w:r w:rsidR="00634F96">
        <w:rPr>
          <w:rFonts w:eastAsiaTheme="minorHAnsi"/>
          <w:sz w:val="26"/>
          <w:szCs w:val="26"/>
        </w:rPr>
        <w:t xml:space="preserve">Joint </w:t>
      </w:r>
      <w:r w:rsidR="00634F96">
        <w:rPr>
          <w:rFonts w:eastAsiaTheme="minorHAnsi"/>
          <w:sz w:val="26"/>
          <w:szCs w:val="26"/>
        </w:rPr>
        <w:lastRenderedPageBreak/>
        <w:t>Settlement</w:t>
      </w:r>
      <w:r w:rsidRPr="00892425">
        <w:rPr>
          <w:rFonts w:eastAsiaTheme="minorHAnsi"/>
          <w:sz w:val="26"/>
          <w:szCs w:val="26"/>
        </w:rPr>
        <w:t xml:space="preserve"> produced an agreement among the Joint Petitioners that Aqua is entitled to an increase in total annual operating revenues of $47 million, or approximately 10.57% in lieu of its initially requested increase of $71.8 million, or approximately 16.13%.  The total Company increase is comprised of an increase in operating revenues from water operations of $42,347,943 and an increase in operating revenues from wastewater operations of $4,650,819, as shown on the first page of Appendix C to the Joint Petition.</w:t>
      </w:r>
      <w:r w:rsidRPr="00892425">
        <w:rPr>
          <w:sz w:val="26"/>
          <w:szCs w:val="26"/>
        </w:rPr>
        <w:t xml:space="preserve">  Under the </w:t>
      </w:r>
      <w:r w:rsidR="00634F96">
        <w:rPr>
          <w:sz w:val="26"/>
          <w:szCs w:val="26"/>
        </w:rPr>
        <w:t>Joint Settlement</w:t>
      </w:r>
      <w:r w:rsidRPr="00892425">
        <w:rPr>
          <w:sz w:val="26"/>
          <w:szCs w:val="26"/>
        </w:rPr>
        <w:t xml:space="preserve"> rates, only $7.1 million of the wastewater revenue requirement would be allocated to the Company’s water operations cost of service, as opposed to the original $8.1 million proposed by Aqua.  </w:t>
      </w:r>
      <w:r w:rsidR="001D12EE">
        <w:rPr>
          <w:sz w:val="26"/>
          <w:szCs w:val="26"/>
        </w:rPr>
        <w:t>According to the Joint Petitioners, t</w:t>
      </w:r>
      <w:r w:rsidRPr="00892425">
        <w:rPr>
          <w:sz w:val="26"/>
          <w:szCs w:val="26"/>
        </w:rPr>
        <w:t xml:space="preserve">he </w:t>
      </w:r>
      <w:r w:rsidR="00634F96">
        <w:rPr>
          <w:sz w:val="26"/>
          <w:szCs w:val="26"/>
        </w:rPr>
        <w:t>Joint Settlement</w:t>
      </w:r>
      <w:r w:rsidRPr="00892425">
        <w:rPr>
          <w:sz w:val="26"/>
          <w:szCs w:val="26"/>
        </w:rPr>
        <w:t xml:space="preserve"> Rates will allocate the agreed upon revenue requirement to each customer class in a matter that is reasonable in light of the rate structure and cost of service positions of all Joint Petitioners.  The Joint Petitioners represent that </w:t>
      </w:r>
      <w:r w:rsidR="00634F96">
        <w:rPr>
          <w:sz w:val="26"/>
          <w:szCs w:val="26"/>
        </w:rPr>
        <w:t>Joint Settlement</w:t>
      </w:r>
      <w:r w:rsidRPr="00892425">
        <w:rPr>
          <w:sz w:val="26"/>
          <w:szCs w:val="26"/>
        </w:rPr>
        <w:t xml:space="preserve"> Rates will reduce, by consolidation, the number of different water and wastewater rate zones in a manner consistent with the principle of gradualism.  The Joint Petitioners acknowledge that, except to the extent specifically set forth herein, they have not sought, nor would they be able, to agree upon the specific rate case adjustments which support their respective conclusions.  Nonetheless, they are in full agreement that this </w:t>
      </w:r>
      <w:r w:rsidR="00634F96">
        <w:rPr>
          <w:sz w:val="26"/>
          <w:szCs w:val="26"/>
        </w:rPr>
        <w:t>Joint Settlement</w:t>
      </w:r>
      <w:r w:rsidRPr="00892425">
        <w:rPr>
          <w:sz w:val="26"/>
          <w:szCs w:val="26"/>
        </w:rPr>
        <w:t xml:space="preserve"> is in the best interest of customers and of the Company, and therefore, is in the public interest.  Joint Petition ¶¶ 12-13, 54 at 5-6, 24; Aqua Statement in Support at 5.</w:t>
      </w:r>
    </w:p>
    <w:p w14:paraId="15C2CC02" w14:textId="77777777" w:rsidR="00361D28" w:rsidRPr="00892425" w:rsidRDefault="00361D28" w:rsidP="002C4EC5">
      <w:pPr>
        <w:spacing w:after="200"/>
        <w:contextualSpacing/>
        <w:rPr>
          <w:sz w:val="26"/>
          <w:szCs w:val="26"/>
        </w:rPr>
      </w:pPr>
    </w:p>
    <w:p w14:paraId="516DBE47" w14:textId="77777777" w:rsidR="001D4DBD" w:rsidRDefault="00361D28" w:rsidP="002C4EC5">
      <w:pPr>
        <w:spacing w:after="200"/>
        <w:ind w:firstLine="1440"/>
        <w:contextualSpacing/>
        <w:rPr>
          <w:sz w:val="26"/>
          <w:szCs w:val="26"/>
        </w:rPr>
      </w:pPr>
      <w:r w:rsidRPr="00892425">
        <w:rPr>
          <w:sz w:val="26"/>
          <w:szCs w:val="26"/>
        </w:rPr>
        <w:t xml:space="preserve">The Joint Petition consists of </w:t>
      </w:r>
      <w:r w:rsidR="001D12EE">
        <w:rPr>
          <w:sz w:val="26"/>
          <w:szCs w:val="26"/>
        </w:rPr>
        <w:t xml:space="preserve">the </w:t>
      </w:r>
      <w:r w:rsidRPr="00892425">
        <w:rPr>
          <w:sz w:val="26"/>
          <w:szCs w:val="26"/>
        </w:rPr>
        <w:t xml:space="preserve">terms and conditions of the </w:t>
      </w:r>
      <w:r w:rsidR="00634F96">
        <w:rPr>
          <w:sz w:val="26"/>
          <w:szCs w:val="26"/>
        </w:rPr>
        <w:t>Joint Settlement</w:t>
      </w:r>
      <w:r w:rsidRPr="00892425">
        <w:rPr>
          <w:sz w:val="26"/>
          <w:szCs w:val="26"/>
        </w:rPr>
        <w:t xml:space="preserve">, which are embodied within the Joint Petition, Appendices A through D, and Statements A through H, each of which are attached to the Joint Petition.  Appendix A </w:t>
      </w:r>
      <w:bookmarkStart w:id="11" w:name="_Hlk6226768"/>
      <w:r w:rsidR="001D12EE">
        <w:rPr>
          <w:sz w:val="26"/>
          <w:szCs w:val="26"/>
        </w:rPr>
        <w:t>includes</w:t>
      </w:r>
      <w:r w:rsidRPr="00892425">
        <w:rPr>
          <w:sz w:val="26"/>
          <w:szCs w:val="26"/>
        </w:rPr>
        <w:t xml:space="preserve"> the proposed </w:t>
      </w:r>
      <w:r w:rsidR="00634F96">
        <w:rPr>
          <w:sz w:val="26"/>
          <w:szCs w:val="26"/>
        </w:rPr>
        <w:t>Joint Settlement</w:t>
      </w:r>
      <w:r w:rsidRPr="00892425">
        <w:rPr>
          <w:sz w:val="26"/>
          <w:szCs w:val="26"/>
        </w:rPr>
        <w:t xml:space="preserve"> water tariff supplement to be filed and to become effective in accordance with the </w:t>
      </w:r>
      <w:r w:rsidR="00634F96">
        <w:rPr>
          <w:sz w:val="26"/>
          <w:szCs w:val="26"/>
        </w:rPr>
        <w:t>Joint Settlement</w:t>
      </w:r>
      <w:r w:rsidRPr="00892425">
        <w:rPr>
          <w:sz w:val="26"/>
          <w:szCs w:val="26"/>
        </w:rPr>
        <w:t>.</w:t>
      </w:r>
      <w:bookmarkEnd w:id="11"/>
      <w:r w:rsidRPr="00892425">
        <w:rPr>
          <w:sz w:val="26"/>
          <w:szCs w:val="26"/>
        </w:rPr>
        <w:t xml:space="preserve">  Appendix B </w:t>
      </w:r>
      <w:r w:rsidR="001D12EE">
        <w:rPr>
          <w:sz w:val="26"/>
          <w:szCs w:val="26"/>
        </w:rPr>
        <w:t>contains</w:t>
      </w:r>
      <w:r w:rsidRPr="00892425">
        <w:rPr>
          <w:sz w:val="26"/>
          <w:szCs w:val="26"/>
        </w:rPr>
        <w:t xml:space="preserve"> the proposed </w:t>
      </w:r>
      <w:r w:rsidR="00634F96">
        <w:rPr>
          <w:sz w:val="26"/>
          <w:szCs w:val="26"/>
        </w:rPr>
        <w:t>Joint Settlement</w:t>
      </w:r>
      <w:r w:rsidRPr="00892425">
        <w:rPr>
          <w:sz w:val="26"/>
          <w:szCs w:val="26"/>
        </w:rPr>
        <w:t xml:space="preserve"> wastewater tariff supplement to be filed and to become effective in accordance with the </w:t>
      </w:r>
      <w:r w:rsidR="00634F96">
        <w:rPr>
          <w:sz w:val="26"/>
          <w:szCs w:val="26"/>
        </w:rPr>
        <w:t>Joint Settlement</w:t>
      </w:r>
      <w:r w:rsidRPr="00892425">
        <w:rPr>
          <w:sz w:val="26"/>
          <w:szCs w:val="26"/>
        </w:rPr>
        <w:t xml:space="preserve">.  Appendix C contains a Proof of Revenue, </w:t>
      </w:r>
      <w:r w:rsidR="001D12EE">
        <w:rPr>
          <w:sz w:val="26"/>
          <w:szCs w:val="26"/>
        </w:rPr>
        <w:t xml:space="preserve">comparing </w:t>
      </w:r>
      <w:r w:rsidRPr="00892425">
        <w:rPr>
          <w:sz w:val="26"/>
          <w:szCs w:val="26"/>
        </w:rPr>
        <w:t xml:space="preserve">Aqua’s revenues at the existing rates and at the rates proposed under the </w:t>
      </w:r>
      <w:r w:rsidR="00634F96">
        <w:rPr>
          <w:sz w:val="26"/>
          <w:szCs w:val="26"/>
        </w:rPr>
        <w:t xml:space="preserve">Joint </w:t>
      </w:r>
      <w:r w:rsidR="00634F96">
        <w:rPr>
          <w:sz w:val="26"/>
          <w:szCs w:val="26"/>
        </w:rPr>
        <w:lastRenderedPageBreak/>
        <w:t>Settlement</w:t>
      </w:r>
      <w:r w:rsidRPr="00892425">
        <w:rPr>
          <w:sz w:val="26"/>
          <w:szCs w:val="26"/>
        </w:rPr>
        <w:t xml:space="preserve">.  Appendix D depicts the rate effects </w:t>
      </w:r>
      <w:r w:rsidR="001D12EE">
        <w:rPr>
          <w:sz w:val="26"/>
          <w:szCs w:val="26"/>
        </w:rPr>
        <w:t>on</w:t>
      </w:r>
      <w:r w:rsidRPr="00892425">
        <w:rPr>
          <w:sz w:val="26"/>
          <w:szCs w:val="26"/>
        </w:rPr>
        <w:t xml:space="preserve"> typical customers in each major water and wastewater rate class.</w:t>
      </w:r>
      <w:r w:rsidR="00621903" w:rsidRPr="00892425">
        <w:rPr>
          <w:rStyle w:val="FootnoteReference"/>
          <w:sz w:val="26"/>
          <w:szCs w:val="26"/>
        </w:rPr>
        <w:footnoteReference w:id="6"/>
      </w:r>
      <w:r w:rsidRPr="00892425">
        <w:rPr>
          <w:sz w:val="26"/>
          <w:szCs w:val="26"/>
        </w:rPr>
        <w:t xml:space="preserve">  </w:t>
      </w:r>
    </w:p>
    <w:p w14:paraId="25699280" w14:textId="77777777" w:rsidR="001D4DBD" w:rsidRDefault="001D4DBD" w:rsidP="002C4EC5">
      <w:pPr>
        <w:spacing w:after="200"/>
        <w:ind w:firstLine="1440"/>
        <w:contextualSpacing/>
        <w:rPr>
          <w:sz w:val="26"/>
          <w:szCs w:val="26"/>
        </w:rPr>
      </w:pPr>
    </w:p>
    <w:p w14:paraId="6D191C5A" w14:textId="1907BDBF" w:rsidR="00361D28" w:rsidRPr="00892425" w:rsidRDefault="00361D28" w:rsidP="002C4EC5">
      <w:pPr>
        <w:spacing w:after="200"/>
        <w:ind w:firstLine="1440"/>
        <w:contextualSpacing/>
        <w:rPr>
          <w:rFonts w:eastAsiaTheme="minorHAnsi"/>
          <w:sz w:val="26"/>
          <w:szCs w:val="26"/>
        </w:rPr>
      </w:pPr>
      <w:r w:rsidRPr="00892425">
        <w:rPr>
          <w:sz w:val="26"/>
          <w:szCs w:val="26"/>
        </w:rPr>
        <w:t xml:space="preserve">Statement A </w:t>
      </w:r>
      <w:r w:rsidR="001D4DBD">
        <w:rPr>
          <w:sz w:val="26"/>
          <w:szCs w:val="26"/>
        </w:rPr>
        <w:t xml:space="preserve">includes </w:t>
      </w:r>
      <w:r w:rsidRPr="00892425">
        <w:rPr>
          <w:sz w:val="26"/>
          <w:szCs w:val="26"/>
        </w:rPr>
        <w:t xml:space="preserve">the Statement in support of the Joint Settlement filed by Aqua (Aqua Statement in Support).  Statement B </w:t>
      </w:r>
      <w:r w:rsidRPr="00892425">
        <w:rPr>
          <w:bCs/>
          <w:sz w:val="26"/>
          <w:szCs w:val="26"/>
        </w:rPr>
        <w:t xml:space="preserve">represents the Statement in Support of the Joint Settlement filed by I&amp;E (I&amp;E Statement in Support).  Statement C </w:t>
      </w:r>
      <w:r w:rsidR="001D4DBD">
        <w:rPr>
          <w:bCs/>
          <w:sz w:val="26"/>
          <w:szCs w:val="26"/>
        </w:rPr>
        <w:t xml:space="preserve">is </w:t>
      </w:r>
      <w:r w:rsidRPr="00892425">
        <w:rPr>
          <w:bCs/>
          <w:sz w:val="26"/>
          <w:szCs w:val="26"/>
        </w:rPr>
        <w:t xml:space="preserve">the Statement in Support of the Joint Settlement filed by the OCA (OCA Statement in Support).  Statement D represents the Statement in Support of the Joint Settlement filed by the OSBA (OSBA </w:t>
      </w:r>
      <w:bookmarkStart w:id="12" w:name="_Hlk6227755"/>
      <w:r w:rsidRPr="00892425">
        <w:rPr>
          <w:bCs/>
          <w:sz w:val="26"/>
          <w:szCs w:val="26"/>
        </w:rPr>
        <w:t>Statement in Support).</w:t>
      </w:r>
      <w:bookmarkEnd w:id="12"/>
      <w:r w:rsidRPr="00892425">
        <w:rPr>
          <w:bCs/>
          <w:sz w:val="26"/>
          <w:szCs w:val="26"/>
        </w:rPr>
        <w:t xml:space="preserve">  Statement E </w:t>
      </w:r>
      <w:r w:rsidR="001D4DBD">
        <w:rPr>
          <w:bCs/>
          <w:sz w:val="26"/>
          <w:szCs w:val="26"/>
        </w:rPr>
        <w:t xml:space="preserve">contains </w:t>
      </w:r>
      <w:r w:rsidRPr="00892425">
        <w:rPr>
          <w:bCs/>
          <w:sz w:val="26"/>
          <w:szCs w:val="26"/>
        </w:rPr>
        <w:t xml:space="preserve">the Statement in Support of the Joint Settlement filed by </w:t>
      </w:r>
      <w:r w:rsidR="00DD5073" w:rsidRPr="00892425">
        <w:rPr>
          <w:bCs/>
          <w:sz w:val="26"/>
          <w:szCs w:val="26"/>
        </w:rPr>
        <w:t xml:space="preserve">Aqua LUG </w:t>
      </w:r>
      <w:r w:rsidRPr="00892425">
        <w:rPr>
          <w:bCs/>
          <w:sz w:val="26"/>
          <w:szCs w:val="26"/>
        </w:rPr>
        <w:t xml:space="preserve">(Aqua LUG Statement in Support).  Statement F represents the Statement in Support of the Joint Settlement filed by CAUSE-PA (CAUSE-PA Statement in Support).  Statement G represents the Statement in Support of the Joint Settlement filed by MMPOC (MMPOC Statement in Support).  Statement H represents the Statement in Support of the Joint Settlement filed by LGMA (LGMA Statement in Support).  </w:t>
      </w:r>
      <w:r w:rsidRPr="00892425">
        <w:rPr>
          <w:rFonts w:eastAsiaTheme="minorHAnsi"/>
          <w:bCs/>
          <w:i/>
          <w:sz w:val="26"/>
          <w:szCs w:val="26"/>
        </w:rPr>
        <w:t xml:space="preserve">See generally </w:t>
      </w:r>
      <w:r w:rsidRPr="00892425">
        <w:rPr>
          <w:rFonts w:eastAsiaTheme="minorHAnsi"/>
          <w:bCs/>
          <w:sz w:val="26"/>
          <w:szCs w:val="26"/>
        </w:rPr>
        <w:t xml:space="preserve">Joint Petition </w:t>
      </w:r>
      <w:r w:rsidRPr="00892425">
        <w:rPr>
          <w:rFonts w:eastAsiaTheme="minorHAnsi"/>
          <w:sz w:val="26"/>
          <w:szCs w:val="26"/>
        </w:rPr>
        <w:t>¶¶ 53-54 at 23-24.</w:t>
      </w:r>
    </w:p>
    <w:p w14:paraId="5C236272" w14:textId="77777777" w:rsidR="00031667" w:rsidRDefault="00031667" w:rsidP="002C4EC5">
      <w:pPr>
        <w:spacing w:after="200"/>
        <w:ind w:firstLine="1440"/>
        <w:contextualSpacing/>
        <w:rPr>
          <w:rFonts w:eastAsiaTheme="minorHAnsi"/>
          <w:bCs/>
          <w:sz w:val="26"/>
          <w:szCs w:val="26"/>
        </w:rPr>
      </w:pPr>
    </w:p>
    <w:p w14:paraId="71205740" w14:textId="44161BD5" w:rsidR="00361D28" w:rsidRPr="00892425" w:rsidRDefault="00361D28" w:rsidP="002C4EC5">
      <w:pPr>
        <w:spacing w:after="200"/>
        <w:ind w:firstLine="1440"/>
        <w:contextualSpacing/>
        <w:rPr>
          <w:rFonts w:eastAsiaTheme="minorHAnsi"/>
          <w:bCs/>
          <w:sz w:val="26"/>
          <w:szCs w:val="26"/>
        </w:rPr>
      </w:pPr>
      <w:r w:rsidRPr="00892425">
        <w:rPr>
          <w:rFonts w:eastAsiaTheme="minorHAnsi"/>
          <w:bCs/>
          <w:sz w:val="26"/>
          <w:szCs w:val="26"/>
        </w:rPr>
        <w:t xml:space="preserve">The essential terms of the </w:t>
      </w:r>
      <w:r w:rsidR="00634F96">
        <w:rPr>
          <w:rFonts w:eastAsiaTheme="minorHAnsi"/>
          <w:bCs/>
          <w:sz w:val="26"/>
          <w:szCs w:val="26"/>
        </w:rPr>
        <w:t>Joint Settlement</w:t>
      </w:r>
      <w:r w:rsidRPr="00892425">
        <w:rPr>
          <w:rFonts w:eastAsiaTheme="minorHAnsi"/>
          <w:bCs/>
          <w:sz w:val="26"/>
          <w:szCs w:val="26"/>
        </w:rPr>
        <w:t xml:space="preserve"> are set forth in Paragraph</w:t>
      </w:r>
      <w:r w:rsidR="001D4DBD">
        <w:rPr>
          <w:rFonts w:eastAsiaTheme="minorHAnsi"/>
          <w:bCs/>
          <w:sz w:val="26"/>
          <w:szCs w:val="26"/>
        </w:rPr>
        <w:t xml:space="preserve"> No</w:t>
      </w:r>
      <w:r w:rsidRPr="00892425">
        <w:rPr>
          <w:rFonts w:eastAsiaTheme="minorHAnsi"/>
          <w:bCs/>
          <w:sz w:val="26"/>
          <w:szCs w:val="26"/>
        </w:rPr>
        <w:t>s</w:t>
      </w:r>
      <w:r w:rsidR="001D4DBD">
        <w:rPr>
          <w:rFonts w:eastAsiaTheme="minorHAnsi"/>
          <w:bCs/>
          <w:sz w:val="26"/>
          <w:szCs w:val="26"/>
        </w:rPr>
        <w:t>. </w:t>
      </w:r>
      <w:r w:rsidRPr="00892425">
        <w:rPr>
          <w:rFonts w:eastAsiaTheme="minorHAnsi"/>
          <w:bCs/>
          <w:sz w:val="26"/>
          <w:szCs w:val="26"/>
        </w:rPr>
        <w:t xml:space="preserve">5 through 52 of the Joint Petition, which is </w:t>
      </w:r>
      <w:r w:rsidR="001D4DBD">
        <w:rPr>
          <w:rFonts w:eastAsiaTheme="minorHAnsi"/>
          <w:bCs/>
          <w:sz w:val="26"/>
          <w:szCs w:val="26"/>
        </w:rPr>
        <w:t xml:space="preserve">recited in full, below, </w:t>
      </w:r>
      <w:r w:rsidRPr="00892425">
        <w:rPr>
          <w:rFonts w:eastAsiaTheme="minorHAnsi"/>
          <w:bCs/>
          <w:sz w:val="26"/>
          <w:szCs w:val="26"/>
        </w:rPr>
        <w:t>as it appears in the Joint Petition:</w:t>
      </w:r>
    </w:p>
    <w:p w14:paraId="7EE87A7D" w14:textId="77777777" w:rsidR="004140DF" w:rsidRPr="00892425" w:rsidRDefault="004140DF" w:rsidP="002C4EC5">
      <w:pPr>
        <w:ind w:firstLine="1440"/>
        <w:contextualSpacing/>
        <w:rPr>
          <w:sz w:val="26"/>
          <w:szCs w:val="26"/>
        </w:rPr>
      </w:pPr>
    </w:p>
    <w:p w14:paraId="661E4455" w14:textId="6D7941F0" w:rsidR="00997A12" w:rsidRDefault="00997A12" w:rsidP="002C4EC5">
      <w:pPr>
        <w:keepNext/>
        <w:keepLines/>
        <w:spacing w:before="287" w:after="200" w:line="240" w:lineRule="auto"/>
        <w:ind w:left="2880" w:right="1440" w:hanging="720"/>
        <w:contextualSpacing/>
        <w:textAlignment w:val="baseline"/>
        <w:rPr>
          <w:b/>
          <w:color w:val="000000"/>
          <w:sz w:val="26"/>
          <w:szCs w:val="26"/>
        </w:rPr>
      </w:pPr>
      <w:r w:rsidRPr="00892425">
        <w:rPr>
          <w:b/>
          <w:color w:val="000000"/>
          <w:sz w:val="26"/>
          <w:szCs w:val="26"/>
        </w:rPr>
        <w:lastRenderedPageBreak/>
        <w:t>A.</w:t>
      </w:r>
      <w:r w:rsidRPr="00892425">
        <w:rPr>
          <w:b/>
          <w:color w:val="000000"/>
          <w:sz w:val="26"/>
          <w:szCs w:val="26"/>
        </w:rPr>
        <w:tab/>
        <w:t>Revenue Increase, Commission Approval And Implementation Of Rates</w:t>
      </w:r>
    </w:p>
    <w:p w14:paraId="5FE37E22" w14:textId="77777777" w:rsidR="001B11AB" w:rsidRPr="00892425" w:rsidRDefault="001B11AB" w:rsidP="002C4EC5">
      <w:pPr>
        <w:keepNext/>
        <w:keepLines/>
        <w:spacing w:before="287" w:after="200" w:line="240" w:lineRule="auto"/>
        <w:ind w:left="2880" w:right="1440" w:hanging="720"/>
        <w:contextualSpacing/>
        <w:textAlignment w:val="baseline"/>
        <w:rPr>
          <w:b/>
          <w:color w:val="000000"/>
          <w:sz w:val="26"/>
          <w:szCs w:val="26"/>
        </w:rPr>
      </w:pPr>
    </w:p>
    <w:p w14:paraId="32304FAA" w14:textId="399CC368" w:rsidR="00997A12" w:rsidRPr="00892425" w:rsidRDefault="00997A12" w:rsidP="002C4EC5">
      <w:pPr>
        <w:keepNext/>
        <w:keepLines/>
        <w:spacing w:line="240" w:lineRule="auto"/>
        <w:ind w:left="1440" w:right="1440"/>
        <w:contextualSpacing/>
        <w:textAlignment w:val="baseline"/>
        <w:rPr>
          <w:color w:val="000000"/>
          <w:sz w:val="26"/>
          <w:szCs w:val="26"/>
        </w:rPr>
      </w:pPr>
      <w:r w:rsidRPr="00892425">
        <w:rPr>
          <w:color w:val="000000"/>
          <w:sz w:val="26"/>
          <w:szCs w:val="26"/>
        </w:rPr>
        <w:t>15.</w:t>
      </w:r>
      <w:r w:rsidRPr="00892425">
        <w:rPr>
          <w:color w:val="000000"/>
          <w:sz w:val="26"/>
          <w:szCs w:val="26"/>
        </w:rPr>
        <w:tab/>
        <w:t>Upon Commission approval of the Settlement, Aqua will be permitted to charge the rates for water service set forth in the proposed Original Tariff – Water Pa. P.U.C. No. 2 annexed hereto as Appendix A and the rates for wastewater service set forth in the proposed Original Tariff – Sewer Pa. P.U.C. No. 2 annexed hereto as Appendix B (hereafter, the “Settlement Rates”).</w:t>
      </w:r>
      <w:r w:rsidR="004140DF" w:rsidRPr="00892425">
        <w:rPr>
          <w:color w:val="000000"/>
          <w:sz w:val="26"/>
          <w:szCs w:val="26"/>
        </w:rPr>
        <w:t xml:space="preserve"> </w:t>
      </w:r>
      <w:r w:rsidRPr="00892425">
        <w:rPr>
          <w:color w:val="000000"/>
          <w:sz w:val="26"/>
          <w:szCs w:val="26"/>
        </w:rPr>
        <w:t xml:space="preserve"> </w:t>
      </w:r>
      <w:r w:rsidRPr="003A49E6">
        <w:rPr>
          <w:sz w:val="22"/>
          <w:szCs w:val="22"/>
        </w:rPr>
        <w:t>The</w:t>
      </w:r>
      <w:r w:rsidRPr="00892425">
        <w:rPr>
          <w:color w:val="000000"/>
          <w:sz w:val="26"/>
          <w:szCs w:val="26"/>
        </w:rPr>
        <w:t xml:space="preserve"> Settlement Rates are designed to produce additional annual operating revenue of $47 million ($42.3 million for water operations and $4.7 million for wastewater operations), as shown on the proof of revenues annexed hereto as Appendix C.</w:t>
      </w:r>
    </w:p>
    <w:p w14:paraId="026CFDFC" w14:textId="77777777" w:rsidR="00997A12" w:rsidRPr="00892425" w:rsidRDefault="00997A12" w:rsidP="002C4EC5">
      <w:pPr>
        <w:spacing w:line="240" w:lineRule="auto"/>
        <w:ind w:left="1440" w:right="1440"/>
        <w:contextualSpacing/>
        <w:textAlignment w:val="baseline"/>
        <w:rPr>
          <w:color w:val="000000"/>
          <w:sz w:val="26"/>
          <w:szCs w:val="26"/>
        </w:rPr>
      </w:pPr>
    </w:p>
    <w:p w14:paraId="2A585C21" w14:textId="77777777" w:rsidR="00997A12" w:rsidRPr="00892425" w:rsidRDefault="00997A12" w:rsidP="002C4EC5">
      <w:pPr>
        <w:spacing w:before="5" w:line="240" w:lineRule="auto"/>
        <w:ind w:left="1440" w:right="1440"/>
        <w:contextualSpacing/>
        <w:textAlignment w:val="baseline"/>
        <w:rPr>
          <w:color w:val="000000"/>
          <w:spacing w:val="-1"/>
          <w:sz w:val="26"/>
          <w:szCs w:val="26"/>
        </w:rPr>
      </w:pPr>
      <w:r w:rsidRPr="00892425">
        <w:rPr>
          <w:color w:val="000000"/>
          <w:spacing w:val="-1"/>
          <w:sz w:val="26"/>
          <w:szCs w:val="26"/>
        </w:rPr>
        <w:t>16.</w:t>
      </w:r>
      <w:r w:rsidRPr="00892425">
        <w:rPr>
          <w:color w:val="000000"/>
          <w:spacing w:val="-1"/>
          <w:sz w:val="26"/>
          <w:szCs w:val="26"/>
        </w:rPr>
        <w:tab/>
        <w:t>Pursuant to Section 1311(c) of the Public Utility Code and the Commission’s Implementation Order in Docket No. R-2013-2355276, under the Settlement Rates, a portion of the wastewater revenue requirement totaling $7,087,745 is being allocated to water customers.</w:t>
      </w:r>
    </w:p>
    <w:p w14:paraId="1AD31E95" w14:textId="77777777" w:rsidR="00997A12" w:rsidRPr="00892425" w:rsidRDefault="00997A12" w:rsidP="002C4EC5">
      <w:pPr>
        <w:spacing w:before="5" w:line="240" w:lineRule="auto"/>
        <w:ind w:left="1440" w:right="1440"/>
        <w:contextualSpacing/>
        <w:textAlignment w:val="baseline"/>
        <w:rPr>
          <w:color w:val="000000"/>
          <w:spacing w:val="-1"/>
          <w:sz w:val="26"/>
          <w:szCs w:val="26"/>
        </w:rPr>
      </w:pPr>
    </w:p>
    <w:p w14:paraId="732DB7F2" w14:textId="399B9BA0" w:rsidR="00C04859" w:rsidRPr="00892425" w:rsidRDefault="00997A12" w:rsidP="002C4EC5">
      <w:pPr>
        <w:spacing w:line="240" w:lineRule="auto"/>
        <w:ind w:left="1440" w:right="1440"/>
        <w:contextualSpacing/>
        <w:rPr>
          <w:color w:val="000000"/>
          <w:spacing w:val="-2"/>
          <w:sz w:val="26"/>
          <w:szCs w:val="26"/>
        </w:rPr>
      </w:pPr>
      <w:r w:rsidRPr="00892425">
        <w:rPr>
          <w:color w:val="000000"/>
          <w:spacing w:val="-2"/>
          <w:sz w:val="26"/>
          <w:szCs w:val="26"/>
        </w:rPr>
        <w:t>17.</w:t>
      </w:r>
      <w:r w:rsidRPr="00892425">
        <w:rPr>
          <w:color w:val="000000"/>
          <w:spacing w:val="-2"/>
          <w:sz w:val="26"/>
          <w:szCs w:val="26"/>
        </w:rPr>
        <w:tab/>
        <w:t>The Joint Petitioners agree to exercise their reasonable efforts to obtain approval of this Settlement on or before April</w:t>
      </w:r>
      <w:r w:rsidR="008C5A58">
        <w:rPr>
          <w:color w:val="000000"/>
          <w:spacing w:val="-2"/>
          <w:sz w:val="26"/>
          <w:szCs w:val="26"/>
        </w:rPr>
        <w:t> </w:t>
      </w:r>
      <w:r w:rsidRPr="00892425">
        <w:rPr>
          <w:color w:val="000000"/>
          <w:spacing w:val="-2"/>
          <w:sz w:val="26"/>
          <w:szCs w:val="26"/>
        </w:rPr>
        <w:t xml:space="preserve">11, 2019, and the implementation of the Settlement Rates on May 24, 2019, when the suspension period, as voluntarily extended by Aqua, will expire. </w:t>
      </w:r>
      <w:r w:rsidR="004140DF" w:rsidRPr="00892425">
        <w:rPr>
          <w:color w:val="000000"/>
          <w:spacing w:val="-2"/>
          <w:sz w:val="26"/>
          <w:szCs w:val="26"/>
        </w:rPr>
        <w:t xml:space="preserve"> </w:t>
      </w:r>
      <w:r w:rsidRPr="00892425">
        <w:rPr>
          <w:color w:val="000000"/>
          <w:spacing w:val="-2"/>
          <w:sz w:val="26"/>
          <w:szCs w:val="26"/>
        </w:rPr>
        <w:t>Upon the entry of a Commission Order approving this Settlement, Aqua will be permitted to file a tariff for water service in the form attached hereto as Appendix A, and a tariff for wastewater service, in the form attached hereto as Appendix B, reflecting the agreed-to additional operating revenue to become effective on May 24, 2019.</w:t>
      </w:r>
    </w:p>
    <w:p w14:paraId="3A4846D3" w14:textId="01D1D7F6" w:rsidR="00997A12" w:rsidRPr="00892425" w:rsidRDefault="00997A12" w:rsidP="002C4EC5">
      <w:pPr>
        <w:spacing w:line="240" w:lineRule="auto"/>
        <w:ind w:left="1440" w:right="1440"/>
        <w:contextualSpacing/>
        <w:rPr>
          <w:color w:val="000000"/>
          <w:spacing w:val="-2"/>
          <w:sz w:val="26"/>
          <w:szCs w:val="26"/>
        </w:rPr>
      </w:pPr>
    </w:p>
    <w:p w14:paraId="12B1660E" w14:textId="356AD890" w:rsidR="004442D9" w:rsidRDefault="004442D9" w:rsidP="002C4EC5">
      <w:pPr>
        <w:keepNext/>
        <w:keepLines/>
        <w:spacing w:before="15" w:after="200" w:line="240" w:lineRule="auto"/>
        <w:ind w:left="2160" w:right="1440"/>
        <w:contextualSpacing/>
        <w:textAlignment w:val="baseline"/>
        <w:rPr>
          <w:b/>
          <w:color w:val="000000"/>
          <w:sz w:val="26"/>
          <w:szCs w:val="26"/>
        </w:rPr>
      </w:pPr>
      <w:r w:rsidRPr="00892425">
        <w:rPr>
          <w:b/>
          <w:color w:val="000000"/>
          <w:sz w:val="26"/>
          <w:szCs w:val="26"/>
        </w:rPr>
        <w:t>B.</w:t>
      </w:r>
      <w:r w:rsidRPr="00892425">
        <w:rPr>
          <w:b/>
          <w:color w:val="000000"/>
          <w:sz w:val="26"/>
          <w:szCs w:val="26"/>
        </w:rPr>
        <w:tab/>
        <w:t>Base Rate Filing Stay Out</w:t>
      </w:r>
    </w:p>
    <w:p w14:paraId="5F02C99A" w14:textId="77777777" w:rsidR="001B11AB" w:rsidRPr="00892425" w:rsidRDefault="001B11AB" w:rsidP="002C4EC5">
      <w:pPr>
        <w:keepNext/>
        <w:keepLines/>
        <w:spacing w:before="15" w:after="200" w:line="240" w:lineRule="auto"/>
        <w:ind w:left="2160" w:right="1440"/>
        <w:contextualSpacing/>
        <w:textAlignment w:val="baseline"/>
        <w:rPr>
          <w:b/>
          <w:color w:val="000000"/>
          <w:sz w:val="26"/>
          <w:szCs w:val="26"/>
        </w:rPr>
      </w:pPr>
    </w:p>
    <w:p w14:paraId="3AA4E580" w14:textId="2E3F62CF" w:rsidR="004442D9" w:rsidRPr="00892425" w:rsidRDefault="004442D9" w:rsidP="002C4EC5">
      <w:pPr>
        <w:tabs>
          <w:tab w:val="left" w:pos="1584"/>
        </w:tabs>
        <w:spacing w:after="200" w:line="240" w:lineRule="auto"/>
        <w:ind w:left="1440" w:right="1440"/>
        <w:contextualSpacing/>
        <w:textAlignment w:val="baseline"/>
        <w:rPr>
          <w:color w:val="000000"/>
          <w:sz w:val="26"/>
          <w:szCs w:val="26"/>
        </w:rPr>
      </w:pPr>
      <w:r w:rsidRPr="00892425">
        <w:rPr>
          <w:color w:val="000000"/>
          <w:sz w:val="26"/>
          <w:szCs w:val="26"/>
        </w:rPr>
        <w:t>18.</w:t>
      </w:r>
      <w:r w:rsidRPr="00892425">
        <w:rPr>
          <w:color w:val="000000"/>
          <w:sz w:val="26"/>
          <w:szCs w:val="26"/>
        </w:rPr>
        <w:tab/>
        <w:t xml:space="preserve">Aqua will not file for another general rate increase under Section 1308(d) of the Public Utility Code for its water and wastewater operations included in this rate case prior to April 30, 2021. </w:t>
      </w:r>
      <w:r w:rsidR="004140DF" w:rsidRPr="00892425">
        <w:rPr>
          <w:color w:val="000000"/>
          <w:sz w:val="26"/>
          <w:szCs w:val="26"/>
        </w:rPr>
        <w:t xml:space="preserve"> </w:t>
      </w:r>
      <w:r w:rsidRPr="00892425">
        <w:rPr>
          <w:color w:val="000000"/>
          <w:sz w:val="26"/>
          <w:szCs w:val="26"/>
        </w:rPr>
        <w:t xml:space="preserve">However, if a legislative body or administrative agency, including the Commission, orders or enacts fundamental changes in policy or statutes which directly and substantially affect the Company’s rates, this </w:t>
      </w:r>
      <w:r w:rsidRPr="00892425">
        <w:rPr>
          <w:color w:val="000000"/>
          <w:sz w:val="26"/>
          <w:szCs w:val="26"/>
        </w:rPr>
        <w:lastRenderedPageBreak/>
        <w:t>Settlement shall not prevent the Company from filing tariffs or tariff supplements to the extent necessitated by such action.</w:t>
      </w:r>
    </w:p>
    <w:p w14:paraId="6A56A5FF" w14:textId="748505DD" w:rsidR="00997A12" w:rsidRPr="00892425" w:rsidRDefault="00997A12" w:rsidP="002C4EC5">
      <w:pPr>
        <w:spacing w:line="240" w:lineRule="auto"/>
        <w:ind w:left="1440" w:right="1440"/>
        <w:contextualSpacing/>
        <w:rPr>
          <w:sz w:val="26"/>
          <w:szCs w:val="26"/>
        </w:rPr>
      </w:pPr>
    </w:p>
    <w:p w14:paraId="2820E056" w14:textId="4E282777" w:rsidR="005E0E10" w:rsidRDefault="005E0E10" w:rsidP="002C4EC5">
      <w:pPr>
        <w:keepNext/>
        <w:keepLines/>
        <w:spacing w:before="285" w:after="200" w:line="240" w:lineRule="auto"/>
        <w:ind w:left="2880" w:right="1440" w:hanging="720"/>
        <w:contextualSpacing/>
        <w:textAlignment w:val="baseline"/>
        <w:rPr>
          <w:b/>
          <w:color w:val="000000"/>
          <w:sz w:val="26"/>
          <w:szCs w:val="26"/>
        </w:rPr>
      </w:pPr>
      <w:r w:rsidRPr="00892425">
        <w:rPr>
          <w:b/>
          <w:color w:val="000000"/>
          <w:sz w:val="26"/>
          <w:szCs w:val="26"/>
        </w:rPr>
        <w:t>C.</w:t>
      </w:r>
      <w:r w:rsidRPr="00892425">
        <w:rPr>
          <w:b/>
          <w:color w:val="000000"/>
          <w:sz w:val="26"/>
          <w:szCs w:val="26"/>
        </w:rPr>
        <w:tab/>
        <w:t>Distribution System Improvement Charge (“DSIC”)</w:t>
      </w:r>
    </w:p>
    <w:p w14:paraId="757EF14B" w14:textId="77777777" w:rsidR="001B57F3" w:rsidRPr="00892425" w:rsidRDefault="001B57F3" w:rsidP="002C4EC5">
      <w:pPr>
        <w:keepNext/>
        <w:keepLines/>
        <w:spacing w:before="285" w:after="200" w:line="240" w:lineRule="auto"/>
        <w:ind w:left="2880" w:right="1440" w:hanging="720"/>
        <w:contextualSpacing/>
        <w:textAlignment w:val="baseline"/>
        <w:rPr>
          <w:b/>
          <w:color w:val="000000"/>
          <w:sz w:val="26"/>
          <w:szCs w:val="26"/>
        </w:rPr>
      </w:pPr>
    </w:p>
    <w:p w14:paraId="40FC30CE" w14:textId="77777777" w:rsidR="005E0E10" w:rsidRPr="00892425" w:rsidRDefault="005E0E10" w:rsidP="002C4EC5">
      <w:pPr>
        <w:numPr>
          <w:ilvl w:val="0"/>
          <w:numId w:val="11"/>
        </w:numPr>
        <w:tabs>
          <w:tab w:val="clear" w:pos="720"/>
        </w:tabs>
        <w:spacing w:after="200" w:line="240" w:lineRule="auto"/>
        <w:ind w:left="1440" w:right="1440"/>
        <w:contextualSpacing/>
        <w:textAlignment w:val="baseline"/>
        <w:rPr>
          <w:color w:val="000000"/>
          <w:sz w:val="26"/>
          <w:szCs w:val="26"/>
        </w:rPr>
      </w:pPr>
      <w:r w:rsidRPr="00892425">
        <w:rPr>
          <w:color w:val="000000"/>
          <w:sz w:val="26"/>
          <w:szCs w:val="26"/>
        </w:rPr>
        <w:t>For the purposes of calculating its DSIC for its water and wastewater operations, Aqua shall use the equity return rate for water utilities contained in the Commission’s most recent Quarterly Report on the Earnings of Jurisdictional Utilities (the “Quarterly Earnings Report”) and shall update the equity return rate each quarter consistent with any changes to the equity return rate for water utilities contained in the most recent Quarterly Earnings Report, consistent with 66 Pa. C.S. § 1357(b)(3), until such time as the DSIC is reset pursuant to the provisions of 66 Pa. C.S. § 1358(b)(1).</w:t>
      </w:r>
    </w:p>
    <w:p w14:paraId="2E3EF5A2" w14:textId="55B227C4" w:rsidR="006C3EC7" w:rsidRPr="00892425" w:rsidRDefault="006C3EC7" w:rsidP="002C4EC5">
      <w:pPr>
        <w:spacing w:line="240" w:lineRule="auto"/>
        <w:ind w:left="1440" w:right="1440"/>
        <w:contextualSpacing/>
        <w:rPr>
          <w:sz w:val="26"/>
          <w:szCs w:val="26"/>
        </w:rPr>
      </w:pPr>
    </w:p>
    <w:p w14:paraId="6A7A0C45" w14:textId="75A5F756" w:rsidR="005E0E10" w:rsidRPr="00892425" w:rsidRDefault="005E0E10" w:rsidP="002C4EC5">
      <w:pPr>
        <w:spacing w:after="1057" w:line="240" w:lineRule="auto"/>
        <w:ind w:left="1440" w:right="1440"/>
        <w:contextualSpacing/>
        <w:textAlignment w:val="baseline"/>
        <w:rPr>
          <w:color w:val="000000"/>
          <w:sz w:val="26"/>
          <w:szCs w:val="26"/>
        </w:rPr>
      </w:pPr>
      <w:bookmarkStart w:id="13" w:name="_Hlk6209219"/>
      <w:r w:rsidRPr="00892425">
        <w:rPr>
          <w:color w:val="000000"/>
          <w:sz w:val="26"/>
          <w:szCs w:val="26"/>
        </w:rPr>
        <w:t>20.</w:t>
      </w:r>
      <w:r w:rsidRPr="00892425">
        <w:rPr>
          <w:color w:val="000000"/>
          <w:sz w:val="26"/>
          <w:szCs w:val="26"/>
        </w:rPr>
        <w:tab/>
        <w:t xml:space="preserve">The DSIC for Aqua shall be established at 0% of billed revenues effective with the effective date of Settlement Rates. </w:t>
      </w:r>
      <w:r w:rsidR="008C5A58">
        <w:rPr>
          <w:color w:val="000000"/>
          <w:sz w:val="26"/>
          <w:szCs w:val="26"/>
        </w:rPr>
        <w:t xml:space="preserve"> </w:t>
      </w:r>
      <w:r w:rsidRPr="00892425">
        <w:rPr>
          <w:color w:val="000000"/>
          <w:sz w:val="26"/>
          <w:szCs w:val="26"/>
        </w:rPr>
        <w:t xml:space="preserve">The DSIC shall remain at 0% of billed revenues until the later of: (a) the end of the FPFTY or (b) the quarter following the point in time at which Aqua’s DSIC-eligible investment, net of plant funded with customer advances and customer contributions, exceeds the levels projected by Aqua as of March 31, 2020 (i.e., the end of the FPFTY) per Exhibit Nos. 6-A, Part III and 6-B, Part III. </w:t>
      </w:r>
      <w:r w:rsidR="008C5A58">
        <w:rPr>
          <w:color w:val="000000"/>
          <w:sz w:val="26"/>
          <w:szCs w:val="26"/>
        </w:rPr>
        <w:t xml:space="preserve"> </w:t>
      </w:r>
      <w:r w:rsidRPr="00892425">
        <w:rPr>
          <w:color w:val="000000"/>
          <w:sz w:val="26"/>
          <w:szCs w:val="26"/>
        </w:rPr>
        <w:t>The foregoing provision is included solely for purposes of calculating the DSIC, and is not determinative for future ratemaking purposes of the projected additions to be included in rate base in a FPFTY filing.</w:t>
      </w:r>
    </w:p>
    <w:bookmarkEnd w:id="13"/>
    <w:p w14:paraId="2EAC5C67" w14:textId="77777777" w:rsidR="005E0E10" w:rsidRPr="00892425" w:rsidRDefault="005E0E10" w:rsidP="002C4EC5">
      <w:pPr>
        <w:spacing w:line="240" w:lineRule="auto"/>
        <w:ind w:left="1440" w:right="1440"/>
        <w:contextualSpacing/>
        <w:rPr>
          <w:sz w:val="26"/>
          <w:szCs w:val="26"/>
        </w:rPr>
      </w:pPr>
    </w:p>
    <w:p w14:paraId="3C9A3489" w14:textId="21FBCE1F" w:rsidR="005E0E10" w:rsidRDefault="005E0E10" w:rsidP="002C4EC5">
      <w:pPr>
        <w:keepNext/>
        <w:keepLines/>
        <w:spacing w:before="15" w:after="200" w:line="240" w:lineRule="auto"/>
        <w:ind w:left="2160" w:right="1440"/>
        <w:contextualSpacing/>
        <w:textAlignment w:val="baseline"/>
        <w:rPr>
          <w:b/>
          <w:color w:val="000000"/>
          <w:spacing w:val="-1"/>
          <w:sz w:val="26"/>
          <w:szCs w:val="26"/>
        </w:rPr>
      </w:pPr>
      <w:r w:rsidRPr="00892425">
        <w:rPr>
          <w:b/>
          <w:color w:val="000000"/>
          <w:spacing w:val="-1"/>
          <w:sz w:val="26"/>
          <w:szCs w:val="26"/>
        </w:rPr>
        <w:t>D.</w:t>
      </w:r>
      <w:r w:rsidRPr="00892425">
        <w:rPr>
          <w:b/>
          <w:color w:val="000000"/>
          <w:spacing w:val="-1"/>
          <w:sz w:val="26"/>
          <w:szCs w:val="26"/>
        </w:rPr>
        <w:tab/>
        <w:t>Adjustment Clauses</w:t>
      </w:r>
    </w:p>
    <w:p w14:paraId="541F491C" w14:textId="77777777" w:rsidR="001B57F3" w:rsidRPr="00892425" w:rsidRDefault="001B57F3" w:rsidP="002C4EC5">
      <w:pPr>
        <w:keepNext/>
        <w:keepLines/>
        <w:spacing w:before="15" w:after="200" w:line="240" w:lineRule="auto"/>
        <w:ind w:left="2160" w:right="1440"/>
        <w:contextualSpacing/>
        <w:textAlignment w:val="baseline"/>
        <w:rPr>
          <w:b/>
          <w:color w:val="000000"/>
          <w:spacing w:val="-1"/>
          <w:sz w:val="26"/>
          <w:szCs w:val="26"/>
        </w:rPr>
      </w:pPr>
    </w:p>
    <w:p w14:paraId="02DE4D68" w14:textId="5AF84FC8" w:rsidR="005E0E10" w:rsidRPr="00892425" w:rsidRDefault="005E0E10" w:rsidP="002C4EC5">
      <w:pPr>
        <w:spacing w:after="200" w:line="240" w:lineRule="auto"/>
        <w:ind w:left="1440" w:right="1440"/>
        <w:contextualSpacing/>
        <w:textAlignment w:val="baseline"/>
        <w:rPr>
          <w:color w:val="000000"/>
          <w:sz w:val="26"/>
          <w:szCs w:val="26"/>
        </w:rPr>
      </w:pPr>
      <w:r w:rsidRPr="00892425">
        <w:rPr>
          <w:color w:val="000000"/>
          <w:sz w:val="26"/>
          <w:szCs w:val="26"/>
        </w:rPr>
        <w:t>21.</w:t>
      </w:r>
      <w:r w:rsidRPr="00892425">
        <w:rPr>
          <w:color w:val="000000"/>
          <w:sz w:val="26"/>
          <w:szCs w:val="26"/>
        </w:rPr>
        <w:tab/>
        <w:t xml:space="preserve">Aqua agrees to withdraw its proposed Energy Cost Adjustment Mechanism (“ECAM”) and Purchased Water Adjustment Clause (“PWAC”). </w:t>
      </w:r>
      <w:r w:rsidR="00C8620C" w:rsidRPr="00892425">
        <w:rPr>
          <w:color w:val="000000"/>
          <w:sz w:val="26"/>
          <w:szCs w:val="26"/>
        </w:rPr>
        <w:t xml:space="preserve"> </w:t>
      </w:r>
      <w:r w:rsidRPr="00892425">
        <w:rPr>
          <w:color w:val="000000"/>
          <w:sz w:val="26"/>
          <w:szCs w:val="26"/>
        </w:rPr>
        <w:t>This withdrawal is made without prejudice to propose these adjustments in the future.</w:t>
      </w:r>
    </w:p>
    <w:p w14:paraId="0DE1A9ED" w14:textId="7559360F" w:rsidR="006C3EC7" w:rsidRPr="00892425" w:rsidRDefault="006C3EC7" w:rsidP="002C4EC5">
      <w:pPr>
        <w:spacing w:line="240" w:lineRule="auto"/>
        <w:ind w:left="1440" w:right="1440"/>
        <w:contextualSpacing/>
        <w:rPr>
          <w:sz w:val="26"/>
          <w:szCs w:val="26"/>
        </w:rPr>
      </w:pPr>
    </w:p>
    <w:p w14:paraId="0903FE10" w14:textId="4F44ACCF" w:rsidR="004140DF" w:rsidRDefault="004140DF" w:rsidP="002C4EC5">
      <w:pPr>
        <w:keepNext/>
        <w:keepLines/>
        <w:spacing w:before="278" w:after="200" w:line="240" w:lineRule="auto"/>
        <w:ind w:left="2880" w:right="1440" w:hanging="720"/>
        <w:contextualSpacing/>
        <w:textAlignment w:val="baseline"/>
        <w:rPr>
          <w:b/>
          <w:color w:val="000000"/>
          <w:spacing w:val="-1"/>
          <w:sz w:val="26"/>
          <w:szCs w:val="26"/>
        </w:rPr>
      </w:pPr>
      <w:r w:rsidRPr="00892425">
        <w:rPr>
          <w:b/>
          <w:color w:val="000000"/>
          <w:spacing w:val="-1"/>
          <w:sz w:val="26"/>
          <w:szCs w:val="26"/>
        </w:rPr>
        <w:lastRenderedPageBreak/>
        <w:t>E.</w:t>
      </w:r>
      <w:r w:rsidRPr="00892425">
        <w:rPr>
          <w:b/>
          <w:color w:val="000000"/>
          <w:spacing w:val="-1"/>
          <w:sz w:val="26"/>
          <w:szCs w:val="26"/>
        </w:rPr>
        <w:tab/>
        <w:t>Treatment Of Income Taxation – Customer Advances For Construction And Contributions-In-Aid-Of-Construction</w:t>
      </w:r>
    </w:p>
    <w:p w14:paraId="18A661C9" w14:textId="77777777" w:rsidR="001B57F3" w:rsidRPr="00892425" w:rsidRDefault="001B57F3" w:rsidP="002C4EC5">
      <w:pPr>
        <w:keepNext/>
        <w:keepLines/>
        <w:spacing w:before="278" w:after="200" w:line="240" w:lineRule="auto"/>
        <w:ind w:left="2880" w:right="1440" w:hanging="720"/>
        <w:contextualSpacing/>
        <w:textAlignment w:val="baseline"/>
        <w:rPr>
          <w:b/>
          <w:color w:val="000000"/>
          <w:spacing w:val="-1"/>
          <w:sz w:val="26"/>
          <w:szCs w:val="26"/>
        </w:rPr>
      </w:pPr>
    </w:p>
    <w:p w14:paraId="7A7BD076" w14:textId="57C386EB" w:rsidR="004140DF" w:rsidRPr="00892425" w:rsidRDefault="004140DF" w:rsidP="002C4EC5">
      <w:pPr>
        <w:spacing w:line="240" w:lineRule="auto"/>
        <w:ind w:left="1440" w:right="1440"/>
        <w:contextualSpacing/>
        <w:rPr>
          <w:color w:val="000000"/>
          <w:sz w:val="26"/>
          <w:szCs w:val="26"/>
        </w:rPr>
      </w:pPr>
      <w:r w:rsidRPr="00892425">
        <w:rPr>
          <w:color w:val="000000"/>
          <w:sz w:val="26"/>
          <w:szCs w:val="26"/>
        </w:rPr>
        <w:t>22.</w:t>
      </w:r>
      <w:r w:rsidRPr="00892425">
        <w:rPr>
          <w:color w:val="000000"/>
          <w:sz w:val="26"/>
          <w:szCs w:val="26"/>
        </w:rPr>
        <w:tab/>
        <w:t>Within 30 days of a final, unappealed Commission order on the tariff supplement filing of PAWC at Docket No. R-2018-3002504, Aqua shall file a tariff supplement consistent with the Commission’s resolution in that proceeding of the issue of cost responsibility for, and ratemaking treatment of, state and Federal income taxes owed on Customer Advances for Construction and Contributions-in-Aid-of-Construction (“CAC/CIAC”).  From the effective date of the Settlement Rates until such time as Aqua’s tariff supplement becomes effective and unappealable, the Company shall either require the developer to present a letter of credit in the amount of grossed-up income tax that would be owed on the CAC/CIAC or to hold such amount in escrow; the letter of credit or escrow funds, as the case may be, shall be released to the appropriate party within 15 business days of the tariff supplement becoming effective and unappealable.  The amount of grossed-up income tax to be subject to escrow or secured by a letter of credit will be not less than the amount calculated by multiplying the CAC/CIAC by a factor of 1.4063 and then deducting from that figure: (1) the amount of CAC/CIAC; and (2) the present value of state and Federal tax benefits of the future depreciation deductions related to the property funded by such CAC/CIAC.  Notwithstanding the foregoing, any CAC/CIAC agreement entered into between Aqua and a developer prior to the effective date of the Settlement Rates shall remain in full force and effect without modification.</w:t>
      </w:r>
    </w:p>
    <w:p w14:paraId="3206766C" w14:textId="3CF9E773" w:rsidR="004140DF" w:rsidRPr="00892425" w:rsidRDefault="004140DF" w:rsidP="002C4EC5">
      <w:pPr>
        <w:spacing w:line="240" w:lineRule="auto"/>
        <w:ind w:left="1440" w:right="1440"/>
        <w:contextualSpacing/>
        <w:rPr>
          <w:color w:val="000000"/>
          <w:sz w:val="26"/>
          <w:szCs w:val="26"/>
        </w:rPr>
      </w:pPr>
    </w:p>
    <w:p w14:paraId="668FADA0" w14:textId="420214AA" w:rsidR="004140DF" w:rsidRDefault="004140DF" w:rsidP="002C4EC5">
      <w:pPr>
        <w:keepNext/>
        <w:keepLines/>
        <w:spacing w:before="15" w:after="200" w:line="240" w:lineRule="auto"/>
        <w:ind w:left="2160" w:right="1440"/>
        <w:contextualSpacing/>
        <w:textAlignment w:val="baseline"/>
        <w:rPr>
          <w:b/>
          <w:color w:val="000000"/>
          <w:sz w:val="26"/>
          <w:szCs w:val="26"/>
        </w:rPr>
      </w:pPr>
      <w:r w:rsidRPr="00892425">
        <w:rPr>
          <w:b/>
          <w:color w:val="000000"/>
          <w:sz w:val="26"/>
          <w:szCs w:val="26"/>
        </w:rPr>
        <w:t>F.</w:t>
      </w:r>
      <w:r w:rsidRPr="00892425">
        <w:rPr>
          <w:b/>
          <w:color w:val="000000"/>
          <w:sz w:val="26"/>
          <w:szCs w:val="26"/>
        </w:rPr>
        <w:tab/>
        <w:t>FPFTY Reporting</w:t>
      </w:r>
    </w:p>
    <w:p w14:paraId="64DFA3E2" w14:textId="77777777" w:rsidR="001B57F3" w:rsidRPr="00892425" w:rsidRDefault="001B57F3" w:rsidP="002C4EC5">
      <w:pPr>
        <w:keepNext/>
        <w:keepLines/>
        <w:spacing w:before="15" w:after="200" w:line="240" w:lineRule="auto"/>
        <w:ind w:left="2160" w:right="1440"/>
        <w:contextualSpacing/>
        <w:textAlignment w:val="baseline"/>
        <w:rPr>
          <w:b/>
          <w:color w:val="000000"/>
          <w:sz w:val="26"/>
          <w:szCs w:val="26"/>
        </w:rPr>
      </w:pPr>
    </w:p>
    <w:p w14:paraId="3104D07B" w14:textId="3D6C1850" w:rsidR="004140DF" w:rsidRPr="00892425" w:rsidRDefault="004140DF" w:rsidP="002C4EC5">
      <w:pPr>
        <w:spacing w:after="200" w:line="240" w:lineRule="auto"/>
        <w:ind w:left="1440" w:right="1440"/>
        <w:contextualSpacing/>
        <w:textAlignment w:val="baseline"/>
        <w:rPr>
          <w:color w:val="000000"/>
          <w:sz w:val="26"/>
          <w:szCs w:val="26"/>
        </w:rPr>
      </w:pPr>
      <w:r w:rsidRPr="00892425">
        <w:rPr>
          <w:color w:val="000000"/>
          <w:sz w:val="26"/>
          <w:szCs w:val="26"/>
        </w:rPr>
        <w:t>23.</w:t>
      </w:r>
      <w:r w:rsidRPr="00892425">
        <w:rPr>
          <w:color w:val="000000"/>
          <w:sz w:val="26"/>
          <w:szCs w:val="26"/>
        </w:rPr>
        <w:tab/>
        <w:t xml:space="preserve">As part of this Settlement, the Company has agreed to provide the Commission’s Bureau of Technical Utility Services (“TUS”), I&amp;E, OCA, and OSBA with an update to AP Statement No. 2, Attachments 1 and 2, p. 1, no later than July 1, 2019, which should include actual capital expenditures, plant additions, and retirements by month from April 1, 2018 through March 31, 2019. Then, no later than July 1, 2020, another update of AP Statement No. 2, Attachments 1 and 2, p. 1, should be submitted showing </w:t>
      </w:r>
      <w:r w:rsidRPr="00892425">
        <w:rPr>
          <w:color w:val="000000"/>
          <w:sz w:val="26"/>
          <w:szCs w:val="26"/>
        </w:rPr>
        <w:lastRenderedPageBreak/>
        <w:t>actuals from April 1, 2019 through March 31, 2020.</w:t>
      </w:r>
      <w:r w:rsidR="008C5A58">
        <w:rPr>
          <w:color w:val="000000"/>
          <w:sz w:val="26"/>
          <w:szCs w:val="26"/>
        </w:rPr>
        <w:t xml:space="preserve"> </w:t>
      </w:r>
      <w:r w:rsidRPr="00892425">
        <w:rPr>
          <w:color w:val="000000"/>
          <w:sz w:val="26"/>
          <w:szCs w:val="26"/>
        </w:rPr>
        <w:t xml:space="preserve"> In Aqua’s next base rate proceeding,</w:t>
      </w:r>
      <w:r w:rsidR="008C5A58" w:rsidRPr="008C5A58">
        <w:rPr>
          <w:color w:val="000000"/>
          <w:sz w:val="26"/>
          <w:szCs w:val="26"/>
          <w:vertAlign w:val="superscript"/>
        </w:rPr>
        <w:t>5</w:t>
      </w:r>
      <w:r w:rsidRPr="00892425">
        <w:rPr>
          <w:color w:val="000000"/>
          <w:sz w:val="26"/>
          <w:szCs w:val="26"/>
        </w:rPr>
        <w:t xml:space="preserve"> the Company will prepare a comparison of its actual expenses and rate base additions for the twelve months ended March 31, 2020 to its projections in this case.</w:t>
      </w:r>
    </w:p>
    <w:p w14:paraId="5A30F4ED" w14:textId="7173C038" w:rsidR="004140DF" w:rsidRPr="00892425" w:rsidRDefault="004140DF" w:rsidP="002C4EC5">
      <w:pPr>
        <w:spacing w:line="240" w:lineRule="auto"/>
        <w:ind w:left="1440" w:right="1440"/>
        <w:contextualSpacing/>
        <w:rPr>
          <w:sz w:val="26"/>
          <w:szCs w:val="26"/>
        </w:rPr>
      </w:pPr>
    </w:p>
    <w:p w14:paraId="799DFE28" w14:textId="729F050B" w:rsidR="00BE46C7" w:rsidRDefault="00BE46C7" w:rsidP="002C4EC5">
      <w:pPr>
        <w:keepNext/>
        <w:keepLines/>
        <w:spacing w:before="284" w:after="200" w:line="240" w:lineRule="auto"/>
        <w:ind w:left="2160" w:right="1440"/>
        <w:contextualSpacing/>
        <w:textAlignment w:val="baseline"/>
        <w:rPr>
          <w:b/>
          <w:color w:val="000000"/>
          <w:sz w:val="26"/>
          <w:szCs w:val="26"/>
        </w:rPr>
      </w:pPr>
      <w:r w:rsidRPr="00892425">
        <w:rPr>
          <w:b/>
          <w:color w:val="000000"/>
          <w:sz w:val="26"/>
          <w:szCs w:val="26"/>
        </w:rPr>
        <w:t>G.</w:t>
      </w:r>
      <w:r w:rsidRPr="00892425">
        <w:rPr>
          <w:b/>
          <w:color w:val="000000"/>
          <w:sz w:val="26"/>
          <w:szCs w:val="26"/>
        </w:rPr>
        <w:tab/>
        <w:t>Contract Customer Reporting</w:t>
      </w:r>
    </w:p>
    <w:p w14:paraId="59915F12" w14:textId="77777777" w:rsidR="001B57F3" w:rsidRPr="00892425" w:rsidRDefault="001B57F3" w:rsidP="002C4EC5">
      <w:pPr>
        <w:keepNext/>
        <w:keepLines/>
        <w:spacing w:before="284" w:after="200" w:line="240" w:lineRule="auto"/>
        <w:ind w:left="2160" w:right="1440"/>
        <w:contextualSpacing/>
        <w:textAlignment w:val="baseline"/>
        <w:rPr>
          <w:b/>
          <w:color w:val="000000"/>
          <w:sz w:val="26"/>
          <w:szCs w:val="26"/>
        </w:rPr>
      </w:pPr>
    </w:p>
    <w:p w14:paraId="3D2C3141" w14:textId="1DC99F7D" w:rsidR="00BE46C7" w:rsidRPr="00892425" w:rsidRDefault="00BE46C7" w:rsidP="002C4EC5">
      <w:pPr>
        <w:tabs>
          <w:tab w:val="decimal" w:pos="1080"/>
          <w:tab w:val="left" w:pos="1512"/>
        </w:tabs>
        <w:spacing w:after="200" w:line="240" w:lineRule="auto"/>
        <w:ind w:left="1440" w:right="1440"/>
        <w:contextualSpacing/>
        <w:textAlignment w:val="baseline"/>
        <w:rPr>
          <w:color w:val="000000"/>
          <w:sz w:val="26"/>
          <w:szCs w:val="26"/>
        </w:rPr>
      </w:pPr>
      <w:r w:rsidRPr="00892425">
        <w:rPr>
          <w:color w:val="000000"/>
          <w:sz w:val="26"/>
          <w:szCs w:val="26"/>
        </w:rPr>
        <w:t>24.</w:t>
      </w:r>
      <w:r w:rsidRPr="00892425">
        <w:rPr>
          <w:color w:val="000000"/>
          <w:sz w:val="26"/>
          <w:szCs w:val="26"/>
        </w:rPr>
        <w:tab/>
        <w:t>The Company will include in its next Pennsylvania water base rate filing documentation of the existence of a viable competitive alternative to water service provided by the Company for the following Rider DRS customers and any new Rider DRS customers added after the date of this Joint Petition:</w:t>
      </w:r>
    </w:p>
    <w:p w14:paraId="00A214F7" w14:textId="29766872" w:rsidR="00BE46C7" w:rsidRPr="00892425" w:rsidRDefault="00BE46C7" w:rsidP="002C4EC5">
      <w:pPr>
        <w:spacing w:line="240" w:lineRule="auto"/>
        <w:ind w:left="1440" w:right="1440"/>
        <w:contextualSpacing/>
        <w:rPr>
          <w:sz w:val="26"/>
          <w:szCs w:val="26"/>
        </w:rPr>
      </w:pPr>
    </w:p>
    <w:p w14:paraId="6BB6D589" w14:textId="77777777" w:rsidR="00BE46C7" w:rsidRPr="00892425" w:rsidRDefault="00BE46C7" w:rsidP="002C4EC5">
      <w:pPr>
        <w:spacing w:before="586" w:line="240" w:lineRule="auto"/>
        <w:ind w:left="2160" w:right="1440"/>
        <w:contextualSpacing/>
        <w:textAlignment w:val="baseline"/>
        <w:rPr>
          <w:b/>
          <w:color w:val="000000"/>
          <w:sz w:val="26"/>
          <w:szCs w:val="26"/>
          <w:u w:val="single"/>
        </w:rPr>
      </w:pPr>
      <w:r w:rsidRPr="00892425">
        <w:rPr>
          <w:b/>
          <w:color w:val="000000"/>
          <w:sz w:val="26"/>
          <w:szCs w:val="26"/>
          <w:u w:val="single"/>
        </w:rPr>
        <w:t xml:space="preserve">Rider DRS Customers </w:t>
      </w:r>
    </w:p>
    <w:p w14:paraId="1D62B4EC" w14:textId="77777777" w:rsidR="00BE46C7" w:rsidRPr="00892425" w:rsidRDefault="00BE46C7" w:rsidP="002C4EC5">
      <w:pPr>
        <w:spacing w:before="25" w:after="200" w:line="240" w:lineRule="auto"/>
        <w:ind w:left="2160" w:right="1440"/>
        <w:contextualSpacing/>
        <w:textAlignment w:val="baseline"/>
        <w:rPr>
          <w:color w:val="000000"/>
          <w:sz w:val="26"/>
          <w:szCs w:val="26"/>
        </w:rPr>
      </w:pPr>
      <w:r w:rsidRPr="00892425">
        <w:rPr>
          <w:color w:val="000000"/>
          <w:sz w:val="26"/>
          <w:szCs w:val="26"/>
        </w:rPr>
        <w:t>Chemung County Industrial Development Agency</w:t>
      </w:r>
    </w:p>
    <w:p w14:paraId="6EC38791" w14:textId="77777777" w:rsidR="00BE46C7" w:rsidRPr="00892425" w:rsidRDefault="00BE46C7" w:rsidP="002C4EC5">
      <w:pPr>
        <w:spacing w:before="24" w:after="200" w:line="240" w:lineRule="auto"/>
        <w:ind w:left="2160" w:right="1440"/>
        <w:contextualSpacing/>
        <w:textAlignment w:val="baseline"/>
        <w:rPr>
          <w:color w:val="000000"/>
          <w:sz w:val="26"/>
          <w:szCs w:val="26"/>
        </w:rPr>
      </w:pPr>
      <w:r w:rsidRPr="00892425">
        <w:rPr>
          <w:color w:val="000000"/>
          <w:sz w:val="26"/>
          <w:szCs w:val="26"/>
        </w:rPr>
        <w:t>New Wilmington Municipal Authority</w:t>
      </w:r>
    </w:p>
    <w:p w14:paraId="5E34C19B" w14:textId="77777777" w:rsidR="00BE46C7" w:rsidRPr="00892425" w:rsidRDefault="00BE46C7" w:rsidP="002C4EC5">
      <w:pPr>
        <w:spacing w:before="30" w:after="200" w:line="240" w:lineRule="auto"/>
        <w:ind w:left="2160" w:right="1440"/>
        <w:contextualSpacing/>
        <w:textAlignment w:val="baseline"/>
        <w:rPr>
          <w:color w:val="000000"/>
          <w:sz w:val="26"/>
          <w:szCs w:val="26"/>
        </w:rPr>
      </w:pPr>
      <w:r w:rsidRPr="00892425">
        <w:rPr>
          <w:color w:val="000000"/>
          <w:sz w:val="26"/>
          <w:szCs w:val="26"/>
        </w:rPr>
        <w:t>Warwick Township Water and Sewer Authority</w:t>
      </w:r>
    </w:p>
    <w:p w14:paraId="28F441EF" w14:textId="77777777" w:rsidR="00BE46C7" w:rsidRPr="00892425" w:rsidRDefault="00BE46C7" w:rsidP="002C4EC5">
      <w:pPr>
        <w:spacing w:before="24" w:after="200" w:line="240" w:lineRule="auto"/>
        <w:ind w:left="2160" w:right="1440"/>
        <w:contextualSpacing/>
        <w:textAlignment w:val="baseline"/>
        <w:rPr>
          <w:color w:val="000000"/>
          <w:sz w:val="26"/>
          <w:szCs w:val="26"/>
        </w:rPr>
      </w:pPr>
      <w:r w:rsidRPr="00892425">
        <w:rPr>
          <w:color w:val="000000"/>
          <w:sz w:val="26"/>
          <w:szCs w:val="26"/>
        </w:rPr>
        <w:t>Borough of Sharpsville</w:t>
      </w:r>
    </w:p>
    <w:p w14:paraId="3D923382" w14:textId="77777777" w:rsidR="00BE46C7" w:rsidRPr="00892425" w:rsidRDefault="00BE46C7" w:rsidP="002C4EC5">
      <w:pPr>
        <w:spacing w:before="30" w:after="200" w:line="240" w:lineRule="auto"/>
        <w:ind w:left="2160" w:right="1440"/>
        <w:contextualSpacing/>
        <w:textAlignment w:val="baseline"/>
        <w:rPr>
          <w:color w:val="000000"/>
          <w:sz w:val="26"/>
          <w:szCs w:val="26"/>
        </w:rPr>
      </w:pPr>
      <w:r w:rsidRPr="00892425">
        <w:rPr>
          <w:color w:val="000000"/>
          <w:sz w:val="26"/>
          <w:szCs w:val="26"/>
        </w:rPr>
        <w:t>City of Hubbard</w:t>
      </w:r>
    </w:p>
    <w:p w14:paraId="2CCED938" w14:textId="77777777" w:rsidR="00BE46C7" w:rsidRPr="00892425" w:rsidRDefault="00BE46C7" w:rsidP="002C4EC5">
      <w:pPr>
        <w:spacing w:before="24" w:after="200" w:line="240" w:lineRule="auto"/>
        <w:ind w:left="2160" w:right="1440"/>
        <w:contextualSpacing/>
        <w:textAlignment w:val="baseline"/>
        <w:rPr>
          <w:color w:val="000000"/>
          <w:sz w:val="26"/>
          <w:szCs w:val="26"/>
        </w:rPr>
      </w:pPr>
      <w:r w:rsidRPr="00892425">
        <w:rPr>
          <w:color w:val="000000"/>
          <w:sz w:val="26"/>
          <w:szCs w:val="26"/>
        </w:rPr>
        <w:t>Horsham Water Authority</w:t>
      </w:r>
    </w:p>
    <w:p w14:paraId="16700EC4" w14:textId="77777777" w:rsidR="00BE46C7" w:rsidRPr="00892425" w:rsidRDefault="00BE46C7" w:rsidP="002C4EC5">
      <w:pPr>
        <w:spacing w:before="30" w:after="1133" w:line="240" w:lineRule="auto"/>
        <w:ind w:left="2160" w:right="1440"/>
        <w:contextualSpacing/>
        <w:textAlignment w:val="baseline"/>
        <w:rPr>
          <w:color w:val="000000"/>
          <w:sz w:val="26"/>
          <w:szCs w:val="26"/>
        </w:rPr>
      </w:pPr>
      <w:r w:rsidRPr="00892425">
        <w:rPr>
          <w:color w:val="000000"/>
          <w:sz w:val="26"/>
          <w:szCs w:val="26"/>
        </w:rPr>
        <w:t>Schwenksville Borough Authority</w:t>
      </w:r>
    </w:p>
    <w:p w14:paraId="3E91A473" w14:textId="54420897" w:rsidR="00BE46C7" w:rsidRPr="00892425" w:rsidRDefault="00BE46C7" w:rsidP="002C4EC5">
      <w:pPr>
        <w:spacing w:line="240" w:lineRule="auto"/>
        <w:ind w:left="1440" w:right="1440"/>
        <w:contextualSpacing/>
        <w:rPr>
          <w:sz w:val="26"/>
          <w:szCs w:val="26"/>
        </w:rPr>
      </w:pPr>
    </w:p>
    <w:p w14:paraId="0462B5DB" w14:textId="77777777" w:rsidR="00BE46C7" w:rsidRPr="00892425" w:rsidRDefault="00BE46C7" w:rsidP="002C4EC5">
      <w:pPr>
        <w:numPr>
          <w:ilvl w:val="0"/>
          <w:numId w:val="13"/>
        </w:numPr>
        <w:tabs>
          <w:tab w:val="clear" w:pos="720"/>
        </w:tabs>
        <w:spacing w:before="11" w:after="200" w:line="240" w:lineRule="auto"/>
        <w:ind w:left="1440" w:right="1440"/>
        <w:contextualSpacing/>
        <w:textAlignment w:val="baseline"/>
        <w:rPr>
          <w:color w:val="000000"/>
          <w:sz w:val="26"/>
          <w:szCs w:val="26"/>
        </w:rPr>
      </w:pPr>
      <w:r w:rsidRPr="00892425">
        <w:rPr>
          <w:color w:val="000000"/>
          <w:sz w:val="26"/>
          <w:szCs w:val="26"/>
        </w:rPr>
        <w:t>Aqua agrees to date each competitive alternative analysis that is submitted regarding the above Rider DRS customers or new Rider DRS customers, and provide dates for when the competitive alternative analysis was last considered, if applicable.</w:t>
      </w:r>
    </w:p>
    <w:p w14:paraId="045075F4" w14:textId="38B9CD3F" w:rsidR="00BE46C7" w:rsidRPr="00892425" w:rsidRDefault="00BE46C7" w:rsidP="002C4EC5">
      <w:pPr>
        <w:spacing w:line="240" w:lineRule="auto"/>
        <w:ind w:left="1440" w:right="1440"/>
        <w:contextualSpacing/>
        <w:rPr>
          <w:sz w:val="26"/>
          <w:szCs w:val="26"/>
        </w:rPr>
      </w:pPr>
    </w:p>
    <w:p w14:paraId="3D87E6D5" w14:textId="77777777" w:rsidR="00BE46C7" w:rsidRPr="00892425" w:rsidRDefault="00BE46C7" w:rsidP="002C4EC5">
      <w:pPr>
        <w:numPr>
          <w:ilvl w:val="0"/>
          <w:numId w:val="13"/>
        </w:numPr>
        <w:tabs>
          <w:tab w:val="left" w:pos="1512"/>
        </w:tabs>
        <w:spacing w:after="200" w:line="240" w:lineRule="auto"/>
        <w:ind w:left="1440" w:right="1440"/>
        <w:contextualSpacing/>
        <w:textAlignment w:val="baseline"/>
        <w:rPr>
          <w:color w:val="000000"/>
          <w:sz w:val="26"/>
          <w:szCs w:val="26"/>
        </w:rPr>
      </w:pPr>
      <w:r w:rsidRPr="00892425">
        <w:rPr>
          <w:color w:val="000000"/>
          <w:sz w:val="26"/>
          <w:szCs w:val="26"/>
        </w:rPr>
        <w:t>Additionally, Aqua agrees to provide a competitive alternative for the rates charged to Masury area customers in its next water base rate filing.</w:t>
      </w:r>
    </w:p>
    <w:p w14:paraId="4B03B869" w14:textId="0B66A247" w:rsidR="00BE46C7" w:rsidRPr="00892425" w:rsidRDefault="00BE46C7" w:rsidP="002C4EC5">
      <w:pPr>
        <w:spacing w:line="240" w:lineRule="auto"/>
        <w:ind w:left="1440" w:right="1440"/>
        <w:contextualSpacing/>
        <w:rPr>
          <w:sz w:val="26"/>
          <w:szCs w:val="26"/>
        </w:rPr>
      </w:pPr>
    </w:p>
    <w:p w14:paraId="021113CE" w14:textId="77777777" w:rsidR="00BE46C7" w:rsidRPr="00892425" w:rsidRDefault="00BE46C7" w:rsidP="002C4EC5">
      <w:pPr>
        <w:numPr>
          <w:ilvl w:val="0"/>
          <w:numId w:val="13"/>
        </w:numPr>
        <w:tabs>
          <w:tab w:val="clear" w:pos="720"/>
          <w:tab w:val="left" w:pos="1512"/>
        </w:tabs>
        <w:spacing w:after="200" w:line="240" w:lineRule="auto"/>
        <w:ind w:left="1440" w:right="1440"/>
        <w:contextualSpacing/>
        <w:textAlignment w:val="baseline"/>
        <w:rPr>
          <w:color w:val="000000"/>
          <w:sz w:val="26"/>
          <w:szCs w:val="26"/>
        </w:rPr>
      </w:pPr>
      <w:r w:rsidRPr="00892425">
        <w:rPr>
          <w:color w:val="000000"/>
          <w:sz w:val="26"/>
          <w:szCs w:val="26"/>
        </w:rPr>
        <w:t>Any party to this Joint Petition reserves the right to review and challenge any contract and/or rate in future Aqua base rate filings, or in subsequent litigation related to this proceeding.</w:t>
      </w:r>
    </w:p>
    <w:p w14:paraId="7ACA7E6A" w14:textId="77777777" w:rsidR="00031667" w:rsidRDefault="00031667" w:rsidP="002C4EC5">
      <w:pPr>
        <w:spacing w:before="284" w:after="200" w:line="240" w:lineRule="auto"/>
        <w:ind w:left="2160" w:right="1440"/>
        <w:contextualSpacing/>
        <w:textAlignment w:val="baseline"/>
        <w:rPr>
          <w:b/>
          <w:color w:val="000000"/>
          <w:sz w:val="26"/>
          <w:szCs w:val="26"/>
        </w:rPr>
      </w:pPr>
    </w:p>
    <w:p w14:paraId="678B5E3E" w14:textId="0F138463" w:rsidR="00BE46C7" w:rsidRPr="00892425" w:rsidRDefault="00BE46C7" w:rsidP="002C4EC5">
      <w:pPr>
        <w:keepNext/>
        <w:keepLines/>
        <w:spacing w:before="284" w:after="200" w:line="240" w:lineRule="auto"/>
        <w:ind w:left="2160" w:right="1440"/>
        <w:contextualSpacing/>
        <w:textAlignment w:val="baseline"/>
        <w:rPr>
          <w:b/>
          <w:color w:val="000000"/>
          <w:sz w:val="26"/>
          <w:szCs w:val="26"/>
        </w:rPr>
      </w:pPr>
      <w:r w:rsidRPr="00892425">
        <w:rPr>
          <w:b/>
          <w:color w:val="000000"/>
          <w:sz w:val="26"/>
          <w:szCs w:val="26"/>
        </w:rPr>
        <w:lastRenderedPageBreak/>
        <w:t>H.</w:t>
      </w:r>
      <w:r w:rsidRPr="00892425">
        <w:rPr>
          <w:b/>
          <w:color w:val="000000"/>
          <w:sz w:val="26"/>
          <w:szCs w:val="26"/>
        </w:rPr>
        <w:tab/>
        <w:t>Revenue Requirement</w:t>
      </w:r>
    </w:p>
    <w:p w14:paraId="17432018" w14:textId="77777777" w:rsidR="00BE46C7" w:rsidRPr="00892425" w:rsidRDefault="00BE46C7" w:rsidP="002C4EC5">
      <w:pPr>
        <w:keepNext/>
        <w:keepLines/>
        <w:spacing w:before="235" w:after="200" w:line="240" w:lineRule="auto"/>
        <w:ind w:left="1440" w:right="1440"/>
        <w:contextualSpacing/>
        <w:textAlignment w:val="baseline"/>
        <w:rPr>
          <w:color w:val="000000"/>
          <w:sz w:val="26"/>
          <w:szCs w:val="26"/>
        </w:rPr>
      </w:pPr>
    </w:p>
    <w:p w14:paraId="68AB4E7B" w14:textId="48845FEE" w:rsidR="00BE46C7" w:rsidRDefault="00BE46C7" w:rsidP="002C4EC5">
      <w:pPr>
        <w:keepNext/>
        <w:keepLines/>
        <w:spacing w:before="235" w:after="200" w:line="240" w:lineRule="auto"/>
        <w:ind w:left="2880" w:right="1440"/>
        <w:contextualSpacing/>
        <w:textAlignment w:val="baseline"/>
        <w:rPr>
          <w:color w:val="000000"/>
          <w:sz w:val="26"/>
          <w:szCs w:val="26"/>
          <w:u w:val="single"/>
        </w:rPr>
      </w:pPr>
      <w:r w:rsidRPr="00892425">
        <w:rPr>
          <w:color w:val="000000"/>
          <w:sz w:val="26"/>
          <w:szCs w:val="26"/>
        </w:rPr>
        <w:t>(i)</w:t>
      </w:r>
      <w:r w:rsidRPr="00892425">
        <w:rPr>
          <w:color w:val="000000"/>
          <w:sz w:val="26"/>
          <w:szCs w:val="26"/>
        </w:rPr>
        <w:tab/>
      </w:r>
      <w:r w:rsidRPr="00892425">
        <w:rPr>
          <w:color w:val="000000"/>
          <w:sz w:val="26"/>
          <w:szCs w:val="26"/>
          <w:u w:val="single"/>
        </w:rPr>
        <w:t>Income Taxes</w:t>
      </w:r>
    </w:p>
    <w:p w14:paraId="1960FF0F" w14:textId="77777777" w:rsidR="00C07D0A" w:rsidRPr="00892425" w:rsidRDefault="00C07D0A" w:rsidP="002C4EC5">
      <w:pPr>
        <w:keepNext/>
        <w:keepLines/>
        <w:spacing w:before="235" w:after="200" w:line="240" w:lineRule="auto"/>
        <w:ind w:left="2880" w:right="1440"/>
        <w:contextualSpacing/>
        <w:textAlignment w:val="baseline"/>
        <w:rPr>
          <w:color w:val="000000"/>
          <w:sz w:val="26"/>
          <w:szCs w:val="26"/>
        </w:rPr>
      </w:pPr>
    </w:p>
    <w:p w14:paraId="0EEEBC59" w14:textId="3925B4DF" w:rsidR="00BE46C7" w:rsidRPr="00892425" w:rsidRDefault="00BE46C7" w:rsidP="002C4EC5">
      <w:pPr>
        <w:numPr>
          <w:ilvl w:val="0"/>
          <w:numId w:val="13"/>
        </w:numPr>
        <w:tabs>
          <w:tab w:val="left" w:pos="1512"/>
        </w:tabs>
        <w:spacing w:after="200" w:line="240" w:lineRule="auto"/>
        <w:ind w:left="1440" w:right="1440"/>
        <w:contextualSpacing/>
        <w:textAlignment w:val="baseline"/>
        <w:rPr>
          <w:i/>
          <w:color w:val="000000"/>
          <w:sz w:val="26"/>
          <w:szCs w:val="26"/>
        </w:rPr>
      </w:pPr>
      <w:r w:rsidRPr="00892425">
        <w:rPr>
          <w:i/>
          <w:color w:val="000000"/>
          <w:sz w:val="26"/>
          <w:szCs w:val="26"/>
        </w:rPr>
        <w:t>Tax Cuts and Jobs Act (“TCJA”)</w:t>
      </w:r>
      <w:r w:rsidRPr="00892425">
        <w:rPr>
          <w:color w:val="000000"/>
          <w:sz w:val="26"/>
          <w:szCs w:val="26"/>
        </w:rPr>
        <w:t xml:space="preserve">. </w:t>
      </w:r>
      <w:r w:rsidR="00C07D0A">
        <w:rPr>
          <w:color w:val="000000"/>
          <w:sz w:val="26"/>
          <w:szCs w:val="26"/>
        </w:rPr>
        <w:t xml:space="preserve"> </w:t>
      </w:r>
      <w:r w:rsidRPr="00892425">
        <w:rPr>
          <w:color w:val="000000"/>
          <w:sz w:val="26"/>
          <w:szCs w:val="26"/>
        </w:rPr>
        <w:t>The Joint Petitioners agree that the Settlement Rates fully account for the impacts of the TCJA and no further adjustments, refunds or credits are required.</w:t>
      </w:r>
    </w:p>
    <w:p w14:paraId="0CEF9399" w14:textId="77777777" w:rsidR="00BE46C7" w:rsidRPr="00892425" w:rsidRDefault="00BE46C7" w:rsidP="002C4EC5">
      <w:pPr>
        <w:tabs>
          <w:tab w:val="left" w:pos="1512"/>
        </w:tabs>
        <w:spacing w:after="200" w:line="240" w:lineRule="auto"/>
        <w:ind w:left="1440" w:right="1440"/>
        <w:contextualSpacing/>
        <w:textAlignment w:val="baseline"/>
        <w:rPr>
          <w:i/>
          <w:color w:val="000000"/>
          <w:sz w:val="26"/>
          <w:szCs w:val="26"/>
        </w:rPr>
      </w:pPr>
    </w:p>
    <w:p w14:paraId="77BC58E0" w14:textId="7698A15B" w:rsidR="00BE46C7" w:rsidRPr="00892425" w:rsidRDefault="00BE46C7" w:rsidP="002C4EC5">
      <w:pPr>
        <w:numPr>
          <w:ilvl w:val="0"/>
          <w:numId w:val="13"/>
        </w:numPr>
        <w:tabs>
          <w:tab w:val="left" w:pos="1512"/>
        </w:tabs>
        <w:spacing w:before="5" w:after="200" w:line="240" w:lineRule="auto"/>
        <w:ind w:left="1440" w:right="1440"/>
        <w:contextualSpacing/>
        <w:textAlignment w:val="baseline"/>
        <w:rPr>
          <w:i/>
          <w:color w:val="000000"/>
          <w:sz w:val="26"/>
          <w:szCs w:val="26"/>
        </w:rPr>
      </w:pPr>
      <w:r w:rsidRPr="00892425">
        <w:rPr>
          <w:i/>
          <w:color w:val="000000"/>
          <w:sz w:val="26"/>
          <w:szCs w:val="26"/>
        </w:rPr>
        <w:t>Excess Accumulated Deferred Income Taxes (“ADIT”)</w:t>
      </w:r>
      <w:r w:rsidRPr="00892425">
        <w:rPr>
          <w:color w:val="000000"/>
          <w:sz w:val="26"/>
          <w:szCs w:val="26"/>
        </w:rPr>
        <w:t xml:space="preserve">. </w:t>
      </w:r>
      <w:r w:rsidR="00C07D0A">
        <w:rPr>
          <w:color w:val="000000"/>
          <w:sz w:val="26"/>
          <w:szCs w:val="26"/>
        </w:rPr>
        <w:t xml:space="preserve"> </w:t>
      </w:r>
      <w:r w:rsidRPr="00892425">
        <w:rPr>
          <w:color w:val="000000"/>
          <w:sz w:val="26"/>
          <w:szCs w:val="26"/>
        </w:rPr>
        <w:t xml:space="preserve">The Joint Petitioners agree that the Settlement Rates reflect a reduction to rate base for the excess ADIT amount (regulatory liability) as of the end of the FPFTY. </w:t>
      </w:r>
      <w:r w:rsidR="00C8620C" w:rsidRPr="00892425">
        <w:rPr>
          <w:color w:val="000000"/>
          <w:sz w:val="26"/>
          <w:szCs w:val="26"/>
        </w:rPr>
        <w:t xml:space="preserve"> </w:t>
      </w:r>
      <w:r w:rsidRPr="00892425">
        <w:rPr>
          <w:color w:val="000000"/>
          <w:sz w:val="26"/>
          <w:szCs w:val="26"/>
        </w:rPr>
        <w:t xml:space="preserve">The Company agrees to continue such treatment in future base rate filings until the entire amount has been refunded in future years. </w:t>
      </w:r>
      <w:r w:rsidR="00C8620C" w:rsidRPr="00892425">
        <w:rPr>
          <w:color w:val="000000"/>
          <w:sz w:val="26"/>
          <w:szCs w:val="26"/>
        </w:rPr>
        <w:t xml:space="preserve"> </w:t>
      </w:r>
      <w:r w:rsidRPr="00892425">
        <w:rPr>
          <w:color w:val="000000"/>
          <w:sz w:val="26"/>
          <w:szCs w:val="26"/>
        </w:rPr>
        <w:t>The Company agrees to separate ADIT and excess ADIT into two different accounts in future base rate filings.</w:t>
      </w:r>
    </w:p>
    <w:p w14:paraId="06A4597C" w14:textId="77777777" w:rsidR="00C8620C" w:rsidRPr="00892425" w:rsidRDefault="00C8620C" w:rsidP="002C4EC5">
      <w:pPr>
        <w:tabs>
          <w:tab w:val="left" w:pos="1512"/>
        </w:tabs>
        <w:spacing w:before="5" w:after="200" w:line="240" w:lineRule="auto"/>
        <w:ind w:left="1440" w:right="1440"/>
        <w:contextualSpacing/>
        <w:textAlignment w:val="baseline"/>
        <w:rPr>
          <w:i/>
          <w:color w:val="000000"/>
          <w:sz w:val="26"/>
          <w:szCs w:val="26"/>
        </w:rPr>
      </w:pPr>
    </w:p>
    <w:p w14:paraId="0FAA9292" w14:textId="587311CC" w:rsidR="00BE46C7" w:rsidRPr="00892425" w:rsidRDefault="00BE46C7" w:rsidP="002C4EC5">
      <w:pPr>
        <w:numPr>
          <w:ilvl w:val="0"/>
          <w:numId w:val="13"/>
        </w:numPr>
        <w:tabs>
          <w:tab w:val="left" w:pos="1512"/>
        </w:tabs>
        <w:spacing w:after="1056" w:line="240" w:lineRule="auto"/>
        <w:ind w:left="1440" w:right="1440"/>
        <w:contextualSpacing/>
        <w:textAlignment w:val="baseline"/>
        <w:rPr>
          <w:i/>
          <w:color w:val="000000"/>
          <w:sz w:val="26"/>
          <w:szCs w:val="26"/>
        </w:rPr>
      </w:pPr>
      <w:r w:rsidRPr="00892425">
        <w:rPr>
          <w:i/>
          <w:color w:val="000000"/>
          <w:sz w:val="26"/>
          <w:szCs w:val="26"/>
        </w:rPr>
        <w:t>Tax Repairs Deductions</w:t>
      </w:r>
      <w:r w:rsidRPr="00892425">
        <w:rPr>
          <w:color w:val="000000"/>
          <w:sz w:val="26"/>
          <w:szCs w:val="26"/>
        </w:rPr>
        <w:t xml:space="preserve">. </w:t>
      </w:r>
      <w:r w:rsidR="00C07D0A">
        <w:rPr>
          <w:color w:val="000000"/>
          <w:sz w:val="26"/>
          <w:szCs w:val="26"/>
        </w:rPr>
        <w:t xml:space="preserve"> </w:t>
      </w:r>
      <w:r w:rsidRPr="00892425">
        <w:rPr>
          <w:color w:val="000000"/>
          <w:sz w:val="26"/>
          <w:szCs w:val="26"/>
        </w:rPr>
        <w:t>The Joint Petitioners agree that the revenue requirement incorporates a reduction to current state and Federal income tax expense based on net repairs deductions in the FPFTY of $154,514,546 for the water utility and $4,350,142 for the wastewater utility, for a total of $158,864,688.</w:t>
      </w:r>
    </w:p>
    <w:p w14:paraId="7A50E40C" w14:textId="5DFE18B1" w:rsidR="005E0E10" w:rsidRPr="00892425" w:rsidRDefault="005E0E10" w:rsidP="002C4EC5">
      <w:pPr>
        <w:spacing w:line="240" w:lineRule="auto"/>
        <w:ind w:left="1440" w:right="1440"/>
        <w:contextualSpacing/>
        <w:rPr>
          <w:sz w:val="26"/>
          <w:szCs w:val="26"/>
        </w:rPr>
      </w:pPr>
    </w:p>
    <w:p w14:paraId="256AD4F6" w14:textId="6C007842" w:rsidR="00F02B02" w:rsidRPr="00892425" w:rsidRDefault="00F02B02" w:rsidP="002C4EC5">
      <w:pPr>
        <w:numPr>
          <w:ilvl w:val="0"/>
          <w:numId w:val="14"/>
        </w:numPr>
        <w:tabs>
          <w:tab w:val="clear" w:pos="720"/>
        </w:tabs>
        <w:spacing w:before="10" w:after="200" w:line="240" w:lineRule="auto"/>
        <w:ind w:left="1440" w:right="1440" w:firstLine="720"/>
        <w:contextualSpacing/>
        <w:textAlignment w:val="baseline"/>
        <w:rPr>
          <w:color w:val="000000"/>
          <w:sz w:val="26"/>
          <w:szCs w:val="26"/>
        </w:rPr>
      </w:pPr>
      <w:r w:rsidRPr="00892425">
        <w:rPr>
          <w:color w:val="000000"/>
          <w:sz w:val="26"/>
          <w:szCs w:val="26"/>
        </w:rPr>
        <w:t>If the net repairs deductions for Aqua vary by more than $3 million above or below that $158,864,688 amount (i.e. below $155,864,688 or above $161,864,688), Aqua will record a regulatory liability or asset for the related income tax expense impacts of the repairs deduction variations below or above $158,864,688.</w:t>
      </w:r>
    </w:p>
    <w:p w14:paraId="69127296" w14:textId="77777777" w:rsidR="00F02B02" w:rsidRPr="00892425" w:rsidRDefault="00F02B02" w:rsidP="002C4EC5">
      <w:pPr>
        <w:tabs>
          <w:tab w:val="left" w:pos="2304"/>
        </w:tabs>
        <w:spacing w:before="10" w:after="200" w:line="240" w:lineRule="auto"/>
        <w:ind w:left="1440" w:right="1440" w:firstLine="720"/>
        <w:contextualSpacing/>
        <w:textAlignment w:val="baseline"/>
        <w:rPr>
          <w:color w:val="000000"/>
          <w:sz w:val="26"/>
          <w:szCs w:val="26"/>
        </w:rPr>
      </w:pPr>
    </w:p>
    <w:p w14:paraId="0E78B225" w14:textId="2DC8F914" w:rsidR="00F02B02" w:rsidRPr="00892425" w:rsidRDefault="00F02B02" w:rsidP="002C4EC5">
      <w:pPr>
        <w:numPr>
          <w:ilvl w:val="0"/>
          <w:numId w:val="14"/>
        </w:numPr>
        <w:tabs>
          <w:tab w:val="clear" w:pos="720"/>
        </w:tabs>
        <w:spacing w:before="5" w:after="200" w:line="240" w:lineRule="auto"/>
        <w:ind w:left="1440" w:right="1440" w:firstLine="720"/>
        <w:contextualSpacing/>
        <w:textAlignment w:val="baseline"/>
        <w:rPr>
          <w:color w:val="000000"/>
          <w:spacing w:val="-1"/>
          <w:sz w:val="26"/>
          <w:szCs w:val="26"/>
        </w:rPr>
      </w:pPr>
      <w:r w:rsidRPr="00892425">
        <w:rPr>
          <w:color w:val="000000"/>
          <w:spacing w:val="-1"/>
          <w:sz w:val="26"/>
          <w:szCs w:val="26"/>
        </w:rPr>
        <w:t xml:space="preserve">Aqua shall report on the regulatory asset or liability amounts of the net repairs deduction income tax impacts in its quarterly earnings reports after the conclusion of the FPFTY. </w:t>
      </w:r>
      <w:r w:rsidR="00C8620C" w:rsidRPr="00892425">
        <w:rPr>
          <w:color w:val="000000"/>
          <w:spacing w:val="-1"/>
          <w:sz w:val="26"/>
          <w:szCs w:val="26"/>
        </w:rPr>
        <w:t xml:space="preserve"> </w:t>
      </w:r>
      <w:r w:rsidRPr="00892425">
        <w:rPr>
          <w:color w:val="000000"/>
          <w:spacing w:val="-1"/>
          <w:sz w:val="26"/>
          <w:szCs w:val="26"/>
        </w:rPr>
        <w:t>Within 30 days of reporting a regulatory liability with a net cumulative income tax impact amount of $10 million or larger, Aqua shall file with the Commission and shall copy OCA, I&amp;E, and OSBA, a plan for refunding the regulatory liability amount to customers.</w:t>
      </w:r>
    </w:p>
    <w:p w14:paraId="6425F0DB" w14:textId="77777777" w:rsidR="00F02B02" w:rsidRPr="00892425" w:rsidRDefault="00F02B02" w:rsidP="002C4EC5">
      <w:pPr>
        <w:tabs>
          <w:tab w:val="left" w:pos="2304"/>
        </w:tabs>
        <w:spacing w:before="5" w:after="200" w:line="240" w:lineRule="auto"/>
        <w:ind w:left="1440" w:right="1440" w:firstLine="720"/>
        <w:contextualSpacing/>
        <w:textAlignment w:val="baseline"/>
        <w:rPr>
          <w:color w:val="000000"/>
          <w:spacing w:val="-1"/>
          <w:sz w:val="26"/>
          <w:szCs w:val="26"/>
        </w:rPr>
      </w:pPr>
    </w:p>
    <w:p w14:paraId="4756E193" w14:textId="1E95E870" w:rsidR="00F02B02" w:rsidRPr="00892425" w:rsidRDefault="00F02B02" w:rsidP="002C4EC5">
      <w:pPr>
        <w:numPr>
          <w:ilvl w:val="0"/>
          <w:numId w:val="14"/>
        </w:numPr>
        <w:tabs>
          <w:tab w:val="clear" w:pos="720"/>
        </w:tabs>
        <w:spacing w:before="3" w:after="200" w:line="240" w:lineRule="auto"/>
        <w:ind w:left="1440" w:right="1440" w:firstLine="720"/>
        <w:contextualSpacing/>
        <w:textAlignment w:val="baseline"/>
        <w:rPr>
          <w:color w:val="000000"/>
          <w:sz w:val="26"/>
          <w:szCs w:val="26"/>
        </w:rPr>
      </w:pPr>
      <w:r w:rsidRPr="00892425">
        <w:rPr>
          <w:color w:val="000000"/>
          <w:sz w:val="26"/>
          <w:szCs w:val="26"/>
        </w:rPr>
        <w:t xml:space="preserve">If there are remaining deferrals of the differences in income tax expense for Aqua’s net repairs </w:t>
      </w:r>
      <w:r w:rsidRPr="00892425">
        <w:rPr>
          <w:color w:val="000000"/>
          <w:sz w:val="26"/>
          <w:szCs w:val="26"/>
        </w:rPr>
        <w:lastRenderedPageBreak/>
        <w:t>deductions, that balance shall be addressed in Aqua’s next base rate case based on the recorded regulatory asset and liability amounts.</w:t>
      </w:r>
    </w:p>
    <w:p w14:paraId="7802D339" w14:textId="77777777" w:rsidR="00F02B02" w:rsidRPr="00892425" w:rsidRDefault="00F02B02" w:rsidP="002C4EC5">
      <w:pPr>
        <w:spacing w:before="3" w:after="200" w:line="240" w:lineRule="auto"/>
        <w:ind w:left="1440" w:right="1440" w:firstLine="720"/>
        <w:contextualSpacing/>
        <w:textAlignment w:val="baseline"/>
        <w:rPr>
          <w:color w:val="000000"/>
          <w:sz w:val="26"/>
          <w:szCs w:val="26"/>
        </w:rPr>
      </w:pPr>
    </w:p>
    <w:p w14:paraId="6B189DB7" w14:textId="1F6E16F0" w:rsidR="00F02B02" w:rsidRPr="00892425" w:rsidRDefault="00F02B02" w:rsidP="002C4EC5">
      <w:pPr>
        <w:numPr>
          <w:ilvl w:val="0"/>
          <w:numId w:val="14"/>
        </w:numPr>
        <w:tabs>
          <w:tab w:val="clear" w:pos="720"/>
        </w:tabs>
        <w:spacing w:before="8" w:after="200" w:line="240" w:lineRule="auto"/>
        <w:ind w:left="1440" w:right="1440" w:firstLine="720"/>
        <w:contextualSpacing/>
        <w:textAlignment w:val="baseline"/>
        <w:rPr>
          <w:color w:val="000000"/>
          <w:spacing w:val="-1"/>
          <w:sz w:val="26"/>
          <w:szCs w:val="26"/>
        </w:rPr>
      </w:pPr>
      <w:r w:rsidRPr="00892425">
        <w:rPr>
          <w:color w:val="000000"/>
          <w:spacing w:val="-1"/>
          <w:sz w:val="26"/>
          <w:szCs w:val="26"/>
        </w:rPr>
        <w:t>Whether similar recording of the impact on current income tax expense from net repairs deduction variations above or below a collar in a regulatory liability or asset account should continue shall also be re-evaluated in Aqua's next base rate case.</w:t>
      </w:r>
    </w:p>
    <w:p w14:paraId="5D72B7F2" w14:textId="77777777" w:rsidR="00F02B02" w:rsidRPr="00892425" w:rsidRDefault="00F02B02" w:rsidP="002C4EC5">
      <w:pPr>
        <w:spacing w:before="8" w:after="200" w:line="240" w:lineRule="auto"/>
        <w:ind w:left="2160" w:right="1440"/>
        <w:contextualSpacing/>
        <w:textAlignment w:val="baseline"/>
        <w:rPr>
          <w:color w:val="000000"/>
          <w:spacing w:val="-1"/>
          <w:sz w:val="26"/>
          <w:szCs w:val="26"/>
        </w:rPr>
      </w:pPr>
    </w:p>
    <w:p w14:paraId="04F74354" w14:textId="2182DC97" w:rsidR="00C07D0A" w:rsidRDefault="00F02B02" w:rsidP="002C4EC5">
      <w:pPr>
        <w:spacing w:before="279" w:after="200" w:line="240" w:lineRule="auto"/>
        <w:ind w:left="1440" w:right="1440"/>
        <w:contextualSpacing/>
        <w:jc w:val="center"/>
        <w:textAlignment w:val="baseline"/>
        <w:rPr>
          <w:color w:val="000000"/>
          <w:sz w:val="26"/>
          <w:szCs w:val="26"/>
          <w:u w:val="single"/>
        </w:rPr>
      </w:pPr>
      <w:r w:rsidRPr="00892425">
        <w:rPr>
          <w:color w:val="000000"/>
          <w:sz w:val="26"/>
          <w:szCs w:val="26"/>
        </w:rPr>
        <w:t>(ii)</w:t>
      </w:r>
      <w:r w:rsidR="00247A11" w:rsidRPr="00892425">
        <w:rPr>
          <w:color w:val="000000"/>
          <w:sz w:val="26"/>
          <w:szCs w:val="26"/>
        </w:rPr>
        <w:tab/>
      </w:r>
      <w:r w:rsidRPr="00892425">
        <w:rPr>
          <w:color w:val="000000"/>
          <w:sz w:val="26"/>
          <w:szCs w:val="26"/>
          <w:u w:val="single"/>
        </w:rPr>
        <w:t>Acquisition Adjustments</w:t>
      </w:r>
    </w:p>
    <w:p w14:paraId="345544D4" w14:textId="77777777" w:rsidR="00C07D0A" w:rsidRPr="00C07D0A" w:rsidRDefault="00C07D0A" w:rsidP="002C4EC5">
      <w:pPr>
        <w:spacing w:before="279" w:after="200" w:line="240" w:lineRule="auto"/>
        <w:ind w:left="1440" w:right="1440"/>
        <w:contextualSpacing/>
        <w:jc w:val="center"/>
        <w:textAlignment w:val="baseline"/>
        <w:rPr>
          <w:color w:val="000000"/>
          <w:sz w:val="26"/>
          <w:szCs w:val="26"/>
          <w:u w:val="single"/>
        </w:rPr>
      </w:pPr>
    </w:p>
    <w:p w14:paraId="5B51AC64" w14:textId="77777777" w:rsidR="00F02B02" w:rsidRPr="00892425" w:rsidRDefault="00F02B02" w:rsidP="002C4EC5">
      <w:pPr>
        <w:tabs>
          <w:tab w:val="left" w:pos="1512"/>
        </w:tabs>
        <w:spacing w:after="200" w:line="240" w:lineRule="auto"/>
        <w:ind w:left="1440" w:right="1440"/>
        <w:contextualSpacing/>
        <w:textAlignment w:val="baseline"/>
        <w:rPr>
          <w:color w:val="000000"/>
          <w:sz w:val="26"/>
          <w:szCs w:val="26"/>
        </w:rPr>
      </w:pPr>
      <w:r w:rsidRPr="00892425">
        <w:rPr>
          <w:color w:val="000000"/>
          <w:sz w:val="26"/>
          <w:szCs w:val="26"/>
        </w:rPr>
        <w:t>31.</w:t>
      </w:r>
      <w:r w:rsidRPr="00892425">
        <w:rPr>
          <w:color w:val="000000"/>
          <w:sz w:val="26"/>
          <w:szCs w:val="26"/>
        </w:rPr>
        <w:tab/>
        <w:t>The Joint Petitioners agree that this Settlement does not include, and they will not propose, in any future proceeding, to include in rate base or any corresponding amortization expense related to the positive acquisition adjustments for the following water and wastewater acquisitions:</w:t>
      </w:r>
    </w:p>
    <w:p w14:paraId="78061C68" w14:textId="1507B90D" w:rsidR="00BE46C7" w:rsidRPr="00892425" w:rsidRDefault="00BE46C7" w:rsidP="002C4EC5">
      <w:pPr>
        <w:spacing w:line="240" w:lineRule="auto"/>
        <w:ind w:firstLine="1440"/>
        <w:contextualSpacing/>
        <w:rPr>
          <w:sz w:val="26"/>
          <w:szCs w:val="26"/>
        </w:rPr>
      </w:pPr>
    </w:p>
    <w:p w14:paraId="6452DE0B" w14:textId="6D20277E" w:rsidR="00F02B02" w:rsidRPr="00892425" w:rsidRDefault="00F02B02" w:rsidP="002C4EC5">
      <w:pPr>
        <w:spacing w:line="240" w:lineRule="auto"/>
        <w:ind w:left="2160"/>
        <w:contextualSpacing/>
        <w:rPr>
          <w:b/>
          <w:sz w:val="26"/>
          <w:szCs w:val="26"/>
          <w:u w:val="single"/>
        </w:rPr>
      </w:pPr>
      <w:r w:rsidRPr="00892425">
        <w:rPr>
          <w:b/>
          <w:sz w:val="26"/>
          <w:szCs w:val="26"/>
          <w:u w:val="single"/>
        </w:rPr>
        <w:t>Water:</w:t>
      </w:r>
    </w:p>
    <w:p w14:paraId="0597F48E" w14:textId="6219E4BA" w:rsidR="00F02B02" w:rsidRPr="00892425" w:rsidRDefault="00F02B02" w:rsidP="002C4EC5">
      <w:pPr>
        <w:spacing w:line="240" w:lineRule="auto"/>
        <w:ind w:left="2160"/>
        <w:contextualSpacing/>
        <w:rPr>
          <w:sz w:val="26"/>
          <w:szCs w:val="26"/>
        </w:rPr>
      </w:pPr>
      <w:r w:rsidRPr="00892425">
        <w:rPr>
          <w:sz w:val="26"/>
          <w:szCs w:val="26"/>
        </w:rPr>
        <w:t>Mifflin Township</w:t>
      </w:r>
    </w:p>
    <w:p w14:paraId="166899ED" w14:textId="6F598F04" w:rsidR="00F02B02" w:rsidRPr="00892425" w:rsidRDefault="00F02B02" w:rsidP="002C4EC5">
      <w:pPr>
        <w:spacing w:line="240" w:lineRule="auto"/>
        <w:ind w:left="2160"/>
        <w:contextualSpacing/>
        <w:rPr>
          <w:sz w:val="26"/>
          <w:szCs w:val="26"/>
        </w:rPr>
      </w:pPr>
      <w:r w:rsidRPr="00892425">
        <w:rPr>
          <w:sz w:val="26"/>
          <w:szCs w:val="26"/>
        </w:rPr>
        <w:t>Beech Mountain</w:t>
      </w:r>
    </w:p>
    <w:p w14:paraId="59D06CE2" w14:textId="2B6A1E06" w:rsidR="00F02B02" w:rsidRPr="00892425" w:rsidRDefault="00F02B02" w:rsidP="002C4EC5">
      <w:pPr>
        <w:spacing w:line="240" w:lineRule="auto"/>
        <w:ind w:left="2160"/>
        <w:contextualSpacing/>
        <w:rPr>
          <w:sz w:val="26"/>
          <w:szCs w:val="26"/>
        </w:rPr>
      </w:pPr>
      <w:r w:rsidRPr="00892425">
        <w:rPr>
          <w:sz w:val="26"/>
          <w:szCs w:val="26"/>
        </w:rPr>
        <w:t>Sand Springs</w:t>
      </w:r>
    </w:p>
    <w:p w14:paraId="210E8341" w14:textId="198248DA" w:rsidR="00F02B02" w:rsidRPr="00892425" w:rsidRDefault="00F02B02" w:rsidP="002C4EC5">
      <w:pPr>
        <w:spacing w:line="240" w:lineRule="auto"/>
        <w:ind w:left="2160"/>
        <w:contextualSpacing/>
        <w:rPr>
          <w:sz w:val="26"/>
          <w:szCs w:val="26"/>
        </w:rPr>
      </w:pPr>
      <w:r w:rsidRPr="00892425">
        <w:rPr>
          <w:sz w:val="26"/>
          <w:szCs w:val="26"/>
        </w:rPr>
        <w:t>Concord Park</w:t>
      </w:r>
    </w:p>
    <w:p w14:paraId="1B3CA231" w14:textId="5DC429F2" w:rsidR="00BE46C7" w:rsidRPr="00892425" w:rsidRDefault="00BE46C7" w:rsidP="002C4EC5">
      <w:pPr>
        <w:spacing w:line="240" w:lineRule="auto"/>
        <w:ind w:left="2160"/>
        <w:contextualSpacing/>
        <w:rPr>
          <w:sz w:val="26"/>
          <w:szCs w:val="26"/>
        </w:rPr>
      </w:pPr>
    </w:p>
    <w:p w14:paraId="498A030D" w14:textId="620671DA" w:rsidR="00F02B02" w:rsidRPr="00892425" w:rsidRDefault="00F02B02" w:rsidP="002C4EC5">
      <w:pPr>
        <w:keepNext/>
        <w:keepLines/>
        <w:spacing w:line="240" w:lineRule="auto"/>
        <w:ind w:left="2160"/>
        <w:contextualSpacing/>
        <w:rPr>
          <w:b/>
          <w:sz w:val="26"/>
          <w:szCs w:val="26"/>
          <w:u w:val="single"/>
        </w:rPr>
      </w:pPr>
      <w:r w:rsidRPr="00892425">
        <w:rPr>
          <w:b/>
          <w:sz w:val="26"/>
          <w:szCs w:val="26"/>
          <w:u w:val="single"/>
        </w:rPr>
        <w:t>Wastewater:</w:t>
      </w:r>
    </w:p>
    <w:p w14:paraId="2C4A97A8" w14:textId="52BF82DE" w:rsidR="00F02B02" w:rsidRPr="00892425" w:rsidRDefault="00F02B02" w:rsidP="002C4EC5">
      <w:pPr>
        <w:keepNext/>
        <w:keepLines/>
        <w:spacing w:line="240" w:lineRule="auto"/>
        <w:ind w:left="2160"/>
        <w:contextualSpacing/>
        <w:rPr>
          <w:sz w:val="26"/>
          <w:szCs w:val="26"/>
        </w:rPr>
      </w:pPr>
      <w:r w:rsidRPr="00892425">
        <w:rPr>
          <w:sz w:val="26"/>
          <w:szCs w:val="26"/>
        </w:rPr>
        <w:t>Township of Tobyhanna</w:t>
      </w:r>
    </w:p>
    <w:p w14:paraId="24A96A6D" w14:textId="180C4EF9" w:rsidR="00F02B02" w:rsidRPr="00892425" w:rsidRDefault="00F02B02" w:rsidP="002C4EC5">
      <w:pPr>
        <w:spacing w:line="240" w:lineRule="auto"/>
        <w:ind w:left="2160"/>
        <w:contextualSpacing/>
        <w:rPr>
          <w:sz w:val="26"/>
          <w:szCs w:val="26"/>
        </w:rPr>
      </w:pPr>
    </w:p>
    <w:p w14:paraId="7F533BA7" w14:textId="4985F2AF" w:rsidR="00F02B02" w:rsidRPr="00892425" w:rsidRDefault="00F02B02" w:rsidP="002C4EC5">
      <w:pPr>
        <w:spacing w:before="555" w:after="127" w:line="240" w:lineRule="auto"/>
        <w:ind w:left="1440"/>
        <w:contextualSpacing/>
        <w:textAlignment w:val="baseline"/>
        <w:rPr>
          <w:color w:val="000000"/>
          <w:sz w:val="26"/>
          <w:szCs w:val="26"/>
        </w:rPr>
      </w:pPr>
      <w:r w:rsidRPr="00892425">
        <w:rPr>
          <w:color w:val="000000"/>
          <w:sz w:val="26"/>
          <w:szCs w:val="26"/>
        </w:rPr>
        <w:t>32.</w:t>
      </w:r>
      <w:r w:rsidRPr="00892425">
        <w:rPr>
          <w:color w:val="000000"/>
          <w:sz w:val="26"/>
          <w:szCs w:val="26"/>
        </w:rPr>
        <w:tab/>
        <w:t>The Joint Petitioners agree that the Settlement Rates reflect the amortizations of positive and negative acquisition adjustments set forth below.</w:t>
      </w:r>
    </w:p>
    <w:p w14:paraId="2B3E7582" w14:textId="5C9266EA" w:rsidR="00F02B02" w:rsidRDefault="00F02B02" w:rsidP="002C4EC5">
      <w:pPr>
        <w:ind w:firstLine="1440"/>
        <w:contextualSpacing/>
        <w:rPr>
          <w:sz w:val="26"/>
          <w:szCs w:val="26"/>
        </w:rPr>
      </w:pPr>
    </w:p>
    <w:p w14:paraId="77830030" w14:textId="4F9B2BB1" w:rsidR="00C07D0A" w:rsidRDefault="00C07D0A" w:rsidP="00B4735A">
      <w:pPr>
        <w:ind w:firstLine="1440"/>
        <w:contextualSpacing/>
        <w:rPr>
          <w:sz w:val="26"/>
          <w:szCs w:val="26"/>
        </w:rPr>
      </w:pPr>
      <w:r>
        <w:rPr>
          <w:noProof/>
        </w:rPr>
        <w:drawing>
          <wp:inline distT="0" distB="0" distL="0" distR="0" wp14:anchorId="06686F5D" wp14:editId="23AD5019">
            <wp:extent cx="4710989" cy="193704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7674" cy="1964462"/>
                    </a:xfrm>
                    <a:prstGeom prst="rect">
                      <a:avLst/>
                    </a:prstGeom>
                  </pic:spPr>
                </pic:pic>
              </a:graphicData>
            </a:graphic>
          </wp:inline>
        </w:drawing>
      </w:r>
    </w:p>
    <w:p w14:paraId="34398F6F" w14:textId="5FBC3F3E" w:rsidR="00C07D0A" w:rsidRPr="00892425" w:rsidRDefault="003A49E6" w:rsidP="002C4EC5">
      <w:pPr>
        <w:ind w:firstLine="1440"/>
        <w:contextualSpacing/>
        <w:rPr>
          <w:sz w:val="26"/>
          <w:szCs w:val="26"/>
        </w:rPr>
      </w:pPr>
      <w:r>
        <w:rPr>
          <w:noProof/>
        </w:rPr>
        <w:lastRenderedPageBreak/>
        <w:drawing>
          <wp:inline distT="0" distB="0" distL="0" distR="0" wp14:anchorId="6BD90550" wp14:editId="2AD8C85B">
            <wp:extent cx="3975537" cy="242864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1417" cy="2456674"/>
                    </a:xfrm>
                    <a:prstGeom prst="rect">
                      <a:avLst/>
                    </a:prstGeom>
                  </pic:spPr>
                </pic:pic>
              </a:graphicData>
            </a:graphic>
          </wp:inline>
        </w:drawing>
      </w:r>
    </w:p>
    <w:p w14:paraId="329B91F9" w14:textId="153BBB33" w:rsidR="00F02B02" w:rsidRPr="00892425" w:rsidRDefault="00F02B02" w:rsidP="002C4EC5">
      <w:pPr>
        <w:ind w:firstLine="1440"/>
        <w:contextualSpacing/>
        <w:rPr>
          <w:sz w:val="26"/>
          <w:szCs w:val="26"/>
        </w:rPr>
      </w:pPr>
    </w:p>
    <w:p w14:paraId="6372CDA6" w14:textId="77777777" w:rsidR="00247A11" w:rsidRPr="00892425" w:rsidRDefault="00247A11" w:rsidP="002C4EC5">
      <w:pPr>
        <w:keepNext/>
        <w:keepLines/>
        <w:spacing w:before="15" w:after="200" w:line="240" w:lineRule="auto"/>
        <w:ind w:left="2880" w:right="1440" w:hanging="720"/>
        <w:contextualSpacing/>
        <w:textAlignment w:val="baseline"/>
        <w:rPr>
          <w:b/>
          <w:color w:val="000000"/>
          <w:sz w:val="26"/>
          <w:szCs w:val="26"/>
        </w:rPr>
      </w:pPr>
      <w:r w:rsidRPr="00892425">
        <w:rPr>
          <w:b/>
          <w:color w:val="000000"/>
          <w:sz w:val="26"/>
          <w:szCs w:val="26"/>
        </w:rPr>
        <w:t>I.</w:t>
      </w:r>
      <w:r w:rsidRPr="00892425">
        <w:rPr>
          <w:b/>
          <w:color w:val="000000"/>
          <w:sz w:val="26"/>
          <w:szCs w:val="26"/>
        </w:rPr>
        <w:tab/>
        <w:t>Cost Allocation And Rate Design</w:t>
      </w:r>
    </w:p>
    <w:p w14:paraId="7E980A03" w14:textId="77777777" w:rsidR="00247A11" w:rsidRPr="00892425" w:rsidRDefault="00247A11" w:rsidP="002C4EC5">
      <w:pPr>
        <w:keepNext/>
        <w:keepLines/>
        <w:spacing w:before="235" w:after="200" w:line="240" w:lineRule="auto"/>
        <w:ind w:left="2880"/>
        <w:contextualSpacing/>
        <w:textAlignment w:val="baseline"/>
        <w:rPr>
          <w:color w:val="000000"/>
          <w:spacing w:val="1"/>
          <w:sz w:val="26"/>
          <w:szCs w:val="26"/>
        </w:rPr>
      </w:pPr>
    </w:p>
    <w:p w14:paraId="46483BD6" w14:textId="4186EA88" w:rsidR="00247A11" w:rsidRDefault="00247A11" w:rsidP="002C4EC5">
      <w:pPr>
        <w:keepNext/>
        <w:keepLines/>
        <w:spacing w:before="235" w:after="200" w:line="240" w:lineRule="auto"/>
        <w:ind w:left="2880"/>
        <w:contextualSpacing/>
        <w:textAlignment w:val="baseline"/>
        <w:rPr>
          <w:color w:val="000000"/>
          <w:spacing w:val="1"/>
          <w:sz w:val="26"/>
          <w:szCs w:val="26"/>
        </w:rPr>
      </w:pPr>
      <w:r w:rsidRPr="00892425">
        <w:rPr>
          <w:color w:val="000000"/>
          <w:spacing w:val="1"/>
          <w:sz w:val="26"/>
          <w:szCs w:val="26"/>
        </w:rPr>
        <w:t>(i)</w:t>
      </w:r>
      <w:r w:rsidRPr="00892425">
        <w:rPr>
          <w:color w:val="000000"/>
          <w:spacing w:val="1"/>
          <w:sz w:val="26"/>
          <w:szCs w:val="26"/>
        </w:rPr>
        <w:tab/>
      </w:r>
      <w:r w:rsidRPr="00892425">
        <w:rPr>
          <w:color w:val="000000"/>
          <w:spacing w:val="1"/>
          <w:sz w:val="26"/>
          <w:szCs w:val="26"/>
          <w:u w:val="single"/>
        </w:rPr>
        <w:t>Water</w:t>
      </w:r>
      <w:r w:rsidRPr="00892425">
        <w:rPr>
          <w:color w:val="000000"/>
          <w:spacing w:val="1"/>
          <w:sz w:val="26"/>
          <w:szCs w:val="26"/>
        </w:rPr>
        <w:t xml:space="preserve"> </w:t>
      </w:r>
    </w:p>
    <w:p w14:paraId="6FE03AB2" w14:textId="77777777" w:rsidR="003A49E6" w:rsidRPr="00892425" w:rsidRDefault="003A49E6" w:rsidP="002C4EC5">
      <w:pPr>
        <w:keepNext/>
        <w:keepLines/>
        <w:spacing w:before="235" w:after="200" w:line="240" w:lineRule="auto"/>
        <w:ind w:left="2880"/>
        <w:contextualSpacing/>
        <w:textAlignment w:val="baseline"/>
        <w:rPr>
          <w:color w:val="000000"/>
          <w:spacing w:val="1"/>
          <w:sz w:val="26"/>
          <w:szCs w:val="26"/>
        </w:rPr>
      </w:pPr>
    </w:p>
    <w:p w14:paraId="2BCA013E" w14:textId="03DFBEE2" w:rsidR="00247A11" w:rsidRPr="00892425" w:rsidRDefault="00247A11" w:rsidP="002C4EC5">
      <w:pPr>
        <w:spacing w:before="246" w:after="200" w:line="240" w:lineRule="auto"/>
        <w:ind w:left="1440" w:right="1440"/>
        <w:contextualSpacing/>
        <w:textAlignment w:val="baseline"/>
        <w:rPr>
          <w:color w:val="000000"/>
          <w:sz w:val="26"/>
          <w:szCs w:val="26"/>
        </w:rPr>
      </w:pPr>
      <w:r w:rsidRPr="00892425">
        <w:rPr>
          <w:color w:val="000000"/>
          <w:sz w:val="26"/>
          <w:szCs w:val="26"/>
        </w:rPr>
        <w:t>33.</w:t>
      </w:r>
      <w:r w:rsidRPr="00892425">
        <w:rPr>
          <w:color w:val="000000"/>
          <w:sz w:val="26"/>
          <w:szCs w:val="26"/>
        </w:rPr>
        <w:tab/>
        <w:t xml:space="preserve">The Settlement Rates set forth in Appendix A reflect the Joint </w:t>
      </w:r>
      <w:r w:rsidR="00E65154" w:rsidRPr="00892425">
        <w:rPr>
          <w:color w:val="000000"/>
          <w:sz w:val="26"/>
          <w:szCs w:val="26"/>
        </w:rPr>
        <w:t>Petitioners’ agreement</w:t>
      </w:r>
      <w:r w:rsidRPr="00892425">
        <w:rPr>
          <w:color w:val="000000"/>
          <w:sz w:val="26"/>
          <w:szCs w:val="26"/>
        </w:rPr>
        <w:t xml:space="preserve"> with regard to water rate structure, rate design and the distribution of the increase in revenues in this case, as follows:</w:t>
      </w:r>
      <w:r w:rsidR="003A49E6" w:rsidRPr="003A49E6">
        <w:rPr>
          <w:color w:val="000000"/>
          <w:sz w:val="26"/>
          <w:szCs w:val="26"/>
          <w:vertAlign w:val="superscript"/>
        </w:rPr>
        <w:t>6</w:t>
      </w:r>
    </w:p>
    <w:p w14:paraId="5FD6A335" w14:textId="77777777" w:rsidR="009535C3" w:rsidRPr="00892425" w:rsidRDefault="009535C3" w:rsidP="002C4EC5">
      <w:pPr>
        <w:spacing w:after="200" w:line="240" w:lineRule="auto"/>
        <w:ind w:left="1440" w:right="1440"/>
        <w:contextualSpacing/>
        <w:textAlignment w:val="baseline"/>
        <w:rPr>
          <w:color w:val="000000"/>
          <w:sz w:val="26"/>
          <w:szCs w:val="26"/>
        </w:rPr>
      </w:pPr>
    </w:p>
    <w:p w14:paraId="7F9E7AD7" w14:textId="48401606" w:rsidR="00247A11" w:rsidRPr="00892425" w:rsidRDefault="00247A11" w:rsidP="002C4EC5">
      <w:pPr>
        <w:numPr>
          <w:ilvl w:val="0"/>
          <w:numId w:val="15"/>
        </w:numPr>
        <w:tabs>
          <w:tab w:val="clear" w:pos="720"/>
        </w:tabs>
        <w:spacing w:before="12" w:after="200" w:line="240" w:lineRule="auto"/>
        <w:ind w:left="1440" w:right="1440" w:firstLine="720"/>
        <w:contextualSpacing/>
        <w:textAlignment w:val="baseline"/>
        <w:rPr>
          <w:color w:val="000000"/>
          <w:sz w:val="26"/>
          <w:szCs w:val="26"/>
        </w:rPr>
      </w:pPr>
      <w:r w:rsidRPr="00892425">
        <w:rPr>
          <w:color w:val="000000"/>
          <w:sz w:val="26"/>
          <w:szCs w:val="26"/>
        </w:rPr>
        <w:t>Under the Settlement Rates, the Main Division 5/8-inch customer charge for all customer classes will be $18.00 per month in lieu of the $18.50 customer charge proposed by the Company.  The same percentage increase as that for 5/8-inch meter customer charge will be applied to the customer charges for all other meter sizes in the Main Division.</w:t>
      </w:r>
    </w:p>
    <w:p w14:paraId="5D99CFDA" w14:textId="77777777" w:rsidR="009535C3" w:rsidRPr="00892425" w:rsidRDefault="009535C3" w:rsidP="002C4EC5">
      <w:pPr>
        <w:tabs>
          <w:tab w:val="left" w:pos="2304"/>
        </w:tabs>
        <w:spacing w:before="12" w:after="200" w:line="240" w:lineRule="auto"/>
        <w:ind w:left="1440" w:right="1440"/>
        <w:contextualSpacing/>
        <w:textAlignment w:val="baseline"/>
        <w:rPr>
          <w:color w:val="000000"/>
          <w:sz w:val="26"/>
          <w:szCs w:val="26"/>
        </w:rPr>
      </w:pPr>
    </w:p>
    <w:p w14:paraId="7DDB89B4" w14:textId="09BDFB6F" w:rsidR="00247A11" w:rsidRPr="00892425" w:rsidRDefault="00247A11" w:rsidP="002C4EC5">
      <w:pPr>
        <w:numPr>
          <w:ilvl w:val="0"/>
          <w:numId w:val="15"/>
        </w:numPr>
        <w:tabs>
          <w:tab w:val="clear" w:pos="720"/>
        </w:tabs>
        <w:spacing w:before="11" w:after="1325" w:line="240" w:lineRule="auto"/>
        <w:ind w:left="1440" w:right="1440" w:firstLine="720"/>
        <w:contextualSpacing/>
        <w:textAlignment w:val="baseline"/>
        <w:rPr>
          <w:color w:val="000000"/>
          <w:sz w:val="26"/>
          <w:szCs w:val="26"/>
        </w:rPr>
      </w:pPr>
      <w:r w:rsidRPr="00892425">
        <w:rPr>
          <w:color w:val="000000"/>
          <w:sz w:val="26"/>
          <w:szCs w:val="26"/>
        </w:rPr>
        <w:t xml:space="preserve">Under existing rates, Aqua has a total of 22 water rate divisions. </w:t>
      </w:r>
      <w:r w:rsidR="003A49E6">
        <w:rPr>
          <w:color w:val="000000"/>
          <w:sz w:val="26"/>
          <w:szCs w:val="26"/>
        </w:rPr>
        <w:t xml:space="preserve"> </w:t>
      </w:r>
      <w:r w:rsidRPr="00892425">
        <w:rPr>
          <w:color w:val="000000"/>
          <w:sz w:val="26"/>
          <w:szCs w:val="26"/>
        </w:rPr>
        <w:t xml:space="preserve">Under the Settlement Rates, various existing rate divisions will be consolidated and, as a result, there will be a total of 14 rate divisions.  Twelve of the rate divisions are grouped into three rate zones (Rate Zones 1-3) based on the similarity of their rate structure and rate design, while Bunker Hill and Sun Valley are displayed separately because they are dissimilar from those divisions grouped into Rate Zones 1-3.  The existing rate divisions and the corresponding rate divisions that will exist under the Settlement Rates are set forth on page 1 of Schedule 2 of the </w:t>
      </w:r>
      <w:r w:rsidRPr="00892425">
        <w:rPr>
          <w:color w:val="000000"/>
          <w:sz w:val="26"/>
          <w:szCs w:val="26"/>
        </w:rPr>
        <w:lastRenderedPageBreak/>
        <w:t>Proof of Revenues for Water Operations in Appendix C to this Joint Petition.  The rates of all of the rate divisions that will continue to exist under the Settlement Rates have been moved closer to each other and to the Rate Zone 1 in order to facilitate further consolidation with the Main Division in future cases.</w:t>
      </w:r>
    </w:p>
    <w:p w14:paraId="2F8960C8" w14:textId="5BF47F6B" w:rsidR="00F02B02" w:rsidRPr="00892425" w:rsidRDefault="00F02B02" w:rsidP="002C4EC5">
      <w:pPr>
        <w:spacing w:line="240" w:lineRule="auto"/>
        <w:ind w:firstLine="1440"/>
        <w:contextualSpacing/>
        <w:rPr>
          <w:sz w:val="26"/>
          <w:szCs w:val="26"/>
        </w:rPr>
      </w:pPr>
    </w:p>
    <w:p w14:paraId="3B57CF8C" w14:textId="7957D580" w:rsidR="00247A11" w:rsidRDefault="00247A11" w:rsidP="002C4EC5">
      <w:pPr>
        <w:keepNext/>
        <w:keepLines/>
        <w:spacing w:before="290" w:after="200" w:line="240" w:lineRule="auto"/>
        <w:ind w:left="2880" w:right="1440"/>
        <w:contextualSpacing/>
        <w:textAlignment w:val="baseline"/>
        <w:rPr>
          <w:color w:val="000000"/>
          <w:sz w:val="26"/>
          <w:szCs w:val="26"/>
        </w:rPr>
      </w:pPr>
      <w:r w:rsidRPr="00892425">
        <w:rPr>
          <w:color w:val="000000"/>
          <w:sz w:val="26"/>
          <w:szCs w:val="26"/>
        </w:rPr>
        <w:t>(ii)</w:t>
      </w:r>
      <w:r w:rsidRPr="00892425">
        <w:rPr>
          <w:color w:val="000000"/>
          <w:sz w:val="26"/>
          <w:szCs w:val="26"/>
        </w:rPr>
        <w:tab/>
      </w:r>
      <w:r w:rsidRPr="00892425">
        <w:rPr>
          <w:color w:val="000000"/>
          <w:sz w:val="26"/>
          <w:szCs w:val="26"/>
          <w:u w:val="single"/>
        </w:rPr>
        <w:t>Wastewater</w:t>
      </w:r>
    </w:p>
    <w:p w14:paraId="7BB12C3D" w14:textId="77777777" w:rsidR="003A49E6" w:rsidRPr="00892425" w:rsidRDefault="003A49E6" w:rsidP="002C4EC5">
      <w:pPr>
        <w:keepNext/>
        <w:keepLines/>
        <w:spacing w:before="290" w:after="200" w:line="240" w:lineRule="auto"/>
        <w:ind w:left="2880" w:right="1440"/>
        <w:contextualSpacing/>
        <w:textAlignment w:val="baseline"/>
        <w:rPr>
          <w:color w:val="000000"/>
          <w:sz w:val="26"/>
          <w:szCs w:val="26"/>
        </w:rPr>
      </w:pPr>
    </w:p>
    <w:p w14:paraId="4DC91598" w14:textId="592AFA10" w:rsidR="00F94F09" w:rsidRPr="00892425" w:rsidRDefault="00247A11" w:rsidP="002C4EC5">
      <w:pPr>
        <w:keepNext/>
        <w:keepLines/>
        <w:spacing w:line="240" w:lineRule="auto"/>
        <w:ind w:left="1440" w:right="1440"/>
        <w:contextualSpacing/>
        <w:rPr>
          <w:color w:val="000000"/>
          <w:sz w:val="26"/>
          <w:szCs w:val="26"/>
        </w:rPr>
      </w:pPr>
      <w:r w:rsidRPr="00892425">
        <w:rPr>
          <w:color w:val="000000"/>
          <w:sz w:val="26"/>
          <w:szCs w:val="26"/>
        </w:rPr>
        <w:t>34.</w:t>
      </w:r>
      <w:r w:rsidRPr="00892425">
        <w:rPr>
          <w:color w:val="000000"/>
          <w:sz w:val="26"/>
          <w:szCs w:val="26"/>
        </w:rPr>
        <w:tab/>
        <w:t>The Settlement Rates set forth in Appendix B reflect the Joint Petitioners’ agreement with regard to wastewater rate structure, rate design and the distribution of the increase in revenues in this case, as follows:</w:t>
      </w:r>
      <w:r w:rsidR="003A49E6" w:rsidRPr="003A49E6">
        <w:rPr>
          <w:color w:val="000000"/>
          <w:sz w:val="26"/>
          <w:szCs w:val="26"/>
          <w:vertAlign w:val="superscript"/>
        </w:rPr>
        <w:t>7</w:t>
      </w:r>
    </w:p>
    <w:p w14:paraId="57DA511D" w14:textId="77777777" w:rsidR="009A4EF4" w:rsidRPr="00892425" w:rsidRDefault="009A4EF4" w:rsidP="002C4EC5">
      <w:pPr>
        <w:spacing w:line="240" w:lineRule="auto"/>
        <w:ind w:left="1440" w:right="1440"/>
        <w:contextualSpacing/>
        <w:rPr>
          <w:color w:val="000000"/>
          <w:sz w:val="26"/>
          <w:szCs w:val="26"/>
        </w:rPr>
      </w:pPr>
    </w:p>
    <w:p w14:paraId="1E56F804" w14:textId="0D20069A" w:rsidR="00247A11" w:rsidRPr="00892425" w:rsidRDefault="00247A11" w:rsidP="002C4EC5">
      <w:pPr>
        <w:numPr>
          <w:ilvl w:val="0"/>
          <w:numId w:val="16"/>
        </w:numPr>
        <w:tabs>
          <w:tab w:val="clear" w:pos="720"/>
        </w:tabs>
        <w:spacing w:before="3" w:after="200" w:line="240" w:lineRule="auto"/>
        <w:ind w:left="1440" w:right="1440" w:firstLine="720"/>
        <w:contextualSpacing/>
        <w:textAlignment w:val="baseline"/>
        <w:rPr>
          <w:color w:val="000000"/>
          <w:sz w:val="26"/>
          <w:szCs w:val="26"/>
        </w:rPr>
      </w:pPr>
      <w:r w:rsidRPr="00892425">
        <w:rPr>
          <w:color w:val="000000"/>
          <w:sz w:val="26"/>
          <w:szCs w:val="26"/>
        </w:rPr>
        <w:t>Under existing rates, Aqua has a total of 33 wastewater rate divisions. Under the Settlement Rates, various existing rate divisions will be consolidated with each other and, as a result, there will be a total of eleven rate divisions (or subdivisions) under the Settlement Rates. The existing rate divisions and the corresponding rate divisions or subdivisions that will exist under the Settlement Rates are set forth on page 1 of Schedule 2 of the Proof of Revenues for Wastewater Operations in Appendix C to this Joint Petition. The rates of the rate divisions that will continue to exist under the Settlement Rates have been moved closer to each other in order to facilitate further consolidation in future cases.</w:t>
      </w:r>
    </w:p>
    <w:p w14:paraId="20A9F978" w14:textId="77777777" w:rsidR="00247A11" w:rsidRPr="00892425" w:rsidRDefault="00247A11" w:rsidP="002C4EC5">
      <w:pPr>
        <w:tabs>
          <w:tab w:val="left" w:pos="2232"/>
        </w:tabs>
        <w:spacing w:before="3" w:after="200" w:line="240" w:lineRule="auto"/>
        <w:ind w:left="1440" w:right="1440"/>
        <w:contextualSpacing/>
        <w:textAlignment w:val="baseline"/>
        <w:rPr>
          <w:color w:val="000000"/>
          <w:sz w:val="26"/>
          <w:szCs w:val="26"/>
        </w:rPr>
      </w:pPr>
    </w:p>
    <w:p w14:paraId="097577F7" w14:textId="2B0F3CB4" w:rsidR="00247A11" w:rsidRPr="00892425" w:rsidRDefault="00247A11" w:rsidP="002C4EC5">
      <w:pPr>
        <w:numPr>
          <w:ilvl w:val="0"/>
          <w:numId w:val="16"/>
        </w:numPr>
        <w:tabs>
          <w:tab w:val="clear" w:pos="720"/>
        </w:tabs>
        <w:spacing w:after="200" w:line="240" w:lineRule="auto"/>
        <w:ind w:left="1440" w:right="1440" w:firstLine="720"/>
        <w:contextualSpacing/>
        <w:textAlignment w:val="baseline"/>
        <w:rPr>
          <w:color w:val="000000"/>
          <w:sz w:val="26"/>
          <w:szCs w:val="26"/>
        </w:rPr>
      </w:pPr>
      <w:r w:rsidRPr="00892425">
        <w:rPr>
          <w:color w:val="000000"/>
          <w:sz w:val="26"/>
          <w:szCs w:val="26"/>
        </w:rPr>
        <w:t>The Settlement Rates for all classes of customers and classes of wastewater service for the rate zones that will exist under the Settlement Rates are set forth in the applicable portions of the Wastewater Tariff attached as Appendix B.</w:t>
      </w:r>
      <w:r w:rsidR="007D4F0F" w:rsidRPr="007D4F0F">
        <w:rPr>
          <w:color w:val="000000"/>
          <w:sz w:val="26"/>
          <w:szCs w:val="26"/>
          <w:vertAlign w:val="superscript"/>
        </w:rPr>
        <w:t>8</w:t>
      </w:r>
    </w:p>
    <w:p w14:paraId="6FE550C4" w14:textId="77777777" w:rsidR="00247A11" w:rsidRPr="00892425" w:rsidRDefault="00247A11" w:rsidP="002C4EC5">
      <w:pPr>
        <w:tabs>
          <w:tab w:val="left" w:pos="2232"/>
        </w:tabs>
        <w:spacing w:after="200" w:line="240" w:lineRule="auto"/>
        <w:ind w:left="1440" w:right="1440"/>
        <w:contextualSpacing/>
        <w:textAlignment w:val="baseline"/>
        <w:rPr>
          <w:color w:val="000000"/>
          <w:sz w:val="26"/>
          <w:szCs w:val="26"/>
        </w:rPr>
      </w:pPr>
    </w:p>
    <w:p w14:paraId="7A87EF48" w14:textId="26F954EC" w:rsidR="00247A11" w:rsidRPr="00892425" w:rsidRDefault="00247A11" w:rsidP="002C4EC5">
      <w:pPr>
        <w:numPr>
          <w:ilvl w:val="0"/>
          <w:numId w:val="16"/>
        </w:numPr>
        <w:tabs>
          <w:tab w:val="clear" w:pos="720"/>
        </w:tabs>
        <w:spacing w:before="2" w:after="932" w:line="240" w:lineRule="auto"/>
        <w:ind w:left="1440" w:right="1440" w:firstLine="720"/>
        <w:contextualSpacing/>
        <w:textAlignment w:val="baseline"/>
        <w:rPr>
          <w:color w:val="000000"/>
          <w:spacing w:val="-1"/>
          <w:sz w:val="26"/>
          <w:szCs w:val="26"/>
        </w:rPr>
      </w:pPr>
      <w:r w:rsidRPr="00892425">
        <w:rPr>
          <w:color w:val="000000"/>
          <w:spacing w:val="-1"/>
          <w:sz w:val="26"/>
          <w:szCs w:val="26"/>
        </w:rPr>
        <w:t xml:space="preserve">As a result of Public Input Hearing testimony offered by Mr. Kretschmaier and Mr. Kusko, and testimony provided by OCA witness Rubin, Aqua agrees to study the feasibility of implementing in Pennsylvania a summer wastewater usage cap similar to the method used by Aqua Illinois, Inc. </w:t>
      </w:r>
      <w:r w:rsidR="007D4F0F">
        <w:rPr>
          <w:color w:val="000000"/>
          <w:spacing w:val="-1"/>
          <w:sz w:val="26"/>
          <w:szCs w:val="26"/>
        </w:rPr>
        <w:t xml:space="preserve"> </w:t>
      </w:r>
      <w:r w:rsidRPr="00892425">
        <w:rPr>
          <w:color w:val="000000"/>
          <w:spacing w:val="-1"/>
          <w:sz w:val="26"/>
          <w:szCs w:val="26"/>
        </w:rPr>
        <w:t xml:space="preserve">The results of that study, including either a proposal to adopt such a billing method or a detailed explanation for why Aqua believes such a method to be </w:t>
      </w:r>
      <w:r w:rsidRPr="00892425">
        <w:rPr>
          <w:color w:val="000000"/>
          <w:sz w:val="26"/>
          <w:szCs w:val="26"/>
        </w:rPr>
        <w:t xml:space="preserve">infeasible in Pennsylvania, shall be provided in Aqua’s next wastewater base rate filing. </w:t>
      </w:r>
      <w:r w:rsidR="007D4F0F">
        <w:rPr>
          <w:color w:val="000000"/>
          <w:sz w:val="26"/>
          <w:szCs w:val="26"/>
        </w:rPr>
        <w:t xml:space="preserve"> </w:t>
      </w:r>
      <w:r w:rsidRPr="00892425">
        <w:rPr>
          <w:color w:val="000000"/>
          <w:sz w:val="26"/>
          <w:szCs w:val="26"/>
        </w:rPr>
        <w:t xml:space="preserve">If Aqua believes that such a </w:t>
      </w:r>
      <w:r w:rsidRPr="00892425">
        <w:rPr>
          <w:color w:val="000000"/>
          <w:sz w:val="26"/>
          <w:szCs w:val="26"/>
        </w:rPr>
        <w:lastRenderedPageBreak/>
        <w:t xml:space="preserve">method would not be feasible in Pennsylvania, Aqua nevertheless shall be required to provide the billing units and rates that would be used if such a method were adopted in the next consolidated wastewater rate case. </w:t>
      </w:r>
      <w:r w:rsidR="007D4F0F">
        <w:rPr>
          <w:color w:val="000000"/>
          <w:sz w:val="26"/>
          <w:szCs w:val="26"/>
        </w:rPr>
        <w:t xml:space="preserve"> </w:t>
      </w:r>
      <w:r w:rsidRPr="00892425">
        <w:rPr>
          <w:color w:val="000000"/>
          <w:sz w:val="26"/>
          <w:szCs w:val="26"/>
        </w:rPr>
        <w:t>In addition, consistent with Aqua’s rebuttal testimony in this proceeding, the Company will consider proposing a flat wastewater rate structure in its next rate case for seasonal communities in its service territory.</w:t>
      </w:r>
    </w:p>
    <w:p w14:paraId="043F0CB2" w14:textId="01D6B5B3" w:rsidR="00247A11" w:rsidRPr="00892425" w:rsidRDefault="00247A11" w:rsidP="002C4EC5">
      <w:pPr>
        <w:spacing w:before="2" w:after="932" w:line="240" w:lineRule="auto"/>
        <w:ind w:right="72" w:firstLine="1440"/>
        <w:contextualSpacing/>
        <w:textAlignment w:val="baseline"/>
        <w:rPr>
          <w:color w:val="000000"/>
          <w:sz w:val="26"/>
          <w:szCs w:val="26"/>
        </w:rPr>
      </w:pPr>
    </w:p>
    <w:p w14:paraId="7C318AE1" w14:textId="77777777" w:rsidR="00247A11" w:rsidRPr="00892425" w:rsidRDefault="00247A11" w:rsidP="002C4EC5">
      <w:pPr>
        <w:spacing w:before="284" w:after="200" w:line="240" w:lineRule="auto"/>
        <w:ind w:left="2160" w:right="1440"/>
        <w:contextualSpacing/>
        <w:textAlignment w:val="baseline"/>
        <w:rPr>
          <w:b/>
          <w:color w:val="000000"/>
          <w:sz w:val="26"/>
          <w:szCs w:val="26"/>
        </w:rPr>
      </w:pPr>
      <w:r w:rsidRPr="00892425">
        <w:rPr>
          <w:b/>
          <w:color w:val="000000"/>
          <w:sz w:val="26"/>
          <w:szCs w:val="26"/>
        </w:rPr>
        <w:t>J.</w:t>
      </w:r>
      <w:r w:rsidRPr="00892425">
        <w:rPr>
          <w:b/>
          <w:color w:val="000000"/>
          <w:sz w:val="26"/>
          <w:szCs w:val="26"/>
        </w:rPr>
        <w:tab/>
        <w:t>Low Income Issues</w:t>
      </w:r>
    </w:p>
    <w:p w14:paraId="5A9F5E45" w14:textId="77777777" w:rsidR="009535C3" w:rsidRPr="00892425" w:rsidRDefault="009535C3" w:rsidP="002C4EC5">
      <w:pPr>
        <w:tabs>
          <w:tab w:val="left" w:pos="3672"/>
        </w:tabs>
        <w:spacing w:before="235" w:after="200" w:line="240" w:lineRule="auto"/>
        <w:ind w:left="2952"/>
        <w:contextualSpacing/>
        <w:textAlignment w:val="baseline"/>
        <w:rPr>
          <w:color w:val="000000"/>
          <w:sz w:val="26"/>
          <w:szCs w:val="26"/>
        </w:rPr>
      </w:pPr>
    </w:p>
    <w:p w14:paraId="13A9DFF0" w14:textId="40448CFC" w:rsidR="00247A11" w:rsidRDefault="00247A11" w:rsidP="002C4EC5">
      <w:pPr>
        <w:spacing w:before="235" w:after="200" w:line="240" w:lineRule="auto"/>
        <w:ind w:left="2880"/>
        <w:contextualSpacing/>
        <w:textAlignment w:val="baseline"/>
        <w:rPr>
          <w:color w:val="000000"/>
          <w:sz w:val="26"/>
          <w:szCs w:val="26"/>
          <w:u w:val="single"/>
        </w:rPr>
      </w:pPr>
      <w:r w:rsidRPr="00892425">
        <w:rPr>
          <w:color w:val="000000"/>
          <w:sz w:val="26"/>
          <w:szCs w:val="26"/>
        </w:rPr>
        <w:t>(i)</w:t>
      </w:r>
      <w:r w:rsidRPr="00892425">
        <w:rPr>
          <w:color w:val="000000"/>
          <w:sz w:val="26"/>
          <w:szCs w:val="26"/>
        </w:rPr>
        <w:tab/>
      </w:r>
      <w:r w:rsidRPr="00892425">
        <w:rPr>
          <w:color w:val="000000"/>
          <w:sz w:val="26"/>
          <w:szCs w:val="26"/>
          <w:u w:val="single"/>
        </w:rPr>
        <w:t>Helping Hand</w:t>
      </w:r>
    </w:p>
    <w:p w14:paraId="20E18095" w14:textId="77777777" w:rsidR="007D4F0F" w:rsidRPr="00892425" w:rsidRDefault="007D4F0F" w:rsidP="002C4EC5">
      <w:pPr>
        <w:spacing w:before="235" w:after="200" w:line="240" w:lineRule="auto"/>
        <w:ind w:left="2880"/>
        <w:contextualSpacing/>
        <w:textAlignment w:val="baseline"/>
        <w:rPr>
          <w:color w:val="000000"/>
          <w:sz w:val="26"/>
          <w:szCs w:val="26"/>
        </w:rPr>
      </w:pPr>
    </w:p>
    <w:p w14:paraId="7700B9F3" w14:textId="6A606E08" w:rsidR="00247A11" w:rsidRPr="00892425" w:rsidRDefault="00247A11" w:rsidP="002C4EC5">
      <w:pPr>
        <w:numPr>
          <w:ilvl w:val="0"/>
          <w:numId w:val="17"/>
        </w:numPr>
        <w:tabs>
          <w:tab w:val="clear" w:pos="648"/>
        </w:tabs>
        <w:spacing w:after="200" w:line="240" w:lineRule="auto"/>
        <w:ind w:left="1440" w:right="1440"/>
        <w:contextualSpacing/>
        <w:textAlignment w:val="baseline"/>
        <w:rPr>
          <w:i/>
          <w:color w:val="000000"/>
          <w:sz w:val="26"/>
          <w:szCs w:val="26"/>
        </w:rPr>
      </w:pPr>
      <w:r w:rsidRPr="00892425">
        <w:rPr>
          <w:i/>
          <w:color w:val="000000"/>
          <w:sz w:val="26"/>
          <w:szCs w:val="26"/>
        </w:rPr>
        <w:t>Company Contribution</w:t>
      </w:r>
      <w:r w:rsidRPr="00892425">
        <w:rPr>
          <w:color w:val="000000"/>
          <w:sz w:val="26"/>
          <w:szCs w:val="26"/>
        </w:rPr>
        <w:t xml:space="preserve">. Aqua will contribute $125,000 per year to the Helping Hand Program for each of the next three years (2019, 2020, and 2021). </w:t>
      </w:r>
      <w:r w:rsidR="007D4F0F">
        <w:rPr>
          <w:color w:val="000000"/>
          <w:sz w:val="26"/>
          <w:szCs w:val="26"/>
        </w:rPr>
        <w:t xml:space="preserve"> </w:t>
      </w:r>
      <w:r w:rsidRPr="00892425">
        <w:rPr>
          <w:color w:val="000000"/>
          <w:sz w:val="26"/>
          <w:szCs w:val="26"/>
        </w:rPr>
        <w:t xml:space="preserve">The Joint Petitioners agree that the Company is not required to contribute more than this amount each year. </w:t>
      </w:r>
      <w:r w:rsidR="007D4F0F">
        <w:rPr>
          <w:color w:val="000000"/>
          <w:sz w:val="26"/>
          <w:szCs w:val="26"/>
        </w:rPr>
        <w:t xml:space="preserve"> </w:t>
      </w:r>
      <w:r w:rsidRPr="00892425">
        <w:rPr>
          <w:color w:val="000000"/>
          <w:sz w:val="26"/>
          <w:szCs w:val="26"/>
        </w:rPr>
        <w:t xml:space="preserve">However, if the funding is not fully expended in any given year, it will be rolled over to the next year and be available for grants and arrearage forgiveness. </w:t>
      </w:r>
      <w:r w:rsidR="007D4F0F">
        <w:rPr>
          <w:color w:val="000000"/>
          <w:sz w:val="26"/>
          <w:szCs w:val="26"/>
        </w:rPr>
        <w:t xml:space="preserve"> </w:t>
      </w:r>
      <w:r w:rsidRPr="00892425">
        <w:rPr>
          <w:color w:val="000000"/>
          <w:sz w:val="26"/>
          <w:szCs w:val="26"/>
        </w:rPr>
        <w:t xml:space="preserve">Aqua will continue to promote awareness of the program to customers and local agencies for each county within the Company’s service territory and will work with participants of the Helping Hand Collaborative to identify new ways to promote the program. </w:t>
      </w:r>
      <w:r w:rsidR="007D4F0F">
        <w:rPr>
          <w:color w:val="000000"/>
          <w:sz w:val="26"/>
          <w:szCs w:val="26"/>
        </w:rPr>
        <w:t xml:space="preserve"> </w:t>
      </w:r>
      <w:r w:rsidRPr="00892425">
        <w:rPr>
          <w:color w:val="000000"/>
          <w:sz w:val="26"/>
          <w:szCs w:val="26"/>
        </w:rPr>
        <w:t>Aqua will continue to seek customer contributions for the program that will supplement the funding provided by the Company.</w:t>
      </w:r>
      <w:r w:rsidR="007D4F0F">
        <w:rPr>
          <w:color w:val="000000"/>
          <w:sz w:val="26"/>
          <w:szCs w:val="26"/>
        </w:rPr>
        <w:t xml:space="preserve"> </w:t>
      </w:r>
      <w:r w:rsidRPr="00892425">
        <w:rPr>
          <w:color w:val="000000"/>
          <w:sz w:val="26"/>
          <w:szCs w:val="26"/>
        </w:rPr>
        <w:t xml:space="preserve"> The Company agrees to re-evaluate its contribution and the structure of Helping Hand in its next base rate case. In the event that Aqua does not file its next base rate case in 2021, the annual funding amount agreed to in this Settlement will remain in place until such time as its next base rate case is filed and new rates are in effect.</w:t>
      </w:r>
    </w:p>
    <w:p w14:paraId="2CFC10AE" w14:textId="239B28A8" w:rsidR="00247A11" w:rsidRPr="00892425" w:rsidRDefault="00247A11" w:rsidP="002C4EC5">
      <w:pPr>
        <w:spacing w:line="240" w:lineRule="auto"/>
        <w:ind w:left="1440" w:right="1440"/>
        <w:contextualSpacing/>
        <w:rPr>
          <w:sz w:val="26"/>
          <w:szCs w:val="26"/>
        </w:rPr>
      </w:pPr>
    </w:p>
    <w:p w14:paraId="1B330106" w14:textId="2DE120AD" w:rsidR="009535C3" w:rsidRPr="00892425" w:rsidRDefault="009535C3" w:rsidP="002C4EC5">
      <w:pPr>
        <w:spacing w:line="240" w:lineRule="auto"/>
        <w:ind w:left="1440" w:right="1440"/>
        <w:contextualSpacing/>
        <w:textAlignment w:val="baseline"/>
        <w:rPr>
          <w:color w:val="000000"/>
          <w:sz w:val="26"/>
          <w:szCs w:val="26"/>
        </w:rPr>
      </w:pPr>
      <w:r w:rsidRPr="00892425">
        <w:rPr>
          <w:color w:val="000000"/>
          <w:spacing w:val="-1"/>
          <w:sz w:val="26"/>
          <w:szCs w:val="26"/>
        </w:rPr>
        <w:t>36.</w:t>
      </w:r>
      <w:r w:rsidRPr="00892425">
        <w:rPr>
          <w:color w:val="000000"/>
          <w:spacing w:val="-1"/>
          <w:sz w:val="26"/>
          <w:szCs w:val="26"/>
        </w:rPr>
        <w:tab/>
      </w:r>
      <w:r w:rsidRPr="00892425">
        <w:rPr>
          <w:i/>
          <w:color w:val="000000"/>
          <w:spacing w:val="-1"/>
          <w:sz w:val="26"/>
          <w:szCs w:val="26"/>
        </w:rPr>
        <w:t>Grant Assistance Component</w:t>
      </w:r>
      <w:r w:rsidRPr="00892425">
        <w:rPr>
          <w:color w:val="000000"/>
          <w:spacing w:val="-1"/>
          <w:sz w:val="26"/>
          <w:szCs w:val="26"/>
        </w:rPr>
        <w:t>.</w:t>
      </w:r>
      <w:r w:rsidR="007D4F0F">
        <w:rPr>
          <w:color w:val="000000"/>
          <w:spacing w:val="-1"/>
          <w:sz w:val="26"/>
          <w:szCs w:val="26"/>
        </w:rPr>
        <w:t xml:space="preserve"> </w:t>
      </w:r>
      <w:r w:rsidRPr="00892425">
        <w:rPr>
          <w:color w:val="000000"/>
          <w:spacing w:val="-1"/>
          <w:sz w:val="26"/>
          <w:szCs w:val="26"/>
        </w:rPr>
        <w:t xml:space="preserve"> Within 180 days of the effective date of the Settlement Rates, Aqua will establish a grant program that accompanies and enhances its Helping Hand Program. </w:t>
      </w:r>
      <w:r w:rsidR="007D4F0F">
        <w:rPr>
          <w:color w:val="000000"/>
          <w:spacing w:val="-1"/>
          <w:sz w:val="26"/>
          <w:szCs w:val="26"/>
        </w:rPr>
        <w:t xml:space="preserve"> </w:t>
      </w:r>
      <w:r w:rsidRPr="00892425">
        <w:rPr>
          <w:color w:val="000000"/>
          <w:spacing w:val="-1"/>
          <w:sz w:val="26"/>
          <w:szCs w:val="26"/>
        </w:rPr>
        <w:t xml:space="preserve">Aqua will work with participants of the Helping Hand Collaborative, </w:t>
      </w:r>
      <w:r w:rsidRPr="00892425">
        <w:rPr>
          <w:color w:val="000000"/>
          <w:sz w:val="26"/>
          <w:szCs w:val="26"/>
        </w:rPr>
        <w:t>described in Paragraph 41 of this Settlement, to establish eligibility parameters for receiving a grant and the maximum amount of each grant.</w:t>
      </w:r>
    </w:p>
    <w:p w14:paraId="44462837" w14:textId="77777777" w:rsidR="009535C3" w:rsidRPr="00892425" w:rsidRDefault="009535C3" w:rsidP="002C4EC5">
      <w:pPr>
        <w:spacing w:line="240" w:lineRule="auto"/>
        <w:ind w:left="1440" w:right="1440"/>
        <w:contextualSpacing/>
        <w:textAlignment w:val="baseline"/>
        <w:rPr>
          <w:color w:val="000000"/>
          <w:sz w:val="26"/>
          <w:szCs w:val="26"/>
        </w:rPr>
      </w:pPr>
    </w:p>
    <w:p w14:paraId="0EBAF6A9" w14:textId="527000F2" w:rsidR="009535C3" w:rsidRPr="00892425" w:rsidRDefault="009535C3" w:rsidP="002C4EC5">
      <w:pPr>
        <w:spacing w:after="200" w:line="240" w:lineRule="auto"/>
        <w:ind w:left="1440" w:right="1440"/>
        <w:contextualSpacing/>
        <w:textAlignment w:val="baseline"/>
        <w:rPr>
          <w:color w:val="000000"/>
          <w:spacing w:val="-2"/>
          <w:sz w:val="26"/>
          <w:szCs w:val="26"/>
        </w:rPr>
      </w:pPr>
      <w:r w:rsidRPr="00892425">
        <w:rPr>
          <w:color w:val="000000"/>
          <w:spacing w:val="-2"/>
          <w:sz w:val="26"/>
          <w:szCs w:val="26"/>
        </w:rPr>
        <w:lastRenderedPageBreak/>
        <w:t>37.</w:t>
      </w:r>
      <w:r w:rsidRPr="00892425">
        <w:rPr>
          <w:color w:val="000000"/>
          <w:spacing w:val="-2"/>
          <w:sz w:val="26"/>
          <w:szCs w:val="26"/>
        </w:rPr>
        <w:tab/>
      </w:r>
      <w:r w:rsidRPr="00892425">
        <w:rPr>
          <w:i/>
          <w:color w:val="000000"/>
          <w:spacing w:val="-2"/>
          <w:sz w:val="26"/>
          <w:szCs w:val="26"/>
        </w:rPr>
        <w:t>Eliminate Up Front Payment Requirement for the Helping Hand Program</w:t>
      </w:r>
      <w:r w:rsidRPr="00892425">
        <w:rPr>
          <w:color w:val="000000"/>
          <w:spacing w:val="-2"/>
          <w:sz w:val="26"/>
          <w:szCs w:val="26"/>
        </w:rPr>
        <w:t xml:space="preserve">. </w:t>
      </w:r>
      <w:r w:rsidR="007D4F0F">
        <w:rPr>
          <w:color w:val="000000"/>
          <w:spacing w:val="-2"/>
          <w:sz w:val="26"/>
          <w:szCs w:val="26"/>
        </w:rPr>
        <w:t xml:space="preserve"> </w:t>
      </w:r>
      <w:r w:rsidRPr="00892425">
        <w:rPr>
          <w:color w:val="000000"/>
          <w:spacing w:val="-2"/>
          <w:sz w:val="26"/>
          <w:szCs w:val="26"/>
        </w:rPr>
        <w:t xml:space="preserve">Aqua will eliminate its current requirement that customers must make a good faith payment in order to enroll in the Helping Hand Program. </w:t>
      </w:r>
      <w:r w:rsidR="007D4F0F">
        <w:rPr>
          <w:color w:val="000000"/>
          <w:spacing w:val="-2"/>
          <w:sz w:val="26"/>
          <w:szCs w:val="26"/>
        </w:rPr>
        <w:t xml:space="preserve"> </w:t>
      </w:r>
      <w:r w:rsidRPr="00892425">
        <w:rPr>
          <w:color w:val="000000"/>
          <w:spacing w:val="-2"/>
          <w:sz w:val="26"/>
          <w:szCs w:val="26"/>
        </w:rPr>
        <w:t>Instead, Aqua will continue to advertise and promote for Helping Hand enrollment households who are payment troubled and meet the following criteria:</w:t>
      </w:r>
    </w:p>
    <w:p w14:paraId="3DE1FC62" w14:textId="77777777" w:rsidR="00621903" w:rsidRPr="00892425" w:rsidRDefault="00621903" w:rsidP="002C4EC5">
      <w:pPr>
        <w:spacing w:after="200" w:line="240" w:lineRule="auto"/>
        <w:ind w:left="1440" w:right="1440"/>
        <w:contextualSpacing/>
        <w:textAlignment w:val="baseline"/>
        <w:rPr>
          <w:color w:val="000000"/>
          <w:spacing w:val="-2"/>
          <w:sz w:val="26"/>
          <w:szCs w:val="26"/>
        </w:rPr>
      </w:pPr>
    </w:p>
    <w:p w14:paraId="35955CB4" w14:textId="5281A450" w:rsidR="009535C3" w:rsidRPr="00892425" w:rsidRDefault="009535C3" w:rsidP="002C4EC5">
      <w:pPr>
        <w:numPr>
          <w:ilvl w:val="0"/>
          <w:numId w:val="18"/>
        </w:numPr>
        <w:tabs>
          <w:tab w:val="clear" w:pos="360"/>
        </w:tabs>
        <w:spacing w:before="279" w:after="200" w:line="240" w:lineRule="auto"/>
        <w:ind w:left="3600" w:right="1440" w:hanging="720"/>
        <w:contextualSpacing/>
        <w:textAlignment w:val="baseline"/>
        <w:rPr>
          <w:color w:val="000000"/>
          <w:sz w:val="26"/>
          <w:szCs w:val="26"/>
        </w:rPr>
      </w:pPr>
      <w:r w:rsidRPr="00892425">
        <w:rPr>
          <w:color w:val="000000"/>
          <w:sz w:val="26"/>
          <w:szCs w:val="26"/>
        </w:rPr>
        <w:t>Household income no greater than 200% of poverty</w:t>
      </w:r>
    </w:p>
    <w:p w14:paraId="52898533" w14:textId="77777777" w:rsidR="009535C3" w:rsidRPr="00892425" w:rsidRDefault="009535C3" w:rsidP="002C4EC5">
      <w:pPr>
        <w:spacing w:before="279" w:after="200" w:line="240" w:lineRule="auto"/>
        <w:ind w:left="2880" w:right="1440"/>
        <w:contextualSpacing/>
        <w:textAlignment w:val="baseline"/>
        <w:rPr>
          <w:color w:val="000000"/>
          <w:sz w:val="26"/>
          <w:szCs w:val="26"/>
        </w:rPr>
      </w:pPr>
    </w:p>
    <w:p w14:paraId="3E123EC8" w14:textId="00C7E433" w:rsidR="009535C3" w:rsidRPr="00892425" w:rsidRDefault="009535C3" w:rsidP="002C4EC5">
      <w:pPr>
        <w:numPr>
          <w:ilvl w:val="0"/>
          <w:numId w:val="18"/>
        </w:numPr>
        <w:spacing w:before="240" w:after="200" w:line="240" w:lineRule="auto"/>
        <w:ind w:left="2880" w:right="1440"/>
        <w:contextualSpacing/>
        <w:textAlignment w:val="baseline"/>
        <w:rPr>
          <w:color w:val="000000"/>
          <w:sz w:val="26"/>
          <w:szCs w:val="26"/>
        </w:rPr>
      </w:pPr>
      <w:r w:rsidRPr="00892425">
        <w:rPr>
          <w:color w:val="000000"/>
          <w:sz w:val="26"/>
          <w:szCs w:val="26"/>
        </w:rPr>
        <w:t>Arrears in excess of $110</w:t>
      </w:r>
    </w:p>
    <w:p w14:paraId="0F8A36DF" w14:textId="77777777" w:rsidR="009535C3" w:rsidRPr="00892425" w:rsidRDefault="009535C3" w:rsidP="002C4EC5">
      <w:pPr>
        <w:spacing w:before="240" w:after="200" w:line="240" w:lineRule="auto"/>
        <w:ind w:left="2880" w:right="1440"/>
        <w:contextualSpacing/>
        <w:textAlignment w:val="baseline"/>
        <w:rPr>
          <w:color w:val="000000"/>
          <w:sz w:val="26"/>
          <w:szCs w:val="26"/>
        </w:rPr>
      </w:pPr>
    </w:p>
    <w:p w14:paraId="5CFF4CE1" w14:textId="4467C149" w:rsidR="009535C3" w:rsidRPr="00892425" w:rsidRDefault="009535C3" w:rsidP="002C4EC5">
      <w:pPr>
        <w:numPr>
          <w:ilvl w:val="0"/>
          <w:numId w:val="18"/>
        </w:numPr>
        <w:spacing w:before="246" w:after="200" w:line="240" w:lineRule="auto"/>
        <w:ind w:left="3600" w:right="1440" w:hanging="720"/>
        <w:contextualSpacing/>
        <w:textAlignment w:val="baseline"/>
        <w:rPr>
          <w:color w:val="000000"/>
          <w:sz w:val="26"/>
          <w:szCs w:val="26"/>
        </w:rPr>
      </w:pPr>
      <w:r w:rsidRPr="00892425">
        <w:rPr>
          <w:color w:val="000000"/>
          <w:sz w:val="26"/>
          <w:szCs w:val="26"/>
        </w:rPr>
        <w:t>Payment Troubled as evidenced by one or more of the following:</w:t>
      </w:r>
    </w:p>
    <w:p w14:paraId="5B6EDC4E" w14:textId="77777777" w:rsidR="009535C3" w:rsidRPr="00892425" w:rsidRDefault="009535C3" w:rsidP="002C4EC5">
      <w:pPr>
        <w:spacing w:before="246" w:after="200" w:line="240" w:lineRule="auto"/>
        <w:ind w:left="2880" w:right="1440"/>
        <w:contextualSpacing/>
        <w:textAlignment w:val="baseline"/>
        <w:rPr>
          <w:color w:val="000000"/>
          <w:sz w:val="26"/>
          <w:szCs w:val="26"/>
        </w:rPr>
      </w:pPr>
    </w:p>
    <w:p w14:paraId="493545DB" w14:textId="6750358B" w:rsidR="009535C3" w:rsidRPr="00892425" w:rsidRDefault="009535C3" w:rsidP="002C4EC5">
      <w:pPr>
        <w:numPr>
          <w:ilvl w:val="0"/>
          <w:numId w:val="19"/>
        </w:numPr>
        <w:spacing w:before="240" w:after="200" w:line="240" w:lineRule="auto"/>
        <w:ind w:left="4320" w:right="1440" w:hanging="720"/>
        <w:contextualSpacing/>
        <w:textAlignment w:val="baseline"/>
        <w:rPr>
          <w:color w:val="000000"/>
          <w:sz w:val="26"/>
          <w:szCs w:val="26"/>
        </w:rPr>
      </w:pPr>
      <w:r w:rsidRPr="00892425">
        <w:rPr>
          <w:color w:val="000000"/>
          <w:sz w:val="26"/>
          <w:szCs w:val="26"/>
        </w:rPr>
        <w:t>A broken payment agreement;</w:t>
      </w:r>
    </w:p>
    <w:p w14:paraId="0B22F5C8" w14:textId="77777777" w:rsidR="009535C3" w:rsidRPr="00892425" w:rsidRDefault="009535C3" w:rsidP="002C4EC5">
      <w:pPr>
        <w:spacing w:before="240" w:after="200" w:line="240" w:lineRule="auto"/>
        <w:ind w:left="3600" w:right="1440"/>
        <w:contextualSpacing/>
        <w:textAlignment w:val="baseline"/>
        <w:rPr>
          <w:color w:val="000000"/>
          <w:sz w:val="26"/>
          <w:szCs w:val="26"/>
        </w:rPr>
      </w:pPr>
    </w:p>
    <w:p w14:paraId="1BC5AE8A" w14:textId="573BBCCA" w:rsidR="009535C3" w:rsidRPr="00892425" w:rsidRDefault="009535C3" w:rsidP="002C4EC5">
      <w:pPr>
        <w:numPr>
          <w:ilvl w:val="0"/>
          <w:numId w:val="19"/>
        </w:numPr>
        <w:spacing w:before="236" w:after="200" w:line="240" w:lineRule="auto"/>
        <w:ind w:left="4230" w:right="1440" w:hanging="630"/>
        <w:contextualSpacing/>
        <w:textAlignment w:val="baseline"/>
        <w:rPr>
          <w:color w:val="000000"/>
          <w:sz w:val="26"/>
          <w:szCs w:val="26"/>
        </w:rPr>
      </w:pPr>
      <w:r w:rsidRPr="00892425">
        <w:rPr>
          <w:color w:val="000000"/>
          <w:sz w:val="26"/>
          <w:szCs w:val="26"/>
        </w:rPr>
        <w:t>Threatened with termination of service for non-payment or service already off;</w:t>
      </w:r>
    </w:p>
    <w:p w14:paraId="29C687FF" w14:textId="77777777" w:rsidR="009535C3" w:rsidRPr="00892425" w:rsidRDefault="009535C3" w:rsidP="002C4EC5">
      <w:pPr>
        <w:spacing w:before="236" w:after="200" w:line="240" w:lineRule="auto"/>
        <w:ind w:left="3600" w:right="1440"/>
        <w:contextualSpacing/>
        <w:textAlignment w:val="baseline"/>
        <w:rPr>
          <w:color w:val="000000"/>
          <w:sz w:val="26"/>
          <w:szCs w:val="26"/>
        </w:rPr>
      </w:pPr>
    </w:p>
    <w:p w14:paraId="09C59EA8" w14:textId="77777777" w:rsidR="009535C3" w:rsidRPr="00892425" w:rsidRDefault="009535C3" w:rsidP="002C4EC5">
      <w:pPr>
        <w:numPr>
          <w:ilvl w:val="0"/>
          <w:numId w:val="19"/>
        </w:numPr>
        <w:tabs>
          <w:tab w:val="clear" w:pos="432"/>
        </w:tabs>
        <w:spacing w:before="246" w:after="200" w:line="240" w:lineRule="auto"/>
        <w:ind w:left="4320" w:right="1440" w:hanging="720"/>
        <w:contextualSpacing/>
        <w:textAlignment w:val="baseline"/>
        <w:rPr>
          <w:color w:val="000000"/>
          <w:sz w:val="26"/>
          <w:szCs w:val="26"/>
        </w:rPr>
      </w:pPr>
      <w:r w:rsidRPr="00892425">
        <w:rPr>
          <w:color w:val="000000"/>
          <w:sz w:val="26"/>
          <w:szCs w:val="26"/>
        </w:rPr>
        <w:t>Has evidenced an inability to pay bills.</w:t>
      </w:r>
    </w:p>
    <w:p w14:paraId="7D64412F" w14:textId="77777777" w:rsidR="009535C3" w:rsidRPr="00892425" w:rsidRDefault="009535C3" w:rsidP="002C4EC5">
      <w:pPr>
        <w:tabs>
          <w:tab w:val="left" w:pos="432"/>
          <w:tab w:val="left" w:pos="3384"/>
        </w:tabs>
        <w:spacing w:before="246" w:line="240" w:lineRule="auto"/>
        <w:ind w:left="3384" w:right="1440"/>
        <w:contextualSpacing/>
        <w:textAlignment w:val="baseline"/>
        <w:rPr>
          <w:color w:val="000000"/>
          <w:sz w:val="26"/>
          <w:szCs w:val="26"/>
        </w:rPr>
      </w:pPr>
    </w:p>
    <w:p w14:paraId="611484C8" w14:textId="4F9AC657" w:rsidR="009535C3" w:rsidRPr="00892425" w:rsidRDefault="009535C3" w:rsidP="002C4EC5">
      <w:pPr>
        <w:spacing w:before="519" w:after="200" w:line="240" w:lineRule="auto"/>
        <w:ind w:left="1440" w:right="1440"/>
        <w:contextualSpacing/>
        <w:textAlignment w:val="baseline"/>
        <w:rPr>
          <w:color w:val="000000"/>
          <w:sz w:val="26"/>
          <w:szCs w:val="26"/>
        </w:rPr>
      </w:pPr>
      <w:r w:rsidRPr="00892425">
        <w:rPr>
          <w:color w:val="000000"/>
          <w:sz w:val="26"/>
          <w:szCs w:val="26"/>
        </w:rPr>
        <w:t>38.</w:t>
      </w:r>
      <w:r w:rsidRPr="00892425">
        <w:rPr>
          <w:color w:val="000000"/>
          <w:sz w:val="26"/>
          <w:szCs w:val="26"/>
        </w:rPr>
        <w:tab/>
      </w:r>
      <w:r w:rsidRPr="00892425">
        <w:rPr>
          <w:i/>
          <w:color w:val="000000"/>
          <w:sz w:val="26"/>
          <w:szCs w:val="26"/>
        </w:rPr>
        <w:t>Helping Hand Monthly Payments</w:t>
      </w:r>
      <w:r w:rsidRPr="00892425">
        <w:rPr>
          <w:color w:val="000000"/>
          <w:sz w:val="26"/>
          <w:szCs w:val="26"/>
        </w:rPr>
        <w:t xml:space="preserve">. </w:t>
      </w:r>
      <w:r w:rsidR="007D4F0F">
        <w:rPr>
          <w:color w:val="000000"/>
          <w:sz w:val="26"/>
          <w:szCs w:val="26"/>
        </w:rPr>
        <w:t xml:space="preserve"> </w:t>
      </w:r>
      <w:r w:rsidRPr="00892425">
        <w:rPr>
          <w:color w:val="000000"/>
          <w:sz w:val="26"/>
          <w:szCs w:val="26"/>
        </w:rPr>
        <w:t>The Company’s current Helping Hand</w:t>
      </w:r>
      <w:r w:rsidR="00603497" w:rsidRPr="00892425">
        <w:rPr>
          <w:color w:val="000000"/>
          <w:sz w:val="26"/>
          <w:szCs w:val="26"/>
        </w:rPr>
        <w:t xml:space="preserve"> </w:t>
      </w:r>
      <w:r w:rsidRPr="00892425">
        <w:rPr>
          <w:color w:val="000000"/>
          <w:sz w:val="26"/>
          <w:szCs w:val="26"/>
        </w:rPr>
        <w:t xml:space="preserve">payment is a fixed monthly payment based on the customer’s monthly average usage and an installment payment toward the customer’s arrears. </w:t>
      </w:r>
      <w:r w:rsidR="007D4F0F">
        <w:rPr>
          <w:color w:val="000000"/>
          <w:sz w:val="26"/>
          <w:szCs w:val="26"/>
        </w:rPr>
        <w:t xml:space="preserve"> </w:t>
      </w:r>
      <w:r w:rsidRPr="00892425">
        <w:rPr>
          <w:color w:val="000000"/>
          <w:sz w:val="26"/>
          <w:szCs w:val="26"/>
        </w:rPr>
        <w:t xml:space="preserve">Within 90 days of the effective date of the Settlement Rates, the Company will cease requiring an installment payment toward arrears for new Helping Hand enrollees. </w:t>
      </w:r>
      <w:r w:rsidR="007D4F0F">
        <w:rPr>
          <w:color w:val="000000"/>
          <w:sz w:val="26"/>
          <w:szCs w:val="26"/>
        </w:rPr>
        <w:t xml:space="preserve"> </w:t>
      </w:r>
      <w:r w:rsidRPr="00892425">
        <w:rPr>
          <w:color w:val="000000"/>
          <w:sz w:val="26"/>
          <w:szCs w:val="26"/>
        </w:rPr>
        <w:t>The Company will work with the Helping Hand Collaborative to determine the appropriate means of recalculating average bills going forward for Helping Hand participants on no less than an annual basis.</w:t>
      </w:r>
    </w:p>
    <w:p w14:paraId="2F0A5E79" w14:textId="77777777" w:rsidR="009535C3" w:rsidRPr="00892425" w:rsidRDefault="009535C3" w:rsidP="002C4EC5">
      <w:pPr>
        <w:spacing w:after="200" w:line="240" w:lineRule="auto"/>
        <w:ind w:left="1440" w:right="1440"/>
        <w:contextualSpacing/>
        <w:textAlignment w:val="baseline"/>
        <w:rPr>
          <w:color w:val="000000"/>
          <w:sz w:val="26"/>
          <w:szCs w:val="26"/>
        </w:rPr>
      </w:pPr>
    </w:p>
    <w:p w14:paraId="15FB2943" w14:textId="6B36CD9C" w:rsidR="009535C3" w:rsidRPr="00892425" w:rsidRDefault="009535C3" w:rsidP="002C4EC5">
      <w:pPr>
        <w:spacing w:after="499" w:line="240" w:lineRule="auto"/>
        <w:ind w:left="1440" w:right="1440"/>
        <w:contextualSpacing/>
        <w:textAlignment w:val="baseline"/>
        <w:rPr>
          <w:i/>
          <w:color w:val="000000"/>
          <w:spacing w:val="-1"/>
          <w:sz w:val="26"/>
          <w:szCs w:val="26"/>
        </w:rPr>
      </w:pPr>
      <w:r w:rsidRPr="00892425">
        <w:rPr>
          <w:color w:val="000000"/>
          <w:sz w:val="26"/>
          <w:szCs w:val="26"/>
        </w:rPr>
        <w:t>39.</w:t>
      </w:r>
      <w:r w:rsidRPr="00892425">
        <w:rPr>
          <w:color w:val="000000"/>
          <w:sz w:val="26"/>
          <w:szCs w:val="26"/>
        </w:rPr>
        <w:tab/>
      </w:r>
      <w:r w:rsidRPr="00892425">
        <w:rPr>
          <w:i/>
          <w:color w:val="000000"/>
          <w:sz w:val="26"/>
          <w:szCs w:val="26"/>
        </w:rPr>
        <w:t xml:space="preserve">Arrearage Forgiveness. </w:t>
      </w:r>
      <w:r w:rsidRPr="00892425">
        <w:rPr>
          <w:color w:val="000000"/>
          <w:sz w:val="26"/>
          <w:szCs w:val="26"/>
        </w:rPr>
        <w:t>Aqua will increase the amount of arrearage forgiveness available to each customer enrolled in Helping Hand to $25 per month for each timely, in-full payment made by the customer.</w:t>
      </w:r>
    </w:p>
    <w:p w14:paraId="12737A58" w14:textId="77777777" w:rsidR="00247A11" w:rsidRPr="00892425" w:rsidRDefault="00247A11" w:rsidP="002C4EC5">
      <w:pPr>
        <w:spacing w:line="240" w:lineRule="auto"/>
        <w:ind w:left="1440" w:right="1440"/>
        <w:contextualSpacing/>
        <w:rPr>
          <w:sz w:val="26"/>
          <w:szCs w:val="26"/>
        </w:rPr>
      </w:pPr>
    </w:p>
    <w:p w14:paraId="16003EDB" w14:textId="219C1D9C" w:rsidR="009535C3" w:rsidRPr="00892425" w:rsidRDefault="009535C3" w:rsidP="002C4EC5">
      <w:pPr>
        <w:spacing w:before="10" w:line="240" w:lineRule="auto"/>
        <w:ind w:left="1440" w:right="1440"/>
        <w:contextualSpacing/>
        <w:textAlignment w:val="baseline"/>
        <w:rPr>
          <w:color w:val="000000"/>
          <w:sz w:val="26"/>
          <w:szCs w:val="26"/>
        </w:rPr>
      </w:pPr>
      <w:r w:rsidRPr="00892425">
        <w:rPr>
          <w:color w:val="000000"/>
          <w:sz w:val="26"/>
          <w:szCs w:val="26"/>
        </w:rPr>
        <w:lastRenderedPageBreak/>
        <w:t>40.</w:t>
      </w:r>
      <w:r w:rsidRPr="00892425">
        <w:rPr>
          <w:color w:val="000000"/>
          <w:sz w:val="26"/>
          <w:szCs w:val="26"/>
        </w:rPr>
        <w:tab/>
      </w:r>
      <w:r w:rsidRPr="00892425">
        <w:rPr>
          <w:i/>
          <w:color w:val="000000"/>
          <w:sz w:val="26"/>
          <w:szCs w:val="26"/>
        </w:rPr>
        <w:t xml:space="preserve">Helping Hand Data. </w:t>
      </w:r>
      <w:r w:rsidRPr="00892425">
        <w:rPr>
          <w:color w:val="000000"/>
          <w:sz w:val="26"/>
          <w:szCs w:val="26"/>
        </w:rPr>
        <w:t>Within 120 days from the date that the Settlement Rates are</w:t>
      </w:r>
      <w:r w:rsidR="00603497" w:rsidRPr="00892425">
        <w:rPr>
          <w:color w:val="000000"/>
          <w:sz w:val="26"/>
          <w:szCs w:val="26"/>
        </w:rPr>
        <w:t xml:space="preserve"> </w:t>
      </w:r>
      <w:r w:rsidRPr="00892425">
        <w:rPr>
          <w:color w:val="000000"/>
          <w:sz w:val="26"/>
          <w:szCs w:val="26"/>
        </w:rPr>
        <w:t>effective, the Company will provide a report to the Helping Hand Collaborative on the feasibility of tracking the following listed data, as well as what data it believes provide the best analysis for whether the intent of the program is working based on its current reporting capabilities and resources.</w:t>
      </w:r>
    </w:p>
    <w:p w14:paraId="7D28B39F" w14:textId="77777777" w:rsidR="00621903" w:rsidRPr="00892425" w:rsidRDefault="00621903" w:rsidP="002C4EC5">
      <w:pPr>
        <w:spacing w:before="10" w:line="240" w:lineRule="auto"/>
        <w:ind w:left="1440" w:right="1440"/>
        <w:contextualSpacing/>
        <w:textAlignment w:val="baseline"/>
        <w:rPr>
          <w:color w:val="000000"/>
          <w:sz w:val="26"/>
          <w:szCs w:val="26"/>
        </w:rPr>
      </w:pPr>
    </w:p>
    <w:p w14:paraId="22781CCB" w14:textId="77777777" w:rsidR="009535C3" w:rsidRPr="00892425" w:rsidRDefault="009535C3" w:rsidP="002C4EC5">
      <w:pPr>
        <w:numPr>
          <w:ilvl w:val="0"/>
          <w:numId w:val="21"/>
        </w:numPr>
        <w:tabs>
          <w:tab w:val="clear" w:pos="504"/>
        </w:tabs>
        <w:spacing w:before="279" w:after="120" w:line="240" w:lineRule="auto"/>
        <w:ind w:left="3427" w:right="1440" w:hanging="547"/>
        <w:contextualSpacing/>
        <w:textAlignment w:val="baseline"/>
        <w:rPr>
          <w:color w:val="000000"/>
          <w:sz w:val="26"/>
          <w:szCs w:val="26"/>
        </w:rPr>
      </w:pPr>
      <w:r w:rsidRPr="00892425">
        <w:rPr>
          <w:color w:val="000000"/>
          <w:sz w:val="26"/>
          <w:szCs w:val="26"/>
        </w:rPr>
        <w:t>Number of estimated and confirmed low income customers</w:t>
      </w:r>
    </w:p>
    <w:p w14:paraId="74F56B4A" w14:textId="77777777" w:rsidR="009535C3" w:rsidRPr="00892425" w:rsidRDefault="009535C3" w:rsidP="002C4EC5">
      <w:pPr>
        <w:numPr>
          <w:ilvl w:val="0"/>
          <w:numId w:val="21"/>
        </w:numPr>
        <w:tabs>
          <w:tab w:val="clear" w:pos="504"/>
        </w:tabs>
        <w:spacing w:before="234" w:after="120" w:line="240" w:lineRule="auto"/>
        <w:ind w:left="3427" w:right="1440" w:hanging="547"/>
        <w:contextualSpacing/>
        <w:jc w:val="both"/>
        <w:textAlignment w:val="baseline"/>
        <w:rPr>
          <w:color w:val="000000"/>
          <w:sz w:val="26"/>
          <w:szCs w:val="26"/>
        </w:rPr>
      </w:pPr>
      <w:r w:rsidRPr="00892425">
        <w:rPr>
          <w:color w:val="000000"/>
          <w:sz w:val="26"/>
          <w:szCs w:val="26"/>
        </w:rPr>
        <w:t>Number of confirmed low income customers with arrears and the average arrearage amount</w:t>
      </w:r>
    </w:p>
    <w:p w14:paraId="0621E408" w14:textId="77777777" w:rsidR="009535C3" w:rsidRPr="00892425" w:rsidRDefault="009535C3" w:rsidP="002C4EC5">
      <w:pPr>
        <w:numPr>
          <w:ilvl w:val="0"/>
          <w:numId w:val="21"/>
        </w:numPr>
        <w:tabs>
          <w:tab w:val="clear" w:pos="504"/>
        </w:tabs>
        <w:spacing w:before="234" w:after="120" w:line="240" w:lineRule="auto"/>
        <w:ind w:left="3427" w:right="1440" w:hanging="547"/>
        <w:contextualSpacing/>
        <w:textAlignment w:val="baseline"/>
        <w:rPr>
          <w:color w:val="000000"/>
          <w:sz w:val="26"/>
          <w:szCs w:val="26"/>
        </w:rPr>
      </w:pPr>
      <w:r w:rsidRPr="00892425">
        <w:rPr>
          <w:color w:val="000000"/>
          <w:sz w:val="26"/>
          <w:szCs w:val="26"/>
        </w:rPr>
        <w:t>Average monthly bill amount of confirmed low income customers</w:t>
      </w:r>
    </w:p>
    <w:p w14:paraId="5D35BAFB" w14:textId="77777777" w:rsidR="009535C3" w:rsidRPr="00892425" w:rsidRDefault="009535C3" w:rsidP="002C4EC5">
      <w:pPr>
        <w:numPr>
          <w:ilvl w:val="0"/>
          <w:numId w:val="21"/>
        </w:numPr>
        <w:tabs>
          <w:tab w:val="clear" w:pos="504"/>
        </w:tabs>
        <w:spacing w:before="240" w:after="120" w:line="240" w:lineRule="auto"/>
        <w:ind w:left="3427" w:right="1440" w:hanging="547"/>
        <w:contextualSpacing/>
        <w:textAlignment w:val="baseline"/>
        <w:rPr>
          <w:color w:val="000000"/>
          <w:sz w:val="26"/>
          <w:szCs w:val="26"/>
        </w:rPr>
      </w:pPr>
      <w:r w:rsidRPr="00892425">
        <w:rPr>
          <w:color w:val="000000"/>
          <w:sz w:val="26"/>
          <w:szCs w:val="26"/>
        </w:rPr>
        <w:t>Amount of arrearages for customers entering Helping Hand</w:t>
      </w:r>
    </w:p>
    <w:p w14:paraId="7153123C" w14:textId="77777777" w:rsidR="009535C3" w:rsidRPr="00892425" w:rsidRDefault="009535C3" w:rsidP="002C4EC5">
      <w:pPr>
        <w:numPr>
          <w:ilvl w:val="0"/>
          <w:numId w:val="21"/>
        </w:numPr>
        <w:tabs>
          <w:tab w:val="clear" w:pos="504"/>
        </w:tabs>
        <w:spacing w:before="236" w:after="120" w:line="240" w:lineRule="auto"/>
        <w:ind w:left="3427" w:right="1440" w:hanging="547"/>
        <w:contextualSpacing/>
        <w:textAlignment w:val="baseline"/>
        <w:rPr>
          <w:color w:val="000000"/>
          <w:sz w:val="26"/>
          <w:szCs w:val="26"/>
        </w:rPr>
      </w:pPr>
      <w:r w:rsidRPr="00892425">
        <w:rPr>
          <w:color w:val="000000"/>
          <w:sz w:val="26"/>
          <w:szCs w:val="26"/>
        </w:rPr>
        <w:t>Terminations for nonpayment of confirmed low income customers</w:t>
      </w:r>
    </w:p>
    <w:p w14:paraId="1AEF8CF2" w14:textId="77777777" w:rsidR="009535C3" w:rsidRPr="00892425" w:rsidRDefault="009535C3" w:rsidP="002C4EC5">
      <w:pPr>
        <w:numPr>
          <w:ilvl w:val="0"/>
          <w:numId w:val="21"/>
        </w:numPr>
        <w:tabs>
          <w:tab w:val="clear" w:pos="504"/>
        </w:tabs>
        <w:spacing w:before="246" w:line="240" w:lineRule="auto"/>
        <w:ind w:left="3420" w:right="1440" w:hanging="540"/>
        <w:contextualSpacing/>
        <w:textAlignment w:val="baseline"/>
        <w:rPr>
          <w:color w:val="000000"/>
          <w:sz w:val="26"/>
          <w:szCs w:val="26"/>
        </w:rPr>
      </w:pPr>
      <w:r w:rsidRPr="00892425">
        <w:rPr>
          <w:color w:val="000000"/>
          <w:sz w:val="26"/>
          <w:szCs w:val="26"/>
        </w:rPr>
        <w:t>Number and amounts of hardship grants disbursed</w:t>
      </w:r>
    </w:p>
    <w:p w14:paraId="1BB7D44B" w14:textId="5F0DFADF" w:rsidR="00F02B02" w:rsidRPr="00892425" w:rsidRDefault="00F02B02" w:rsidP="002C4EC5">
      <w:pPr>
        <w:spacing w:line="240" w:lineRule="auto"/>
        <w:ind w:firstLine="1440"/>
        <w:contextualSpacing/>
        <w:rPr>
          <w:sz w:val="26"/>
          <w:szCs w:val="26"/>
        </w:rPr>
      </w:pPr>
    </w:p>
    <w:p w14:paraId="6ACA942F" w14:textId="0A18A168" w:rsidR="0094509E" w:rsidRPr="00892425" w:rsidRDefault="0094509E" w:rsidP="002C4EC5">
      <w:pPr>
        <w:spacing w:line="240" w:lineRule="auto"/>
        <w:ind w:left="1440" w:right="1440"/>
        <w:contextualSpacing/>
        <w:textAlignment w:val="baseline"/>
        <w:rPr>
          <w:color w:val="000000"/>
          <w:sz w:val="26"/>
          <w:szCs w:val="26"/>
        </w:rPr>
      </w:pPr>
      <w:r w:rsidRPr="00892425">
        <w:rPr>
          <w:color w:val="000000"/>
          <w:sz w:val="26"/>
          <w:szCs w:val="26"/>
        </w:rPr>
        <w:t>41.</w:t>
      </w:r>
      <w:r w:rsidRPr="00892425">
        <w:rPr>
          <w:color w:val="000000"/>
          <w:sz w:val="26"/>
          <w:szCs w:val="26"/>
        </w:rPr>
        <w:tab/>
      </w:r>
      <w:r w:rsidRPr="00892425">
        <w:rPr>
          <w:i/>
          <w:color w:val="000000"/>
          <w:sz w:val="26"/>
          <w:szCs w:val="26"/>
        </w:rPr>
        <w:t>Helping Hand Collaborative</w:t>
      </w:r>
      <w:r w:rsidRPr="00892425">
        <w:rPr>
          <w:color w:val="000000"/>
          <w:sz w:val="26"/>
          <w:szCs w:val="26"/>
        </w:rPr>
        <w:t>.</w:t>
      </w:r>
      <w:r w:rsidR="007D4F0F">
        <w:rPr>
          <w:color w:val="000000"/>
          <w:sz w:val="26"/>
          <w:szCs w:val="26"/>
        </w:rPr>
        <w:t xml:space="preserve"> </w:t>
      </w:r>
      <w:r w:rsidRPr="00892425">
        <w:rPr>
          <w:color w:val="000000"/>
          <w:sz w:val="26"/>
          <w:szCs w:val="26"/>
        </w:rPr>
        <w:t xml:space="preserve"> The Company will host a series of Helping Hand Collaborative meetings between now and its next base rate case for the purpose of soliciting input about ways to improve Helping Hand. </w:t>
      </w:r>
      <w:r w:rsidR="007D4F0F">
        <w:rPr>
          <w:color w:val="000000"/>
          <w:sz w:val="26"/>
          <w:szCs w:val="26"/>
        </w:rPr>
        <w:t xml:space="preserve"> </w:t>
      </w:r>
      <w:r w:rsidRPr="00892425">
        <w:rPr>
          <w:color w:val="000000"/>
          <w:sz w:val="26"/>
          <w:szCs w:val="26"/>
        </w:rPr>
        <w:t xml:space="preserve">The Company will invite to the collaborative meetings OCA, the Commission’s Bureau of Consumer Services and CAUSE-PA. </w:t>
      </w:r>
      <w:r w:rsidR="007D4F0F">
        <w:rPr>
          <w:color w:val="000000"/>
          <w:sz w:val="26"/>
          <w:szCs w:val="26"/>
        </w:rPr>
        <w:t xml:space="preserve"> </w:t>
      </w:r>
      <w:r w:rsidRPr="00892425">
        <w:rPr>
          <w:color w:val="000000"/>
          <w:sz w:val="26"/>
          <w:szCs w:val="26"/>
        </w:rPr>
        <w:t xml:space="preserve">The Company will host collaborative meetings quarterly for the first year after the effective date of the Settlement Rates, with the first meeting to be held within 60 days of the effective date of the Settlement Rates. </w:t>
      </w:r>
      <w:r w:rsidR="007D4F0F">
        <w:rPr>
          <w:color w:val="000000"/>
          <w:sz w:val="26"/>
          <w:szCs w:val="26"/>
        </w:rPr>
        <w:t xml:space="preserve"> </w:t>
      </w:r>
      <w:r w:rsidRPr="00892425">
        <w:rPr>
          <w:color w:val="000000"/>
          <w:sz w:val="26"/>
          <w:szCs w:val="26"/>
        </w:rPr>
        <w:t xml:space="preserve">After the first year, the Company will host collaborative meetings not less than twice a year. </w:t>
      </w:r>
      <w:r w:rsidR="007D4F0F">
        <w:rPr>
          <w:color w:val="000000"/>
          <w:sz w:val="26"/>
          <w:szCs w:val="26"/>
        </w:rPr>
        <w:t xml:space="preserve"> </w:t>
      </w:r>
      <w:r w:rsidRPr="00892425">
        <w:rPr>
          <w:color w:val="000000"/>
          <w:sz w:val="26"/>
          <w:szCs w:val="26"/>
        </w:rPr>
        <w:t>The collaborative meetings will be to discuss, among other topics:</w:t>
      </w:r>
    </w:p>
    <w:p w14:paraId="5611F769" w14:textId="77777777" w:rsidR="0094509E" w:rsidRPr="00892425" w:rsidRDefault="0094509E" w:rsidP="002C4EC5">
      <w:pPr>
        <w:spacing w:line="240" w:lineRule="auto"/>
        <w:ind w:right="216" w:firstLine="720"/>
        <w:contextualSpacing/>
        <w:textAlignment w:val="baseline"/>
        <w:rPr>
          <w:color w:val="000000"/>
          <w:sz w:val="26"/>
          <w:szCs w:val="26"/>
        </w:rPr>
      </w:pPr>
    </w:p>
    <w:p w14:paraId="78A3AD1B" w14:textId="09620C48" w:rsidR="0094509E" w:rsidRPr="00892425" w:rsidRDefault="0094509E" w:rsidP="002C4EC5">
      <w:pPr>
        <w:numPr>
          <w:ilvl w:val="0"/>
          <w:numId w:val="22"/>
        </w:numPr>
        <w:tabs>
          <w:tab w:val="clear" w:pos="504"/>
        </w:tabs>
        <w:spacing w:before="273" w:line="240" w:lineRule="auto"/>
        <w:ind w:left="3420" w:right="1440" w:hanging="540"/>
        <w:contextualSpacing/>
        <w:jc w:val="both"/>
        <w:textAlignment w:val="baseline"/>
        <w:rPr>
          <w:color w:val="000000"/>
          <w:sz w:val="26"/>
          <w:szCs w:val="26"/>
        </w:rPr>
      </w:pPr>
      <w:r w:rsidRPr="00892425">
        <w:rPr>
          <w:color w:val="000000"/>
          <w:sz w:val="26"/>
          <w:szCs w:val="26"/>
        </w:rPr>
        <w:t>The scope of low income data that it is feasible and useful for the Company to collect;</w:t>
      </w:r>
    </w:p>
    <w:p w14:paraId="117DDB6F" w14:textId="77777777" w:rsidR="0094509E" w:rsidRPr="00892425" w:rsidRDefault="0094509E" w:rsidP="002C4EC5">
      <w:pPr>
        <w:tabs>
          <w:tab w:val="left" w:pos="2808"/>
        </w:tabs>
        <w:spacing w:before="273" w:line="240" w:lineRule="auto"/>
        <w:ind w:left="3420" w:right="1440" w:hanging="540"/>
        <w:contextualSpacing/>
        <w:jc w:val="both"/>
        <w:textAlignment w:val="baseline"/>
        <w:rPr>
          <w:color w:val="000000"/>
          <w:sz w:val="26"/>
          <w:szCs w:val="26"/>
        </w:rPr>
      </w:pPr>
    </w:p>
    <w:p w14:paraId="3A34E383" w14:textId="2457EA6C" w:rsidR="0094509E" w:rsidRPr="00892425" w:rsidRDefault="0094509E" w:rsidP="002C4EC5">
      <w:pPr>
        <w:numPr>
          <w:ilvl w:val="0"/>
          <w:numId w:val="22"/>
        </w:numPr>
        <w:tabs>
          <w:tab w:val="clear" w:pos="504"/>
          <w:tab w:val="left" w:pos="2808"/>
        </w:tabs>
        <w:spacing w:before="240" w:line="240" w:lineRule="auto"/>
        <w:ind w:left="3420" w:right="1440" w:hanging="540"/>
        <w:contextualSpacing/>
        <w:jc w:val="both"/>
        <w:textAlignment w:val="baseline"/>
        <w:rPr>
          <w:color w:val="000000"/>
          <w:sz w:val="26"/>
          <w:szCs w:val="26"/>
        </w:rPr>
      </w:pPr>
      <w:r w:rsidRPr="00892425">
        <w:rPr>
          <w:color w:val="000000"/>
          <w:sz w:val="26"/>
          <w:szCs w:val="26"/>
        </w:rPr>
        <w:t>Details of the grant component of the program;</w:t>
      </w:r>
    </w:p>
    <w:p w14:paraId="5BC8F472" w14:textId="77777777" w:rsidR="0094509E" w:rsidRPr="00892425" w:rsidRDefault="0094509E" w:rsidP="002C4EC5">
      <w:pPr>
        <w:tabs>
          <w:tab w:val="left" w:pos="2808"/>
        </w:tabs>
        <w:spacing w:before="240" w:line="240" w:lineRule="auto"/>
        <w:ind w:left="3420" w:right="1440" w:hanging="540"/>
        <w:contextualSpacing/>
        <w:jc w:val="both"/>
        <w:textAlignment w:val="baseline"/>
        <w:rPr>
          <w:color w:val="000000"/>
          <w:sz w:val="26"/>
          <w:szCs w:val="26"/>
        </w:rPr>
      </w:pPr>
    </w:p>
    <w:p w14:paraId="1A08F86D" w14:textId="475690A1" w:rsidR="0094509E" w:rsidRPr="00892425" w:rsidRDefault="0094509E" w:rsidP="002C4EC5">
      <w:pPr>
        <w:numPr>
          <w:ilvl w:val="0"/>
          <w:numId w:val="22"/>
        </w:numPr>
        <w:tabs>
          <w:tab w:val="clear" w:pos="504"/>
          <w:tab w:val="left" w:pos="2808"/>
        </w:tabs>
        <w:spacing w:before="246" w:after="442" w:line="240" w:lineRule="auto"/>
        <w:ind w:left="3420" w:right="1440" w:hanging="540"/>
        <w:contextualSpacing/>
        <w:jc w:val="both"/>
        <w:textAlignment w:val="baseline"/>
        <w:rPr>
          <w:color w:val="000000"/>
          <w:sz w:val="26"/>
          <w:szCs w:val="26"/>
        </w:rPr>
      </w:pPr>
      <w:r w:rsidRPr="00892425">
        <w:rPr>
          <w:color w:val="000000"/>
          <w:sz w:val="26"/>
          <w:szCs w:val="26"/>
        </w:rPr>
        <w:lastRenderedPageBreak/>
        <w:t>The method of calculating the monthly Helping Hand payment;</w:t>
      </w:r>
    </w:p>
    <w:p w14:paraId="39ACE36F" w14:textId="77777777" w:rsidR="0094509E" w:rsidRPr="00892425" w:rsidRDefault="0094509E" w:rsidP="002C4EC5">
      <w:pPr>
        <w:numPr>
          <w:ilvl w:val="0"/>
          <w:numId w:val="23"/>
        </w:numPr>
        <w:tabs>
          <w:tab w:val="clear" w:pos="504"/>
          <w:tab w:val="left" w:pos="2808"/>
        </w:tabs>
        <w:spacing w:before="10" w:line="240" w:lineRule="auto"/>
        <w:ind w:left="3420" w:right="1440" w:hanging="540"/>
        <w:contextualSpacing/>
        <w:textAlignment w:val="baseline"/>
        <w:rPr>
          <w:color w:val="000000"/>
          <w:sz w:val="26"/>
          <w:szCs w:val="26"/>
        </w:rPr>
      </w:pPr>
      <w:r w:rsidRPr="00892425">
        <w:rPr>
          <w:color w:val="000000"/>
          <w:sz w:val="26"/>
          <w:szCs w:val="26"/>
        </w:rPr>
        <w:t>Improving outreach and messaging for programs;</w:t>
      </w:r>
    </w:p>
    <w:p w14:paraId="389DFAF5" w14:textId="77777777" w:rsidR="0094509E" w:rsidRPr="00892425" w:rsidRDefault="0094509E" w:rsidP="002C4EC5">
      <w:pPr>
        <w:numPr>
          <w:ilvl w:val="0"/>
          <w:numId w:val="23"/>
        </w:numPr>
        <w:tabs>
          <w:tab w:val="clear" w:pos="504"/>
          <w:tab w:val="left" w:pos="2808"/>
        </w:tabs>
        <w:spacing w:before="240" w:line="240" w:lineRule="auto"/>
        <w:ind w:left="3420" w:right="1440" w:hanging="540"/>
        <w:contextualSpacing/>
        <w:textAlignment w:val="baseline"/>
        <w:rPr>
          <w:color w:val="000000"/>
          <w:sz w:val="26"/>
          <w:szCs w:val="26"/>
        </w:rPr>
      </w:pPr>
      <w:r w:rsidRPr="00892425">
        <w:rPr>
          <w:color w:val="000000"/>
          <w:sz w:val="26"/>
          <w:szCs w:val="26"/>
        </w:rPr>
        <w:t>Further develop a holistic communications plan;</w:t>
      </w:r>
    </w:p>
    <w:p w14:paraId="1FB1567B" w14:textId="6DF4D5D7" w:rsidR="0094509E" w:rsidRDefault="0094509E" w:rsidP="002C4EC5">
      <w:pPr>
        <w:numPr>
          <w:ilvl w:val="0"/>
          <w:numId w:val="23"/>
        </w:numPr>
        <w:tabs>
          <w:tab w:val="clear" w:pos="504"/>
          <w:tab w:val="left" w:pos="2808"/>
        </w:tabs>
        <w:spacing w:before="246" w:line="240" w:lineRule="auto"/>
        <w:ind w:left="3420" w:right="1440" w:hanging="540"/>
        <w:contextualSpacing/>
        <w:textAlignment w:val="baseline"/>
        <w:rPr>
          <w:color w:val="000000"/>
          <w:sz w:val="26"/>
          <w:szCs w:val="26"/>
        </w:rPr>
      </w:pPr>
      <w:r w:rsidRPr="00892425">
        <w:rPr>
          <w:color w:val="000000"/>
          <w:sz w:val="26"/>
          <w:szCs w:val="26"/>
        </w:rPr>
        <w:t>Assessing applicable data; and</w:t>
      </w:r>
    </w:p>
    <w:p w14:paraId="64BC88BF" w14:textId="77777777" w:rsidR="007D4F0F" w:rsidRPr="00892425" w:rsidRDefault="007D4F0F" w:rsidP="002C4EC5">
      <w:pPr>
        <w:tabs>
          <w:tab w:val="left" w:pos="504"/>
          <w:tab w:val="left" w:pos="2808"/>
        </w:tabs>
        <w:spacing w:before="246" w:line="240" w:lineRule="auto"/>
        <w:ind w:right="1440"/>
        <w:contextualSpacing/>
        <w:textAlignment w:val="baseline"/>
        <w:rPr>
          <w:color w:val="000000"/>
          <w:sz w:val="26"/>
          <w:szCs w:val="26"/>
        </w:rPr>
      </w:pPr>
    </w:p>
    <w:p w14:paraId="714F7F7A" w14:textId="77777777" w:rsidR="0094509E" w:rsidRPr="00892425" w:rsidRDefault="0094509E" w:rsidP="002C4EC5">
      <w:pPr>
        <w:numPr>
          <w:ilvl w:val="0"/>
          <w:numId w:val="23"/>
        </w:numPr>
        <w:tabs>
          <w:tab w:val="clear" w:pos="504"/>
          <w:tab w:val="left" w:pos="2808"/>
        </w:tabs>
        <w:spacing w:before="234" w:line="240" w:lineRule="auto"/>
        <w:ind w:left="3420" w:right="1440" w:hanging="540"/>
        <w:contextualSpacing/>
        <w:textAlignment w:val="baseline"/>
        <w:rPr>
          <w:color w:val="000000"/>
          <w:sz w:val="26"/>
          <w:szCs w:val="26"/>
        </w:rPr>
      </w:pPr>
      <w:r w:rsidRPr="00892425">
        <w:rPr>
          <w:color w:val="000000"/>
          <w:sz w:val="26"/>
          <w:szCs w:val="26"/>
        </w:rPr>
        <w:t>Developing efforts to fund the grant assistance program on an ongoing basis.</w:t>
      </w:r>
    </w:p>
    <w:p w14:paraId="365E2D41" w14:textId="18774A5F" w:rsidR="009535C3" w:rsidRPr="00892425" w:rsidRDefault="009535C3" w:rsidP="002C4EC5">
      <w:pPr>
        <w:spacing w:line="240" w:lineRule="auto"/>
        <w:ind w:left="1440" w:right="1440"/>
        <w:contextualSpacing/>
        <w:rPr>
          <w:color w:val="000000"/>
          <w:sz w:val="26"/>
          <w:szCs w:val="26"/>
        </w:rPr>
      </w:pPr>
    </w:p>
    <w:p w14:paraId="336CD356" w14:textId="3EA7DF6C" w:rsidR="0094509E" w:rsidRPr="00892425" w:rsidRDefault="0094509E" w:rsidP="002C4EC5">
      <w:pPr>
        <w:spacing w:line="240" w:lineRule="auto"/>
        <w:ind w:left="1440" w:right="1440"/>
        <w:contextualSpacing/>
        <w:rPr>
          <w:color w:val="000000"/>
          <w:sz w:val="26"/>
          <w:szCs w:val="26"/>
        </w:rPr>
      </w:pPr>
      <w:r w:rsidRPr="00892425">
        <w:rPr>
          <w:color w:val="000000"/>
          <w:sz w:val="26"/>
          <w:szCs w:val="26"/>
        </w:rPr>
        <w:t>Aqua will have full discretion as to whether to accept feedback from the Helping Hand Collaborative, and as required, submit proposals to the Commission for approval.</w:t>
      </w:r>
    </w:p>
    <w:p w14:paraId="493312AB" w14:textId="475FFB32" w:rsidR="0094509E" w:rsidRPr="00892425" w:rsidRDefault="0094509E" w:rsidP="002C4EC5">
      <w:pPr>
        <w:spacing w:line="240" w:lineRule="auto"/>
        <w:contextualSpacing/>
        <w:rPr>
          <w:color w:val="000000"/>
          <w:sz w:val="26"/>
          <w:szCs w:val="26"/>
        </w:rPr>
      </w:pPr>
    </w:p>
    <w:p w14:paraId="55D9E081" w14:textId="654594CE" w:rsidR="0094509E" w:rsidRDefault="0094509E" w:rsidP="002C4EC5">
      <w:pPr>
        <w:keepNext/>
        <w:keepLines/>
        <w:spacing w:before="279" w:after="200" w:line="240" w:lineRule="auto"/>
        <w:ind w:left="2880"/>
        <w:contextualSpacing/>
        <w:textAlignment w:val="baseline"/>
        <w:rPr>
          <w:color w:val="000000"/>
          <w:sz w:val="26"/>
          <w:szCs w:val="26"/>
          <w:u w:val="single"/>
        </w:rPr>
      </w:pPr>
      <w:r w:rsidRPr="00892425">
        <w:rPr>
          <w:color w:val="000000"/>
          <w:sz w:val="26"/>
          <w:szCs w:val="26"/>
        </w:rPr>
        <w:t>(ii)</w:t>
      </w:r>
      <w:r w:rsidRPr="00892425">
        <w:rPr>
          <w:color w:val="000000"/>
          <w:sz w:val="26"/>
          <w:szCs w:val="26"/>
        </w:rPr>
        <w:tab/>
      </w:r>
      <w:r w:rsidRPr="00892425">
        <w:rPr>
          <w:color w:val="000000"/>
          <w:sz w:val="26"/>
          <w:szCs w:val="26"/>
          <w:u w:val="single"/>
        </w:rPr>
        <w:t>Domestic Violence Policy</w:t>
      </w:r>
    </w:p>
    <w:p w14:paraId="396A891D" w14:textId="77777777" w:rsidR="007D4F0F" w:rsidRPr="00892425" w:rsidRDefault="007D4F0F" w:rsidP="002C4EC5">
      <w:pPr>
        <w:keepNext/>
        <w:keepLines/>
        <w:spacing w:before="279" w:after="200" w:line="240" w:lineRule="auto"/>
        <w:ind w:left="2880"/>
        <w:contextualSpacing/>
        <w:textAlignment w:val="baseline"/>
        <w:rPr>
          <w:color w:val="000000"/>
          <w:sz w:val="26"/>
          <w:szCs w:val="26"/>
        </w:rPr>
      </w:pPr>
    </w:p>
    <w:p w14:paraId="228694C6" w14:textId="1EA97A9B" w:rsidR="0094509E" w:rsidRPr="00892425" w:rsidRDefault="0094509E" w:rsidP="002C4EC5">
      <w:pPr>
        <w:spacing w:after="200" w:line="240" w:lineRule="auto"/>
        <w:ind w:left="1440" w:right="1440"/>
        <w:contextualSpacing/>
        <w:textAlignment w:val="baseline"/>
        <w:rPr>
          <w:color w:val="000000"/>
          <w:sz w:val="26"/>
          <w:szCs w:val="26"/>
        </w:rPr>
      </w:pPr>
      <w:r w:rsidRPr="00892425">
        <w:rPr>
          <w:color w:val="000000"/>
          <w:sz w:val="26"/>
          <w:szCs w:val="26"/>
        </w:rPr>
        <w:t>42.</w:t>
      </w:r>
      <w:r w:rsidRPr="00892425">
        <w:rPr>
          <w:color w:val="000000"/>
          <w:sz w:val="26"/>
          <w:szCs w:val="26"/>
        </w:rPr>
        <w:tab/>
        <w:t>Aqua will document its domestic violence procedures and have them readily available to its customer service representative (“CSRs”). Aqua commits to review these procedures with CAUSE-PA, OCA and other interested parties. Aqua agrees to implement a policy allowing that victims of domestic violence be provided three days to provide a copy of their order before termination will proceed and will clearly define the payment arrangement rules available for these customers.</w:t>
      </w:r>
    </w:p>
    <w:p w14:paraId="20063697" w14:textId="77777777" w:rsidR="0094509E" w:rsidRPr="00892425" w:rsidRDefault="0094509E" w:rsidP="002C4EC5">
      <w:pPr>
        <w:spacing w:after="200" w:line="240" w:lineRule="auto"/>
        <w:ind w:left="1440" w:right="1440"/>
        <w:contextualSpacing/>
        <w:textAlignment w:val="baseline"/>
        <w:rPr>
          <w:color w:val="000000"/>
          <w:sz w:val="26"/>
          <w:szCs w:val="26"/>
        </w:rPr>
      </w:pPr>
    </w:p>
    <w:p w14:paraId="2968FD59" w14:textId="471AF50D" w:rsidR="0094509E" w:rsidRDefault="0094509E" w:rsidP="002C4EC5">
      <w:pPr>
        <w:keepNext/>
        <w:keepLines/>
        <w:spacing w:before="274" w:after="200" w:line="240" w:lineRule="auto"/>
        <w:ind w:left="2880"/>
        <w:contextualSpacing/>
        <w:textAlignment w:val="baseline"/>
        <w:rPr>
          <w:color w:val="000000"/>
          <w:sz w:val="26"/>
          <w:szCs w:val="26"/>
          <w:u w:val="single"/>
        </w:rPr>
      </w:pPr>
      <w:r w:rsidRPr="00892425">
        <w:rPr>
          <w:color w:val="000000"/>
          <w:sz w:val="26"/>
          <w:szCs w:val="26"/>
        </w:rPr>
        <w:t>(iii)</w:t>
      </w:r>
      <w:r w:rsidRPr="00892425">
        <w:rPr>
          <w:color w:val="000000"/>
          <w:sz w:val="26"/>
          <w:szCs w:val="26"/>
        </w:rPr>
        <w:tab/>
      </w:r>
      <w:r w:rsidRPr="00892425">
        <w:rPr>
          <w:color w:val="000000"/>
          <w:sz w:val="26"/>
          <w:szCs w:val="26"/>
          <w:u w:val="single"/>
        </w:rPr>
        <w:t xml:space="preserve">Medical Certifications </w:t>
      </w:r>
    </w:p>
    <w:p w14:paraId="7037D38E" w14:textId="77777777" w:rsidR="007D4F0F" w:rsidRPr="00892425" w:rsidRDefault="007D4F0F" w:rsidP="002C4EC5">
      <w:pPr>
        <w:keepNext/>
        <w:keepLines/>
        <w:spacing w:before="274" w:after="200" w:line="240" w:lineRule="auto"/>
        <w:ind w:left="2880"/>
        <w:contextualSpacing/>
        <w:textAlignment w:val="baseline"/>
        <w:rPr>
          <w:color w:val="000000"/>
          <w:sz w:val="26"/>
          <w:szCs w:val="26"/>
        </w:rPr>
      </w:pPr>
    </w:p>
    <w:p w14:paraId="3BCC058A" w14:textId="337634FD" w:rsidR="0094509E" w:rsidRPr="00892425" w:rsidRDefault="0094509E" w:rsidP="002C4EC5">
      <w:pPr>
        <w:keepNext/>
        <w:keepLines/>
        <w:spacing w:after="200" w:line="240" w:lineRule="auto"/>
        <w:ind w:left="1440" w:right="1440"/>
        <w:contextualSpacing/>
        <w:textAlignment w:val="baseline"/>
        <w:rPr>
          <w:color w:val="000000"/>
          <w:sz w:val="26"/>
          <w:szCs w:val="26"/>
        </w:rPr>
      </w:pPr>
      <w:r w:rsidRPr="00892425">
        <w:rPr>
          <w:color w:val="000000"/>
          <w:sz w:val="26"/>
          <w:szCs w:val="26"/>
        </w:rPr>
        <w:t>43.</w:t>
      </w:r>
      <w:r w:rsidRPr="00892425">
        <w:rPr>
          <w:color w:val="000000"/>
          <w:sz w:val="26"/>
          <w:szCs w:val="26"/>
        </w:rPr>
        <w:tab/>
        <w:t>Aqua agrees to edit the signature line on its Medical Certification Form to include a reference to physician, physician’s assistant, or nurse practitioner.</w:t>
      </w:r>
    </w:p>
    <w:p w14:paraId="1CFD608B" w14:textId="77777777" w:rsidR="0094509E" w:rsidRPr="00892425" w:rsidRDefault="0094509E" w:rsidP="002C4EC5">
      <w:pPr>
        <w:spacing w:after="200" w:line="240" w:lineRule="auto"/>
        <w:ind w:left="1440" w:right="1440"/>
        <w:contextualSpacing/>
        <w:textAlignment w:val="baseline"/>
        <w:rPr>
          <w:color w:val="000000"/>
          <w:sz w:val="26"/>
          <w:szCs w:val="26"/>
        </w:rPr>
      </w:pPr>
    </w:p>
    <w:p w14:paraId="3F6D6D11" w14:textId="28BBD4A4" w:rsidR="0094509E" w:rsidRDefault="0094509E" w:rsidP="002C4EC5">
      <w:pPr>
        <w:keepNext/>
        <w:keepLines/>
        <w:spacing w:before="279" w:after="200" w:line="240" w:lineRule="auto"/>
        <w:ind w:left="2880" w:right="1440"/>
        <w:contextualSpacing/>
        <w:textAlignment w:val="baseline"/>
        <w:rPr>
          <w:color w:val="000000"/>
          <w:sz w:val="26"/>
          <w:szCs w:val="26"/>
          <w:u w:val="single"/>
        </w:rPr>
      </w:pPr>
      <w:r w:rsidRPr="00892425">
        <w:rPr>
          <w:color w:val="000000"/>
          <w:sz w:val="26"/>
          <w:szCs w:val="26"/>
        </w:rPr>
        <w:t>(iv)</w:t>
      </w:r>
      <w:r w:rsidRPr="00892425">
        <w:rPr>
          <w:color w:val="000000"/>
          <w:sz w:val="26"/>
          <w:szCs w:val="26"/>
        </w:rPr>
        <w:tab/>
      </w:r>
      <w:r w:rsidRPr="00892425">
        <w:rPr>
          <w:color w:val="000000"/>
          <w:sz w:val="26"/>
          <w:szCs w:val="26"/>
          <w:u w:val="single"/>
        </w:rPr>
        <w:t xml:space="preserve">Termination Notices </w:t>
      </w:r>
    </w:p>
    <w:p w14:paraId="48D95A57" w14:textId="77777777" w:rsidR="007D4F0F" w:rsidRPr="00892425" w:rsidRDefault="007D4F0F" w:rsidP="002C4EC5">
      <w:pPr>
        <w:keepNext/>
        <w:keepLines/>
        <w:spacing w:before="279" w:after="200" w:line="240" w:lineRule="auto"/>
        <w:ind w:left="2880" w:right="1440"/>
        <w:contextualSpacing/>
        <w:textAlignment w:val="baseline"/>
        <w:rPr>
          <w:color w:val="000000"/>
          <w:sz w:val="26"/>
          <w:szCs w:val="26"/>
        </w:rPr>
      </w:pPr>
    </w:p>
    <w:p w14:paraId="4834752C" w14:textId="561715ED" w:rsidR="0094509E" w:rsidRPr="00892425" w:rsidRDefault="0094509E" w:rsidP="002C4EC5">
      <w:pPr>
        <w:spacing w:line="240" w:lineRule="auto"/>
        <w:ind w:left="1440" w:right="1440"/>
        <w:contextualSpacing/>
        <w:rPr>
          <w:sz w:val="26"/>
          <w:szCs w:val="26"/>
        </w:rPr>
      </w:pPr>
      <w:r w:rsidRPr="00892425">
        <w:rPr>
          <w:color w:val="000000"/>
          <w:sz w:val="26"/>
          <w:szCs w:val="26"/>
        </w:rPr>
        <w:t>44.</w:t>
      </w:r>
      <w:r w:rsidRPr="00892425">
        <w:rPr>
          <w:color w:val="000000"/>
          <w:sz w:val="26"/>
          <w:szCs w:val="26"/>
        </w:rPr>
        <w:tab/>
        <w:t xml:space="preserve">Aqua will remove reference to security deposits from its termination notices and tariff, and amend the language related to domestic violence victims as follows: </w:t>
      </w:r>
      <w:r w:rsidRPr="00892425">
        <w:rPr>
          <w:i/>
          <w:color w:val="000000"/>
          <w:sz w:val="26"/>
          <w:szCs w:val="26"/>
        </w:rPr>
        <w:t>“If you are a victim of domestic violence and have a Protection From Abuse Order or other court order that shows clear evidence of domestic violence, there are special protections available.”</w:t>
      </w:r>
    </w:p>
    <w:p w14:paraId="17771D59" w14:textId="4EB107ED" w:rsidR="009535C3" w:rsidRPr="00892425" w:rsidRDefault="009535C3" w:rsidP="002C4EC5">
      <w:pPr>
        <w:spacing w:line="240" w:lineRule="auto"/>
        <w:ind w:firstLine="1440"/>
        <w:contextualSpacing/>
        <w:rPr>
          <w:sz w:val="26"/>
          <w:szCs w:val="26"/>
        </w:rPr>
      </w:pPr>
    </w:p>
    <w:p w14:paraId="1CEDEE3D" w14:textId="5FC687D0" w:rsidR="0094509E" w:rsidRDefault="0094509E" w:rsidP="002C4EC5">
      <w:pPr>
        <w:keepNext/>
        <w:keepLines/>
        <w:spacing w:before="15" w:after="200" w:line="240" w:lineRule="auto"/>
        <w:ind w:left="1440" w:right="1440" w:firstLine="720"/>
        <w:contextualSpacing/>
        <w:textAlignment w:val="baseline"/>
        <w:rPr>
          <w:b/>
          <w:color w:val="000000"/>
          <w:sz w:val="26"/>
          <w:szCs w:val="26"/>
        </w:rPr>
      </w:pPr>
      <w:bookmarkStart w:id="14" w:name="_Hlk6213937"/>
      <w:r w:rsidRPr="00892425">
        <w:rPr>
          <w:b/>
          <w:color w:val="000000"/>
          <w:sz w:val="26"/>
          <w:szCs w:val="26"/>
        </w:rPr>
        <w:lastRenderedPageBreak/>
        <w:t>K.</w:t>
      </w:r>
      <w:r w:rsidRPr="00892425">
        <w:rPr>
          <w:b/>
          <w:color w:val="000000"/>
          <w:sz w:val="26"/>
          <w:szCs w:val="26"/>
        </w:rPr>
        <w:tab/>
        <w:t>Service Related Issues</w:t>
      </w:r>
    </w:p>
    <w:p w14:paraId="5E5515A5" w14:textId="77777777" w:rsidR="00031667" w:rsidRPr="00892425" w:rsidRDefault="00031667" w:rsidP="002C4EC5">
      <w:pPr>
        <w:keepNext/>
        <w:keepLines/>
        <w:spacing w:before="15" w:after="200" w:line="240" w:lineRule="auto"/>
        <w:ind w:left="1440" w:right="1440" w:firstLine="720"/>
        <w:contextualSpacing/>
        <w:textAlignment w:val="baseline"/>
        <w:rPr>
          <w:b/>
          <w:color w:val="000000"/>
          <w:sz w:val="26"/>
          <w:szCs w:val="26"/>
        </w:rPr>
      </w:pPr>
    </w:p>
    <w:p w14:paraId="6ED9599F" w14:textId="07F7995F" w:rsidR="0094509E" w:rsidRPr="00892425" w:rsidRDefault="0094509E" w:rsidP="002C4EC5">
      <w:pPr>
        <w:numPr>
          <w:ilvl w:val="0"/>
          <w:numId w:val="24"/>
        </w:numPr>
        <w:tabs>
          <w:tab w:val="clear" w:pos="720"/>
        </w:tabs>
        <w:spacing w:after="200" w:line="240" w:lineRule="auto"/>
        <w:ind w:left="1440" w:right="1440"/>
        <w:contextualSpacing/>
        <w:textAlignment w:val="baseline"/>
        <w:rPr>
          <w:color w:val="000000"/>
          <w:spacing w:val="1"/>
          <w:sz w:val="26"/>
          <w:szCs w:val="26"/>
        </w:rPr>
      </w:pPr>
      <w:r w:rsidRPr="00892425">
        <w:rPr>
          <w:color w:val="000000"/>
          <w:spacing w:val="1"/>
          <w:sz w:val="26"/>
          <w:szCs w:val="26"/>
        </w:rPr>
        <w:t>The Company agrees to continue monitoring its water supply for the presence of the two chemicals, Perfluorooctanesulfonic acid (“PFOS”) and Perfluorooctanoic acid (“PFOA”), in accordance with the United States Environmental Protection Agency’s Third Unregulated Contaminant Monitoring Rule (“UCMR3”).</w:t>
      </w:r>
      <w:r w:rsidR="007D4F0F" w:rsidRPr="007D4F0F">
        <w:rPr>
          <w:color w:val="000000"/>
          <w:spacing w:val="1"/>
          <w:sz w:val="26"/>
          <w:szCs w:val="26"/>
          <w:vertAlign w:val="superscript"/>
        </w:rPr>
        <w:t>9</w:t>
      </w:r>
      <w:r w:rsidR="007D4F0F">
        <w:rPr>
          <w:color w:val="000000"/>
          <w:spacing w:val="1"/>
          <w:sz w:val="26"/>
          <w:szCs w:val="26"/>
        </w:rPr>
        <w:t xml:space="preserve"> </w:t>
      </w:r>
      <w:r w:rsidRPr="00892425">
        <w:rPr>
          <w:color w:val="000000"/>
          <w:spacing w:val="1"/>
          <w:sz w:val="26"/>
          <w:szCs w:val="26"/>
        </w:rPr>
        <w:t xml:space="preserve">Aqua will also continue to share its sampling results for PFOS and PFOA in Montgomery County on its dedicated </w:t>
      </w:r>
      <w:r w:rsidRPr="00892425">
        <w:rPr>
          <w:spacing w:val="1"/>
          <w:sz w:val="26"/>
          <w:szCs w:val="26"/>
        </w:rPr>
        <w:t xml:space="preserve">website </w:t>
      </w:r>
      <w:r w:rsidRPr="00892425">
        <w:rPr>
          <w:i/>
          <w:spacing w:val="1"/>
          <w:sz w:val="26"/>
          <w:szCs w:val="26"/>
          <w:u w:val="single"/>
        </w:rPr>
        <w:t>WaterFacts.com</w:t>
      </w:r>
      <w:r w:rsidRPr="00892425">
        <w:rPr>
          <w:spacing w:val="1"/>
          <w:sz w:val="26"/>
          <w:szCs w:val="26"/>
        </w:rPr>
        <w:t xml:space="preserve">, consumer </w:t>
      </w:r>
      <w:r w:rsidRPr="00892425">
        <w:rPr>
          <w:color w:val="000000"/>
          <w:spacing w:val="1"/>
          <w:sz w:val="26"/>
          <w:szCs w:val="26"/>
        </w:rPr>
        <w:t xml:space="preserve">confidence reports (“CCRs”), or other appropriate forms and evaluate treatment options and operational initiatives where appropriate. </w:t>
      </w:r>
      <w:r w:rsidR="00603BB4">
        <w:rPr>
          <w:color w:val="000000"/>
          <w:spacing w:val="1"/>
          <w:sz w:val="26"/>
          <w:szCs w:val="26"/>
        </w:rPr>
        <w:t xml:space="preserve"> </w:t>
      </w:r>
      <w:r w:rsidRPr="00892425">
        <w:rPr>
          <w:color w:val="000000"/>
          <w:spacing w:val="1"/>
          <w:sz w:val="26"/>
          <w:szCs w:val="26"/>
        </w:rPr>
        <w:t xml:space="preserve">As long </w:t>
      </w:r>
      <w:r w:rsidRPr="00892425">
        <w:rPr>
          <w:spacing w:val="1"/>
          <w:sz w:val="26"/>
          <w:szCs w:val="26"/>
        </w:rPr>
        <w:t xml:space="preserve">as </w:t>
      </w:r>
      <w:hyperlink r:id="rId12">
        <w:r w:rsidRPr="00892425">
          <w:rPr>
            <w:i/>
            <w:spacing w:val="1"/>
            <w:sz w:val="26"/>
            <w:szCs w:val="26"/>
            <w:u w:val="single"/>
          </w:rPr>
          <w:t>http://WaterFacts.com</w:t>
        </w:r>
      </w:hyperlink>
      <w:r w:rsidRPr="00892425">
        <w:rPr>
          <w:i/>
          <w:spacing w:val="1"/>
          <w:sz w:val="26"/>
          <w:szCs w:val="26"/>
        </w:rPr>
        <w:t xml:space="preserve"> </w:t>
      </w:r>
      <w:r w:rsidRPr="00892425">
        <w:rPr>
          <w:spacing w:val="1"/>
          <w:sz w:val="26"/>
          <w:szCs w:val="26"/>
        </w:rPr>
        <w:t xml:space="preserve">is </w:t>
      </w:r>
      <w:r w:rsidRPr="00892425">
        <w:rPr>
          <w:color w:val="000000"/>
          <w:spacing w:val="1"/>
          <w:sz w:val="26"/>
          <w:szCs w:val="26"/>
        </w:rPr>
        <w:t xml:space="preserve">in use and there is no other new regulatory requirement specifying data collection and communication, the Company agrees to post the </w:t>
      </w:r>
      <w:r w:rsidRPr="00892425">
        <w:rPr>
          <w:spacing w:val="1"/>
          <w:sz w:val="26"/>
          <w:szCs w:val="26"/>
        </w:rPr>
        <w:t>results on</w:t>
      </w:r>
      <w:r w:rsidRPr="00892425">
        <w:rPr>
          <w:spacing w:val="1"/>
          <w:sz w:val="26"/>
          <w:szCs w:val="26"/>
          <w:u w:val="single"/>
        </w:rPr>
        <w:t xml:space="preserve"> </w:t>
      </w:r>
      <w:hyperlink r:id="rId13">
        <w:r w:rsidRPr="00892425">
          <w:rPr>
            <w:spacing w:val="1"/>
            <w:sz w:val="26"/>
            <w:szCs w:val="26"/>
            <w:u w:val="single"/>
          </w:rPr>
          <w:t>http://WaterFacts.com</w:t>
        </w:r>
      </w:hyperlink>
      <w:r w:rsidRPr="00892425">
        <w:rPr>
          <w:spacing w:val="1"/>
          <w:sz w:val="26"/>
          <w:szCs w:val="26"/>
        </w:rPr>
        <w:t xml:space="preserve"> after </w:t>
      </w:r>
      <w:r w:rsidRPr="00892425">
        <w:rPr>
          <w:color w:val="000000"/>
          <w:spacing w:val="1"/>
          <w:sz w:val="26"/>
          <w:szCs w:val="26"/>
        </w:rPr>
        <w:t xml:space="preserve">completing its testing, review and posting process in an efficient and expeditious manner. </w:t>
      </w:r>
      <w:r w:rsidR="00603BB4">
        <w:rPr>
          <w:color w:val="000000"/>
          <w:spacing w:val="1"/>
          <w:sz w:val="26"/>
          <w:szCs w:val="26"/>
        </w:rPr>
        <w:t xml:space="preserve"> </w:t>
      </w:r>
      <w:r w:rsidRPr="00892425">
        <w:rPr>
          <w:color w:val="000000"/>
          <w:spacing w:val="1"/>
          <w:sz w:val="26"/>
          <w:szCs w:val="26"/>
        </w:rPr>
        <w:t>The Company agrees to seek available funding from outside sources and governmental agencies to fund prudent improvements needed to further limit the presence of PFOS and PFOA in the affected water sources.</w:t>
      </w:r>
    </w:p>
    <w:p w14:paraId="18339F45" w14:textId="77777777" w:rsidR="0094509E" w:rsidRPr="00892425" w:rsidRDefault="0094509E" w:rsidP="002C4EC5">
      <w:pPr>
        <w:spacing w:line="240" w:lineRule="auto"/>
        <w:ind w:firstLine="1440"/>
        <w:contextualSpacing/>
        <w:rPr>
          <w:color w:val="000000"/>
          <w:spacing w:val="-1"/>
          <w:sz w:val="26"/>
          <w:szCs w:val="26"/>
        </w:rPr>
      </w:pPr>
    </w:p>
    <w:p w14:paraId="7889FF56" w14:textId="2A165576" w:rsidR="0094509E" w:rsidRPr="00892425" w:rsidRDefault="0094509E" w:rsidP="002C4EC5">
      <w:pPr>
        <w:spacing w:line="240" w:lineRule="auto"/>
        <w:ind w:left="1440" w:right="1440"/>
        <w:contextualSpacing/>
        <w:rPr>
          <w:color w:val="000000"/>
          <w:spacing w:val="-1"/>
          <w:sz w:val="26"/>
          <w:szCs w:val="26"/>
        </w:rPr>
      </w:pPr>
      <w:r w:rsidRPr="00892425">
        <w:rPr>
          <w:color w:val="000000"/>
          <w:spacing w:val="-1"/>
          <w:sz w:val="26"/>
          <w:szCs w:val="26"/>
        </w:rPr>
        <w:t>46.</w:t>
      </w:r>
      <w:r w:rsidRPr="00892425">
        <w:rPr>
          <w:color w:val="000000"/>
          <w:spacing w:val="-1"/>
          <w:sz w:val="26"/>
          <w:szCs w:val="26"/>
        </w:rPr>
        <w:tab/>
        <w:t xml:space="preserve">The Company commits to revise its procedures for new developments to ensure that it receives timely and accurate connection information for new service once the homes in new developments are completed. </w:t>
      </w:r>
      <w:r w:rsidR="00603BB4">
        <w:rPr>
          <w:color w:val="000000"/>
          <w:spacing w:val="-1"/>
          <w:sz w:val="26"/>
          <w:szCs w:val="26"/>
        </w:rPr>
        <w:t xml:space="preserve"> </w:t>
      </w:r>
      <w:r w:rsidRPr="00892425">
        <w:rPr>
          <w:color w:val="000000"/>
          <w:spacing w:val="-1"/>
          <w:sz w:val="26"/>
          <w:szCs w:val="26"/>
        </w:rPr>
        <w:t xml:space="preserve">The Company also agrees to provide additional training to its customer service representatives so that they know how to further investigate the situation when a customer contacts the Company about initiating service for a new connection. </w:t>
      </w:r>
      <w:r w:rsidR="00603BB4">
        <w:rPr>
          <w:color w:val="000000"/>
          <w:spacing w:val="-1"/>
          <w:sz w:val="26"/>
          <w:szCs w:val="26"/>
        </w:rPr>
        <w:t xml:space="preserve"> </w:t>
      </w:r>
      <w:r w:rsidRPr="00892425">
        <w:rPr>
          <w:color w:val="000000"/>
          <w:spacing w:val="-1"/>
          <w:sz w:val="26"/>
          <w:szCs w:val="26"/>
        </w:rPr>
        <w:t>The Company will provide the Statutory Advocates with an overview of the changes made to the Company’s</w:t>
      </w:r>
      <w:bookmarkEnd w:id="14"/>
      <w:r w:rsidRPr="00892425">
        <w:rPr>
          <w:color w:val="000000"/>
          <w:spacing w:val="-1"/>
          <w:sz w:val="26"/>
          <w:szCs w:val="26"/>
        </w:rPr>
        <w:t xml:space="preserve"> procedures and training materials.  The Overview will be provided within 60 days of the final order in this proceeding.</w:t>
      </w:r>
    </w:p>
    <w:p w14:paraId="4169B0FB" w14:textId="0CF112D5" w:rsidR="0094509E" w:rsidRPr="00892425" w:rsidRDefault="0094509E" w:rsidP="002C4EC5">
      <w:pPr>
        <w:spacing w:line="240" w:lineRule="auto"/>
        <w:ind w:firstLine="1440"/>
        <w:contextualSpacing/>
        <w:rPr>
          <w:sz w:val="26"/>
          <w:szCs w:val="26"/>
        </w:rPr>
      </w:pPr>
    </w:p>
    <w:p w14:paraId="13C9DBC3" w14:textId="2C290585" w:rsidR="004E24BB" w:rsidRPr="00892425" w:rsidRDefault="004E24BB" w:rsidP="002C4EC5">
      <w:pPr>
        <w:numPr>
          <w:ilvl w:val="0"/>
          <w:numId w:val="25"/>
        </w:numPr>
        <w:tabs>
          <w:tab w:val="clear" w:pos="720"/>
        </w:tabs>
        <w:spacing w:line="240" w:lineRule="auto"/>
        <w:ind w:left="1440" w:right="1440"/>
        <w:contextualSpacing/>
        <w:textAlignment w:val="baseline"/>
        <w:rPr>
          <w:color w:val="000000"/>
          <w:spacing w:val="1"/>
          <w:sz w:val="26"/>
          <w:szCs w:val="26"/>
        </w:rPr>
      </w:pPr>
      <w:r w:rsidRPr="00892425">
        <w:rPr>
          <w:color w:val="000000"/>
          <w:spacing w:val="1"/>
          <w:sz w:val="26"/>
          <w:szCs w:val="26"/>
        </w:rPr>
        <w:t xml:space="preserve">The Company shall continue to provide water and wastewater customer complaints in a live Excel spreadsheet that shall be made available in future general rate proceedings. </w:t>
      </w:r>
      <w:r w:rsidR="00603BB4">
        <w:rPr>
          <w:color w:val="000000"/>
          <w:spacing w:val="1"/>
          <w:sz w:val="26"/>
          <w:szCs w:val="26"/>
        </w:rPr>
        <w:t xml:space="preserve"> </w:t>
      </w:r>
      <w:r w:rsidRPr="00892425">
        <w:rPr>
          <w:color w:val="000000"/>
          <w:spacing w:val="1"/>
          <w:sz w:val="26"/>
          <w:szCs w:val="26"/>
        </w:rPr>
        <w:t xml:space="preserve">The water and wastewater customer complaint logs shall contain separate searchable columns for date of complaint, street number, street name, city (zip code is preferable), and code for the type of complaint. </w:t>
      </w:r>
      <w:r w:rsidR="00603BB4">
        <w:rPr>
          <w:color w:val="000000"/>
          <w:spacing w:val="1"/>
          <w:sz w:val="26"/>
          <w:szCs w:val="26"/>
        </w:rPr>
        <w:t xml:space="preserve"> </w:t>
      </w:r>
      <w:r w:rsidRPr="00892425">
        <w:rPr>
          <w:color w:val="000000"/>
          <w:spacing w:val="1"/>
          <w:sz w:val="26"/>
          <w:szCs w:val="26"/>
        </w:rPr>
        <w:t xml:space="preserve">The </w:t>
      </w:r>
      <w:r w:rsidRPr="00892425">
        <w:rPr>
          <w:color w:val="000000"/>
          <w:spacing w:val="1"/>
          <w:sz w:val="26"/>
          <w:szCs w:val="26"/>
        </w:rPr>
        <w:lastRenderedPageBreak/>
        <w:t xml:space="preserve">Company and OCA agree to continue to discuss how to incorporate into a live Excel spreadsheet the following additional information regarding whether a Company employee made a site visit, if the problem was the responsibility of the Company or the customer, and the date the complaint was resolved. </w:t>
      </w:r>
      <w:r w:rsidR="00603BB4">
        <w:rPr>
          <w:color w:val="000000"/>
          <w:spacing w:val="1"/>
          <w:sz w:val="26"/>
          <w:szCs w:val="26"/>
        </w:rPr>
        <w:t xml:space="preserve"> </w:t>
      </w:r>
      <w:r w:rsidRPr="00892425">
        <w:rPr>
          <w:color w:val="000000"/>
          <w:spacing w:val="1"/>
          <w:sz w:val="26"/>
          <w:szCs w:val="26"/>
        </w:rPr>
        <w:t xml:space="preserve">The Company and the OCA agree to have that discussion within 90 days after the entry of a final order in this proceeding. </w:t>
      </w:r>
      <w:r w:rsidR="00603BB4">
        <w:rPr>
          <w:color w:val="000000"/>
          <w:spacing w:val="1"/>
          <w:sz w:val="26"/>
          <w:szCs w:val="26"/>
        </w:rPr>
        <w:t xml:space="preserve"> </w:t>
      </w:r>
      <w:r w:rsidRPr="00892425">
        <w:rPr>
          <w:color w:val="000000"/>
          <w:spacing w:val="1"/>
          <w:sz w:val="26"/>
          <w:szCs w:val="26"/>
        </w:rPr>
        <w:t>Additionally, the Company agrees to provide a legend explaining the abbreviations used in the complaint logs.</w:t>
      </w:r>
    </w:p>
    <w:p w14:paraId="43E4B5E5" w14:textId="77777777" w:rsidR="004E24BB" w:rsidRPr="00892425" w:rsidRDefault="004E24BB" w:rsidP="002C4EC5">
      <w:pPr>
        <w:tabs>
          <w:tab w:val="left" w:pos="1512"/>
        </w:tabs>
        <w:spacing w:line="240" w:lineRule="auto"/>
        <w:ind w:left="1440" w:right="1440"/>
        <w:contextualSpacing/>
        <w:textAlignment w:val="baseline"/>
        <w:rPr>
          <w:color w:val="000000"/>
          <w:spacing w:val="1"/>
          <w:sz w:val="26"/>
          <w:szCs w:val="26"/>
        </w:rPr>
      </w:pPr>
    </w:p>
    <w:p w14:paraId="42008282" w14:textId="3CC582E7" w:rsidR="004E24BB" w:rsidRPr="00892425" w:rsidRDefault="004E24BB" w:rsidP="002C4EC5">
      <w:pPr>
        <w:numPr>
          <w:ilvl w:val="0"/>
          <w:numId w:val="25"/>
        </w:numPr>
        <w:tabs>
          <w:tab w:val="clear" w:pos="720"/>
        </w:tabs>
        <w:spacing w:line="240" w:lineRule="auto"/>
        <w:ind w:left="1440" w:right="1440"/>
        <w:contextualSpacing/>
        <w:textAlignment w:val="baseline"/>
        <w:rPr>
          <w:color w:val="000000"/>
          <w:sz w:val="26"/>
          <w:szCs w:val="26"/>
        </w:rPr>
      </w:pPr>
      <w:r w:rsidRPr="00892425">
        <w:rPr>
          <w:color w:val="000000"/>
          <w:sz w:val="26"/>
          <w:szCs w:val="26"/>
        </w:rPr>
        <w:t xml:space="preserve">The Company agrees to provide a list of existing locations going forward where the Company installs a pressure reducing valve for a residential customer because the static head was anticipated to be greater than 85 psi due to planned engineering changes in the Company’s distribution system. The list will include an explanation of how the Company’s plan impacts the customer’s pressure. </w:t>
      </w:r>
      <w:r w:rsidR="00603BB4">
        <w:rPr>
          <w:color w:val="000000"/>
          <w:sz w:val="26"/>
          <w:szCs w:val="26"/>
        </w:rPr>
        <w:t xml:space="preserve"> </w:t>
      </w:r>
      <w:r w:rsidRPr="00892425">
        <w:rPr>
          <w:color w:val="000000"/>
          <w:sz w:val="26"/>
          <w:szCs w:val="26"/>
        </w:rPr>
        <w:t>The Company agrees to provide the report to OCA twelve months after the entry of a Commission Order in this proceeding and every twelve months after that until the effective date of base rates in its next base rate proceeding.</w:t>
      </w:r>
    </w:p>
    <w:p w14:paraId="32D4E1A6" w14:textId="77777777" w:rsidR="00F4196B" w:rsidRPr="00892425" w:rsidRDefault="00F4196B" w:rsidP="002C4EC5">
      <w:pPr>
        <w:tabs>
          <w:tab w:val="left" w:pos="720"/>
        </w:tabs>
        <w:spacing w:line="240" w:lineRule="auto"/>
        <w:ind w:left="1440" w:right="1440"/>
        <w:contextualSpacing/>
        <w:textAlignment w:val="baseline"/>
        <w:rPr>
          <w:color w:val="000000"/>
          <w:sz w:val="26"/>
          <w:szCs w:val="26"/>
        </w:rPr>
      </w:pPr>
    </w:p>
    <w:p w14:paraId="5A9E1491" w14:textId="77777777" w:rsidR="004E24BB" w:rsidRPr="00892425" w:rsidRDefault="004E24BB" w:rsidP="002C4EC5">
      <w:pPr>
        <w:pStyle w:val="ListParagraph"/>
        <w:numPr>
          <w:ilvl w:val="0"/>
          <w:numId w:val="25"/>
        </w:numPr>
        <w:tabs>
          <w:tab w:val="clear" w:pos="720"/>
        </w:tabs>
        <w:spacing w:line="240" w:lineRule="auto"/>
        <w:ind w:left="1440" w:right="1440"/>
        <w:rPr>
          <w:sz w:val="26"/>
          <w:szCs w:val="26"/>
        </w:rPr>
      </w:pPr>
      <w:r w:rsidRPr="00892425">
        <w:rPr>
          <w:color w:val="000000"/>
          <w:sz w:val="26"/>
          <w:szCs w:val="26"/>
        </w:rPr>
        <w:t>During the Company’s next general rate proceeding, the Company shall provide to the Statutory Advocates a live Excel spreadsheet of all fire hydrants connected to 4-inch mains or smaller that are not capable of providing 500 gallons per minute of water at 20 psi.</w:t>
      </w:r>
    </w:p>
    <w:p w14:paraId="2F9D56E1" w14:textId="6A487DDA" w:rsidR="004E24BB" w:rsidRPr="00892425" w:rsidRDefault="004E24BB" w:rsidP="002C4EC5">
      <w:pPr>
        <w:spacing w:line="240" w:lineRule="auto"/>
        <w:ind w:left="1440" w:right="1440"/>
        <w:contextualSpacing/>
        <w:textAlignment w:val="baseline"/>
        <w:rPr>
          <w:color w:val="000000"/>
          <w:sz w:val="26"/>
          <w:szCs w:val="26"/>
        </w:rPr>
      </w:pPr>
    </w:p>
    <w:p w14:paraId="19D69AA4" w14:textId="79284E9D" w:rsidR="00F37039" w:rsidRPr="00892425" w:rsidRDefault="00F37039" w:rsidP="002C4EC5">
      <w:pPr>
        <w:spacing w:line="240" w:lineRule="auto"/>
        <w:ind w:left="1440" w:right="1440"/>
        <w:contextualSpacing/>
        <w:textAlignment w:val="baseline"/>
        <w:rPr>
          <w:color w:val="000000"/>
          <w:sz w:val="26"/>
          <w:szCs w:val="26"/>
        </w:rPr>
      </w:pPr>
      <w:bookmarkStart w:id="15" w:name="_Hlk6214955"/>
      <w:r w:rsidRPr="00892425">
        <w:rPr>
          <w:color w:val="000000"/>
          <w:sz w:val="26"/>
          <w:szCs w:val="26"/>
        </w:rPr>
        <w:t>50.</w:t>
      </w:r>
      <w:r w:rsidRPr="00892425">
        <w:rPr>
          <w:color w:val="000000"/>
          <w:sz w:val="26"/>
          <w:szCs w:val="26"/>
        </w:rPr>
        <w:tab/>
        <w:t>The Joint Petitioners agree that the Company has fully addressed the concerns raised by customers at the Public Input Hearings as follows:</w:t>
      </w:r>
    </w:p>
    <w:p w14:paraId="1A5CE8C7" w14:textId="77777777" w:rsidR="00F37039" w:rsidRPr="00892425" w:rsidRDefault="00F37039" w:rsidP="002C4EC5">
      <w:pPr>
        <w:spacing w:line="240" w:lineRule="auto"/>
        <w:ind w:right="72" w:firstLine="720"/>
        <w:contextualSpacing/>
        <w:textAlignment w:val="baseline"/>
        <w:rPr>
          <w:color w:val="000000"/>
          <w:sz w:val="26"/>
          <w:szCs w:val="26"/>
        </w:rPr>
      </w:pPr>
    </w:p>
    <w:p w14:paraId="58F735D5" w14:textId="2E1F6D2A" w:rsidR="00F37039" w:rsidRPr="00892425" w:rsidRDefault="00F37039" w:rsidP="002C4EC5">
      <w:pPr>
        <w:numPr>
          <w:ilvl w:val="0"/>
          <w:numId w:val="26"/>
        </w:numPr>
        <w:tabs>
          <w:tab w:val="clear" w:pos="720"/>
        </w:tabs>
        <w:spacing w:line="240" w:lineRule="auto"/>
        <w:ind w:left="1440" w:right="1440" w:firstLine="720"/>
        <w:contextualSpacing/>
        <w:textAlignment w:val="baseline"/>
        <w:rPr>
          <w:color w:val="000000"/>
          <w:sz w:val="26"/>
          <w:szCs w:val="26"/>
        </w:rPr>
      </w:pPr>
      <w:r w:rsidRPr="00892425">
        <w:rPr>
          <w:color w:val="000000"/>
          <w:sz w:val="26"/>
          <w:szCs w:val="26"/>
        </w:rPr>
        <w:t xml:space="preserve">Ralph Churchill testified at the evening hearing held on November 13, 2018 in Chester County. </w:t>
      </w:r>
      <w:r w:rsidR="00603BB4">
        <w:rPr>
          <w:color w:val="000000"/>
          <w:sz w:val="26"/>
          <w:szCs w:val="26"/>
        </w:rPr>
        <w:t xml:space="preserve"> </w:t>
      </w:r>
      <w:r w:rsidRPr="00892425">
        <w:rPr>
          <w:color w:val="000000"/>
          <w:sz w:val="26"/>
          <w:szCs w:val="26"/>
        </w:rPr>
        <w:t>Mr. Churchill is not a direct customer of Aqua and lives in Jenners Pond, a retirement community, which is a commercial customer of Aqua.</w:t>
      </w:r>
      <w:r w:rsidR="00603BB4">
        <w:rPr>
          <w:color w:val="000000"/>
          <w:sz w:val="26"/>
          <w:szCs w:val="26"/>
        </w:rPr>
        <w:t xml:space="preserve"> </w:t>
      </w:r>
      <w:r w:rsidRPr="00892425">
        <w:rPr>
          <w:color w:val="000000"/>
          <w:sz w:val="26"/>
          <w:szCs w:val="26"/>
        </w:rPr>
        <w:t xml:space="preserve"> Mr. Churchill requested information on the improvements made in Penn Township. </w:t>
      </w:r>
      <w:r w:rsidR="00603BB4">
        <w:rPr>
          <w:color w:val="000000"/>
          <w:sz w:val="26"/>
          <w:szCs w:val="26"/>
        </w:rPr>
        <w:t xml:space="preserve"> </w:t>
      </w:r>
      <w:r w:rsidRPr="00892425">
        <w:rPr>
          <w:color w:val="000000"/>
          <w:sz w:val="26"/>
          <w:szCs w:val="26"/>
        </w:rPr>
        <w:t>On December 18, 2018, Aqua sent a letter to Mr. Churchill describing the improvements.</w:t>
      </w:r>
    </w:p>
    <w:p w14:paraId="4E3078CF" w14:textId="77777777" w:rsidR="00F37039" w:rsidRPr="00892425" w:rsidRDefault="00F37039" w:rsidP="002C4EC5">
      <w:pPr>
        <w:tabs>
          <w:tab w:val="left" w:pos="720"/>
        </w:tabs>
        <w:spacing w:line="240" w:lineRule="auto"/>
        <w:ind w:left="1440" w:right="1440" w:firstLine="720"/>
        <w:contextualSpacing/>
        <w:textAlignment w:val="baseline"/>
        <w:rPr>
          <w:color w:val="000000"/>
          <w:sz w:val="26"/>
          <w:szCs w:val="26"/>
        </w:rPr>
      </w:pPr>
    </w:p>
    <w:p w14:paraId="4E0F6A82" w14:textId="754B8908" w:rsidR="00F37039" w:rsidRPr="00892425" w:rsidRDefault="00F37039" w:rsidP="002C4EC5">
      <w:pPr>
        <w:numPr>
          <w:ilvl w:val="0"/>
          <w:numId w:val="26"/>
        </w:numPr>
        <w:tabs>
          <w:tab w:val="clear" w:pos="720"/>
        </w:tabs>
        <w:spacing w:line="240" w:lineRule="auto"/>
        <w:ind w:left="1440" w:right="1440" w:firstLine="720"/>
        <w:contextualSpacing/>
        <w:textAlignment w:val="baseline"/>
        <w:rPr>
          <w:color w:val="000000"/>
          <w:sz w:val="26"/>
          <w:szCs w:val="26"/>
        </w:rPr>
      </w:pPr>
      <w:r w:rsidRPr="00892425">
        <w:rPr>
          <w:color w:val="000000"/>
          <w:sz w:val="26"/>
          <w:szCs w:val="26"/>
        </w:rPr>
        <w:lastRenderedPageBreak/>
        <w:t xml:space="preserve">Debora Hauser testified at the evening hearing held on November 14, 2018, in Bucks County. </w:t>
      </w:r>
      <w:r w:rsidR="00603BB4">
        <w:rPr>
          <w:color w:val="000000"/>
          <w:sz w:val="26"/>
          <w:szCs w:val="26"/>
        </w:rPr>
        <w:t xml:space="preserve"> </w:t>
      </w:r>
      <w:r w:rsidRPr="00892425">
        <w:rPr>
          <w:color w:val="000000"/>
          <w:sz w:val="26"/>
          <w:szCs w:val="26"/>
        </w:rPr>
        <w:t xml:space="preserve">Ms. Hauser stated that she believed the customer charge of $69.00 was too high. </w:t>
      </w:r>
      <w:r w:rsidR="00603BB4">
        <w:rPr>
          <w:color w:val="000000"/>
          <w:sz w:val="26"/>
          <w:szCs w:val="26"/>
        </w:rPr>
        <w:t xml:space="preserve"> </w:t>
      </w:r>
      <w:r w:rsidRPr="00892425">
        <w:rPr>
          <w:color w:val="000000"/>
          <w:sz w:val="26"/>
          <w:szCs w:val="26"/>
        </w:rPr>
        <w:t>At the conclusion of the hearing, a representative of Aqua spoke to Ms. Hauser to get more information about her billing concern.</w:t>
      </w:r>
      <w:r w:rsidR="00603BB4">
        <w:rPr>
          <w:color w:val="000000"/>
          <w:sz w:val="26"/>
          <w:szCs w:val="26"/>
        </w:rPr>
        <w:t xml:space="preserve"> </w:t>
      </w:r>
      <w:r w:rsidRPr="00892425">
        <w:rPr>
          <w:color w:val="000000"/>
          <w:sz w:val="26"/>
          <w:szCs w:val="26"/>
        </w:rPr>
        <w:t xml:space="preserve"> Ms. Hauser’s current customer charge for a 5/8” meter is $16.00, not $69.00. Aqua sent a letter confirming this to Ms. Hauser on December 17, 2018.</w:t>
      </w:r>
    </w:p>
    <w:p w14:paraId="71D4D69B" w14:textId="77777777" w:rsidR="00F37039" w:rsidRPr="00892425" w:rsidRDefault="00F37039" w:rsidP="002C4EC5">
      <w:pPr>
        <w:spacing w:line="240" w:lineRule="auto"/>
        <w:ind w:left="1440" w:right="1440" w:firstLine="720"/>
        <w:contextualSpacing/>
        <w:textAlignment w:val="baseline"/>
        <w:rPr>
          <w:color w:val="000000"/>
          <w:sz w:val="26"/>
          <w:szCs w:val="26"/>
        </w:rPr>
      </w:pPr>
    </w:p>
    <w:p w14:paraId="1ED90552" w14:textId="172EFBEA" w:rsidR="00F37039" w:rsidRPr="00892425" w:rsidRDefault="00F37039" w:rsidP="002C4EC5">
      <w:pPr>
        <w:numPr>
          <w:ilvl w:val="0"/>
          <w:numId w:val="26"/>
        </w:numPr>
        <w:tabs>
          <w:tab w:val="clear" w:pos="720"/>
        </w:tabs>
        <w:spacing w:line="240" w:lineRule="auto"/>
        <w:ind w:left="1440" w:right="1440" w:firstLine="720"/>
        <w:contextualSpacing/>
        <w:textAlignment w:val="baseline"/>
        <w:rPr>
          <w:color w:val="000000"/>
          <w:sz w:val="26"/>
          <w:szCs w:val="26"/>
        </w:rPr>
      </w:pPr>
      <w:r w:rsidRPr="00892425">
        <w:rPr>
          <w:color w:val="000000"/>
          <w:sz w:val="26"/>
          <w:szCs w:val="26"/>
        </w:rPr>
        <w:t xml:space="preserve">William Freed testified at the afternoon hearing held on November 15, 2018 in Delaware County. </w:t>
      </w:r>
      <w:r w:rsidR="00603BB4">
        <w:rPr>
          <w:color w:val="000000"/>
          <w:sz w:val="26"/>
          <w:szCs w:val="26"/>
        </w:rPr>
        <w:t xml:space="preserve"> </w:t>
      </w:r>
      <w:r w:rsidRPr="00892425">
        <w:rPr>
          <w:color w:val="000000"/>
          <w:sz w:val="26"/>
          <w:szCs w:val="26"/>
        </w:rPr>
        <w:t>Mr. Freed testified about his previous informal and formal complaints filed with the Commission against Aqua.</w:t>
      </w:r>
      <w:r w:rsidR="00603BB4">
        <w:rPr>
          <w:color w:val="000000"/>
          <w:sz w:val="26"/>
          <w:szCs w:val="26"/>
        </w:rPr>
        <w:t xml:space="preserve"> </w:t>
      </w:r>
      <w:r w:rsidRPr="00892425">
        <w:rPr>
          <w:color w:val="000000"/>
          <w:sz w:val="26"/>
          <w:szCs w:val="26"/>
        </w:rPr>
        <w:t xml:space="preserve"> Aqua confirmed that Mr. Freed had filed both an informal (BCS Case No. 3582179) and a formal complaint (Docket No. C-2018</w:t>
      </w:r>
      <w:r w:rsidRPr="00892425">
        <w:rPr>
          <w:color w:val="000000"/>
          <w:sz w:val="26"/>
          <w:szCs w:val="26"/>
        </w:rPr>
        <w:softHyphen/>
        <w:t xml:space="preserve">2645244) with the Commission requesting compensation for damages he alleged were caused by Aqua doing work on his street. </w:t>
      </w:r>
      <w:r w:rsidR="00603BB4">
        <w:rPr>
          <w:color w:val="000000"/>
          <w:sz w:val="26"/>
          <w:szCs w:val="26"/>
        </w:rPr>
        <w:t xml:space="preserve"> </w:t>
      </w:r>
      <w:r w:rsidRPr="00892425">
        <w:rPr>
          <w:color w:val="000000"/>
          <w:sz w:val="26"/>
          <w:szCs w:val="26"/>
        </w:rPr>
        <w:t>The informal complaint was dismissed by the Bureau of Consumer Services because the Commission cannot award damages.</w:t>
      </w:r>
      <w:r w:rsidR="00603BB4">
        <w:rPr>
          <w:color w:val="000000"/>
          <w:sz w:val="26"/>
          <w:szCs w:val="26"/>
        </w:rPr>
        <w:t xml:space="preserve"> </w:t>
      </w:r>
      <w:r w:rsidRPr="00892425">
        <w:rPr>
          <w:color w:val="000000"/>
          <w:sz w:val="26"/>
          <w:szCs w:val="26"/>
        </w:rPr>
        <w:t xml:space="preserve"> Mr. Freed, who was represented by counsel in his formal complaint with the Commission and in a subsequent civil court proceeding, chose not to pursue his complaint at the Commission and filed his claim in municipal court.</w:t>
      </w:r>
      <w:r w:rsidR="00603BB4">
        <w:rPr>
          <w:color w:val="000000"/>
          <w:sz w:val="26"/>
          <w:szCs w:val="26"/>
        </w:rPr>
        <w:t xml:space="preserve"> </w:t>
      </w:r>
      <w:r w:rsidRPr="00892425">
        <w:rPr>
          <w:color w:val="000000"/>
          <w:sz w:val="26"/>
          <w:szCs w:val="26"/>
        </w:rPr>
        <w:t xml:space="preserve"> Aqua and Mr. Freed settled the claim in municipal court.</w:t>
      </w:r>
    </w:p>
    <w:bookmarkEnd w:id="15"/>
    <w:p w14:paraId="7A10FC1E" w14:textId="331B97AC" w:rsidR="004E24BB" w:rsidRPr="00892425" w:rsidRDefault="004E24BB" w:rsidP="002C4EC5">
      <w:pPr>
        <w:spacing w:line="240" w:lineRule="auto"/>
        <w:ind w:left="1440" w:right="1440" w:firstLine="720"/>
        <w:contextualSpacing/>
        <w:textAlignment w:val="baseline"/>
        <w:rPr>
          <w:color w:val="000000"/>
          <w:sz w:val="26"/>
          <w:szCs w:val="26"/>
        </w:rPr>
      </w:pPr>
    </w:p>
    <w:p w14:paraId="1F80E08C" w14:textId="25273869" w:rsidR="00F37039" w:rsidRPr="00892425" w:rsidRDefault="00F37039" w:rsidP="002C4EC5">
      <w:pPr>
        <w:numPr>
          <w:ilvl w:val="0"/>
          <w:numId w:val="27"/>
        </w:numPr>
        <w:tabs>
          <w:tab w:val="clear" w:pos="720"/>
        </w:tabs>
        <w:spacing w:before="11" w:after="200" w:line="240" w:lineRule="auto"/>
        <w:ind w:left="1440" w:right="1440" w:firstLine="720"/>
        <w:contextualSpacing/>
        <w:textAlignment w:val="baseline"/>
        <w:rPr>
          <w:color w:val="000000"/>
          <w:sz w:val="26"/>
          <w:szCs w:val="26"/>
        </w:rPr>
      </w:pPr>
      <w:r w:rsidRPr="00892425">
        <w:rPr>
          <w:color w:val="000000"/>
          <w:sz w:val="26"/>
          <w:szCs w:val="26"/>
        </w:rPr>
        <w:t>Andria Torres testified at the Smart Public Input Hearing held on November 16, 2018 alleging damages from jackhammering vibrations when the Company was installing a new water main in the street on December 30, 2017.</w:t>
      </w:r>
      <w:r w:rsidR="00603BB4">
        <w:rPr>
          <w:color w:val="000000"/>
          <w:sz w:val="26"/>
          <w:szCs w:val="26"/>
        </w:rPr>
        <w:t xml:space="preserve"> </w:t>
      </w:r>
      <w:r w:rsidRPr="00892425">
        <w:rPr>
          <w:color w:val="000000"/>
          <w:sz w:val="26"/>
          <w:szCs w:val="26"/>
        </w:rPr>
        <w:t xml:space="preserve"> After investigating the matter, Aqua has confirmed that it was not installing a new water main in her street in December of 2017 and has no record of Ms. Torres contacting the Company in December of 2017 on this issue.</w:t>
      </w:r>
      <w:r w:rsidR="00603BB4">
        <w:rPr>
          <w:color w:val="000000"/>
          <w:sz w:val="26"/>
          <w:szCs w:val="26"/>
        </w:rPr>
        <w:t xml:space="preserve"> </w:t>
      </w:r>
      <w:r w:rsidRPr="00892425">
        <w:rPr>
          <w:color w:val="000000"/>
          <w:sz w:val="26"/>
          <w:szCs w:val="26"/>
        </w:rPr>
        <w:t xml:space="preserve"> The Company believes that a contractor for another utility was in the area in December 2017. </w:t>
      </w:r>
      <w:r w:rsidR="00603BB4">
        <w:rPr>
          <w:color w:val="000000"/>
          <w:sz w:val="26"/>
          <w:szCs w:val="26"/>
        </w:rPr>
        <w:t xml:space="preserve"> </w:t>
      </w:r>
      <w:r w:rsidRPr="00892425">
        <w:rPr>
          <w:color w:val="000000"/>
          <w:sz w:val="26"/>
          <w:szCs w:val="26"/>
        </w:rPr>
        <w:t>The Company contacted Ms. Torres to discuss her concerns and provide the information it learned about the work that was done on her street.</w:t>
      </w:r>
    </w:p>
    <w:p w14:paraId="4582B42D" w14:textId="77777777" w:rsidR="00F37039" w:rsidRPr="00892425" w:rsidRDefault="00F37039" w:rsidP="002C4EC5">
      <w:pPr>
        <w:spacing w:before="11" w:after="200" w:line="240" w:lineRule="auto"/>
        <w:ind w:left="1440" w:right="1440" w:firstLine="720"/>
        <w:contextualSpacing/>
        <w:textAlignment w:val="baseline"/>
        <w:rPr>
          <w:color w:val="000000"/>
          <w:sz w:val="26"/>
          <w:szCs w:val="26"/>
        </w:rPr>
      </w:pPr>
    </w:p>
    <w:p w14:paraId="2E3321F8" w14:textId="1A9F10AE" w:rsidR="00F37039" w:rsidRPr="00892425" w:rsidRDefault="00F37039" w:rsidP="002C4EC5">
      <w:pPr>
        <w:numPr>
          <w:ilvl w:val="0"/>
          <w:numId w:val="27"/>
        </w:numPr>
        <w:tabs>
          <w:tab w:val="clear" w:pos="720"/>
        </w:tabs>
        <w:spacing w:after="200" w:line="240" w:lineRule="auto"/>
        <w:ind w:left="1440" w:right="1440" w:firstLine="720"/>
        <w:contextualSpacing/>
        <w:textAlignment w:val="baseline"/>
        <w:rPr>
          <w:color w:val="000000"/>
          <w:sz w:val="26"/>
          <w:szCs w:val="26"/>
        </w:rPr>
      </w:pPr>
      <w:r w:rsidRPr="00892425">
        <w:rPr>
          <w:color w:val="000000"/>
          <w:sz w:val="26"/>
          <w:szCs w:val="26"/>
        </w:rPr>
        <w:t xml:space="preserve">David Saplansky testified at the Smart Public Input Hearing held on November 16, 2018 and mentioned dirt and smell from his pipes. </w:t>
      </w:r>
      <w:r w:rsidR="00603BB4">
        <w:rPr>
          <w:color w:val="000000"/>
          <w:sz w:val="26"/>
          <w:szCs w:val="26"/>
        </w:rPr>
        <w:t xml:space="preserve"> </w:t>
      </w:r>
      <w:r w:rsidRPr="00892425">
        <w:rPr>
          <w:color w:val="000000"/>
          <w:sz w:val="26"/>
          <w:szCs w:val="26"/>
        </w:rPr>
        <w:t>Mr. Saplansky did contact the Company on September 14, 2018 requesting that the water be tested. The Company did sample Mr. Saplansky’s water.</w:t>
      </w:r>
      <w:r w:rsidR="00603BB4">
        <w:rPr>
          <w:color w:val="000000"/>
          <w:sz w:val="26"/>
          <w:szCs w:val="26"/>
        </w:rPr>
        <w:t xml:space="preserve"> </w:t>
      </w:r>
      <w:r w:rsidRPr="00892425">
        <w:rPr>
          <w:color w:val="000000"/>
          <w:sz w:val="26"/>
          <w:szCs w:val="26"/>
        </w:rPr>
        <w:t xml:space="preserve"> On </w:t>
      </w:r>
      <w:r w:rsidRPr="00892425">
        <w:rPr>
          <w:color w:val="000000"/>
          <w:sz w:val="26"/>
          <w:szCs w:val="26"/>
        </w:rPr>
        <w:lastRenderedPageBreak/>
        <w:t>September 21, 2018, the Company sent those test results to Mr. Saplansky showing that the water met all applicable standards for drinking water.</w:t>
      </w:r>
    </w:p>
    <w:p w14:paraId="39CC7D86" w14:textId="77777777" w:rsidR="00F37039" w:rsidRPr="00892425" w:rsidRDefault="00F37039" w:rsidP="002C4EC5">
      <w:pPr>
        <w:spacing w:after="200" w:line="240" w:lineRule="auto"/>
        <w:ind w:left="1440" w:right="1440" w:firstLine="720"/>
        <w:contextualSpacing/>
        <w:textAlignment w:val="baseline"/>
        <w:rPr>
          <w:color w:val="000000"/>
          <w:sz w:val="26"/>
          <w:szCs w:val="26"/>
        </w:rPr>
      </w:pPr>
    </w:p>
    <w:p w14:paraId="7AAAE907" w14:textId="7F82AD89" w:rsidR="00F37039" w:rsidRDefault="00F37039" w:rsidP="002C4EC5">
      <w:pPr>
        <w:numPr>
          <w:ilvl w:val="0"/>
          <w:numId w:val="27"/>
        </w:numPr>
        <w:tabs>
          <w:tab w:val="clear" w:pos="720"/>
        </w:tabs>
        <w:spacing w:after="200" w:line="240" w:lineRule="auto"/>
        <w:ind w:left="1440" w:right="1440" w:firstLine="720"/>
        <w:contextualSpacing/>
        <w:textAlignment w:val="baseline"/>
        <w:rPr>
          <w:color w:val="000000"/>
          <w:sz w:val="26"/>
          <w:szCs w:val="26"/>
        </w:rPr>
      </w:pPr>
      <w:r w:rsidRPr="00892425">
        <w:rPr>
          <w:color w:val="000000"/>
          <w:sz w:val="26"/>
          <w:szCs w:val="26"/>
        </w:rPr>
        <w:t>Ms. Kathleen O’Boyle testified at the Smart Public Input Hearing held on November 16, 2018 about water quality and concern about chlorine in her water.</w:t>
      </w:r>
      <w:r w:rsidR="00603BB4">
        <w:rPr>
          <w:color w:val="000000"/>
          <w:sz w:val="26"/>
          <w:szCs w:val="26"/>
        </w:rPr>
        <w:t xml:space="preserve"> </w:t>
      </w:r>
      <w:r w:rsidRPr="00892425">
        <w:rPr>
          <w:color w:val="000000"/>
          <w:sz w:val="26"/>
          <w:szCs w:val="26"/>
        </w:rPr>
        <w:t xml:space="preserve"> The Company contacted Ms. O’Boyle to make an appointment to discuss her concerns.</w:t>
      </w:r>
    </w:p>
    <w:p w14:paraId="53486B50" w14:textId="77777777" w:rsidR="00603BB4" w:rsidRPr="00892425" w:rsidRDefault="00603BB4" w:rsidP="002C4EC5">
      <w:pPr>
        <w:tabs>
          <w:tab w:val="left" w:pos="720"/>
        </w:tabs>
        <w:spacing w:after="200" w:line="240" w:lineRule="auto"/>
        <w:ind w:left="2160" w:right="1440"/>
        <w:contextualSpacing/>
        <w:textAlignment w:val="baseline"/>
        <w:rPr>
          <w:color w:val="000000"/>
          <w:sz w:val="26"/>
          <w:szCs w:val="26"/>
        </w:rPr>
      </w:pPr>
    </w:p>
    <w:p w14:paraId="09BAABC1" w14:textId="51FF7A29" w:rsidR="00F37039" w:rsidRPr="00892425" w:rsidRDefault="00F37039" w:rsidP="002C4EC5">
      <w:pPr>
        <w:numPr>
          <w:ilvl w:val="0"/>
          <w:numId w:val="27"/>
        </w:numPr>
        <w:tabs>
          <w:tab w:val="clear" w:pos="720"/>
        </w:tabs>
        <w:spacing w:after="200" w:line="240" w:lineRule="auto"/>
        <w:ind w:left="1440" w:right="1440" w:firstLine="720"/>
        <w:contextualSpacing/>
        <w:textAlignment w:val="baseline"/>
        <w:rPr>
          <w:color w:val="000000"/>
          <w:sz w:val="26"/>
          <w:szCs w:val="26"/>
        </w:rPr>
      </w:pPr>
      <w:r w:rsidRPr="00892425">
        <w:rPr>
          <w:color w:val="000000"/>
          <w:sz w:val="26"/>
          <w:szCs w:val="26"/>
        </w:rPr>
        <w:t>Thomas Driscoll testified at the afternoon hearing held on November 15, 2018 in Delaware County.</w:t>
      </w:r>
      <w:r w:rsidR="00603BB4">
        <w:rPr>
          <w:color w:val="000000"/>
          <w:sz w:val="26"/>
          <w:szCs w:val="26"/>
        </w:rPr>
        <w:t xml:space="preserve"> </w:t>
      </w:r>
      <w:r w:rsidRPr="00892425">
        <w:rPr>
          <w:color w:val="000000"/>
          <w:sz w:val="26"/>
          <w:szCs w:val="26"/>
        </w:rPr>
        <w:t xml:space="preserve"> Mr. Driscoll testified about a chemical taste to his water. </w:t>
      </w:r>
      <w:r w:rsidR="00603BB4">
        <w:rPr>
          <w:color w:val="000000"/>
          <w:sz w:val="26"/>
          <w:szCs w:val="26"/>
        </w:rPr>
        <w:t xml:space="preserve"> </w:t>
      </w:r>
      <w:r w:rsidRPr="00892425">
        <w:rPr>
          <w:color w:val="000000"/>
          <w:sz w:val="26"/>
          <w:szCs w:val="26"/>
        </w:rPr>
        <w:t>The Company contacted Mr. Driscoll to make an appointment to discuss his concerns.</w:t>
      </w:r>
    </w:p>
    <w:p w14:paraId="2570F6BF" w14:textId="77777777" w:rsidR="009A4EF4" w:rsidRPr="00892425" w:rsidRDefault="009A4EF4" w:rsidP="002C4EC5">
      <w:pPr>
        <w:tabs>
          <w:tab w:val="left" w:pos="720"/>
        </w:tabs>
        <w:spacing w:after="200" w:line="240" w:lineRule="auto"/>
        <w:ind w:left="1440" w:right="1440" w:firstLine="720"/>
        <w:contextualSpacing/>
        <w:textAlignment w:val="baseline"/>
        <w:rPr>
          <w:color w:val="000000"/>
          <w:sz w:val="26"/>
          <w:szCs w:val="26"/>
        </w:rPr>
      </w:pPr>
    </w:p>
    <w:p w14:paraId="009C7271" w14:textId="4710121B" w:rsidR="009A4EF4" w:rsidRPr="00892425" w:rsidRDefault="009A4EF4" w:rsidP="002C4EC5">
      <w:pPr>
        <w:pStyle w:val="ListParagraph"/>
        <w:numPr>
          <w:ilvl w:val="0"/>
          <w:numId w:val="27"/>
        </w:numPr>
        <w:tabs>
          <w:tab w:val="clear" w:pos="720"/>
        </w:tabs>
        <w:spacing w:line="240" w:lineRule="auto"/>
        <w:ind w:left="1440" w:right="1440" w:firstLine="720"/>
        <w:rPr>
          <w:color w:val="000000"/>
          <w:spacing w:val="-2"/>
          <w:sz w:val="26"/>
          <w:szCs w:val="26"/>
        </w:rPr>
      </w:pPr>
      <w:r w:rsidRPr="00892425">
        <w:rPr>
          <w:color w:val="000000"/>
          <w:spacing w:val="-2"/>
          <w:sz w:val="26"/>
          <w:szCs w:val="26"/>
        </w:rPr>
        <w:t>Margie Swart testified at the afternoon hearing held on November 13, 2018 in Chester County.</w:t>
      </w:r>
      <w:r w:rsidR="00603BB4">
        <w:rPr>
          <w:color w:val="000000"/>
          <w:spacing w:val="-2"/>
          <w:sz w:val="26"/>
          <w:szCs w:val="26"/>
        </w:rPr>
        <w:t xml:space="preserve"> </w:t>
      </w:r>
      <w:r w:rsidRPr="00892425">
        <w:rPr>
          <w:color w:val="000000"/>
          <w:spacing w:val="-2"/>
          <w:sz w:val="26"/>
          <w:szCs w:val="26"/>
        </w:rPr>
        <w:t xml:space="preserve"> Ms. Swart testified about Aqua’s private fire protection rates violating Section 1802 of the Second Class Township Code titled Fire Hydrants and Water Service, which provides that all fire hydrants should be classified as public and billed directly to the municipality if that municipality is governed by the Second Class Township Code.  The Company researched this issue and determined that the fire hydrants at issue in Ms. Swart’s testimony are located on a private street and are the responsibility of the local Homeowner’s Association.</w:t>
      </w:r>
      <w:r w:rsidR="00603BB4">
        <w:rPr>
          <w:color w:val="000000"/>
          <w:spacing w:val="-2"/>
          <w:sz w:val="26"/>
          <w:szCs w:val="26"/>
        </w:rPr>
        <w:t xml:space="preserve"> </w:t>
      </w:r>
      <w:r w:rsidRPr="00892425">
        <w:rPr>
          <w:color w:val="000000"/>
          <w:spacing w:val="-2"/>
          <w:sz w:val="26"/>
          <w:szCs w:val="26"/>
        </w:rPr>
        <w:t xml:space="preserve"> As such, the Company has been correctly billing the Homeowner’s Association for the two fire hydrants at the appropriate private fire hydrant rate.</w:t>
      </w:r>
    </w:p>
    <w:p w14:paraId="3D6DE865" w14:textId="639B8EB5" w:rsidR="009A4EF4" w:rsidRPr="00892425" w:rsidRDefault="009A4EF4" w:rsidP="002C4EC5">
      <w:pPr>
        <w:pStyle w:val="ListParagraph"/>
        <w:spacing w:line="240" w:lineRule="auto"/>
        <w:ind w:left="1440" w:right="72"/>
        <w:textAlignment w:val="baseline"/>
        <w:rPr>
          <w:color w:val="000000"/>
          <w:sz w:val="26"/>
          <w:szCs w:val="26"/>
        </w:rPr>
      </w:pPr>
    </w:p>
    <w:p w14:paraId="0F4A661C" w14:textId="44D94FFF" w:rsidR="009A4EF4" w:rsidRDefault="009A4EF4" w:rsidP="002C4EC5">
      <w:pPr>
        <w:keepNext/>
        <w:keepLines/>
        <w:spacing w:before="284" w:after="200" w:line="240" w:lineRule="auto"/>
        <w:ind w:left="1440" w:firstLine="720"/>
        <w:contextualSpacing/>
        <w:textAlignment w:val="baseline"/>
        <w:rPr>
          <w:b/>
          <w:color w:val="000000"/>
          <w:sz w:val="26"/>
          <w:szCs w:val="26"/>
        </w:rPr>
      </w:pPr>
      <w:r w:rsidRPr="00892425">
        <w:rPr>
          <w:b/>
          <w:color w:val="000000"/>
          <w:sz w:val="26"/>
          <w:szCs w:val="26"/>
        </w:rPr>
        <w:t>L.</w:t>
      </w:r>
      <w:r w:rsidRPr="00892425">
        <w:rPr>
          <w:b/>
          <w:color w:val="000000"/>
          <w:sz w:val="26"/>
          <w:szCs w:val="26"/>
        </w:rPr>
        <w:tab/>
        <w:t>North Heidelberg Sewer Company</w:t>
      </w:r>
    </w:p>
    <w:p w14:paraId="5FDECB44" w14:textId="77777777" w:rsidR="00031667" w:rsidRPr="00892425" w:rsidRDefault="00031667" w:rsidP="002C4EC5">
      <w:pPr>
        <w:keepNext/>
        <w:keepLines/>
        <w:spacing w:before="284" w:after="200" w:line="240" w:lineRule="auto"/>
        <w:ind w:left="1440" w:firstLine="720"/>
        <w:contextualSpacing/>
        <w:textAlignment w:val="baseline"/>
        <w:rPr>
          <w:b/>
          <w:color w:val="000000"/>
          <w:sz w:val="26"/>
          <w:szCs w:val="26"/>
        </w:rPr>
      </w:pPr>
    </w:p>
    <w:p w14:paraId="343BF85F" w14:textId="11C1334B" w:rsidR="009A4EF4" w:rsidRPr="00892425" w:rsidRDefault="009A4EF4" w:rsidP="002C4EC5">
      <w:pPr>
        <w:spacing w:after="200" w:line="240" w:lineRule="auto"/>
        <w:ind w:left="1440" w:right="1440"/>
        <w:contextualSpacing/>
        <w:textAlignment w:val="baseline"/>
        <w:rPr>
          <w:color w:val="000000"/>
          <w:sz w:val="26"/>
          <w:szCs w:val="26"/>
        </w:rPr>
      </w:pPr>
      <w:r w:rsidRPr="00892425">
        <w:rPr>
          <w:color w:val="000000"/>
          <w:sz w:val="26"/>
          <w:szCs w:val="26"/>
        </w:rPr>
        <w:t>51.</w:t>
      </w:r>
      <w:r w:rsidRPr="00892425">
        <w:rPr>
          <w:color w:val="000000"/>
          <w:sz w:val="26"/>
          <w:szCs w:val="26"/>
        </w:rPr>
        <w:tab/>
        <w:t xml:space="preserve">The Company agrees to initiate settlement discussions and will make a reasonable effort to acquire North Heidelberg Sewer Company in accordance with Section 529 of the Public Utility Code at pending Docket No. I-2018-3001161. </w:t>
      </w:r>
      <w:r w:rsidR="00603BB4">
        <w:rPr>
          <w:color w:val="000000"/>
          <w:sz w:val="26"/>
          <w:szCs w:val="26"/>
        </w:rPr>
        <w:t xml:space="preserve"> </w:t>
      </w:r>
      <w:r w:rsidRPr="00892425">
        <w:rPr>
          <w:color w:val="000000"/>
          <w:sz w:val="26"/>
          <w:szCs w:val="26"/>
        </w:rPr>
        <w:t xml:space="preserve">In February 2018, the Commission appointed Aqua Pennsylvania Wastewater, Inc. as interim receiver to operate the North Heidelberg system, beginning March 5, 2018. </w:t>
      </w:r>
      <w:r w:rsidR="00603BB4">
        <w:rPr>
          <w:color w:val="000000"/>
          <w:sz w:val="26"/>
          <w:szCs w:val="26"/>
        </w:rPr>
        <w:t xml:space="preserve"> </w:t>
      </w:r>
      <w:r w:rsidRPr="00892425">
        <w:rPr>
          <w:color w:val="000000"/>
          <w:sz w:val="26"/>
          <w:szCs w:val="26"/>
        </w:rPr>
        <w:lastRenderedPageBreak/>
        <w:t>Aqua has been operating in that role since its appointment by the Commission.</w:t>
      </w:r>
    </w:p>
    <w:p w14:paraId="1F806991" w14:textId="77777777" w:rsidR="009A4EF4" w:rsidRPr="00892425" w:rsidRDefault="009A4EF4" w:rsidP="002C4EC5">
      <w:pPr>
        <w:spacing w:after="200" w:line="240" w:lineRule="auto"/>
        <w:ind w:right="72" w:firstLine="720"/>
        <w:contextualSpacing/>
        <w:textAlignment w:val="baseline"/>
        <w:rPr>
          <w:color w:val="000000"/>
          <w:sz w:val="26"/>
          <w:szCs w:val="26"/>
        </w:rPr>
      </w:pPr>
    </w:p>
    <w:p w14:paraId="7BB410D3" w14:textId="7854EF7A" w:rsidR="009A4EF4" w:rsidRDefault="009A4EF4" w:rsidP="002C4EC5">
      <w:pPr>
        <w:keepNext/>
        <w:keepLines/>
        <w:spacing w:before="555" w:after="200" w:line="240" w:lineRule="auto"/>
        <w:ind w:left="2966" w:right="1440" w:hanging="792"/>
        <w:contextualSpacing/>
        <w:textAlignment w:val="baseline"/>
        <w:rPr>
          <w:b/>
          <w:color w:val="000000"/>
          <w:sz w:val="26"/>
          <w:szCs w:val="26"/>
        </w:rPr>
      </w:pPr>
      <w:r w:rsidRPr="00892425">
        <w:rPr>
          <w:b/>
          <w:color w:val="000000"/>
          <w:sz w:val="26"/>
          <w:szCs w:val="26"/>
        </w:rPr>
        <w:t>M.</w:t>
      </w:r>
      <w:r w:rsidRPr="00892425">
        <w:rPr>
          <w:b/>
          <w:color w:val="000000"/>
          <w:sz w:val="26"/>
          <w:szCs w:val="26"/>
        </w:rPr>
        <w:tab/>
        <w:t>Merger Of Superior Water Company, Inc. Into Aqua Pennsylvania, Inc.</w:t>
      </w:r>
    </w:p>
    <w:p w14:paraId="6D741D3E" w14:textId="77777777" w:rsidR="00031667" w:rsidRPr="00892425" w:rsidRDefault="00031667" w:rsidP="002C4EC5">
      <w:pPr>
        <w:keepNext/>
        <w:keepLines/>
        <w:spacing w:before="555" w:after="200" w:line="240" w:lineRule="auto"/>
        <w:ind w:left="2970" w:right="288" w:hanging="792"/>
        <w:contextualSpacing/>
        <w:textAlignment w:val="baseline"/>
        <w:rPr>
          <w:b/>
          <w:color w:val="000000"/>
          <w:sz w:val="26"/>
          <w:szCs w:val="26"/>
        </w:rPr>
      </w:pPr>
    </w:p>
    <w:p w14:paraId="45F67752" w14:textId="3BD97121" w:rsidR="009A4EF4" w:rsidRPr="00892425" w:rsidRDefault="009A4EF4" w:rsidP="002C4EC5">
      <w:pPr>
        <w:keepNext/>
        <w:keepLines/>
        <w:spacing w:after="200" w:line="240" w:lineRule="auto"/>
        <w:ind w:left="1440" w:right="1440"/>
        <w:contextualSpacing/>
        <w:rPr>
          <w:sz w:val="26"/>
          <w:szCs w:val="26"/>
        </w:rPr>
      </w:pPr>
      <w:r w:rsidRPr="00892425">
        <w:rPr>
          <w:color w:val="000000"/>
          <w:sz w:val="26"/>
          <w:szCs w:val="26"/>
        </w:rPr>
        <w:t>52.</w:t>
      </w:r>
      <w:r w:rsidRPr="00892425">
        <w:rPr>
          <w:color w:val="000000"/>
          <w:sz w:val="26"/>
          <w:szCs w:val="26"/>
        </w:rPr>
        <w:tab/>
        <w:t xml:space="preserve">No Joint Petitioner opposes the Company’s request to merge its wholly-owned subsidiary, Superior, into Aqua Pennsylvania, Inc. </w:t>
      </w:r>
      <w:r w:rsidR="00603BB4">
        <w:rPr>
          <w:color w:val="000000"/>
          <w:sz w:val="26"/>
          <w:szCs w:val="26"/>
        </w:rPr>
        <w:t xml:space="preserve"> </w:t>
      </w:r>
      <w:r w:rsidRPr="00892425">
        <w:rPr>
          <w:color w:val="000000"/>
          <w:sz w:val="26"/>
          <w:szCs w:val="26"/>
        </w:rPr>
        <w:t>Accordingly, the Joint Petitioners are in agreement that Aqua and Superior have satisfied the criteria of Section 1102(a)(3) of the Public Utility Code for approval of the merger and that the Commission should issue certificates of public convenience evidencing that approval effective as of the effective date of the Settlement Rates.</w:t>
      </w:r>
    </w:p>
    <w:p w14:paraId="61BE9151" w14:textId="16A86512" w:rsidR="009A4EF4" w:rsidRDefault="008C5A58" w:rsidP="002C4EC5">
      <w:pPr>
        <w:pStyle w:val="ListParagraph"/>
        <w:ind w:left="0" w:right="72" w:firstLine="1440"/>
        <w:textAlignment w:val="baseline"/>
        <w:rPr>
          <w:color w:val="000000"/>
          <w:sz w:val="26"/>
          <w:szCs w:val="26"/>
        </w:rPr>
      </w:pPr>
      <w:r>
        <w:rPr>
          <w:color w:val="000000"/>
          <w:sz w:val="26"/>
          <w:szCs w:val="26"/>
        </w:rPr>
        <w:t>________________</w:t>
      </w:r>
    </w:p>
    <w:p w14:paraId="553A1FEE" w14:textId="2B66B9E7" w:rsidR="008C5A58" w:rsidRDefault="00C07D0A" w:rsidP="002C4EC5">
      <w:pPr>
        <w:pStyle w:val="ListParagraph"/>
        <w:spacing w:after="120" w:line="240" w:lineRule="auto"/>
        <w:ind w:left="1440" w:right="1440" w:firstLine="720"/>
        <w:textAlignment w:val="baseline"/>
        <w:rPr>
          <w:sz w:val="22"/>
          <w:szCs w:val="22"/>
        </w:rPr>
      </w:pPr>
      <w:r w:rsidRPr="00C07D0A">
        <w:rPr>
          <w:sz w:val="22"/>
          <w:szCs w:val="22"/>
          <w:vertAlign w:val="superscript"/>
        </w:rPr>
        <w:t>5</w:t>
      </w:r>
      <w:r w:rsidRPr="00C07D0A">
        <w:rPr>
          <w:sz w:val="22"/>
          <w:szCs w:val="22"/>
        </w:rPr>
        <w:tab/>
        <w:t>For purposes of the Joint Petition, references to the Company’s next base rate proceeding, next base rate case, or next base rate filing mean its next base rate case, proceeding or filing for water and wastewater operations that were included in this case, unless stated otherwise.</w:t>
      </w:r>
    </w:p>
    <w:p w14:paraId="01254BE6" w14:textId="60C80CB4" w:rsidR="003A49E6" w:rsidRDefault="003A49E6" w:rsidP="002C4EC5">
      <w:pPr>
        <w:pStyle w:val="ListParagraph"/>
        <w:spacing w:after="120" w:line="240" w:lineRule="auto"/>
        <w:ind w:left="1440" w:right="1440" w:firstLine="720"/>
        <w:textAlignment w:val="baseline"/>
        <w:rPr>
          <w:sz w:val="22"/>
          <w:szCs w:val="22"/>
        </w:rPr>
      </w:pPr>
      <w:r w:rsidRPr="003A49E6">
        <w:rPr>
          <w:sz w:val="22"/>
          <w:szCs w:val="22"/>
          <w:vertAlign w:val="superscript"/>
        </w:rPr>
        <w:t>6</w:t>
      </w:r>
      <w:r>
        <w:rPr>
          <w:sz w:val="22"/>
          <w:szCs w:val="22"/>
        </w:rPr>
        <w:tab/>
      </w:r>
      <w:r w:rsidRPr="003A49E6">
        <w:rPr>
          <w:sz w:val="22"/>
          <w:szCs w:val="22"/>
        </w:rPr>
        <w:t>Subparagraphs a. and b. provide a general description of the water rate structure and water rate design incorporated in the Settlement Rates. While every effort has been made to ensure that the description is accurate, if any inconsistency exists between such description and the rates set forth in Appendix A, the latter shall take precedence.</w:t>
      </w:r>
    </w:p>
    <w:p w14:paraId="0A32965B" w14:textId="1CC0B902" w:rsidR="00C07D0A" w:rsidRDefault="003A49E6" w:rsidP="002C4EC5">
      <w:pPr>
        <w:pStyle w:val="ListParagraph"/>
        <w:spacing w:line="240" w:lineRule="auto"/>
        <w:ind w:left="1440" w:right="1440" w:firstLine="720"/>
        <w:textAlignment w:val="baseline"/>
        <w:rPr>
          <w:sz w:val="22"/>
          <w:szCs w:val="22"/>
        </w:rPr>
      </w:pPr>
      <w:r w:rsidRPr="003A49E6">
        <w:rPr>
          <w:sz w:val="22"/>
          <w:szCs w:val="22"/>
          <w:vertAlign w:val="superscript"/>
        </w:rPr>
        <w:t>7</w:t>
      </w:r>
      <w:r>
        <w:rPr>
          <w:sz w:val="22"/>
          <w:szCs w:val="22"/>
        </w:rPr>
        <w:tab/>
      </w:r>
      <w:r w:rsidRPr="003A49E6">
        <w:rPr>
          <w:sz w:val="22"/>
          <w:szCs w:val="22"/>
        </w:rPr>
        <w:t>If any inconsistency exists between the information provided in subparagraphs a. and b. and the rates set forth in Appendix B, the latter shall take precedence.</w:t>
      </w:r>
    </w:p>
    <w:p w14:paraId="28865234" w14:textId="440C4B83" w:rsidR="003A49E6" w:rsidRDefault="003A49E6" w:rsidP="002C4EC5">
      <w:pPr>
        <w:pStyle w:val="ListParagraph"/>
        <w:spacing w:line="240" w:lineRule="auto"/>
        <w:ind w:left="1440" w:right="1440" w:firstLine="720"/>
        <w:textAlignment w:val="baseline"/>
        <w:rPr>
          <w:sz w:val="22"/>
          <w:szCs w:val="22"/>
        </w:rPr>
      </w:pPr>
    </w:p>
    <w:p w14:paraId="26B9CA64" w14:textId="75A60731" w:rsidR="003A49E6" w:rsidRDefault="007D4F0F" w:rsidP="002C4EC5">
      <w:pPr>
        <w:pStyle w:val="ListParagraph"/>
        <w:spacing w:line="240" w:lineRule="auto"/>
        <w:ind w:left="1440" w:right="1440" w:firstLine="720"/>
        <w:textAlignment w:val="baseline"/>
        <w:rPr>
          <w:sz w:val="22"/>
          <w:szCs w:val="22"/>
        </w:rPr>
      </w:pPr>
      <w:r w:rsidRPr="007D4F0F">
        <w:rPr>
          <w:sz w:val="22"/>
          <w:szCs w:val="22"/>
          <w:vertAlign w:val="superscript"/>
        </w:rPr>
        <w:t>8</w:t>
      </w:r>
      <w:r>
        <w:rPr>
          <w:sz w:val="22"/>
          <w:szCs w:val="22"/>
        </w:rPr>
        <w:tab/>
      </w:r>
      <w:r w:rsidRPr="007D4F0F">
        <w:rPr>
          <w:sz w:val="22"/>
          <w:szCs w:val="22"/>
        </w:rPr>
        <w:t>Aqua notes that consistent with its Direct Testimony in this proceeding, the Company’s wastewater lot availability charge will be eliminated from its wastewater tariff as part of this Settlement.</w:t>
      </w:r>
    </w:p>
    <w:p w14:paraId="7D6EDC1B" w14:textId="20FEFB03" w:rsidR="007D4F0F" w:rsidRDefault="007D4F0F" w:rsidP="002C4EC5">
      <w:pPr>
        <w:pStyle w:val="ListParagraph"/>
        <w:spacing w:line="240" w:lineRule="auto"/>
        <w:ind w:left="1440" w:right="1440" w:firstLine="720"/>
        <w:textAlignment w:val="baseline"/>
        <w:rPr>
          <w:sz w:val="22"/>
          <w:szCs w:val="22"/>
        </w:rPr>
      </w:pPr>
    </w:p>
    <w:p w14:paraId="70F057A9" w14:textId="56079A1A" w:rsidR="007D4F0F" w:rsidRDefault="007D4F0F" w:rsidP="002C4EC5">
      <w:pPr>
        <w:pStyle w:val="ListParagraph"/>
        <w:spacing w:line="240" w:lineRule="auto"/>
        <w:ind w:left="1440" w:right="1440" w:firstLine="720"/>
        <w:textAlignment w:val="baseline"/>
        <w:rPr>
          <w:sz w:val="22"/>
          <w:szCs w:val="22"/>
        </w:rPr>
      </w:pPr>
      <w:r w:rsidRPr="00603BB4">
        <w:rPr>
          <w:sz w:val="22"/>
          <w:szCs w:val="22"/>
          <w:vertAlign w:val="superscript"/>
        </w:rPr>
        <w:t>9</w:t>
      </w:r>
      <w:r>
        <w:rPr>
          <w:sz w:val="22"/>
          <w:szCs w:val="22"/>
        </w:rPr>
        <w:tab/>
      </w:r>
      <w:r w:rsidRPr="007D4F0F">
        <w:rPr>
          <w:sz w:val="22"/>
          <w:szCs w:val="22"/>
        </w:rPr>
        <w:t>UCMR3 also requires, in addition to PFOS and PFOA, the monitoring and reporting of: (1) perfluorononanoic acid (PFNA), (2) perfluorohexanesulfonic acid (PFHxS), (3) perfluoroheptanoic acid (PFHpA), and (4) perfluorobutanesulfonic acid (PFBS).</w:t>
      </w:r>
    </w:p>
    <w:p w14:paraId="5AF33DF3" w14:textId="1FD5D143" w:rsidR="003A49E6" w:rsidRPr="00603BB4" w:rsidRDefault="003A49E6" w:rsidP="002C4EC5">
      <w:pPr>
        <w:pStyle w:val="ListParagraph"/>
        <w:spacing w:line="240" w:lineRule="auto"/>
        <w:ind w:left="1440" w:right="1440" w:firstLine="720"/>
        <w:textAlignment w:val="baseline"/>
        <w:rPr>
          <w:color w:val="000000"/>
          <w:sz w:val="26"/>
          <w:szCs w:val="26"/>
        </w:rPr>
      </w:pPr>
    </w:p>
    <w:p w14:paraId="68C9BBBF" w14:textId="77777777" w:rsidR="00603BB4" w:rsidRPr="00603BB4" w:rsidRDefault="00603BB4" w:rsidP="002C4EC5">
      <w:pPr>
        <w:pStyle w:val="ListParagraph"/>
        <w:spacing w:line="240" w:lineRule="auto"/>
        <w:ind w:left="1440" w:right="1440" w:firstLine="720"/>
        <w:textAlignment w:val="baseline"/>
        <w:rPr>
          <w:color w:val="000000"/>
          <w:sz w:val="26"/>
          <w:szCs w:val="26"/>
        </w:rPr>
      </w:pPr>
    </w:p>
    <w:p w14:paraId="007047A6" w14:textId="2541D41A" w:rsidR="009A4EF4" w:rsidRPr="00892425" w:rsidRDefault="00F116A7" w:rsidP="002C4EC5">
      <w:pPr>
        <w:spacing w:after="200"/>
        <w:ind w:right="216"/>
        <w:contextualSpacing/>
        <w:textAlignment w:val="baseline"/>
        <w:rPr>
          <w:color w:val="000000"/>
          <w:sz w:val="26"/>
          <w:szCs w:val="26"/>
        </w:rPr>
      </w:pPr>
      <w:r w:rsidRPr="00892425">
        <w:rPr>
          <w:color w:val="000000"/>
          <w:sz w:val="26"/>
          <w:szCs w:val="26"/>
        </w:rPr>
        <w:t>Settlement at 6-23.</w:t>
      </w:r>
    </w:p>
    <w:p w14:paraId="500F5C9D" w14:textId="77777777" w:rsidR="008403B7" w:rsidRPr="00892425" w:rsidRDefault="008403B7" w:rsidP="002C4EC5">
      <w:pPr>
        <w:spacing w:after="200"/>
        <w:ind w:right="216" w:firstLine="1440"/>
        <w:contextualSpacing/>
        <w:textAlignment w:val="baseline"/>
        <w:rPr>
          <w:color w:val="000000"/>
          <w:sz w:val="26"/>
          <w:szCs w:val="26"/>
        </w:rPr>
      </w:pPr>
    </w:p>
    <w:p w14:paraId="3475D767" w14:textId="171A8C58" w:rsidR="000E7F2C" w:rsidRPr="00892425" w:rsidRDefault="000E7F2C" w:rsidP="002C4EC5">
      <w:pPr>
        <w:spacing w:after="200"/>
        <w:ind w:right="216" w:firstLine="1440"/>
        <w:contextualSpacing/>
        <w:textAlignment w:val="baseline"/>
        <w:rPr>
          <w:color w:val="000000"/>
          <w:sz w:val="26"/>
          <w:szCs w:val="26"/>
        </w:rPr>
      </w:pPr>
      <w:r w:rsidRPr="00892425">
        <w:rPr>
          <w:color w:val="000000"/>
          <w:sz w:val="26"/>
          <w:szCs w:val="26"/>
        </w:rPr>
        <w:t xml:space="preserve">In addition to the specific terms to which the Joint Petitioners have agreed, the </w:t>
      </w:r>
      <w:r w:rsidR="00634F96">
        <w:rPr>
          <w:color w:val="000000"/>
          <w:sz w:val="26"/>
          <w:szCs w:val="26"/>
        </w:rPr>
        <w:t>Joint Settlement</w:t>
      </w:r>
      <w:r w:rsidRPr="00892425">
        <w:rPr>
          <w:color w:val="000000"/>
          <w:sz w:val="26"/>
          <w:szCs w:val="26"/>
        </w:rPr>
        <w:t xml:space="preserve"> contains other general terms and conditions typically found </w:t>
      </w:r>
      <w:r w:rsidRPr="00892425">
        <w:rPr>
          <w:color w:val="000000"/>
          <w:sz w:val="26"/>
          <w:szCs w:val="26"/>
        </w:rPr>
        <w:lastRenderedPageBreak/>
        <w:t xml:space="preserve">in settlements submitted to the Commission.  Specifically, the Joint Petitioners agreed that the </w:t>
      </w:r>
      <w:r w:rsidR="00634F96">
        <w:rPr>
          <w:color w:val="000000"/>
          <w:sz w:val="26"/>
          <w:szCs w:val="26"/>
        </w:rPr>
        <w:t>Joint Settlement</w:t>
      </w:r>
      <w:r w:rsidRPr="00892425">
        <w:rPr>
          <w:color w:val="000000"/>
          <w:sz w:val="26"/>
          <w:szCs w:val="26"/>
        </w:rPr>
        <w:t xml:space="preserve"> is conditioned upon the Commission’s approval of all the terms and conditions contained therein without modification.  The Joint Petition establishes the procedure by which any of the Joint Petitioners may withdraw from the </w:t>
      </w:r>
      <w:r w:rsidR="00634F96">
        <w:rPr>
          <w:color w:val="000000"/>
          <w:sz w:val="26"/>
          <w:szCs w:val="26"/>
        </w:rPr>
        <w:t>Joint Settlement</w:t>
      </w:r>
      <w:r w:rsidRPr="00892425">
        <w:rPr>
          <w:color w:val="000000"/>
          <w:sz w:val="26"/>
          <w:szCs w:val="26"/>
        </w:rPr>
        <w:t xml:space="preserve"> and proceed to litigate this case, if the Commission should act to modify or reject the </w:t>
      </w:r>
      <w:r w:rsidR="00634F96">
        <w:rPr>
          <w:color w:val="000000"/>
          <w:sz w:val="26"/>
          <w:szCs w:val="26"/>
        </w:rPr>
        <w:t>Joint Settlement</w:t>
      </w:r>
      <w:r w:rsidRPr="00892425">
        <w:rPr>
          <w:color w:val="000000"/>
          <w:sz w:val="26"/>
          <w:szCs w:val="26"/>
        </w:rPr>
        <w:t xml:space="preserve">.  In addition, the Joint Petitioners asserted that although the </w:t>
      </w:r>
      <w:r w:rsidR="00634F96">
        <w:rPr>
          <w:color w:val="000000"/>
          <w:sz w:val="26"/>
          <w:szCs w:val="26"/>
        </w:rPr>
        <w:t>Joint Settlement</w:t>
      </w:r>
      <w:r w:rsidRPr="00892425">
        <w:rPr>
          <w:color w:val="000000"/>
          <w:sz w:val="26"/>
          <w:szCs w:val="26"/>
        </w:rPr>
        <w:t xml:space="preserve"> is proffered to settle the instant case, it may not be cited as precedent in any future proceeding, except to the extent required to implement any term specifically agreed to by the Joint Petitioners.  Further, the Joint Petitioners submitted that the Settlement is made without any admission against, or prejudice to, any position which any of the Joint Petitioners might adopt in future proceedings, except to the extent necessary to effectuate or enforce any term specifically agreed to in the </w:t>
      </w:r>
      <w:r w:rsidR="00634F96">
        <w:rPr>
          <w:color w:val="000000"/>
          <w:sz w:val="26"/>
          <w:szCs w:val="26"/>
        </w:rPr>
        <w:t>Joint Settlement</w:t>
      </w:r>
      <w:r w:rsidRPr="00892425">
        <w:rPr>
          <w:color w:val="000000"/>
          <w:sz w:val="26"/>
          <w:szCs w:val="26"/>
        </w:rPr>
        <w:t xml:space="preserve"> before us.  </w:t>
      </w:r>
      <w:r w:rsidR="00634F96">
        <w:rPr>
          <w:color w:val="000000"/>
          <w:sz w:val="26"/>
          <w:szCs w:val="26"/>
        </w:rPr>
        <w:t>Joint Settlement</w:t>
      </w:r>
      <w:r w:rsidRPr="00892425">
        <w:rPr>
          <w:color w:val="000000"/>
          <w:sz w:val="26"/>
          <w:szCs w:val="26"/>
        </w:rPr>
        <w:t xml:space="preserve"> ¶¶ 55-58 at 25-26.</w:t>
      </w:r>
    </w:p>
    <w:p w14:paraId="27D55B44" w14:textId="77777777" w:rsidR="000E7F2C" w:rsidRPr="00892425" w:rsidRDefault="000E7F2C" w:rsidP="002C4EC5">
      <w:pPr>
        <w:spacing w:after="200"/>
        <w:ind w:right="216" w:firstLine="1440"/>
        <w:contextualSpacing/>
        <w:textAlignment w:val="baseline"/>
        <w:rPr>
          <w:color w:val="000000"/>
          <w:sz w:val="26"/>
          <w:szCs w:val="26"/>
        </w:rPr>
      </w:pPr>
    </w:p>
    <w:p w14:paraId="3F1B192B" w14:textId="3389645E" w:rsidR="000E7F2C" w:rsidRPr="00892425" w:rsidRDefault="000E7F2C" w:rsidP="002C4EC5">
      <w:pPr>
        <w:spacing w:after="200"/>
        <w:ind w:right="216" w:firstLine="1440"/>
        <w:contextualSpacing/>
        <w:textAlignment w:val="baseline"/>
        <w:rPr>
          <w:color w:val="000000"/>
          <w:sz w:val="26"/>
          <w:szCs w:val="26"/>
        </w:rPr>
      </w:pPr>
      <w:r w:rsidRPr="00892425">
        <w:rPr>
          <w:color w:val="000000"/>
          <w:sz w:val="26"/>
          <w:szCs w:val="26"/>
        </w:rPr>
        <w:t xml:space="preserve">Moreover, the Joint Petitioners waived their right to file Exceptions in this case if the ALJs, in their Recommended Decision, recommended the Commission adopt the </w:t>
      </w:r>
      <w:r w:rsidR="00634F96">
        <w:rPr>
          <w:color w:val="000000"/>
          <w:sz w:val="26"/>
          <w:szCs w:val="26"/>
        </w:rPr>
        <w:t>Joint Settlement</w:t>
      </w:r>
      <w:r w:rsidRPr="00892425">
        <w:rPr>
          <w:color w:val="000000"/>
          <w:sz w:val="26"/>
          <w:szCs w:val="26"/>
        </w:rPr>
        <w:t xml:space="preserve"> in full.  However, the Joint Petitioners expressly submitted that they did not waive their rights to file Exceptions to any modifications by the ALJs to the terms and conditions of the </w:t>
      </w:r>
      <w:r w:rsidR="00634F96">
        <w:rPr>
          <w:color w:val="000000"/>
          <w:sz w:val="26"/>
          <w:szCs w:val="26"/>
        </w:rPr>
        <w:t>Joint Settlement</w:t>
      </w:r>
      <w:r w:rsidRPr="00892425">
        <w:rPr>
          <w:color w:val="000000"/>
          <w:sz w:val="26"/>
          <w:szCs w:val="26"/>
        </w:rPr>
        <w:t xml:space="preserve"> or to any additional matters proposed by the ALJs in their Recommended Decision.  Similarly, the Joint Petitioners reserved their rights to file Replies to Exceptions.  Finally, the Joint Petitioners acknowledged that the </w:t>
      </w:r>
      <w:r w:rsidR="00634F96">
        <w:rPr>
          <w:color w:val="000000"/>
          <w:sz w:val="26"/>
          <w:szCs w:val="26"/>
        </w:rPr>
        <w:t>Joint Settlement</w:t>
      </w:r>
      <w:r w:rsidRPr="00892425">
        <w:rPr>
          <w:color w:val="000000"/>
          <w:sz w:val="26"/>
          <w:szCs w:val="26"/>
        </w:rPr>
        <w:t xml:space="preserve"> does not bind the </w:t>
      </w:r>
      <w:r w:rsidRPr="00892425">
        <w:rPr>
          <w:i/>
          <w:color w:val="000000"/>
          <w:sz w:val="26"/>
          <w:szCs w:val="26"/>
        </w:rPr>
        <w:t xml:space="preserve">pro se </w:t>
      </w:r>
      <w:r w:rsidRPr="00892425">
        <w:rPr>
          <w:color w:val="000000"/>
          <w:sz w:val="26"/>
          <w:szCs w:val="26"/>
        </w:rPr>
        <w:t xml:space="preserve">Formal Complainants.  The Joint Petitioners explained that the OCA would serve a letter on each </w:t>
      </w:r>
      <w:r w:rsidRPr="00892425">
        <w:rPr>
          <w:i/>
          <w:color w:val="000000"/>
          <w:sz w:val="26"/>
          <w:szCs w:val="26"/>
        </w:rPr>
        <w:t xml:space="preserve">pro se </w:t>
      </w:r>
      <w:r w:rsidRPr="00892425">
        <w:rPr>
          <w:color w:val="000000"/>
          <w:sz w:val="26"/>
          <w:szCs w:val="26"/>
        </w:rPr>
        <w:t xml:space="preserve">Formal Complainant that will inform them that they may comment or object to the </w:t>
      </w:r>
      <w:r w:rsidR="00634F96">
        <w:rPr>
          <w:color w:val="000000"/>
          <w:sz w:val="26"/>
          <w:szCs w:val="26"/>
        </w:rPr>
        <w:t>Joint Settlement</w:t>
      </w:r>
      <w:r w:rsidRPr="00892425">
        <w:rPr>
          <w:color w:val="000000"/>
          <w:sz w:val="26"/>
          <w:szCs w:val="26"/>
        </w:rPr>
        <w:t xml:space="preserve"> by a date certain.  The Joint Petitioners submitted that nothing stated in the </w:t>
      </w:r>
      <w:r w:rsidR="00634F96">
        <w:rPr>
          <w:color w:val="000000"/>
          <w:sz w:val="26"/>
          <w:szCs w:val="26"/>
        </w:rPr>
        <w:t>Joint Settlement</w:t>
      </w:r>
      <w:r w:rsidRPr="00892425">
        <w:rPr>
          <w:color w:val="000000"/>
          <w:sz w:val="26"/>
          <w:szCs w:val="26"/>
        </w:rPr>
        <w:t xml:space="preserve"> is intended to limit any position which any Joint Petitioner may have or take concerning any comment or objection to the </w:t>
      </w:r>
      <w:r w:rsidR="00634F96">
        <w:rPr>
          <w:color w:val="000000"/>
          <w:sz w:val="26"/>
          <w:szCs w:val="26"/>
        </w:rPr>
        <w:t>Joint Settlement</w:t>
      </w:r>
      <w:r w:rsidRPr="00892425">
        <w:rPr>
          <w:color w:val="000000"/>
          <w:sz w:val="26"/>
          <w:szCs w:val="26"/>
        </w:rPr>
        <w:t xml:space="preserve"> that may be filed by any </w:t>
      </w:r>
      <w:r w:rsidRPr="00892425">
        <w:rPr>
          <w:i/>
          <w:color w:val="000000"/>
          <w:sz w:val="26"/>
          <w:szCs w:val="26"/>
        </w:rPr>
        <w:t xml:space="preserve">pro se </w:t>
      </w:r>
      <w:r w:rsidRPr="00892425">
        <w:rPr>
          <w:color w:val="000000"/>
          <w:sz w:val="26"/>
          <w:szCs w:val="26"/>
        </w:rPr>
        <w:t xml:space="preserve">Formal Complainant.  </w:t>
      </w:r>
      <w:r w:rsidR="00634F96">
        <w:rPr>
          <w:color w:val="000000"/>
          <w:sz w:val="26"/>
          <w:szCs w:val="26"/>
        </w:rPr>
        <w:t>Joint Settlement</w:t>
      </w:r>
      <w:r w:rsidRPr="00892425">
        <w:rPr>
          <w:color w:val="000000"/>
          <w:sz w:val="26"/>
          <w:szCs w:val="26"/>
        </w:rPr>
        <w:t xml:space="preserve"> ¶¶ 59-60 at 26.</w:t>
      </w:r>
    </w:p>
    <w:p w14:paraId="75694BB7" w14:textId="638AA29D" w:rsidR="00A045DE" w:rsidRPr="00892425" w:rsidRDefault="00A045DE" w:rsidP="002C4EC5">
      <w:pPr>
        <w:spacing w:after="200"/>
        <w:ind w:right="216" w:firstLine="1440"/>
        <w:contextualSpacing/>
        <w:textAlignment w:val="baseline"/>
        <w:rPr>
          <w:color w:val="000000"/>
          <w:sz w:val="26"/>
          <w:szCs w:val="26"/>
        </w:rPr>
      </w:pPr>
    </w:p>
    <w:p w14:paraId="588D5A0B" w14:textId="2954855C" w:rsidR="00A045DE" w:rsidRPr="00892425" w:rsidRDefault="00A045DE" w:rsidP="002C4EC5">
      <w:pPr>
        <w:spacing w:after="200"/>
        <w:ind w:right="216" w:firstLine="1440"/>
        <w:contextualSpacing/>
        <w:textAlignment w:val="baseline"/>
        <w:rPr>
          <w:color w:val="000000"/>
          <w:sz w:val="26"/>
          <w:szCs w:val="26"/>
        </w:rPr>
      </w:pPr>
      <w:r w:rsidRPr="00892425">
        <w:rPr>
          <w:color w:val="000000"/>
          <w:sz w:val="26"/>
          <w:szCs w:val="26"/>
        </w:rPr>
        <w:lastRenderedPageBreak/>
        <w:t>The Joint Petitioners respectfully requested that the ALJs and the Commission (1)</w:t>
      </w:r>
      <w:r w:rsidR="008603D2" w:rsidRPr="00892425">
        <w:rPr>
          <w:color w:val="000000"/>
          <w:sz w:val="26"/>
          <w:szCs w:val="26"/>
        </w:rPr>
        <w:t> </w:t>
      </w:r>
      <w:r w:rsidRPr="00892425">
        <w:rPr>
          <w:color w:val="000000"/>
          <w:sz w:val="26"/>
          <w:szCs w:val="26"/>
        </w:rPr>
        <w:t xml:space="preserve">approve the </w:t>
      </w:r>
      <w:r w:rsidR="00634F96">
        <w:rPr>
          <w:color w:val="000000"/>
          <w:sz w:val="26"/>
          <w:szCs w:val="26"/>
        </w:rPr>
        <w:t>Joint Settlement</w:t>
      </w:r>
      <w:r w:rsidRPr="00892425">
        <w:rPr>
          <w:color w:val="000000"/>
          <w:sz w:val="26"/>
          <w:szCs w:val="26"/>
        </w:rPr>
        <w:t>, including all terms and conditions thereof; (2)</w:t>
      </w:r>
      <w:r w:rsidR="008603D2" w:rsidRPr="00892425">
        <w:rPr>
          <w:color w:val="000000"/>
          <w:sz w:val="26"/>
          <w:szCs w:val="26"/>
        </w:rPr>
        <w:t> </w:t>
      </w:r>
      <w:r w:rsidRPr="00892425">
        <w:rPr>
          <w:color w:val="000000"/>
          <w:sz w:val="26"/>
          <w:szCs w:val="26"/>
        </w:rPr>
        <w:t xml:space="preserve">grant the Company permission to file the tariffs attached in Appendix A and B of the </w:t>
      </w:r>
      <w:r w:rsidR="00634F96">
        <w:rPr>
          <w:color w:val="000000"/>
          <w:sz w:val="26"/>
          <w:szCs w:val="26"/>
        </w:rPr>
        <w:t>Joint Settlement</w:t>
      </w:r>
      <w:r w:rsidRPr="00892425">
        <w:rPr>
          <w:color w:val="000000"/>
          <w:sz w:val="26"/>
          <w:szCs w:val="26"/>
        </w:rPr>
        <w:t>, to become effective for service rendered on or after May</w:t>
      </w:r>
      <w:r w:rsidR="00603BB4">
        <w:rPr>
          <w:color w:val="000000"/>
          <w:sz w:val="26"/>
          <w:szCs w:val="26"/>
        </w:rPr>
        <w:t> </w:t>
      </w:r>
      <w:r w:rsidRPr="00892425">
        <w:rPr>
          <w:color w:val="000000"/>
          <w:sz w:val="26"/>
          <w:szCs w:val="26"/>
        </w:rPr>
        <w:t>24, 2019; and (3)</w:t>
      </w:r>
      <w:r w:rsidR="008603D2" w:rsidRPr="00892425">
        <w:rPr>
          <w:color w:val="000000"/>
          <w:sz w:val="26"/>
          <w:szCs w:val="26"/>
        </w:rPr>
        <w:t> </w:t>
      </w:r>
      <w:r w:rsidRPr="00892425">
        <w:rPr>
          <w:color w:val="000000"/>
          <w:sz w:val="26"/>
          <w:szCs w:val="26"/>
        </w:rPr>
        <w:t xml:space="preserve">approve the </w:t>
      </w:r>
      <w:r w:rsidR="0098356A">
        <w:rPr>
          <w:color w:val="000000"/>
          <w:sz w:val="26"/>
          <w:szCs w:val="26"/>
        </w:rPr>
        <w:t>Joint Merger Application</w:t>
      </w:r>
      <w:r w:rsidRPr="00892425">
        <w:rPr>
          <w:color w:val="000000"/>
          <w:sz w:val="26"/>
          <w:szCs w:val="26"/>
        </w:rPr>
        <w:t xml:space="preserve">.  </w:t>
      </w:r>
      <w:r w:rsidR="00634F96">
        <w:rPr>
          <w:color w:val="000000"/>
          <w:sz w:val="26"/>
          <w:szCs w:val="26"/>
        </w:rPr>
        <w:t>Joint Settlement</w:t>
      </w:r>
      <w:r w:rsidRPr="00892425">
        <w:rPr>
          <w:color w:val="000000"/>
          <w:sz w:val="26"/>
          <w:szCs w:val="26"/>
        </w:rPr>
        <w:t xml:space="preserve"> at</w:t>
      </w:r>
      <w:r w:rsidR="00603BB4">
        <w:rPr>
          <w:color w:val="000000"/>
          <w:sz w:val="26"/>
          <w:szCs w:val="26"/>
        </w:rPr>
        <w:t> </w:t>
      </w:r>
      <w:r w:rsidRPr="00892425">
        <w:rPr>
          <w:color w:val="000000"/>
          <w:sz w:val="26"/>
          <w:szCs w:val="26"/>
        </w:rPr>
        <w:t>26</w:t>
      </w:r>
      <w:r w:rsidR="00603BB4">
        <w:rPr>
          <w:color w:val="000000"/>
          <w:sz w:val="26"/>
          <w:szCs w:val="26"/>
        </w:rPr>
        <w:noBreakHyphen/>
      </w:r>
      <w:r w:rsidRPr="00892425">
        <w:rPr>
          <w:color w:val="000000"/>
          <w:sz w:val="26"/>
          <w:szCs w:val="26"/>
        </w:rPr>
        <w:t>27.</w:t>
      </w:r>
    </w:p>
    <w:p w14:paraId="43DB1046" w14:textId="77777777" w:rsidR="00D35A70" w:rsidRPr="00892425" w:rsidRDefault="00D35A70" w:rsidP="002C4EC5">
      <w:pPr>
        <w:ind w:firstLine="1440"/>
        <w:contextualSpacing/>
        <w:rPr>
          <w:sz w:val="26"/>
          <w:szCs w:val="26"/>
        </w:rPr>
      </w:pPr>
    </w:p>
    <w:p w14:paraId="3BF6AB43" w14:textId="798A6E70" w:rsidR="00C04859" w:rsidRPr="00892425" w:rsidRDefault="00C04859" w:rsidP="002C4EC5">
      <w:pPr>
        <w:pStyle w:val="Heading4"/>
        <w:keepLines/>
        <w:ind w:left="2160" w:hanging="720"/>
        <w:contextualSpacing/>
        <w:jc w:val="left"/>
      </w:pPr>
      <w:r w:rsidRPr="00892425">
        <w:t>3.</w:t>
      </w:r>
      <w:r w:rsidRPr="00892425">
        <w:tab/>
        <w:t xml:space="preserve">Statements in Support of the </w:t>
      </w:r>
      <w:r w:rsidR="00634F96">
        <w:t>Joint Settlement</w:t>
      </w:r>
      <w:r w:rsidR="005F60EC" w:rsidRPr="00892425">
        <w:t xml:space="preserve"> </w:t>
      </w:r>
    </w:p>
    <w:p w14:paraId="0114F5FF" w14:textId="307B197C" w:rsidR="00C04859" w:rsidRPr="00892425" w:rsidRDefault="00C04859" w:rsidP="002C4EC5">
      <w:pPr>
        <w:keepNext/>
        <w:keepLines/>
        <w:ind w:firstLine="1440"/>
        <w:contextualSpacing/>
        <w:rPr>
          <w:sz w:val="26"/>
          <w:szCs w:val="26"/>
        </w:rPr>
      </w:pPr>
    </w:p>
    <w:p w14:paraId="7D8D7E1D" w14:textId="7C807834" w:rsidR="008403B7" w:rsidRPr="00892425" w:rsidRDefault="008403B7" w:rsidP="002C4EC5">
      <w:pPr>
        <w:pStyle w:val="Heading5"/>
        <w:ind w:left="2880" w:hanging="720"/>
        <w:contextualSpacing/>
        <w:jc w:val="left"/>
      </w:pPr>
      <w:r w:rsidRPr="00892425">
        <w:t>a.</w:t>
      </w:r>
      <w:r w:rsidRPr="00892425">
        <w:tab/>
        <w:t>Aqua</w:t>
      </w:r>
    </w:p>
    <w:p w14:paraId="0E7ED79A" w14:textId="77777777" w:rsidR="008403B7" w:rsidRPr="00892425" w:rsidRDefault="008403B7" w:rsidP="002C4EC5">
      <w:pPr>
        <w:keepNext/>
        <w:keepLines/>
        <w:ind w:firstLine="1440"/>
        <w:contextualSpacing/>
        <w:rPr>
          <w:sz w:val="26"/>
          <w:szCs w:val="26"/>
        </w:rPr>
      </w:pPr>
    </w:p>
    <w:p w14:paraId="116D8254" w14:textId="78227272" w:rsidR="00D94614" w:rsidRPr="00892425" w:rsidRDefault="006C54B4" w:rsidP="002C4EC5">
      <w:pPr>
        <w:ind w:firstLine="1440"/>
        <w:contextualSpacing/>
        <w:rPr>
          <w:sz w:val="26"/>
          <w:szCs w:val="26"/>
        </w:rPr>
      </w:pPr>
      <w:r w:rsidRPr="00892425">
        <w:rPr>
          <w:sz w:val="26"/>
          <w:szCs w:val="26"/>
        </w:rPr>
        <w:t xml:space="preserve">In its Statement in Support, </w:t>
      </w:r>
      <w:r w:rsidR="008E7768" w:rsidRPr="00892425">
        <w:rPr>
          <w:sz w:val="26"/>
          <w:szCs w:val="26"/>
        </w:rPr>
        <w:t xml:space="preserve">Aqua asserted that although it has </w:t>
      </w:r>
      <w:r w:rsidR="00D94614" w:rsidRPr="00892425">
        <w:rPr>
          <w:sz w:val="26"/>
          <w:szCs w:val="26"/>
        </w:rPr>
        <w:t>undertaken efforts to reduce Federal and State tax expenses and made investments to enhance its infrastructure, it has experienced a decline in water usage per customer at approximately 1.3% per year.  According to Aqua, absent rate relief, its financial results may deteriorate and could jeopardize its ability to appropriately invest in infrastructure needed to improve safety and reliability and to adequately service customers.  Aqua Statement in Support at</w:t>
      </w:r>
      <w:r w:rsidR="00603BB4">
        <w:rPr>
          <w:sz w:val="26"/>
          <w:szCs w:val="26"/>
        </w:rPr>
        <w:t> </w:t>
      </w:r>
      <w:r w:rsidR="00D94614" w:rsidRPr="00892425">
        <w:rPr>
          <w:sz w:val="26"/>
          <w:szCs w:val="26"/>
        </w:rPr>
        <w:t>17.</w:t>
      </w:r>
    </w:p>
    <w:p w14:paraId="3CC29B33" w14:textId="77777777" w:rsidR="00D94614" w:rsidRPr="00892425" w:rsidRDefault="00D94614" w:rsidP="002C4EC5">
      <w:pPr>
        <w:ind w:firstLine="1440"/>
        <w:contextualSpacing/>
        <w:rPr>
          <w:sz w:val="26"/>
          <w:szCs w:val="26"/>
        </w:rPr>
      </w:pPr>
    </w:p>
    <w:p w14:paraId="7862ACC5" w14:textId="40A64F17" w:rsidR="006C54B4" w:rsidRPr="00892425" w:rsidRDefault="006C54B4" w:rsidP="002C4EC5">
      <w:pPr>
        <w:ind w:firstLine="1440"/>
        <w:contextualSpacing/>
        <w:rPr>
          <w:sz w:val="26"/>
          <w:szCs w:val="26"/>
        </w:rPr>
      </w:pPr>
      <w:r w:rsidRPr="00892425">
        <w:rPr>
          <w:sz w:val="26"/>
          <w:szCs w:val="26"/>
        </w:rPr>
        <w:t xml:space="preserve">Aqua </w:t>
      </w:r>
      <w:r w:rsidR="00D94614" w:rsidRPr="00892425">
        <w:rPr>
          <w:sz w:val="26"/>
          <w:szCs w:val="26"/>
        </w:rPr>
        <w:t>stressed</w:t>
      </w:r>
      <w:r w:rsidRPr="00892425">
        <w:rPr>
          <w:sz w:val="26"/>
          <w:szCs w:val="26"/>
        </w:rPr>
        <w:t xml:space="preserve"> that it last increased its water rates in 2012 and its wastewater rates in 2010.  Therefore, Aqua emphasize</w:t>
      </w:r>
      <w:r w:rsidR="00551F56" w:rsidRPr="00892425">
        <w:rPr>
          <w:sz w:val="26"/>
          <w:szCs w:val="26"/>
        </w:rPr>
        <w:t>d</w:t>
      </w:r>
      <w:r w:rsidRPr="00892425">
        <w:rPr>
          <w:sz w:val="26"/>
          <w:szCs w:val="26"/>
        </w:rPr>
        <w:t xml:space="preserve"> that its customers have not experienced an increase in distribution base rates for at least seven years.  Aqua note</w:t>
      </w:r>
      <w:r w:rsidR="00551F56" w:rsidRPr="00892425">
        <w:rPr>
          <w:sz w:val="26"/>
          <w:szCs w:val="26"/>
        </w:rPr>
        <w:t>d</w:t>
      </w:r>
      <w:r w:rsidRPr="00892425">
        <w:rPr>
          <w:sz w:val="26"/>
          <w:szCs w:val="26"/>
        </w:rPr>
        <w:t xml:space="preserve"> that under the </w:t>
      </w:r>
      <w:r w:rsidR="00634F96">
        <w:rPr>
          <w:sz w:val="26"/>
          <w:szCs w:val="26"/>
        </w:rPr>
        <w:t>Joint Settlement</w:t>
      </w:r>
      <w:r w:rsidRPr="00892425">
        <w:rPr>
          <w:sz w:val="26"/>
          <w:szCs w:val="26"/>
        </w:rPr>
        <w:t xml:space="preserve"> </w:t>
      </w:r>
      <w:r w:rsidR="008603D2" w:rsidRPr="00892425">
        <w:rPr>
          <w:sz w:val="26"/>
          <w:szCs w:val="26"/>
        </w:rPr>
        <w:t>R</w:t>
      </w:r>
      <w:r w:rsidRPr="00892425">
        <w:rPr>
          <w:sz w:val="26"/>
          <w:szCs w:val="26"/>
        </w:rPr>
        <w:t xml:space="preserve">ates, the monthly bill of a typical residential water customer in the Company Main Division (in which 91% of all residential water customers are served) will increase from $59.85 to $65.52, or by 9.47%.  Aqua </w:t>
      </w:r>
      <w:r w:rsidR="008603D2" w:rsidRPr="00892425">
        <w:rPr>
          <w:sz w:val="26"/>
          <w:szCs w:val="26"/>
        </w:rPr>
        <w:t>explained</w:t>
      </w:r>
      <w:r w:rsidRPr="00892425">
        <w:rPr>
          <w:sz w:val="26"/>
          <w:szCs w:val="26"/>
        </w:rPr>
        <w:t xml:space="preserve"> that under the Joint Settlement</w:t>
      </w:r>
      <w:r w:rsidR="00551F56" w:rsidRPr="00892425">
        <w:rPr>
          <w:sz w:val="26"/>
          <w:szCs w:val="26"/>
        </w:rPr>
        <w:t>, it</w:t>
      </w:r>
      <w:r w:rsidRPr="00892425">
        <w:rPr>
          <w:sz w:val="26"/>
          <w:szCs w:val="26"/>
        </w:rPr>
        <w:t xml:space="preserve"> will consolidate twenty-two water divisions into fourteen divisions and thirty</w:t>
      </w:r>
      <w:r w:rsidRPr="00892425">
        <w:rPr>
          <w:sz w:val="26"/>
          <w:szCs w:val="26"/>
        </w:rPr>
        <w:noBreakHyphen/>
        <w:t>three wastewater divisions to eleven divisions.  According to Aqua, this facilitates moving customers to one rate.  Aqua assert</w:t>
      </w:r>
      <w:r w:rsidR="00551F56" w:rsidRPr="00892425">
        <w:rPr>
          <w:sz w:val="26"/>
          <w:szCs w:val="26"/>
        </w:rPr>
        <w:t>ed</w:t>
      </w:r>
      <w:r w:rsidRPr="00892425">
        <w:rPr>
          <w:sz w:val="26"/>
          <w:szCs w:val="26"/>
        </w:rPr>
        <w:t xml:space="preserve"> that the weighted average monthly rate across all wastewater divisions will increase by approximately </w:t>
      </w:r>
      <w:r w:rsidRPr="00892425">
        <w:rPr>
          <w:sz w:val="26"/>
          <w:szCs w:val="26"/>
        </w:rPr>
        <w:lastRenderedPageBreak/>
        <w:t>13.39% from $57.64 to $66.55.  However, Aqua point</w:t>
      </w:r>
      <w:r w:rsidR="00551F56" w:rsidRPr="00892425">
        <w:rPr>
          <w:sz w:val="26"/>
          <w:szCs w:val="26"/>
        </w:rPr>
        <w:t>ed</w:t>
      </w:r>
      <w:r w:rsidRPr="00892425">
        <w:rPr>
          <w:sz w:val="26"/>
          <w:szCs w:val="26"/>
        </w:rPr>
        <w:t xml:space="preserve"> out that all of the wastewater </w:t>
      </w:r>
      <w:r w:rsidR="00634F96">
        <w:rPr>
          <w:sz w:val="26"/>
          <w:szCs w:val="26"/>
        </w:rPr>
        <w:t>Joint Settlement</w:t>
      </w:r>
      <w:r w:rsidRPr="00892425">
        <w:rPr>
          <w:sz w:val="26"/>
          <w:szCs w:val="26"/>
        </w:rPr>
        <w:t xml:space="preserve"> </w:t>
      </w:r>
      <w:r w:rsidR="008603D2" w:rsidRPr="00892425">
        <w:rPr>
          <w:sz w:val="26"/>
          <w:szCs w:val="26"/>
        </w:rPr>
        <w:t>R</w:t>
      </w:r>
      <w:r w:rsidRPr="00892425">
        <w:rPr>
          <w:sz w:val="26"/>
          <w:szCs w:val="26"/>
        </w:rPr>
        <w:t>ates and resulting average customer bills would be higher absent the Section 1311(c) allocation of a portion of wastewater revenue requirement to water operations.  Aqua Statement in Support at 15-16.</w:t>
      </w:r>
    </w:p>
    <w:p w14:paraId="7C8B061C" w14:textId="77777777" w:rsidR="006C54B4" w:rsidRPr="00892425" w:rsidRDefault="006C54B4" w:rsidP="002C4EC5">
      <w:pPr>
        <w:ind w:firstLine="1440"/>
        <w:contextualSpacing/>
        <w:rPr>
          <w:sz w:val="26"/>
          <w:szCs w:val="26"/>
        </w:rPr>
      </w:pPr>
    </w:p>
    <w:p w14:paraId="7C766CCF" w14:textId="255A3D25" w:rsidR="006C54B4" w:rsidRPr="00892425" w:rsidRDefault="006C54B4" w:rsidP="002C4EC5">
      <w:pPr>
        <w:ind w:firstLine="1440"/>
        <w:contextualSpacing/>
        <w:rPr>
          <w:sz w:val="26"/>
          <w:szCs w:val="26"/>
        </w:rPr>
      </w:pPr>
      <w:r w:rsidRPr="00892425">
        <w:rPr>
          <w:sz w:val="26"/>
          <w:szCs w:val="26"/>
        </w:rPr>
        <w:t>Aqua argue</w:t>
      </w:r>
      <w:r w:rsidR="00551F56" w:rsidRPr="00892425">
        <w:rPr>
          <w:sz w:val="26"/>
          <w:szCs w:val="26"/>
        </w:rPr>
        <w:t>d</w:t>
      </w:r>
      <w:r w:rsidRPr="00892425">
        <w:rPr>
          <w:sz w:val="26"/>
          <w:szCs w:val="26"/>
        </w:rPr>
        <w:t xml:space="preserve"> that the </w:t>
      </w:r>
      <w:r w:rsidR="00634F96">
        <w:rPr>
          <w:sz w:val="26"/>
          <w:szCs w:val="26"/>
        </w:rPr>
        <w:t>Joint Settlement</w:t>
      </w:r>
      <w:r w:rsidRPr="00892425">
        <w:rPr>
          <w:sz w:val="26"/>
          <w:szCs w:val="26"/>
        </w:rPr>
        <w:t xml:space="preserve">’s revenue requirement provisions provide for </w:t>
      </w:r>
      <w:r w:rsidR="00634F96">
        <w:rPr>
          <w:sz w:val="26"/>
          <w:szCs w:val="26"/>
        </w:rPr>
        <w:t>Joint Settlement</w:t>
      </w:r>
      <w:r w:rsidRPr="00892425">
        <w:rPr>
          <w:sz w:val="26"/>
          <w:szCs w:val="26"/>
        </w:rPr>
        <w:t xml:space="preserve"> </w:t>
      </w:r>
      <w:r w:rsidR="0006707F" w:rsidRPr="00892425">
        <w:rPr>
          <w:sz w:val="26"/>
          <w:szCs w:val="26"/>
        </w:rPr>
        <w:t>R</w:t>
      </w:r>
      <w:r w:rsidRPr="00892425">
        <w:rPr>
          <w:sz w:val="26"/>
          <w:szCs w:val="26"/>
        </w:rPr>
        <w:t xml:space="preserve">ates that are consistent with the legal standards articulated in </w:t>
      </w:r>
      <w:r w:rsidRPr="00892425">
        <w:rPr>
          <w:i/>
          <w:sz w:val="26"/>
          <w:szCs w:val="26"/>
        </w:rPr>
        <w:t xml:space="preserve">Bluefield </w:t>
      </w:r>
      <w:r w:rsidRPr="00892425">
        <w:rPr>
          <w:sz w:val="26"/>
          <w:szCs w:val="26"/>
        </w:rPr>
        <w:t xml:space="preserve">and </w:t>
      </w:r>
      <w:r w:rsidRPr="00892425">
        <w:rPr>
          <w:i/>
          <w:sz w:val="26"/>
          <w:szCs w:val="26"/>
        </w:rPr>
        <w:t>Hope, supra.</w:t>
      </w:r>
      <w:r w:rsidRPr="00892425">
        <w:rPr>
          <w:sz w:val="26"/>
          <w:szCs w:val="26"/>
        </w:rPr>
        <w:t xml:space="preserve">  According to Aqua, the </w:t>
      </w:r>
      <w:r w:rsidR="00634F96">
        <w:rPr>
          <w:sz w:val="26"/>
          <w:szCs w:val="26"/>
        </w:rPr>
        <w:t>Joint Settlement</w:t>
      </w:r>
      <w:r w:rsidRPr="00892425">
        <w:rPr>
          <w:sz w:val="26"/>
          <w:szCs w:val="26"/>
        </w:rPr>
        <w:t xml:space="preserve"> </w:t>
      </w:r>
      <w:r w:rsidR="0006707F" w:rsidRPr="00892425">
        <w:rPr>
          <w:sz w:val="26"/>
          <w:szCs w:val="26"/>
        </w:rPr>
        <w:t>R</w:t>
      </w:r>
      <w:r w:rsidRPr="00892425">
        <w:rPr>
          <w:sz w:val="26"/>
          <w:szCs w:val="26"/>
        </w:rPr>
        <w:t>ates mitigate rate shock, while allowing the Company and its investors the opportunity to earn a fair return on investment and to obtain capital needed to meet the Company’s service obligations.  Additionally, Aqua note</w:t>
      </w:r>
      <w:r w:rsidR="00551F56" w:rsidRPr="00892425">
        <w:rPr>
          <w:sz w:val="26"/>
          <w:szCs w:val="26"/>
        </w:rPr>
        <w:t>d</w:t>
      </w:r>
      <w:r w:rsidRPr="00892425">
        <w:rPr>
          <w:sz w:val="26"/>
          <w:szCs w:val="26"/>
        </w:rPr>
        <w:t xml:space="preserve"> that the </w:t>
      </w:r>
      <w:r w:rsidR="00634F96">
        <w:rPr>
          <w:sz w:val="26"/>
          <w:szCs w:val="26"/>
        </w:rPr>
        <w:t>Joint Settlement</w:t>
      </w:r>
      <w:r w:rsidRPr="00892425">
        <w:rPr>
          <w:sz w:val="26"/>
          <w:szCs w:val="26"/>
        </w:rPr>
        <w:t xml:space="preserve"> </w:t>
      </w:r>
      <w:r w:rsidR="0006707F" w:rsidRPr="00892425">
        <w:rPr>
          <w:sz w:val="26"/>
          <w:szCs w:val="26"/>
        </w:rPr>
        <w:t>R</w:t>
      </w:r>
      <w:r w:rsidRPr="00892425">
        <w:rPr>
          <w:sz w:val="26"/>
          <w:szCs w:val="26"/>
        </w:rPr>
        <w:t>ates provide for reasonable progress in moving all major customer classes closer to their cost of service, consistent with the principles of gradualism.  Further, Aqua emphasize</w:t>
      </w:r>
      <w:r w:rsidR="00551F56" w:rsidRPr="00892425">
        <w:rPr>
          <w:sz w:val="26"/>
          <w:szCs w:val="26"/>
        </w:rPr>
        <w:t>d</w:t>
      </w:r>
      <w:r w:rsidRPr="00892425">
        <w:rPr>
          <w:sz w:val="26"/>
          <w:szCs w:val="26"/>
        </w:rPr>
        <w:t xml:space="preserve"> that the </w:t>
      </w:r>
      <w:r w:rsidR="00634F96">
        <w:rPr>
          <w:sz w:val="26"/>
          <w:szCs w:val="26"/>
        </w:rPr>
        <w:t>Joint Settlement</w:t>
      </w:r>
      <w:r w:rsidRPr="00892425">
        <w:rPr>
          <w:sz w:val="26"/>
          <w:szCs w:val="26"/>
        </w:rPr>
        <w:t xml:space="preserve"> materially enhances the Company’s Helping Hand program, domestic violence policy, termination procedures, and medical certificate forms</w:t>
      </w:r>
      <w:r w:rsidR="0006707F" w:rsidRPr="00892425">
        <w:rPr>
          <w:sz w:val="26"/>
          <w:szCs w:val="26"/>
        </w:rPr>
        <w:t>,</w:t>
      </w:r>
      <w:r w:rsidRPr="00892425">
        <w:rPr>
          <w:sz w:val="26"/>
          <w:szCs w:val="26"/>
        </w:rPr>
        <w:t xml:space="preserve"> and assures that all service-related and billing issues raised by witnesses at the public input hearings in this proceeding will be addressed.  Accordingly, Aqua submit</w:t>
      </w:r>
      <w:r w:rsidR="00551F56" w:rsidRPr="00892425">
        <w:rPr>
          <w:sz w:val="26"/>
          <w:szCs w:val="26"/>
        </w:rPr>
        <w:t>ted</w:t>
      </w:r>
      <w:r w:rsidRPr="00892425">
        <w:rPr>
          <w:sz w:val="26"/>
          <w:szCs w:val="26"/>
        </w:rPr>
        <w:t xml:space="preserve"> that the </w:t>
      </w:r>
      <w:r w:rsidR="00634F96">
        <w:rPr>
          <w:sz w:val="26"/>
          <w:szCs w:val="26"/>
        </w:rPr>
        <w:t>Joint Settlement</w:t>
      </w:r>
      <w:r w:rsidRPr="00892425">
        <w:rPr>
          <w:sz w:val="26"/>
          <w:szCs w:val="26"/>
        </w:rPr>
        <w:t xml:space="preserve"> is in the public interest.  Aqua Statement in Support at 40-41.</w:t>
      </w:r>
    </w:p>
    <w:p w14:paraId="46E427DD" w14:textId="320C2589" w:rsidR="00997A12" w:rsidRPr="00892425" w:rsidRDefault="00997A12" w:rsidP="002C4EC5">
      <w:pPr>
        <w:ind w:firstLine="1440"/>
        <w:contextualSpacing/>
        <w:rPr>
          <w:sz w:val="26"/>
          <w:szCs w:val="26"/>
        </w:rPr>
      </w:pPr>
    </w:p>
    <w:p w14:paraId="1708D994" w14:textId="3C6B49F0" w:rsidR="006C54B4" w:rsidRPr="00892425" w:rsidRDefault="006C54B4" w:rsidP="002C4EC5">
      <w:pPr>
        <w:pStyle w:val="Heading5"/>
        <w:ind w:left="2880" w:hanging="720"/>
        <w:contextualSpacing/>
        <w:jc w:val="left"/>
        <w:rPr>
          <w:b w:val="0"/>
        </w:rPr>
      </w:pPr>
      <w:r w:rsidRPr="00892425">
        <w:t>b.</w:t>
      </w:r>
      <w:r w:rsidRPr="00892425">
        <w:tab/>
        <w:t>I&amp;E</w:t>
      </w:r>
    </w:p>
    <w:p w14:paraId="43E23B2F" w14:textId="7BB923B1" w:rsidR="006C54B4" w:rsidRPr="00892425" w:rsidRDefault="006C54B4" w:rsidP="002C4EC5">
      <w:pPr>
        <w:keepNext/>
        <w:keepLines/>
        <w:ind w:firstLine="1440"/>
        <w:contextualSpacing/>
        <w:rPr>
          <w:sz w:val="26"/>
          <w:szCs w:val="26"/>
        </w:rPr>
      </w:pPr>
    </w:p>
    <w:p w14:paraId="089B430D" w14:textId="2AB030EF" w:rsidR="006C54B4" w:rsidRPr="00892425" w:rsidRDefault="004A5AB7" w:rsidP="002C4EC5">
      <w:pPr>
        <w:ind w:firstLine="1440"/>
        <w:contextualSpacing/>
        <w:rPr>
          <w:sz w:val="26"/>
          <w:szCs w:val="26"/>
        </w:rPr>
      </w:pPr>
      <w:r w:rsidRPr="00892425">
        <w:rPr>
          <w:sz w:val="26"/>
          <w:szCs w:val="26"/>
        </w:rPr>
        <w:t xml:space="preserve">In its Statement in Support, I&amp;E </w:t>
      </w:r>
      <w:r w:rsidR="00551F56" w:rsidRPr="00892425">
        <w:rPr>
          <w:sz w:val="26"/>
          <w:szCs w:val="26"/>
        </w:rPr>
        <w:t>asserted</w:t>
      </w:r>
      <w:r w:rsidRPr="00892425">
        <w:rPr>
          <w:sz w:val="26"/>
          <w:szCs w:val="26"/>
        </w:rPr>
        <w:t xml:space="preserve">, that the rate increase under the proposed </w:t>
      </w:r>
      <w:r w:rsidR="00634F96">
        <w:rPr>
          <w:sz w:val="26"/>
          <w:szCs w:val="26"/>
        </w:rPr>
        <w:t>Joint Settlement</w:t>
      </w:r>
      <w:r w:rsidRPr="00892425">
        <w:rPr>
          <w:sz w:val="26"/>
          <w:szCs w:val="26"/>
        </w:rPr>
        <w:t xml:space="preserve"> represents a result that is within the range of likely outcomes in the event that this case was fully </w:t>
      </w:r>
      <w:r w:rsidR="00DC3F79" w:rsidRPr="00892425">
        <w:rPr>
          <w:sz w:val="26"/>
          <w:szCs w:val="26"/>
        </w:rPr>
        <w:t>litigated</w:t>
      </w:r>
      <w:r w:rsidRPr="00892425">
        <w:rPr>
          <w:sz w:val="26"/>
          <w:szCs w:val="26"/>
        </w:rPr>
        <w:t xml:space="preserve">.  According to I&amp;E, this increase is appropriate and, when accompanied by other important provisions contained in the </w:t>
      </w:r>
      <w:r w:rsidR="00634F96">
        <w:rPr>
          <w:sz w:val="26"/>
          <w:szCs w:val="26"/>
        </w:rPr>
        <w:t>Joint Settlement</w:t>
      </w:r>
      <w:r w:rsidRPr="00892425">
        <w:rPr>
          <w:sz w:val="26"/>
          <w:szCs w:val="26"/>
        </w:rPr>
        <w:t xml:space="preserve">, yields a result that is both just and reasonable and in the public interest.  I&amp;E </w:t>
      </w:r>
      <w:r w:rsidR="00845D49" w:rsidRPr="00892425">
        <w:rPr>
          <w:sz w:val="26"/>
          <w:szCs w:val="26"/>
        </w:rPr>
        <w:t>trumpet</w:t>
      </w:r>
      <w:r w:rsidR="00F0338A" w:rsidRPr="00892425">
        <w:rPr>
          <w:sz w:val="26"/>
          <w:szCs w:val="26"/>
        </w:rPr>
        <w:t>ed</w:t>
      </w:r>
      <w:r w:rsidRPr="00892425">
        <w:rPr>
          <w:sz w:val="26"/>
          <w:szCs w:val="26"/>
        </w:rPr>
        <w:t xml:space="preserve">, </w:t>
      </w:r>
      <w:r w:rsidRPr="00892425">
        <w:rPr>
          <w:i/>
          <w:sz w:val="26"/>
          <w:szCs w:val="26"/>
        </w:rPr>
        <w:t>inter alia,</w:t>
      </w:r>
      <w:r w:rsidRPr="00892425">
        <w:rPr>
          <w:sz w:val="26"/>
          <w:szCs w:val="26"/>
        </w:rPr>
        <w:t xml:space="preserve"> the </w:t>
      </w:r>
      <w:r w:rsidR="00634F96">
        <w:rPr>
          <w:sz w:val="26"/>
          <w:szCs w:val="26"/>
        </w:rPr>
        <w:t>Joint Settlement</w:t>
      </w:r>
      <w:r w:rsidRPr="00892425">
        <w:rPr>
          <w:sz w:val="26"/>
          <w:szCs w:val="26"/>
        </w:rPr>
        <w:t>’s Stay out Provision</w:t>
      </w:r>
      <w:r w:rsidR="009F6AF7" w:rsidRPr="00892425">
        <w:rPr>
          <w:sz w:val="26"/>
          <w:szCs w:val="26"/>
        </w:rPr>
        <w:t xml:space="preserve">, </w:t>
      </w:r>
      <w:r w:rsidR="00845D49" w:rsidRPr="00892425">
        <w:rPr>
          <w:sz w:val="26"/>
          <w:szCs w:val="26"/>
        </w:rPr>
        <w:t>Aqua’s agreement to withdraw its proposed ECAM and PWAC</w:t>
      </w:r>
      <w:r w:rsidR="002C2DDF" w:rsidRPr="00892425">
        <w:rPr>
          <w:sz w:val="26"/>
          <w:szCs w:val="26"/>
        </w:rPr>
        <w:t xml:space="preserve"> adjustment clauses</w:t>
      </w:r>
      <w:r w:rsidR="00F20521" w:rsidRPr="00892425">
        <w:rPr>
          <w:sz w:val="26"/>
          <w:szCs w:val="26"/>
        </w:rPr>
        <w:t xml:space="preserve">, Aqua’s </w:t>
      </w:r>
      <w:r w:rsidR="00F0338A" w:rsidRPr="00892425">
        <w:rPr>
          <w:sz w:val="26"/>
          <w:szCs w:val="26"/>
        </w:rPr>
        <w:t>agreement to treat CAC and CIAC</w:t>
      </w:r>
      <w:r w:rsidR="00136045" w:rsidRPr="00892425">
        <w:rPr>
          <w:sz w:val="26"/>
          <w:szCs w:val="26"/>
        </w:rPr>
        <w:t xml:space="preserve"> </w:t>
      </w:r>
      <w:r w:rsidR="00F0338A" w:rsidRPr="00892425">
        <w:rPr>
          <w:sz w:val="26"/>
          <w:szCs w:val="26"/>
        </w:rPr>
        <w:t xml:space="preserve">consistent with </w:t>
      </w:r>
      <w:r w:rsidR="002C2DDF" w:rsidRPr="00892425">
        <w:rPr>
          <w:sz w:val="26"/>
          <w:szCs w:val="26"/>
        </w:rPr>
        <w:t xml:space="preserve">how the Commission rules in a final Commission order in the </w:t>
      </w:r>
      <w:r w:rsidR="002C2DDF" w:rsidRPr="00892425">
        <w:rPr>
          <w:sz w:val="26"/>
          <w:szCs w:val="26"/>
        </w:rPr>
        <w:lastRenderedPageBreak/>
        <w:t>proceeding initiated by PAWC at Docket No. R-2018-3002504 (</w:t>
      </w:r>
      <w:r w:rsidR="002C2DDF" w:rsidRPr="00892425">
        <w:rPr>
          <w:i/>
          <w:sz w:val="26"/>
          <w:szCs w:val="26"/>
        </w:rPr>
        <w:t>2018 PAWC Proceeding</w:t>
      </w:r>
      <w:r w:rsidR="002C2DDF" w:rsidRPr="00892425">
        <w:rPr>
          <w:sz w:val="26"/>
          <w:szCs w:val="26"/>
        </w:rPr>
        <w:t>)</w:t>
      </w:r>
      <w:r w:rsidR="00F0338A" w:rsidRPr="00892425">
        <w:rPr>
          <w:sz w:val="26"/>
          <w:szCs w:val="26"/>
        </w:rPr>
        <w:t xml:space="preserve">, and the agreement that the </w:t>
      </w:r>
      <w:r w:rsidR="00634F96">
        <w:rPr>
          <w:sz w:val="26"/>
          <w:szCs w:val="26"/>
        </w:rPr>
        <w:t>Joint Settlement</w:t>
      </w:r>
      <w:r w:rsidR="00F0338A" w:rsidRPr="00892425">
        <w:rPr>
          <w:sz w:val="26"/>
          <w:szCs w:val="26"/>
        </w:rPr>
        <w:t xml:space="preserve"> will not include various positive acquisition adjustments.  I&amp;E also supported the</w:t>
      </w:r>
      <w:r w:rsidR="00136045" w:rsidRPr="00892425">
        <w:rPr>
          <w:sz w:val="26"/>
          <w:szCs w:val="26"/>
        </w:rPr>
        <w:t xml:space="preserve"> cost allocation and rate design</w:t>
      </w:r>
      <w:r w:rsidR="00F0338A" w:rsidRPr="00892425">
        <w:rPr>
          <w:sz w:val="26"/>
          <w:szCs w:val="26"/>
        </w:rPr>
        <w:t xml:space="preserve"> agreed upon in the </w:t>
      </w:r>
      <w:r w:rsidR="00634F96">
        <w:rPr>
          <w:sz w:val="26"/>
          <w:szCs w:val="26"/>
        </w:rPr>
        <w:t>Joint Settlement</w:t>
      </w:r>
      <w:r w:rsidR="00136045" w:rsidRPr="00892425">
        <w:rPr>
          <w:sz w:val="26"/>
          <w:szCs w:val="26"/>
        </w:rPr>
        <w:t xml:space="preserve">. </w:t>
      </w:r>
      <w:r w:rsidR="00136045" w:rsidRPr="00603BB4">
        <w:rPr>
          <w:sz w:val="26"/>
          <w:szCs w:val="26"/>
        </w:rPr>
        <w:t xml:space="preserve"> </w:t>
      </w:r>
      <w:r w:rsidR="006537CA" w:rsidRPr="00892425">
        <w:rPr>
          <w:sz w:val="26"/>
          <w:szCs w:val="26"/>
        </w:rPr>
        <w:t>Namely, I&amp;E submitted that Aqua’s goal of consolidating rates and moving customers toward the Main Division rates is reasonable.  According to I&amp;E</w:t>
      </w:r>
      <w:r w:rsidR="00B01902">
        <w:rPr>
          <w:sz w:val="26"/>
          <w:szCs w:val="26"/>
        </w:rPr>
        <w:t>,</w:t>
      </w:r>
      <w:r w:rsidR="006537CA" w:rsidRPr="00892425">
        <w:rPr>
          <w:sz w:val="26"/>
          <w:szCs w:val="26"/>
        </w:rPr>
        <w:t xml:space="preserve"> transitioning these rates, as opposed to moving all customers to Main Division rates in one step avoids rate shock and is consistent with the goal of consolidating rates and eliminating rate divisions where possible.  I&amp;E Statement in Support at 4-17.</w:t>
      </w:r>
      <w:r w:rsidR="00F0338A" w:rsidRPr="00892425">
        <w:rPr>
          <w:sz w:val="26"/>
          <w:szCs w:val="26"/>
        </w:rPr>
        <w:t xml:space="preserve"> </w:t>
      </w:r>
    </w:p>
    <w:p w14:paraId="133AFD9A" w14:textId="33FEFC06" w:rsidR="006C54B4" w:rsidRPr="00892425" w:rsidRDefault="006C54B4" w:rsidP="002C4EC5">
      <w:pPr>
        <w:ind w:firstLine="1440"/>
        <w:contextualSpacing/>
        <w:rPr>
          <w:sz w:val="26"/>
          <w:szCs w:val="26"/>
        </w:rPr>
      </w:pPr>
    </w:p>
    <w:p w14:paraId="58174CD7" w14:textId="12C24BD9" w:rsidR="009F6AF7" w:rsidRPr="00892425" w:rsidRDefault="009F6AF7" w:rsidP="002C4EC5">
      <w:pPr>
        <w:pStyle w:val="Heading5"/>
        <w:ind w:left="2880" w:hanging="720"/>
        <w:contextualSpacing/>
        <w:jc w:val="left"/>
      </w:pPr>
      <w:r w:rsidRPr="00892425">
        <w:t>c.</w:t>
      </w:r>
      <w:r w:rsidRPr="00892425">
        <w:tab/>
        <w:t>OCA</w:t>
      </w:r>
    </w:p>
    <w:p w14:paraId="41007A99" w14:textId="42E490B5" w:rsidR="009F6AF7" w:rsidRPr="00892425" w:rsidRDefault="009F6AF7" w:rsidP="002C4EC5">
      <w:pPr>
        <w:keepNext/>
        <w:keepLines/>
        <w:ind w:firstLine="1440"/>
        <w:contextualSpacing/>
        <w:rPr>
          <w:sz w:val="26"/>
          <w:szCs w:val="26"/>
        </w:rPr>
      </w:pPr>
    </w:p>
    <w:p w14:paraId="55905787" w14:textId="7041C768" w:rsidR="009F6AF7" w:rsidRPr="00892425" w:rsidRDefault="006537CA" w:rsidP="002C4EC5">
      <w:pPr>
        <w:ind w:firstLine="1440"/>
        <w:contextualSpacing/>
        <w:rPr>
          <w:sz w:val="26"/>
          <w:szCs w:val="26"/>
        </w:rPr>
      </w:pPr>
      <w:r w:rsidRPr="00892425">
        <w:rPr>
          <w:sz w:val="26"/>
          <w:szCs w:val="26"/>
        </w:rPr>
        <w:t xml:space="preserve">In its Statement in Support, the OCA </w:t>
      </w:r>
      <w:r w:rsidR="002146E3" w:rsidRPr="00892425">
        <w:rPr>
          <w:sz w:val="26"/>
          <w:szCs w:val="26"/>
        </w:rPr>
        <w:t>asserted</w:t>
      </w:r>
      <w:r w:rsidRPr="00892425">
        <w:rPr>
          <w:sz w:val="26"/>
          <w:szCs w:val="26"/>
        </w:rPr>
        <w:t xml:space="preserve"> that the </w:t>
      </w:r>
      <w:r w:rsidR="00634F96">
        <w:rPr>
          <w:sz w:val="26"/>
          <w:szCs w:val="26"/>
        </w:rPr>
        <w:t>Joint Settlement</w:t>
      </w:r>
      <w:r w:rsidRPr="00892425">
        <w:rPr>
          <w:sz w:val="26"/>
          <w:szCs w:val="26"/>
        </w:rPr>
        <w:t xml:space="preserve"> is in the public interest and in the best interest of Aqua’s ratepayers and should be approved without modification.  In addition to highlighting many of the </w:t>
      </w:r>
      <w:r w:rsidR="00634F96">
        <w:rPr>
          <w:sz w:val="26"/>
          <w:szCs w:val="26"/>
        </w:rPr>
        <w:t>Joint Settlement</w:t>
      </w:r>
      <w:r w:rsidRPr="00892425">
        <w:rPr>
          <w:sz w:val="26"/>
          <w:szCs w:val="26"/>
        </w:rPr>
        <w:t xml:space="preserve"> Provisions emphasized by I&amp;E, the OCA stressed the service-related issues</w:t>
      </w:r>
      <w:r w:rsidR="005842D6" w:rsidRPr="00892425">
        <w:rPr>
          <w:sz w:val="26"/>
          <w:szCs w:val="26"/>
        </w:rPr>
        <w:t xml:space="preserve">, raised in the </w:t>
      </w:r>
      <w:r w:rsidR="002146E3" w:rsidRPr="00892425">
        <w:rPr>
          <w:sz w:val="26"/>
          <w:szCs w:val="26"/>
        </w:rPr>
        <w:t>P</w:t>
      </w:r>
      <w:r w:rsidR="005842D6" w:rsidRPr="00892425">
        <w:rPr>
          <w:sz w:val="26"/>
          <w:szCs w:val="26"/>
        </w:rPr>
        <w:t xml:space="preserve">ublic </w:t>
      </w:r>
      <w:r w:rsidR="002146E3" w:rsidRPr="00892425">
        <w:rPr>
          <w:sz w:val="26"/>
          <w:szCs w:val="26"/>
        </w:rPr>
        <w:t>I</w:t>
      </w:r>
      <w:r w:rsidR="005842D6" w:rsidRPr="00892425">
        <w:rPr>
          <w:sz w:val="26"/>
          <w:szCs w:val="26"/>
        </w:rPr>
        <w:t xml:space="preserve">nput </w:t>
      </w:r>
      <w:r w:rsidR="002146E3" w:rsidRPr="00892425">
        <w:rPr>
          <w:sz w:val="26"/>
          <w:szCs w:val="26"/>
        </w:rPr>
        <w:t>H</w:t>
      </w:r>
      <w:r w:rsidR="005842D6" w:rsidRPr="00892425">
        <w:rPr>
          <w:sz w:val="26"/>
          <w:szCs w:val="26"/>
        </w:rPr>
        <w:t>earings,</w:t>
      </w:r>
      <w:r w:rsidRPr="00892425">
        <w:rPr>
          <w:sz w:val="26"/>
          <w:szCs w:val="26"/>
        </w:rPr>
        <w:t xml:space="preserve"> that are resolved by the </w:t>
      </w:r>
      <w:r w:rsidR="00634F96">
        <w:rPr>
          <w:sz w:val="26"/>
          <w:szCs w:val="26"/>
        </w:rPr>
        <w:t>Joint Settlement</w:t>
      </w:r>
      <w:r w:rsidRPr="00892425">
        <w:rPr>
          <w:sz w:val="26"/>
          <w:szCs w:val="26"/>
        </w:rPr>
        <w:t xml:space="preserve">.  The OCA asserted that the service-related portion of the </w:t>
      </w:r>
      <w:r w:rsidR="00634F96">
        <w:rPr>
          <w:sz w:val="26"/>
          <w:szCs w:val="26"/>
        </w:rPr>
        <w:t>Joint Settlement</w:t>
      </w:r>
      <w:r w:rsidRPr="00892425">
        <w:rPr>
          <w:sz w:val="26"/>
          <w:szCs w:val="26"/>
        </w:rPr>
        <w:t xml:space="preserve"> will aid consumers with particular concerns regarding the quality of their water and the</w:t>
      </w:r>
      <w:r w:rsidR="005842D6" w:rsidRPr="00892425">
        <w:rPr>
          <w:sz w:val="26"/>
          <w:szCs w:val="26"/>
        </w:rPr>
        <w:t xml:space="preserve"> quality of Aqua’s customer service while preserving the Company’s operational efficiency.  OCA Statement in Support at </w:t>
      </w:r>
      <w:r w:rsidR="00603BB4">
        <w:rPr>
          <w:sz w:val="26"/>
          <w:szCs w:val="26"/>
        </w:rPr>
        <w:t> </w:t>
      </w:r>
      <w:r w:rsidR="00603BB4">
        <w:rPr>
          <w:sz w:val="26"/>
          <w:szCs w:val="26"/>
        </w:rPr>
        <w:noBreakHyphen/>
      </w:r>
      <w:r w:rsidR="005842D6" w:rsidRPr="00892425">
        <w:rPr>
          <w:sz w:val="26"/>
          <w:szCs w:val="26"/>
        </w:rPr>
        <w:t>20.</w:t>
      </w:r>
    </w:p>
    <w:p w14:paraId="0A047CE2" w14:textId="5461894A" w:rsidR="009F6AF7" w:rsidRPr="00892425" w:rsidRDefault="009F6AF7" w:rsidP="002C4EC5">
      <w:pPr>
        <w:ind w:firstLine="1440"/>
        <w:contextualSpacing/>
        <w:rPr>
          <w:sz w:val="26"/>
          <w:szCs w:val="26"/>
        </w:rPr>
      </w:pPr>
    </w:p>
    <w:p w14:paraId="3CDCB054" w14:textId="1511396A" w:rsidR="00615258" w:rsidRPr="00892425" w:rsidRDefault="00615258" w:rsidP="002C4EC5">
      <w:pPr>
        <w:pStyle w:val="Heading5"/>
        <w:ind w:left="2880" w:hanging="720"/>
        <w:contextualSpacing/>
        <w:jc w:val="left"/>
      </w:pPr>
      <w:r w:rsidRPr="00892425">
        <w:t>d.</w:t>
      </w:r>
      <w:r w:rsidRPr="00892425">
        <w:tab/>
        <w:t>OSBA</w:t>
      </w:r>
    </w:p>
    <w:p w14:paraId="70C3C73B" w14:textId="77777777" w:rsidR="00615258" w:rsidRPr="00892425" w:rsidRDefault="00615258" w:rsidP="002C4EC5">
      <w:pPr>
        <w:keepNext/>
        <w:keepLines/>
        <w:ind w:firstLine="1440"/>
        <w:contextualSpacing/>
        <w:rPr>
          <w:sz w:val="26"/>
          <w:szCs w:val="26"/>
        </w:rPr>
      </w:pPr>
    </w:p>
    <w:p w14:paraId="3F820800" w14:textId="3F7809FA" w:rsidR="00615258" w:rsidRPr="00892425" w:rsidRDefault="00712189" w:rsidP="002C4EC5">
      <w:pPr>
        <w:ind w:firstLine="1440"/>
        <w:contextualSpacing/>
        <w:rPr>
          <w:sz w:val="26"/>
          <w:szCs w:val="26"/>
        </w:rPr>
      </w:pPr>
      <w:r w:rsidRPr="00892425">
        <w:rPr>
          <w:sz w:val="26"/>
          <w:szCs w:val="26"/>
        </w:rPr>
        <w:t xml:space="preserve">In its Statement in Support, the OSBA </w:t>
      </w:r>
      <w:r w:rsidR="00573927" w:rsidRPr="00892425">
        <w:rPr>
          <w:sz w:val="26"/>
          <w:szCs w:val="26"/>
        </w:rPr>
        <w:t xml:space="preserve">submitted that approval of the </w:t>
      </w:r>
      <w:r w:rsidR="00634F96">
        <w:rPr>
          <w:sz w:val="26"/>
          <w:szCs w:val="26"/>
        </w:rPr>
        <w:t>Joint Settlement</w:t>
      </w:r>
      <w:r w:rsidR="00573927" w:rsidRPr="00892425">
        <w:rPr>
          <w:sz w:val="26"/>
          <w:szCs w:val="26"/>
        </w:rPr>
        <w:t xml:space="preserve"> is in the best interest of small business customers.  The OSBA argued that </w:t>
      </w:r>
      <w:r w:rsidR="00925645" w:rsidRPr="00892425">
        <w:rPr>
          <w:sz w:val="26"/>
          <w:szCs w:val="26"/>
        </w:rPr>
        <w:t xml:space="preserve">although the </w:t>
      </w:r>
      <w:r w:rsidR="00634F96">
        <w:rPr>
          <w:sz w:val="26"/>
          <w:szCs w:val="26"/>
        </w:rPr>
        <w:t>Joint Settlement</w:t>
      </w:r>
      <w:r w:rsidR="00925645" w:rsidRPr="00892425">
        <w:rPr>
          <w:sz w:val="26"/>
          <w:szCs w:val="26"/>
        </w:rPr>
        <w:t xml:space="preserve"> will increase rates for commercial</w:t>
      </w:r>
      <w:r w:rsidR="007B50E7" w:rsidRPr="00892425">
        <w:rPr>
          <w:sz w:val="26"/>
          <w:szCs w:val="26"/>
        </w:rPr>
        <w:t xml:space="preserve"> customers to a higher amount than the OSBA’s litigated position, </w:t>
      </w:r>
      <w:r w:rsidR="00573927" w:rsidRPr="00892425">
        <w:rPr>
          <w:sz w:val="26"/>
          <w:szCs w:val="26"/>
        </w:rPr>
        <w:t xml:space="preserve">the </w:t>
      </w:r>
      <w:r w:rsidR="00634F96">
        <w:rPr>
          <w:sz w:val="26"/>
          <w:szCs w:val="26"/>
        </w:rPr>
        <w:t>Joint Settlement</w:t>
      </w:r>
      <w:r w:rsidR="00573927" w:rsidRPr="00892425">
        <w:rPr>
          <w:sz w:val="26"/>
          <w:szCs w:val="26"/>
        </w:rPr>
        <w:t xml:space="preserve">’s significant reduction to Aqua’s originally proposed revenue increase will benefit all customers, including Aqua’s small business customers.  Similarly, the OSBA stated that the revenue allocation agreed </w:t>
      </w:r>
      <w:r w:rsidR="00573927" w:rsidRPr="00892425">
        <w:rPr>
          <w:sz w:val="26"/>
          <w:szCs w:val="26"/>
        </w:rPr>
        <w:lastRenderedPageBreak/>
        <w:t xml:space="preserve">upon in the </w:t>
      </w:r>
      <w:r w:rsidR="00634F96">
        <w:rPr>
          <w:sz w:val="26"/>
          <w:szCs w:val="26"/>
        </w:rPr>
        <w:t>Joint Settlement</w:t>
      </w:r>
      <w:r w:rsidR="00573927" w:rsidRPr="00892425">
        <w:rPr>
          <w:sz w:val="26"/>
          <w:szCs w:val="26"/>
        </w:rPr>
        <w:t xml:space="preserve"> is consistent with that proposed by the testimony of the OSBA’s witness Mr. Kalcic and will provide a meaningful benefit to commercial customers.  Further, the OSBA supports Aqua’s agreement to withdraw its proposed </w:t>
      </w:r>
      <w:r w:rsidR="009038F7" w:rsidRPr="00892425">
        <w:rPr>
          <w:sz w:val="26"/>
          <w:szCs w:val="26"/>
        </w:rPr>
        <w:t>adjustment clauses.  OSBA Statement in Support at 3-9.</w:t>
      </w:r>
    </w:p>
    <w:p w14:paraId="2C08670A" w14:textId="49D02D00" w:rsidR="00615258" w:rsidRPr="00892425" w:rsidRDefault="00615258" w:rsidP="002C4EC5">
      <w:pPr>
        <w:ind w:firstLine="1440"/>
        <w:contextualSpacing/>
        <w:rPr>
          <w:sz w:val="26"/>
          <w:szCs w:val="26"/>
        </w:rPr>
      </w:pPr>
    </w:p>
    <w:p w14:paraId="525B4220" w14:textId="556178FF" w:rsidR="00615258" w:rsidRPr="00892425" w:rsidRDefault="00615258" w:rsidP="002C4EC5">
      <w:pPr>
        <w:pStyle w:val="Heading5"/>
        <w:ind w:left="2880" w:hanging="720"/>
        <w:contextualSpacing/>
        <w:jc w:val="left"/>
      </w:pPr>
      <w:r w:rsidRPr="00892425">
        <w:t>e.</w:t>
      </w:r>
      <w:r w:rsidRPr="00892425">
        <w:tab/>
      </w:r>
      <w:r w:rsidR="008877A5" w:rsidRPr="00892425">
        <w:t>Aqua LUG</w:t>
      </w:r>
    </w:p>
    <w:p w14:paraId="4C142444" w14:textId="77777777" w:rsidR="00615258" w:rsidRPr="00892425" w:rsidRDefault="00615258" w:rsidP="002C4EC5">
      <w:pPr>
        <w:keepNext/>
        <w:keepLines/>
        <w:ind w:firstLine="1440"/>
        <w:contextualSpacing/>
        <w:rPr>
          <w:sz w:val="26"/>
          <w:szCs w:val="26"/>
        </w:rPr>
      </w:pPr>
    </w:p>
    <w:p w14:paraId="44C8F080" w14:textId="60232B34" w:rsidR="00615258" w:rsidRPr="00892425" w:rsidRDefault="006241AD" w:rsidP="002C4EC5">
      <w:pPr>
        <w:ind w:firstLine="1440"/>
        <w:contextualSpacing/>
        <w:rPr>
          <w:sz w:val="26"/>
          <w:szCs w:val="26"/>
        </w:rPr>
      </w:pPr>
      <w:r w:rsidRPr="00892425">
        <w:rPr>
          <w:sz w:val="26"/>
          <w:szCs w:val="26"/>
        </w:rPr>
        <w:t xml:space="preserve">In its Statement in Support, Aqua LUG </w:t>
      </w:r>
      <w:r w:rsidR="00DB3231" w:rsidRPr="00892425">
        <w:rPr>
          <w:sz w:val="26"/>
          <w:szCs w:val="26"/>
        </w:rPr>
        <w:t xml:space="preserve">argues that the Joint Petition is in the public interest because (1) it reduces the expenses incurred by the Joint Petitioners and the Commission for completing this proceeding when compared to the cost of full litigation; (2) </w:t>
      </w:r>
      <w:r w:rsidR="009217E7" w:rsidRPr="00892425">
        <w:rPr>
          <w:sz w:val="26"/>
          <w:szCs w:val="26"/>
        </w:rPr>
        <w:t>i</w:t>
      </w:r>
      <w:r w:rsidR="00DB3231" w:rsidRPr="00892425">
        <w:rPr>
          <w:sz w:val="26"/>
          <w:szCs w:val="26"/>
        </w:rPr>
        <w:t>t avoids uncertainties regarding further expenses associated with possible appeals from a final order of the Commission; (3) it results in an increase in Aqua’s rates that is approximately sixty-five percent of Aqua’s originally requested rates; and (4)</w:t>
      </w:r>
      <w:r w:rsidR="00603BB4">
        <w:rPr>
          <w:sz w:val="26"/>
          <w:szCs w:val="26"/>
        </w:rPr>
        <w:t> </w:t>
      </w:r>
      <w:r w:rsidR="00DB3231" w:rsidRPr="00892425">
        <w:rPr>
          <w:sz w:val="26"/>
          <w:szCs w:val="26"/>
        </w:rPr>
        <w:t xml:space="preserve">it reflects compromises by each of the Joint Petitioners without prejudice to any position any Joint Petitioner may have advanced so far in this proceeding or may advance in a future proceeding involving the Company.  Additionally, Aqua LUG states that the </w:t>
      </w:r>
      <w:r w:rsidR="00634F96">
        <w:rPr>
          <w:sz w:val="26"/>
          <w:szCs w:val="26"/>
        </w:rPr>
        <w:t>Joint Settlement</w:t>
      </w:r>
      <w:r w:rsidR="00DB3231" w:rsidRPr="00892425">
        <w:rPr>
          <w:sz w:val="26"/>
          <w:szCs w:val="26"/>
        </w:rPr>
        <w:t xml:space="preserve"> addresses issues that were of particular concern to Aqua LUG, including the establishment of a rate structure allocating revenues among the customer classes in a just and reasonable manner.  Aqua LUG Statement in Support at 2.</w:t>
      </w:r>
    </w:p>
    <w:p w14:paraId="557D9460" w14:textId="58A2083C" w:rsidR="00615258" w:rsidRPr="00892425" w:rsidRDefault="00615258" w:rsidP="002C4EC5">
      <w:pPr>
        <w:ind w:firstLine="1440"/>
        <w:contextualSpacing/>
        <w:rPr>
          <w:sz w:val="26"/>
          <w:szCs w:val="26"/>
        </w:rPr>
      </w:pPr>
    </w:p>
    <w:p w14:paraId="5B22BA9D" w14:textId="76F5EAE1" w:rsidR="008877A5" w:rsidRPr="00892425" w:rsidRDefault="008877A5" w:rsidP="002C4EC5">
      <w:pPr>
        <w:pStyle w:val="Heading5"/>
        <w:ind w:left="2880" w:hanging="720"/>
        <w:contextualSpacing/>
        <w:jc w:val="left"/>
      </w:pPr>
      <w:r w:rsidRPr="00892425">
        <w:t>f.</w:t>
      </w:r>
      <w:r w:rsidRPr="00892425">
        <w:tab/>
        <w:t>CAUSE-PA</w:t>
      </w:r>
    </w:p>
    <w:p w14:paraId="58C7A42E" w14:textId="7DF25432" w:rsidR="008877A5" w:rsidRPr="00892425" w:rsidRDefault="008877A5" w:rsidP="002C4EC5">
      <w:pPr>
        <w:keepNext/>
        <w:keepLines/>
        <w:ind w:firstLine="1440"/>
        <w:contextualSpacing/>
        <w:rPr>
          <w:sz w:val="26"/>
          <w:szCs w:val="26"/>
        </w:rPr>
      </w:pPr>
    </w:p>
    <w:p w14:paraId="5494FA0C" w14:textId="7224F300" w:rsidR="008877A5" w:rsidRPr="00892425" w:rsidRDefault="00E529AD" w:rsidP="002C4EC5">
      <w:pPr>
        <w:ind w:firstLine="1440"/>
        <w:contextualSpacing/>
        <w:rPr>
          <w:sz w:val="26"/>
          <w:szCs w:val="26"/>
        </w:rPr>
      </w:pPr>
      <w:r w:rsidRPr="00892425">
        <w:rPr>
          <w:sz w:val="26"/>
          <w:szCs w:val="26"/>
        </w:rPr>
        <w:t xml:space="preserve">In its Statement in Support, CAUSE-PA asserts that the </w:t>
      </w:r>
      <w:r w:rsidR="00634F96">
        <w:rPr>
          <w:sz w:val="26"/>
          <w:szCs w:val="26"/>
        </w:rPr>
        <w:t>Joint Settlement</w:t>
      </w:r>
      <w:r w:rsidRPr="00892425">
        <w:rPr>
          <w:sz w:val="26"/>
          <w:szCs w:val="26"/>
        </w:rPr>
        <w:t xml:space="preserve"> is in the public interest because it addresses the ability of Aqua’s low income customers to access safe and affordable service, balances the interests of the parties, and fairly resolves several important issues raised by CAUSE-PA and other parties.  CAUSE-PA highlights Aqua’s agreement to withdraw its proposed automatic ECAM and PWAC adjustment clauses.  Additionally, CAUSE-PA trumpets the enhancements the </w:t>
      </w:r>
      <w:r w:rsidR="00634F96">
        <w:rPr>
          <w:sz w:val="26"/>
          <w:szCs w:val="26"/>
        </w:rPr>
        <w:t>Joint Settlement</w:t>
      </w:r>
      <w:r w:rsidRPr="00892425">
        <w:rPr>
          <w:sz w:val="26"/>
          <w:szCs w:val="26"/>
        </w:rPr>
        <w:t xml:space="preserve"> makes to Aqua’s Helping Hand Program, domestic violence policy, medical </w:t>
      </w:r>
      <w:r w:rsidRPr="00892425">
        <w:rPr>
          <w:sz w:val="26"/>
          <w:szCs w:val="26"/>
        </w:rPr>
        <w:lastRenderedPageBreak/>
        <w:t xml:space="preserve">certifications, and termination notices.  </w:t>
      </w:r>
      <w:r w:rsidR="00DA7562" w:rsidRPr="00892425">
        <w:rPr>
          <w:sz w:val="26"/>
          <w:szCs w:val="26"/>
        </w:rPr>
        <w:t xml:space="preserve">According to CAUSE-PA, the </w:t>
      </w:r>
      <w:r w:rsidR="00634F96">
        <w:rPr>
          <w:sz w:val="26"/>
          <w:szCs w:val="26"/>
        </w:rPr>
        <w:t>Joint Settlement</w:t>
      </w:r>
      <w:r w:rsidR="00DA7562" w:rsidRPr="00892425">
        <w:rPr>
          <w:sz w:val="26"/>
          <w:szCs w:val="26"/>
        </w:rPr>
        <w:t xml:space="preserve"> takes rate affordability into account by limiting the impact of the rate increase on low-income households and better matching needy households with available assistance.  As such, CAUSE-PA submits that the </w:t>
      </w:r>
      <w:r w:rsidR="00634F96">
        <w:rPr>
          <w:sz w:val="26"/>
          <w:szCs w:val="26"/>
        </w:rPr>
        <w:t>Joint Settlement</w:t>
      </w:r>
      <w:r w:rsidR="00DA7562" w:rsidRPr="00892425">
        <w:rPr>
          <w:sz w:val="26"/>
          <w:szCs w:val="26"/>
        </w:rPr>
        <w:t xml:space="preserve"> will help ensure that low income customers have access to stable and affordable utility services over the long term.  CAUSE-PA Statement in Support at 4</w:t>
      </w:r>
      <w:r w:rsidR="00DA7562" w:rsidRPr="00892425">
        <w:rPr>
          <w:sz w:val="26"/>
          <w:szCs w:val="26"/>
        </w:rPr>
        <w:noBreakHyphen/>
        <w:t>13.</w:t>
      </w:r>
    </w:p>
    <w:p w14:paraId="0B2CE4D2" w14:textId="5340B91E" w:rsidR="008877A5" w:rsidRPr="00892425" w:rsidRDefault="008877A5" w:rsidP="002C4EC5">
      <w:pPr>
        <w:ind w:firstLine="1440"/>
        <w:contextualSpacing/>
        <w:rPr>
          <w:sz w:val="26"/>
          <w:szCs w:val="26"/>
        </w:rPr>
      </w:pPr>
    </w:p>
    <w:p w14:paraId="750A85A4" w14:textId="08EABA85" w:rsidR="008877A5" w:rsidRPr="00892425" w:rsidRDefault="008877A5" w:rsidP="002C4EC5">
      <w:pPr>
        <w:pStyle w:val="Heading5"/>
        <w:ind w:left="2880" w:hanging="720"/>
        <w:contextualSpacing/>
        <w:jc w:val="left"/>
      </w:pPr>
      <w:r w:rsidRPr="00892425">
        <w:t>g.</w:t>
      </w:r>
      <w:r w:rsidRPr="00892425">
        <w:tab/>
        <w:t>MMPOC</w:t>
      </w:r>
    </w:p>
    <w:p w14:paraId="7110B339" w14:textId="28B89223" w:rsidR="008877A5" w:rsidRPr="00892425" w:rsidRDefault="008877A5" w:rsidP="002C4EC5">
      <w:pPr>
        <w:keepNext/>
        <w:keepLines/>
        <w:ind w:firstLine="1440"/>
        <w:contextualSpacing/>
        <w:rPr>
          <w:sz w:val="26"/>
          <w:szCs w:val="26"/>
        </w:rPr>
      </w:pPr>
    </w:p>
    <w:p w14:paraId="4BCB0914" w14:textId="0B5B86D5" w:rsidR="008877A5" w:rsidRPr="00892425" w:rsidRDefault="00C053A4" w:rsidP="002C4EC5">
      <w:pPr>
        <w:ind w:firstLine="1440"/>
        <w:contextualSpacing/>
        <w:rPr>
          <w:sz w:val="26"/>
          <w:szCs w:val="26"/>
        </w:rPr>
      </w:pPr>
      <w:r w:rsidRPr="00892425">
        <w:rPr>
          <w:sz w:val="26"/>
          <w:szCs w:val="26"/>
        </w:rPr>
        <w:t xml:space="preserve">In its Statement in Support, </w:t>
      </w:r>
      <w:r w:rsidR="00E95799" w:rsidRPr="00892425">
        <w:rPr>
          <w:sz w:val="26"/>
          <w:szCs w:val="26"/>
        </w:rPr>
        <w:t>MMPOC asserts</w:t>
      </w:r>
      <w:r w:rsidRPr="00892425">
        <w:rPr>
          <w:i/>
          <w:sz w:val="26"/>
          <w:szCs w:val="26"/>
        </w:rPr>
        <w:t xml:space="preserve">, </w:t>
      </w:r>
      <w:r w:rsidRPr="00892425">
        <w:rPr>
          <w:sz w:val="26"/>
          <w:szCs w:val="26"/>
        </w:rPr>
        <w:t xml:space="preserve">that the </w:t>
      </w:r>
      <w:r w:rsidR="00634F96">
        <w:rPr>
          <w:sz w:val="26"/>
          <w:szCs w:val="26"/>
        </w:rPr>
        <w:t>Joint Settlement</w:t>
      </w:r>
      <w:r w:rsidRPr="00892425">
        <w:rPr>
          <w:sz w:val="26"/>
          <w:szCs w:val="26"/>
        </w:rPr>
        <w:t xml:space="preserve"> provides a proper resolution of the issues in this proceeding without the incurrence of full litigation costs.  MMPOC highlights</w:t>
      </w:r>
      <w:r w:rsidR="003F119C" w:rsidRPr="00892425">
        <w:rPr>
          <w:sz w:val="26"/>
          <w:szCs w:val="26"/>
        </w:rPr>
        <w:t xml:space="preserve">, </w:t>
      </w:r>
      <w:r w:rsidR="003F119C" w:rsidRPr="00892425">
        <w:rPr>
          <w:i/>
          <w:sz w:val="26"/>
          <w:szCs w:val="26"/>
        </w:rPr>
        <w:t>inter alia,</w:t>
      </w:r>
      <w:r w:rsidR="00E95799" w:rsidRPr="00892425">
        <w:rPr>
          <w:sz w:val="26"/>
          <w:szCs w:val="26"/>
        </w:rPr>
        <w:t xml:space="preserve"> that the </w:t>
      </w:r>
      <w:r w:rsidR="00634F96">
        <w:rPr>
          <w:sz w:val="26"/>
          <w:szCs w:val="26"/>
        </w:rPr>
        <w:t>Joint Settlement</w:t>
      </w:r>
      <w:r w:rsidR="00E95799" w:rsidRPr="00892425">
        <w:rPr>
          <w:sz w:val="26"/>
          <w:szCs w:val="26"/>
        </w:rPr>
        <w:t xml:space="preserve"> </w:t>
      </w:r>
      <w:r w:rsidR="006E3651" w:rsidRPr="00892425">
        <w:rPr>
          <w:sz w:val="26"/>
          <w:szCs w:val="26"/>
        </w:rPr>
        <w:t>R</w:t>
      </w:r>
      <w:r w:rsidR="00E95799" w:rsidRPr="00892425">
        <w:rPr>
          <w:sz w:val="26"/>
          <w:szCs w:val="26"/>
        </w:rPr>
        <w:t xml:space="preserve">ates will produce a monthly water customer charge of $28.00 for MMPOC </w:t>
      </w:r>
      <w:r w:rsidR="00E65154" w:rsidRPr="00892425">
        <w:rPr>
          <w:sz w:val="26"/>
          <w:szCs w:val="26"/>
        </w:rPr>
        <w:t>5/8-inch</w:t>
      </w:r>
      <w:r w:rsidR="00E95799" w:rsidRPr="00892425">
        <w:rPr>
          <w:sz w:val="26"/>
          <w:szCs w:val="26"/>
        </w:rPr>
        <w:t xml:space="preserve"> customers, in lieu of the originally proposed monthly water customer charge of $30.10.  </w:t>
      </w:r>
      <w:r w:rsidR="00F72135" w:rsidRPr="00892425">
        <w:rPr>
          <w:sz w:val="26"/>
          <w:szCs w:val="26"/>
        </w:rPr>
        <w:t xml:space="preserve">MMPOC also highlights that the </w:t>
      </w:r>
      <w:r w:rsidR="00634F96">
        <w:rPr>
          <w:sz w:val="26"/>
          <w:szCs w:val="26"/>
        </w:rPr>
        <w:t>Joint Settlement</w:t>
      </w:r>
      <w:r w:rsidR="006A74A4" w:rsidRPr="00892425">
        <w:rPr>
          <w:sz w:val="26"/>
          <w:szCs w:val="26"/>
        </w:rPr>
        <w:t xml:space="preserve"> produces a monthly wastewater customer charge of $39.64 and a usage charge of $0.10 per hundred gallons for MMPOC customers, compared to Aqua’s originally proposed monthly wastewater customer charge of $31.00 and usage charge of $0.76 per hundred gallons for MMPOC customers. </w:t>
      </w:r>
      <w:r w:rsidR="00F72135" w:rsidRPr="00892425">
        <w:rPr>
          <w:sz w:val="26"/>
          <w:szCs w:val="26"/>
        </w:rPr>
        <w:t xml:space="preserve"> </w:t>
      </w:r>
      <w:r w:rsidR="00583EAA" w:rsidRPr="00892425">
        <w:rPr>
          <w:sz w:val="26"/>
          <w:szCs w:val="26"/>
        </w:rPr>
        <w:t>According to MMPOC, th</w:t>
      </w:r>
      <w:r w:rsidR="00F72135" w:rsidRPr="00892425">
        <w:rPr>
          <w:sz w:val="26"/>
          <w:szCs w:val="26"/>
        </w:rPr>
        <w:t>ese</w:t>
      </w:r>
      <w:r w:rsidR="00583EAA" w:rsidRPr="00892425">
        <w:rPr>
          <w:sz w:val="26"/>
          <w:szCs w:val="26"/>
        </w:rPr>
        <w:t xml:space="preserve"> result</w:t>
      </w:r>
      <w:r w:rsidR="00F72135" w:rsidRPr="00892425">
        <w:rPr>
          <w:sz w:val="26"/>
          <w:szCs w:val="26"/>
        </w:rPr>
        <w:t>s</w:t>
      </w:r>
      <w:r w:rsidR="00583EAA" w:rsidRPr="00892425">
        <w:rPr>
          <w:sz w:val="26"/>
          <w:szCs w:val="26"/>
        </w:rPr>
        <w:t xml:space="preserve"> </w:t>
      </w:r>
      <w:r w:rsidR="00F72135" w:rsidRPr="00892425">
        <w:rPr>
          <w:sz w:val="26"/>
          <w:szCs w:val="26"/>
        </w:rPr>
        <w:t>are</w:t>
      </w:r>
      <w:r w:rsidR="00583EAA" w:rsidRPr="00892425">
        <w:rPr>
          <w:sz w:val="26"/>
          <w:szCs w:val="26"/>
        </w:rPr>
        <w:t xml:space="preserve"> reasonably consistent with MMPOC’s litigation position and should be approved.  </w:t>
      </w:r>
      <w:r w:rsidR="003F119C" w:rsidRPr="00892425">
        <w:rPr>
          <w:sz w:val="26"/>
          <w:szCs w:val="26"/>
        </w:rPr>
        <w:t xml:space="preserve">Additionally, MMPOC notes that the </w:t>
      </w:r>
      <w:r w:rsidR="00634F96">
        <w:rPr>
          <w:sz w:val="26"/>
          <w:szCs w:val="26"/>
        </w:rPr>
        <w:t>Joint Settlement</w:t>
      </w:r>
      <w:r w:rsidR="003F119C" w:rsidRPr="00892425">
        <w:rPr>
          <w:sz w:val="26"/>
          <w:szCs w:val="26"/>
        </w:rPr>
        <w:t xml:space="preserve"> adopts its recommendation that Aqua study alternatives to metered water service and address this issue in its next rate proceeding.  Based on the above</w:t>
      </w:r>
      <w:r w:rsidR="00DA7562" w:rsidRPr="00892425">
        <w:rPr>
          <w:sz w:val="26"/>
          <w:szCs w:val="26"/>
        </w:rPr>
        <w:t xml:space="preserve">, MMPOC </w:t>
      </w:r>
      <w:r w:rsidR="00F72135" w:rsidRPr="00892425">
        <w:rPr>
          <w:sz w:val="26"/>
          <w:szCs w:val="26"/>
        </w:rPr>
        <w:t>avers</w:t>
      </w:r>
      <w:r w:rsidR="00DA7562" w:rsidRPr="00892425">
        <w:rPr>
          <w:sz w:val="26"/>
          <w:szCs w:val="26"/>
        </w:rPr>
        <w:t xml:space="preserve"> that the </w:t>
      </w:r>
      <w:r w:rsidR="00634F96">
        <w:rPr>
          <w:sz w:val="26"/>
          <w:szCs w:val="26"/>
        </w:rPr>
        <w:t>Joint Settlement</w:t>
      </w:r>
      <w:r w:rsidR="00DA7562" w:rsidRPr="00892425">
        <w:rPr>
          <w:sz w:val="26"/>
          <w:szCs w:val="26"/>
        </w:rPr>
        <w:t xml:space="preserve"> is in the public interest and should be approved.  </w:t>
      </w:r>
      <w:r w:rsidR="003F119C" w:rsidRPr="00892425">
        <w:rPr>
          <w:sz w:val="26"/>
          <w:szCs w:val="26"/>
        </w:rPr>
        <w:t>MMPOC Statement in Support at 2-3.</w:t>
      </w:r>
    </w:p>
    <w:p w14:paraId="57349D2B" w14:textId="40AAB5DA" w:rsidR="008877A5" w:rsidRPr="00892425" w:rsidRDefault="008877A5" w:rsidP="002C4EC5">
      <w:pPr>
        <w:ind w:firstLine="1440"/>
        <w:contextualSpacing/>
        <w:rPr>
          <w:sz w:val="26"/>
          <w:szCs w:val="26"/>
        </w:rPr>
      </w:pPr>
    </w:p>
    <w:p w14:paraId="700F3373" w14:textId="268C1A7D" w:rsidR="008877A5" w:rsidRPr="00892425" w:rsidRDefault="008877A5" w:rsidP="002C4EC5">
      <w:pPr>
        <w:pStyle w:val="Heading5"/>
        <w:ind w:left="2880" w:hanging="720"/>
        <w:contextualSpacing/>
        <w:jc w:val="left"/>
      </w:pPr>
      <w:r w:rsidRPr="00892425">
        <w:t>h.</w:t>
      </w:r>
      <w:r w:rsidRPr="00892425">
        <w:tab/>
        <w:t>LGMA</w:t>
      </w:r>
    </w:p>
    <w:p w14:paraId="32079A35" w14:textId="68B3AF3B" w:rsidR="008877A5" w:rsidRPr="00892425" w:rsidRDefault="008877A5" w:rsidP="002C4EC5">
      <w:pPr>
        <w:keepNext/>
        <w:keepLines/>
        <w:ind w:firstLine="1440"/>
        <w:contextualSpacing/>
        <w:rPr>
          <w:sz w:val="26"/>
          <w:szCs w:val="26"/>
        </w:rPr>
      </w:pPr>
    </w:p>
    <w:p w14:paraId="50564B51" w14:textId="191A1B67" w:rsidR="008877A5" w:rsidRPr="00892425" w:rsidRDefault="00C053A4" w:rsidP="002C4EC5">
      <w:pPr>
        <w:ind w:firstLine="1440"/>
        <w:contextualSpacing/>
        <w:rPr>
          <w:sz w:val="26"/>
          <w:szCs w:val="26"/>
        </w:rPr>
      </w:pPr>
      <w:r w:rsidRPr="00892425">
        <w:rPr>
          <w:sz w:val="26"/>
          <w:szCs w:val="26"/>
        </w:rPr>
        <w:t xml:space="preserve">In its Statement in Support, the LGMA explains that it chose to be an active participant in this proceeding as a means to receive and monitor the discovery and </w:t>
      </w:r>
      <w:r w:rsidRPr="00892425">
        <w:rPr>
          <w:sz w:val="26"/>
          <w:szCs w:val="26"/>
        </w:rPr>
        <w:lastRenderedPageBreak/>
        <w:t>testimony of al</w:t>
      </w:r>
      <w:r w:rsidR="00CD22E8">
        <w:rPr>
          <w:sz w:val="26"/>
          <w:szCs w:val="26"/>
        </w:rPr>
        <w:t>l</w:t>
      </w:r>
      <w:r w:rsidRPr="00892425">
        <w:rPr>
          <w:sz w:val="26"/>
          <w:szCs w:val="26"/>
        </w:rPr>
        <w:t xml:space="preserve"> the interested parties.  LGMA opines that based upon its review </w:t>
      </w:r>
      <w:r w:rsidR="00BC3D91" w:rsidRPr="00892425">
        <w:rPr>
          <w:sz w:val="26"/>
          <w:szCs w:val="26"/>
        </w:rPr>
        <w:t xml:space="preserve">of </w:t>
      </w:r>
      <w:r w:rsidRPr="00892425">
        <w:rPr>
          <w:sz w:val="26"/>
          <w:szCs w:val="26"/>
        </w:rPr>
        <w:t xml:space="preserve">the relevant discovery and testimony, the terms and conditions of the </w:t>
      </w:r>
      <w:r w:rsidR="00634F96">
        <w:rPr>
          <w:sz w:val="26"/>
          <w:szCs w:val="26"/>
        </w:rPr>
        <w:t>Joint Settlement</w:t>
      </w:r>
      <w:r w:rsidRPr="00892425">
        <w:rPr>
          <w:sz w:val="26"/>
          <w:szCs w:val="26"/>
        </w:rPr>
        <w:t xml:space="preserve"> are in the public interest and should be approved.  LGMA Statement in Support at 1-2.</w:t>
      </w:r>
    </w:p>
    <w:p w14:paraId="660CB78E" w14:textId="3270E419" w:rsidR="008877A5" w:rsidRPr="00892425" w:rsidRDefault="008877A5" w:rsidP="002C4EC5">
      <w:pPr>
        <w:ind w:firstLine="1440"/>
        <w:contextualSpacing/>
        <w:rPr>
          <w:sz w:val="26"/>
          <w:szCs w:val="26"/>
        </w:rPr>
      </w:pPr>
    </w:p>
    <w:p w14:paraId="48852350" w14:textId="450F2B44" w:rsidR="00C04859" w:rsidRPr="00892425" w:rsidRDefault="00C04859" w:rsidP="002C4EC5">
      <w:pPr>
        <w:pStyle w:val="Heading4"/>
        <w:keepLines/>
        <w:spacing w:line="240" w:lineRule="auto"/>
        <w:ind w:left="2160" w:hanging="720"/>
        <w:contextualSpacing/>
        <w:jc w:val="left"/>
      </w:pPr>
      <w:r w:rsidRPr="00892425">
        <w:t>4.</w:t>
      </w:r>
      <w:r w:rsidRPr="00892425">
        <w:tab/>
        <w:t xml:space="preserve">Comments in Opposition to the </w:t>
      </w:r>
      <w:r w:rsidR="00634F96">
        <w:t>Joint Settlement</w:t>
      </w:r>
      <w:r w:rsidR="008121A2" w:rsidRPr="00892425">
        <w:t xml:space="preserve"> (Comments in Oppositi</w:t>
      </w:r>
      <w:r w:rsidR="008E24C1" w:rsidRPr="00892425">
        <w:t>o</w:t>
      </w:r>
      <w:r w:rsidR="008121A2" w:rsidRPr="00892425">
        <w:t>n)</w:t>
      </w:r>
    </w:p>
    <w:p w14:paraId="36A89475" w14:textId="1E56A447" w:rsidR="00C04859" w:rsidRPr="00892425" w:rsidRDefault="00C04859" w:rsidP="002C4EC5">
      <w:pPr>
        <w:keepNext/>
        <w:keepLines/>
        <w:ind w:firstLine="1440"/>
        <w:contextualSpacing/>
        <w:rPr>
          <w:sz w:val="26"/>
          <w:szCs w:val="26"/>
        </w:rPr>
      </w:pPr>
    </w:p>
    <w:p w14:paraId="7CE906EA" w14:textId="392F5942" w:rsidR="00576015" w:rsidRPr="00892425" w:rsidRDefault="00576015" w:rsidP="002C4EC5">
      <w:pPr>
        <w:pStyle w:val="Heading5"/>
        <w:ind w:left="2880" w:hanging="720"/>
        <w:contextualSpacing/>
        <w:jc w:val="left"/>
      </w:pPr>
      <w:r w:rsidRPr="00892425">
        <w:t>a.</w:t>
      </w:r>
      <w:r w:rsidRPr="00892425">
        <w:tab/>
        <w:t>TLPOA</w:t>
      </w:r>
    </w:p>
    <w:p w14:paraId="3360D8C8" w14:textId="77777777" w:rsidR="00576015" w:rsidRPr="00892425" w:rsidRDefault="00576015" w:rsidP="002C4EC5">
      <w:pPr>
        <w:keepNext/>
        <w:keepLines/>
        <w:ind w:firstLine="1440"/>
        <w:contextualSpacing/>
        <w:rPr>
          <w:sz w:val="26"/>
          <w:szCs w:val="26"/>
        </w:rPr>
      </w:pPr>
    </w:p>
    <w:p w14:paraId="3CBB8918" w14:textId="00CB9C2B" w:rsidR="00576015" w:rsidRPr="00892425" w:rsidRDefault="00576015" w:rsidP="002C4EC5">
      <w:pPr>
        <w:ind w:firstLine="1440"/>
        <w:contextualSpacing/>
        <w:rPr>
          <w:sz w:val="26"/>
          <w:szCs w:val="26"/>
        </w:rPr>
      </w:pPr>
      <w:r w:rsidRPr="00892425">
        <w:rPr>
          <w:sz w:val="26"/>
          <w:szCs w:val="26"/>
        </w:rPr>
        <w:t xml:space="preserve">In the </w:t>
      </w:r>
      <w:r w:rsidR="00634F96">
        <w:rPr>
          <w:sz w:val="26"/>
          <w:szCs w:val="26"/>
        </w:rPr>
        <w:t>Joint Settlement</w:t>
      </w:r>
      <w:r w:rsidRPr="00892425">
        <w:rPr>
          <w:sz w:val="26"/>
          <w:szCs w:val="26"/>
        </w:rPr>
        <w:t>, the Joint Petitioners noted that TLPOA is not a signatory to the Joint Petition and opposes the level of increases to Treasure Lake.</w:t>
      </w:r>
      <w:r w:rsidRPr="00892425">
        <w:rPr>
          <w:sz w:val="26"/>
          <w:szCs w:val="26"/>
          <w:vertAlign w:val="superscript"/>
        </w:rPr>
        <w:footnoteReference w:id="7"/>
      </w:r>
      <w:r w:rsidRPr="00892425">
        <w:rPr>
          <w:sz w:val="26"/>
          <w:szCs w:val="26"/>
        </w:rPr>
        <w:t xml:space="preserve">  Joint Settlement at 2, n.1.  </w:t>
      </w:r>
    </w:p>
    <w:p w14:paraId="445B239D" w14:textId="688013CA" w:rsidR="00C04859" w:rsidRPr="00892425" w:rsidRDefault="00C04859" w:rsidP="002C4EC5">
      <w:pPr>
        <w:ind w:firstLine="1440"/>
        <w:contextualSpacing/>
        <w:rPr>
          <w:sz w:val="26"/>
          <w:szCs w:val="26"/>
        </w:rPr>
      </w:pPr>
    </w:p>
    <w:p w14:paraId="14840BEB" w14:textId="04FE4506" w:rsidR="00576015" w:rsidRPr="00892425" w:rsidRDefault="00576015" w:rsidP="002C4EC5">
      <w:pPr>
        <w:pStyle w:val="Heading5"/>
        <w:ind w:left="2880" w:hanging="720"/>
        <w:contextualSpacing/>
        <w:jc w:val="left"/>
      </w:pPr>
      <w:r w:rsidRPr="00892425">
        <w:t>b.</w:t>
      </w:r>
      <w:r w:rsidRPr="00892425">
        <w:tab/>
        <w:t>Cedar Knoll Builders</w:t>
      </w:r>
    </w:p>
    <w:p w14:paraId="6883F451" w14:textId="2940B220" w:rsidR="00576015" w:rsidRPr="00892425" w:rsidRDefault="00576015" w:rsidP="002C4EC5">
      <w:pPr>
        <w:keepNext/>
        <w:keepLines/>
        <w:ind w:firstLine="1440"/>
        <w:contextualSpacing/>
        <w:rPr>
          <w:sz w:val="26"/>
          <w:szCs w:val="26"/>
        </w:rPr>
      </w:pPr>
    </w:p>
    <w:p w14:paraId="6B93D10E" w14:textId="125CE960" w:rsidR="008121A2" w:rsidRPr="00892425" w:rsidRDefault="008121A2" w:rsidP="002C4EC5">
      <w:pPr>
        <w:ind w:firstLine="1440"/>
        <w:contextualSpacing/>
        <w:rPr>
          <w:sz w:val="26"/>
          <w:szCs w:val="26"/>
        </w:rPr>
      </w:pPr>
      <w:r w:rsidRPr="00892425">
        <w:rPr>
          <w:sz w:val="26"/>
          <w:szCs w:val="26"/>
        </w:rPr>
        <w:t xml:space="preserve">On February 20, 2019, Brian Campbell </w:t>
      </w:r>
      <w:r w:rsidR="00E66444" w:rsidRPr="00892425">
        <w:rPr>
          <w:sz w:val="26"/>
          <w:szCs w:val="26"/>
        </w:rPr>
        <w:t xml:space="preserve">(Mr. Campbell) </w:t>
      </w:r>
      <w:r w:rsidRPr="00892425">
        <w:rPr>
          <w:sz w:val="26"/>
          <w:szCs w:val="26"/>
        </w:rPr>
        <w:t xml:space="preserve">filed Comments in Opposition to the </w:t>
      </w:r>
      <w:r w:rsidR="00634F96">
        <w:rPr>
          <w:sz w:val="26"/>
          <w:szCs w:val="26"/>
        </w:rPr>
        <w:t>Joint Settlement</w:t>
      </w:r>
      <w:r w:rsidRPr="00892425">
        <w:rPr>
          <w:sz w:val="26"/>
          <w:szCs w:val="26"/>
        </w:rPr>
        <w:t xml:space="preserve"> (Comments in Opposition) on behalf of Cedar Knoll Builders and Honeycroft Village LP (Honeycroft Village).  Mr. Campbell explained that Honeycroft Village’s wastewater system is brand new and was purchased by Aqua two years ago.  According to Mr. Campbell, the forty-nine percent increase in wastewater rates for Honeycroft Village that is provided for under the </w:t>
      </w:r>
      <w:r w:rsidR="00634F96">
        <w:rPr>
          <w:sz w:val="26"/>
          <w:szCs w:val="26"/>
        </w:rPr>
        <w:t>Joint Settlement</w:t>
      </w:r>
      <w:r w:rsidRPr="00892425">
        <w:rPr>
          <w:sz w:val="26"/>
          <w:szCs w:val="26"/>
        </w:rPr>
        <w:t xml:space="preserve"> is not acceptable.  Cedar Knoll Builders Comments in Opposition at 1.</w:t>
      </w:r>
    </w:p>
    <w:p w14:paraId="5DEF8D14" w14:textId="77777777" w:rsidR="008121A2" w:rsidRPr="00892425" w:rsidRDefault="008121A2" w:rsidP="002C4EC5">
      <w:pPr>
        <w:ind w:firstLine="1440"/>
        <w:contextualSpacing/>
        <w:rPr>
          <w:sz w:val="26"/>
          <w:szCs w:val="26"/>
        </w:rPr>
      </w:pPr>
    </w:p>
    <w:p w14:paraId="097AC8D0" w14:textId="3C57C4D2" w:rsidR="00576015" w:rsidRPr="00892425" w:rsidRDefault="00576015" w:rsidP="002C4EC5">
      <w:pPr>
        <w:pStyle w:val="Heading5"/>
        <w:ind w:left="2880" w:hanging="720"/>
        <w:contextualSpacing/>
        <w:jc w:val="left"/>
      </w:pPr>
      <w:r w:rsidRPr="00892425">
        <w:lastRenderedPageBreak/>
        <w:t>c.</w:t>
      </w:r>
      <w:r w:rsidRPr="00892425">
        <w:tab/>
        <w:t>Mr. Curtius</w:t>
      </w:r>
    </w:p>
    <w:p w14:paraId="4B07E93D" w14:textId="673548C6" w:rsidR="00576015" w:rsidRPr="00892425" w:rsidRDefault="00576015" w:rsidP="002C4EC5">
      <w:pPr>
        <w:keepNext/>
        <w:keepLines/>
        <w:ind w:firstLine="1440"/>
        <w:contextualSpacing/>
        <w:rPr>
          <w:sz w:val="26"/>
          <w:szCs w:val="26"/>
        </w:rPr>
      </w:pPr>
    </w:p>
    <w:p w14:paraId="137F3256" w14:textId="74964FF8" w:rsidR="00BF7B7E" w:rsidRPr="00892425" w:rsidRDefault="00BF7B7E" w:rsidP="002C4EC5">
      <w:pPr>
        <w:ind w:firstLine="1440"/>
        <w:contextualSpacing/>
        <w:rPr>
          <w:sz w:val="26"/>
          <w:szCs w:val="26"/>
        </w:rPr>
      </w:pPr>
      <w:r w:rsidRPr="00892425">
        <w:rPr>
          <w:sz w:val="26"/>
          <w:szCs w:val="26"/>
        </w:rPr>
        <w:t>In his Comments in Opposition,</w:t>
      </w:r>
      <w:r w:rsidRPr="00892425">
        <w:rPr>
          <w:sz w:val="26"/>
          <w:szCs w:val="26"/>
          <w:vertAlign w:val="superscript"/>
        </w:rPr>
        <w:footnoteReference w:id="8"/>
      </w:r>
      <w:r w:rsidRPr="00892425">
        <w:rPr>
          <w:sz w:val="26"/>
          <w:szCs w:val="26"/>
        </w:rPr>
        <w:t xml:space="preserve"> Mr. Curtius objected to the wastewater rate increase provided for in the </w:t>
      </w:r>
      <w:r w:rsidR="00634F96">
        <w:rPr>
          <w:sz w:val="26"/>
          <w:szCs w:val="26"/>
        </w:rPr>
        <w:t>Joint Settlement</w:t>
      </w:r>
      <w:r w:rsidRPr="00892425">
        <w:rPr>
          <w:sz w:val="26"/>
          <w:szCs w:val="26"/>
        </w:rPr>
        <w:t xml:space="preserve">.  Mr. Curtius took issue with the allocation of a portion of </w:t>
      </w:r>
      <w:r w:rsidR="00BC3D91" w:rsidRPr="00892425">
        <w:rPr>
          <w:sz w:val="26"/>
          <w:szCs w:val="26"/>
        </w:rPr>
        <w:t>the</w:t>
      </w:r>
      <w:r w:rsidRPr="00892425">
        <w:rPr>
          <w:sz w:val="26"/>
          <w:szCs w:val="26"/>
        </w:rPr>
        <w:t xml:space="preserve"> wastewater revenue requirement assessed to water customers.  Mr. Curtius also submitted that the stay-out provision in the </w:t>
      </w:r>
      <w:r w:rsidR="00634F96">
        <w:rPr>
          <w:sz w:val="26"/>
          <w:szCs w:val="26"/>
        </w:rPr>
        <w:t>Joint Settlement</w:t>
      </w:r>
      <w:r w:rsidRPr="00892425">
        <w:rPr>
          <w:sz w:val="26"/>
          <w:szCs w:val="26"/>
        </w:rPr>
        <w:t xml:space="preserve"> should be increased to no less than four years.  Additionally, Mr. Curtius argued</w:t>
      </w:r>
      <w:r w:rsidR="009E3F14" w:rsidRPr="00892425">
        <w:rPr>
          <w:sz w:val="26"/>
          <w:szCs w:val="26"/>
        </w:rPr>
        <w:t xml:space="preserve"> </w:t>
      </w:r>
      <w:r w:rsidRPr="00892425">
        <w:rPr>
          <w:sz w:val="26"/>
          <w:szCs w:val="26"/>
        </w:rPr>
        <w:t xml:space="preserve">that as a Formal Complainant, he was not properly informed.  </w:t>
      </w:r>
      <w:r w:rsidR="006E7546" w:rsidRPr="00892425">
        <w:rPr>
          <w:sz w:val="26"/>
          <w:szCs w:val="26"/>
        </w:rPr>
        <w:t>For example, Mr. Curtius asserted that he was not informed about the pre</w:t>
      </w:r>
      <w:r w:rsidR="0071364C" w:rsidRPr="00892425">
        <w:rPr>
          <w:sz w:val="26"/>
          <w:szCs w:val="26"/>
        </w:rPr>
        <w:t xml:space="preserve">hearing conference in this proceeding.  </w:t>
      </w:r>
      <w:r w:rsidRPr="00892425">
        <w:rPr>
          <w:sz w:val="26"/>
          <w:szCs w:val="26"/>
        </w:rPr>
        <w:t>According to Mr. Curtius, he should have been served with all documents that were served on the other parties to this proceeding.  Mr. Curtius Comments in Opposition at 1-2.</w:t>
      </w:r>
    </w:p>
    <w:p w14:paraId="433E5505" w14:textId="0E2691AC" w:rsidR="00576015" w:rsidRPr="00892425" w:rsidRDefault="00576015" w:rsidP="002C4EC5">
      <w:pPr>
        <w:ind w:firstLine="1440"/>
        <w:contextualSpacing/>
        <w:rPr>
          <w:sz w:val="26"/>
          <w:szCs w:val="26"/>
        </w:rPr>
      </w:pPr>
    </w:p>
    <w:p w14:paraId="78AF1DBE" w14:textId="154B1335" w:rsidR="00576015" w:rsidRPr="00892425" w:rsidRDefault="00576015" w:rsidP="002C4EC5">
      <w:pPr>
        <w:pStyle w:val="Heading5"/>
        <w:ind w:left="2880" w:hanging="720"/>
        <w:contextualSpacing/>
        <w:jc w:val="left"/>
      </w:pPr>
      <w:r w:rsidRPr="00892425">
        <w:t>d.</w:t>
      </w:r>
      <w:r w:rsidRPr="00892425">
        <w:tab/>
        <w:t xml:space="preserve">Other </w:t>
      </w:r>
      <w:r w:rsidR="004C5EE5">
        <w:rPr>
          <w:i/>
        </w:rPr>
        <w:t>P</w:t>
      </w:r>
      <w:r w:rsidRPr="00892425">
        <w:rPr>
          <w:i/>
        </w:rPr>
        <w:t xml:space="preserve">ro </w:t>
      </w:r>
      <w:r w:rsidR="004C5EE5">
        <w:rPr>
          <w:i/>
        </w:rPr>
        <w:t xml:space="preserve">Se </w:t>
      </w:r>
      <w:r w:rsidRPr="00892425">
        <w:t>Complainants</w:t>
      </w:r>
    </w:p>
    <w:p w14:paraId="71588AD7" w14:textId="77777777" w:rsidR="00576015" w:rsidRPr="00892425" w:rsidRDefault="00576015" w:rsidP="002C4EC5">
      <w:pPr>
        <w:keepNext/>
        <w:keepLines/>
        <w:ind w:firstLine="1440"/>
        <w:contextualSpacing/>
        <w:rPr>
          <w:sz w:val="26"/>
          <w:szCs w:val="26"/>
        </w:rPr>
      </w:pPr>
    </w:p>
    <w:p w14:paraId="320952A4" w14:textId="094FEAC4" w:rsidR="006568DF" w:rsidRPr="00892425" w:rsidRDefault="006568DF" w:rsidP="002C4EC5">
      <w:pPr>
        <w:ind w:firstLine="1440"/>
        <w:contextualSpacing/>
        <w:rPr>
          <w:sz w:val="26"/>
          <w:szCs w:val="26"/>
        </w:rPr>
      </w:pPr>
      <w:r w:rsidRPr="00892425">
        <w:rPr>
          <w:sz w:val="26"/>
          <w:szCs w:val="26"/>
        </w:rPr>
        <w:t xml:space="preserve">In addition to Mr. Curtius, the following other </w:t>
      </w:r>
      <w:r w:rsidRPr="00892425">
        <w:rPr>
          <w:i/>
          <w:sz w:val="26"/>
          <w:szCs w:val="26"/>
        </w:rPr>
        <w:t xml:space="preserve">pro se </w:t>
      </w:r>
      <w:r w:rsidRPr="00892425">
        <w:rPr>
          <w:sz w:val="26"/>
          <w:szCs w:val="26"/>
        </w:rPr>
        <w:t xml:space="preserve">Complainants filed Comments in </w:t>
      </w:r>
      <w:r w:rsidR="00C359FA" w:rsidRPr="00892425">
        <w:rPr>
          <w:sz w:val="26"/>
          <w:szCs w:val="26"/>
        </w:rPr>
        <w:t>O</w:t>
      </w:r>
      <w:r w:rsidRPr="00892425">
        <w:rPr>
          <w:sz w:val="26"/>
          <w:szCs w:val="26"/>
        </w:rPr>
        <w:t xml:space="preserve">pposition to the </w:t>
      </w:r>
      <w:r w:rsidR="00634F96">
        <w:rPr>
          <w:sz w:val="26"/>
          <w:szCs w:val="26"/>
        </w:rPr>
        <w:t>Joint Settlement</w:t>
      </w:r>
      <w:r w:rsidRPr="00892425">
        <w:rPr>
          <w:sz w:val="26"/>
          <w:szCs w:val="26"/>
        </w:rPr>
        <w:t>: Grace Bowes, Douglas and Linda Dudjak, Lee Euard, William Finn, Byron Goldstein, Denise Johnson, Edward Levy, Tammy Livziey, Michael Luciano, Ben Mroz III, Paul Nice, Jacqueline Pasquini, Dony Pierre, Rafael Rodriguez, Robert Shafer, Brian Sheppard, and Wayne Weismandel</w:t>
      </w:r>
      <w:r w:rsidR="00FA1207" w:rsidRPr="00892425">
        <w:rPr>
          <w:sz w:val="26"/>
          <w:szCs w:val="26"/>
        </w:rPr>
        <w:t xml:space="preserve">.  In general, the </w:t>
      </w:r>
      <w:r w:rsidR="00FA1207" w:rsidRPr="00892425">
        <w:rPr>
          <w:i/>
          <w:sz w:val="26"/>
          <w:szCs w:val="26"/>
        </w:rPr>
        <w:t xml:space="preserve">pro se </w:t>
      </w:r>
      <w:r w:rsidR="00FA1207" w:rsidRPr="00892425">
        <w:rPr>
          <w:sz w:val="26"/>
          <w:szCs w:val="26"/>
        </w:rPr>
        <w:t xml:space="preserve">Complainants argued that the water and wastewater rate increases provided for in the </w:t>
      </w:r>
      <w:r w:rsidR="00634F96">
        <w:rPr>
          <w:sz w:val="26"/>
          <w:szCs w:val="26"/>
        </w:rPr>
        <w:t>Joint Settlement</w:t>
      </w:r>
      <w:r w:rsidR="00FA1207" w:rsidRPr="00892425">
        <w:rPr>
          <w:sz w:val="26"/>
          <w:szCs w:val="26"/>
        </w:rPr>
        <w:t xml:space="preserve"> are excessive and that the </w:t>
      </w:r>
      <w:r w:rsidR="00634F96">
        <w:rPr>
          <w:sz w:val="26"/>
          <w:szCs w:val="26"/>
        </w:rPr>
        <w:t>Joint Settlement</w:t>
      </w:r>
      <w:r w:rsidR="00FA1207" w:rsidRPr="00892425">
        <w:rPr>
          <w:sz w:val="26"/>
          <w:szCs w:val="26"/>
        </w:rPr>
        <w:t xml:space="preserve"> is not in the public interest.</w:t>
      </w:r>
      <w:r w:rsidR="00FA1207" w:rsidRPr="00892425">
        <w:rPr>
          <w:rStyle w:val="FootnoteReference"/>
          <w:sz w:val="26"/>
          <w:szCs w:val="26"/>
        </w:rPr>
        <w:footnoteReference w:id="9"/>
      </w:r>
    </w:p>
    <w:p w14:paraId="48C1E6E9" w14:textId="77777777" w:rsidR="00576015" w:rsidRPr="00892425" w:rsidRDefault="00576015" w:rsidP="002C4EC5">
      <w:pPr>
        <w:ind w:firstLine="1440"/>
        <w:contextualSpacing/>
        <w:rPr>
          <w:sz w:val="26"/>
          <w:szCs w:val="26"/>
        </w:rPr>
      </w:pPr>
    </w:p>
    <w:p w14:paraId="777217DF" w14:textId="77777777" w:rsidR="00B46517" w:rsidRPr="00892425" w:rsidRDefault="00C04859" w:rsidP="002C4EC5">
      <w:pPr>
        <w:pStyle w:val="Heading4"/>
        <w:keepLines/>
        <w:ind w:left="2160" w:hanging="720"/>
        <w:contextualSpacing/>
        <w:jc w:val="left"/>
      </w:pPr>
      <w:r w:rsidRPr="00892425">
        <w:lastRenderedPageBreak/>
        <w:t>5.</w:t>
      </w:r>
      <w:r w:rsidRPr="00892425">
        <w:tab/>
        <w:t>ALJs’ Recommendation</w:t>
      </w:r>
    </w:p>
    <w:p w14:paraId="6F0ABE0B" w14:textId="77777777" w:rsidR="00C04859" w:rsidRPr="00892425" w:rsidRDefault="00C04859" w:rsidP="002C4EC5">
      <w:pPr>
        <w:keepNext/>
        <w:keepLines/>
        <w:ind w:firstLine="1440"/>
        <w:contextualSpacing/>
        <w:rPr>
          <w:sz w:val="26"/>
          <w:szCs w:val="26"/>
        </w:rPr>
      </w:pPr>
    </w:p>
    <w:p w14:paraId="56060C1C" w14:textId="77777777" w:rsidR="00EF6271" w:rsidRPr="00EF6271" w:rsidRDefault="00EF6271" w:rsidP="00EF6271">
      <w:pPr>
        <w:ind w:firstLine="1440"/>
        <w:contextualSpacing/>
        <w:rPr>
          <w:sz w:val="26"/>
          <w:szCs w:val="26"/>
        </w:rPr>
      </w:pPr>
      <w:bookmarkStart w:id="16" w:name="_Hlk5864635"/>
      <w:r w:rsidRPr="00EF6271">
        <w:rPr>
          <w:sz w:val="26"/>
          <w:szCs w:val="26"/>
        </w:rPr>
        <w:t xml:space="preserve">In their Recommended Decision, in addressing the various Comments in Opposition to the Joint Settlement, the ALJs cited to </w:t>
      </w:r>
      <w:r w:rsidRPr="00EF6271">
        <w:rPr>
          <w:i/>
          <w:sz w:val="26"/>
          <w:szCs w:val="26"/>
        </w:rPr>
        <w:t>Burleson v. Pa. PUC</w:t>
      </w:r>
      <w:r w:rsidRPr="00EF6271">
        <w:rPr>
          <w:sz w:val="26"/>
          <w:szCs w:val="26"/>
        </w:rPr>
        <w:t>, 443 A.2d 1373 (Pa. Cmwlth. 1982).  The ALJs explained that since the Company and the Joint Petitioners have presented evidence sufficient to satisfy the burden of proof, the burden of going forward with the evidence to rebut the evidence of the Joint Parties shifts to the parties that object to the Joint Settlement.  The ALJs stated if the objector to the Joint Settlement presents evidence of co</w:t>
      </w:r>
      <w:r w:rsidRPr="00EF6271">
        <w:rPr>
          <w:sz w:val="26"/>
          <w:szCs w:val="26"/>
        </w:rPr>
        <w:noBreakHyphen/>
        <w:t xml:space="preserve">equal weight, the Joint Parties have not satisfied their burden of proof.  Additionally, citing to </w:t>
      </w:r>
      <w:r w:rsidRPr="00EF6271">
        <w:rPr>
          <w:i/>
          <w:sz w:val="26"/>
          <w:szCs w:val="26"/>
        </w:rPr>
        <w:t>Harmon v. Mifflin County Sch. Dist.,</w:t>
      </w:r>
      <w:r w:rsidRPr="00EF6271">
        <w:rPr>
          <w:sz w:val="26"/>
          <w:szCs w:val="26"/>
        </w:rPr>
        <w:t xml:space="preserve"> 713 A.2d 620, 623 (Pa. 1998) (</w:t>
      </w:r>
      <w:r w:rsidRPr="00EF6271">
        <w:rPr>
          <w:i/>
          <w:sz w:val="26"/>
          <w:szCs w:val="26"/>
        </w:rPr>
        <w:t>Harmon</w:t>
      </w:r>
      <w:r w:rsidRPr="00EF6271">
        <w:rPr>
          <w:sz w:val="26"/>
          <w:szCs w:val="26"/>
        </w:rPr>
        <w:t xml:space="preserve">), the ALJs stated that the Commission’s decision must be supported by “substantial evidence,” which consists of evidence that a reasonable mind might accept as adequate to support a conclusion.  The ALJs further cited to </w:t>
      </w:r>
      <w:r w:rsidRPr="00EF6271">
        <w:rPr>
          <w:i/>
          <w:sz w:val="26"/>
          <w:szCs w:val="26"/>
        </w:rPr>
        <w:t>Norfolk and Western Railway Co. v. Pa. PUC</w:t>
      </w:r>
      <w:r w:rsidRPr="00EF6271">
        <w:rPr>
          <w:sz w:val="26"/>
          <w:szCs w:val="26"/>
        </w:rPr>
        <w:t>, 413 A.2d 1037 (Pa. Cmwlth. 1980) in explaining that a mere “trace of evidence or suspicion of the existence of fact” is not sufficient.  R.D. at 63.</w:t>
      </w:r>
    </w:p>
    <w:p w14:paraId="410B7546" w14:textId="77777777" w:rsidR="00EF6271" w:rsidRPr="00EF6271" w:rsidRDefault="00EF6271" w:rsidP="00EF6271">
      <w:pPr>
        <w:ind w:firstLine="1440"/>
        <w:contextualSpacing/>
        <w:rPr>
          <w:sz w:val="26"/>
          <w:szCs w:val="26"/>
        </w:rPr>
      </w:pPr>
    </w:p>
    <w:p w14:paraId="6F9ED5DE" w14:textId="77777777" w:rsidR="00EF6271" w:rsidRPr="00EF6271" w:rsidRDefault="00EF6271" w:rsidP="00EF6271">
      <w:pPr>
        <w:ind w:firstLine="1440"/>
        <w:contextualSpacing/>
        <w:rPr>
          <w:sz w:val="26"/>
          <w:szCs w:val="26"/>
        </w:rPr>
      </w:pPr>
      <w:r w:rsidRPr="00EF6271">
        <w:rPr>
          <w:sz w:val="26"/>
          <w:szCs w:val="26"/>
        </w:rPr>
        <w:t>The ALJs first addressed TLPOA’s opposition to the Joint Settlement.  The ALJs stated that TLPOA was the sole active participant in this proceeding to object to the Joint Settlement.  However, the ALJs found that TLPOA did not file testimony in this proceeding, nor did it provide any documents to support why it opposed the Joint Settlement.  Rather, the ALJs emphasized that TLPOA’s sole communication and rationale for its opposition is contained in footnote 1 of the Joint Settlement in which the Joint Petitioners explained that TLPOA opposes the level of rate increases to Treasure Lake.  Therefore, the ALJs concluded that TLPOA has not provided any evidence to sustain its burden of persuasion that the Joint Settlement is not just and reasonable.  As such, the ALJs overruled TLPOA’s objection to the Joint Settlement and dismissed TLPOA’s Complaint.  R.D. at 63-64.</w:t>
      </w:r>
    </w:p>
    <w:p w14:paraId="3B7FA4E1" w14:textId="77777777" w:rsidR="00EF6271" w:rsidRPr="00EF6271" w:rsidRDefault="00EF6271" w:rsidP="00EF6271">
      <w:pPr>
        <w:ind w:firstLine="1440"/>
        <w:contextualSpacing/>
        <w:rPr>
          <w:sz w:val="26"/>
          <w:szCs w:val="26"/>
        </w:rPr>
      </w:pPr>
    </w:p>
    <w:p w14:paraId="2AE50FB3" w14:textId="77777777" w:rsidR="00EF6271" w:rsidRPr="00EF6271" w:rsidRDefault="00EF6271" w:rsidP="00EF6271">
      <w:pPr>
        <w:ind w:firstLine="1440"/>
        <w:contextualSpacing/>
        <w:rPr>
          <w:sz w:val="26"/>
          <w:szCs w:val="26"/>
        </w:rPr>
      </w:pPr>
      <w:r w:rsidRPr="00EF6271">
        <w:rPr>
          <w:sz w:val="26"/>
          <w:szCs w:val="26"/>
        </w:rPr>
        <w:lastRenderedPageBreak/>
        <w:t xml:space="preserve">The ALJs next addressed Cedar Knoll Builders’ Comments in Opposition.  As background, the ALJs stated that on September 24, 2018, Mr. Campbell filed a Complaint on behalf of Cedar Knoll Builders against Aqua’s originally-proposed wastewater increase.  Mr. Campbell indicated that he is the President of Cedar Knoll Builders and listed fifteen wastewater accounts that were involved in his Complaint.  Additionally, Mr. Campbell listed J. Charles </w:t>
      </w:r>
      <w:proofErr w:type="spellStart"/>
      <w:r w:rsidRPr="00EF6271">
        <w:rPr>
          <w:sz w:val="26"/>
          <w:szCs w:val="26"/>
        </w:rPr>
        <w:t>Gerbron</w:t>
      </w:r>
      <w:proofErr w:type="spellEnd"/>
      <w:r w:rsidRPr="00EF6271">
        <w:rPr>
          <w:sz w:val="26"/>
          <w:szCs w:val="26"/>
        </w:rPr>
        <w:t xml:space="preserve"> Jr. (Attorney </w:t>
      </w:r>
      <w:proofErr w:type="spellStart"/>
      <w:r w:rsidRPr="00EF6271">
        <w:rPr>
          <w:sz w:val="26"/>
          <w:szCs w:val="26"/>
        </w:rPr>
        <w:t>Gerbron</w:t>
      </w:r>
      <w:proofErr w:type="spellEnd"/>
      <w:r w:rsidRPr="00EF6271">
        <w:rPr>
          <w:sz w:val="26"/>
          <w:szCs w:val="26"/>
        </w:rPr>
        <w:t>) as legal representation.  R.D. at 64.</w:t>
      </w:r>
    </w:p>
    <w:p w14:paraId="30981634" w14:textId="77777777" w:rsidR="00EF6271" w:rsidRPr="00EF6271" w:rsidRDefault="00EF6271" w:rsidP="00EF6271">
      <w:pPr>
        <w:ind w:firstLine="1440"/>
        <w:contextualSpacing/>
        <w:rPr>
          <w:sz w:val="26"/>
          <w:szCs w:val="26"/>
        </w:rPr>
      </w:pPr>
    </w:p>
    <w:p w14:paraId="55988A01" w14:textId="77777777" w:rsidR="00EF6271" w:rsidRPr="00EF6271" w:rsidRDefault="00EF6271" w:rsidP="00EF6271">
      <w:pPr>
        <w:ind w:firstLine="1440"/>
        <w:contextualSpacing/>
        <w:rPr>
          <w:sz w:val="26"/>
          <w:szCs w:val="26"/>
        </w:rPr>
      </w:pPr>
      <w:r w:rsidRPr="00EF6271">
        <w:rPr>
          <w:sz w:val="26"/>
          <w:szCs w:val="26"/>
        </w:rPr>
        <w:t xml:space="preserve">The ALJs explained that because the instant case is a general rate increase proceeding under 66 Pa. C.S. § 1308(d), it is an adversarial proceeding in which non-individuals are to be represented by counsel in accordance with 52 Pa. Code § 1.21(b).  However, the ALJs noted that there is no record of an initial pleading signed by Attorney </w:t>
      </w:r>
      <w:proofErr w:type="spellStart"/>
      <w:r w:rsidRPr="00EF6271">
        <w:rPr>
          <w:sz w:val="26"/>
          <w:szCs w:val="26"/>
        </w:rPr>
        <w:t>Gerbron</w:t>
      </w:r>
      <w:proofErr w:type="spellEnd"/>
      <w:r w:rsidRPr="00EF6271">
        <w:rPr>
          <w:sz w:val="26"/>
          <w:szCs w:val="26"/>
        </w:rPr>
        <w:t xml:space="preserve"> or any other attorney authorized by the Commonwealth of Pennsylvania, as required under 52 Pa Code § 1.24(b), nor is there any record evidence of any attorney participating in this proceeding on behalf of Cedar Knoll Builders.  The ALJs stressed that because Cedar Knoll Builders is an entity, and not an individual, it must be represented by counsel.  Therefore, the ALJs found that the Complaint of Cedar Knoll Builders is not viable because of the Complainant’s failure to follow Commission procedure to be represented by counsel.  By extension, the ALJs concluded that Cedar Knoll Builders’ Comments in Opposition are prohibited because Mr. Campbell is not an attorney.  R.D. at 65-66.</w:t>
      </w:r>
    </w:p>
    <w:p w14:paraId="57F31C48" w14:textId="77777777" w:rsidR="00EF6271" w:rsidRPr="00EF6271" w:rsidRDefault="00EF6271" w:rsidP="00EF6271">
      <w:pPr>
        <w:ind w:firstLine="1440"/>
        <w:contextualSpacing/>
        <w:rPr>
          <w:sz w:val="26"/>
          <w:szCs w:val="26"/>
        </w:rPr>
      </w:pPr>
    </w:p>
    <w:p w14:paraId="2490E0C8" w14:textId="77777777" w:rsidR="00EF6271" w:rsidRPr="00EF6271" w:rsidRDefault="00EF6271" w:rsidP="00EF6271">
      <w:pPr>
        <w:ind w:firstLine="1440"/>
        <w:contextualSpacing/>
        <w:rPr>
          <w:sz w:val="26"/>
          <w:szCs w:val="26"/>
        </w:rPr>
      </w:pPr>
      <w:r w:rsidRPr="00EF6271">
        <w:rPr>
          <w:sz w:val="26"/>
          <w:szCs w:val="26"/>
        </w:rPr>
        <w:t xml:space="preserve">In addressing the Comments in Opposition filed by Mr. Curtius, the ALJs quoted Section 1311(c) of the Code, 66 Pa. C.S. § 1311(c), which permits a utility that provides water and wastewater service to combine its water and wastewater revenue requirements.  The ALJs ruled that Mr. Curtius received notice and the opportunity to be heard on allocating  a portion of Aqua’s wastewater requirement  on water customers.  According to the ALJs, nothing in Mr. Curtius’ Comments in Opposition shows that Aqua violated Section 1311(c) of the Code or rebuts the ALJs’ finding that the Joint </w:t>
      </w:r>
      <w:r w:rsidRPr="00EF6271">
        <w:rPr>
          <w:sz w:val="26"/>
          <w:szCs w:val="26"/>
        </w:rPr>
        <w:lastRenderedPageBreak/>
        <w:t>Settlement, including the provision to allocate a portion of the wastewater revenue requirement, is in the public interest.  R.D. at 66-67.</w:t>
      </w:r>
    </w:p>
    <w:p w14:paraId="650C1E56" w14:textId="77777777" w:rsidR="00EF6271" w:rsidRPr="00EF6271" w:rsidRDefault="00EF6271" w:rsidP="00EF6271">
      <w:pPr>
        <w:ind w:firstLine="1440"/>
        <w:contextualSpacing/>
        <w:rPr>
          <w:sz w:val="26"/>
          <w:szCs w:val="26"/>
        </w:rPr>
      </w:pPr>
    </w:p>
    <w:p w14:paraId="1CF4C69A" w14:textId="77777777" w:rsidR="00EF6271" w:rsidRPr="00EF6271" w:rsidRDefault="00EF6271" w:rsidP="00EF6271">
      <w:pPr>
        <w:ind w:firstLine="1440"/>
        <w:contextualSpacing/>
        <w:rPr>
          <w:sz w:val="26"/>
          <w:szCs w:val="26"/>
        </w:rPr>
      </w:pPr>
      <w:r w:rsidRPr="00EF6271">
        <w:rPr>
          <w:sz w:val="26"/>
          <w:szCs w:val="26"/>
        </w:rPr>
        <w:t>The ALJs also noted that Mr. Curtius did not provide any evidence to substantiate his claim that a stay-out provision of less than four years is unreasonable, nor did he cite any authority, precedent, case law, statue, or regulation to support his assertions.  Further, the ALJs pointed out that Mr. Curtius is an inactive participant in this proceeding.  The ALJs explained that as an inactive participant, Mr. Curtius was provided with copies of all of the ALJs’ letters and Orders and all Commission Hearing Notices.  However, the ALJs found that Aqua was under no obligation to communicate with Mr. Curtius about any discovery or negotiations because he is not an active litigant in this proceeding.  In addition, the ALJs stressed that Mr. Curtius did not file his Complaint until October 22, 2018, which was after the September 28, 2018 prehearing conference in this proceeding.  Accordingly, the ALJs found that the objections outlined in Mr. Curtius’s Comments in Opposition are not substantiated, overruled his objections, and dismissed his Complaint.</w:t>
      </w:r>
    </w:p>
    <w:p w14:paraId="7573B0FF" w14:textId="77777777" w:rsidR="00EF6271" w:rsidRPr="00EF6271" w:rsidRDefault="00EF6271" w:rsidP="00EF6271">
      <w:pPr>
        <w:ind w:firstLine="1440"/>
        <w:contextualSpacing/>
        <w:rPr>
          <w:sz w:val="26"/>
          <w:szCs w:val="26"/>
        </w:rPr>
      </w:pPr>
    </w:p>
    <w:p w14:paraId="725A2989" w14:textId="77777777" w:rsidR="00EF6271" w:rsidRPr="00EF6271" w:rsidRDefault="00EF6271" w:rsidP="00EF6271">
      <w:pPr>
        <w:ind w:firstLine="1440"/>
        <w:contextualSpacing/>
        <w:rPr>
          <w:sz w:val="26"/>
          <w:szCs w:val="26"/>
        </w:rPr>
      </w:pPr>
      <w:r w:rsidRPr="00EF6271">
        <w:rPr>
          <w:sz w:val="26"/>
          <w:szCs w:val="26"/>
        </w:rPr>
        <w:t xml:space="preserve">Finally, with regard to the remaining Comments in Opposition, the ALJs restated the standard under </w:t>
      </w:r>
      <w:r w:rsidRPr="00EF6271">
        <w:rPr>
          <w:i/>
          <w:sz w:val="26"/>
          <w:szCs w:val="26"/>
        </w:rPr>
        <w:t xml:space="preserve">Harmon, supra, </w:t>
      </w:r>
      <w:r w:rsidRPr="00EF6271">
        <w:rPr>
          <w:sz w:val="26"/>
          <w:szCs w:val="26"/>
        </w:rPr>
        <w:t xml:space="preserve">that the Commission’s decision must be supported by substantial evidence.  In reviewing each of these Comments in Opposition, the ALJs concluded that none of the </w:t>
      </w:r>
      <w:r w:rsidRPr="00EF6271">
        <w:rPr>
          <w:i/>
          <w:sz w:val="26"/>
          <w:szCs w:val="26"/>
        </w:rPr>
        <w:t xml:space="preserve">pro se </w:t>
      </w:r>
      <w:r w:rsidRPr="00EF6271">
        <w:rPr>
          <w:sz w:val="26"/>
          <w:szCs w:val="26"/>
        </w:rPr>
        <w:t xml:space="preserve">Complainants provided any record evidence to support their objections to the Joint Settlement or to show that the Joint Settlement is not just and reasonable.  Therefore, the ALJs rejected each of these Comments in Opposition and dismissed each underlying Complaint.  Further, with respect to the Comments in Opposition filed by Lee Euard, the ALJs noted that Mr. Euard repeatedly stated that he was filing on behalf of TLPOA.  However, the ALJs stated that counsel already filed a Petition to Intervene in this proceeding on behalf of TLPOA and are therefore the only ones authorized to speak on its behalf.  Therefore, the ALJs found that </w:t>
      </w:r>
      <w:r w:rsidRPr="00EF6271">
        <w:rPr>
          <w:sz w:val="26"/>
          <w:szCs w:val="26"/>
        </w:rPr>
        <w:lastRenderedPageBreak/>
        <w:t>Mr. Euard was not authorized to file Comments in Opposition to the Joint Settlement on behalf of TLPOA.  R.D. at 68-80.</w:t>
      </w:r>
    </w:p>
    <w:p w14:paraId="07F85333" w14:textId="77777777" w:rsidR="00EF6271" w:rsidRPr="00EF6271" w:rsidRDefault="00EF6271" w:rsidP="00EF6271">
      <w:pPr>
        <w:spacing w:after="200"/>
        <w:contextualSpacing/>
        <w:rPr>
          <w:sz w:val="26"/>
          <w:szCs w:val="26"/>
        </w:rPr>
      </w:pPr>
    </w:p>
    <w:p w14:paraId="5C9C8AB1" w14:textId="62B9D2EC" w:rsidR="00EF6271" w:rsidRPr="00EF6271" w:rsidRDefault="00EF6271" w:rsidP="00EF6271">
      <w:pPr>
        <w:spacing w:after="200"/>
        <w:ind w:firstLine="1440"/>
        <w:contextualSpacing/>
        <w:rPr>
          <w:rFonts w:eastAsia="Calibri"/>
          <w:sz w:val="26"/>
          <w:szCs w:val="26"/>
        </w:rPr>
      </w:pPr>
      <w:r w:rsidRPr="00EF6271">
        <w:rPr>
          <w:rFonts w:eastAsia="Calibri"/>
          <w:sz w:val="26"/>
          <w:szCs w:val="26"/>
        </w:rPr>
        <w:t xml:space="preserve">In addressing the provisions of the Joint Settlement, the ALJs explained that in the instant case, the Parties have reached a black box settlement in which the Joint Settlement provides for an increase in Aqua’s revenues but does not indicate the specifics of how this increase was calculated.  Citing to </w:t>
      </w:r>
      <w:r w:rsidRPr="00EF6271">
        <w:rPr>
          <w:rFonts w:eastAsia="Calibri"/>
          <w:i/>
          <w:sz w:val="26"/>
          <w:szCs w:val="26"/>
        </w:rPr>
        <w:t>Peoples</w:t>
      </w:r>
      <w:r w:rsidRPr="00EF6271">
        <w:rPr>
          <w:rFonts w:eastAsia="Calibri"/>
          <w:sz w:val="26"/>
          <w:szCs w:val="26"/>
        </w:rPr>
        <w:t>, the ALJs noted that the Commission has observed that determining a utility’s revenue requirement is a calculation that involves many complex and interrelated adjustments which affect expenses, depreciation, rate base, taxes, and the utility’s cost of capital, and which makes it difficult for the parties to a proceeding to reach an agreement on each component.  As such, the ALJs found that the submission of a black box settlement in this case is reasonable and consistent with Commission precedent.  R.D. at 39-44.</w:t>
      </w:r>
    </w:p>
    <w:p w14:paraId="7C8186DB" w14:textId="77777777" w:rsidR="00EF6271" w:rsidRPr="00EF6271" w:rsidRDefault="00EF6271" w:rsidP="00EF6271">
      <w:pPr>
        <w:spacing w:after="200"/>
        <w:ind w:firstLine="1440"/>
        <w:contextualSpacing/>
        <w:rPr>
          <w:rFonts w:eastAsia="Calibri"/>
          <w:sz w:val="26"/>
          <w:szCs w:val="26"/>
        </w:rPr>
      </w:pPr>
    </w:p>
    <w:p w14:paraId="101F889B" w14:textId="77777777" w:rsidR="00EF6271" w:rsidRPr="00EF6271" w:rsidRDefault="00EF6271" w:rsidP="00EF6271">
      <w:pPr>
        <w:spacing w:after="200"/>
        <w:ind w:firstLine="1440"/>
        <w:contextualSpacing/>
        <w:rPr>
          <w:rFonts w:eastAsia="Calibri"/>
          <w:sz w:val="26"/>
          <w:szCs w:val="26"/>
        </w:rPr>
      </w:pPr>
      <w:r w:rsidRPr="00EF6271">
        <w:rPr>
          <w:rFonts w:eastAsia="Calibri"/>
          <w:sz w:val="26"/>
          <w:szCs w:val="26"/>
        </w:rPr>
        <w:t>The ALJs noted that the Joint Settlement provides an increase in total operating revenues of $47 million, with $42.3 million for water operations and $4.7 million for wastewater operations.  The ALJs explained that this amounts to approximately 34.5% less than what the Company requested.  The ALJs further noted that the Joint Settlement will reduce the wastewater revenue requirement allocated to Aqua’s water operations cost of from $8.1 million to $7.1 million, or approximately 12.3%.  R.D. at 45.</w:t>
      </w:r>
    </w:p>
    <w:p w14:paraId="24C85E54" w14:textId="77777777" w:rsidR="00EF6271" w:rsidRPr="00EF6271" w:rsidRDefault="00EF6271" w:rsidP="00EF6271">
      <w:pPr>
        <w:spacing w:after="200"/>
        <w:ind w:firstLine="1440"/>
        <w:contextualSpacing/>
        <w:rPr>
          <w:rFonts w:eastAsia="Calibri"/>
          <w:sz w:val="26"/>
          <w:szCs w:val="26"/>
        </w:rPr>
      </w:pPr>
    </w:p>
    <w:p w14:paraId="35D782F3" w14:textId="77777777" w:rsidR="00EF6271" w:rsidRPr="00EF6271" w:rsidRDefault="00EF6271" w:rsidP="00EF6271">
      <w:pPr>
        <w:spacing w:after="200"/>
        <w:ind w:firstLine="1440"/>
        <w:contextualSpacing/>
        <w:rPr>
          <w:rFonts w:eastAsia="Calibri"/>
          <w:sz w:val="26"/>
          <w:szCs w:val="26"/>
        </w:rPr>
      </w:pPr>
      <w:r w:rsidRPr="00EF6271">
        <w:rPr>
          <w:rFonts w:eastAsia="Calibri"/>
          <w:sz w:val="26"/>
          <w:szCs w:val="26"/>
        </w:rPr>
        <w:t xml:space="preserve">The ALJs summarized each of the provisions of the Joint Settlement and the Parties’ Statements in Support thereof.  The ALJs noted that  I&amp;E, the OCA, and the OSBA, generally referred to as the statutory advocates, are part of the Joint Petitioners that fully support the Joint Settlement.  Citing to </w:t>
      </w:r>
      <w:r w:rsidRPr="00EF6271">
        <w:rPr>
          <w:rFonts w:eastAsia="Calibri"/>
          <w:i/>
          <w:sz w:val="26"/>
          <w:szCs w:val="26"/>
        </w:rPr>
        <w:t>Pa. PUC v. T.W. Phillips Gas and Oil Co</w:t>
      </w:r>
      <w:r w:rsidRPr="00EF6271">
        <w:rPr>
          <w:rFonts w:eastAsia="Calibri"/>
          <w:sz w:val="26"/>
          <w:szCs w:val="26"/>
        </w:rPr>
        <w:t>. (</w:t>
      </w:r>
      <w:r w:rsidRPr="00EF6271">
        <w:rPr>
          <w:rFonts w:eastAsia="Calibri"/>
          <w:i/>
          <w:sz w:val="26"/>
          <w:szCs w:val="26"/>
        </w:rPr>
        <w:t>T.W. Phillips</w:t>
      </w:r>
      <w:r w:rsidRPr="00EF6271">
        <w:rPr>
          <w:rFonts w:eastAsia="Calibri"/>
          <w:sz w:val="26"/>
          <w:szCs w:val="26"/>
        </w:rPr>
        <w:t xml:space="preserve">), Docket No. R-2010-2167797 (Order entered November 4, 2010), the ALJs found that when each of these statutory advocates fully support a settlement, it is strong evidence that the terms are just, reasonable, and in the public interest.  </w:t>
      </w:r>
      <w:r w:rsidRPr="00EF6271">
        <w:rPr>
          <w:rFonts w:eastAsia="Calibri"/>
          <w:sz w:val="26"/>
          <w:szCs w:val="26"/>
        </w:rPr>
        <w:lastRenderedPageBreak/>
        <w:t>Accordingly, the ALJs concluded that Aqua and the Joint Petitioners sustained their burden of proving by substantial evidence that the proposed rates are just and reasonable and that the Joint Settlement is in the public interest.  Therefore, the ALJs recommended that the Commission approve the Joint Settlement, without modification.  R.D. at 43-63.</w:t>
      </w:r>
    </w:p>
    <w:p w14:paraId="2C16D14B" w14:textId="296C27F3" w:rsidR="00547481" w:rsidRDefault="00547481" w:rsidP="002C4EC5">
      <w:pPr>
        <w:ind w:firstLine="1440"/>
        <w:contextualSpacing/>
        <w:rPr>
          <w:sz w:val="26"/>
          <w:szCs w:val="26"/>
        </w:rPr>
      </w:pPr>
    </w:p>
    <w:p w14:paraId="0267F033" w14:textId="19A1E070" w:rsidR="00547481" w:rsidRPr="00892425" w:rsidRDefault="00C81B21" w:rsidP="002C4EC5">
      <w:pPr>
        <w:pStyle w:val="Heading4"/>
        <w:keepLines/>
        <w:ind w:left="2160" w:hanging="720"/>
        <w:contextualSpacing/>
        <w:jc w:val="left"/>
      </w:pPr>
      <w:r>
        <w:t>6</w:t>
      </w:r>
      <w:r w:rsidR="00547481" w:rsidRPr="00892425">
        <w:t>.</w:t>
      </w:r>
      <w:r w:rsidR="00547481" w:rsidRPr="00892425">
        <w:tab/>
        <w:t>Exceptions</w:t>
      </w:r>
    </w:p>
    <w:p w14:paraId="68767B00" w14:textId="77777777" w:rsidR="00547481" w:rsidRPr="00892425" w:rsidRDefault="00547481" w:rsidP="002C4EC5">
      <w:pPr>
        <w:keepNext/>
        <w:keepLines/>
        <w:ind w:firstLine="1440"/>
        <w:contextualSpacing/>
        <w:rPr>
          <w:sz w:val="26"/>
          <w:szCs w:val="26"/>
        </w:rPr>
      </w:pPr>
    </w:p>
    <w:p w14:paraId="2459A67A" w14:textId="77777777" w:rsidR="00547481" w:rsidRPr="00892425" w:rsidRDefault="00547481" w:rsidP="002C4EC5">
      <w:pPr>
        <w:pStyle w:val="Heading5"/>
        <w:ind w:left="2880" w:hanging="720"/>
        <w:contextualSpacing/>
        <w:jc w:val="left"/>
      </w:pPr>
      <w:bookmarkStart w:id="17" w:name="_Hlk5864915"/>
      <w:r w:rsidRPr="00892425">
        <w:t>a.</w:t>
      </w:r>
      <w:r w:rsidRPr="00892425">
        <w:tab/>
        <w:t>TLPOA’s Exceptions and Aqua’s Replies</w:t>
      </w:r>
    </w:p>
    <w:bookmarkEnd w:id="17"/>
    <w:p w14:paraId="1E546599" w14:textId="77777777" w:rsidR="00547481" w:rsidRPr="00892425" w:rsidRDefault="00547481" w:rsidP="002C4EC5">
      <w:pPr>
        <w:keepNext/>
        <w:keepLines/>
        <w:ind w:firstLine="1440"/>
        <w:contextualSpacing/>
        <w:rPr>
          <w:sz w:val="26"/>
          <w:szCs w:val="26"/>
        </w:rPr>
      </w:pPr>
    </w:p>
    <w:p w14:paraId="7E650906" w14:textId="5AB8D24F" w:rsidR="004C1EAD" w:rsidRPr="00892425" w:rsidRDefault="004C1EAD" w:rsidP="002C4EC5">
      <w:pPr>
        <w:ind w:firstLine="1440"/>
        <w:contextualSpacing/>
        <w:rPr>
          <w:sz w:val="26"/>
          <w:szCs w:val="26"/>
        </w:rPr>
      </w:pPr>
      <w:r w:rsidRPr="00892425">
        <w:rPr>
          <w:sz w:val="26"/>
          <w:szCs w:val="26"/>
        </w:rPr>
        <w:t xml:space="preserve">In its Exceptions, TLPOA argues that as described in </w:t>
      </w:r>
      <w:r w:rsidRPr="00892425">
        <w:rPr>
          <w:i/>
          <w:sz w:val="26"/>
          <w:szCs w:val="26"/>
        </w:rPr>
        <w:t xml:space="preserve">Lloyd v. Pa. PUC, </w:t>
      </w:r>
      <w:r w:rsidRPr="00892425">
        <w:rPr>
          <w:sz w:val="26"/>
          <w:szCs w:val="26"/>
        </w:rPr>
        <w:t>904 A.2d 1010, 1015 (Pa. Cmwlth. 2006) (</w:t>
      </w:r>
      <w:r w:rsidRPr="00892425">
        <w:rPr>
          <w:i/>
          <w:sz w:val="26"/>
          <w:szCs w:val="26"/>
        </w:rPr>
        <w:t>Lloyd</w:t>
      </w:r>
      <w:r w:rsidRPr="00892425">
        <w:rPr>
          <w:sz w:val="26"/>
          <w:szCs w:val="26"/>
        </w:rPr>
        <w:t xml:space="preserve">), “rate shock” is a phrase used to describe the public outcry associated with rate increases, while “gradualism” is the concept that rates should be gradually increased over longer periods of time to prevent customers from experiencing rate shock.  Applying this to the instant proceeding, TLPOA submits that while the ALJs recognized that gradualism should be used to prevent rate shock for a customer class, they erred by recommending that the </w:t>
      </w:r>
      <w:r w:rsidR="00634F96">
        <w:rPr>
          <w:sz w:val="26"/>
          <w:szCs w:val="26"/>
        </w:rPr>
        <w:t>Joint Settlement</w:t>
      </w:r>
      <w:r w:rsidRPr="00892425">
        <w:rPr>
          <w:sz w:val="26"/>
          <w:szCs w:val="26"/>
        </w:rPr>
        <w:t xml:space="preserve"> be accepted, without modification.  According to TLPOA, the rates produced by the </w:t>
      </w:r>
      <w:r w:rsidR="00634F96">
        <w:rPr>
          <w:sz w:val="26"/>
          <w:szCs w:val="26"/>
        </w:rPr>
        <w:t>Joint Settlement</w:t>
      </w:r>
      <w:r w:rsidRPr="00892425">
        <w:rPr>
          <w:sz w:val="26"/>
          <w:szCs w:val="26"/>
        </w:rPr>
        <w:t xml:space="preserve"> fail to adhere to the principles of gradualism.  TLPOA claims that the fact that Aqua has not increased its water rates since June  2012 and its wastewater rates since October 2010 is significant because Aqua’s customers, including those residing in the Treasure Lake rate division, have grown accustomed to paying consistent and reliable water and wastewater rates.  TLPOA Exc. at 2</w:t>
      </w:r>
      <w:r w:rsidRPr="00892425">
        <w:rPr>
          <w:sz w:val="26"/>
          <w:szCs w:val="26"/>
        </w:rPr>
        <w:noBreakHyphen/>
        <w:t>3.</w:t>
      </w:r>
    </w:p>
    <w:p w14:paraId="05181C1A" w14:textId="77777777" w:rsidR="004C1EAD" w:rsidRPr="00892425" w:rsidRDefault="004C1EAD" w:rsidP="002C4EC5">
      <w:pPr>
        <w:ind w:firstLine="1440"/>
        <w:contextualSpacing/>
        <w:rPr>
          <w:sz w:val="26"/>
          <w:szCs w:val="26"/>
        </w:rPr>
      </w:pPr>
    </w:p>
    <w:p w14:paraId="08FABABC" w14:textId="397AE52C" w:rsidR="004C1EAD" w:rsidRPr="00892425" w:rsidRDefault="004C1EAD" w:rsidP="002C4EC5">
      <w:pPr>
        <w:ind w:firstLine="1440"/>
        <w:contextualSpacing/>
        <w:rPr>
          <w:sz w:val="26"/>
          <w:szCs w:val="26"/>
        </w:rPr>
      </w:pPr>
      <w:r w:rsidRPr="00892425">
        <w:rPr>
          <w:sz w:val="26"/>
          <w:szCs w:val="26"/>
        </w:rPr>
        <w:t xml:space="preserve">TLPOA elaborates that under the </w:t>
      </w:r>
      <w:r w:rsidR="00634F96">
        <w:rPr>
          <w:sz w:val="26"/>
          <w:szCs w:val="26"/>
        </w:rPr>
        <w:t>Joint Settlement</w:t>
      </w:r>
      <w:r w:rsidRPr="00892425">
        <w:rPr>
          <w:sz w:val="26"/>
          <w:szCs w:val="26"/>
        </w:rPr>
        <w:t>, a residential water customer using a 5/8-inch meter who resides in Treasure Lake would see an increase in the monthly customer charge from $12.84 to $18.00</w:t>
      </w:r>
      <w:r w:rsidR="00F4518F">
        <w:rPr>
          <w:sz w:val="26"/>
          <w:szCs w:val="26"/>
        </w:rPr>
        <w:t>,</w:t>
      </w:r>
      <w:r w:rsidRPr="00892425">
        <w:rPr>
          <w:sz w:val="26"/>
          <w:szCs w:val="26"/>
        </w:rPr>
        <w:t xml:space="preserve"> representing a 40.19% increase.  </w:t>
      </w:r>
      <w:r w:rsidR="00F457F6" w:rsidRPr="00892425">
        <w:rPr>
          <w:sz w:val="26"/>
          <w:szCs w:val="26"/>
        </w:rPr>
        <w:t xml:space="preserve">According to TLPOA, when compared to other residential customers affected by the </w:t>
      </w:r>
      <w:r w:rsidR="00634F96">
        <w:rPr>
          <w:sz w:val="26"/>
          <w:szCs w:val="26"/>
        </w:rPr>
        <w:t>Joint Settlement</w:t>
      </w:r>
      <w:r w:rsidR="00A1663F" w:rsidRPr="00892425">
        <w:rPr>
          <w:sz w:val="26"/>
          <w:szCs w:val="26"/>
        </w:rPr>
        <w:t xml:space="preserve">, Treasure Lake customers will be disproportionately impacted.  TLPOA compares the rate increase that customers in the Treasure Lake Division will receive with </w:t>
      </w:r>
      <w:r w:rsidR="00A1663F" w:rsidRPr="00892425">
        <w:rPr>
          <w:sz w:val="26"/>
          <w:szCs w:val="26"/>
        </w:rPr>
        <w:lastRenderedPageBreak/>
        <w:t xml:space="preserve">a comparison group of customers in other Aqua rate divisions.  TLPOA submits that Treasure Lake customers will receive significantly larger increases than customers in each of these other rate divisions.  For example, </w:t>
      </w:r>
      <w:r w:rsidRPr="00892425">
        <w:rPr>
          <w:sz w:val="26"/>
          <w:szCs w:val="26"/>
        </w:rPr>
        <w:t xml:space="preserve">TLPOA points out that, in contrast, </w:t>
      </w:r>
      <w:r w:rsidR="00563DAC">
        <w:rPr>
          <w:sz w:val="26"/>
          <w:szCs w:val="26"/>
        </w:rPr>
        <w:t xml:space="preserve">the monthly customer charge for a </w:t>
      </w:r>
      <w:r w:rsidRPr="00892425">
        <w:rPr>
          <w:sz w:val="26"/>
          <w:szCs w:val="26"/>
        </w:rPr>
        <w:t>residential water customer residing in Aqua’s Main Division</w:t>
      </w:r>
      <w:r w:rsidR="00A1663F" w:rsidRPr="00892425">
        <w:rPr>
          <w:rStyle w:val="FootnoteReference"/>
          <w:sz w:val="26"/>
          <w:szCs w:val="26"/>
        </w:rPr>
        <w:footnoteReference w:id="10"/>
      </w:r>
      <w:r w:rsidRPr="00892425">
        <w:rPr>
          <w:sz w:val="26"/>
          <w:szCs w:val="26"/>
        </w:rPr>
        <w:t xml:space="preserve"> will increase by just 4.65%.  TLPOA also submits that Treasure Lake customers will be disproportionately impacted by an increase in usage charges</w:t>
      </w:r>
      <w:r w:rsidR="00ED3342" w:rsidRPr="00892425">
        <w:rPr>
          <w:sz w:val="26"/>
          <w:szCs w:val="26"/>
        </w:rPr>
        <w:t xml:space="preserve">.  For example, TLPOA argues that a Treasure Lake customer using 4,000 gallons of water per month will experience an increase of </w:t>
      </w:r>
      <w:r w:rsidRPr="00892425">
        <w:rPr>
          <w:sz w:val="26"/>
          <w:szCs w:val="26"/>
        </w:rPr>
        <w:t xml:space="preserve"> 47.55% compared to a 9.42% increase for customers in Aqua’s </w:t>
      </w:r>
      <w:r w:rsidR="00895CDE" w:rsidRPr="00892425">
        <w:rPr>
          <w:sz w:val="26"/>
          <w:szCs w:val="26"/>
        </w:rPr>
        <w:t>M</w:t>
      </w:r>
      <w:r w:rsidRPr="00892425">
        <w:rPr>
          <w:sz w:val="26"/>
          <w:szCs w:val="26"/>
        </w:rPr>
        <w:t xml:space="preserve">ain </w:t>
      </w:r>
      <w:r w:rsidR="00895CDE" w:rsidRPr="00892425">
        <w:rPr>
          <w:sz w:val="26"/>
          <w:szCs w:val="26"/>
        </w:rPr>
        <w:t>D</w:t>
      </w:r>
      <w:r w:rsidRPr="00892425">
        <w:rPr>
          <w:sz w:val="26"/>
          <w:szCs w:val="26"/>
        </w:rPr>
        <w:t xml:space="preserve">ivision.  TLPOA submits that the </w:t>
      </w:r>
      <w:r w:rsidR="00634F96">
        <w:rPr>
          <w:sz w:val="26"/>
          <w:szCs w:val="26"/>
        </w:rPr>
        <w:t>Joint Settlement</w:t>
      </w:r>
      <w:r w:rsidRPr="00892425">
        <w:rPr>
          <w:sz w:val="26"/>
          <w:szCs w:val="26"/>
        </w:rPr>
        <w:t xml:space="preserve"> will also result in disproportionate increases to the monthly customer charge and monthly usage charges for wastewater customers residing in Treasure Lake</w:t>
      </w:r>
      <w:r w:rsidR="00A1663F" w:rsidRPr="00892425">
        <w:rPr>
          <w:sz w:val="26"/>
          <w:szCs w:val="26"/>
        </w:rPr>
        <w:t>, compared to customers in other Aqua rate divisions</w:t>
      </w:r>
      <w:r w:rsidRPr="00892425">
        <w:rPr>
          <w:sz w:val="26"/>
          <w:szCs w:val="26"/>
        </w:rPr>
        <w:t>.</w:t>
      </w:r>
      <w:r w:rsidR="00A1663F" w:rsidRPr="00892425">
        <w:rPr>
          <w:rStyle w:val="FootnoteReference"/>
          <w:sz w:val="26"/>
          <w:szCs w:val="26"/>
        </w:rPr>
        <w:footnoteReference w:id="11"/>
      </w:r>
      <w:r w:rsidRPr="00892425">
        <w:rPr>
          <w:sz w:val="26"/>
          <w:szCs w:val="26"/>
        </w:rPr>
        <w:t xml:space="preserve">  TLPOA contends that if the </w:t>
      </w:r>
      <w:r w:rsidR="00634F96">
        <w:rPr>
          <w:sz w:val="26"/>
          <w:szCs w:val="26"/>
        </w:rPr>
        <w:t>Joint Settlement</w:t>
      </w:r>
      <w:r w:rsidRPr="00892425">
        <w:rPr>
          <w:sz w:val="26"/>
          <w:szCs w:val="26"/>
        </w:rPr>
        <w:t xml:space="preserve"> is approved, such immediate, significant, and disproportionate increases will result in rate shock for Treasure Lake’s customers, in violation of the principles of gradualism described in </w:t>
      </w:r>
      <w:r w:rsidRPr="00892425">
        <w:rPr>
          <w:i/>
          <w:sz w:val="26"/>
          <w:szCs w:val="26"/>
        </w:rPr>
        <w:t xml:space="preserve">Lloyd. </w:t>
      </w:r>
      <w:r w:rsidRPr="00892425">
        <w:rPr>
          <w:sz w:val="26"/>
          <w:szCs w:val="26"/>
        </w:rPr>
        <w:t xml:space="preserve"> Therefore, TLPOA argues that the Commission should modify the </w:t>
      </w:r>
      <w:r w:rsidR="00634F96">
        <w:rPr>
          <w:sz w:val="26"/>
          <w:szCs w:val="26"/>
        </w:rPr>
        <w:t>Joint Settlement</w:t>
      </w:r>
      <w:r w:rsidRPr="00892425">
        <w:rPr>
          <w:sz w:val="26"/>
          <w:szCs w:val="26"/>
        </w:rPr>
        <w:t xml:space="preserve"> to produce rates that are consistent with the principles of gradualism.  TLPOA Exc. at 3-7.</w:t>
      </w:r>
    </w:p>
    <w:p w14:paraId="5AF34B39" w14:textId="4299A857" w:rsidR="004C1EAD" w:rsidRPr="00892425" w:rsidRDefault="004C1EAD" w:rsidP="002C4EC5">
      <w:pPr>
        <w:ind w:firstLine="1440"/>
        <w:contextualSpacing/>
        <w:rPr>
          <w:sz w:val="26"/>
          <w:szCs w:val="26"/>
        </w:rPr>
      </w:pPr>
    </w:p>
    <w:p w14:paraId="5A48934C" w14:textId="4AB0E28D" w:rsidR="003A04EC" w:rsidRPr="00892425" w:rsidRDefault="003A04EC" w:rsidP="002C4EC5">
      <w:pPr>
        <w:ind w:firstLine="1440"/>
        <w:contextualSpacing/>
        <w:rPr>
          <w:sz w:val="26"/>
          <w:szCs w:val="26"/>
        </w:rPr>
      </w:pPr>
      <w:r w:rsidRPr="00892425">
        <w:rPr>
          <w:sz w:val="26"/>
          <w:szCs w:val="26"/>
        </w:rPr>
        <w:t xml:space="preserve">In its </w:t>
      </w:r>
      <w:r w:rsidR="00011EB5">
        <w:rPr>
          <w:sz w:val="26"/>
          <w:szCs w:val="26"/>
        </w:rPr>
        <w:t>R</w:t>
      </w:r>
      <w:r w:rsidRPr="00892425">
        <w:rPr>
          <w:sz w:val="26"/>
          <w:szCs w:val="26"/>
        </w:rPr>
        <w:t xml:space="preserve">eply to TLPOA’s Exceptions, Aqua emphasizes that TLPOA did not submit any testimony or exhibits in this proceeding, nor did it file any briefs or lodge any objection to the </w:t>
      </w:r>
      <w:r w:rsidR="00634F96">
        <w:rPr>
          <w:sz w:val="26"/>
          <w:szCs w:val="26"/>
        </w:rPr>
        <w:t>Joint Settlement</w:t>
      </w:r>
      <w:r w:rsidRPr="00892425">
        <w:rPr>
          <w:sz w:val="26"/>
          <w:szCs w:val="26"/>
        </w:rPr>
        <w:t xml:space="preserve">.  Rather, Aqua points out that TLPOA’s bill comparisons and associated arguments were presented for the first time in TLPOA’s </w:t>
      </w:r>
      <w:r w:rsidRPr="00892425">
        <w:rPr>
          <w:sz w:val="26"/>
          <w:szCs w:val="26"/>
        </w:rPr>
        <w:lastRenderedPageBreak/>
        <w:t xml:space="preserve">Exceptions and are </w:t>
      </w:r>
      <w:r w:rsidR="00372B28">
        <w:rPr>
          <w:sz w:val="26"/>
          <w:szCs w:val="26"/>
        </w:rPr>
        <w:t xml:space="preserve">not </w:t>
      </w:r>
      <w:r w:rsidRPr="00892425">
        <w:rPr>
          <w:sz w:val="26"/>
          <w:szCs w:val="26"/>
        </w:rPr>
        <w:t>part of the record in this proceeding.  Therefore, Aqua submits that, for this reason alone, TLPOA’s Exceptions should be denied.  Aqua R. Exc</w:t>
      </w:r>
      <w:r w:rsidR="00EA4F36">
        <w:rPr>
          <w:sz w:val="26"/>
          <w:szCs w:val="26"/>
        </w:rPr>
        <w:t>.</w:t>
      </w:r>
      <w:r w:rsidRPr="00892425">
        <w:rPr>
          <w:sz w:val="26"/>
          <w:szCs w:val="26"/>
        </w:rPr>
        <w:t xml:space="preserve"> at 4-5, 13-14.  </w:t>
      </w:r>
      <w:r w:rsidR="008B79CA">
        <w:rPr>
          <w:sz w:val="26"/>
          <w:szCs w:val="26"/>
        </w:rPr>
        <w:t xml:space="preserve">Nevertheless, </w:t>
      </w:r>
      <w:r w:rsidRPr="00892425">
        <w:rPr>
          <w:sz w:val="26"/>
          <w:szCs w:val="26"/>
        </w:rPr>
        <w:t>Aqua rebuts TLPOA’s</w:t>
      </w:r>
      <w:r w:rsidR="008B79CA">
        <w:rPr>
          <w:sz w:val="26"/>
          <w:szCs w:val="26"/>
        </w:rPr>
        <w:t xml:space="preserve"> specific</w:t>
      </w:r>
      <w:r w:rsidRPr="00892425">
        <w:rPr>
          <w:sz w:val="26"/>
          <w:szCs w:val="26"/>
        </w:rPr>
        <w:t xml:space="preserve"> arguments as set forth below.</w:t>
      </w:r>
    </w:p>
    <w:p w14:paraId="2D47AB1E" w14:textId="77777777" w:rsidR="003A04EC" w:rsidRPr="00892425" w:rsidRDefault="003A04EC" w:rsidP="002C4EC5">
      <w:pPr>
        <w:ind w:firstLine="1440"/>
        <w:contextualSpacing/>
        <w:rPr>
          <w:sz w:val="26"/>
          <w:szCs w:val="26"/>
        </w:rPr>
      </w:pPr>
    </w:p>
    <w:p w14:paraId="317C75F1" w14:textId="38A261C1" w:rsidR="003A04EC" w:rsidRPr="00892425" w:rsidRDefault="003A04EC" w:rsidP="002C4EC5">
      <w:pPr>
        <w:ind w:firstLine="1440"/>
        <w:contextualSpacing/>
        <w:rPr>
          <w:sz w:val="26"/>
          <w:szCs w:val="26"/>
        </w:rPr>
      </w:pPr>
      <w:r w:rsidRPr="00892425">
        <w:rPr>
          <w:sz w:val="26"/>
          <w:szCs w:val="26"/>
        </w:rPr>
        <w:t xml:space="preserve">Aqua explains that the customers on whose behalf TLPOA has intervened in this proceeding are part of Aqua’s Treasure Lake rate division, which encompasses the Treasure Lake community.  Aqua states that it acquired the Treasure Lake water and wastewater systems in 2013 from Total Environmental Solutions, Inc. (TES).  According to Aqua, because Treasure Lake’s water and wastewater facilities were troubled systems when Aqua acquired them, Aqua had to invest $27 million to replace and rehabilitate those systems’ seriously degraded water and wastewater infrastructure in order to restore reasonable water and wastewater service to the residents of that community.  Aqua emphasizes that it has not increased its base rates for its water or wastewater services since acquiring ownership of the Treasure Lake systems in 2013.  Further, Aqua asserts that Treasure Lake’s customers have not received </w:t>
      </w:r>
      <w:r w:rsidRPr="00892425">
        <w:rPr>
          <w:i/>
          <w:sz w:val="26"/>
          <w:szCs w:val="26"/>
        </w:rPr>
        <w:t>any</w:t>
      </w:r>
      <w:r w:rsidRPr="00892425">
        <w:rPr>
          <w:sz w:val="26"/>
          <w:szCs w:val="26"/>
        </w:rPr>
        <w:t xml:space="preserve"> increase to their water and wastewater rates since TES last increased such rates in 2011 in </w:t>
      </w:r>
      <w:r w:rsidRPr="00892425">
        <w:rPr>
          <w:i/>
          <w:sz w:val="26"/>
          <w:szCs w:val="26"/>
        </w:rPr>
        <w:t>Pa. PUC et al. v. Total Environmental Solutions, Inc. – Water and Wastewater Divisions</w:t>
      </w:r>
      <w:r w:rsidRPr="00892425">
        <w:rPr>
          <w:sz w:val="26"/>
          <w:szCs w:val="26"/>
        </w:rPr>
        <w:t>, Docket Nos. R</w:t>
      </w:r>
      <w:r w:rsidRPr="00892425">
        <w:rPr>
          <w:sz w:val="26"/>
          <w:szCs w:val="26"/>
        </w:rPr>
        <w:noBreakHyphen/>
        <w:t>2010</w:t>
      </w:r>
      <w:r w:rsidRPr="00892425">
        <w:rPr>
          <w:sz w:val="26"/>
          <w:szCs w:val="26"/>
        </w:rPr>
        <w:noBreakHyphen/>
        <w:t xml:space="preserve">2171918, R-2010-2171924, </w:t>
      </w:r>
      <w:r w:rsidRPr="00892425">
        <w:rPr>
          <w:i/>
          <w:sz w:val="26"/>
          <w:szCs w:val="26"/>
        </w:rPr>
        <w:t xml:space="preserve">et al. </w:t>
      </w:r>
      <w:r w:rsidRPr="00892425">
        <w:rPr>
          <w:sz w:val="26"/>
          <w:szCs w:val="26"/>
        </w:rPr>
        <w:t>(Order entered Mar. 17, 2011) (</w:t>
      </w:r>
      <w:r w:rsidRPr="00892425">
        <w:rPr>
          <w:i/>
          <w:sz w:val="26"/>
          <w:szCs w:val="26"/>
        </w:rPr>
        <w:t>2011 TES Order</w:t>
      </w:r>
      <w:r w:rsidRPr="00892425">
        <w:rPr>
          <w:sz w:val="26"/>
          <w:szCs w:val="26"/>
        </w:rPr>
        <w:t>).  Aqua R. Exc. at 3-4.</w:t>
      </w:r>
    </w:p>
    <w:p w14:paraId="0EC56270" w14:textId="77777777" w:rsidR="003A04EC" w:rsidRPr="00892425" w:rsidRDefault="003A04EC" w:rsidP="002C4EC5">
      <w:pPr>
        <w:ind w:firstLine="1440"/>
        <w:contextualSpacing/>
        <w:rPr>
          <w:sz w:val="26"/>
          <w:szCs w:val="26"/>
        </w:rPr>
      </w:pPr>
    </w:p>
    <w:p w14:paraId="455E2BE4" w14:textId="42AB65EB" w:rsidR="003A04EC" w:rsidRPr="00892425" w:rsidRDefault="003A04EC" w:rsidP="002C4EC5">
      <w:pPr>
        <w:ind w:firstLine="1440"/>
        <w:contextualSpacing/>
        <w:rPr>
          <w:sz w:val="26"/>
          <w:szCs w:val="26"/>
        </w:rPr>
      </w:pPr>
      <w:r w:rsidRPr="00892425">
        <w:rPr>
          <w:sz w:val="26"/>
          <w:szCs w:val="26"/>
        </w:rPr>
        <w:t>Aqua takes the position that Treasure Lake’s customers have no rational basis to expect that they will be exempt from future rate increases that are necessary to move their revenues closer to the cost of service, especially in light of the significant improvements Aqua made after acquiring Treasure Lake’s water and wastewater system.  Aqua points out that the current rates paid by customers in the Treasure Lake rate division are far less than their cost of service</w:t>
      </w:r>
      <w:r w:rsidR="008B79CA">
        <w:rPr>
          <w:sz w:val="26"/>
          <w:szCs w:val="26"/>
        </w:rPr>
        <w:t>,</w:t>
      </w:r>
      <w:r w:rsidRPr="00892425">
        <w:rPr>
          <w:sz w:val="26"/>
          <w:szCs w:val="26"/>
        </w:rPr>
        <w:t xml:space="preserve"> and </w:t>
      </w:r>
      <w:r w:rsidR="008B79CA">
        <w:rPr>
          <w:sz w:val="26"/>
          <w:szCs w:val="26"/>
        </w:rPr>
        <w:t>the rates for Treasure Lake customers will continue to be less than their cost of service even under the Joint Settlement rates.</w:t>
      </w:r>
      <w:r w:rsidRPr="00892425">
        <w:rPr>
          <w:sz w:val="26"/>
          <w:szCs w:val="26"/>
        </w:rPr>
        <w:t xml:space="preserve">  Aqua avers that </w:t>
      </w:r>
      <w:r w:rsidR="008B79CA">
        <w:rPr>
          <w:sz w:val="26"/>
          <w:szCs w:val="26"/>
        </w:rPr>
        <w:t xml:space="preserve">in determining the applicable rates for its customers, </w:t>
      </w:r>
      <w:r w:rsidRPr="00892425">
        <w:rPr>
          <w:sz w:val="26"/>
          <w:szCs w:val="26"/>
        </w:rPr>
        <w:t>the Joint Petitioners balance</w:t>
      </w:r>
      <w:r w:rsidR="008B79CA">
        <w:rPr>
          <w:sz w:val="26"/>
          <w:szCs w:val="26"/>
        </w:rPr>
        <w:t>d</w:t>
      </w:r>
      <w:r w:rsidRPr="00892425">
        <w:rPr>
          <w:sz w:val="26"/>
          <w:szCs w:val="26"/>
        </w:rPr>
        <w:t xml:space="preserve"> the interests of all of Aqua’s customers s</w:t>
      </w:r>
      <w:r w:rsidR="009E72B7">
        <w:rPr>
          <w:sz w:val="26"/>
          <w:szCs w:val="26"/>
        </w:rPr>
        <w:t xml:space="preserve">o </w:t>
      </w:r>
      <w:r w:rsidRPr="00892425">
        <w:rPr>
          <w:sz w:val="26"/>
          <w:szCs w:val="26"/>
        </w:rPr>
        <w:t xml:space="preserve">that </w:t>
      </w:r>
      <w:r w:rsidR="009E72B7">
        <w:rPr>
          <w:sz w:val="26"/>
          <w:szCs w:val="26"/>
        </w:rPr>
        <w:t xml:space="preserve">non-Treasure Lake customers </w:t>
      </w:r>
      <w:r w:rsidR="009E72B7">
        <w:rPr>
          <w:sz w:val="26"/>
          <w:szCs w:val="26"/>
        </w:rPr>
        <w:lastRenderedPageBreak/>
        <w:t xml:space="preserve">will not have to </w:t>
      </w:r>
      <w:r w:rsidRPr="00892425">
        <w:rPr>
          <w:sz w:val="26"/>
          <w:szCs w:val="26"/>
        </w:rPr>
        <w:t xml:space="preserve">bear unreasonable subsidies simply to moderate the </w:t>
      </w:r>
      <w:r w:rsidR="009E72B7">
        <w:rPr>
          <w:sz w:val="26"/>
          <w:szCs w:val="26"/>
        </w:rPr>
        <w:t xml:space="preserve">rate </w:t>
      </w:r>
      <w:r w:rsidRPr="00892425">
        <w:rPr>
          <w:sz w:val="26"/>
          <w:szCs w:val="26"/>
        </w:rPr>
        <w:t>increase</w:t>
      </w:r>
      <w:r w:rsidR="009E72B7">
        <w:rPr>
          <w:sz w:val="26"/>
          <w:szCs w:val="26"/>
        </w:rPr>
        <w:t>s</w:t>
      </w:r>
      <w:r w:rsidRPr="00892425">
        <w:rPr>
          <w:sz w:val="26"/>
          <w:szCs w:val="26"/>
        </w:rPr>
        <w:t xml:space="preserve"> </w:t>
      </w:r>
      <w:r w:rsidR="009E72B7">
        <w:rPr>
          <w:sz w:val="26"/>
          <w:szCs w:val="26"/>
        </w:rPr>
        <w:t>to</w:t>
      </w:r>
      <w:r w:rsidRPr="00892425">
        <w:rPr>
          <w:sz w:val="26"/>
          <w:szCs w:val="26"/>
        </w:rPr>
        <w:t xml:space="preserve"> customers in the Treasure Lake rate division.  Aqua </w:t>
      </w:r>
      <w:r w:rsidR="009E72B7">
        <w:rPr>
          <w:sz w:val="26"/>
          <w:szCs w:val="26"/>
        </w:rPr>
        <w:t xml:space="preserve">therefore </w:t>
      </w:r>
      <w:r w:rsidRPr="00892425">
        <w:rPr>
          <w:sz w:val="26"/>
          <w:szCs w:val="26"/>
        </w:rPr>
        <w:t xml:space="preserve">submits that TLPOA’s reliance on </w:t>
      </w:r>
      <w:r w:rsidRPr="00892425">
        <w:rPr>
          <w:i/>
          <w:sz w:val="26"/>
          <w:szCs w:val="26"/>
        </w:rPr>
        <w:t>Lloyd</w:t>
      </w:r>
      <w:r w:rsidRPr="00892425">
        <w:rPr>
          <w:sz w:val="26"/>
          <w:szCs w:val="26"/>
        </w:rPr>
        <w:t xml:space="preserve"> to support its argument regarding gradualism and rate shock is inapposite</w:t>
      </w:r>
      <w:r w:rsidR="009E72B7">
        <w:rPr>
          <w:sz w:val="26"/>
          <w:szCs w:val="26"/>
        </w:rPr>
        <w:t xml:space="preserve"> because the Commonwealth Court held in </w:t>
      </w:r>
      <w:r w:rsidRPr="00892425">
        <w:rPr>
          <w:i/>
          <w:sz w:val="26"/>
          <w:szCs w:val="26"/>
        </w:rPr>
        <w:t>Lloyd</w:t>
      </w:r>
      <w:r w:rsidR="009E72B7">
        <w:rPr>
          <w:i/>
          <w:sz w:val="26"/>
          <w:szCs w:val="26"/>
        </w:rPr>
        <w:t xml:space="preserve"> </w:t>
      </w:r>
      <w:r w:rsidR="009E72B7">
        <w:rPr>
          <w:sz w:val="26"/>
          <w:szCs w:val="26"/>
        </w:rPr>
        <w:t xml:space="preserve">that </w:t>
      </w:r>
      <w:r w:rsidRPr="00892425">
        <w:rPr>
          <w:sz w:val="26"/>
          <w:szCs w:val="26"/>
        </w:rPr>
        <w:t xml:space="preserve">the cost of providing service is the “polestar” of ratemaking.  As such, Aqua asserts that </w:t>
      </w:r>
      <w:r w:rsidRPr="00892425">
        <w:rPr>
          <w:i/>
          <w:sz w:val="26"/>
          <w:szCs w:val="26"/>
        </w:rPr>
        <w:t xml:space="preserve">Lloyd </w:t>
      </w:r>
      <w:r w:rsidRPr="00892425">
        <w:rPr>
          <w:sz w:val="26"/>
          <w:szCs w:val="26"/>
        </w:rPr>
        <w:t xml:space="preserve">did not give the Commission unbounded discretion to perpetuate disparities between rates and cost of service based on “gradualism.”  Further, Aqua notes that while TLPOA contends that the </w:t>
      </w:r>
      <w:r w:rsidR="00634F96">
        <w:rPr>
          <w:sz w:val="26"/>
          <w:szCs w:val="26"/>
        </w:rPr>
        <w:t>Joint Settlement</w:t>
      </w:r>
      <w:r w:rsidRPr="00892425">
        <w:rPr>
          <w:sz w:val="26"/>
          <w:szCs w:val="26"/>
        </w:rPr>
        <w:t xml:space="preserve"> Rates for the Treasure Lake rate division are not consistent with the principles of gradualism, TLPOA </w:t>
      </w:r>
      <w:r w:rsidR="000A0DD8">
        <w:rPr>
          <w:sz w:val="26"/>
          <w:szCs w:val="26"/>
        </w:rPr>
        <w:t xml:space="preserve">never </w:t>
      </w:r>
      <w:r w:rsidRPr="00892425">
        <w:rPr>
          <w:sz w:val="26"/>
          <w:szCs w:val="26"/>
        </w:rPr>
        <w:t>specified or support</w:t>
      </w:r>
      <w:r w:rsidR="00415883">
        <w:rPr>
          <w:sz w:val="26"/>
          <w:szCs w:val="26"/>
        </w:rPr>
        <w:t>ed</w:t>
      </w:r>
      <w:r w:rsidRPr="00892425">
        <w:rPr>
          <w:sz w:val="26"/>
          <w:szCs w:val="26"/>
        </w:rPr>
        <w:t xml:space="preserve"> what it believes would be the appropriate rates.  Aqua R. Exc.at 7-13, 17-18.</w:t>
      </w:r>
    </w:p>
    <w:p w14:paraId="48C6B56D" w14:textId="77777777" w:rsidR="003A04EC" w:rsidRPr="00892425" w:rsidRDefault="003A04EC" w:rsidP="002C4EC5">
      <w:pPr>
        <w:ind w:firstLine="1440"/>
        <w:contextualSpacing/>
        <w:rPr>
          <w:sz w:val="26"/>
          <w:szCs w:val="26"/>
        </w:rPr>
      </w:pPr>
    </w:p>
    <w:p w14:paraId="0A2AEA25" w14:textId="467EAC27" w:rsidR="003A04EC" w:rsidRPr="00892425" w:rsidRDefault="003A04EC" w:rsidP="002C4EC5">
      <w:pPr>
        <w:ind w:firstLine="1440"/>
        <w:contextualSpacing/>
        <w:rPr>
          <w:sz w:val="26"/>
          <w:szCs w:val="26"/>
        </w:rPr>
      </w:pPr>
      <w:r w:rsidRPr="00892425">
        <w:rPr>
          <w:sz w:val="26"/>
          <w:szCs w:val="26"/>
        </w:rPr>
        <w:t xml:space="preserve">Aqua also argues that TLPOA’s focus on the percent increase to the bills of customers in the Treasure Lake rate division vis-a-vis customers in certain of Aqua’s other rate divisions is misleading.  More specifically, Aqua points out that TLPOA provides both dollars-and-cents increases and percent increases under present and </w:t>
      </w:r>
      <w:r w:rsidR="00634F96">
        <w:rPr>
          <w:sz w:val="26"/>
          <w:szCs w:val="26"/>
        </w:rPr>
        <w:t>Joint Settlement</w:t>
      </w:r>
      <w:r w:rsidRPr="00892425">
        <w:rPr>
          <w:sz w:val="26"/>
          <w:szCs w:val="26"/>
        </w:rPr>
        <w:t xml:space="preserve"> rates for customers in the Treasure Lake rate divisions, but only provides percent increases for customers in the other rate divisions in its comparison group.  Aqua asserts that when the dollars-and-cents monthly bills for the Treasure Lake rate division </w:t>
      </w:r>
      <w:r w:rsidRPr="00892425">
        <w:rPr>
          <w:i/>
          <w:sz w:val="26"/>
          <w:szCs w:val="26"/>
        </w:rPr>
        <w:t xml:space="preserve">and </w:t>
      </w:r>
      <w:r w:rsidRPr="00892425">
        <w:rPr>
          <w:sz w:val="26"/>
          <w:szCs w:val="26"/>
        </w:rPr>
        <w:t xml:space="preserve">the other rate divisions mentioned by TLPOA in its comparison group are examined, as set forth in Appendix D to the </w:t>
      </w:r>
      <w:r w:rsidR="00634F96">
        <w:rPr>
          <w:sz w:val="26"/>
          <w:szCs w:val="26"/>
        </w:rPr>
        <w:t>Joint Settlement</w:t>
      </w:r>
      <w:r w:rsidRPr="00892425">
        <w:rPr>
          <w:sz w:val="26"/>
          <w:szCs w:val="26"/>
        </w:rPr>
        <w:t>,</w:t>
      </w:r>
      <w:r w:rsidRPr="00892425">
        <w:rPr>
          <w:sz w:val="26"/>
          <w:szCs w:val="26"/>
          <w:vertAlign w:val="superscript"/>
        </w:rPr>
        <w:footnoteReference w:id="12"/>
      </w:r>
      <w:r w:rsidRPr="00892425">
        <w:rPr>
          <w:sz w:val="26"/>
          <w:szCs w:val="26"/>
        </w:rPr>
        <w:t xml:space="preserve"> it is clear that the rate divisions TLPOA claims would have lower percentage increases will, in all but one instance, pay higher bills than those of Treasure Lake, both under present and </w:t>
      </w:r>
      <w:r w:rsidR="00634F96">
        <w:rPr>
          <w:sz w:val="26"/>
          <w:szCs w:val="26"/>
        </w:rPr>
        <w:t>Joint Settlement</w:t>
      </w:r>
      <w:r w:rsidRPr="00892425">
        <w:rPr>
          <w:sz w:val="26"/>
          <w:szCs w:val="26"/>
        </w:rPr>
        <w:t xml:space="preserve"> </w:t>
      </w:r>
      <w:r w:rsidR="00FB4001" w:rsidRPr="00892425">
        <w:rPr>
          <w:sz w:val="26"/>
          <w:szCs w:val="26"/>
        </w:rPr>
        <w:t>R</w:t>
      </w:r>
      <w:r w:rsidRPr="00892425">
        <w:rPr>
          <w:sz w:val="26"/>
          <w:szCs w:val="26"/>
        </w:rPr>
        <w:t>ates</w:t>
      </w:r>
      <w:r w:rsidR="00FB4001" w:rsidRPr="00892425">
        <w:rPr>
          <w:sz w:val="26"/>
          <w:szCs w:val="26"/>
        </w:rPr>
        <w:t xml:space="preserve">.  </w:t>
      </w:r>
      <w:r w:rsidR="00B567CA" w:rsidRPr="00892425">
        <w:rPr>
          <w:sz w:val="26"/>
          <w:szCs w:val="26"/>
        </w:rPr>
        <w:t>In addition</w:t>
      </w:r>
      <w:r w:rsidRPr="00892425">
        <w:rPr>
          <w:sz w:val="26"/>
          <w:szCs w:val="26"/>
        </w:rPr>
        <w:t xml:space="preserve">, Aqua stresses that even the 47.61% increase in the monthly bills of Treasure Lake’s residential water customers and the 23.15% increase in the monthly bills of </w:t>
      </w:r>
      <w:r w:rsidRPr="00892425">
        <w:rPr>
          <w:sz w:val="26"/>
          <w:szCs w:val="26"/>
        </w:rPr>
        <w:lastRenderedPageBreak/>
        <w:t xml:space="preserve">Treasure Lake’s residential wastewater customers, as set forth in the </w:t>
      </w:r>
      <w:r w:rsidR="00634F96">
        <w:rPr>
          <w:sz w:val="26"/>
          <w:szCs w:val="26"/>
        </w:rPr>
        <w:t>Joint Settlement</w:t>
      </w:r>
      <w:r w:rsidRPr="00892425">
        <w:rPr>
          <w:sz w:val="26"/>
          <w:szCs w:val="26"/>
        </w:rPr>
        <w:t xml:space="preserve">, are materially less than the 58.4% increase the Commission approved for the monthly bills of Treasure Lake’s residential water customers in Treasure Lake’s last base rate case, as set forth in the </w:t>
      </w:r>
      <w:r w:rsidRPr="00892425">
        <w:rPr>
          <w:i/>
          <w:sz w:val="26"/>
          <w:szCs w:val="26"/>
        </w:rPr>
        <w:t>2011 TES Order.</w:t>
      </w:r>
      <w:r w:rsidRPr="00892425">
        <w:rPr>
          <w:sz w:val="26"/>
          <w:szCs w:val="26"/>
        </w:rPr>
        <w:t xml:space="preserve">  Therefore, Aqua insists that the Commission has already determined in a prior proceeding, with specific reference to residential customers in the Treasure Lake rate division, that an increase of 58.4% does not violate the principle of gradualism.  Aqua R. Exc. at 14-16.</w:t>
      </w:r>
    </w:p>
    <w:p w14:paraId="3BBD8F7B" w14:textId="77777777" w:rsidR="00547481" w:rsidRPr="00892425" w:rsidRDefault="00547481" w:rsidP="002C4EC5">
      <w:pPr>
        <w:ind w:firstLine="1440"/>
        <w:contextualSpacing/>
        <w:rPr>
          <w:sz w:val="26"/>
          <w:szCs w:val="26"/>
        </w:rPr>
      </w:pPr>
    </w:p>
    <w:p w14:paraId="723647CF" w14:textId="608E9227" w:rsidR="00547481" w:rsidRPr="00892425" w:rsidRDefault="00547481" w:rsidP="002C4EC5">
      <w:pPr>
        <w:pStyle w:val="Heading5"/>
        <w:ind w:left="2880" w:hanging="720"/>
        <w:contextualSpacing/>
        <w:jc w:val="left"/>
      </w:pPr>
      <w:r w:rsidRPr="00892425">
        <w:t>b.</w:t>
      </w:r>
      <w:r w:rsidRPr="00892425">
        <w:tab/>
        <w:t>Mr. Curtius’ Exceptions and Aqua’s Replies</w:t>
      </w:r>
    </w:p>
    <w:p w14:paraId="276DC025" w14:textId="77777777" w:rsidR="00547481" w:rsidRPr="00892425" w:rsidRDefault="00547481" w:rsidP="002C4EC5">
      <w:pPr>
        <w:keepNext/>
        <w:keepLines/>
        <w:ind w:firstLine="1440"/>
        <w:contextualSpacing/>
        <w:rPr>
          <w:sz w:val="26"/>
          <w:szCs w:val="26"/>
        </w:rPr>
      </w:pPr>
    </w:p>
    <w:p w14:paraId="14DB19E5" w14:textId="6BA33E27" w:rsidR="00814588" w:rsidRPr="00892425" w:rsidRDefault="00814588" w:rsidP="002C4EC5">
      <w:pPr>
        <w:ind w:firstLine="1440"/>
        <w:contextualSpacing/>
        <w:rPr>
          <w:sz w:val="26"/>
          <w:szCs w:val="26"/>
        </w:rPr>
      </w:pPr>
      <w:r w:rsidRPr="00892425">
        <w:rPr>
          <w:sz w:val="26"/>
          <w:szCs w:val="26"/>
        </w:rPr>
        <w:t xml:space="preserve">In his Exceptions, Mr. Curtius takes issue with the ALJs’ recommendation that the </w:t>
      </w:r>
      <w:r w:rsidR="00634F96">
        <w:rPr>
          <w:sz w:val="26"/>
          <w:szCs w:val="26"/>
        </w:rPr>
        <w:t>Joint Settlement</w:t>
      </w:r>
      <w:r w:rsidRPr="00892425">
        <w:rPr>
          <w:sz w:val="26"/>
          <w:szCs w:val="26"/>
        </w:rPr>
        <w:t xml:space="preserve"> be approved without modification.  Mr. Curtius remains of the opinion that Aqua should not be permitted to allocate a portion of its wastewater revenue requirement to its water customers.  Mr. Curtius avers that he obtains his wastewater service from the Philadelphia Water Company, and not Aqua.  As such, Mr. Curtius submits that permitting Aqua to bill a water customer for wastewater service is akin to the customer being double billed for the same service it receives from another provider.  According to Mr. Curtius, this is not in the public interest and is not the policy of the Commission.</w:t>
      </w:r>
    </w:p>
    <w:p w14:paraId="347D2043" w14:textId="77777777" w:rsidR="00814588" w:rsidRPr="00892425" w:rsidRDefault="00814588" w:rsidP="002C4EC5">
      <w:pPr>
        <w:ind w:firstLine="1440"/>
        <w:contextualSpacing/>
        <w:rPr>
          <w:sz w:val="26"/>
          <w:szCs w:val="26"/>
        </w:rPr>
      </w:pPr>
    </w:p>
    <w:p w14:paraId="17D3F9BA" w14:textId="1DA8969E" w:rsidR="00814588" w:rsidRDefault="00814588" w:rsidP="002C4EC5">
      <w:pPr>
        <w:ind w:firstLine="1440"/>
        <w:contextualSpacing/>
        <w:rPr>
          <w:sz w:val="26"/>
          <w:szCs w:val="26"/>
        </w:rPr>
      </w:pPr>
      <w:r w:rsidRPr="00892425">
        <w:rPr>
          <w:sz w:val="26"/>
          <w:szCs w:val="26"/>
        </w:rPr>
        <w:t>In its Replies to the Exceptions of Mr. Curtius, Aqua stresses that Section 1311(c) of the Code expressly permits a water utility to allocate a portion of its wastewater revenue requirement to its water customers.  Aqua argues the Commission has previously approved water rates that reflect a portion of the utility’s wastewater requirement in other proceedings</w:t>
      </w:r>
      <w:r w:rsidR="00A52337">
        <w:rPr>
          <w:sz w:val="26"/>
          <w:szCs w:val="26"/>
        </w:rPr>
        <w:t xml:space="preserve"> and that </w:t>
      </w:r>
      <w:r w:rsidRPr="00892425">
        <w:rPr>
          <w:sz w:val="26"/>
          <w:szCs w:val="26"/>
        </w:rPr>
        <w:t xml:space="preserve">Mr. Curtius has not presented a valid basis to overturn the ALJs’ recommendation that the </w:t>
      </w:r>
      <w:r w:rsidR="00634F96">
        <w:rPr>
          <w:sz w:val="26"/>
          <w:szCs w:val="26"/>
        </w:rPr>
        <w:t>Joint Settlement</w:t>
      </w:r>
      <w:r w:rsidRPr="00892425">
        <w:rPr>
          <w:sz w:val="26"/>
          <w:szCs w:val="26"/>
        </w:rPr>
        <w:t xml:space="preserve"> be approved as filed.  Aqua avers that the fact that a diverse array of stakeholders, including all the statutory parties, support the </w:t>
      </w:r>
      <w:r w:rsidR="00634F96">
        <w:rPr>
          <w:sz w:val="26"/>
          <w:szCs w:val="26"/>
        </w:rPr>
        <w:t>Joint Settlement</w:t>
      </w:r>
      <w:r w:rsidRPr="00892425">
        <w:rPr>
          <w:sz w:val="26"/>
          <w:szCs w:val="26"/>
        </w:rPr>
        <w:t xml:space="preserve"> Rates is evidence that such rates are in the public interest.  Aqua R. Exc. at 18-19.</w:t>
      </w:r>
    </w:p>
    <w:p w14:paraId="67A6DC79" w14:textId="07650D30" w:rsidR="00630DDC" w:rsidRDefault="00630DDC" w:rsidP="002C4EC5">
      <w:pPr>
        <w:ind w:firstLine="1440"/>
        <w:contextualSpacing/>
        <w:rPr>
          <w:sz w:val="26"/>
          <w:szCs w:val="26"/>
        </w:rPr>
      </w:pPr>
    </w:p>
    <w:p w14:paraId="4AB7AE3F" w14:textId="33513128" w:rsidR="00630DDC" w:rsidRPr="00892425" w:rsidRDefault="00630DDC" w:rsidP="002C4EC5">
      <w:pPr>
        <w:ind w:firstLine="1440"/>
        <w:contextualSpacing/>
        <w:rPr>
          <w:sz w:val="26"/>
          <w:szCs w:val="26"/>
        </w:rPr>
      </w:pPr>
      <w:r>
        <w:rPr>
          <w:sz w:val="26"/>
          <w:szCs w:val="26"/>
        </w:rPr>
        <w:t>We will address the disposition of the Exceptions later in this Opinion and Order.</w:t>
      </w:r>
    </w:p>
    <w:p w14:paraId="02E50DCD" w14:textId="77777777" w:rsidR="00E46961" w:rsidRPr="00E70A0E" w:rsidRDefault="00E46961" w:rsidP="002C4EC5">
      <w:pPr>
        <w:spacing w:after="200"/>
        <w:contextualSpacing/>
        <w:rPr>
          <w:sz w:val="26"/>
          <w:szCs w:val="26"/>
        </w:rPr>
      </w:pPr>
    </w:p>
    <w:bookmarkEnd w:id="16"/>
    <w:p w14:paraId="01A1FB01" w14:textId="5E1252D0" w:rsidR="0045062E" w:rsidRPr="00892425" w:rsidRDefault="00187052" w:rsidP="002C4EC5">
      <w:pPr>
        <w:pStyle w:val="Heading2"/>
        <w:keepLines/>
        <w:ind w:left="1440" w:hanging="720"/>
        <w:contextualSpacing/>
      </w:pPr>
      <w:r w:rsidRPr="00892425">
        <w:t>B.</w:t>
      </w:r>
      <w:r w:rsidRPr="00892425">
        <w:tab/>
      </w:r>
      <w:r w:rsidR="0098356A">
        <w:t>Joint Merger Application</w:t>
      </w:r>
    </w:p>
    <w:p w14:paraId="3E270CA9" w14:textId="77777777" w:rsidR="00187052" w:rsidRPr="00892425" w:rsidRDefault="00187052" w:rsidP="002C4EC5">
      <w:pPr>
        <w:keepNext/>
        <w:keepLines/>
        <w:spacing w:after="200" w:line="276" w:lineRule="auto"/>
        <w:contextualSpacing/>
        <w:rPr>
          <w:sz w:val="26"/>
          <w:szCs w:val="26"/>
        </w:rPr>
      </w:pPr>
    </w:p>
    <w:p w14:paraId="7B1D8B2E" w14:textId="77777777" w:rsidR="00187052" w:rsidRPr="00892425" w:rsidRDefault="00187052" w:rsidP="002C4EC5">
      <w:pPr>
        <w:pStyle w:val="Heading4"/>
        <w:keepLines/>
        <w:ind w:left="2160" w:hanging="720"/>
        <w:contextualSpacing/>
        <w:jc w:val="left"/>
      </w:pPr>
      <w:r w:rsidRPr="00892425">
        <w:t>1.</w:t>
      </w:r>
      <w:r w:rsidRPr="00892425">
        <w:tab/>
        <w:t>Background</w:t>
      </w:r>
    </w:p>
    <w:p w14:paraId="69BB93D5" w14:textId="77777777" w:rsidR="00652930" w:rsidRPr="00892425" w:rsidRDefault="00652930" w:rsidP="002C4EC5">
      <w:pPr>
        <w:keepNext/>
        <w:keepLines/>
        <w:spacing w:after="200"/>
        <w:ind w:firstLine="1440"/>
        <w:contextualSpacing/>
        <w:rPr>
          <w:sz w:val="26"/>
          <w:szCs w:val="26"/>
        </w:rPr>
      </w:pPr>
    </w:p>
    <w:p w14:paraId="12F9266E" w14:textId="5B65935E" w:rsidR="00187052" w:rsidRPr="00892425" w:rsidRDefault="00720654" w:rsidP="002C4EC5">
      <w:pPr>
        <w:ind w:firstLine="1440"/>
        <w:contextualSpacing/>
        <w:rPr>
          <w:sz w:val="26"/>
          <w:szCs w:val="26"/>
        </w:rPr>
      </w:pPr>
      <w:r w:rsidRPr="00892425">
        <w:rPr>
          <w:sz w:val="26"/>
          <w:szCs w:val="26"/>
        </w:rPr>
        <w:t xml:space="preserve">Superior is a wholly owned subsidiary of Aqua, which Aqua acquired by a stock merger approved in </w:t>
      </w:r>
      <w:r w:rsidRPr="00892425">
        <w:rPr>
          <w:i/>
          <w:sz w:val="26"/>
          <w:szCs w:val="26"/>
        </w:rPr>
        <w:t>Joint Application of Aqua Pa., Inc. and Superior Water Co., Inc. for Approval of transfer and control by merger to Aqua Pa., Inc.</w:t>
      </w:r>
      <w:r w:rsidRPr="00892425">
        <w:rPr>
          <w:sz w:val="26"/>
          <w:szCs w:val="26"/>
        </w:rPr>
        <w:t>, Docket Nos. A</w:t>
      </w:r>
      <w:r w:rsidR="001D5B0A" w:rsidRPr="00892425">
        <w:rPr>
          <w:sz w:val="26"/>
          <w:szCs w:val="26"/>
        </w:rPr>
        <w:noBreakHyphen/>
      </w:r>
      <w:r w:rsidRPr="00892425">
        <w:rPr>
          <w:sz w:val="26"/>
          <w:szCs w:val="26"/>
        </w:rPr>
        <w:t>2015-2472472 and A</w:t>
      </w:r>
      <w:r w:rsidRPr="00892425">
        <w:rPr>
          <w:sz w:val="26"/>
          <w:szCs w:val="26"/>
        </w:rPr>
        <w:noBreakHyphen/>
        <w:t>2015-2472473 (Order entered September 17, 2015) (</w:t>
      </w:r>
      <w:r w:rsidRPr="00892425">
        <w:rPr>
          <w:i/>
          <w:sz w:val="26"/>
          <w:szCs w:val="26"/>
        </w:rPr>
        <w:t>September 2015 Order</w:t>
      </w:r>
      <w:r w:rsidRPr="00892425">
        <w:rPr>
          <w:sz w:val="26"/>
          <w:szCs w:val="26"/>
        </w:rPr>
        <w:t xml:space="preserve">).  Pursuant to the </w:t>
      </w:r>
      <w:r w:rsidRPr="00892425">
        <w:rPr>
          <w:i/>
          <w:sz w:val="26"/>
          <w:szCs w:val="26"/>
        </w:rPr>
        <w:t>September 2015 Order</w:t>
      </w:r>
      <w:r w:rsidRPr="00892425">
        <w:rPr>
          <w:sz w:val="26"/>
          <w:szCs w:val="26"/>
        </w:rPr>
        <w:t xml:space="preserve">, the acquisition was effective January 1, 2016.  </w:t>
      </w:r>
      <w:r w:rsidR="00C6360E">
        <w:rPr>
          <w:sz w:val="26"/>
          <w:szCs w:val="26"/>
        </w:rPr>
        <w:t xml:space="preserve">Superior currently </w:t>
      </w:r>
      <w:r w:rsidR="00C6360E" w:rsidRPr="00C6360E">
        <w:rPr>
          <w:sz w:val="26"/>
          <w:szCs w:val="26"/>
        </w:rPr>
        <w:t>offer</w:t>
      </w:r>
      <w:r w:rsidR="00C6360E">
        <w:rPr>
          <w:sz w:val="26"/>
          <w:szCs w:val="26"/>
        </w:rPr>
        <w:t>s</w:t>
      </w:r>
      <w:r w:rsidR="00C6360E" w:rsidRPr="00C6360E">
        <w:rPr>
          <w:sz w:val="26"/>
          <w:szCs w:val="26"/>
        </w:rPr>
        <w:t>, render</w:t>
      </w:r>
      <w:r w:rsidR="00C6360E">
        <w:rPr>
          <w:sz w:val="26"/>
          <w:szCs w:val="26"/>
        </w:rPr>
        <w:t>s</w:t>
      </w:r>
      <w:r w:rsidR="00C6360E" w:rsidRPr="00C6360E">
        <w:rPr>
          <w:sz w:val="26"/>
          <w:szCs w:val="26"/>
        </w:rPr>
        <w:t>,</w:t>
      </w:r>
      <w:r w:rsidR="00C6360E">
        <w:rPr>
          <w:sz w:val="26"/>
          <w:szCs w:val="26"/>
        </w:rPr>
        <w:t xml:space="preserve"> </w:t>
      </w:r>
      <w:r w:rsidR="00C6360E" w:rsidRPr="00C6360E">
        <w:rPr>
          <w:sz w:val="26"/>
          <w:szCs w:val="26"/>
        </w:rPr>
        <w:t>furnish</w:t>
      </w:r>
      <w:r w:rsidR="00C6360E">
        <w:rPr>
          <w:sz w:val="26"/>
          <w:szCs w:val="26"/>
        </w:rPr>
        <w:t>es</w:t>
      </w:r>
      <w:r w:rsidR="0074520B">
        <w:rPr>
          <w:sz w:val="26"/>
          <w:szCs w:val="26"/>
        </w:rPr>
        <w:t>,</w:t>
      </w:r>
      <w:r w:rsidR="00C6360E" w:rsidRPr="00C6360E">
        <w:rPr>
          <w:sz w:val="26"/>
          <w:szCs w:val="26"/>
        </w:rPr>
        <w:t xml:space="preserve"> and suppl</w:t>
      </w:r>
      <w:r w:rsidR="00C6360E">
        <w:rPr>
          <w:sz w:val="26"/>
          <w:szCs w:val="26"/>
        </w:rPr>
        <w:t>ies</w:t>
      </w:r>
      <w:r w:rsidR="00C6360E" w:rsidRPr="00C6360E">
        <w:rPr>
          <w:sz w:val="26"/>
          <w:szCs w:val="26"/>
        </w:rPr>
        <w:t xml:space="preserve"> water service in portions</w:t>
      </w:r>
      <w:r w:rsidR="00C6360E">
        <w:rPr>
          <w:sz w:val="26"/>
          <w:szCs w:val="26"/>
        </w:rPr>
        <w:t xml:space="preserve"> </w:t>
      </w:r>
      <w:r w:rsidR="00C6360E" w:rsidRPr="00C6360E">
        <w:rPr>
          <w:sz w:val="26"/>
          <w:szCs w:val="26"/>
        </w:rPr>
        <w:t>of Douglass, New Hanover, Lower</w:t>
      </w:r>
      <w:r w:rsidR="00C6360E">
        <w:rPr>
          <w:sz w:val="26"/>
          <w:szCs w:val="26"/>
        </w:rPr>
        <w:t xml:space="preserve"> </w:t>
      </w:r>
      <w:r w:rsidR="00C6360E" w:rsidRPr="00C6360E">
        <w:rPr>
          <w:sz w:val="26"/>
          <w:szCs w:val="26"/>
        </w:rPr>
        <w:t>Pottsgrove, Upper Frederick, Upper</w:t>
      </w:r>
      <w:r w:rsidR="00C6360E">
        <w:rPr>
          <w:sz w:val="26"/>
          <w:szCs w:val="26"/>
        </w:rPr>
        <w:t xml:space="preserve"> </w:t>
      </w:r>
      <w:r w:rsidR="00C6360E" w:rsidRPr="00C6360E">
        <w:rPr>
          <w:sz w:val="26"/>
          <w:szCs w:val="26"/>
        </w:rPr>
        <w:t>Pottsgrove and Worcester Townships,</w:t>
      </w:r>
      <w:r w:rsidR="00C6360E">
        <w:rPr>
          <w:sz w:val="26"/>
          <w:szCs w:val="26"/>
        </w:rPr>
        <w:t xml:space="preserve"> </w:t>
      </w:r>
      <w:r w:rsidR="00C6360E" w:rsidRPr="00C6360E">
        <w:rPr>
          <w:sz w:val="26"/>
          <w:szCs w:val="26"/>
        </w:rPr>
        <w:t>Montgomery County; North Coventry</w:t>
      </w:r>
      <w:r w:rsidR="00C6360E">
        <w:rPr>
          <w:sz w:val="26"/>
          <w:szCs w:val="26"/>
        </w:rPr>
        <w:t xml:space="preserve"> </w:t>
      </w:r>
      <w:r w:rsidR="00C6360E" w:rsidRPr="00C6360E">
        <w:rPr>
          <w:sz w:val="26"/>
          <w:szCs w:val="26"/>
        </w:rPr>
        <w:t>Township, Chester County; and Washington</w:t>
      </w:r>
      <w:r w:rsidR="00C6360E">
        <w:rPr>
          <w:sz w:val="26"/>
          <w:szCs w:val="26"/>
        </w:rPr>
        <w:t xml:space="preserve"> </w:t>
      </w:r>
      <w:r w:rsidR="00C6360E" w:rsidRPr="00C6360E">
        <w:rPr>
          <w:sz w:val="26"/>
          <w:szCs w:val="26"/>
        </w:rPr>
        <w:t>Township, Berks County</w:t>
      </w:r>
      <w:r w:rsidR="00C6360E">
        <w:rPr>
          <w:sz w:val="26"/>
          <w:szCs w:val="26"/>
        </w:rPr>
        <w:t>,</w:t>
      </w:r>
      <w:r w:rsidR="00C6360E" w:rsidRPr="00C6360E">
        <w:rPr>
          <w:sz w:val="26"/>
          <w:szCs w:val="26"/>
        </w:rPr>
        <w:t xml:space="preserve"> Pennsylvania</w:t>
      </w:r>
      <w:r w:rsidR="00C6360E">
        <w:rPr>
          <w:sz w:val="26"/>
          <w:szCs w:val="26"/>
        </w:rPr>
        <w:t xml:space="preserve">.  </w:t>
      </w:r>
      <w:r w:rsidRPr="00892425">
        <w:rPr>
          <w:sz w:val="26"/>
          <w:szCs w:val="26"/>
        </w:rPr>
        <w:t>In subsequent filings</w:t>
      </w:r>
      <w:r w:rsidR="0074520B">
        <w:rPr>
          <w:sz w:val="26"/>
          <w:szCs w:val="26"/>
        </w:rPr>
        <w:t xml:space="preserve"> with the Commission after the acquisition of Superior by Aqua Water</w:t>
      </w:r>
      <w:r w:rsidRPr="00892425">
        <w:rPr>
          <w:sz w:val="26"/>
          <w:szCs w:val="26"/>
        </w:rPr>
        <w:t xml:space="preserve">, Superior </w:t>
      </w:r>
      <w:r w:rsidR="0074520B">
        <w:rPr>
          <w:sz w:val="26"/>
          <w:szCs w:val="26"/>
        </w:rPr>
        <w:t xml:space="preserve">indicated that it would be merged into </w:t>
      </w:r>
      <w:r w:rsidRPr="00892425">
        <w:rPr>
          <w:sz w:val="26"/>
          <w:szCs w:val="26"/>
        </w:rPr>
        <w:t xml:space="preserve">Aqua </w:t>
      </w:r>
      <w:r w:rsidR="001D5B0A" w:rsidRPr="00892425">
        <w:rPr>
          <w:sz w:val="26"/>
          <w:szCs w:val="26"/>
        </w:rPr>
        <w:t>W</w:t>
      </w:r>
      <w:r w:rsidRPr="00892425">
        <w:rPr>
          <w:sz w:val="26"/>
          <w:szCs w:val="26"/>
        </w:rPr>
        <w:t xml:space="preserve">ater in </w:t>
      </w:r>
      <w:r w:rsidR="0074520B">
        <w:rPr>
          <w:sz w:val="26"/>
          <w:szCs w:val="26"/>
        </w:rPr>
        <w:t>their</w:t>
      </w:r>
      <w:r w:rsidRPr="00892425">
        <w:rPr>
          <w:sz w:val="26"/>
          <w:szCs w:val="26"/>
        </w:rPr>
        <w:t xml:space="preserve"> next base rate case proceeding.  Aqua provides certain services to Superior under Affiliated Interest Agreements on file with the Commission at Docket No. G</w:t>
      </w:r>
      <w:r w:rsidRPr="00892425">
        <w:rPr>
          <w:sz w:val="26"/>
          <w:szCs w:val="26"/>
        </w:rPr>
        <w:noBreakHyphen/>
        <w:t>2016</w:t>
      </w:r>
      <w:r w:rsidRPr="00892425">
        <w:rPr>
          <w:sz w:val="26"/>
          <w:szCs w:val="26"/>
        </w:rPr>
        <w:noBreakHyphen/>
        <w:t xml:space="preserve">2544156.  Namely, Aqua provides accounting and financial, administrative, communications, engineering, fleet maintenance, lab testing, labor, legal, metering services, operation, purchasing, contracts and sales of real estate, rates and regulatory, and water quality services to Superior.  Under the </w:t>
      </w:r>
      <w:r w:rsidR="0098356A">
        <w:rPr>
          <w:sz w:val="26"/>
          <w:szCs w:val="26"/>
        </w:rPr>
        <w:t>Joint Merger Application</w:t>
      </w:r>
      <w:r w:rsidRPr="00892425">
        <w:rPr>
          <w:sz w:val="26"/>
          <w:szCs w:val="26"/>
        </w:rPr>
        <w:t xml:space="preserve">, Superior will merge into Aqua and will abandon </w:t>
      </w:r>
      <w:r w:rsidR="007131F2">
        <w:rPr>
          <w:sz w:val="26"/>
          <w:szCs w:val="26"/>
        </w:rPr>
        <w:t xml:space="preserve">its </w:t>
      </w:r>
      <w:r w:rsidRPr="00892425">
        <w:rPr>
          <w:sz w:val="26"/>
          <w:szCs w:val="26"/>
        </w:rPr>
        <w:t xml:space="preserve">authority </w:t>
      </w:r>
      <w:r w:rsidR="007131F2">
        <w:rPr>
          <w:sz w:val="26"/>
          <w:szCs w:val="26"/>
        </w:rPr>
        <w:t>to provide</w:t>
      </w:r>
      <w:r w:rsidRPr="00892425">
        <w:rPr>
          <w:sz w:val="26"/>
          <w:szCs w:val="26"/>
        </w:rPr>
        <w:t xml:space="preserve"> water service</w:t>
      </w:r>
      <w:r w:rsidR="007131F2">
        <w:rPr>
          <w:sz w:val="26"/>
          <w:szCs w:val="26"/>
        </w:rPr>
        <w:t xml:space="preserve"> to the public in the areas it currently serves, and </w:t>
      </w:r>
      <w:r w:rsidR="0066176A">
        <w:rPr>
          <w:sz w:val="26"/>
          <w:szCs w:val="26"/>
        </w:rPr>
        <w:t>customers in those abandoned service territories will then be served by Aqua</w:t>
      </w:r>
      <w:r w:rsidRPr="00892425">
        <w:rPr>
          <w:sz w:val="26"/>
          <w:szCs w:val="26"/>
        </w:rPr>
        <w:t xml:space="preserve">.  </w:t>
      </w:r>
      <w:r w:rsidR="0098356A">
        <w:rPr>
          <w:sz w:val="26"/>
          <w:szCs w:val="26"/>
        </w:rPr>
        <w:t>Joint Merger Application</w:t>
      </w:r>
      <w:r w:rsidRPr="00892425">
        <w:rPr>
          <w:sz w:val="26"/>
          <w:szCs w:val="26"/>
        </w:rPr>
        <w:t xml:space="preserve"> at</w:t>
      </w:r>
      <w:r w:rsidR="0066176A">
        <w:rPr>
          <w:sz w:val="26"/>
          <w:szCs w:val="26"/>
        </w:rPr>
        <w:t> </w:t>
      </w:r>
      <w:r w:rsidRPr="00892425">
        <w:rPr>
          <w:sz w:val="26"/>
          <w:szCs w:val="26"/>
        </w:rPr>
        <w:t>1</w:t>
      </w:r>
      <w:r w:rsidR="0066176A">
        <w:rPr>
          <w:sz w:val="26"/>
          <w:szCs w:val="26"/>
        </w:rPr>
        <w:noBreakHyphen/>
      </w:r>
      <w:r w:rsidRPr="00892425">
        <w:rPr>
          <w:sz w:val="26"/>
          <w:szCs w:val="26"/>
        </w:rPr>
        <w:t xml:space="preserve">3.  Aqua’s proposed water tariff supplement, filed as part </w:t>
      </w:r>
      <w:r w:rsidRPr="00892425">
        <w:rPr>
          <w:sz w:val="26"/>
          <w:szCs w:val="26"/>
        </w:rPr>
        <w:lastRenderedPageBreak/>
        <w:t xml:space="preserve">of the </w:t>
      </w:r>
      <w:r w:rsidR="00634F96">
        <w:rPr>
          <w:sz w:val="26"/>
          <w:szCs w:val="26"/>
        </w:rPr>
        <w:t>Joint Settlement</w:t>
      </w:r>
      <w:r w:rsidRPr="00892425">
        <w:rPr>
          <w:sz w:val="26"/>
          <w:szCs w:val="26"/>
        </w:rPr>
        <w:t xml:space="preserve">, </w:t>
      </w:r>
      <w:r w:rsidRPr="00892425">
        <w:rPr>
          <w:i/>
          <w:sz w:val="26"/>
          <w:szCs w:val="26"/>
        </w:rPr>
        <w:t>supra,</w:t>
      </w:r>
      <w:r w:rsidRPr="00892425">
        <w:rPr>
          <w:sz w:val="26"/>
          <w:szCs w:val="26"/>
        </w:rPr>
        <w:t xml:space="preserve"> includes Superior in Aqua’s Rate Zone 2.  </w:t>
      </w:r>
      <w:r w:rsidR="00634F96">
        <w:rPr>
          <w:sz w:val="26"/>
          <w:szCs w:val="26"/>
        </w:rPr>
        <w:t>Joint Settlement</w:t>
      </w:r>
      <w:r w:rsidRPr="00892425">
        <w:rPr>
          <w:sz w:val="26"/>
          <w:szCs w:val="26"/>
        </w:rPr>
        <w:t xml:space="preserve"> at Appendix B.</w:t>
      </w:r>
    </w:p>
    <w:p w14:paraId="637E4AEE" w14:textId="77777777" w:rsidR="00720654" w:rsidRPr="00892425" w:rsidRDefault="00720654" w:rsidP="002C4EC5">
      <w:pPr>
        <w:contextualSpacing/>
        <w:rPr>
          <w:sz w:val="26"/>
          <w:szCs w:val="26"/>
        </w:rPr>
      </w:pPr>
    </w:p>
    <w:p w14:paraId="7B44182F" w14:textId="77777777" w:rsidR="00187052" w:rsidRPr="00892425" w:rsidRDefault="00187052" w:rsidP="002C4EC5">
      <w:pPr>
        <w:pStyle w:val="Heading4"/>
        <w:keepLines/>
        <w:ind w:left="2160" w:hanging="720"/>
        <w:contextualSpacing/>
        <w:jc w:val="left"/>
      </w:pPr>
      <w:r w:rsidRPr="00892425">
        <w:t>2.</w:t>
      </w:r>
      <w:r w:rsidRPr="00892425">
        <w:tab/>
        <w:t>Applicable Law</w:t>
      </w:r>
    </w:p>
    <w:p w14:paraId="7E60B530" w14:textId="77777777" w:rsidR="00187052" w:rsidRPr="00892425" w:rsidRDefault="00187052" w:rsidP="002C4EC5">
      <w:pPr>
        <w:keepNext/>
        <w:keepLines/>
        <w:spacing w:after="200"/>
        <w:ind w:firstLine="1440"/>
        <w:contextualSpacing/>
        <w:rPr>
          <w:sz w:val="26"/>
          <w:szCs w:val="26"/>
        </w:rPr>
      </w:pPr>
    </w:p>
    <w:p w14:paraId="6F650C88" w14:textId="54B89920" w:rsidR="00AE6A2C" w:rsidRPr="00892425" w:rsidRDefault="00B429DB" w:rsidP="002C4EC5">
      <w:pPr>
        <w:keepNext/>
        <w:keepLines/>
        <w:spacing w:after="200"/>
        <w:ind w:firstLine="1440"/>
        <w:contextualSpacing/>
        <w:rPr>
          <w:b/>
          <w:sz w:val="26"/>
          <w:szCs w:val="26"/>
        </w:rPr>
      </w:pPr>
      <w:r w:rsidRPr="00892425">
        <w:rPr>
          <w:sz w:val="26"/>
          <w:szCs w:val="26"/>
        </w:rPr>
        <w:tab/>
      </w:r>
      <w:r w:rsidR="006813F5" w:rsidRPr="00892425">
        <w:rPr>
          <w:b/>
          <w:sz w:val="26"/>
          <w:szCs w:val="26"/>
        </w:rPr>
        <w:t>a.</w:t>
      </w:r>
      <w:r w:rsidRPr="00892425">
        <w:rPr>
          <w:b/>
          <w:sz w:val="26"/>
          <w:szCs w:val="26"/>
        </w:rPr>
        <w:tab/>
      </w:r>
      <w:r w:rsidR="00AE6A2C" w:rsidRPr="00892425">
        <w:rPr>
          <w:b/>
          <w:sz w:val="26"/>
          <w:szCs w:val="26"/>
        </w:rPr>
        <w:t xml:space="preserve">Burden of Proof </w:t>
      </w:r>
    </w:p>
    <w:p w14:paraId="7554FB9A" w14:textId="77777777" w:rsidR="00FF5271" w:rsidRPr="00892425" w:rsidRDefault="00FF5271" w:rsidP="002C4EC5">
      <w:pPr>
        <w:keepNext/>
        <w:keepLines/>
        <w:spacing w:after="200"/>
        <w:ind w:firstLine="1440"/>
        <w:contextualSpacing/>
        <w:rPr>
          <w:sz w:val="26"/>
          <w:szCs w:val="26"/>
        </w:rPr>
      </w:pPr>
    </w:p>
    <w:p w14:paraId="67F4E952" w14:textId="6A461125" w:rsidR="00B429DB" w:rsidRPr="00892425" w:rsidRDefault="00AE6A2C" w:rsidP="002C4EC5">
      <w:pPr>
        <w:spacing w:after="200"/>
        <w:ind w:firstLine="1440"/>
        <w:contextualSpacing/>
        <w:rPr>
          <w:sz w:val="26"/>
          <w:szCs w:val="26"/>
        </w:rPr>
      </w:pPr>
      <w:r w:rsidRPr="00892425">
        <w:rPr>
          <w:sz w:val="26"/>
          <w:szCs w:val="26"/>
        </w:rPr>
        <w:t>Section 332(a) of the Code, 66 Pa. C.S. § 332(a), provides that the party seeking a rule or order from the Commission has the burden of proof in that proceeding.  It is well</w:t>
      </w:r>
      <w:r w:rsidR="00952BE3" w:rsidRPr="00892425">
        <w:rPr>
          <w:sz w:val="26"/>
          <w:szCs w:val="26"/>
        </w:rPr>
        <w:t xml:space="preserve"> </w:t>
      </w:r>
      <w:r w:rsidRPr="00892425">
        <w:rPr>
          <w:sz w:val="26"/>
          <w:szCs w:val="26"/>
        </w:rPr>
        <w:t xml:space="preserve">established that “[a] litigant’s burden of proof before administrative tribunals as well as before most civil proceedings is satisfied by establishing a preponderance of evidence which is substantial and legally credible.”  </w:t>
      </w:r>
      <w:r w:rsidRPr="00892425">
        <w:rPr>
          <w:i/>
          <w:sz w:val="26"/>
          <w:szCs w:val="26"/>
        </w:rPr>
        <w:t xml:space="preserve">Samuel J. Lansberry, Inc. v. Pa. </w:t>
      </w:r>
      <w:r w:rsidR="000272D6">
        <w:rPr>
          <w:i/>
          <w:sz w:val="26"/>
          <w:szCs w:val="26"/>
        </w:rPr>
        <w:t>PUC</w:t>
      </w:r>
      <w:r w:rsidRPr="00892425">
        <w:rPr>
          <w:sz w:val="26"/>
          <w:szCs w:val="26"/>
        </w:rPr>
        <w:t xml:space="preserve">, 578 A.2d </w:t>
      </w:r>
      <w:r w:rsidR="00B429DB" w:rsidRPr="00892425">
        <w:rPr>
          <w:sz w:val="26"/>
          <w:szCs w:val="26"/>
        </w:rPr>
        <w:t>600, 602 (Pa.</w:t>
      </w:r>
      <w:r w:rsidR="000272D6">
        <w:rPr>
          <w:sz w:val="26"/>
          <w:szCs w:val="26"/>
        </w:rPr>
        <w:t xml:space="preserve"> </w:t>
      </w:r>
      <w:r w:rsidR="00B429DB" w:rsidRPr="00892425">
        <w:rPr>
          <w:sz w:val="26"/>
          <w:szCs w:val="26"/>
        </w:rPr>
        <w:t xml:space="preserve">Cmwlth. 1990), </w:t>
      </w:r>
      <w:r w:rsidR="00B429DB" w:rsidRPr="00892425">
        <w:rPr>
          <w:i/>
          <w:sz w:val="26"/>
          <w:szCs w:val="26"/>
        </w:rPr>
        <w:t>alloc. den</w:t>
      </w:r>
      <w:r w:rsidR="00B429DB" w:rsidRPr="00892425">
        <w:rPr>
          <w:sz w:val="26"/>
          <w:szCs w:val="26"/>
        </w:rPr>
        <w:t>., 602 A.2d 863 (Pa. 1992).  “Preponderance of the evidence” requires the party with the burden of proof, in this case the Joint Applicants, to present evidence that is more convincing than that present</w:t>
      </w:r>
      <w:r w:rsidR="000272D6">
        <w:rPr>
          <w:sz w:val="26"/>
          <w:szCs w:val="26"/>
        </w:rPr>
        <w:t>ed</w:t>
      </w:r>
      <w:r w:rsidR="00B429DB" w:rsidRPr="00892425">
        <w:rPr>
          <w:sz w:val="26"/>
          <w:szCs w:val="26"/>
        </w:rPr>
        <w:t xml:space="preserve"> by any other party.  </w:t>
      </w:r>
      <w:r w:rsidR="00B429DB" w:rsidRPr="00892425">
        <w:rPr>
          <w:i/>
          <w:sz w:val="26"/>
          <w:szCs w:val="26"/>
        </w:rPr>
        <w:t>Id</w:t>
      </w:r>
      <w:r w:rsidR="00B429DB" w:rsidRPr="00892425">
        <w:rPr>
          <w:sz w:val="26"/>
          <w:szCs w:val="26"/>
        </w:rPr>
        <w:t xml:space="preserve">. </w:t>
      </w:r>
    </w:p>
    <w:p w14:paraId="39A7D956" w14:textId="77777777" w:rsidR="00B429DB" w:rsidRPr="00892425" w:rsidRDefault="00B429DB" w:rsidP="002C4EC5">
      <w:pPr>
        <w:spacing w:after="200"/>
        <w:ind w:firstLine="1440"/>
        <w:contextualSpacing/>
        <w:rPr>
          <w:sz w:val="26"/>
          <w:szCs w:val="26"/>
        </w:rPr>
      </w:pPr>
      <w:r w:rsidRPr="00892425">
        <w:rPr>
          <w:sz w:val="26"/>
          <w:szCs w:val="26"/>
        </w:rPr>
        <w:t xml:space="preserve"> </w:t>
      </w:r>
    </w:p>
    <w:p w14:paraId="77499D51" w14:textId="09DE1D18" w:rsidR="00B429DB" w:rsidRPr="00892425" w:rsidRDefault="00B429DB" w:rsidP="002C4EC5">
      <w:pPr>
        <w:spacing w:after="200"/>
        <w:ind w:firstLine="1440"/>
        <w:contextualSpacing/>
        <w:rPr>
          <w:sz w:val="26"/>
          <w:szCs w:val="26"/>
        </w:rPr>
      </w:pPr>
      <w:r w:rsidRPr="00892425">
        <w:rPr>
          <w:sz w:val="26"/>
          <w:szCs w:val="26"/>
        </w:rPr>
        <w:t xml:space="preserve">In addition, the Commission’s decision must be supported by “substantial evidence,” which consists of evidence that a reasonable mind might accept as adequate to support a conclusion or stated another way, a reasonable person would accept as adequate to support a determination.  </w:t>
      </w:r>
      <w:r w:rsidRPr="00EA4F36">
        <w:rPr>
          <w:i/>
          <w:sz w:val="26"/>
          <w:szCs w:val="26"/>
        </w:rPr>
        <w:t xml:space="preserve">See </w:t>
      </w:r>
      <w:r w:rsidRPr="00892425">
        <w:rPr>
          <w:i/>
          <w:sz w:val="26"/>
          <w:szCs w:val="26"/>
        </w:rPr>
        <w:t>Harmon</w:t>
      </w:r>
      <w:r w:rsidRPr="00892425">
        <w:rPr>
          <w:sz w:val="26"/>
          <w:szCs w:val="26"/>
        </w:rPr>
        <w:t>.,</w:t>
      </w:r>
      <w:r w:rsidR="004E6EA2" w:rsidRPr="00892425">
        <w:rPr>
          <w:sz w:val="26"/>
          <w:szCs w:val="26"/>
        </w:rPr>
        <w:t xml:space="preserve"> </w:t>
      </w:r>
      <w:r w:rsidR="004E6EA2" w:rsidRPr="00892425">
        <w:rPr>
          <w:i/>
          <w:sz w:val="26"/>
          <w:szCs w:val="26"/>
        </w:rPr>
        <w:t>supra</w:t>
      </w:r>
      <w:r w:rsidRPr="00892425">
        <w:rPr>
          <w:sz w:val="26"/>
          <w:szCs w:val="26"/>
        </w:rPr>
        <w:t xml:space="preserve">.  A mere </w:t>
      </w:r>
      <w:r w:rsidR="000272D6">
        <w:rPr>
          <w:sz w:val="26"/>
          <w:szCs w:val="26"/>
        </w:rPr>
        <w:t>“</w:t>
      </w:r>
      <w:r w:rsidRPr="00892425">
        <w:rPr>
          <w:sz w:val="26"/>
          <w:szCs w:val="26"/>
        </w:rPr>
        <w:t>trace of evidence or a suspicion of the existence of a fact</w:t>
      </w:r>
      <w:r w:rsidR="000272D6">
        <w:rPr>
          <w:sz w:val="26"/>
          <w:szCs w:val="26"/>
        </w:rPr>
        <w:t>”</w:t>
      </w:r>
      <w:r w:rsidRPr="00892425">
        <w:rPr>
          <w:sz w:val="26"/>
          <w:szCs w:val="26"/>
        </w:rPr>
        <w:t xml:space="preserve"> is insufficient.  </w:t>
      </w:r>
      <w:r w:rsidRPr="00EA4F36">
        <w:rPr>
          <w:i/>
          <w:sz w:val="26"/>
          <w:szCs w:val="26"/>
        </w:rPr>
        <w:t>Norfolk and Western</w:t>
      </w:r>
      <w:r w:rsidR="000272D6">
        <w:rPr>
          <w:i/>
          <w:sz w:val="26"/>
          <w:szCs w:val="26"/>
        </w:rPr>
        <w:t xml:space="preserve"> Railway Co. v. Pa. PUC</w:t>
      </w:r>
      <w:r w:rsidRPr="00892425">
        <w:rPr>
          <w:sz w:val="26"/>
          <w:szCs w:val="26"/>
        </w:rPr>
        <w:t>, 413 A.2d 1037 (Pa.</w:t>
      </w:r>
      <w:r w:rsidR="00987579">
        <w:rPr>
          <w:sz w:val="26"/>
          <w:szCs w:val="26"/>
        </w:rPr>
        <w:t xml:space="preserve"> </w:t>
      </w:r>
      <w:r w:rsidRPr="00892425">
        <w:rPr>
          <w:sz w:val="26"/>
          <w:szCs w:val="26"/>
        </w:rPr>
        <w:t xml:space="preserve">Cmwlth. 1980); </w:t>
      </w:r>
      <w:r w:rsidRPr="00EA4F36">
        <w:rPr>
          <w:i/>
          <w:sz w:val="26"/>
          <w:szCs w:val="26"/>
        </w:rPr>
        <w:t>Se-Ling Hosiery v. Margulies</w:t>
      </w:r>
      <w:r w:rsidRPr="00892425">
        <w:rPr>
          <w:sz w:val="26"/>
          <w:szCs w:val="26"/>
        </w:rPr>
        <w:t xml:space="preserve">, 70 A.2d 854 (Pa. 1950). </w:t>
      </w:r>
    </w:p>
    <w:p w14:paraId="5E252DE6" w14:textId="1F6E8E48" w:rsidR="00B429DB" w:rsidRPr="00892425" w:rsidRDefault="00B429DB" w:rsidP="002C4EC5">
      <w:pPr>
        <w:spacing w:after="200"/>
        <w:ind w:firstLine="1440"/>
        <w:contextualSpacing/>
        <w:rPr>
          <w:sz w:val="26"/>
          <w:szCs w:val="26"/>
        </w:rPr>
      </w:pPr>
    </w:p>
    <w:p w14:paraId="535ECBF6" w14:textId="529B296E" w:rsidR="00B429DB" w:rsidRPr="00892425" w:rsidRDefault="00B429DB" w:rsidP="002C4EC5">
      <w:pPr>
        <w:spacing w:after="200"/>
        <w:ind w:firstLine="1440"/>
        <w:contextualSpacing/>
        <w:rPr>
          <w:sz w:val="26"/>
          <w:szCs w:val="26"/>
        </w:rPr>
      </w:pPr>
      <w:r w:rsidRPr="00892425">
        <w:rPr>
          <w:sz w:val="26"/>
          <w:szCs w:val="26"/>
        </w:rPr>
        <w:t xml:space="preserve">The burden of proof is comprised of two distinct burdens—the burden of production and the burden of persuasion.  The burden of production tells the adjudicator which party must come forward with evidence to support a particular proposition.  </w:t>
      </w:r>
      <w:r w:rsidRPr="00892425">
        <w:rPr>
          <w:i/>
          <w:sz w:val="26"/>
          <w:szCs w:val="26"/>
        </w:rPr>
        <w:t>See In re Loudenslager’s Estate</w:t>
      </w:r>
      <w:r w:rsidRPr="00892425">
        <w:rPr>
          <w:sz w:val="26"/>
          <w:szCs w:val="26"/>
        </w:rPr>
        <w:t xml:space="preserve">, 240 A.2d 477, 482 (Pa. 1968).  The burden of persuasion </w:t>
      </w:r>
      <w:r w:rsidRPr="00892425">
        <w:rPr>
          <w:sz w:val="26"/>
          <w:szCs w:val="26"/>
        </w:rPr>
        <w:lastRenderedPageBreak/>
        <w:t xml:space="preserve">determines which party must produce sufficient evidence to convince a judge that a fact has been established, and it never leaves the party on whom it is originally cast.  </w:t>
      </w:r>
      <w:r w:rsidRPr="00892425">
        <w:rPr>
          <w:i/>
          <w:sz w:val="26"/>
          <w:szCs w:val="26"/>
        </w:rPr>
        <w:t>Reidel v. County of Allegheny</w:t>
      </w:r>
      <w:r w:rsidRPr="00892425">
        <w:rPr>
          <w:sz w:val="26"/>
          <w:szCs w:val="26"/>
        </w:rPr>
        <w:t>, 633 A.2d 1325, 1329 n. 11 (Pa.</w:t>
      </w:r>
      <w:r w:rsidR="000272D6">
        <w:rPr>
          <w:sz w:val="26"/>
          <w:szCs w:val="26"/>
        </w:rPr>
        <w:t xml:space="preserve"> </w:t>
      </w:r>
      <w:r w:rsidRPr="00892425">
        <w:rPr>
          <w:sz w:val="26"/>
          <w:szCs w:val="26"/>
        </w:rPr>
        <w:t xml:space="preserve">Cmwlth. 1993). </w:t>
      </w:r>
    </w:p>
    <w:p w14:paraId="76C37C6C" w14:textId="473D5645" w:rsidR="00B429DB" w:rsidRPr="00892425" w:rsidRDefault="00B429DB" w:rsidP="002C4EC5">
      <w:pPr>
        <w:spacing w:after="200"/>
        <w:ind w:firstLine="1440"/>
        <w:contextualSpacing/>
        <w:rPr>
          <w:sz w:val="26"/>
          <w:szCs w:val="26"/>
        </w:rPr>
      </w:pPr>
    </w:p>
    <w:p w14:paraId="44893631" w14:textId="30267E48" w:rsidR="00B429DB" w:rsidRPr="00892425" w:rsidRDefault="00B429DB" w:rsidP="002C4EC5">
      <w:pPr>
        <w:spacing w:after="200"/>
        <w:ind w:firstLine="1440"/>
        <w:contextualSpacing/>
        <w:rPr>
          <w:sz w:val="26"/>
          <w:szCs w:val="26"/>
        </w:rPr>
      </w:pPr>
      <w:r w:rsidRPr="00892425">
        <w:rPr>
          <w:sz w:val="26"/>
          <w:szCs w:val="26"/>
        </w:rPr>
        <w:t xml:space="preserve">In this proceeding, there were no Protestants.  No one disputed the proposed Applications.  The Joint Applicants have the burden to prove that the proposed merger of Superior into Aqua </w:t>
      </w:r>
      <w:r w:rsidR="004E6EA2" w:rsidRPr="00892425">
        <w:rPr>
          <w:sz w:val="26"/>
          <w:szCs w:val="26"/>
        </w:rPr>
        <w:t>W</w:t>
      </w:r>
      <w:r w:rsidRPr="00892425">
        <w:rPr>
          <w:sz w:val="26"/>
          <w:szCs w:val="26"/>
        </w:rPr>
        <w:t>ater and the abandonment of Superior is just and reasonable.  Thus, the analysis pursued is whether the Joint Applicants satisfied their burden of proof by substantial evidence.</w:t>
      </w:r>
    </w:p>
    <w:p w14:paraId="2E187CF0" w14:textId="7C7DD707" w:rsidR="00B429DB" w:rsidRPr="00892425" w:rsidRDefault="00B429DB" w:rsidP="002C4EC5">
      <w:pPr>
        <w:spacing w:after="200"/>
        <w:ind w:firstLine="1440"/>
        <w:contextualSpacing/>
        <w:rPr>
          <w:sz w:val="26"/>
          <w:szCs w:val="26"/>
        </w:rPr>
      </w:pPr>
    </w:p>
    <w:p w14:paraId="7FC5FFBD" w14:textId="2BE4BFB2" w:rsidR="00B429DB" w:rsidRPr="00892425" w:rsidRDefault="00B429DB" w:rsidP="002C4EC5">
      <w:pPr>
        <w:keepNext/>
        <w:keepLines/>
        <w:spacing w:after="200"/>
        <w:ind w:firstLine="1440"/>
        <w:contextualSpacing/>
        <w:rPr>
          <w:b/>
          <w:sz w:val="26"/>
          <w:szCs w:val="26"/>
        </w:rPr>
      </w:pPr>
      <w:r w:rsidRPr="00892425">
        <w:rPr>
          <w:b/>
          <w:sz w:val="26"/>
          <w:szCs w:val="26"/>
        </w:rPr>
        <w:tab/>
      </w:r>
      <w:r w:rsidR="006813F5" w:rsidRPr="00892425">
        <w:rPr>
          <w:b/>
          <w:sz w:val="26"/>
          <w:szCs w:val="26"/>
        </w:rPr>
        <w:t>b.</w:t>
      </w:r>
      <w:r w:rsidRPr="00892425">
        <w:rPr>
          <w:b/>
          <w:sz w:val="26"/>
          <w:szCs w:val="26"/>
        </w:rPr>
        <w:tab/>
        <w:t>Standard of Review Under Chapter 11 of the Code</w:t>
      </w:r>
    </w:p>
    <w:p w14:paraId="5D4E42DC" w14:textId="77777777" w:rsidR="00B429DB" w:rsidRPr="00892425" w:rsidRDefault="00B429DB" w:rsidP="002C4EC5">
      <w:pPr>
        <w:keepNext/>
        <w:keepLines/>
        <w:spacing w:after="200"/>
        <w:ind w:firstLine="1440"/>
        <w:contextualSpacing/>
        <w:rPr>
          <w:sz w:val="26"/>
          <w:szCs w:val="26"/>
        </w:rPr>
      </w:pPr>
    </w:p>
    <w:p w14:paraId="02AF3191" w14:textId="48938EB5" w:rsidR="00B429DB" w:rsidRPr="00892425" w:rsidRDefault="00B429DB" w:rsidP="002C4EC5">
      <w:pPr>
        <w:spacing w:after="200"/>
        <w:ind w:firstLine="1440"/>
        <w:contextualSpacing/>
        <w:rPr>
          <w:sz w:val="26"/>
          <w:szCs w:val="26"/>
        </w:rPr>
      </w:pPr>
      <w:r w:rsidRPr="00892425">
        <w:rPr>
          <w:sz w:val="26"/>
          <w:szCs w:val="26"/>
        </w:rPr>
        <w:t>Chapter 11 of the Code requires a utility to obtain a certificate of public convenience (CPC) for different activities, including the transfer or acquisition of used or useful property.  Specifically, Section 1102(a)(3) of the Code states:</w:t>
      </w:r>
    </w:p>
    <w:p w14:paraId="5FD690F1" w14:textId="45834990" w:rsidR="00B429DB" w:rsidRPr="00892425" w:rsidRDefault="00B429DB" w:rsidP="002C4EC5">
      <w:pPr>
        <w:spacing w:after="200"/>
        <w:ind w:firstLine="1440"/>
        <w:contextualSpacing/>
        <w:rPr>
          <w:sz w:val="26"/>
          <w:szCs w:val="26"/>
        </w:rPr>
      </w:pPr>
    </w:p>
    <w:p w14:paraId="56F90797" w14:textId="77777777" w:rsidR="0074520B" w:rsidRDefault="00B429DB" w:rsidP="002C4EC5">
      <w:pPr>
        <w:spacing w:after="200" w:line="240" w:lineRule="auto"/>
        <w:ind w:left="1440" w:right="1350"/>
        <w:contextualSpacing/>
        <w:rPr>
          <w:sz w:val="26"/>
          <w:szCs w:val="26"/>
        </w:rPr>
      </w:pPr>
      <w:r w:rsidRPr="00892425">
        <w:rPr>
          <w:sz w:val="26"/>
          <w:szCs w:val="26"/>
        </w:rPr>
        <w:t>For any public utility or an affiliated interest of a public utility as defined in section 2101</w:t>
      </w:r>
      <w:r w:rsidR="0074520B">
        <w:rPr>
          <w:sz w:val="26"/>
          <w:szCs w:val="26"/>
        </w:rPr>
        <w:t xml:space="preserve"> . . .</w:t>
      </w:r>
      <w:r w:rsidRPr="00892425">
        <w:rPr>
          <w:sz w:val="26"/>
          <w:szCs w:val="26"/>
        </w:rPr>
        <w:t xml:space="preserve"> to acquire from, or to transfer to, any person or corporation</w:t>
      </w:r>
      <w:r w:rsidR="0074520B">
        <w:rPr>
          <w:sz w:val="26"/>
          <w:szCs w:val="26"/>
        </w:rPr>
        <w:t xml:space="preserve"> . . . </w:t>
      </w:r>
      <w:r w:rsidRPr="00892425">
        <w:rPr>
          <w:sz w:val="26"/>
          <w:szCs w:val="26"/>
        </w:rPr>
        <w:t xml:space="preserve">by any method or device whatsoever, including </w:t>
      </w:r>
      <w:r w:rsidR="0058326F">
        <w:rPr>
          <w:sz w:val="26"/>
          <w:szCs w:val="26"/>
        </w:rPr>
        <w:t xml:space="preserve">the </w:t>
      </w:r>
      <w:r w:rsidRPr="00892425">
        <w:rPr>
          <w:sz w:val="26"/>
          <w:szCs w:val="26"/>
        </w:rPr>
        <w:t xml:space="preserve">sale or transfer of stock and including a consolidation, merger, sale or lease, the title to, or </w:t>
      </w:r>
    </w:p>
    <w:p w14:paraId="0CC58B73" w14:textId="63C2894F" w:rsidR="00B429DB" w:rsidRDefault="00901B3D" w:rsidP="002C4EC5">
      <w:pPr>
        <w:keepNext/>
        <w:keepLines/>
        <w:spacing w:after="200" w:line="240" w:lineRule="auto"/>
        <w:ind w:left="1440" w:right="1350"/>
        <w:contextualSpacing/>
        <w:rPr>
          <w:sz w:val="26"/>
          <w:szCs w:val="26"/>
        </w:rPr>
      </w:pPr>
      <w:r>
        <w:rPr>
          <w:sz w:val="26"/>
          <w:szCs w:val="26"/>
        </w:rPr>
        <w:t xml:space="preserve">the </w:t>
      </w:r>
      <w:r w:rsidR="00B429DB" w:rsidRPr="00892425">
        <w:rPr>
          <w:sz w:val="26"/>
          <w:szCs w:val="26"/>
        </w:rPr>
        <w:t>possession or use of, any tangible or intangible property used or useful in the public service.</w:t>
      </w:r>
    </w:p>
    <w:p w14:paraId="391A86CF" w14:textId="49B292F5" w:rsidR="0074520B" w:rsidRDefault="0074520B" w:rsidP="002C4EC5">
      <w:pPr>
        <w:keepNext/>
        <w:keepLines/>
        <w:spacing w:after="200" w:line="240" w:lineRule="auto"/>
        <w:ind w:left="1440" w:right="1350"/>
        <w:contextualSpacing/>
        <w:rPr>
          <w:sz w:val="26"/>
          <w:szCs w:val="26"/>
        </w:rPr>
      </w:pPr>
    </w:p>
    <w:p w14:paraId="62BCA016" w14:textId="77777777" w:rsidR="0074520B" w:rsidRPr="00892425" w:rsidRDefault="0074520B" w:rsidP="002C4EC5">
      <w:pPr>
        <w:keepNext/>
        <w:keepLines/>
        <w:spacing w:after="200" w:line="240" w:lineRule="auto"/>
        <w:ind w:left="1440" w:right="1350"/>
        <w:contextualSpacing/>
        <w:rPr>
          <w:sz w:val="26"/>
          <w:szCs w:val="26"/>
        </w:rPr>
      </w:pPr>
    </w:p>
    <w:p w14:paraId="7ADE9D22" w14:textId="77777777" w:rsidR="00B429DB" w:rsidRPr="00892425" w:rsidRDefault="00B429DB" w:rsidP="002C4EC5">
      <w:pPr>
        <w:spacing w:after="200"/>
        <w:contextualSpacing/>
        <w:rPr>
          <w:sz w:val="26"/>
          <w:szCs w:val="26"/>
        </w:rPr>
      </w:pPr>
      <w:r w:rsidRPr="00892425">
        <w:rPr>
          <w:sz w:val="26"/>
          <w:szCs w:val="26"/>
        </w:rPr>
        <w:t xml:space="preserve">66 Pa. C.S. § 1102(a)(3). </w:t>
      </w:r>
    </w:p>
    <w:p w14:paraId="493F2A05" w14:textId="403143B9" w:rsidR="00B429DB" w:rsidRPr="00892425" w:rsidRDefault="00B429DB" w:rsidP="002C4EC5">
      <w:pPr>
        <w:spacing w:after="200"/>
        <w:ind w:firstLine="1440"/>
        <w:contextualSpacing/>
        <w:rPr>
          <w:sz w:val="26"/>
          <w:szCs w:val="26"/>
        </w:rPr>
      </w:pPr>
    </w:p>
    <w:p w14:paraId="58A9F540" w14:textId="279697C9" w:rsidR="00B429DB" w:rsidRPr="00892425" w:rsidRDefault="00B429DB" w:rsidP="002C4EC5">
      <w:pPr>
        <w:spacing w:after="200"/>
        <w:ind w:firstLine="1440"/>
        <w:contextualSpacing/>
        <w:rPr>
          <w:sz w:val="26"/>
          <w:szCs w:val="26"/>
        </w:rPr>
      </w:pPr>
      <w:r w:rsidRPr="00892425">
        <w:rPr>
          <w:sz w:val="26"/>
          <w:szCs w:val="26"/>
        </w:rPr>
        <w:t>The statute at Section 1103(a) of the Code provides the standard as to whether an approval is warranted, stating:</w:t>
      </w:r>
    </w:p>
    <w:p w14:paraId="5749C519" w14:textId="441B2A12" w:rsidR="00B429DB" w:rsidRPr="00892425" w:rsidRDefault="00B429DB" w:rsidP="002C4EC5">
      <w:pPr>
        <w:spacing w:after="200"/>
        <w:ind w:firstLine="1440"/>
        <w:contextualSpacing/>
        <w:rPr>
          <w:sz w:val="26"/>
          <w:szCs w:val="26"/>
        </w:rPr>
      </w:pPr>
    </w:p>
    <w:p w14:paraId="6129D425" w14:textId="79565916" w:rsidR="00B429DB" w:rsidRDefault="00B429DB" w:rsidP="002C4EC5">
      <w:pPr>
        <w:spacing w:after="200" w:line="240" w:lineRule="auto"/>
        <w:ind w:left="1440" w:right="1440"/>
        <w:contextualSpacing/>
        <w:rPr>
          <w:sz w:val="26"/>
          <w:szCs w:val="26"/>
        </w:rPr>
      </w:pPr>
      <w:r w:rsidRPr="00892425">
        <w:rPr>
          <w:sz w:val="26"/>
          <w:szCs w:val="26"/>
        </w:rPr>
        <w:t xml:space="preserve">A certificate of public convenience shall be granted by order of the commission, only if the commission shall find or </w:t>
      </w:r>
      <w:r w:rsidRPr="00892425">
        <w:rPr>
          <w:sz w:val="26"/>
          <w:szCs w:val="26"/>
        </w:rPr>
        <w:lastRenderedPageBreak/>
        <w:t>determine that the granting of such certificate is necessary or proper for the service, accommodation, convenience, or safety of the public.  The commission, in granting such certificate, may impose such conditions as it may deem to be just and reasonable.</w:t>
      </w:r>
    </w:p>
    <w:p w14:paraId="00A48CD1" w14:textId="77777777" w:rsidR="0074520B" w:rsidRPr="00892425" w:rsidRDefault="0074520B" w:rsidP="002C4EC5">
      <w:pPr>
        <w:spacing w:after="200" w:line="240" w:lineRule="auto"/>
        <w:ind w:left="1440" w:right="1440"/>
        <w:contextualSpacing/>
        <w:rPr>
          <w:sz w:val="26"/>
          <w:szCs w:val="26"/>
        </w:rPr>
      </w:pPr>
    </w:p>
    <w:p w14:paraId="193F6720" w14:textId="1F386D26" w:rsidR="00187052" w:rsidRPr="00892425" w:rsidRDefault="00187052" w:rsidP="002C4EC5">
      <w:pPr>
        <w:spacing w:after="200"/>
        <w:ind w:firstLine="1440"/>
        <w:contextualSpacing/>
        <w:rPr>
          <w:sz w:val="26"/>
          <w:szCs w:val="26"/>
        </w:rPr>
      </w:pPr>
    </w:p>
    <w:p w14:paraId="52C01043" w14:textId="290EDAF7" w:rsidR="00B429DB" w:rsidRPr="00892425" w:rsidRDefault="00B429DB" w:rsidP="002C4EC5">
      <w:pPr>
        <w:spacing w:after="200"/>
        <w:contextualSpacing/>
        <w:rPr>
          <w:sz w:val="26"/>
          <w:szCs w:val="26"/>
        </w:rPr>
      </w:pPr>
      <w:r w:rsidRPr="00892425">
        <w:rPr>
          <w:sz w:val="26"/>
          <w:szCs w:val="26"/>
        </w:rPr>
        <w:t xml:space="preserve">66 Pa. C.S. § 1103(a).  The ultimate issue is whether granting the CPC is in the public interest— that is for the service, accommodation, convenience, or safety of the public.  </w:t>
      </w:r>
      <w:r w:rsidRPr="00892425">
        <w:rPr>
          <w:i/>
          <w:sz w:val="26"/>
          <w:szCs w:val="26"/>
        </w:rPr>
        <w:t>Id</w:t>
      </w:r>
      <w:r w:rsidRPr="00892425">
        <w:rPr>
          <w:sz w:val="26"/>
          <w:szCs w:val="26"/>
        </w:rPr>
        <w:t xml:space="preserve">; </w:t>
      </w:r>
      <w:r w:rsidRPr="00892425">
        <w:rPr>
          <w:i/>
          <w:sz w:val="26"/>
          <w:szCs w:val="26"/>
        </w:rPr>
        <w:t>see also</w:t>
      </w:r>
      <w:r w:rsidRPr="00892425">
        <w:rPr>
          <w:sz w:val="26"/>
          <w:szCs w:val="26"/>
        </w:rPr>
        <w:t xml:space="preserve"> </w:t>
      </w:r>
      <w:r w:rsidRPr="00892425">
        <w:rPr>
          <w:i/>
          <w:sz w:val="26"/>
          <w:szCs w:val="26"/>
        </w:rPr>
        <w:t>Seaboard Tank Lines v. Pa. P</w:t>
      </w:r>
      <w:r w:rsidR="009B4E6F">
        <w:rPr>
          <w:i/>
          <w:sz w:val="26"/>
          <w:szCs w:val="26"/>
        </w:rPr>
        <w:t>UC</w:t>
      </w:r>
      <w:r w:rsidRPr="00892425">
        <w:rPr>
          <w:sz w:val="26"/>
          <w:szCs w:val="26"/>
        </w:rPr>
        <w:t>, 502 A.2d 762, 764-65 (Pa.</w:t>
      </w:r>
      <w:r w:rsidR="00901B3D">
        <w:rPr>
          <w:sz w:val="26"/>
          <w:szCs w:val="26"/>
        </w:rPr>
        <w:t xml:space="preserve"> </w:t>
      </w:r>
      <w:r w:rsidRPr="00892425">
        <w:rPr>
          <w:sz w:val="26"/>
          <w:szCs w:val="26"/>
        </w:rPr>
        <w:t>Cmwlth. 1985) (</w:t>
      </w:r>
      <w:r w:rsidRPr="00892425">
        <w:rPr>
          <w:i/>
          <w:sz w:val="26"/>
          <w:szCs w:val="26"/>
        </w:rPr>
        <w:t>Seaboard</w:t>
      </w:r>
      <w:r w:rsidR="002E0266" w:rsidRPr="00892425">
        <w:rPr>
          <w:sz w:val="26"/>
          <w:szCs w:val="26"/>
        </w:rPr>
        <w:t>)</w:t>
      </w:r>
      <w:r w:rsidRPr="00892425">
        <w:rPr>
          <w:sz w:val="26"/>
          <w:szCs w:val="26"/>
        </w:rPr>
        <w:t>.</w:t>
      </w:r>
    </w:p>
    <w:p w14:paraId="4F785475" w14:textId="5CB4E881" w:rsidR="00B429DB" w:rsidRPr="00892425" w:rsidRDefault="00B429DB" w:rsidP="002C4EC5">
      <w:pPr>
        <w:spacing w:after="200"/>
        <w:ind w:firstLine="1440"/>
        <w:contextualSpacing/>
        <w:rPr>
          <w:sz w:val="26"/>
          <w:szCs w:val="26"/>
        </w:rPr>
      </w:pPr>
    </w:p>
    <w:p w14:paraId="23487ECC" w14:textId="39F306E1" w:rsidR="00B429DB" w:rsidRPr="00892425" w:rsidRDefault="00B429DB" w:rsidP="002C4EC5">
      <w:pPr>
        <w:spacing w:after="200"/>
        <w:ind w:firstLine="1440"/>
        <w:contextualSpacing/>
        <w:rPr>
          <w:sz w:val="26"/>
          <w:szCs w:val="26"/>
        </w:rPr>
      </w:pPr>
      <w:r w:rsidRPr="00892425">
        <w:rPr>
          <w:sz w:val="26"/>
          <w:szCs w:val="26"/>
        </w:rPr>
        <w:t xml:space="preserve">In this proceeding the Joint Applicants are seeking a CPC involving the acquisition of all property of Superior </w:t>
      </w:r>
      <w:r w:rsidR="009F1395">
        <w:rPr>
          <w:sz w:val="26"/>
          <w:szCs w:val="26"/>
        </w:rPr>
        <w:t>by</w:t>
      </w:r>
      <w:r w:rsidRPr="00892425">
        <w:rPr>
          <w:sz w:val="26"/>
          <w:szCs w:val="26"/>
        </w:rPr>
        <w:t xml:space="preserve"> Aqua </w:t>
      </w:r>
      <w:r w:rsidR="004E6EA2" w:rsidRPr="00892425">
        <w:rPr>
          <w:sz w:val="26"/>
          <w:szCs w:val="26"/>
        </w:rPr>
        <w:t>W</w:t>
      </w:r>
      <w:r w:rsidRPr="00892425">
        <w:rPr>
          <w:sz w:val="26"/>
          <w:szCs w:val="26"/>
        </w:rPr>
        <w:t xml:space="preserve">ater.  The Supreme Court of Pennsylvania has quoted with approval from </w:t>
      </w:r>
      <w:r w:rsidRPr="00B369FC">
        <w:rPr>
          <w:i/>
          <w:sz w:val="26"/>
          <w:szCs w:val="26"/>
        </w:rPr>
        <w:t>Seaboard</w:t>
      </w:r>
      <w:r w:rsidRPr="00892425">
        <w:rPr>
          <w:sz w:val="26"/>
          <w:szCs w:val="26"/>
        </w:rPr>
        <w:t xml:space="preserve"> as follows:</w:t>
      </w:r>
    </w:p>
    <w:p w14:paraId="6DB7BD4F" w14:textId="3CE67F9A" w:rsidR="00B429DB" w:rsidRPr="00892425" w:rsidRDefault="00B429DB" w:rsidP="002C4EC5">
      <w:pPr>
        <w:spacing w:after="200"/>
        <w:ind w:firstLine="1440"/>
        <w:contextualSpacing/>
        <w:rPr>
          <w:sz w:val="26"/>
          <w:szCs w:val="26"/>
        </w:rPr>
      </w:pPr>
    </w:p>
    <w:p w14:paraId="71BA132E" w14:textId="2A77B074" w:rsidR="00B429DB" w:rsidRDefault="00B429DB" w:rsidP="002C4EC5">
      <w:pPr>
        <w:spacing w:after="200" w:line="240" w:lineRule="auto"/>
        <w:ind w:left="1440" w:right="1440"/>
        <w:contextualSpacing/>
        <w:rPr>
          <w:sz w:val="26"/>
          <w:szCs w:val="26"/>
        </w:rPr>
      </w:pPr>
      <w:r w:rsidRPr="00892425">
        <w:rPr>
          <w:sz w:val="26"/>
          <w:szCs w:val="26"/>
        </w:rPr>
        <w:t>The PUC’s mandate with respect to the granting of certificates of public convenience is a broad one; ‘a certificate of public convenience shall be granted by order of the commission, only if the commission shall find or determine that the granting of such certificate is necessary or proper for the service, accommodation, convenience, or safety of the public.’  The legislature, however, provided no definition of specifically what the criteria were to be in determining the propriety of granting a certificate, leaving the formulation of such criteria to the PUC.</w:t>
      </w:r>
    </w:p>
    <w:p w14:paraId="4CB921B7" w14:textId="754F3F92" w:rsidR="009B2AEB" w:rsidRDefault="009B2AEB" w:rsidP="002C4EC5">
      <w:pPr>
        <w:spacing w:after="200" w:line="240" w:lineRule="auto"/>
        <w:ind w:left="1440" w:right="1440"/>
        <w:contextualSpacing/>
        <w:rPr>
          <w:sz w:val="26"/>
          <w:szCs w:val="26"/>
        </w:rPr>
      </w:pPr>
    </w:p>
    <w:p w14:paraId="7C46B8ED" w14:textId="77777777" w:rsidR="009B2AEB" w:rsidRPr="00892425" w:rsidRDefault="009B2AEB" w:rsidP="002C4EC5">
      <w:pPr>
        <w:spacing w:after="200" w:line="240" w:lineRule="auto"/>
        <w:ind w:left="1440" w:right="1440"/>
        <w:contextualSpacing/>
        <w:rPr>
          <w:sz w:val="26"/>
          <w:szCs w:val="26"/>
        </w:rPr>
      </w:pPr>
    </w:p>
    <w:p w14:paraId="0F94827A" w14:textId="3B5BB4B7" w:rsidR="00B429DB" w:rsidRPr="00892425" w:rsidRDefault="00B429DB" w:rsidP="002C4EC5">
      <w:pPr>
        <w:spacing w:after="200"/>
        <w:contextualSpacing/>
        <w:rPr>
          <w:sz w:val="26"/>
          <w:szCs w:val="26"/>
        </w:rPr>
      </w:pPr>
      <w:r w:rsidRPr="00892425">
        <w:rPr>
          <w:i/>
          <w:sz w:val="26"/>
          <w:szCs w:val="26"/>
        </w:rPr>
        <w:t xml:space="preserve">Elite Indus. v. Pa. </w:t>
      </w:r>
      <w:r w:rsidR="009F1395">
        <w:rPr>
          <w:i/>
          <w:sz w:val="26"/>
          <w:szCs w:val="26"/>
        </w:rPr>
        <w:t>PUC</w:t>
      </w:r>
      <w:r w:rsidRPr="00892425">
        <w:rPr>
          <w:sz w:val="26"/>
          <w:szCs w:val="26"/>
        </w:rPr>
        <w:t>, 832 A.2d 428, 432 (Pa. 2003) (</w:t>
      </w:r>
      <w:r w:rsidRPr="00EA4F36">
        <w:rPr>
          <w:i/>
          <w:sz w:val="26"/>
          <w:szCs w:val="26"/>
        </w:rPr>
        <w:t>Elite Industries</w:t>
      </w:r>
      <w:r w:rsidRPr="00892425">
        <w:rPr>
          <w:sz w:val="26"/>
          <w:szCs w:val="26"/>
        </w:rPr>
        <w:t xml:space="preserve">), quoting, </w:t>
      </w:r>
      <w:r w:rsidRPr="00892425">
        <w:rPr>
          <w:i/>
          <w:sz w:val="26"/>
          <w:szCs w:val="26"/>
        </w:rPr>
        <w:t>Seaboard</w:t>
      </w:r>
      <w:r w:rsidRPr="00892425">
        <w:rPr>
          <w:sz w:val="26"/>
          <w:szCs w:val="26"/>
        </w:rPr>
        <w:t>, 502 A.2d at 764-65 (Pa.</w:t>
      </w:r>
      <w:r w:rsidR="009F1395">
        <w:rPr>
          <w:sz w:val="26"/>
          <w:szCs w:val="26"/>
        </w:rPr>
        <w:t xml:space="preserve"> </w:t>
      </w:r>
      <w:r w:rsidRPr="00892425">
        <w:rPr>
          <w:sz w:val="26"/>
          <w:szCs w:val="26"/>
        </w:rPr>
        <w:t xml:space="preserve">Cmwlth. 1985). </w:t>
      </w:r>
    </w:p>
    <w:p w14:paraId="4F5E28E8" w14:textId="48C6EE9A" w:rsidR="00B429DB" w:rsidRPr="00892425" w:rsidRDefault="00B429DB" w:rsidP="002C4EC5">
      <w:pPr>
        <w:spacing w:after="200"/>
        <w:ind w:firstLine="1440"/>
        <w:contextualSpacing/>
        <w:rPr>
          <w:sz w:val="26"/>
          <w:szCs w:val="26"/>
        </w:rPr>
      </w:pPr>
    </w:p>
    <w:p w14:paraId="6A543B06" w14:textId="43BAF016" w:rsidR="00B429DB" w:rsidRPr="00892425" w:rsidRDefault="00B429DB" w:rsidP="002C4EC5">
      <w:pPr>
        <w:spacing w:after="200"/>
        <w:ind w:firstLine="1440"/>
        <w:contextualSpacing/>
        <w:rPr>
          <w:sz w:val="26"/>
          <w:szCs w:val="26"/>
        </w:rPr>
      </w:pPr>
      <w:r w:rsidRPr="00892425">
        <w:rPr>
          <w:sz w:val="26"/>
          <w:szCs w:val="26"/>
        </w:rPr>
        <w:t xml:space="preserve">Commission decisions show that a CPC is not to be granted by the Commission unless it is able to find an affirmative public benefit.  </w:t>
      </w:r>
      <w:r w:rsidRPr="00892425">
        <w:rPr>
          <w:i/>
          <w:sz w:val="26"/>
          <w:szCs w:val="26"/>
        </w:rPr>
        <w:t>City of York v. Pa. P</w:t>
      </w:r>
      <w:r w:rsidR="00025FED">
        <w:rPr>
          <w:i/>
          <w:sz w:val="26"/>
          <w:szCs w:val="26"/>
        </w:rPr>
        <w:t>UC</w:t>
      </w:r>
      <w:r w:rsidRPr="00892425">
        <w:rPr>
          <w:sz w:val="26"/>
          <w:szCs w:val="26"/>
        </w:rPr>
        <w:t xml:space="preserve">, 295 A.2d 825, 828 (Pa. 1972) </w:t>
      </w:r>
      <w:r w:rsidR="002E0266" w:rsidRPr="00892425">
        <w:rPr>
          <w:sz w:val="26"/>
          <w:szCs w:val="26"/>
        </w:rPr>
        <w:t>(</w:t>
      </w:r>
      <w:r w:rsidR="002E0266" w:rsidRPr="00892425">
        <w:rPr>
          <w:i/>
          <w:sz w:val="26"/>
          <w:szCs w:val="26"/>
        </w:rPr>
        <w:t>City of York</w:t>
      </w:r>
      <w:r w:rsidRPr="00892425">
        <w:rPr>
          <w:sz w:val="26"/>
          <w:szCs w:val="26"/>
        </w:rPr>
        <w:t xml:space="preserve">); </w:t>
      </w:r>
      <w:r w:rsidRPr="00892425">
        <w:rPr>
          <w:i/>
          <w:sz w:val="26"/>
          <w:szCs w:val="26"/>
        </w:rPr>
        <w:t>Popowsky v. Pa. P</w:t>
      </w:r>
      <w:r w:rsidR="00025FED">
        <w:rPr>
          <w:i/>
          <w:sz w:val="26"/>
          <w:szCs w:val="26"/>
        </w:rPr>
        <w:t>UC</w:t>
      </w:r>
      <w:r w:rsidRPr="00892425">
        <w:rPr>
          <w:sz w:val="26"/>
          <w:szCs w:val="26"/>
        </w:rPr>
        <w:t xml:space="preserve">, 937 A.2d 1040, 1055-57 (Pa. 2007); </w:t>
      </w:r>
      <w:r w:rsidRPr="00892425">
        <w:rPr>
          <w:i/>
          <w:sz w:val="26"/>
          <w:szCs w:val="26"/>
        </w:rPr>
        <w:t xml:space="preserve">Application of Sunoco Pipeline, L.P., </w:t>
      </w:r>
      <w:r w:rsidRPr="00892425">
        <w:rPr>
          <w:sz w:val="26"/>
          <w:szCs w:val="26"/>
        </w:rPr>
        <w:t>Docket Nos. A-2013-</w:t>
      </w:r>
      <w:r w:rsidRPr="00892425">
        <w:rPr>
          <w:sz w:val="26"/>
          <w:szCs w:val="26"/>
        </w:rPr>
        <w:lastRenderedPageBreak/>
        <w:t>2371789</w:t>
      </w:r>
      <w:r w:rsidR="00025FED">
        <w:rPr>
          <w:sz w:val="26"/>
          <w:szCs w:val="26"/>
        </w:rPr>
        <w:t xml:space="preserve"> and</w:t>
      </w:r>
      <w:r w:rsidRPr="00892425">
        <w:rPr>
          <w:sz w:val="26"/>
          <w:szCs w:val="26"/>
        </w:rPr>
        <w:t xml:space="preserve"> P</w:t>
      </w:r>
      <w:r w:rsidR="00025FED">
        <w:rPr>
          <w:sz w:val="26"/>
          <w:szCs w:val="26"/>
        </w:rPr>
        <w:t>-</w:t>
      </w:r>
      <w:r w:rsidRPr="00892425">
        <w:rPr>
          <w:sz w:val="26"/>
          <w:szCs w:val="26"/>
        </w:rPr>
        <w:t xml:space="preserve">2013-2371775 (Order entered August 29, 2013); </w:t>
      </w:r>
      <w:r w:rsidRPr="00EA4F36">
        <w:rPr>
          <w:i/>
          <w:sz w:val="26"/>
          <w:szCs w:val="26"/>
        </w:rPr>
        <w:t>Application of Buckeye Pipeline Co., L.P</w:t>
      </w:r>
      <w:r w:rsidRPr="00892425">
        <w:rPr>
          <w:sz w:val="26"/>
          <w:szCs w:val="26"/>
        </w:rPr>
        <w:t xml:space="preserve">., Docket No. A-140110F2000 (Order entered March 7, 2005).  Thus, the affirmative public benefits test is applied to determine if granting a CPC is in the public interest.  The mere absence of any adverse effect upon the public will not fulfill the affirmative public benefits test.  The Joint Applicants must show that the approval of the application “will affirmatively promote the service, accommodation, convenience, or safety of the public in some substantial way.”  </w:t>
      </w:r>
      <w:r w:rsidR="005B03C1" w:rsidRPr="00EA4F36">
        <w:rPr>
          <w:i/>
          <w:sz w:val="26"/>
          <w:szCs w:val="26"/>
        </w:rPr>
        <w:t>Popowsky</w:t>
      </w:r>
      <w:r w:rsidR="005B03C1">
        <w:rPr>
          <w:sz w:val="26"/>
          <w:szCs w:val="26"/>
        </w:rPr>
        <w:t xml:space="preserve"> at 1053-1054</w:t>
      </w:r>
      <w:r w:rsidRPr="00892425">
        <w:rPr>
          <w:sz w:val="26"/>
          <w:szCs w:val="26"/>
        </w:rPr>
        <w:t xml:space="preserve">. </w:t>
      </w:r>
    </w:p>
    <w:p w14:paraId="3C6940DA" w14:textId="4B42C0BA" w:rsidR="00B429DB" w:rsidRPr="00892425" w:rsidRDefault="00B429DB" w:rsidP="002C4EC5">
      <w:pPr>
        <w:spacing w:after="200"/>
        <w:ind w:firstLine="1440"/>
        <w:contextualSpacing/>
        <w:rPr>
          <w:sz w:val="26"/>
          <w:szCs w:val="26"/>
        </w:rPr>
      </w:pPr>
    </w:p>
    <w:p w14:paraId="2CE9C5B6" w14:textId="29B71A3C" w:rsidR="00B429DB" w:rsidRPr="00892425" w:rsidRDefault="00B429DB" w:rsidP="002C4EC5">
      <w:pPr>
        <w:spacing w:after="200"/>
        <w:ind w:firstLine="1440"/>
        <w:contextualSpacing/>
        <w:rPr>
          <w:sz w:val="26"/>
          <w:szCs w:val="26"/>
        </w:rPr>
      </w:pPr>
      <w:r w:rsidRPr="00892425">
        <w:rPr>
          <w:sz w:val="26"/>
          <w:szCs w:val="26"/>
        </w:rPr>
        <w:t xml:space="preserve">Under the affirmative public benefits test, there is no requirement to establish legally binding commitments beyond all doubt to assure a public benefit.  </w:t>
      </w:r>
      <w:r w:rsidRPr="00FB7495">
        <w:rPr>
          <w:i/>
          <w:sz w:val="26"/>
          <w:szCs w:val="26"/>
        </w:rPr>
        <w:t>Id</w:t>
      </w:r>
      <w:r w:rsidR="00862070">
        <w:rPr>
          <w:sz w:val="26"/>
          <w:szCs w:val="26"/>
        </w:rPr>
        <w:t>.</w:t>
      </w:r>
      <w:r w:rsidRPr="00892425">
        <w:rPr>
          <w:sz w:val="26"/>
          <w:szCs w:val="26"/>
        </w:rPr>
        <w:t xml:space="preserve"> at 1055. </w:t>
      </w:r>
      <w:r w:rsidR="005B03C1">
        <w:rPr>
          <w:sz w:val="26"/>
          <w:szCs w:val="26"/>
        </w:rPr>
        <w:t xml:space="preserve"> </w:t>
      </w:r>
      <w:r w:rsidRPr="00892425">
        <w:rPr>
          <w:sz w:val="26"/>
          <w:szCs w:val="26"/>
        </w:rPr>
        <w:t xml:space="preserve">Rather, a general determination finding that more likely than not a benefit will occur is all that is needed.  </w:t>
      </w:r>
      <w:r w:rsidRPr="00FB7495">
        <w:rPr>
          <w:i/>
          <w:sz w:val="26"/>
          <w:szCs w:val="26"/>
        </w:rPr>
        <w:t>Id</w:t>
      </w:r>
      <w:r w:rsidR="005B03C1">
        <w:rPr>
          <w:sz w:val="26"/>
          <w:szCs w:val="26"/>
        </w:rPr>
        <w:t>.</w:t>
      </w:r>
      <w:r w:rsidRPr="00892425">
        <w:rPr>
          <w:sz w:val="26"/>
          <w:szCs w:val="26"/>
        </w:rPr>
        <w:t xml:space="preserve"> at 1055 n</w:t>
      </w:r>
      <w:r w:rsidR="005B03C1">
        <w:rPr>
          <w:sz w:val="26"/>
          <w:szCs w:val="26"/>
        </w:rPr>
        <w:t>.</w:t>
      </w:r>
      <w:r w:rsidRPr="00892425">
        <w:rPr>
          <w:sz w:val="26"/>
          <w:szCs w:val="26"/>
        </w:rPr>
        <w:t xml:space="preserve"> 18.  Furthermore, the Commission is not to undertake quantifying benefits where it may be impractical, burdensome or impossible.  </w:t>
      </w:r>
      <w:r w:rsidR="00B32CA6" w:rsidRPr="00892425">
        <w:rPr>
          <w:sz w:val="26"/>
          <w:szCs w:val="26"/>
        </w:rPr>
        <w:t xml:space="preserve">Additionally, the Commission can impose conditions that it deems just and reasonable.  </w:t>
      </w:r>
      <w:r w:rsidRPr="00FB7495">
        <w:rPr>
          <w:i/>
          <w:sz w:val="26"/>
          <w:szCs w:val="26"/>
        </w:rPr>
        <w:t>Id</w:t>
      </w:r>
      <w:r w:rsidR="005B03C1">
        <w:rPr>
          <w:sz w:val="26"/>
          <w:szCs w:val="26"/>
        </w:rPr>
        <w:t>.</w:t>
      </w:r>
      <w:r w:rsidRPr="00892425">
        <w:rPr>
          <w:sz w:val="26"/>
          <w:szCs w:val="26"/>
        </w:rPr>
        <w:t xml:space="preserve"> at 1057, </w:t>
      </w:r>
      <w:r w:rsidRPr="00FB7495">
        <w:rPr>
          <w:i/>
          <w:sz w:val="26"/>
          <w:szCs w:val="26"/>
        </w:rPr>
        <w:t xml:space="preserve">see also McCloskey v. Pa. </w:t>
      </w:r>
      <w:r w:rsidR="005B03C1">
        <w:rPr>
          <w:i/>
          <w:sz w:val="26"/>
          <w:szCs w:val="26"/>
        </w:rPr>
        <w:t>PUC</w:t>
      </w:r>
      <w:r w:rsidRPr="00892425">
        <w:rPr>
          <w:sz w:val="26"/>
          <w:szCs w:val="26"/>
        </w:rPr>
        <w:t>, 195 A.3d 1055 (Pa.</w:t>
      </w:r>
      <w:r w:rsidR="005B03C1">
        <w:rPr>
          <w:sz w:val="26"/>
          <w:szCs w:val="26"/>
        </w:rPr>
        <w:t xml:space="preserve"> </w:t>
      </w:r>
      <w:r w:rsidRPr="00892425">
        <w:rPr>
          <w:sz w:val="26"/>
          <w:szCs w:val="26"/>
        </w:rPr>
        <w:t xml:space="preserve">Cmwlth. 2018).    </w:t>
      </w:r>
    </w:p>
    <w:p w14:paraId="1560A65C" w14:textId="77777777" w:rsidR="00FB7495" w:rsidRDefault="00FB7495" w:rsidP="002C4EC5">
      <w:pPr>
        <w:spacing w:after="200"/>
        <w:ind w:firstLine="1440"/>
        <w:contextualSpacing/>
        <w:rPr>
          <w:sz w:val="26"/>
          <w:szCs w:val="26"/>
        </w:rPr>
      </w:pPr>
    </w:p>
    <w:p w14:paraId="489FBFB0" w14:textId="7DA6E5F1" w:rsidR="00B429DB" w:rsidRPr="00892425" w:rsidRDefault="00B429DB" w:rsidP="002C4EC5">
      <w:pPr>
        <w:spacing w:after="200"/>
        <w:ind w:firstLine="1440"/>
        <w:contextualSpacing/>
        <w:rPr>
          <w:sz w:val="26"/>
          <w:szCs w:val="26"/>
        </w:rPr>
      </w:pPr>
      <w:r w:rsidRPr="00892425">
        <w:rPr>
          <w:sz w:val="26"/>
          <w:szCs w:val="26"/>
        </w:rPr>
        <w:t xml:space="preserve">The Commission and the courts have definitively held that a project need not be “absolutely necessary” in order to be in the public interest.   In </w:t>
      </w:r>
      <w:r w:rsidRPr="00892425">
        <w:rPr>
          <w:i/>
          <w:sz w:val="26"/>
          <w:szCs w:val="26"/>
        </w:rPr>
        <w:t xml:space="preserve">Hess v. Pa. </w:t>
      </w:r>
      <w:r w:rsidR="00B32CA6">
        <w:rPr>
          <w:i/>
          <w:sz w:val="26"/>
          <w:szCs w:val="26"/>
        </w:rPr>
        <w:t>PUC</w:t>
      </w:r>
      <w:r w:rsidRPr="00892425">
        <w:rPr>
          <w:sz w:val="26"/>
          <w:szCs w:val="26"/>
        </w:rPr>
        <w:t>, 107 A.3d 246, 262 (Pa.</w:t>
      </w:r>
      <w:r w:rsidR="00B32CA6">
        <w:rPr>
          <w:sz w:val="26"/>
          <w:szCs w:val="26"/>
        </w:rPr>
        <w:t xml:space="preserve"> </w:t>
      </w:r>
      <w:r w:rsidRPr="00892425">
        <w:rPr>
          <w:sz w:val="26"/>
          <w:szCs w:val="26"/>
        </w:rPr>
        <w:t xml:space="preserve">Cmwlth. 2014), an electric utility demonstrated that a project to add load transfer capability would shorten the duration of future outages in the project area.  The project’s opponents contended the project was not “absolutely necessary” to provide electric service and, therefore, was not needed, which was affirmed by the ALJs applying an absolute necessity standard.  The Commission unanimously reversed and rejected the absolute necessity standard.  On appeal, the Commonwealth Court upheld the Commission’s decision, explaining that an “absolute necessity” standard would require utilities to wait until the need was </w:t>
      </w:r>
      <w:r w:rsidR="00206D1B">
        <w:rPr>
          <w:sz w:val="26"/>
          <w:szCs w:val="26"/>
        </w:rPr>
        <w:t>imminent</w:t>
      </w:r>
      <w:r w:rsidR="008A1A1E">
        <w:rPr>
          <w:sz w:val="26"/>
          <w:szCs w:val="26"/>
        </w:rPr>
        <w:t>,</w:t>
      </w:r>
      <w:r w:rsidRPr="00892425">
        <w:rPr>
          <w:sz w:val="26"/>
          <w:szCs w:val="26"/>
        </w:rPr>
        <w:t xml:space="preserve"> as in </w:t>
      </w:r>
      <w:r w:rsidR="00206D1B">
        <w:rPr>
          <w:sz w:val="26"/>
          <w:szCs w:val="26"/>
        </w:rPr>
        <w:t>a</w:t>
      </w:r>
      <w:r w:rsidRPr="00892425">
        <w:rPr>
          <w:sz w:val="26"/>
          <w:szCs w:val="26"/>
        </w:rPr>
        <w:t xml:space="preserve"> system fail</w:t>
      </w:r>
      <w:r w:rsidR="00206D1B">
        <w:rPr>
          <w:sz w:val="26"/>
          <w:szCs w:val="26"/>
        </w:rPr>
        <w:t>ure</w:t>
      </w:r>
      <w:r w:rsidR="008A1A1E">
        <w:rPr>
          <w:sz w:val="26"/>
          <w:szCs w:val="26"/>
        </w:rPr>
        <w:t>,</w:t>
      </w:r>
      <w:r w:rsidRPr="00892425">
        <w:rPr>
          <w:sz w:val="26"/>
          <w:szCs w:val="26"/>
        </w:rPr>
        <w:t xml:space="preserve"> before seeking approval.  </w:t>
      </w:r>
      <w:r w:rsidRPr="00892425">
        <w:rPr>
          <w:i/>
          <w:sz w:val="26"/>
          <w:szCs w:val="26"/>
        </w:rPr>
        <w:t>Id.</w:t>
      </w:r>
      <w:r w:rsidRPr="00892425">
        <w:rPr>
          <w:sz w:val="26"/>
          <w:szCs w:val="26"/>
        </w:rPr>
        <w:t xml:space="preserve"> at 262.  The Commonwealth Court reasoned, “Not only would this approach be impractical and unrealistic, it would actually pose a danger to the health, </w:t>
      </w:r>
      <w:r w:rsidRPr="00892425">
        <w:rPr>
          <w:sz w:val="26"/>
          <w:szCs w:val="26"/>
        </w:rPr>
        <w:lastRenderedPageBreak/>
        <w:t xml:space="preserve">safety and welfare of the public.”  </w:t>
      </w:r>
      <w:r w:rsidRPr="00892425">
        <w:rPr>
          <w:i/>
          <w:sz w:val="26"/>
          <w:szCs w:val="26"/>
        </w:rPr>
        <w:t>Id</w:t>
      </w:r>
      <w:r w:rsidRPr="00892425">
        <w:rPr>
          <w:sz w:val="26"/>
          <w:szCs w:val="26"/>
        </w:rPr>
        <w:t xml:space="preserve">.  Thus, the need and benefits of a project need not be shown to be absolutely necessary. </w:t>
      </w:r>
    </w:p>
    <w:p w14:paraId="3389A04D" w14:textId="77777777" w:rsidR="00B429DB" w:rsidRPr="00892425" w:rsidRDefault="00B429DB" w:rsidP="002C4EC5">
      <w:pPr>
        <w:spacing w:after="200"/>
        <w:ind w:firstLine="1440"/>
        <w:contextualSpacing/>
        <w:rPr>
          <w:sz w:val="26"/>
          <w:szCs w:val="26"/>
        </w:rPr>
      </w:pPr>
      <w:r w:rsidRPr="00892425">
        <w:rPr>
          <w:sz w:val="26"/>
          <w:szCs w:val="26"/>
        </w:rPr>
        <w:t xml:space="preserve"> </w:t>
      </w:r>
    </w:p>
    <w:p w14:paraId="66CF91EF" w14:textId="6F415E62" w:rsidR="00B429DB" w:rsidRPr="00892425" w:rsidRDefault="00B429DB" w:rsidP="002C4EC5">
      <w:pPr>
        <w:spacing w:after="200"/>
        <w:ind w:firstLine="1440"/>
        <w:contextualSpacing/>
        <w:rPr>
          <w:sz w:val="26"/>
          <w:szCs w:val="26"/>
        </w:rPr>
      </w:pPr>
      <w:r w:rsidRPr="00892425">
        <w:rPr>
          <w:sz w:val="26"/>
          <w:szCs w:val="26"/>
        </w:rPr>
        <w:t xml:space="preserve">In addition, when considering the public interest, the Commission may consider how the benefits and detriments impact “all affected parties, and not merely one particular group or geographic subdivision.”  </w:t>
      </w:r>
      <w:r w:rsidRPr="00892425">
        <w:rPr>
          <w:i/>
          <w:sz w:val="26"/>
          <w:szCs w:val="26"/>
        </w:rPr>
        <w:t>Middletown Twp. v. Pa. P</w:t>
      </w:r>
      <w:r w:rsidR="00CC1227">
        <w:rPr>
          <w:i/>
          <w:sz w:val="26"/>
          <w:szCs w:val="26"/>
        </w:rPr>
        <w:t>UC</w:t>
      </w:r>
      <w:r w:rsidRPr="00892425">
        <w:rPr>
          <w:sz w:val="26"/>
          <w:szCs w:val="26"/>
        </w:rPr>
        <w:t>, 482 A.2d 674, 682 (Pa.</w:t>
      </w:r>
      <w:r w:rsidR="00CC1227">
        <w:rPr>
          <w:sz w:val="26"/>
          <w:szCs w:val="26"/>
        </w:rPr>
        <w:t xml:space="preserve"> </w:t>
      </w:r>
      <w:r w:rsidRPr="00892425">
        <w:rPr>
          <w:sz w:val="26"/>
          <w:szCs w:val="26"/>
        </w:rPr>
        <w:t xml:space="preserve">Cmwlth. 1984) (emphasis in original).  </w:t>
      </w:r>
      <w:r w:rsidRPr="00FB7495">
        <w:rPr>
          <w:i/>
          <w:sz w:val="26"/>
          <w:szCs w:val="26"/>
        </w:rPr>
        <w:t>See also</w:t>
      </w:r>
      <w:r w:rsidRPr="00892425">
        <w:rPr>
          <w:i/>
          <w:sz w:val="26"/>
          <w:szCs w:val="26"/>
        </w:rPr>
        <w:t>, Dunk v. Pa. P</w:t>
      </w:r>
      <w:r w:rsidR="00CC1227">
        <w:rPr>
          <w:i/>
          <w:sz w:val="26"/>
          <w:szCs w:val="26"/>
        </w:rPr>
        <w:t>UC</w:t>
      </w:r>
      <w:r w:rsidRPr="00892425">
        <w:rPr>
          <w:sz w:val="26"/>
          <w:szCs w:val="26"/>
        </w:rPr>
        <w:t>, 232 A.2d 231, 234-35 (Pa. Super. 1967) (where public benefit included companies and customers other than the proponent utility).</w:t>
      </w:r>
    </w:p>
    <w:p w14:paraId="5C5D97AF" w14:textId="3301DF61" w:rsidR="00B429DB" w:rsidRPr="00892425" w:rsidRDefault="00B429DB" w:rsidP="002C4EC5">
      <w:pPr>
        <w:spacing w:after="200"/>
        <w:ind w:firstLine="1440"/>
        <w:contextualSpacing/>
        <w:rPr>
          <w:sz w:val="26"/>
          <w:szCs w:val="26"/>
        </w:rPr>
      </w:pPr>
    </w:p>
    <w:p w14:paraId="69E3487A" w14:textId="3E626CF6" w:rsidR="006813F5" w:rsidRPr="00892425" w:rsidRDefault="006813F5" w:rsidP="002C4EC5">
      <w:pPr>
        <w:pStyle w:val="Heading4"/>
        <w:keepLines/>
        <w:ind w:left="2160" w:hanging="720"/>
        <w:contextualSpacing/>
        <w:jc w:val="left"/>
      </w:pPr>
      <w:r w:rsidRPr="00892425">
        <w:t>3.</w:t>
      </w:r>
      <w:r w:rsidRPr="00892425">
        <w:tab/>
        <w:t>Positions of the Parties</w:t>
      </w:r>
    </w:p>
    <w:p w14:paraId="420313C4" w14:textId="60FAE079" w:rsidR="006813F5" w:rsidRPr="00892425" w:rsidRDefault="006813F5" w:rsidP="002C4EC5">
      <w:pPr>
        <w:keepNext/>
        <w:keepLines/>
        <w:spacing w:after="200"/>
        <w:ind w:firstLine="1440"/>
        <w:contextualSpacing/>
        <w:rPr>
          <w:sz w:val="26"/>
          <w:szCs w:val="26"/>
        </w:rPr>
      </w:pPr>
    </w:p>
    <w:p w14:paraId="13826A43" w14:textId="1F02A876" w:rsidR="006813F5" w:rsidRPr="00892425" w:rsidRDefault="006813F5" w:rsidP="002C4EC5">
      <w:pPr>
        <w:spacing w:after="200"/>
        <w:ind w:firstLine="1440"/>
        <w:contextualSpacing/>
        <w:rPr>
          <w:sz w:val="26"/>
          <w:szCs w:val="26"/>
        </w:rPr>
      </w:pPr>
      <w:r w:rsidRPr="00892425">
        <w:rPr>
          <w:sz w:val="26"/>
          <w:szCs w:val="26"/>
        </w:rPr>
        <w:t xml:space="preserve">In the </w:t>
      </w:r>
      <w:r w:rsidR="0098356A">
        <w:rPr>
          <w:sz w:val="26"/>
          <w:szCs w:val="26"/>
        </w:rPr>
        <w:t>Joint Merger Application</w:t>
      </w:r>
      <w:r w:rsidRPr="00892425">
        <w:rPr>
          <w:sz w:val="26"/>
          <w:szCs w:val="26"/>
        </w:rPr>
        <w:t xml:space="preserve">, the Joint Applicants stressed that in the </w:t>
      </w:r>
      <w:r w:rsidRPr="00892425">
        <w:rPr>
          <w:i/>
          <w:sz w:val="26"/>
          <w:szCs w:val="26"/>
        </w:rPr>
        <w:t xml:space="preserve">September 2015 Order, </w:t>
      </w:r>
      <w:r w:rsidRPr="00892425">
        <w:rPr>
          <w:sz w:val="26"/>
          <w:szCs w:val="26"/>
        </w:rPr>
        <w:t xml:space="preserve">the Commission concluded that the transfer of control of Superior to Aqua would enhance the services provided by Superior by giving Superior greater access to the financial and technical resources of Aqua.  </w:t>
      </w:r>
      <w:r w:rsidR="002E0266" w:rsidRPr="00892425">
        <w:rPr>
          <w:sz w:val="26"/>
          <w:szCs w:val="26"/>
        </w:rPr>
        <w:t xml:space="preserve">The Joint </w:t>
      </w:r>
      <w:r w:rsidR="003134BE" w:rsidRPr="00892425">
        <w:rPr>
          <w:sz w:val="26"/>
          <w:szCs w:val="26"/>
        </w:rPr>
        <w:t>Applicants</w:t>
      </w:r>
      <w:r w:rsidR="002E0266" w:rsidRPr="00892425">
        <w:rPr>
          <w:sz w:val="26"/>
          <w:szCs w:val="26"/>
        </w:rPr>
        <w:t xml:space="preserve"> explained that in r</w:t>
      </w:r>
      <w:r w:rsidRPr="00892425">
        <w:rPr>
          <w:sz w:val="26"/>
          <w:szCs w:val="26"/>
        </w:rPr>
        <w:t xml:space="preserve">elying on the public interest benefits claimed by Aqua and Superior and citing </w:t>
      </w:r>
      <w:r w:rsidRPr="00892425">
        <w:rPr>
          <w:i/>
          <w:sz w:val="26"/>
          <w:szCs w:val="26"/>
        </w:rPr>
        <w:t>City of York</w:t>
      </w:r>
      <w:r w:rsidRPr="00892425">
        <w:rPr>
          <w:sz w:val="26"/>
          <w:szCs w:val="26"/>
        </w:rPr>
        <w:t>, the Commission concluded</w:t>
      </w:r>
      <w:r w:rsidR="002E0266" w:rsidRPr="00892425">
        <w:rPr>
          <w:sz w:val="26"/>
          <w:szCs w:val="26"/>
        </w:rPr>
        <w:t xml:space="preserve"> </w:t>
      </w:r>
      <w:r w:rsidRPr="00892425">
        <w:rPr>
          <w:sz w:val="26"/>
          <w:szCs w:val="26"/>
        </w:rPr>
        <w:t xml:space="preserve">that the record </w:t>
      </w:r>
      <w:r w:rsidR="002E0266" w:rsidRPr="00892425">
        <w:rPr>
          <w:sz w:val="26"/>
          <w:szCs w:val="26"/>
        </w:rPr>
        <w:t xml:space="preserve">in that proceeding </w:t>
      </w:r>
      <w:r w:rsidRPr="00892425">
        <w:rPr>
          <w:sz w:val="26"/>
          <w:szCs w:val="26"/>
        </w:rPr>
        <w:t>provide</w:t>
      </w:r>
      <w:r w:rsidR="002E0266" w:rsidRPr="00892425">
        <w:rPr>
          <w:sz w:val="26"/>
          <w:szCs w:val="26"/>
        </w:rPr>
        <w:t>d</w:t>
      </w:r>
      <w:r w:rsidRPr="00892425">
        <w:rPr>
          <w:sz w:val="26"/>
          <w:szCs w:val="26"/>
        </w:rPr>
        <w:t xml:space="preserve"> substantial evidence of </w:t>
      </w:r>
      <w:r w:rsidR="002E0266" w:rsidRPr="00892425">
        <w:rPr>
          <w:sz w:val="26"/>
          <w:szCs w:val="26"/>
        </w:rPr>
        <w:t>affi</w:t>
      </w:r>
      <w:r w:rsidR="00BD023D">
        <w:rPr>
          <w:sz w:val="26"/>
          <w:szCs w:val="26"/>
        </w:rPr>
        <w:t>r</w:t>
      </w:r>
      <w:r w:rsidR="006E0686">
        <w:rPr>
          <w:sz w:val="26"/>
          <w:szCs w:val="26"/>
        </w:rPr>
        <w:t>ma</w:t>
      </w:r>
      <w:r w:rsidR="002E0266" w:rsidRPr="00892425">
        <w:rPr>
          <w:sz w:val="26"/>
          <w:szCs w:val="26"/>
        </w:rPr>
        <w:t>tive</w:t>
      </w:r>
      <w:r w:rsidRPr="00892425">
        <w:rPr>
          <w:sz w:val="26"/>
          <w:szCs w:val="26"/>
        </w:rPr>
        <w:t xml:space="preserve"> public benefits sufficient to warrant</w:t>
      </w:r>
      <w:r w:rsidR="002E0266" w:rsidRPr="00892425">
        <w:rPr>
          <w:sz w:val="26"/>
          <w:szCs w:val="26"/>
        </w:rPr>
        <w:t xml:space="preserve"> </w:t>
      </w:r>
      <w:r w:rsidRPr="00892425">
        <w:rPr>
          <w:sz w:val="26"/>
          <w:szCs w:val="26"/>
        </w:rPr>
        <w:t>approval of the transaction.</w:t>
      </w:r>
      <w:r w:rsidR="002E0266" w:rsidRPr="00892425">
        <w:rPr>
          <w:sz w:val="26"/>
          <w:szCs w:val="26"/>
        </w:rPr>
        <w:t xml:space="preserve">  </w:t>
      </w:r>
      <w:r w:rsidR="0098356A">
        <w:rPr>
          <w:sz w:val="26"/>
          <w:szCs w:val="26"/>
        </w:rPr>
        <w:t>Joint Merger Application</w:t>
      </w:r>
      <w:r w:rsidR="002E0266" w:rsidRPr="00892425">
        <w:rPr>
          <w:sz w:val="26"/>
          <w:szCs w:val="26"/>
        </w:rPr>
        <w:t xml:space="preserve"> at 4-5 (citing </w:t>
      </w:r>
      <w:r w:rsidR="002E0266" w:rsidRPr="00892425">
        <w:rPr>
          <w:i/>
          <w:sz w:val="26"/>
          <w:szCs w:val="26"/>
        </w:rPr>
        <w:t xml:space="preserve">September 2015 Order </w:t>
      </w:r>
      <w:r w:rsidR="002E0266" w:rsidRPr="00892425">
        <w:rPr>
          <w:sz w:val="26"/>
          <w:szCs w:val="26"/>
        </w:rPr>
        <w:t>at 6-7).</w:t>
      </w:r>
    </w:p>
    <w:p w14:paraId="3273833C" w14:textId="147E7289" w:rsidR="002E0266" w:rsidRPr="00892425" w:rsidRDefault="002E0266" w:rsidP="002C4EC5">
      <w:pPr>
        <w:spacing w:after="200"/>
        <w:ind w:firstLine="1440"/>
        <w:contextualSpacing/>
        <w:rPr>
          <w:sz w:val="26"/>
          <w:szCs w:val="26"/>
        </w:rPr>
      </w:pPr>
    </w:p>
    <w:p w14:paraId="51FCAE29" w14:textId="759964BD" w:rsidR="002E0266" w:rsidRPr="00892425" w:rsidRDefault="002E0266" w:rsidP="002C4EC5">
      <w:pPr>
        <w:spacing w:after="200"/>
        <w:ind w:firstLine="1440"/>
        <w:contextualSpacing/>
        <w:rPr>
          <w:sz w:val="26"/>
          <w:szCs w:val="26"/>
        </w:rPr>
      </w:pPr>
      <w:r w:rsidRPr="00892425">
        <w:rPr>
          <w:sz w:val="26"/>
          <w:szCs w:val="26"/>
        </w:rPr>
        <w:t xml:space="preserve">According to the Joint Applicants, approval of the </w:t>
      </w:r>
      <w:r w:rsidR="0098356A">
        <w:rPr>
          <w:sz w:val="26"/>
          <w:szCs w:val="26"/>
        </w:rPr>
        <w:t>Joint Merger Application</w:t>
      </w:r>
      <w:r w:rsidRPr="00892425">
        <w:rPr>
          <w:sz w:val="26"/>
          <w:szCs w:val="26"/>
        </w:rPr>
        <w:t xml:space="preserve"> and the issuance of the requested </w:t>
      </w:r>
      <w:r w:rsidR="006E0686">
        <w:rPr>
          <w:sz w:val="26"/>
          <w:szCs w:val="26"/>
        </w:rPr>
        <w:t>CPC</w:t>
      </w:r>
      <w:r w:rsidRPr="00892425">
        <w:rPr>
          <w:sz w:val="26"/>
          <w:szCs w:val="26"/>
        </w:rPr>
        <w:t xml:space="preserve"> and such other approvals as may be required is </w:t>
      </w:r>
      <w:r w:rsidR="006E0686">
        <w:rPr>
          <w:sz w:val="26"/>
          <w:szCs w:val="26"/>
        </w:rPr>
        <w:t>“</w:t>
      </w:r>
      <w:r w:rsidRPr="00892425">
        <w:rPr>
          <w:sz w:val="26"/>
          <w:szCs w:val="26"/>
        </w:rPr>
        <w:t>necessary or proper for the service, accommodation, convenience, or safety of the public</w:t>
      </w:r>
      <w:r w:rsidR="006E0686">
        <w:rPr>
          <w:sz w:val="26"/>
          <w:szCs w:val="26"/>
        </w:rPr>
        <w:t>”</w:t>
      </w:r>
      <w:r w:rsidRPr="00892425">
        <w:rPr>
          <w:sz w:val="26"/>
          <w:szCs w:val="26"/>
        </w:rPr>
        <w:t xml:space="preserve"> and will provide affirmative public </w:t>
      </w:r>
      <w:r w:rsidR="00FB7495" w:rsidRPr="00892425">
        <w:rPr>
          <w:sz w:val="26"/>
          <w:szCs w:val="26"/>
        </w:rPr>
        <w:t>benefi</w:t>
      </w:r>
      <w:r w:rsidR="00FB7495">
        <w:rPr>
          <w:sz w:val="26"/>
          <w:szCs w:val="26"/>
        </w:rPr>
        <w:t>t</w:t>
      </w:r>
      <w:r w:rsidR="00FB7495" w:rsidRPr="00892425">
        <w:rPr>
          <w:sz w:val="26"/>
          <w:szCs w:val="26"/>
        </w:rPr>
        <w:t>s</w:t>
      </w:r>
      <w:r w:rsidRPr="00892425">
        <w:rPr>
          <w:sz w:val="26"/>
          <w:szCs w:val="26"/>
        </w:rPr>
        <w:t xml:space="preserve"> as the merger of Superior into Aqua, as anticipated in the </w:t>
      </w:r>
      <w:r w:rsidRPr="00892425">
        <w:rPr>
          <w:i/>
          <w:sz w:val="26"/>
          <w:szCs w:val="26"/>
        </w:rPr>
        <w:t>September 2015 Order</w:t>
      </w:r>
      <w:r w:rsidRPr="00892425">
        <w:rPr>
          <w:sz w:val="26"/>
          <w:szCs w:val="26"/>
        </w:rPr>
        <w:t xml:space="preserve">, will save the Commission and the Joint Applicants time and resources and promote administrative efficiency.  The Joint Applicants elaborated that upon the folding of Superior into Aqua and after the </w:t>
      </w:r>
      <w:r w:rsidRPr="00892425">
        <w:rPr>
          <w:sz w:val="26"/>
          <w:szCs w:val="26"/>
        </w:rPr>
        <w:lastRenderedPageBreak/>
        <w:t xml:space="preserve">conclusion of the instant base rate proceeding, Superior will cease providing utility service.  The Joint Applicants noted that, as it will no longer exist as a public utility, Superior will no longer have a separate tariff, Long-Term Infrastructure Improvement Plan, annual report, earnings reports, or other Commission administrative filings. Moreover, the Joint Applicants asserted the </w:t>
      </w:r>
      <w:bookmarkStart w:id="18" w:name="_Hlk6908341"/>
      <w:r w:rsidRPr="00892425">
        <w:rPr>
          <w:sz w:val="26"/>
          <w:szCs w:val="26"/>
        </w:rPr>
        <w:t>folding of Superior, through merger, into Aqua</w:t>
      </w:r>
      <w:bookmarkEnd w:id="18"/>
      <w:r w:rsidRPr="00892425">
        <w:rPr>
          <w:sz w:val="26"/>
          <w:szCs w:val="26"/>
        </w:rPr>
        <w:t xml:space="preserve">, </w:t>
      </w:r>
      <w:r w:rsidR="003E5D3E" w:rsidRPr="00892425">
        <w:rPr>
          <w:sz w:val="26"/>
          <w:szCs w:val="26"/>
        </w:rPr>
        <w:t xml:space="preserve">will eliminate duplicity and will free </w:t>
      </w:r>
      <w:r w:rsidRPr="00892425">
        <w:rPr>
          <w:sz w:val="26"/>
          <w:szCs w:val="26"/>
        </w:rPr>
        <w:t xml:space="preserve">the Commission </w:t>
      </w:r>
      <w:r w:rsidR="003E5D3E" w:rsidRPr="00892425">
        <w:rPr>
          <w:sz w:val="26"/>
          <w:szCs w:val="26"/>
        </w:rPr>
        <w:t>from having</w:t>
      </w:r>
      <w:r w:rsidRPr="00892425">
        <w:rPr>
          <w:sz w:val="26"/>
          <w:szCs w:val="26"/>
        </w:rPr>
        <w:t xml:space="preserve"> to devote scarce time and resources to reviewing these various filings.  </w:t>
      </w:r>
      <w:r w:rsidR="0098356A">
        <w:rPr>
          <w:sz w:val="26"/>
          <w:szCs w:val="26"/>
        </w:rPr>
        <w:t>Joint Merger Application</w:t>
      </w:r>
      <w:r w:rsidRPr="00892425">
        <w:rPr>
          <w:sz w:val="26"/>
          <w:szCs w:val="26"/>
        </w:rPr>
        <w:t xml:space="preserve"> at 4-5</w:t>
      </w:r>
      <w:r w:rsidR="0074520B">
        <w:rPr>
          <w:sz w:val="26"/>
          <w:szCs w:val="26"/>
        </w:rPr>
        <w:t>.</w:t>
      </w:r>
    </w:p>
    <w:p w14:paraId="7F72B275" w14:textId="77777777" w:rsidR="006813F5" w:rsidRPr="00892425" w:rsidRDefault="006813F5" w:rsidP="002C4EC5">
      <w:pPr>
        <w:spacing w:after="200"/>
        <w:ind w:firstLine="1440"/>
        <w:contextualSpacing/>
        <w:rPr>
          <w:sz w:val="26"/>
          <w:szCs w:val="26"/>
        </w:rPr>
      </w:pPr>
    </w:p>
    <w:p w14:paraId="3063E7A1" w14:textId="46B54416" w:rsidR="00187052" w:rsidRPr="00892425" w:rsidRDefault="006813F5" w:rsidP="002C4EC5">
      <w:pPr>
        <w:pStyle w:val="Heading4"/>
        <w:keepLines/>
        <w:ind w:left="2160" w:hanging="720"/>
        <w:contextualSpacing/>
        <w:jc w:val="left"/>
      </w:pPr>
      <w:r w:rsidRPr="00892425">
        <w:t>4</w:t>
      </w:r>
      <w:r w:rsidR="00187052" w:rsidRPr="00892425">
        <w:t>.</w:t>
      </w:r>
      <w:r w:rsidR="00187052" w:rsidRPr="00892425">
        <w:tab/>
        <w:t>ALJs’ Recommendation</w:t>
      </w:r>
    </w:p>
    <w:p w14:paraId="03B9DD64" w14:textId="77777777" w:rsidR="00187052" w:rsidRPr="00892425" w:rsidRDefault="00187052" w:rsidP="002C4EC5">
      <w:pPr>
        <w:keepNext/>
        <w:keepLines/>
        <w:spacing w:after="200"/>
        <w:ind w:firstLine="1440"/>
        <w:contextualSpacing/>
        <w:rPr>
          <w:sz w:val="26"/>
          <w:szCs w:val="26"/>
        </w:rPr>
      </w:pPr>
    </w:p>
    <w:p w14:paraId="0C6EE6E6" w14:textId="18BAAFC8" w:rsidR="00187052" w:rsidRPr="00892425" w:rsidRDefault="002E0266" w:rsidP="002C4EC5">
      <w:pPr>
        <w:spacing w:after="200"/>
        <w:ind w:firstLine="1440"/>
        <w:contextualSpacing/>
        <w:rPr>
          <w:sz w:val="26"/>
          <w:szCs w:val="26"/>
        </w:rPr>
      </w:pPr>
      <w:r w:rsidRPr="00892425">
        <w:rPr>
          <w:sz w:val="26"/>
          <w:szCs w:val="26"/>
        </w:rPr>
        <w:t>In their Recommended Decision, the ALJs</w:t>
      </w:r>
      <w:r w:rsidR="003E5D3E" w:rsidRPr="00892425">
        <w:rPr>
          <w:sz w:val="26"/>
          <w:szCs w:val="26"/>
        </w:rPr>
        <w:t xml:space="preserve"> recommended approval of the </w:t>
      </w:r>
      <w:r w:rsidR="0098356A">
        <w:rPr>
          <w:sz w:val="26"/>
          <w:szCs w:val="26"/>
        </w:rPr>
        <w:t>Joint Merger Application</w:t>
      </w:r>
      <w:r w:rsidR="003E5D3E" w:rsidRPr="00892425">
        <w:rPr>
          <w:sz w:val="26"/>
          <w:szCs w:val="26"/>
        </w:rPr>
        <w:t xml:space="preserve">.  The ALJs explained that the Joint Applicants are simply fulfilling what has been anticipated since the issuance of the </w:t>
      </w:r>
      <w:r w:rsidR="003E5D3E" w:rsidRPr="00892425">
        <w:rPr>
          <w:i/>
          <w:sz w:val="26"/>
          <w:szCs w:val="26"/>
        </w:rPr>
        <w:t xml:space="preserve">September 2015 Order.  </w:t>
      </w:r>
      <w:r w:rsidR="003E5D3E" w:rsidRPr="00892425">
        <w:rPr>
          <w:sz w:val="26"/>
          <w:szCs w:val="26"/>
        </w:rPr>
        <w:t xml:space="preserve">The ALJs found that the record shows substantial evidence of affirmative public benefits sufficient to warrant the approval of the merger of Superior into Aqua  and the abandonment of Superior pursuant to </w:t>
      </w:r>
      <w:r w:rsidR="003E5D3E" w:rsidRPr="00892425">
        <w:rPr>
          <w:i/>
          <w:sz w:val="26"/>
          <w:szCs w:val="26"/>
        </w:rPr>
        <w:t xml:space="preserve">City of York </w:t>
      </w:r>
      <w:r w:rsidR="003E5D3E" w:rsidRPr="00892425">
        <w:rPr>
          <w:sz w:val="26"/>
          <w:szCs w:val="26"/>
        </w:rPr>
        <w:t xml:space="preserve">and </w:t>
      </w:r>
      <w:r w:rsidR="003E5D3E" w:rsidRPr="00892425">
        <w:rPr>
          <w:i/>
          <w:sz w:val="26"/>
          <w:szCs w:val="26"/>
        </w:rPr>
        <w:t xml:space="preserve">Popowsky, supra </w:t>
      </w:r>
      <w:r w:rsidR="003E5D3E" w:rsidRPr="00892425">
        <w:rPr>
          <w:sz w:val="26"/>
          <w:szCs w:val="26"/>
        </w:rPr>
        <w:t xml:space="preserve">.  Therefore, the ALJs concluded that the merger of Superior into </w:t>
      </w:r>
      <w:r w:rsidR="00A47558">
        <w:rPr>
          <w:sz w:val="26"/>
          <w:szCs w:val="26"/>
        </w:rPr>
        <w:t>A</w:t>
      </w:r>
      <w:r w:rsidR="003E5D3E" w:rsidRPr="00892425">
        <w:rPr>
          <w:sz w:val="26"/>
          <w:szCs w:val="26"/>
        </w:rPr>
        <w:t xml:space="preserve">qua is necessary and proper for the service, accommodation, convenience, or safety of the public.  The ALJs also concluded that the abandonment of Superior is efficient and beneficial to the operation of Aqua and, therefore, in the public interest.  Finally, the ALJs found it compelling that there is no opposition to the approval of the </w:t>
      </w:r>
      <w:r w:rsidR="0098356A">
        <w:rPr>
          <w:sz w:val="26"/>
          <w:szCs w:val="26"/>
        </w:rPr>
        <w:t>Joint Merger Application</w:t>
      </w:r>
      <w:r w:rsidR="003E5D3E" w:rsidRPr="00892425">
        <w:rPr>
          <w:sz w:val="26"/>
          <w:szCs w:val="26"/>
        </w:rPr>
        <w:t>.  R.D. at 84-86.</w:t>
      </w:r>
    </w:p>
    <w:p w14:paraId="159CC76B" w14:textId="6946C488" w:rsidR="00187052" w:rsidRDefault="00187052" w:rsidP="002C4EC5">
      <w:pPr>
        <w:spacing w:after="200"/>
        <w:ind w:firstLine="1440"/>
        <w:contextualSpacing/>
        <w:rPr>
          <w:sz w:val="26"/>
          <w:szCs w:val="26"/>
        </w:rPr>
      </w:pPr>
    </w:p>
    <w:p w14:paraId="5AEE81FA" w14:textId="51C56A1A" w:rsidR="005874DA" w:rsidRPr="00BF2F1A" w:rsidRDefault="005874DA" w:rsidP="002C4EC5">
      <w:pPr>
        <w:spacing w:after="200"/>
        <w:ind w:firstLine="1440"/>
        <w:contextualSpacing/>
        <w:rPr>
          <w:i/>
          <w:sz w:val="26"/>
          <w:szCs w:val="26"/>
        </w:rPr>
      </w:pPr>
      <w:r>
        <w:rPr>
          <w:sz w:val="26"/>
          <w:szCs w:val="26"/>
        </w:rPr>
        <w:t>We will dispose of the Joint Merger Application</w:t>
      </w:r>
      <w:r w:rsidR="00BF2F1A">
        <w:rPr>
          <w:sz w:val="26"/>
          <w:szCs w:val="26"/>
        </w:rPr>
        <w:t xml:space="preserve">, </w:t>
      </w:r>
      <w:r w:rsidR="00BF2F1A">
        <w:rPr>
          <w:i/>
          <w:sz w:val="26"/>
          <w:szCs w:val="26"/>
        </w:rPr>
        <w:t>infra.</w:t>
      </w:r>
    </w:p>
    <w:p w14:paraId="7B0246C1" w14:textId="533F8826" w:rsidR="00DC1B06" w:rsidRDefault="00DC1B06" w:rsidP="002C4EC5">
      <w:pPr>
        <w:spacing w:after="200" w:line="276" w:lineRule="auto"/>
        <w:ind w:firstLine="1440"/>
        <w:contextualSpacing/>
        <w:rPr>
          <w:sz w:val="26"/>
          <w:szCs w:val="26"/>
        </w:rPr>
      </w:pPr>
    </w:p>
    <w:p w14:paraId="5F222BE2" w14:textId="77777777" w:rsidR="00203E2F" w:rsidRPr="00BF2F1A" w:rsidRDefault="00203E2F" w:rsidP="002C4EC5">
      <w:pPr>
        <w:pStyle w:val="Heading2"/>
        <w:keepLines/>
        <w:ind w:left="1440" w:hanging="720"/>
        <w:contextualSpacing/>
      </w:pPr>
      <w:r w:rsidRPr="00BF2F1A">
        <w:lastRenderedPageBreak/>
        <w:t>C.</w:t>
      </w:r>
      <w:r w:rsidRPr="00BF2F1A">
        <w:tab/>
        <w:t>Disposition</w:t>
      </w:r>
    </w:p>
    <w:p w14:paraId="3CFA627B" w14:textId="77777777" w:rsidR="00203E2F" w:rsidRPr="00203E2F" w:rsidRDefault="00203E2F" w:rsidP="002C4EC5">
      <w:pPr>
        <w:keepNext/>
        <w:keepLines/>
        <w:contextualSpacing/>
        <w:rPr>
          <w:rFonts w:eastAsiaTheme="minorHAnsi" w:cstheme="minorBidi"/>
          <w:b/>
          <w:sz w:val="26"/>
          <w:szCs w:val="26"/>
        </w:rPr>
      </w:pPr>
    </w:p>
    <w:p w14:paraId="6CA0D94E" w14:textId="6E348081" w:rsidR="00203E2F" w:rsidRPr="00BF2F1A" w:rsidRDefault="00203E2F" w:rsidP="002C4EC5">
      <w:pPr>
        <w:pStyle w:val="Heading4"/>
        <w:keepLines/>
        <w:ind w:left="2160" w:hanging="720"/>
        <w:contextualSpacing/>
        <w:jc w:val="left"/>
      </w:pPr>
      <w:r w:rsidRPr="00BF2F1A">
        <w:t>1.</w:t>
      </w:r>
      <w:r w:rsidRPr="00BF2F1A">
        <w:tab/>
        <w:t>Exceptions</w:t>
      </w:r>
    </w:p>
    <w:p w14:paraId="71BD7042" w14:textId="77777777" w:rsidR="00203E2F" w:rsidRPr="00BF2F1A" w:rsidRDefault="00203E2F" w:rsidP="002C4EC5">
      <w:pPr>
        <w:pStyle w:val="Heading4"/>
        <w:keepLines/>
        <w:ind w:left="2160" w:hanging="720"/>
        <w:contextualSpacing/>
        <w:jc w:val="left"/>
      </w:pPr>
    </w:p>
    <w:p w14:paraId="0B88759D" w14:textId="77777777" w:rsidR="00203E2F" w:rsidRPr="00203E2F" w:rsidRDefault="00203E2F" w:rsidP="002C4EC5">
      <w:pPr>
        <w:spacing w:after="200"/>
        <w:ind w:firstLine="1440"/>
        <w:contextualSpacing/>
        <w:rPr>
          <w:sz w:val="26"/>
          <w:szCs w:val="26"/>
        </w:rPr>
      </w:pPr>
      <w:r w:rsidRPr="00203E2F">
        <w:rPr>
          <w:sz w:val="26"/>
          <w:szCs w:val="26"/>
        </w:rPr>
        <w:t>We find no merit in the Exceptions of TLPOA.  As Aqua points out, TLPOA did not present any of its arguments until it filed Exceptions to the ALJs’ Recommended Decision.  As such, they are not part of the record in this proceeding.  It is axiomatic that this Commission must base its decisions on the evidence in the record, and we are prohibited from looking beyond the record for evidence not previously supplied to support a desired finding of fact or conclusion of law.  52 Pa. Code § 5.431.  Nonetheless, it is important to note that even if we  considered the arguments TLPOA set forth in its Exceptions, we find that TLPOA has failed to make a convincing argument that the ALJs erred in recommending that the Joint Settlement be approved, without modification.  Our review of the Residential Average Monthly Bill Comparison for Aqua Water customers in Appendix D to the Joint Settlement</w:t>
      </w:r>
      <w:r w:rsidRPr="00203E2F">
        <w:rPr>
          <w:sz w:val="26"/>
          <w:szCs w:val="26"/>
          <w:vertAlign w:val="superscript"/>
        </w:rPr>
        <w:footnoteReference w:id="13"/>
      </w:r>
      <w:r w:rsidRPr="00203E2F">
        <w:rPr>
          <w:sz w:val="26"/>
          <w:szCs w:val="26"/>
        </w:rPr>
        <w:t xml:space="preserve"> corroborates Aqua’s assertion that TLPOA’s focus on the percent increase that Treasure Lake’s customers will experience in their monthly bills is misleading.  Instead, it is evident, based on our examination of Appendix D, that in most cases, customers in the Treasure Lake rate division will still pay less than customers in other Aqua rate divisions despite receiving higher percentage increases under the Joint Settlement Rates.</w:t>
      </w:r>
    </w:p>
    <w:p w14:paraId="0D14AF3A" w14:textId="77777777" w:rsidR="00203E2F" w:rsidRPr="00203E2F" w:rsidRDefault="00203E2F" w:rsidP="002C4EC5">
      <w:pPr>
        <w:spacing w:after="200"/>
        <w:ind w:firstLine="1440"/>
        <w:contextualSpacing/>
        <w:rPr>
          <w:sz w:val="26"/>
          <w:szCs w:val="26"/>
        </w:rPr>
      </w:pPr>
    </w:p>
    <w:p w14:paraId="6D92F778" w14:textId="521C03BC" w:rsidR="00203E2F" w:rsidRPr="00203E2F" w:rsidRDefault="00203E2F" w:rsidP="002C4EC5">
      <w:pPr>
        <w:spacing w:after="200"/>
        <w:ind w:firstLine="1440"/>
        <w:contextualSpacing/>
        <w:rPr>
          <w:i/>
          <w:sz w:val="26"/>
          <w:szCs w:val="26"/>
        </w:rPr>
      </w:pPr>
      <w:r w:rsidRPr="00203E2F">
        <w:rPr>
          <w:sz w:val="26"/>
          <w:szCs w:val="26"/>
        </w:rPr>
        <w:t xml:space="preserve">Additionally, we are persuaded by Aqua’s assertion that TLPOA’s reliance on </w:t>
      </w:r>
      <w:r w:rsidRPr="00203E2F">
        <w:rPr>
          <w:i/>
          <w:sz w:val="26"/>
          <w:szCs w:val="26"/>
        </w:rPr>
        <w:t>Lloyd</w:t>
      </w:r>
      <w:r w:rsidRPr="00203E2F">
        <w:rPr>
          <w:sz w:val="26"/>
          <w:szCs w:val="26"/>
        </w:rPr>
        <w:t xml:space="preserve"> to support its gradualism arguments is inapposite because the Commonwealth Court concluded in </w:t>
      </w:r>
      <w:r w:rsidRPr="00203E2F">
        <w:rPr>
          <w:i/>
          <w:sz w:val="26"/>
          <w:szCs w:val="26"/>
        </w:rPr>
        <w:t xml:space="preserve">Lloyd </w:t>
      </w:r>
      <w:r w:rsidRPr="00203E2F">
        <w:rPr>
          <w:sz w:val="26"/>
          <w:szCs w:val="26"/>
        </w:rPr>
        <w:t xml:space="preserve">that class cost of service is the “polestar” of utility ratemaking.  </w:t>
      </w:r>
      <w:r w:rsidRPr="00203E2F">
        <w:rPr>
          <w:i/>
          <w:sz w:val="26"/>
          <w:szCs w:val="26"/>
        </w:rPr>
        <w:t xml:space="preserve">See Lloyd, </w:t>
      </w:r>
      <w:r w:rsidRPr="00203E2F">
        <w:rPr>
          <w:sz w:val="26"/>
          <w:szCs w:val="26"/>
        </w:rPr>
        <w:t xml:space="preserve">904 A.2d at 1020.  We echoed the Commonwealth Court’s finding in </w:t>
      </w:r>
      <w:r w:rsidRPr="00203E2F">
        <w:rPr>
          <w:i/>
          <w:sz w:val="26"/>
          <w:szCs w:val="26"/>
        </w:rPr>
        <w:t xml:space="preserve">Lloyd </w:t>
      </w:r>
      <w:r w:rsidRPr="00203E2F">
        <w:rPr>
          <w:sz w:val="26"/>
          <w:szCs w:val="26"/>
        </w:rPr>
        <w:t xml:space="preserve">in our recent decision in </w:t>
      </w:r>
      <w:r w:rsidRPr="00203E2F">
        <w:rPr>
          <w:i/>
          <w:sz w:val="26"/>
          <w:szCs w:val="26"/>
        </w:rPr>
        <w:t>Pa. PUC, et al. v. UGI Utilities Inc. – Electric Division</w:t>
      </w:r>
      <w:r w:rsidRPr="00203E2F">
        <w:rPr>
          <w:sz w:val="26"/>
          <w:szCs w:val="26"/>
        </w:rPr>
        <w:t xml:space="preserve">, Docket </w:t>
      </w:r>
      <w:r w:rsidRPr="00203E2F">
        <w:rPr>
          <w:sz w:val="26"/>
          <w:szCs w:val="26"/>
        </w:rPr>
        <w:lastRenderedPageBreak/>
        <w:t>Nos. R</w:t>
      </w:r>
      <w:r w:rsidRPr="00203E2F">
        <w:rPr>
          <w:sz w:val="26"/>
          <w:szCs w:val="26"/>
        </w:rPr>
        <w:noBreakHyphen/>
        <w:t xml:space="preserve">2017-2640058, </w:t>
      </w:r>
      <w:r w:rsidRPr="00203E2F">
        <w:rPr>
          <w:i/>
          <w:sz w:val="26"/>
          <w:szCs w:val="26"/>
        </w:rPr>
        <w:t>et al</w:t>
      </w:r>
      <w:r w:rsidRPr="00203E2F">
        <w:rPr>
          <w:sz w:val="26"/>
          <w:szCs w:val="26"/>
        </w:rPr>
        <w:t>. (Order entered October 25, 2018)(</w:t>
      </w:r>
      <w:r w:rsidRPr="00203E2F">
        <w:rPr>
          <w:i/>
          <w:sz w:val="26"/>
          <w:szCs w:val="26"/>
        </w:rPr>
        <w:t>UGI</w:t>
      </w:r>
      <w:r w:rsidRPr="00203E2F">
        <w:rPr>
          <w:sz w:val="26"/>
          <w:szCs w:val="26"/>
        </w:rPr>
        <w:t xml:space="preserve">).  More specifically, in analyzing the rate design in that proceeding, we found UGI’s rate design proposal was consistent with </w:t>
      </w:r>
      <w:r w:rsidRPr="00203E2F">
        <w:rPr>
          <w:i/>
          <w:sz w:val="26"/>
          <w:szCs w:val="26"/>
        </w:rPr>
        <w:t>Lloyd,</w:t>
      </w:r>
      <w:r w:rsidRPr="00203E2F">
        <w:rPr>
          <w:sz w:val="26"/>
          <w:szCs w:val="26"/>
        </w:rPr>
        <w:t xml:space="preserve"> which held that rate structures should be adjusted to reflect the cost of service to each rate class and to eliminate cross-subsidization.  We further noted that as set forth in </w:t>
      </w:r>
      <w:r w:rsidRPr="00203E2F">
        <w:rPr>
          <w:i/>
          <w:sz w:val="26"/>
          <w:szCs w:val="26"/>
        </w:rPr>
        <w:t xml:space="preserve">Lloyd, </w:t>
      </w:r>
      <w:r w:rsidRPr="00203E2F">
        <w:rPr>
          <w:sz w:val="26"/>
          <w:szCs w:val="26"/>
        </w:rPr>
        <w:t xml:space="preserve">gradualism concerns should not trump cost of service considerations.  </w:t>
      </w:r>
      <w:r w:rsidRPr="00203E2F">
        <w:rPr>
          <w:i/>
          <w:sz w:val="26"/>
          <w:szCs w:val="26"/>
        </w:rPr>
        <w:t xml:space="preserve">See UGI </w:t>
      </w:r>
      <w:r w:rsidRPr="00203E2F">
        <w:rPr>
          <w:sz w:val="26"/>
          <w:szCs w:val="26"/>
        </w:rPr>
        <w:t xml:space="preserve">at 173-74.  Our same reasoning applies here in rejecting TLPOA’s gradualism arguments.  The record indicates that Aqua made large investments in new water and wastewater plant and equipment in the Treasure Lake division that could not be sustained without rate increases of the magnitude needed to make reasonable progress in moving Treasure Lake’s rates closer to their cost of service.  Aqua St. 8-R at 8-9; Aqua St. 10-R at 11.  In our view, it is fair, just and reasonable for rate divisions with current rates below the cost of service to receive larger increases.  As the Treasure Lake rate division has been subsidized by other Aqua rate divisions, we do not consider the revenue allocation and rate design produced by the Joint Settlement to be unreasonable.  </w:t>
      </w:r>
      <w:r w:rsidRPr="00203E2F">
        <w:rPr>
          <w:i/>
          <w:sz w:val="26"/>
          <w:szCs w:val="26"/>
        </w:rPr>
        <w:t xml:space="preserve">See also UGI </w:t>
      </w:r>
      <w:r w:rsidRPr="00203E2F">
        <w:rPr>
          <w:sz w:val="26"/>
          <w:szCs w:val="26"/>
        </w:rPr>
        <w:t>at 165.</w:t>
      </w:r>
    </w:p>
    <w:p w14:paraId="3A2CA7A9" w14:textId="77777777" w:rsidR="00203E2F" w:rsidRPr="00203E2F" w:rsidRDefault="00203E2F" w:rsidP="002C4EC5">
      <w:pPr>
        <w:spacing w:after="200"/>
        <w:ind w:firstLine="1440"/>
        <w:contextualSpacing/>
        <w:rPr>
          <w:sz w:val="26"/>
          <w:szCs w:val="26"/>
        </w:rPr>
      </w:pPr>
    </w:p>
    <w:p w14:paraId="5E28DBFA" w14:textId="295E334F" w:rsidR="00203E2F" w:rsidRPr="00203E2F" w:rsidRDefault="00203E2F" w:rsidP="002C4EC5">
      <w:pPr>
        <w:spacing w:after="200"/>
        <w:ind w:firstLine="1440"/>
        <w:contextualSpacing/>
        <w:rPr>
          <w:sz w:val="26"/>
          <w:szCs w:val="26"/>
        </w:rPr>
      </w:pPr>
      <w:r w:rsidRPr="00203E2F">
        <w:rPr>
          <w:sz w:val="26"/>
          <w:szCs w:val="26"/>
        </w:rPr>
        <w:t xml:space="preserve">Moreover, as the ALJs noted, when each of the statutory advocates fully support a settlement, it is a good indicator that the terms and conditions of the settlement are just and reasonable.  </w:t>
      </w:r>
      <w:r w:rsidRPr="00203E2F">
        <w:rPr>
          <w:i/>
          <w:sz w:val="26"/>
          <w:szCs w:val="26"/>
        </w:rPr>
        <w:t>See T.W. Phillips</w:t>
      </w:r>
      <w:r w:rsidRPr="00203E2F">
        <w:rPr>
          <w:sz w:val="26"/>
          <w:szCs w:val="26"/>
        </w:rPr>
        <w:t>.  It is of great significance that the statutory advocates fully support the Joint Settlement rates, and we, therefore, conclude that the principle of gradualism was properly considered by the Joint Petitioners and the ALJs when they developed their consensus position embodied in the proposed rates.</w:t>
      </w:r>
      <w:r w:rsidR="00EF6271">
        <w:rPr>
          <w:sz w:val="26"/>
          <w:szCs w:val="26"/>
        </w:rPr>
        <w:t xml:space="preserve">  As such, we shall deny the Exceptions of TLPOA.</w:t>
      </w:r>
    </w:p>
    <w:p w14:paraId="608C0100" w14:textId="77777777" w:rsidR="00203E2F" w:rsidRPr="00203E2F" w:rsidRDefault="00203E2F" w:rsidP="002C4EC5">
      <w:pPr>
        <w:spacing w:after="200"/>
        <w:ind w:firstLine="1440"/>
        <w:contextualSpacing/>
        <w:rPr>
          <w:sz w:val="26"/>
          <w:szCs w:val="26"/>
        </w:rPr>
      </w:pPr>
    </w:p>
    <w:p w14:paraId="4E00F423" w14:textId="77777777" w:rsidR="00BF2F1A" w:rsidRPr="00BF2F1A" w:rsidRDefault="00BF2F1A" w:rsidP="002C4EC5">
      <w:pPr>
        <w:spacing w:after="200"/>
        <w:ind w:firstLine="1440"/>
        <w:contextualSpacing/>
        <w:rPr>
          <w:sz w:val="26"/>
          <w:szCs w:val="26"/>
        </w:rPr>
      </w:pPr>
      <w:r w:rsidRPr="00BF2F1A">
        <w:rPr>
          <w:sz w:val="26"/>
          <w:szCs w:val="26"/>
        </w:rPr>
        <w:t>We also are not persuaded by the arguments of Mr. Curtius in his Exceptions that because he receives his wastewater service from another entity, Aqua’s recovery of a portion of its wastewater revenue requirement from its water operations results in double billing.  Section 1311(c) of the Code states as follows:</w:t>
      </w:r>
    </w:p>
    <w:p w14:paraId="15A2BFEE" w14:textId="77777777" w:rsidR="00BF2F1A" w:rsidRPr="00BF2F1A" w:rsidRDefault="00BF2F1A" w:rsidP="002C4EC5">
      <w:pPr>
        <w:spacing w:after="200"/>
        <w:ind w:firstLine="1440"/>
        <w:contextualSpacing/>
        <w:rPr>
          <w:sz w:val="26"/>
          <w:szCs w:val="26"/>
        </w:rPr>
      </w:pPr>
    </w:p>
    <w:p w14:paraId="1FA9BF71" w14:textId="51D6E802" w:rsidR="00BF2F1A" w:rsidRDefault="00BF2F1A" w:rsidP="002C4EC5">
      <w:pPr>
        <w:spacing w:line="240" w:lineRule="auto"/>
        <w:ind w:left="1440" w:right="1620"/>
        <w:contextualSpacing/>
        <w:rPr>
          <w:rFonts w:eastAsia="Calibri"/>
          <w:b/>
          <w:sz w:val="26"/>
          <w:szCs w:val="26"/>
        </w:rPr>
      </w:pPr>
      <w:r w:rsidRPr="00BF2F1A">
        <w:rPr>
          <w:rFonts w:eastAsia="Calibri"/>
          <w:sz w:val="26"/>
          <w:szCs w:val="26"/>
        </w:rPr>
        <w:lastRenderedPageBreak/>
        <w:t xml:space="preserve">When any public utility furnished more than one of the different types of utility service, the commission shall segregate the property used and useful in furnishing each type of such service, and shall not consider the property of such public utility as a unit in determining the value of the rate base of such public utility for the purpose of fixing base rates.  </w:t>
      </w:r>
      <w:r w:rsidRPr="00BF2F1A">
        <w:rPr>
          <w:rFonts w:eastAsia="Calibri"/>
          <w:b/>
          <w:sz w:val="26"/>
          <w:szCs w:val="26"/>
        </w:rPr>
        <w:t>A utility that provides water and wastewater service shall be exempt from this subsection upon petition of a utility to combine water and wastewater revenue requirements.  The commission, when setting base rates, after notice and opportunity to be heard, may allocate a portion of the wastewater revenue requirement to the combined water wastewater customer base if in the public interest.</w:t>
      </w:r>
    </w:p>
    <w:p w14:paraId="3C8F69C5" w14:textId="64D98A9F" w:rsidR="009B2AEB" w:rsidRDefault="009B2AEB" w:rsidP="002C4EC5">
      <w:pPr>
        <w:spacing w:line="240" w:lineRule="auto"/>
        <w:ind w:left="1440" w:right="1620"/>
        <w:contextualSpacing/>
        <w:rPr>
          <w:rFonts w:eastAsia="Calibri"/>
          <w:b/>
          <w:sz w:val="26"/>
          <w:szCs w:val="26"/>
        </w:rPr>
      </w:pPr>
    </w:p>
    <w:p w14:paraId="08A7F0B9" w14:textId="77777777" w:rsidR="009B2AEB" w:rsidRPr="00BF2F1A" w:rsidRDefault="009B2AEB" w:rsidP="002C4EC5">
      <w:pPr>
        <w:spacing w:line="240" w:lineRule="auto"/>
        <w:ind w:left="1440" w:right="1620"/>
        <w:contextualSpacing/>
        <w:rPr>
          <w:rFonts w:eastAsia="Calibri"/>
          <w:b/>
          <w:sz w:val="26"/>
          <w:szCs w:val="26"/>
        </w:rPr>
      </w:pPr>
    </w:p>
    <w:p w14:paraId="0B1DF380" w14:textId="77777777" w:rsidR="00BF2F1A" w:rsidRPr="00BF2F1A" w:rsidRDefault="00BF2F1A" w:rsidP="002C4EC5">
      <w:pPr>
        <w:spacing w:after="200"/>
        <w:contextualSpacing/>
        <w:rPr>
          <w:sz w:val="26"/>
          <w:szCs w:val="26"/>
        </w:rPr>
      </w:pPr>
      <w:r w:rsidRPr="00BF2F1A">
        <w:rPr>
          <w:sz w:val="26"/>
          <w:szCs w:val="26"/>
        </w:rPr>
        <w:t xml:space="preserve">66 Pa. C.S. § 1311(c) (emphasis added).  Thus, the Code, which we are obligated to uphold and cannot waive, explicitly authorizes the allocation that Mr. Curtius opposes.  We note that in other proceedings before the Commission, we have approved water rates that reflect a portion of the utility’s wastewater revenue requirement.  </w:t>
      </w:r>
      <w:r w:rsidRPr="00BF2F1A">
        <w:rPr>
          <w:i/>
          <w:sz w:val="26"/>
          <w:szCs w:val="26"/>
        </w:rPr>
        <w:t xml:space="preserve">See Pa. PUC v. Pennsylvania-American Water Company, </w:t>
      </w:r>
      <w:r w:rsidRPr="00BF2F1A">
        <w:rPr>
          <w:sz w:val="26"/>
          <w:szCs w:val="26"/>
        </w:rPr>
        <w:t>Docket No. R</w:t>
      </w:r>
      <w:r w:rsidRPr="00BF2F1A">
        <w:rPr>
          <w:sz w:val="26"/>
          <w:szCs w:val="26"/>
        </w:rPr>
        <w:noBreakHyphen/>
        <w:t>2017-2595853 (Order entered December 7, 2017)(</w:t>
      </w:r>
      <w:r w:rsidRPr="00BF2F1A">
        <w:rPr>
          <w:i/>
          <w:sz w:val="26"/>
          <w:szCs w:val="26"/>
        </w:rPr>
        <w:t>2017 PAWC Order</w:t>
      </w:r>
      <w:r w:rsidRPr="00BF2F1A">
        <w:rPr>
          <w:sz w:val="26"/>
          <w:szCs w:val="26"/>
        </w:rPr>
        <w:t>)</w:t>
      </w:r>
      <w:r w:rsidRPr="00BF2F1A">
        <w:rPr>
          <w:i/>
          <w:sz w:val="26"/>
          <w:szCs w:val="26"/>
        </w:rPr>
        <w:t xml:space="preserve">; Pa. PUC v. Pennsylvania-American Water Company, </w:t>
      </w:r>
      <w:r w:rsidRPr="00BF2F1A">
        <w:rPr>
          <w:sz w:val="26"/>
          <w:szCs w:val="26"/>
        </w:rPr>
        <w:t>Docket No. R</w:t>
      </w:r>
      <w:r w:rsidRPr="00BF2F1A">
        <w:rPr>
          <w:sz w:val="26"/>
          <w:szCs w:val="26"/>
        </w:rPr>
        <w:noBreakHyphen/>
        <w:t>2013-2355276 (Order entered December 19, 2013)(</w:t>
      </w:r>
      <w:r w:rsidRPr="00BF2F1A">
        <w:rPr>
          <w:i/>
          <w:sz w:val="26"/>
          <w:szCs w:val="26"/>
        </w:rPr>
        <w:t>2013 PAWC Order</w:t>
      </w:r>
      <w:r w:rsidRPr="00BF2F1A">
        <w:rPr>
          <w:sz w:val="26"/>
          <w:szCs w:val="26"/>
        </w:rPr>
        <w:t xml:space="preserve">) (collectively, </w:t>
      </w:r>
      <w:r w:rsidRPr="00BF2F1A">
        <w:rPr>
          <w:i/>
          <w:sz w:val="26"/>
          <w:szCs w:val="26"/>
        </w:rPr>
        <w:t>PAWC Rate Cases</w:t>
      </w:r>
      <w:r w:rsidRPr="00BF2F1A">
        <w:rPr>
          <w:sz w:val="26"/>
          <w:szCs w:val="26"/>
        </w:rPr>
        <w:t xml:space="preserve">).  We emphasize that in our </w:t>
      </w:r>
      <w:r w:rsidRPr="00BF2F1A">
        <w:rPr>
          <w:i/>
          <w:sz w:val="26"/>
          <w:szCs w:val="26"/>
        </w:rPr>
        <w:t xml:space="preserve">2013 PAWC Order, </w:t>
      </w:r>
      <w:r w:rsidRPr="00BF2F1A">
        <w:rPr>
          <w:sz w:val="26"/>
          <w:szCs w:val="26"/>
        </w:rPr>
        <w:t xml:space="preserve">we found that it is in the public interest to pass moderate increases to water-only customers for the greater public good of reasonable wastewater rates and wastewater improvements.  </w:t>
      </w:r>
      <w:r w:rsidRPr="00BF2F1A">
        <w:rPr>
          <w:i/>
          <w:sz w:val="26"/>
          <w:szCs w:val="26"/>
        </w:rPr>
        <w:t xml:space="preserve">2013 PAWC Order </w:t>
      </w:r>
      <w:r w:rsidRPr="00BF2F1A">
        <w:rPr>
          <w:sz w:val="26"/>
          <w:szCs w:val="26"/>
        </w:rPr>
        <w:t>at 28.  As such, we find that Mr. Curtius has not presented a valid basis for us to reverse the ALJs’ recommendation that the Joint Settlement be approved, without modification.  Rather, we find that the Joint Settlement Rates, which include the allocation permitted under Section 1311(c) of the Code, are fully supported by the record evidence in this proceeding.  Accordingly, Mr. Curtius’ Exceptions are denied.</w:t>
      </w:r>
    </w:p>
    <w:p w14:paraId="17B294A2" w14:textId="77777777" w:rsidR="00203E2F" w:rsidRPr="00203E2F" w:rsidRDefault="00203E2F" w:rsidP="002C4EC5">
      <w:pPr>
        <w:contextualSpacing/>
        <w:rPr>
          <w:rFonts w:eastAsiaTheme="minorHAnsi" w:cstheme="minorBidi"/>
          <w:sz w:val="26"/>
          <w:szCs w:val="26"/>
        </w:rPr>
      </w:pPr>
    </w:p>
    <w:p w14:paraId="38FCC692" w14:textId="6F32C82D" w:rsidR="00203E2F" w:rsidRPr="002C4EC5" w:rsidRDefault="00203E2F" w:rsidP="002C4EC5">
      <w:pPr>
        <w:pStyle w:val="Heading4"/>
        <w:keepLines/>
        <w:ind w:left="2160" w:hanging="720"/>
        <w:contextualSpacing/>
        <w:jc w:val="left"/>
      </w:pPr>
      <w:r w:rsidRPr="002C4EC5">
        <w:lastRenderedPageBreak/>
        <w:t>2.</w:t>
      </w:r>
      <w:r w:rsidRPr="002C4EC5">
        <w:tab/>
        <w:t>Joint Settlement</w:t>
      </w:r>
    </w:p>
    <w:p w14:paraId="545A9FF6" w14:textId="77777777" w:rsidR="00203E2F" w:rsidRPr="00203E2F" w:rsidRDefault="00203E2F" w:rsidP="002C4EC5">
      <w:pPr>
        <w:contextualSpacing/>
        <w:rPr>
          <w:rFonts w:eastAsiaTheme="minorHAnsi" w:cstheme="minorBidi"/>
          <w:b/>
          <w:sz w:val="26"/>
          <w:szCs w:val="26"/>
        </w:rPr>
      </w:pPr>
    </w:p>
    <w:p w14:paraId="33B780CD" w14:textId="7218525A" w:rsidR="00203E2F" w:rsidRPr="00203E2F" w:rsidRDefault="00203E2F" w:rsidP="002C4EC5">
      <w:pPr>
        <w:spacing w:after="200"/>
        <w:ind w:firstLine="1440"/>
        <w:contextualSpacing/>
        <w:rPr>
          <w:rFonts w:eastAsiaTheme="minorHAnsi" w:cstheme="minorBidi"/>
          <w:sz w:val="26"/>
          <w:szCs w:val="26"/>
        </w:rPr>
      </w:pPr>
      <w:r w:rsidRPr="00203E2F">
        <w:rPr>
          <w:rFonts w:eastAsiaTheme="minorHAnsi" w:cstheme="minorBidi"/>
          <w:sz w:val="26"/>
          <w:szCs w:val="26"/>
        </w:rPr>
        <w:t>Based on our review of the record, the ALJ’s Recommended Decision, the Exceptions to the Recommended Decision</w:t>
      </w:r>
      <w:r w:rsidR="003D6CD8">
        <w:rPr>
          <w:rFonts w:eastAsiaTheme="minorHAnsi" w:cstheme="minorBidi"/>
          <w:sz w:val="26"/>
          <w:szCs w:val="26"/>
        </w:rPr>
        <w:t>,</w:t>
      </w:r>
      <w:r w:rsidRPr="00203E2F">
        <w:rPr>
          <w:rFonts w:eastAsiaTheme="minorHAnsi" w:cstheme="minorBidi"/>
          <w:sz w:val="26"/>
          <w:szCs w:val="26"/>
        </w:rPr>
        <w:t xml:space="preserve"> and the Replies to Exceptions and after our thorough review of the Joint Application and proposed rates in the Joint Settlement, we are of the opinion that the proposed Joint Settlement is in the public interest because it reasonably balances the concerns of all Parties involved.  Accordingly, as discussed below, we shall adopt the ALJs’ recommendation to approve the Joint Settlement without modification.</w:t>
      </w:r>
    </w:p>
    <w:p w14:paraId="21D5098C" w14:textId="77777777" w:rsidR="00203E2F" w:rsidRPr="00203E2F" w:rsidRDefault="00203E2F" w:rsidP="002C4EC5">
      <w:pPr>
        <w:contextualSpacing/>
        <w:rPr>
          <w:rFonts w:eastAsiaTheme="minorHAnsi" w:cstheme="minorBidi"/>
          <w:b/>
          <w:sz w:val="26"/>
          <w:szCs w:val="26"/>
        </w:rPr>
      </w:pPr>
    </w:p>
    <w:p w14:paraId="04DC07DF" w14:textId="616E1EF9" w:rsidR="00203E2F" w:rsidRPr="002C4EC5" w:rsidRDefault="00203E2F" w:rsidP="00EF6271">
      <w:pPr>
        <w:pStyle w:val="Heading5"/>
        <w:ind w:left="2880" w:hanging="720"/>
        <w:contextualSpacing/>
        <w:jc w:val="left"/>
      </w:pPr>
      <w:r w:rsidRPr="002C4EC5">
        <w:t>a.</w:t>
      </w:r>
      <w:r w:rsidRPr="002C4EC5">
        <w:tab/>
        <w:t>Joint Merger Application</w:t>
      </w:r>
    </w:p>
    <w:p w14:paraId="0826987C" w14:textId="77777777" w:rsidR="00203E2F" w:rsidRPr="00203E2F" w:rsidRDefault="00203E2F" w:rsidP="00EF6271">
      <w:pPr>
        <w:keepNext/>
        <w:keepLines/>
        <w:contextualSpacing/>
        <w:rPr>
          <w:rFonts w:eastAsiaTheme="minorHAnsi" w:cstheme="minorBidi"/>
          <w:sz w:val="26"/>
          <w:szCs w:val="26"/>
        </w:rPr>
      </w:pPr>
    </w:p>
    <w:p w14:paraId="4BB46F70" w14:textId="2893FDEC" w:rsidR="00203E2F" w:rsidRPr="00203E2F" w:rsidRDefault="00203E2F" w:rsidP="002C4EC5">
      <w:pPr>
        <w:ind w:firstLine="1440"/>
        <w:contextualSpacing/>
        <w:rPr>
          <w:rFonts w:eastAsiaTheme="minorHAnsi" w:cstheme="minorBidi"/>
          <w:sz w:val="26"/>
          <w:szCs w:val="26"/>
        </w:rPr>
      </w:pPr>
      <w:r w:rsidRPr="00203E2F">
        <w:rPr>
          <w:rFonts w:eastAsiaTheme="minorHAnsi" w:cstheme="minorBidi"/>
          <w:sz w:val="26"/>
          <w:szCs w:val="26"/>
        </w:rPr>
        <w:t xml:space="preserve">As noted above, the folding of Superior, through merger, into Aqua via the instant proceeding had been anticipated since the issuance of the </w:t>
      </w:r>
      <w:r w:rsidRPr="00203E2F">
        <w:rPr>
          <w:rFonts w:eastAsiaTheme="minorHAnsi" w:cstheme="minorBidi"/>
          <w:i/>
          <w:sz w:val="26"/>
          <w:szCs w:val="26"/>
        </w:rPr>
        <w:t xml:space="preserve">September 2015 Order, </w:t>
      </w:r>
      <w:r w:rsidRPr="00203E2F">
        <w:rPr>
          <w:rFonts w:eastAsiaTheme="minorHAnsi" w:cstheme="minorBidi"/>
          <w:sz w:val="26"/>
          <w:szCs w:val="26"/>
        </w:rPr>
        <w:t>and no party has opposed this transaction</w:t>
      </w:r>
      <w:r w:rsidRPr="00203E2F">
        <w:rPr>
          <w:rFonts w:eastAsiaTheme="minorHAnsi" w:cstheme="minorBidi"/>
          <w:i/>
          <w:sz w:val="26"/>
          <w:szCs w:val="26"/>
        </w:rPr>
        <w:t xml:space="preserve">.  </w:t>
      </w:r>
      <w:r w:rsidRPr="00203E2F">
        <w:rPr>
          <w:rFonts w:eastAsiaTheme="minorHAnsi" w:cstheme="minorBidi"/>
          <w:sz w:val="26"/>
          <w:szCs w:val="26"/>
        </w:rPr>
        <w:t>Furthermore, no Parties filed Exceptions regarding the ALJ’s recommendation to approve the Joint Merger Application as part of the Joint Settlement.  Based on our review of the proposed Application, we agree with the ALJ’s recommendation to approve the Joint Application.  Accordingly, we shall approve the Joint Merger Application consistent with the Joint Settlement.</w:t>
      </w:r>
    </w:p>
    <w:p w14:paraId="642403D6" w14:textId="77777777" w:rsidR="00203E2F" w:rsidRPr="00203E2F" w:rsidRDefault="00203E2F" w:rsidP="002C4EC5">
      <w:pPr>
        <w:contextualSpacing/>
        <w:rPr>
          <w:rFonts w:eastAsiaTheme="minorHAnsi" w:cstheme="minorBidi"/>
          <w:sz w:val="26"/>
          <w:szCs w:val="26"/>
        </w:rPr>
      </w:pPr>
    </w:p>
    <w:p w14:paraId="54B41503" w14:textId="1CB01F35" w:rsidR="00203E2F" w:rsidRPr="002C4EC5" w:rsidRDefault="00203E2F" w:rsidP="002C4EC5">
      <w:pPr>
        <w:pStyle w:val="Heading5"/>
        <w:ind w:left="2880" w:hanging="720"/>
        <w:contextualSpacing/>
        <w:jc w:val="left"/>
      </w:pPr>
      <w:r w:rsidRPr="002C4EC5">
        <w:t>b.</w:t>
      </w:r>
      <w:r w:rsidRPr="002C4EC5">
        <w:tab/>
        <w:t>Rate Case Proceeding</w:t>
      </w:r>
    </w:p>
    <w:p w14:paraId="1B96FFFD" w14:textId="77777777" w:rsidR="00203E2F" w:rsidRPr="00203E2F" w:rsidRDefault="00203E2F" w:rsidP="002C4EC5">
      <w:pPr>
        <w:contextualSpacing/>
        <w:rPr>
          <w:rFonts w:eastAsiaTheme="minorHAnsi" w:cstheme="minorBidi"/>
          <w:sz w:val="26"/>
          <w:szCs w:val="26"/>
        </w:rPr>
      </w:pPr>
    </w:p>
    <w:p w14:paraId="0AE755F8" w14:textId="2DCA9F75" w:rsidR="00203E2F" w:rsidRPr="00203E2F" w:rsidRDefault="00203E2F" w:rsidP="002C4EC5">
      <w:pPr>
        <w:spacing w:after="200"/>
        <w:ind w:firstLine="1440"/>
        <w:contextualSpacing/>
        <w:rPr>
          <w:rFonts w:eastAsiaTheme="minorHAnsi" w:cstheme="minorBidi"/>
          <w:sz w:val="26"/>
          <w:szCs w:val="26"/>
        </w:rPr>
      </w:pPr>
      <w:r w:rsidRPr="00203E2F">
        <w:rPr>
          <w:rFonts w:eastAsiaTheme="minorHAnsi" w:cstheme="minorBidi"/>
          <w:sz w:val="26"/>
          <w:szCs w:val="26"/>
        </w:rPr>
        <w:t>As noted above, we have thoroughly reviewed the Joint Application and proposed rates in the Joint Settlement</w:t>
      </w:r>
      <w:r w:rsidR="009B2AEB">
        <w:rPr>
          <w:rFonts w:eastAsiaTheme="minorHAnsi" w:cstheme="minorBidi"/>
          <w:sz w:val="26"/>
          <w:szCs w:val="26"/>
        </w:rPr>
        <w:t>,</w:t>
      </w:r>
      <w:r w:rsidRPr="00203E2F">
        <w:rPr>
          <w:rFonts w:eastAsiaTheme="minorHAnsi" w:cstheme="minorBidi"/>
          <w:sz w:val="26"/>
          <w:szCs w:val="26"/>
        </w:rPr>
        <w:t xml:space="preserve"> and we conclude that it is in the best interest of the public to approve the Joint Settlement.  In taking this action, we echo the Joint Petitioners and the ALJs that there are a number of settled issues within the Joint Settlement that are beneficial to customers.  Among those provisions are: (1) the reduced revenue increase of about 34.5% less than what the Company requested; (2) the reduced wastewater revenue requirement allocated to the Company’s water operation’s cost of service; (3) the rate </w:t>
      </w:r>
      <w:r w:rsidRPr="00203E2F">
        <w:rPr>
          <w:rFonts w:eastAsiaTheme="minorHAnsi" w:cstheme="minorBidi"/>
          <w:sz w:val="26"/>
          <w:szCs w:val="26"/>
        </w:rPr>
        <w:lastRenderedPageBreak/>
        <w:t xml:space="preserve">stability that will result from the stay-out provision; (4) the agreement that for the purposes of calculating its DSIC for its water and wastewater operations the Company shall use the most recent rate of return on equity as calculated for water utilities and published in the Quarterly Earnings Report; (5) the agreement that Aqua will not reinstitute a DSIC prior to April 1, 2020; (6) the agreement that Aqua will withdraw its proposed ECAM and PWAC adjustment clauses, without prejudice to proposing these adjustment clauses in the future; (7) the agreement that Aqua will use the Commission precedent, that will be set forth in a final Commission Order in the </w:t>
      </w:r>
      <w:r w:rsidRPr="00203E2F">
        <w:rPr>
          <w:rFonts w:eastAsiaTheme="minorHAnsi" w:cstheme="minorBidi"/>
          <w:i/>
          <w:sz w:val="26"/>
          <w:szCs w:val="26"/>
        </w:rPr>
        <w:t>2018 PAWC Proceeding</w:t>
      </w:r>
      <w:r w:rsidRPr="00203E2F">
        <w:rPr>
          <w:rFonts w:eastAsiaTheme="minorHAnsi" w:cstheme="minorBidi"/>
          <w:sz w:val="26"/>
          <w:szCs w:val="26"/>
        </w:rPr>
        <w:t xml:space="preserve">, to treat income tax on CAC and CIAC; (8) the agreement that in its next base rate proceeding, Aqua will prepare a comparison of its actual expenses and rate base additions for the twelve months ended March 31, 2020 to its projections in this case; (9) the agreement that in its next water base rate case, the Company will provide updated competitive alternative data regarding the water contracts for the sale of water to resale customers under the Company’s Rider DRS and that any party may challenge any contract or rate under Rider DRS after this case; (10) the agreement that the Joint Settlement Rates fully account for the impacts of the TCJA; (11) the agreement that Aqua will separate ADIT and excess ADIT into two different accounts in future base rate filings; (12) the agreement that Aqua will not include various positive acquisition adjustments; (13) the agreement that Aqua’s revenue allocation and rate design will be done in such a way as to move all classes closer to their cost of service consistent with the principle of gradualism; (14) Aqua’s agreement to consolidate its rate divisions based on the similarity of their rate structure and rate design; (15) the commitment of Aqua to enhance its Helping Hand Program; (16) the commitment of Aqua to document its domestic violence procedures and to have them readily available to customer service representatives and to review those procedures with interested parties; (17) Aqua’s agreement to change the language on the signature block of its medical certification to make it clear that the certifications may be completed by a physician, nurse practitioner, or physician’s assistant; (18) Aqua’s agreement to remove all references to security deposits in its termination notices and tariff and to amend its termination notice language </w:t>
      </w:r>
      <w:r w:rsidRPr="00203E2F">
        <w:rPr>
          <w:rFonts w:eastAsiaTheme="minorHAnsi" w:cstheme="minorBidi"/>
          <w:sz w:val="26"/>
          <w:szCs w:val="26"/>
        </w:rPr>
        <w:lastRenderedPageBreak/>
        <w:t>to make it clear that victims of domestic violence have access to special protections; (19) Aqua’s agreement to seek available funding from outside sources and government agencies to fund prudent improvements needed to further limit the presence of PFOS and PFOA in its water supply; (20) the agreement that Aqua will revise its internal procedures to ensure that it receives timely and accurate connection information about new customers that purchase homes in new developments in its service territory and that Aqua will provide an explanation of these changed internal procedures to the OCA within sixty days of the entry of a final order in this proceeding; (21) the assertion of the Joint Petitioners that in response to service issues raised by customers in the Public Input Hearings, Aqua has both reached out to individual customers and committed to improve certain business practices; (22) Aqua’s commitment to initiate settlement discussions in the ongoing Section 529 proceeding at Docket No. I</w:t>
      </w:r>
      <w:r w:rsidRPr="00203E2F">
        <w:rPr>
          <w:rFonts w:eastAsiaTheme="minorHAnsi" w:cstheme="minorBidi"/>
          <w:sz w:val="26"/>
          <w:szCs w:val="26"/>
        </w:rPr>
        <w:noBreakHyphen/>
        <w:t>2018-3001161 and to make a reasonable effort to acquire North Heidelberg Sewer Company; and (23) the agreement that the Joint Merger Application of Aqua Water and Superior to merge Superior into Aqua should be approved, with the necessary certificates of public convenience issued.</w:t>
      </w:r>
    </w:p>
    <w:p w14:paraId="67D9C264" w14:textId="77777777" w:rsidR="00203E2F" w:rsidRPr="00203E2F" w:rsidRDefault="00203E2F" w:rsidP="002C4EC5">
      <w:pPr>
        <w:spacing w:after="200"/>
        <w:contextualSpacing/>
        <w:rPr>
          <w:rFonts w:eastAsiaTheme="minorHAnsi" w:cstheme="minorBidi"/>
          <w:sz w:val="26"/>
          <w:szCs w:val="26"/>
        </w:rPr>
      </w:pPr>
    </w:p>
    <w:p w14:paraId="2803521E" w14:textId="77777777" w:rsidR="00203E2F" w:rsidRPr="00203E2F" w:rsidRDefault="00203E2F" w:rsidP="002C4EC5">
      <w:pPr>
        <w:spacing w:after="200"/>
        <w:ind w:firstLine="1440"/>
        <w:contextualSpacing/>
        <w:rPr>
          <w:rFonts w:eastAsiaTheme="minorHAnsi" w:cstheme="minorBidi"/>
          <w:sz w:val="26"/>
          <w:szCs w:val="26"/>
        </w:rPr>
      </w:pPr>
      <w:r w:rsidRPr="00203E2F">
        <w:rPr>
          <w:rFonts w:eastAsiaTheme="minorHAnsi" w:cstheme="minorBidi"/>
          <w:sz w:val="26"/>
          <w:szCs w:val="26"/>
        </w:rPr>
        <w:t>The Joint Settlement fairly and equitably resolves all of the issues impacting residential consumers, business customers, and the public interest at large and represents a fair balance of the interests of Aqua and its customers.  Additionally, we find that the Joint Settlement will result in significant savings of time and expenses for all Parties involved by avoiding the necessity of further administrative proceedings, as well as possible appellate court proceedings, thereby conserving precious administrative resources.  Further, the Joint Settlement provides regulatory certainty with respect to the disposition of issues which benefits all Parties.  For the reasons stated herein and in the Joint Petitioners’ Statements in Support, we concur with the ALJs’ conclusion that the Joint Settlement is in the public interest.  Accordingly, we shall adopt the ALJ’s Recommended Decision that grants the Joint Petition and approves the Joint Settlement without modification.</w:t>
      </w:r>
    </w:p>
    <w:p w14:paraId="701EF15A" w14:textId="77777777" w:rsidR="00203E2F" w:rsidRPr="00892425" w:rsidRDefault="00203E2F" w:rsidP="002C4EC5">
      <w:pPr>
        <w:spacing w:after="200" w:line="276" w:lineRule="auto"/>
        <w:ind w:firstLine="1440"/>
        <w:contextualSpacing/>
        <w:rPr>
          <w:sz w:val="26"/>
          <w:szCs w:val="26"/>
        </w:rPr>
      </w:pPr>
    </w:p>
    <w:p w14:paraId="0D9F3FB1" w14:textId="77777777" w:rsidR="00A44992" w:rsidRPr="00892425" w:rsidRDefault="00A44992" w:rsidP="002C4EC5">
      <w:pPr>
        <w:pStyle w:val="Heading1"/>
        <w:keepNext/>
        <w:keepLines/>
        <w:contextualSpacing/>
      </w:pPr>
      <w:bookmarkStart w:id="19" w:name="_Toc471748001"/>
      <w:bookmarkStart w:id="20" w:name="_Toc471748139"/>
      <w:r w:rsidRPr="00892425">
        <w:lastRenderedPageBreak/>
        <w:t>V.</w:t>
      </w:r>
      <w:r w:rsidRPr="00892425">
        <w:tab/>
        <w:t>Conclusion</w:t>
      </w:r>
      <w:bookmarkEnd w:id="19"/>
      <w:bookmarkEnd w:id="20"/>
    </w:p>
    <w:p w14:paraId="315B1D14" w14:textId="6BC33F44" w:rsidR="00A44992" w:rsidRPr="00892425" w:rsidRDefault="00A44992" w:rsidP="002C4EC5">
      <w:pPr>
        <w:keepNext/>
        <w:keepLines/>
        <w:contextualSpacing/>
        <w:rPr>
          <w:b/>
          <w:sz w:val="26"/>
          <w:szCs w:val="26"/>
        </w:rPr>
      </w:pPr>
    </w:p>
    <w:p w14:paraId="0F774F73" w14:textId="198F2ECE" w:rsidR="00A44992" w:rsidRPr="00892425" w:rsidRDefault="00D322C6" w:rsidP="002C4EC5">
      <w:pPr>
        <w:pStyle w:val="BodyText2"/>
        <w:spacing w:after="0" w:line="360" w:lineRule="auto"/>
        <w:ind w:firstLine="1440"/>
        <w:contextualSpacing/>
        <w:rPr>
          <w:sz w:val="26"/>
          <w:szCs w:val="26"/>
        </w:rPr>
      </w:pPr>
      <w:r w:rsidRPr="00892425">
        <w:rPr>
          <w:sz w:val="26"/>
          <w:szCs w:val="26"/>
        </w:rPr>
        <w:t xml:space="preserve">Based on our review of the record and the positions of the Parties, we shall deny the Exceptions filed by </w:t>
      </w:r>
      <w:r w:rsidR="00892425" w:rsidRPr="00892425">
        <w:rPr>
          <w:sz w:val="26"/>
          <w:szCs w:val="26"/>
        </w:rPr>
        <w:t>TLPOA and Mr. Curtius</w:t>
      </w:r>
      <w:r w:rsidR="00465F8B">
        <w:rPr>
          <w:sz w:val="26"/>
          <w:szCs w:val="26"/>
        </w:rPr>
        <w:t xml:space="preserve"> and </w:t>
      </w:r>
      <w:r w:rsidRPr="00892425">
        <w:rPr>
          <w:sz w:val="26"/>
          <w:szCs w:val="26"/>
        </w:rPr>
        <w:t xml:space="preserve">adopt the Recommended Decision of ALJs </w:t>
      </w:r>
      <w:r w:rsidR="00892425" w:rsidRPr="00892425">
        <w:rPr>
          <w:sz w:val="26"/>
          <w:szCs w:val="26"/>
        </w:rPr>
        <w:t>Jones</w:t>
      </w:r>
      <w:r w:rsidRPr="00892425">
        <w:rPr>
          <w:sz w:val="26"/>
          <w:szCs w:val="26"/>
        </w:rPr>
        <w:t xml:space="preserve"> and </w:t>
      </w:r>
      <w:r w:rsidR="00892425" w:rsidRPr="00892425">
        <w:rPr>
          <w:sz w:val="26"/>
          <w:szCs w:val="26"/>
        </w:rPr>
        <w:t>Brady</w:t>
      </w:r>
      <w:r w:rsidR="00465F8B">
        <w:rPr>
          <w:sz w:val="26"/>
          <w:szCs w:val="26"/>
        </w:rPr>
        <w:t xml:space="preserve"> that approves the Joint Merger Application that folds </w:t>
      </w:r>
      <w:r w:rsidR="00E65154">
        <w:rPr>
          <w:sz w:val="26"/>
          <w:szCs w:val="26"/>
        </w:rPr>
        <w:t>Superior</w:t>
      </w:r>
      <w:r w:rsidR="00465F8B">
        <w:rPr>
          <w:sz w:val="26"/>
          <w:szCs w:val="26"/>
        </w:rPr>
        <w:t xml:space="preserve"> into Aqua Water and grants the Joint Petition to appr</w:t>
      </w:r>
      <w:r w:rsidRPr="00892425">
        <w:rPr>
          <w:sz w:val="26"/>
          <w:szCs w:val="26"/>
        </w:rPr>
        <w:t>ove the Joint Settlement, with</w:t>
      </w:r>
      <w:r w:rsidR="00892425" w:rsidRPr="00892425">
        <w:rPr>
          <w:sz w:val="26"/>
          <w:szCs w:val="26"/>
        </w:rPr>
        <w:t>out</w:t>
      </w:r>
      <w:r w:rsidRPr="00892425">
        <w:rPr>
          <w:sz w:val="26"/>
          <w:szCs w:val="26"/>
        </w:rPr>
        <w:t xml:space="preserve"> modification; </w:t>
      </w:r>
      <w:r w:rsidR="00A44992" w:rsidRPr="00892425">
        <w:rPr>
          <w:b/>
          <w:sz w:val="26"/>
          <w:szCs w:val="26"/>
        </w:rPr>
        <w:t>THEREFORE,</w:t>
      </w:r>
    </w:p>
    <w:p w14:paraId="6F2FB7AE" w14:textId="77777777" w:rsidR="00A44992" w:rsidRPr="00892425" w:rsidRDefault="00A44992" w:rsidP="002C4EC5">
      <w:pPr>
        <w:pStyle w:val="BodyText2"/>
        <w:spacing w:after="0" w:line="360" w:lineRule="auto"/>
        <w:contextualSpacing/>
        <w:rPr>
          <w:sz w:val="26"/>
          <w:szCs w:val="26"/>
        </w:rPr>
      </w:pPr>
      <w:bookmarkStart w:id="21" w:name="_Toc471748002"/>
      <w:bookmarkStart w:id="22" w:name="_Toc471748140"/>
    </w:p>
    <w:bookmarkEnd w:id="21"/>
    <w:bookmarkEnd w:id="22"/>
    <w:p w14:paraId="14A6844D" w14:textId="77777777" w:rsidR="00A44992" w:rsidRPr="00892425" w:rsidRDefault="00A44992" w:rsidP="002C4EC5">
      <w:pPr>
        <w:contextualSpacing/>
        <w:rPr>
          <w:b/>
          <w:sz w:val="26"/>
          <w:szCs w:val="26"/>
        </w:rPr>
      </w:pPr>
      <w:r w:rsidRPr="00892425">
        <w:rPr>
          <w:b/>
          <w:sz w:val="26"/>
          <w:szCs w:val="26"/>
        </w:rPr>
        <w:tab/>
      </w:r>
      <w:r w:rsidRPr="00892425">
        <w:rPr>
          <w:b/>
          <w:sz w:val="26"/>
          <w:szCs w:val="26"/>
        </w:rPr>
        <w:tab/>
        <w:t>IT IS ORDERED:</w:t>
      </w:r>
    </w:p>
    <w:p w14:paraId="532E3BA3" w14:textId="77777777" w:rsidR="00A44992" w:rsidRPr="00892425" w:rsidRDefault="00A44992" w:rsidP="002C4EC5">
      <w:pPr>
        <w:contextualSpacing/>
        <w:rPr>
          <w:sz w:val="26"/>
          <w:szCs w:val="26"/>
        </w:rPr>
      </w:pPr>
    </w:p>
    <w:p w14:paraId="5BEB4C2E" w14:textId="44EC238F" w:rsidR="00892425" w:rsidRDefault="00C92D4C" w:rsidP="002C4EC5">
      <w:pPr>
        <w:numPr>
          <w:ilvl w:val="0"/>
          <w:numId w:val="28"/>
        </w:numPr>
        <w:ind w:left="0" w:firstLine="1440"/>
        <w:contextualSpacing/>
        <w:rPr>
          <w:sz w:val="26"/>
          <w:szCs w:val="26"/>
        </w:rPr>
      </w:pPr>
      <w:r>
        <w:rPr>
          <w:sz w:val="26"/>
          <w:szCs w:val="26"/>
        </w:rPr>
        <w:t>That the Exceptions</w:t>
      </w:r>
      <w:r w:rsidR="00341148">
        <w:rPr>
          <w:sz w:val="26"/>
          <w:szCs w:val="26"/>
        </w:rPr>
        <w:t>,</w:t>
      </w:r>
      <w:r>
        <w:rPr>
          <w:sz w:val="26"/>
          <w:szCs w:val="26"/>
        </w:rPr>
        <w:t xml:space="preserve"> filed by </w:t>
      </w:r>
      <w:r w:rsidR="00FB7495">
        <w:rPr>
          <w:sz w:val="26"/>
          <w:szCs w:val="26"/>
        </w:rPr>
        <w:t xml:space="preserve">Robert Curtius on March 26, 2019, and by </w:t>
      </w:r>
      <w:r>
        <w:rPr>
          <w:sz w:val="26"/>
          <w:szCs w:val="26"/>
        </w:rPr>
        <w:t xml:space="preserve">the Treasure Lake Property Owners Association on March 28, 2019, </w:t>
      </w:r>
      <w:r w:rsidR="005C0586">
        <w:rPr>
          <w:sz w:val="26"/>
          <w:szCs w:val="26"/>
        </w:rPr>
        <w:t>to t</w:t>
      </w:r>
      <w:r w:rsidR="00341148">
        <w:rPr>
          <w:sz w:val="26"/>
          <w:szCs w:val="26"/>
        </w:rPr>
        <w:t xml:space="preserve">he Recommended Decision of Administrative Law Judges Angela T. Jones and F. Joseph Brady, issued on March 18, 2019, </w:t>
      </w:r>
      <w:r>
        <w:rPr>
          <w:sz w:val="26"/>
          <w:szCs w:val="26"/>
        </w:rPr>
        <w:t>are denied, consistent with this Opinion and Order.</w:t>
      </w:r>
    </w:p>
    <w:p w14:paraId="4A74587B" w14:textId="77777777" w:rsidR="00C92D4C" w:rsidRDefault="00C92D4C" w:rsidP="002C4EC5">
      <w:pPr>
        <w:ind w:left="1440"/>
        <w:contextualSpacing/>
        <w:rPr>
          <w:sz w:val="26"/>
          <w:szCs w:val="26"/>
        </w:rPr>
      </w:pPr>
    </w:p>
    <w:p w14:paraId="6D39E4FF" w14:textId="6C57D09E" w:rsidR="00C92D4C" w:rsidRDefault="00C92D4C" w:rsidP="002C4EC5">
      <w:pPr>
        <w:numPr>
          <w:ilvl w:val="0"/>
          <w:numId w:val="28"/>
        </w:numPr>
        <w:ind w:left="0" w:firstLine="1440"/>
        <w:contextualSpacing/>
        <w:rPr>
          <w:sz w:val="26"/>
          <w:szCs w:val="26"/>
        </w:rPr>
      </w:pPr>
      <w:r>
        <w:rPr>
          <w:sz w:val="26"/>
          <w:szCs w:val="26"/>
        </w:rPr>
        <w:t>That the Recommended Decision of Administrative Law Judges Angela T. Jones and F. Joseph Brady, issued on March 18, 2019, is adopted, consistent with this Opinion and Order.</w:t>
      </w:r>
    </w:p>
    <w:p w14:paraId="7FEB3368" w14:textId="742881C1" w:rsidR="00C92D4C" w:rsidRDefault="00C92D4C" w:rsidP="002C4EC5">
      <w:pPr>
        <w:ind w:left="1440"/>
        <w:contextualSpacing/>
        <w:rPr>
          <w:sz w:val="26"/>
          <w:szCs w:val="26"/>
        </w:rPr>
      </w:pPr>
    </w:p>
    <w:p w14:paraId="6E8FCD53" w14:textId="55C29655" w:rsidR="000A5671" w:rsidRPr="00892425" w:rsidRDefault="00C92D4C" w:rsidP="002C4EC5">
      <w:pPr>
        <w:numPr>
          <w:ilvl w:val="0"/>
          <w:numId w:val="28"/>
        </w:numPr>
        <w:ind w:left="0" w:firstLine="1440"/>
        <w:contextualSpacing/>
        <w:rPr>
          <w:sz w:val="26"/>
          <w:szCs w:val="26"/>
        </w:rPr>
      </w:pPr>
      <w:r>
        <w:rPr>
          <w:sz w:val="26"/>
          <w:szCs w:val="26"/>
        </w:rPr>
        <w:t>That the Joint Petition for Settlement</w:t>
      </w:r>
      <w:r w:rsidR="00341148">
        <w:rPr>
          <w:sz w:val="26"/>
          <w:szCs w:val="26"/>
        </w:rPr>
        <w:t>,</w:t>
      </w:r>
      <w:r w:rsidR="002C12D2">
        <w:rPr>
          <w:sz w:val="26"/>
          <w:szCs w:val="26"/>
        </w:rPr>
        <w:t xml:space="preserve"> </w:t>
      </w:r>
      <w:r w:rsidR="000A5671" w:rsidRPr="00892425">
        <w:rPr>
          <w:rFonts w:eastAsia="Calibri"/>
          <w:sz w:val="26"/>
          <w:szCs w:val="26"/>
        </w:rPr>
        <w:t xml:space="preserve">filed by Aqua Pennsylvania, Inc., Aqua Pennsylvania Wastewater, Inc., the Bureau of Investigation &amp; Enforcement, the Office of Consumer Advocate, </w:t>
      </w:r>
      <w:r w:rsidR="000A5671">
        <w:rPr>
          <w:rFonts w:eastAsia="Calibri"/>
          <w:sz w:val="26"/>
          <w:szCs w:val="26"/>
        </w:rPr>
        <w:t xml:space="preserve">the </w:t>
      </w:r>
      <w:r w:rsidR="00FD02BB">
        <w:rPr>
          <w:rFonts w:eastAsia="Calibri"/>
          <w:sz w:val="26"/>
          <w:szCs w:val="26"/>
        </w:rPr>
        <w:t>O</w:t>
      </w:r>
      <w:r w:rsidR="000A5671">
        <w:rPr>
          <w:rFonts w:eastAsia="Calibri"/>
          <w:sz w:val="26"/>
          <w:szCs w:val="26"/>
        </w:rPr>
        <w:t xml:space="preserve">ffice of Small Business Advocate, the </w:t>
      </w:r>
      <w:r w:rsidR="000A5671" w:rsidRPr="00892425">
        <w:rPr>
          <w:rFonts w:eastAsia="Calibri"/>
          <w:sz w:val="26"/>
          <w:szCs w:val="26"/>
        </w:rPr>
        <w:t xml:space="preserve">Aqua Large Users Group, the Coalition of Affordable Utility Service and Energy Efficiency in Pennsylvania, the Masthope Mountain Community Property Owners Council, the Links at Gettysburg Master Association, </w:t>
      </w:r>
      <w:r w:rsidR="000A5671">
        <w:rPr>
          <w:rFonts w:eastAsia="Calibri"/>
          <w:sz w:val="26"/>
          <w:szCs w:val="26"/>
        </w:rPr>
        <w:t>and Superior Water Company, Inc.</w:t>
      </w:r>
      <w:r w:rsidR="00341148">
        <w:rPr>
          <w:rFonts w:eastAsia="Calibri"/>
          <w:sz w:val="26"/>
          <w:szCs w:val="26"/>
        </w:rPr>
        <w:t>,</w:t>
      </w:r>
      <w:r w:rsidR="000A5671">
        <w:rPr>
          <w:rFonts w:eastAsia="Calibri"/>
          <w:sz w:val="26"/>
          <w:szCs w:val="26"/>
        </w:rPr>
        <w:t xml:space="preserve"> is </w:t>
      </w:r>
      <w:r w:rsidR="00341148">
        <w:rPr>
          <w:rFonts w:eastAsia="Calibri"/>
          <w:sz w:val="26"/>
          <w:szCs w:val="26"/>
        </w:rPr>
        <w:t xml:space="preserve">granted and the Joint Settlement is thereby </w:t>
      </w:r>
      <w:r w:rsidR="000A5671">
        <w:rPr>
          <w:rFonts w:eastAsia="Calibri"/>
          <w:sz w:val="26"/>
          <w:szCs w:val="26"/>
        </w:rPr>
        <w:t>a</w:t>
      </w:r>
      <w:r w:rsidR="000A5671" w:rsidRPr="00892425">
        <w:rPr>
          <w:rFonts w:eastAsia="Calibri"/>
          <w:sz w:val="26"/>
          <w:szCs w:val="26"/>
        </w:rPr>
        <w:t>pproved</w:t>
      </w:r>
      <w:r w:rsidR="000A5671">
        <w:rPr>
          <w:rFonts w:eastAsia="Calibri"/>
          <w:sz w:val="26"/>
          <w:szCs w:val="26"/>
        </w:rPr>
        <w:t>,</w:t>
      </w:r>
      <w:r w:rsidR="000A5671" w:rsidRPr="00892425">
        <w:rPr>
          <w:rFonts w:eastAsia="Calibri"/>
          <w:sz w:val="26"/>
          <w:szCs w:val="26"/>
        </w:rPr>
        <w:t xml:space="preserve"> </w:t>
      </w:r>
      <w:r w:rsidR="000A5671">
        <w:rPr>
          <w:rFonts w:eastAsia="Calibri"/>
          <w:sz w:val="26"/>
          <w:szCs w:val="26"/>
        </w:rPr>
        <w:t>consistent with this Opinion and Order.</w:t>
      </w:r>
    </w:p>
    <w:p w14:paraId="118DBF35" w14:textId="768E1A42" w:rsidR="00C92D4C" w:rsidRPr="00892425" w:rsidRDefault="00C92D4C" w:rsidP="002C4EC5">
      <w:pPr>
        <w:ind w:left="1440"/>
        <w:contextualSpacing/>
        <w:rPr>
          <w:sz w:val="26"/>
          <w:szCs w:val="26"/>
        </w:rPr>
      </w:pPr>
    </w:p>
    <w:p w14:paraId="738DA948" w14:textId="42C6B3C4" w:rsidR="00892425" w:rsidRPr="00892425" w:rsidRDefault="00892425" w:rsidP="002C4EC5">
      <w:pPr>
        <w:numPr>
          <w:ilvl w:val="0"/>
          <w:numId w:val="28"/>
        </w:numPr>
        <w:ind w:left="0" w:firstLine="1440"/>
        <w:contextualSpacing/>
        <w:rPr>
          <w:sz w:val="26"/>
          <w:szCs w:val="26"/>
        </w:rPr>
      </w:pPr>
      <w:r w:rsidRPr="00892425">
        <w:rPr>
          <w:rFonts w:eastAsia="Calibri"/>
          <w:sz w:val="26"/>
          <w:szCs w:val="26"/>
        </w:rPr>
        <w:lastRenderedPageBreak/>
        <w:t>That Aqua Pennsylvania, Inc. shall not place into effect the rates, rules, and regulations contained in Supplement No. 1 to Tariff Water – Pa. P.U.C. No. 2 as filed on August 17, 2018, the same having been found to be unjust, unreasonable, and therefore, unlawful.</w:t>
      </w:r>
    </w:p>
    <w:p w14:paraId="1CA41331" w14:textId="77777777" w:rsidR="00892425" w:rsidRPr="00892425" w:rsidRDefault="00892425" w:rsidP="002C4EC5">
      <w:pPr>
        <w:ind w:firstLine="1440"/>
        <w:contextualSpacing/>
        <w:rPr>
          <w:sz w:val="26"/>
          <w:szCs w:val="26"/>
        </w:rPr>
      </w:pPr>
    </w:p>
    <w:p w14:paraId="5D80F5B9" w14:textId="3B6DE23D" w:rsidR="00892425" w:rsidRPr="00892425" w:rsidRDefault="00892425" w:rsidP="002C4EC5">
      <w:pPr>
        <w:numPr>
          <w:ilvl w:val="0"/>
          <w:numId w:val="28"/>
        </w:numPr>
        <w:ind w:left="0" w:firstLine="1440"/>
        <w:contextualSpacing/>
        <w:rPr>
          <w:sz w:val="26"/>
          <w:szCs w:val="26"/>
        </w:rPr>
      </w:pPr>
      <w:r w:rsidRPr="00892425">
        <w:rPr>
          <w:sz w:val="26"/>
          <w:szCs w:val="26"/>
        </w:rPr>
        <w:t>That Aqua Pennsylvania</w:t>
      </w:r>
      <w:r w:rsidR="000A5671">
        <w:rPr>
          <w:sz w:val="26"/>
          <w:szCs w:val="26"/>
        </w:rPr>
        <w:t xml:space="preserve"> Wastewater</w:t>
      </w:r>
      <w:r w:rsidRPr="00892425">
        <w:rPr>
          <w:sz w:val="26"/>
          <w:szCs w:val="26"/>
        </w:rPr>
        <w:t>, Inc. shall not place into effect the rates, rules, and regulations contained in Supplement No. 1 to Tariff Sewer – Pa. P.U.C. No. 2 as filed on August 17, 2018, the same having been found to be unjust, unreasonable, and therefore, unlawful.</w:t>
      </w:r>
    </w:p>
    <w:p w14:paraId="0334D851" w14:textId="77777777" w:rsidR="00892425" w:rsidRPr="00892425" w:rsidRDefault="00892425" w:rsidP="002C4EC5">
      <w:pPr>
        <w:ind w:firstLine="1440"/>
        <w:contextualSpacing/>
        <w:rPr>
          <w:rFonts w:eastAsia="Calibri"/>
          <w:sz w:val="26"/>
          <w:szCs w:val="26"/>
        </w:rPr>
      </w:pPr>
    </w:p>
    <w:p w14:paraId="1D5B5EA4" w14:textId="29532E09" w:rsidR="00892425" w:rsidRPr="00892425" w:rsidRDefault="00892425" w:rsidP="002C4EC5">
      <w:pPr>
        <w:numPr>
          <w:ilvl w:val="0"/>
          <w:numId w:val="28"/>
        </w:numPr>
        <w:ind w:left="0" w:firstLine="1440"/>
        <w:contextualSpacing/>
        <w:rPr>
          <w:sz w:val="26"/>
          <w:szCs w:val="26"/>
        </w:rPr>
      </w:pPr>
      <w:r w:rsidRPr="00892425">
        <w:rPr>
          <w:rFonts w:eastAsia="Calibri"/>
          <w:sz w:val="26"/>
          <w:szCs w:val="26"/>
        </w:rPr>
        <w:t>That Aqua Pennsylvania, Inc. shall be permitted to increase its annual operating revenues for water service in the total amount of not more than $42.3 million consistent with the rates for water service set forth in the proposed Original Tariff Water – Pa. P.U.C. No. 2, which is attached to the Joint Settlement Petition as Appendix</w:t>
      </w:r>
      <w:r w:rsidR="00341148">
        <w:rPr>
          <w:rFonts w:eastAsia="Calibri"/>
          <w:sz w:val="26"/>
          <w:szCs w:val="26"/>
        </w:rPr>
        <w:t> </w:t>
      </w:r>
      <w:r w:rsidRPr="00892425">
        <w:rPr>
          <w:rFonts w:eastAsia="Calibri"/>
          <w:sz w:val="26"/>
          <w:szCs w:val="26"/>
        </w:rPr>
        <w:t>A.</w:t>
      </w:r>
    </w:p>
    <w:p w14:paraId="554A6A6F" w14:textId="77777777" w:rsidR="00892425" w:rsidRPr="00892425" w:rsidRDefault="00892425" w:rsidP="002C4EC5">
      <w:pPr>
        <w:pStyle w:val="ListParagraph"/>
        <w:rPr>
          <w:sz w:val="26"/>
          <w:szCs w:val="26"/>
        </w:rPr>
      </w:pPr>
    </w:p>
    <w:p w14:paraId="22E1FF4A" w14:textId="1D1FDED2" w:rsidR="00892425" w:rsidRPr="00892425" w:rsidRDefault="00892425" w:rsidP="002C4EC5">
      <w:pPr>
        <w:numPr>
          <w:ilvl w:val="0"/>
          <w:numId w:val="28"/>
        </w:numPr>
        <w:ind w:left="0" w:firstLine="1440"/>
        <w:contextualSpacing/>
        <w:rPr>
          <w:sz w:val="26"/>
          <w:szCs w:val="26"/>
        </w:rPr>
      </w:pPr>
      <w:r w:rsidRPr="00892425">
        <w:rPr>
          <w:sz w:val="26"/>
          <w:szCs w:val="26"/>
        </w:rPr>
        <w:t xml:space="preserve">That Aqua Pennsylvania, Inc. shall be permitted to recover no more than $7,087,754 million of its wastewater revenue requirement from its water operations as authorized by Section 1311(c) of the </w:t>
      </w:r>
      <w:r w:rsidR="00F41127">
        <w:rPr>
          <w:sz w:val="26"/>
          <w:szCs w:val="26"/>
        </w:rPr>
        <w:t xml:space="preserve">Public Utility </w:t>
      </w:r>
      <w:r w:rsidRPr="00892425">
        <w:rPr>
          <w:sz w:val="26"/>
          <w:szCs w:val="26"/>
        </w:rPr>
        <w:t>Code.</w:t>
      </w:r>
    </w:p>
    <w:p w14:paraId="530B80FD" w14:textId="77777777" w:rsidR="00892425" w:rsidRPr="00892425" w:rsidRDefault="00892425" w:rsidP="002C4EC5">
      <w:pPr>
        <w:pStyle w:val="ListParagraph"/>
        <w:rPr>
          <w:sz w:val="26"/>
          <w:szCs w:val="26"/>
        </w:rPr>
      </w:pPr>
    </w:p>
    <w:p w14:paraId="7B605235" w14:textId="4BFE8535" w:rsidR="00892425" w:rsidRPr="00892425" w:rsidRDefault="00892425" w:rsidP="002C4EC5">
      <w:pPr>
        <w:numPr>
          <w:ilvl w:val="0"/>
          <w:numId w:val="28"/>
        </w:numPr>
        <w:ind w:left="0" w:firstLine="1440"/>
        <w:contextualSpacing/>
        <w:rPr>
          <w:sz w:val="26"/>
          <w:szCs w:val="26"/>
        </w:rPr>
      </w:pPr>
      <w:r w:rsidRPr="00892425">
        <w:rPr>
          <w:sz w:val="26"/>
          <w:szCs w:val="26"/>
        </w:rPr>
        <w:t xml:space="preserve">That Aqua Pennsylvania, Inc. </w:t>
      </w:r>
      <w:r w:rsidR="00E96395">
        <w:rPr>
          <w:sz w:val="26"/>
          <w:szCs w:val="26"/>
        </w:rPr>
        <w:t xml:space="preserve">shall </w:t>
      </w:r>
      <w:r w:rsidRPr="00892425">
        <w:rPr>
          <w:sz w:val="26"/>
          <w:szCs w:val="26"/>
        </w:rPr>
        <w:t>file a tariff or tariff supplement in substantially the same form as that attached as Appendix A</w:t>
      </w:r>
      <w:r w:rsidR="00341148">
        <w:rPr>
          <w:sz w:val="26"/>
          <w:szCs w:val="26"/>
        </w:rPr>
        <w:t xml:space="preserve"> </w:t>
      </w:r>
      <w:r w:rsidRPr="00892425">
        <w:rPr>
          <w:sz w:val="26"/>
          <w:szCs w:val="26"/>
        </w:rPr>
        <w:t xml:space="preserve">to the </w:t>
      </w:r>
      <w:bookmarkStart w:id="23" w:name="_Hlk7395273"/>
      <w:r w:rsidRPr="00892425">
        <w:rPr>
          <w:sz w:val="26"/>
          <w:szCs w:val="26"/>
        </w:rPr>
        <w:t xml:space="preserve">Joint </w:t>
      </w:r>
      <w:r w:rsidR="00341148">
        <w:rPr>
          <w:sz w:val="26"/>
          <w:szCs w:val="26"/>
        </w:rPr>
        <w:t xml:space="preserve">Petition for </w:t>
      </w:r>
      <w:r w:rsidRPr="00892425">
        <w:rPr>
          <w:sz w:val="26"/>
          <w:szCs w:val="26"/>
        </w:rPr>
        <w:t>Settlemen</w:t>
      </w:r>
      <w:r w:rsidR="00341148">
        <w:rPr>
          <w:sz w:val="26"/>
          <w:szCs w:val="26"/>
        </w:rPr>
        <w:t xml:space="preserve">t, filed September 8, 2018, </w:t>
      </w:r>
      <w:r w:rsidRPr="00892425">
        <w:rPr>
          <w:sz w:val="26"/>
          <w:szCs w:val="26"/>
        </w:rPr>
        <w:t>at Docket No. R-2018-3003558</w:t>
      </w:r>
      <w:r w:rsidR="00341148">
        <w:rPr>
          <w:sz w:val="26"/>
          <w:szCs w:val="26"/>
        </w:rPr>
        <w:t xml:space="preserve">, </w:t>
      </w:r>
      <w:r w:rsidR="00341148" w:rsidRPr="00341148">
        <w:rPr>
          <w:i/>
          <w:sz w:val="26"/>
          <w:szCs w:val="26"/>
        </w:rPr>
        <w:t>et al.</w:t>
      </w:r>
      <w:r w:rsidR="00341148">
        <w:rPr>
          <w:sz w:val="26"/>
          <w:szCs w:val="26"/>
        </w:rPr>
        <w:t>,</w:t>
      </w:r>
      <w:bookmarkEnd w:id="23"/>
      <w:r w:rsidR="00341148">
        <w:rPr>
          <w:sz w:val="26"/>
          <w:szCs w:val="26"/>
        </w:rPr>
        <w:t xml:space="preserve"> </w:t>
      </w:r>
      <w:r w:rsidRPr="00892425">
        <w:rPr>
          <w:sz w:val="26"/>
          <w:szCs w:val="26"/>
        </w:rPr>
        <w:t xml:space="preserve">reflecting the rates, rules, and regulations to become effective upon at least one </w:t>
      </w:r>
      <w:r w:rsidR="000A5671">
        <w:rPr>
          <w:sz w:val="26"/>
          <w:szCs w:val="26"/>
        </w:rPr>
        <w:t xml:space="preserve">(1) </w:t>
      </w:r>
      <w:r w:rsidRPr="00892425">
        <w:rPr>
          <w:sz w:val="26"/>
          <w:szCs w:val="26"/>
        </w:rPr>
        <w:t>day's notice,</w:t>
      </w:r>
      <w:r w:rsidR="00C45012">
        <w:rPr>
          <w:sz w:val="26"/>
          <w:szCs w:val="26"/>
        </w:rPr>
        <w:t xml:space="preserve"> for service rendered on or after the date of</w:t>
      </w:r>
      <w:r w:rsidRPr="00892425">
        <w:rPr>
          <w:sz w:val="26"/>
          <w:szCs w:val="26"/>
        </w:rPr>
        <w:t xml:space="preserve"> entry of th</w:t>
      </w:r>
      <w:r w:rsidR="000A5671">
        <w:rPr>
          <w:sz w:val="26"/>
          <w:szCs w:val="26"/>
        </w:rPr>
        <w:t>is Opinion and Order</w:t>
      </w:r>
      <w:r w:rsidRPr="00892425">
        <w:rPr>
          <w:sz w:val="26"/>
          <w:szCs w:val="26"/>
        </w:rPr>
        <w:t>.</w:t>
      </w:r>
    </w:p>
    <w:p w14:paraId="393EB576" w14:textId="77777777" w:rsidR="00892425" w:rsidRPr="00892425" w:rsidRDefault="00892425" w:rsidP="002C4EC5">
      <w:pPr>
        <w:ind w:firstLine="1440"/>
        <w:contextualSpacing/>
        <w:rPr>
          <w:sz w:val="26"/>
          <w:szCs w:val="26"/>
        </w:rPr>
      </w:pPr>
    </w:p>
    <w:p w14:paraId="35C45399" w14:textId="0878554F" w:rsidR="00892425" w:rsidRDefault="00892425" w:rsidP="002C4EC5">
      <w:pPr>
        <w:numPr>
          <w:ilvl w:val="0"/>
          <w:numId w:val="28"/>
        </w:numPr>
        <w:ind w:left="0" w:firstLine="1440"/>
        <w:contextualSpacing/>
        <w:rPr>
          <w:sz w:val="26"/>
          <w:szCs w:val="26"/>
        </w:rPr>
      </w:pPr>
      <w:r w:rsidRPr="00892425">
        <w:rPr>
          <w:sz w:val="26"/>
          <w:szCs w:val="26"/>
        </w:rPr>
        <w:t>That upon acceptance of the appropriate compliance filing, the investigation at Docket R-2018-3003558 sh</w:t>
      </w:r>
      <w:r w:rsidR="00341148">
        <w:rPr>
          <w:sz w:val="26"/>
          <w:szCs w:val="26"/>
        </w:rPr>
        <w:t>all</w:t>
      </w:r>
      <w:r w:rsidRPr="00892425">
        <w:rPr>
          <w:sz w:val="26"/>
          <w:szCs w:val="26"/>
        </w:rPr>
        <w:t xml:space="preserve"> be marked closed.</w:t>
      </w:r>
      <w:bookmarkStart w:id="24" w:name="OLE_LINK1"/>
    </w:p>
    <w:p w14:paraId="42F8918E" w14:textId="28D04F5A" w:rsidR="007B4465" w:rsidRDefault="007B4465" w:rsidP="002C4EC5">
      <w:pPr>
        <w:ind w:left="1440"/>
        <w:contextualSpacing/>
        <w:rPr>
          <w:sz w:val="26"/>
          <w:szCs w:val="26"/>
        </w:rPr>
      </w:pPr>
    </w:p>
    <w:p w14:paraId="7A3044E7" w14:textId="1F17092A" w:rsidR="007B4465" w:rsidRDefault="007B4465" w:rsidP="002C4EC5">
      <w:pPr>
        <w:numPr>
          <w:ilvl w:val="0"/>
          <w:numId w:val="28"/>
        </w:numPr>
        <w:ind w:left="0" w:firstLine="1440"/>
        <w:contextualSpacing/>
        <w:rPr>
          <w:sz w:val="26"/>
          <w:szCs w:val="26"/>
        </w:rPr>
      </w:pPr>
      <w:r w:rsidRPr="00892425">
        <w:rPr>
          <w:sz w:val="26"/>
          <w:szCs w:val="26"/>
        </w:rPr>
        <w:lastRenderedPageBreak/>
        <w:t>That Aqua Pennsylvania Wastewater, Inc. shall be permitted to increase its annual operating revenues for wastewater service in the total amount of not more than $4.7 million consistent with the rates for wastewater service set forth in the proposed Original Tariff – Sewer Pa. P.U.C. No. 2, which is attached to the Joint Settlement Petition as Appendix B.</w:t>
      </w:r>
    </w:p>
    <w:p w14:paraId="0FCBFD60" w14:textId="60BC2246" w:rsidR="007B4465" w:rsidRDefault="007B4465" w:rsidP="002C4EC5">
      <w:pPr>
        <w:ind w:left="1440"/>
        <w:contextualSpacing/>
        <w:rPr>
          <w:sz w:val="26"/>
          <w:szCs w:val="26"/>
        </w:rPr>
      </w:pPr>
    </w:p>
    <w:p w14:paraId="7A515E00" w14:textId="081DDD1A" w:rsidR="00E96395" w:rsidRPr="00892425" w:rsidRDefault="007B4465" w:rsidP="002C4EC5">
      <w:pPr>
        <w:numPr>
          <w:ilvl w:val="0"/>
          <w:numId w:val="28"/>
        </w:numPr>
        <w:ind w:left="0" w:firstLine="1440"/>
        <w:contextualSpacing/>
        <w:rPr>
          <w:sz w:val="26"/>
          <w:szCs w:val="26"/>
        </w:rPr>
      </w:pPr>
      <w:r w:rsidRPr="00E96395">
        <w:rPr>
          <w:sz w:val="26"/>
          <w:szCs w:val="26"/>
        </w:rPr>
        <w:t>That Aqua Pennsylvania Wastewater, Inc.</w:t>
      </w:r>
      <w:r w:rsidR="00E96395" w:rsidRPr="00E96395">
        <w:rPr>
          <w:sz w:val="26"/>
          <w:szCs w:val="26"/>
        </w:rPr>
        <w:t xml:space="preserve"> shall</w:t>
      </w:r>
      <w:r w:rsidRPr="00E96395">
        <w:rPr>
          <w:sz w:val="26"/>
          <w:szCs w:val="26"/>
        </w:rPr>
        <w:t xml:space="preserve"> file a tariff or tariff supplement in substantially the same form as that attached as Appendix B to the </w:t>
      </w:r>
      <w:r w:rsidR="00C968A9" w:rsidRPr="00892425">
        <w:rPr>
          <w:sz w:val="26"/>
          <w:szCs w:val="26"/>
        </w:rPr>
        <w:t xml:space="preserve">Joint </w:t>
      </w:r>
      <w:r w:rsidR="00C968A9">
        <w:rPr>
          <w:sz w:val="26"/>
          <w:szCs w:val="26"/>
        </w:rPr>
        <w:t xml:space="preserve">Petition for </w:t>
      </w:r>
      <w:r w:rsidR="00C968A9" w:rsidRPr="00892425">
        <w:rPr>
          <w:sz w:val="26"/>
          <w:szCs w:val="26"/>
        </w:rPr>
        <w:t>Settlemen</w:t>
      </w:r>
      <w:r w:rsidR="00C968A9">
        <w:rPr>
          <w:sz w:val="26"/>
          <w:szCs w:val="26"/>
        </w:rPr>
        <w:t xml:space="preserve">t, filed September 8, 2018, </w:t>
      </w:r>
      <w:r w:rsidR="00C968A9" w:rsidRPr="00892425">
        <w:rPr>
          <w:sz w:val="26"/>
          <w:szCs w:val="26"/>
        </w:rPr>
        <w:t xml:space="preserve">at Docket No. </w:t>
      </w:r>
      <w:r w:rsidR="00C968A9" w:rsidRPr="00E96395">
        <w:rPr>
          <w:sz w:val="26"/>
          <w:szCs w:val="26"/>
        </w:rPr>
        <w:t>R-2018-3003561</w:t>
      </w:r>
      <w:r w:rsidR="00C968A9">
        <w:rPr>
          <w:sz w:val="26"/>
          <w:szCs w:val="26"/>
        </w:rPr>
        <w:t xml:space="preserve">, </w:t>
      </w:r>
      <w:r w:rsidR="00C968A9" w:rsidRPr="00341148">
        <w:rPr>
          <w:i/>
          <w:sz w:val="26"/>
          <w:szCs w:val="26"/>
        </w:rPr>
        <w:t>et al.</w:t>
      </w:r>
      <w:r w:rsidR="00C968A9">
        <w:rPr>
          <w:sz w:val="26"/>
          <w:szCs w:val="26"/>
        </w:rPr>
        <w:t xml:space="preserve">, </w:t>
      </w:r>
      <w:r w:rsidRPr="00E96395">
        <w:rPr>
          <w:sz w:val="26"/>
          <w:szCs w:val="26"/>
        </w:rPr>
        <w:t>reflecting the rates, rules, and regulations to become effective upon at least one</w:t>
      </w:r>
      <w:r w:rsidR="00E96395" w:rsidRPr="00E96395">
        <w:rPr>
          <w:sz w:val="26"/>
          <w:szCs w:val="26"/>
        </w:rPr>
        <w:t xml:space="preserve"> (1)</w:t>
      </w:r>
      <w:r w:rsidRPr="00E96395">
        <w:rPr>
          <w:sz w:val="26"/>
          <w:szCs w:val="26"/>
        </w:rPr>
        <w:t xml:space="preserve"> day's notice, </w:t>
      </w:r>
      <w:r w:rsidR="00E96395">
        <w:rPr>
          <w:sz w:val="26"/>
          <w:szCs w:val="26"/>
        </w:rPr>
        <w:t>for service rendered on or after the date of</w:t>
      </w:r>
      <w:r w:rsidR="00E96395" w:rsidRPr="00892425">
        <w:rPr>
          <w:sz w:val="26"/>
          <w:szCs w:val="26"/>
        </w:rPr>
        <w:t xml:space="preserve"> entry of th</w:t>
      </w:r>
      <w:r w:rsidR="00E96395">
        <w:rPr>
          <w:sz w:val="26"/>
          <w:szCs w:val="26"/>
        </w:rPr>
        <w:t>is Opinion and Order</w:t>
      </w:r>
      <w:r w:rsidR="00E96395" w:rsidRPr="00892425">
        <w:rPr>
          <w:sz w:val="26"/>
          <w:szCs w:val="26"/>
        </w:rPr>
        <w:t>.</w:t>
      </w:r>
    </w:p>
    <w:p w14:paraId="542313D1" w14:textId="0A084525" w:rsidR="007B4465" w:rsidRPr="00E96395" w:rsidRDefault="007B4465" w:rsidP="002C4EC5">
      <w:pPr>
        <w:ind w:firstLine="1440"/>
        <w:contextualSpacing/>
        <w:rPr>
          <w:sz w:val="26"/>
          <w:szCs w:val="26"/>
        </w:rPr>
      </w:pPr>
    </w:p>
    <w:p w14:paraId="5F09CD02" w14:textId="5C502D9E" w:rsidR="007B4465" w:rsidRPr="00892425" w:rsidRDefault="007B4465" w:rsidP="002C4EC5">
      <w:pPr>
        <w:numPr>
          <w:ilvl w:val="0"/>
          <w:numId w:val="28"/>
        </w:numPr>
        <w:ind w:left="0" w:firstLine="1440"/>
        <w:contextualSpacing/>
        <w:rPr>
          <w:sz w:val="26"/>
          <w:szCs w:val="26"/>
        </w:rPr>
      </w:pPr>
      <w:r w:rsidRPr="00892425">
        <w:rPr>
          <w:sz w:val="26"/>
          <w:szCs w:val="26"/>
        </w:rPr>
        <w:t>That upon acceptance of the appropriate compliance filing, the investigation at Docket R-2018-3003561 sh</w:t>
      </w:r>
      <w:r w:rsidR="00C968A9">
        <w:rPr>
          <w:sz w:val="26"/>
          <w:szCs w:val="26"/>
        </w:rPr>
        <w:t>all</w:t>
      </w:r>
      <w:r w:rsidRPr="00892425">
        <w:rPr>
          <w:sz w:val="26"/>
          <w:szCs w:val="26"/>
        </w:rPr>
        <w:t xml:space="preserve"> be marked closed.</w:t>
      </w:r>
    </w:p>
    <w:p w14:paraId="47C7E55B" w14:textId="14814633" w:rsidR="00892425" w:rsidRDefault="00892425" w:rsidP="002C4EC5">
      <w:pPr>
        <w:ind w:firstLine="1440"/>
        <w:contextualSpacing/>
        <w:rPr>
          <w:rFonts w:eastAsia="Calibri"/>
          <w:sz w:val="26"/>
          <w:szCs w:val="26"/>
        </w:rPr>
      </w:pPr>
    </w:p>
    <w:p w14:paraId="3E6EC5EE" w14:textId="3AAC062A" w:rsidR="008750A2" w:rsidRDefault="008750A2" w:rsidP="002C4EC5">
      <w:pPr>
        <w:ind w:firstLine="1440"/>
        <w:contextualSpacing/>
        <w:rPr>
          <w:rFonts w:eastAsia="Calibri"/>
          <w:sz w:val="26"/>
          <w:szCs w:val="26"/>
        </w:rPr>
      </w:pPr>
    </w:p>
    <w:p w14:paraId="747556C4" w14:textId="2A3A189C" w:rsidR="008750A2" w:rsidRPr="00666E2E" w:rsidRDefault="008750A2" w:rsidP="002C4EC5">
      <w:pPr>
        <w:numPr>
          <w:ilvl w:val="0"/>
          <w:numId w:val="28"/>
        </w:numPr>
        <w:ind w:left="0" w:firstLine="1440"/>
        <w:contextualSpacing/>
        <w:rPr>
          <w:sz w:val="26"/>
          <w:szCs w:val="26"/>
        </w:rPr>
      </w:pPr>
      <w:bookmarkStart w:id="25" w:name="_Hlk7400848"/>
      <w:r w:rsidRPr="00666E2E">
        <w:rPr>
          <w:sz w:val="26"/>
          <w:szCs w:val="26"/>
        </w:rPr>
        <w:t xml:space="preserve">That the following Formal Complaints </w:t>
      </w:r>
      <w:r w:rsidR="00666E2E" w:rsidRPr="00666E2E">
        <w:rPr>
          <w:sz w:val="26"/>
          <w:szCs w:val="26"/>
        </w:rPr>
        <w:t>against Aqua Pennsylvania, Inc.</w:t>
      </w:r>
      <w:r w:rsidR="00666E2E">
        <w:rPr>
          <w:sz w:val="26"/>
          <w:szCs w:val="26"/>
        </w:rPr>
        <w:t>,</w:t>
      </w:r>
      <w:r w:rsidR="00666E2E" w:rsidRPr="00666E2E">
        <w:rPr>
          <w:sz w:val="26"/>
          <w:szCs w:val="26"/>
        </w:rPr>
        <w:t xml:space="preserve"> </w:t>
      </w:r>
      <w:r w:rsidRPr="00666E2E">
        <w:rPr>
          <w:sz w:val="26"/>
          <w:szCs w:val="26"/>
        </w:rPr>
        <w:t>are dismissed and marked closed:</w:t>
      </w:r>
    </w:p>
    <w:bookmarkEnd w:id="25"/>
    <w:p w14:paraId="43050E21" w14:textId="07B3B817" w:rsidR="008750A2" w:rsidRDefault="008750A2" w:rsidP="002C4EC5">
      <w:pPr>
        <w:ind w:firstLine="1440"/>
        <w:contextualSpacing/>
        <w:rPr>
          <w:rFonts w:eastAsia="Calibri"/>
          <w:sz w:val="26"/>
          <w:szCs w:val="26"/>
        </w:rPr>
      </w:pP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530"/>
      </w:tblGrid>
      <w:tr w:rsidR="0041093B" w:rsidRPr="0041093B" w14:paraId="11B7FA7D" w14:textId="77777777" w:rsidTr="000A2417">
        <w:trPr>
          <w:trHeight w:val="340"/>
          <w:jc w:val="center"/>
        </w:trPr>
        <w:tc>
          <w:tcPr>
            <w:tcW w:w="2245" w:type="dxa"/>
            <w:shd w:val="clear" w:color="auto" w:fill="auto"/>
            <w:vAlign w:val="bottom"/>
            <w:hideMark/>
          </w:tcPr>
          <w:p w14:paraId="38E297E4" w14:textId="77777777" w:rsidR="0041093B" w:rsidRPr="0041093B" w:rsidRDefault="0041093B" w:rsidP="002C4EC5">
            <w:pPr>
              <w:spacing w:line="240" w:lineRule="auto"/>
              <w:contextualSpacing/>
              <w:jc w:val="center"/>
              <w:rPr>
                <w:color w:val="000000"/>
                <w:sz w:val="26"/>
                <w:szCs w:val="26"/>
              </w:rPr>
            </w:pPr>
            <w:r w:rsidRPr="0041093B">
              <w:rPr>
                <w:color w:val="000000"/>
                <w:sz w:val="26"/>
                <w:szCs w:val="26"/>
              </w:rPr>
              <w:t>Docket Number</w:t>
            </w:r>
          </w:p>
        </w:tc>
        <w:tc>
          <w:tcPr>
            <w:tcW w:w="6530" w:type="dxa"/>
            <w:shd w:val="clear" w:color="auto" w:fill="auto"/>
            <w:vAlign w:val="bottom"/>
            <w:hideMark/>
          </w:tcPr>
          <w:p w14:paraId="67E9DC5E" w14:textId="77777777" w:rsidR="0041093B" w:rsidRPr="0041093B" w:rsidRDefault="0041093B" w:rsidP="002C4EC5">
            <w:pPr>
              <w:spacing w:line="240" w:lineRule="auto"/>
              <w:contextualSpacing/>
              <w:jc w:val="center"/>
              <w:rPr>
                <w:color w:val="000000"/>
                <w:sz w:val="26"/>
                <w:szCs w:val="26"/>
              </w:rPr>
            </w:pPr>
            <w:r w:rsidRPr="0041093B">
              <w:rPr>
                <w:color w:val="000000"/>
                <w:sz w:val="26"/>
                <w:szCs w:val="26"/>
              </w:rPr>
              <w:t>Complainant</w:t>
            </w:r>
          </w:p>
        </w:tc>
      </w:tr>
      <w:tr w:rsidR="0041093B" w:rsidRPr="0041093B" w14:paraId="5DF392D1" w14:textId="77777777" w:rsidTr="000A2417">
        <w:trPr>
          <w:trHeight w:val="340"/>
          <w:jc w:val="center"/>
        </w:trPr>
        <w:tc>
          <w:tcPr>
            <w:tcW w:w="2245" w:type="dxa"/>
            <w:shd w:val="clear" w:color="auto" w:fill="auto"/>
            <w:vAlign w:val="center"/>
            <w:hideMark/>
          </w:tcPr>
          <w:p w14:paraId="50C81A6E" w14:textId="77777777" w:rsidR="0041093B" w:rsidRPr="0041093B" w:rsidRDefault="0041093B" w:rsidP="002C4EC5">
            <w:pPr>
              <w:spacing w:line="240" w:lineRule="auto"/>
              <w:contextualSpacing/>
              <w:rPr>
                <w:sz w:val="26"/>
                <w:szCs w:val="26"/>
              </w:rPr>
            </w:pPr>
            <w:r w:rsidRPr="0041093B">
              <w:rPr>
                <w:rFonts w:eastAsia="Calibri"/>
                <w:sz w:val="26"/>
                <w:szCs w:val="26"/>
              </w:rPr>
              <w:t>C-2018-3004270</w:t>
            </w:r>
          </w:p>
        </w:tc>
        <w:tc>
          <w:tcPr>
            <w:tcW w:w="6530" w:type="dxa"/>
            <w:shd w:val="clear" w:color="auto" w:fill="auto"/>
            <w:vAlign w:val="center"/>
            <w:hideMark/>
          </w:tcPr>
          <w:p w14:paraId="27AAC927"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Jordan Goretti </w:t>
            </w:r>
          </w:p>
        </w:tc>
      </w:tr>
      <w:tr w:rsidR="0041093B" w:rsidRPr="0041093B" w14:paraId="48940CB4" w14:textId="77777777" w:rsidTr="000A2417">
        <w:trPr>
          <w:trHeight w:val="340"/>
          <w:jc w:val="center"/>
        </w:trPr>
        <w:tc>
          <w:tcPr>
            <w:tcW w:w="2245" w:type="dxa"/>
            <w:shd w:val="clear" w:color="auto" w:fill="auto"/>
            <w:vAlign w:val="center"/>
            <w:hideMark/>
          </w:tcPr>
          <w:p w14:paraId="645437DC" w14:textId="77777777" w:rsidR="0041093B" w:rsidRPr="0041093B" w:rsidRDefault="0041093B" w:rsidP="002C4EC5">
            <w:pPr>
              <w:spacing w:line="240" w:lineRule="auto"/>
              <w:contextualSpacing/>
              <w:rPr>
                <w:sz w:val="26"/>
                <w:szCs w:val="26"/>
              </w:rPr>
            </w:pPr>
            <w:r w:rsidRPr="0041093B">
              <w:rPr>
                <w:rFonts w:eastAsia="Calibri"/>
                <w:sz w:val="26"/>
                <w:szCs w:val="26"/>
              </w:rPr>
              <w:t>C-2018-3004318</w:t>
            </w:r>
          </w:p>
        </w:tc>
        <w:tc>
          <w:tcPr>
            <w:tcW w:w="6530" w:type="dxa"/>
            <w:shd w:val="clear" w:color="auto" w:fill="auto"/>
            <w:vAlign w:val="center"/>
            <w:hideMark/>
          </w:tcPr>
          <w:p w14:paraId="0DEFEE42" w14:textId="77777777" w:rsidR="0041093B" w:rsidRPr="0041093B" w:rsidRDefault="0041093B" w:rsidP="002C4EC5">
            <w:pPr>
              <w:spacing w:line="240" w:lineRule="auto"/>
              <w:contextualSpacing/>
              <w:rPr>
                <w:sz w:val="26"/>
                <w:szCs w:val="26"/>
              </w:rPr>
            </w:pPr>
            <w:r w:rsidRPr="0041093B">
              <w:rPr>
                <w:rFonts w:eastAsia="Calibri"/>
                <w:sz w:val="26"/>
                <w:szCs w:val="26"/>
              </w:rPr>
              <w:t>Darren Distasio</w:t>
            </w:r>
          </w:p>
        </w:tc>
      </w:tr>
      <w:tr w:rsidR="0041093B" w:rsidRPr="0041093B" w14:paraId="5134FCEA" w14:textId="77777777" w:rsidTr="000A2417">
        <w:trPr>
          <w:trHeight w:val="340"/>
          <w:jc w:val="center"/>
        </w:trPr>
        <w:tc>
          <w:tcPr>
            <w:tcW w:w="2245" w:type="dxa"/>
            <w:shd w:val="clear" w:color="auto" w:fill="auto"/>
            <w:vAlign w:val="center"/>
            <w:hideMark/>
          </w:tcPr>
          <w:p w14:paraId="72B82E1A" w14:textId="77777777" w:rsidR="0041093B" w:rsidRPr="0041093B" w:rsidRDefault="0041093B" w:rsidP="002C4EC5">
            <w:pPr>
              <w:spacing w:line="240" w:lineRule="auto"/>
              <w:contextualSpacing/>
              <w:rPr>
                <w:sz w:val="26"/>
                <w:szCs w:val="26"/>
              </w:rPr>
            </w:pPr>
            <w:r w:rsidRPr="0041093B">
              <w:rPr>
                <w:rFonts w:eastAsia="Calibri"/>
                <w:sz w:val="26"/>
                <w:szCs w:val="26"/>
              </w:rPr>
              <w:t>C-2018-3004331</w:t>
            </w:r>
          </w:p>
        </w:tc>
        <w:tc>
          <w:tcPr>
            <w:tcW w:w="6530" w:type="dxa"/>
            <w:shd w:val="clear" w:color="auto" w:fill="auto"/>
            <w:vAlign w:val="center"/>
            <w:hideMark/>
          </w:tcPr>
          <w:p w14:paraId="1ECD9E0C"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Office of Consumer Advocate </w:t>
            </w:r>
          </w:p>
        </w:tc>
      </w:tr>
      <w:tr w:rsidR="0041093B" w:rsidRPr="0041093B" w14:paraId="2EF7674F" w14:textId="77777777" w:rsidTr="000A2417">
        <w:trPr>
          <w:trHeight w:val="340"/>
          <w:jc w:val="center"/>
        </w:trPr>
        <w:tc>
          <w:tcPr>
            <w:tcW w:w="2245" w:type="dxa"/>
            <w:shd w:val="clear" w:color="auto" w:fill="auto"/>
            <w:vAlign w:val="center"/>
            <w:hideMark/>
          </w:tcPr>
          <w:p w14:paraId="78D76C94" w14:textId="77777777" w:rsidR="0041093B" w:rsidRPr="0041093B" w:rsidRDefault="0041093B" w:rsidP="002C4EC5">
            <w:pPr>
              <w:spacing w:line="240" w:lineRule="auto"/>
              <w:contextualSpacing/>
              <w:rPr>
                <w:sz w:val="26"/>
                <w:szCs w:val="26"/>
              </w:rPr>
            </w:pPr>
            <w:r w:rsidRPr="0041093B">
              <w:rPr>
                <w:rFonts w:eastAsia="Calibri"/>
                <w:sz w:val="26"/>
                <w:szCs w:val="26"/>
              </w:rPr>
              <w:t>C-2018-3004375</w:t>
            </w:r>
          </w:p>
        </w:tc>
        <w:tc>
          <w:tcPr>
            <w:tcW w:w="6530" w:type="dxa"/>
            <w:shd w:val="clear" w:color="auto" w:fill="auto"/>
            <w:vAlign w:val="center"/>
            <w:hideMark/>
          </w:tcPr>
          <w:p w14:paraId="7B6D6638" w14:textId="77777777" w:rsidR="0041093B" w:rsidRPr="0041093B" w:rsidRDefault="0041093B" w:rsidP="002C4EC5">
            <w:pPr>
              <w:spacing w:line="240" w:lineRule="auto"/>
              <w:contextualSpacing/>
              <w:rPr>
                <w:sz w:val="26"/>
                <w:szCs w:val="26"/>
              </w:rPr>
            </w:pPr>
            <w:r w:rsidRPr="0041093B">
              <w:rPr>
                <w:rFonts w:eastAsia="Calibri"/>
                <w:sz w:val="26"/>
                <w:szCs w:val="26"/>
              </w:rPr>
              <w:t>Byron Goldstein</w:t>
            </w:r>
          </w:p>
        </w:tc>
      </w:tr>
      <w:tr w:rsidR="0041093B" w:rsidRPr="0041093B" w14:paraId="0B7343D0" w14:textId="77777777" w:rsidTr="000A2417">
        <w:trPr>
          <w:trHeight w:val="340"/>
          <w:jc w:val="center"/>
        </w:trPr>
        <w:tc>
          <w:tcPr>
            <w:tcW w:w="2245" w:type="dxa"/>
            <w:shd w:val="clear" w:color="auto" w:fill="auto"/>
            <w:vAlign w:val="center"/>
            <w:hideMark/>
          </w:tcPr>
          <w:p w14:paraId="64430A01" w14:textId="77777777" w:rsidR="0041093B" w:rsidRPr="0041093B" w:rsidRDefault="0041093B" w:rsidP="002C4EC5">
            <w:pPr>
              <w:spacing w:line="240" w:lineRule="auto"/>
              <w:contextualSpacing/>
              <w:rPr>
                <w:sz w:val="26"/>
                <w:szCs w:val="26"/>
              </w:rPr>
            </w:pPr>
            <w:r w:rsidRPr="0041093B">
              <w:rPr>
                <w:rFonts w:eastAsia="Calibri"/>
                <w:sz w:val="26"/>
                <w:szCs w:val="26"/>
              </w:rPr>
              <w:t>C-2018-3004381</w:t>
            </w:r>
          </w:p>
        </w:tc>
        <w:tc>
          <w:tcPr>
            <w:tcW w:w="6530" w:type="dxa"/>
            <w:shd w:val="clear" w:color="auto" w:fill="auto"/>
            <w:vAlign w:val="center"/>
            <w:hideMark/>
          </w:tcPr>
          <w:p w14:paraId="7AE3AD10" w14:textId="77777777" w:rsidR="0041093B" w:rsidRPr="0041093B" w:rsidRDefault="0041093B" w:rsidP="002C4EC5">
            <w:pPr>
              <w:spacing w:line="240" w:lineRule="auto"/>
              <w:contextualSpacing/>
              <w:rPr>
                <w:sz w:val="26"/>
                <w:szCs w:val="26"/>
              </w:rPr>
            </w:pPr>
            <w:r w:rsidRPr="0041093B">
              <w:rPr>
                <w:rFonts w:eastAsia="Calibri"/>
                <w:sz w:val="26"/>
                <w:szCs w:val="26"/>
              </w:rPr>
              <w:t>Joseph Lorusso</w:t>
            </w:r>
          </w:p>
        </w:tc>
      </w:tr>
      <w:tr w:rsidR="0041093B" w:rsidRPr="0041093B" w14:paraId="7A4F0D8B" w14:textId="77777777" w:rsidTr="000A2417">
        <w:trPr>
          <w:trHeight w:val="340"/>
          <w:jc w:val="center"/>
        </w:trPr>
        <w:tc>
          <w:tcPr>
            <w:tcW w:w="2245" w:type="dxa"/>
            <w:shd w:val="clear" w:color="auto" w:fill="auto"/>
            <w:vAlign w:val="center"/>
            <w:hideMark/>
          </w:tcPr>
          <w:p w14:paraId="5FFD45EC" w14:textId="77777777" w:rsidR="0041093B" w:rsidRPr="0041093B" w:rsidRDefault="0041093B" w:rsidP="002C4EC5">
            <w:pPr>
              <w:spacing w:line="240" w:lineRule="auto"/>
              <w:contextualSpacing/>
              <w:rPr>
                <w:sz w:val="26"/>
                <w:szCs w:val="26"/>
              </w:rPr>
            </w:pPr>
            <w:r w:rsidRPr="0041093B">
              <w:rPr>
                <w:rFonts w:eastAsia="Calibri"/>
                <w:sz w:val="26"/>
                <w:szCs w:val="26"/>
              </w:rPr>
              <w:t>C-2018-3004425</w:t>
            </w:r>
          </w:p>
        </w:tc>
        <w:tc>
          <w:tcPr>
            <w:tcW w:w="6530" w:type="dxa"/>
            <w:shd w:val="clear" w:color="auto" w:fill="auto"/>
            <w:vAlign w:val="center"/>
            <w:hideMark/>
          </w:tcPr>
          <w:p w14:paraId="127053E4"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Pennsylvania American Water Company </w:t>
            </w:r>
          </w:p>
        </w:tc>
      </w:tr>
      <w:tr w:rsidR="0041093B" w:rsidRPr="0041093B" w14:paraId="67F1BC6D" w14:textId="77777777" w:rsidTr="000A2417">
        <w:trPr>
          <w:trHeight w:val="340"/>
          <w:jc w:val="center"/>
        </w:trPr>
        <w:tc>
          <w:tcPr>
            <w:tcW w:w="2245" w:type="dxa"/>
            <w:shd w:val="clear" w:color="auto" w:fill="auto"/>
            <w:vAlign w:val="center"/>
            <w:hideMark/>
          </w:tcPr>
          <w:p w14:paraId="45C784C8" w14:textId="77777777" w:rsidR="0041093B" w:rsidRPr="0041093B" w:rsidRDefault="0041093B" w:rsidP="002C4EC5">
            <w:pPr>
              <w:spacing w:line="240" w:lineRule="auto"/>
              <w:contextualSpacing/>
              <w:rPr>
                <w:sz w:val="26"/>
                <w:szCs w:val="26"/>
              </w:rPr>
            </w:pPr>
            <w:r w:rsidRPr="0041093B">
              <w:rPr>
                <w:rFonts w:eastAsia="Calibri"/>
                <w:sz w:val="26"/>
                <w:szCs w:val="26"/>
              </w:rPr>
              <w:t>C-2018-3004631</w:t>
            </w:r>
          </w:p>
        </w:tc>
        <w:tc>
          <w:tcPr>
            <w:tcW w:w="6530" w:type="dxa"/>
            <w:shd w:val="clear" w:color="auto" w:fill="auto"/>
            <w:vAlign w:val="center"/>
            <w:hideMark/>
          </w:tcPr>
          <w:p w14:paraId="123DCD18" w14:textId="77777777" w:rsidR="0041093B" w:rsidRPr="0041093B" w:rsidRDefault="0041093B" w:rsidP="002C4EC5">
            <w:pPr>
              <w:spacing w:line="240" w:lineRule="auto"/>
              <w:contextualSpacing/>
              <w:rPr>
                <w:sz w:val="26"/>
                <w:szCs w:val="26"/>
              </w:rPr>
            </w:pPr>
            <w:r w:rsidRPr="0041093B">
              <w:rPr>
                <w:rFonts w:eastAsia="Calibri"/>
                <w:sz w:val="26"/>
                <w:szCs w:val="26"/>
              </w:rPr>
              <w:t>Marilyn Marbo</w:t>
            </w:r>
          </w:p>
        </w:tc>
      </w:tr>
      <w:tr w:rsidR="0041093B" w:rsidRPr="0041093B" w14:paraId="1E4A7DDB" w14:textId="77777777" w:rsidTr="000A2417">
        <w:trPr>
          <w:trHeight w:val="340"/>
          <w:jc w:val="center"/>
        </w:trPr>
        <w:tc>
          <w:tcPr>
            <w:tcW w:w="2245" w:type="dxa"/>
            <w:shd w:val="clear" w:color="auto" w:fill="auto"/>
            <w:vAlign w:val="center"/>
            <w:hideMark/>
          </w:tcPr>
          <w:p w14:paraId="3FD68FF8" w14:textId="77777777" w:rsidR="0041093B" w:rsidRPr="0041093B" w:rsidRDefault="0041093B" w:rsidP="002C4EC5">
            <w:pPr>
              <w:spacing w:line="240" w:lineRule="auto"/>
              <w:contextualSpacing/>
              <w:rPr>
                <w:sz w:val="26"/>
                <w:szCs w:val="26"/>
              </w:rPr>
            </w:pPr>
            <w:r w:rsidRPr="0041093B">
              <w:rPr>
                <w:rFonts w:eastAsia="Calibri"/>
                <w:sz w:val="26"/>
                <w:szCs w:val="26"/>
              </w:rPr>
              <w:t>C-2018-3004648</w:t>
            </w:r>
          </w:p>
        </w:tc>
        <w:tc>
          <w:tcPr>
            <w:tcW w:w="6530" w:type="dxa"/>
            <w:shd w:val="clear" w:color="auto" w:fill="auto"/>
            <w:vAlign w:val="center"/>
            <w:hideMark/>
          </w:tcPr>
          <w:p w14:paraId="255DE5ED" w14:textId="77777777" w:rsidR="0041093B" w:rsidRPr="0041093B" w:rsidRDefault="0041093B" w:rsidP="002C4EC5">
            <w:pPr>
              <w:spacing w:line="240" w:lineRule="auto"/>
              <w:contextualSpacing/>
              <w:rPr>
                <w:sz w:val="26"/>
                <w:szCs w:val="26"/>
              </w:rPr>
            </w:pPr>
            <w:r w:rsidRPr="0041093B">
              <w:rPr>
                <w:rFonts w:eastAsia="Calibri"/>
                <w:sz w:val="26"/>
                <w:szCs w:val="26"/>
              </w:rPr>
              <w:t>Albert Bowman</w:t>
            </w:r>
          </w:p>
        </w:tc>
      </w:tr>
      <w:tr w:rsidR="0041093B" w:rsidRPr="0041093B" w14:paraId="4D26180E" w14:textId="77777777" w:rsidTr="000A2417">
        <w:trPr>
          <w:trHeight w:val="340"/>
          <w:jc w:val="center"/>
        </w:trPr>
        <w:tc>
          <w:tcPr>
            <w:tcW w:w="2245" w:type="dxa"/>
            <w:shd w:val="clear" w:color="auto" w:fill="auto"/>
            <w:vAlign w:val="center"/>
            <w:hideMark/>
          </w:tcPr>
          <w:p w14:paraId="2ACAFC59" w14:textId="77777777" w:rsidR="0041093B" w:rsidRPr="0041093B" w:rsidRDefault="0041093B" w:rsidP="002C4EC5">
            <w:pPr>
              <w:spacing w:line="240" w:lineRule="auto"/>
              <w:contextualSpacing/>
              <w:rPr>
                <w:sz w:val="26"/>
                <w:szCs w:val="26"/>
              </w:rPr>
            </w:pPr>
            <w:r w:rsidRPr="0041093B">
              <w:rPr>
                <w:rFonts w:eastAsia="Calibri"/>
                <w:sz w:val="26"/>
                <w:szCs w:val="26"/>
              </w:rPr>
              <w:t>C-2018-3004690</w:t>
            </w:r>
          </w:p>
        </w:tc>
        <w:tc>
          <w:tcPr>
            <w:tcW w:w="6530" w:type="dxa"/>
            <w:shd w:val="clear" w:color="auto" w:fill="auto"/>
            <w:vAlign w:val="center"/>
            <w:hideMark/>
          </w:tcPr>
          <w:p w14:paraId="483FA83D"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Robert Leupold </w:t>
            </w:r>
          </w:p>
        </w:tc>
      </w:tr>
      <w:tr w:rsidR="0041093B" w:rsidRPr="0041093B" w14:paraId="1972DA78" w14:textId="77777777" w:rsidTr="000A2417">
        <w:trPr>
          <w:trHeight w:val="340"/>
          <w:jc w:val="center"/>
        </w:trPr>
        <w:tc>
          <w:tcPr>
            <w:tcW w:w="2245" w:type="dxa"/>
            <w:shd w:val="clear" w:color="auto" w:fill="auto"/>
            <w:vAlign w:val="center"/>
            <w:hideMark/>
          </w:tcPr>
          <w:p w14:paraId="4975C081" w14:textId="77777777" w:rsidR="0041093B" w:rsidRPr="0041093B" w:rsidRDefault="0041093B" w:rsidP="002C4EC5">
            <w:pPr>
              <w:spacing w:line="240" w:lineRule="auto"/>
              <w:contextualSpacing/>
              <w:rPr>
                <w:sz w:val="26"/>
                <w:szCs w:val="26"/>
              </w:rPr>
            </w:pPr>
            <w:r w:rsidRPr="0041093B">
              <w:rPr>
                <w:rFonts w:eastAsia="Calibri"/>
                <w:sz w:val="26"/>
                <w:szCs w:val="26"/>
              </w:rPr>
              <w:t>C-2018-3004748</w:t>
            </w:r>
          </w:p>
        </w:tc>
        <w:tc>
          <w:tcPr>
            <w:tcW w:w="6530" w:type="dxa"/>
            <w:shd w:val="clear" w:color="auto" w:fill="auto"/>
            <w:vAlign w:val="center"/>
            <w:hideMark/>
          </w:tcPr>
          <w:p w14:paraId="4566F286" w14:textId="77777777" w:rsidR="0041093B" w:rsidRPr="0041093B" w:rsidRDefault="0041093B" w:rsidP="002C4EC5">
            <w:pPr>
              <w:spacing w:line="240" w:lineRule="auto"/>
              <w:contextualSpacing/>
              <w:rPr>
                <w:sz w:val="26"/>
                <w:szCs w:val="26"/>
              </w:rPr>
            </w:pPr>
            <w:r w:rsidRPr="0041093B">
              <w:rPr>
                <w:rFonts w:eastAsia="Calibri"/>
                <w:sz w:val="26"/>
                <w:szCs w:val="26"/>
              </w:rPr>
              <w:t>Brian Sheppard</w:t>
            </w:r>
          </w:p>
        </w:tc>
      </w:tr>
      <w:tr w:rsidR="0041093B" w:rsidRPr="0041093B" w14:paraId="15F28379" w14:textId="77777777" w:rsidTr="000A2417">
        <w:trPr>
          <w:trHeight w:val="340"/>
          <w:jc w:val="center"/>
        </w:trPr>
        <w:tc>
          <w:tcPr>
            <w:tcW w:w="2245" w:type="dxa"/>
            <w:shd w:val="clear" w:color="auto" w:fill="auto"/>
            <w:vAlign w:val="center"/>
            <w:hideMark/>
          </w:tcPr>
          <w:p w14:paraId="6633F4A0" w14:textId="77777777" w:rsidR="0041093B" w:rsidRPr="0041093B" w:rsidRDefault="0041093B" w:rsidP="002C4EC5">
            <w:pPr>
              <w:spacing w:line="240" w:lineRule="auto"/>
              <w:contextualSpacing/>
              <w:rPr>
                <w:sz w:val="26"/>
                <w:szCs w:val="26"/>
              </w:rPr>
            </w:pPr>
            <w:r w:rsidRPr="0041093B">
              <w:rPr>
                <w:rFonts w:eastAsia="Calibri"/>
                <w:sz w:val="26"/>
                <w:szCs w:val="26"/>
              </w:rPr>
              <w:t>C-2018-3004884</w:t>
            </w:r>
          </w:p>
        </w:tc>
        <w:tc>
          <w:tcPr>
            <w:tcW w:w="6530" w:type="dxa"/>
            <w:shd w:val="clear" w:color="auto" w:fill="auto"/>
            <w:vAlign w:val="center"/>
            <w:hideMark/>
          </w:tcPr>
          <w:p w14:paraId="723C7F74"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Robert Shafer </w:t>
            </w:r>
          </w:p>
        </w:tc>
      </w:tr>
      <w:tr w:rsidR="0041093B" w:rsidRPr="0041093B" w14:paraId="4DB79508" w14:textId="77777777" w:rsidTr="000A2417">
        <w:trPr>
          <w:trHeight w:val="340"/>
          <w:jc w:val="center"/>
        </w:trPr>
        <w:tc>
          <w:tcPr>
            <w:tcW w:w="2245" w:type="dxa"/>
            <w:shd w:val="clear" w:color="auto" w:fill="auto"/>
            <w:vAlign w:val="center"/>
            <w:hideMark/>
          </w:tcPr>
          <w:p w14:paraId="13AA7607" w14:textId="77777777" w:rsidR="0041093B" w:rsidRPr="0041093B" w:rsidRDefault="0041093B" w:rsidP="002C4EC5">
            <w:pPr>
              <w:spacing w:line="240" w:lineRule="auto"/>
              <w:contextualSpacing/>
              <w:rPr>
                <w:sz w:val="26"/>
                <w:szCs w:val="26"/>
              </w:rPr>
            </w:pPr>
            <w:r w:rsidRPr="0041093B">
              <w:rPr>
                <w:rFonts w:eastAsia="Calibri"/>
                <w:sz w:val="26"/>
                <w:szCs w:val="26"/>
              </w:rPr>
              <w:lastRenderedPageBreak/>
              <w:t>C-2018-3004896</w:t>
            </w:r>
          </w:p>
        </w:tc>
        <w:tc>
          <w:tcPr>
            <w:tcW w:w="6530" w:type="dxa"/>
            <w:shd w:val="clear" w:color="auto" w:fill="auto"/>
            <w:vAlign w:val="center"/>
            <w:hideMark/>
          </w:tcPr>
          <w:p w14:paraId="0D7E9F72" w14:textId="77777777" w:rsidR="0041093B" w:rsidRPr="0041093B" w:rsidRDefault="0041093B" w:rsidP="002C4EC5">
            <w:pPr>
              <w:spacing w:line="240" w:lineRule="auto"/>
              <w:contextualSpacing/>
              <w:rPr>
                <w:sz w:val="26"/>
                <w:szCs w:val="26"/>
              </w:rPr>
            </w:pPr>
            <w:r w:rsidRPr="0041093B">
              <w:rPr>
                <w:rFonts w:eastAsia="Calibri"/>
                <w:sz w:val="26"/>
                <w:szCs w:val="26"/>
              </w:rPr>
              <w:t>Carl &amp; Kathy Haybedian</w:t>
            </w:r>
          </w:p>
        </w:tc>
      </w:tr>
      <w:tr w:rsidR="0041093B" w:rsidRPr="0041093B" w14:paraId="4F574FCA" w14:textId="77777777" w:rsidTr="000A2417">
        <w:trPr>
          <w:trHeight w:val="340"/>
          <w:jc w:val="center"/>
        </w:trPr>
        <w:tc>
          <w:tcPr>
            <w:tcW w:w="2245" w:type="dxa"/>
            <w:shd w:val="clear" w:color="auto" w:fill="auto"/>
            <w:vAlign w:val="center"/>
            <w:hideMark/>
          </w:tcPr>
          <w:p w14:paraId="16DD2BBA" w14:textId="77777777" w:rsidR="0041093B" w:rsidRPr="0041093B" w:rsidRDefault="0041093B" w:rsidP="002C4EC5">
            <w:pPr>
              <w:spacing w:line="240" w:lineRule="auto"/>
              <w:contextualSpacing/>
              <w:rPr>
                <w:sz w:val="26"/>
                <w:szCs w:val="26"/>
              </w:rPr>
            </w:pPr>
            <w:r w:rsidRPr="0041093B">
              <w:rPr>
                <w:rFonts w:eastAsia="Calibri"/>
                <w:sz w:val="26"/>
                <w:szCs w:val="26"/>
              </w:rPr>
              <w:t>C-2018-3004901</w:t>
            </w:r>
          </w:p>
        </w:tc>
        <w:tc>
          <w:tcPr>
            <w:tcW w:w="6530" w:type="dxa"/>
            <w:shd w:val="clear" w:color="auto" w:fill="auto"/>
            <w:vAlign w:val="center"/>
            <w:hideMark/>
          </w:tcPr>
          <w:p w14:paraId="3DE32D8D"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Robert Kreisich </w:t>
            </w:r>
          </w:p>
        </w:tc>
      </w:tr>
      <w:tr w:rsidR="0041093B" w:rsidRPr="0041093B" w14:paraId="69C0845A" w14:textId="77777777" w:rsidTr="000A2417">
        <w:trPr>
          <w:trHeight w:val="340"/>
          <w:jc w:val="center"/>
        </w:trPr>
        <w:tc>
          <w:tcPr>
            <w:tcW w:w="2245" w:type="dxa"/>
            <w:shd w:val="clear" w:color="auto" w:fill="auto"/>
            <w:vAlign w:val="center"/>
            <w:hideMark/>
          </w:tcPr>
          <w:p w14:paraId="639CE2DB" w14:textId="77777777" w:rsidR="0041093B" w:rsidRPr="0041093B" w:rsidRDefault="0041093B" w:rsidP="002C4EC5">
            <w:pPr>
              <w:spacing w:line="240" w:lineRule="auto"/>
              <w:contextualSpacing/>
              <w:rPr>
                <w:sz w:val="26"/>
                <w:szCs w:val="26"/>
              </w:rPr>
            </w:pPr>
            <w:r w:rsidRPr="0041093B">
              <w:rPr>
                <w:rFonts w:eastAsia="Calibri"/>
                <w:sz w:val="26"/>
                <w:szCs w:val="26"/>
              </w:rPr>
              <w:t>C-2018-3004912</w:t>
            </w:r>
          </w:p>
        </w:tc>
        <w:tc>
          <w:tcPr>
            <w:tcW w:w="6530" w:type="dxa"/>
            <w:shd w:val="clear" w:color="auto" w:fill="auto"/>
            <w:vAlign w:val="center"/>
            <w:hideMark/>
          </w:tcPr>
          <w:p w14:paraId="14B7C9AC" w14:textId="065BE990" w:rsidR="0041093B" w:rsidRPr="0041093B" w:rsidRDefault="0041093B" w:rsidP="002C4EC5">
            <w:pPr>
              <w:spacing w:line="240" w:lineRule="auto"/>
              <w:contextualSpacing/>
              <w:rPr>
                <w:sz w:val="26"/>
                <w:szCs w:val="26"/>
              </w:rPr>
            </w:pPr>
            <w:r w:rsidRPr="0041093B">
              <w:rPr>
                <w:rFonts w:eastAsia="Calibri"/>
                <w:sz w:val="26"/>
                <w:szCs w:val="26"/>
              </w:rPr>
              <w:t xml:space="preserve">Links at Gettysburg Master Association </w:t>
            </w:r>
            <w:r w:rsidR="00863749">
              <w:rPr>
                <w:rFonts w:eastAsia="Calibri"/>
                <w:sz w:val="26"/>
                <w:szCs w:val="26"/>
              </w:rPr>
              <w:t>c/o Cody Vance</w:t>
            </w:r>
          </w:p>
        </w:tc>
      </w:tr>
      <w:tr w:rsidR="0041093B" w:rsidRPr="0041093B" w14:paraId="64587501" w14:textId="77777777" w:rsidTr="000A2417">
        <w:trPr>
          <w:trHeight w:val="340"/>
          <w:jc w:val="center"/>
        </w:trPr>
        <w:tc>
          <w:tcPr>
            <w:tcW w:w="2245" w:type="dxa"/>
            <w:shd w:val="clear" w:color="auto" w:fill="auto"/>
            <w:vAlign w:val="center"/>
            <w:hideMark/>
          </w:tcPr>
          <w:p w14:paraId="19A26BBB" w14:textId="77777777" w:rsidR="0041093B" w:rsidRPr="0041093B" w:rsidRDefault="0041093B" w:rsidP="002C4EC5">
            <w:pPr>
              <w:spacing w:line="240" w:lineRule="auto"/>
              <w:contextualSpacing/>
              <w:rPr>
                <w:sz w:val="26"/>
                <w:szCs w:val="26"/>
              </w:rPr>
            </w:pPr>
            <w:r w:rsidRPr="0041093B">
              <w:rPr>
                <w:rFonts w:eastAsia="Calibri"/>
                <w:sz w:val="26"/>
                <w:szCs w:val="26"/>
              </w:rPr>
              <w:t>C-2018-3004941</w:t>
            </w:r>
          </w:p>
        </w:tc>
        <w:tc>
          <w:tcPr>
            <w:tcW w:w="6530" w:type="dxa"/>
            <w:shd w:val="clear" w:color="auto" w:fill="auto"/>
            <w:vAlign w:val="center"/>
            <w:hideMark/>
          </w:tcPr>
          <w:p w14:paraId="070BA227"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Office of Small Business Advocate </w:t>
            </w:r>
          </w:p>
        </w:tc>
      </w:tr>
      <w:tr w:rsidR="0041093B" w:rsidRPr="0041093B" w14:paraId="026B5965" w14:textId="77777777" w:rsidTr="000A2417">
        <w:trPr>
          <w:trHeight w:val="340"/>
          <w:jc w:val="center"/>
        </w:trPr>
        <w:tc>
          <w:tcPr>
            <w:tcW w:w="2245" w:type="dxa"/>
            <w:shd w:val="clear" w:color="auto" w:fill="auto"/>
            <w:vAlign w:val="center"/>
            <w:hideMark/>
          </w:tcPr>
          <w:p w14:paraId="308D821A" w14:textId="77777777" w:rsidR="0041093B" w:rsidRPr="0041093B" w:rsidRDefault="0041093B" w:rsidP="002C4EC5">
            <w:pPr>
              <w:spacing w:line="240" w:lineRule="auto"/>
              <w:contextualSpacing/>
              <w:rPr>
                <w:sz w:val="26"/>
                <w:szCs w:val="26"/>
              </w:rPr>
            </w:pPr>
            <w:r w:rsidRPr="0041093B">
              <w:rPr>
                <w:rFonts w:eastAsia="Calibri"/>
                <w:sz w:val="26"/>
                <w:szCs w:val="26"/>
              </w:rPr>
              <w:t>C-2018-3004981</w:t>
            </w:r>
          </w:p>
        </w:tc>
        <w:tc>
          <w:tcPr>
            <w:tcW w:w="6530" w:type="dxa"/>
            <w:shd w:val="clear" w:color="auto" w:fill="auto"/>
            <w:vAlign w:val="center"/>
            <w:hideMark/>
          </w:tcPr>
          <w:p w14:paraId="3FC4F803" w14:textId="77777777" w:rsidR="0041093B" w:rsidRPr="0041093B" w:rsidRDefault="0041093B" w:rsidP="002C4EC5">
            <w:pPr>
              <w:spacing w:line="240" w:lineRule="auto"/>
              <w:contextualSpacing/>
              <w:rPr>
                <w:sz w:val="26"/>
                <w:szCs w:val="26"/>
              </w:rPr>
            </w:pPr>
            <w:r w:rsidRPr="0041093B">
              <w:rPr>
                <w:rFonts w:eastAsia="Calibri"/>
                <w:sz w:val="26"/>
                <w:szCs w:val="26"/>
              </w:rPr>
              <w:t>Aqua Large Users Group</w:t>
            </w:r>
          </w:p>
        </w:tc>
      </w:tr>
      <w:tr w:rsidR="0041093B" w:rsidRPr="0041093B" w14:paraId="2561FC07" w14:textId="77777777" w:rsidTr="000A2417">
        <w:trPr>
          <w:trHeight w:val="340"/>
          <w:jc w:val="center"/>
        </w:trPr>
        <w:tc>
          <w:tcPr>
            <w:tcW w:w="2245" w:type="dxa"/>
            <w:shd w:val="clear" w:color="auto" w:fill="auto"/>
            <w:vAlign w:val="center"/>
            <w:hideMark/>
          </w:tcPr>
          <w:p w14:paraId="6B51240C" w14:textId="77777777" w:rsidR="0041093B" w:rsidRPr="0041093B" w:rsidRDefault="0041093B" w:rsidP="002C4EC5">
            <w:pPr>
              <w:spacing w:line="240" w:lineRule="auto"/>
              <w:contextualSpacing/>
              <w:rPr>
                <w:sz w:val="26"/>
                <w:szCs w:val="26"/>
              </w:rPr>
            </w:pPr>
            <w:r w:rsidRPr="0041093B">
              <w:rPr>
                <w:rFonts w:eastAsia="Calibri"/>
                <w:sz w:val="26"/>
                <w:szCs w:val="26"/>
              </w:rPr>
              <w:t>C-2018-3004988</w:t>
            </w:r>
          </w:p>
        </w:tc>
        <w:tc>
          <w:tcPr>
            <w:tcW w:w="6530" w:type="dxa"/>
            <w:shd w:val="clear" w:color="auto" w:fill="auto"/>
            <w:vAlign w:val="center"/>
            <w:hideMark/>
          </w:tcPr>
          <w:p w14:paraId="22E0CE95" w14:textId="77777777" w:rsidR="0041093B" w:rsidRPr="0041093B" w:rsidRDefault="0041093B" w:rsidP="002C4EC5">
            <w:pPr>
              <w:spacing w:line="240" w:lineRule="auto"/>
              <w:contextualSpacing/>
              <w:rPr>
                <w:sz w:val="26"/>
                <w:szCs w:val="26"/>
              </w:rPr>
            </w:pPr>
            <w:r w:rsidRPr="0041093B">
              <w:rPr>
                <w:rFonts w:eastAsia="Calibri"/>
                <w:sz w:val="26"/>
                <w:szCs w:val="26"/>
              </w:rPr>
              <w:t>Donald Labranche</w:t>
            </w:r>
          </w:p>
        </w:tc>
      </w:tr>
      <w:tr w:rsidR="0041093B" w:rsidRPr="0041093B" w14:paraId="2BFFD9F4" w14:textId="77777777" w:rsidTr="000A2417">
        <w:trPr>
          <w:trHeight w:val="340"/>
          <w:jc w:val="center"/>
        </w:trPr>
        <w:tc>
          <w:tcPr>
            <w:tcW w:w="2245" w:type="dxa"/>
            <w:shd w:val="clear" w:color="auto" w:fill="auto"/>
            <w:vAlign w:val="center"/>
            <w:hideMark/>
          </w:tcPr>
          <w:p w14:paraId="3B0E607A" w14:textId="77777777" w:rsidR="0041093B" w:rsidRPr="0041093B" w:rsidRDefault="0041093B" w:rsidP="002C4EC5">
            <w:pPr>
              <w:spacing w:line="240" w:lineRule="auto"/>
              <w:contextualSpacing/>
              <w:rPr>
                <w:sz w:val="26"/>
                <w:szCs w:val="26"/>
              </w:rPr>
            </w:pPr>
            <w:r w:rsidRPr="0041093B">
              <w:rPr>
                <w:rFonts w:eastAsia="Calibri"/>
                <w:sz w:val="26"/>
                <w:szCs w:val="26"/>
              </w:rPr>
              <w:t>C-2018-3004991</w:t>
            </w:r>
          </w:p>
        </w:tc>
        <w:tc>
          <w:tcPr>
            <w:tcW w:w="6530" w:type="dxa"/>
            <w:shd w:val="clear" w:color="auto" w:fill="auto"/>
            <w:vAlign w:val="center"/>
            <w:hideMark/>
          </w:tcPr>
          <w:p w14:paraId="3197EA2F" w14:textId="77777777" w:rsidR="0041093B" w:rsidRPr="0041093B" w:rsidRDefault="0041093B" w:rsidP="002C4EC5">
            <w:pPr>
              <w:spacing w:line="240" w:lineRule="auto"/>
              <w:contextualSpacing/>
              <w:rPr>
                <w:sz w:val="26"/>
                <w:szCs w:val="26"/>
              </w:rPr>
            </w:pPr>
            <w:r w:rsidRPr="0041093B">
              <w:rPr>
                <w:rFonts w:eastAsia="Calibri"/>
                <w:sz w:val="26"/>
                <w:szCs w:val="26"/>
              </w:rPr>
              <w:t>Stephen &amp; Janice McHenry</w:t>
            </w:r>
          </w:p>
        </w:tc>
      </w:tr>
      <w:tr w:rsidR="0041093B" w:rsidRPr="0041093B" w14:paraId="2EDF5B18" w14:textId="77777777" w:rsidTr="000A2417">
        <w:trPr>
          <w:trHeight w:val="340"/>
          <w:jc w:val="center"/>
        </w:trPr>
        <w:tc>
          <w:tcPr>
            <w:tcW w:w="2245" w:type="dxa"/>
            <w:shd w:val="clear" w:color="auto" w:fill="auto"/>
            <w:vAlign w:val="center"/>
            <w:hideMark/>
          </w:tcPr>
          <w:p w14:paraId="1159270E" w14:textId="77777777" w:rsidR="0041093B" w:rsidRPr="0041093B" w:rsidRDefault="0041093B" w:rsidP="002C4EC5">
            <w:pPr>
              <w:spacing w:line="240" w:lineRule="auto"/>
              <w:contextualSpacing/>
              <w:rPr>
                <w:sz w:val="26"/>
                <w:szCs w:val="26"/>
              </w:rPr>
            </w:pPr>
            <w:r w:rsidRPr="0041093B">
              <w:rPr>
                <w:rFonts w:eastAsia="Calibri"/>
                <w:sz w:val="26"/>
                <w:szCs w:val="26"/>
              </w:rPr>
              <w:t>C-2018-3005067</w:t>
            </w:r>
          </w:p>
        </w:tc>
        <w:tc>
          <w:tcPr>
            <w:tcW w:w="6530" w:type="dxa"/>
            <w:shd w:val="clear" w:color="auto" w:fill="auto"/>
            <w:vAlign w:val="center"/>
            <w:hideMark/>
          </w:tcPr>
          <w:p w14:paraId="243C0D85"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Masthope Mountain Community Property Owners </w:t>
            </w:r>
          </w:p>
        </w:tc>
      </w:tr>
      <w:tr w:rsidR="0041093B" w:rsidRPr="0041093B" w14:paraId="25FADA61" w14:textId="77777777" w:rsidTr="000A2417">
        <w:trPr>
          <w:trHeight w:val="340"/>
          <w:jc w:val="center"/>
        </w:trPr>
        <w:tc>
          <w:tcPr>
            <w:tcW w:w="2245" w:type="dxa"/>
            <w:shd w:val="clear" w:color="auto" w:fill="auto"/>
            <w:vAlign w:val="center"/>
            <w:hideMark/>
          </w:tcPr>
          <w:p w14:paraId="49B66EE6" w14:textId="77777777" w:rsidR="0041093B" w:rsidRPr="0041093B" w:rsidRDefault="0041093B" w:rsidP="002C4EC5">
            <w:pPr>
              <w:spacing w:line="240" w:lineRule="auto"/>
              <w:contextualSpacing/>
              <w:rPr>
                <w:sz w:val="26"/>
                <w:szCs w:val="26"/>
              </w:rPr>
            </w:pPr>
            <w:r w:rsidRPr="0041093B">
              <w:rPr>
                <w:rFonts w:eastAsia="Calibri"/>
                <w:sz w:val="26"/>
                <w:szCs w:val="26"/>
              </w:rPr>
              <w:t>C-2018-3005077</w:t>
            </w:r>
          </w:p>
        </w:tc>
        <w:tc>
          <w:tcPr>
            <w:tcW w:w="6530" w:type="dxa"/>
            <w:shd w:val="clear" w:color="auto" w:fill="auto"/>
            <w:vAlign w:val="center"/>
            <w:hideMark/>
          </w:tcPr>
          <w:p w14:paraId="76C95CD2" w14:textId="77777777" w:rsidR="0041093B" w:rsidRPr="0041093B" w:rsidRDefault="0041093B" w:rsidP="002C4EC5">
            <w:pPr>
              <w:spacing w:line="240" w:lineRule="auto"/>
              <w:contextualSpacing/>
              <w:rPr>
                <w:sz w:val="26"/>
                <w:szCs w:val="26"/>
              </w:rPr>
            </w:pPr>
            <w:r w:rsidRPr="0041093B">
              <w:rPr>
                <w:rFonts w:eastAsia="Calibri"/>
                <w:sz w:val="26"/>
                <w:szCs w:val="26"/>
              </w:rPr>
              <w:t>Dony Pierre</w:t>
            </w:r>
          </w:p>
        </w:tc>
      </w:tr>
      <w:tr w:rsidR="00863749" w:rsidRPr="0041093B" w14:paraId="6B9F2AA8" w14:textId="77777777" w:rsidTr="000A2417">
        <w:trPr>
          <w:trHeight w:val="340"/>
          <w:jc w:val="center"/>
        </w:trPr>
        <w:tc>
          <w:tcPr>
            <w:tcW w:w="2245" w:type="dxa"/>
            <w:shd w:val="clear" w:color="auto" w:fill="auto"/>
            <w:vAlign w:val="center"/>
          </w:tcPr>
          <w:p w14:paraId="7B154A59" w14:textId="11C7C430" w:rsidR="00863749" w:rsidRPr="0041093B" w:rsidRDefault="00863749" w:rsidP="002C4EC5">
            <w:pPr>
              <w:spacing w:line="240" w:lineRule="auto"/>
              <w:contextualSpacing/>
              <w:rPr>
                <w:rFonts w:eastAsia="Calibri"/>
                <w:sz w:val="26"/>
                <w:szCs w:val="26"/>
              </w:rPr>
            </w:pPr>
            <w:r>
              <w:rPr>
                <w:rFonts w:eastAsia="Calibri"/>
                <w:sz w:val="26"/>
                <w:szCs w:val="26"/>
              </w:rPr>
              <w:t>C-2018-3005097</w:t>
            </w:r>
          </w:p>
        </w:tc>
        <w:tc>
          <w:tcPr>
            <w:tcW w:w="6530" w:type="dxa"/>
            <w:shd w:val="clear" w:color="auto" w:fill="auto"/>
            <w:vAlign w:val="center"/>
          </w:tcPr>
          <w:p w14:paraId="7AD229EC" w14:textId="7CDC3CAD" w:rsidR="00863749" w:rsidRPr="0041093B" w:rsidRDefault="00863749" w:rsidP="002C4EC5">
            <w:pPr>
              <w:spacing w:line="240" w:lineRule="auto"/>
              <w:contextualSpacing/>
              <w:rPr>
                <w:rFonts w:eastAsia="Calibri"/>
                <w:sz w:val="26"/>
                <w:szCs w:val="26"/>
              </w:rPr>
            </w:pPr>
            <w:r>
              <w:rPr>
                <w:rFonts w:eastAsia="Calibri"/>
                <w:sz w:val="26"/>
                <w:szCs w:val="26"/>
              </w:rPr>
              <w:t xml:space="preserve">Lee </w:t>
            </w:r>
            <w:proofErr w:type="spellStart"/>
            <w:r>
              <w:rPr>
                <w:rFonts w:eastAsia="Calibri"/>
                <w:sz w:val="26"/>
                <w:szCs w:val="26"/>
              </w:rPr>
              <w:t>Euard</w:t>
            </w:r>
            <w:proofErr w:type="spellEnd"/>
          </w:p>
        </w:tc>
      </w:tr>
      <w:tr w:rsidR="0041093B" w:rsidRPr="0041093B" w14:paraId="1531D6B1" w14:textId="77777777" w:rsidTr="000A2417">
        <w:trPr>
          <w:trHeight w:val="340"/>
          <w:jc w:val="center"/>
        </w:trPr>
        <w:tc>
          <w:tcPr>
            <w:tcW w:w="2245" w:type="dxa"/>
            <w:shd w:val="clear" w:color="auto" w:fill="auto"/>
            <w:vAlign w:val="center"/>
            <w:hideMark/>
          </w:tcPr>
          <w:p w14:paraId="239878E8" w14:textId="77777777" w:rsidR="0041093B" w:rsidRPr="0041093B" w:rsidRDefault="0041093B" w:rsidP="002C4EC5">
            <w:pPr>
              <w:spacing w:line="240" w:lineRule="auto"/>
              <w:contextualSpacing/>
              <w:rPr>
                <w:sz w:val="26"/>
                <w:szCs w:val="26"/>
              </w:rPr>
            </w:pPr>
            <w:r w:rsidRPr="0041093B">
              <w:rPr>
                <w:rFonts w:eastAsia="Calibri"/>
                <w:sz w:val="26"/>
                <w:szCs w:val="26"/>
              </w:rPr>
              <w:t>C-2018-3005123</w:t>
            </w:r>
          </w:p>
        </w:tc>
        <w:tc>
          <w:tcPr>
            <w:tcW w:w="6530" w:type="dxa"/>
            <w:shd w:val="clear" w:color="auto" w:fill="auto"/>
            <w:vAlign w:val="center"/>
            <w:hideMark/>
          </w:tcPr>
          <w:p w14:paraId="2B632291"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Denise Johnson </w:t>
            </w:r>
          </w:p>
        </w:tc>
      </w:tr>
      <w:tr w:rsidR="0041093B" w:rsidRPr="0041093B" w14:paraId="707E63B2" w14:textId="77777777" w:rsidTr="000A2417">
        <w:trPr>
          <w:trHeight w:val="340"/>
          <w:jc w:val="center"/>
        </w:trPr>
        <w:tc>
          <w:tcPr>
            <w:tcW w:w="2245" w:type="dxa"/>
            <w:shd w:val="clear" w:color="auto" w:fill="auto"/>
            <w:vAlign w:val="center"/>
            <w:hideMark/>
          </w:tcPr>
          <w:p w14:paraId="3405F8C0" w14:textId="77777777" w:rsidR="0041093B" w:rsidRPr="0041093B" w:rsidRDefault="0041093B" w:rsidP="002C4EC5">
            <w:pPr>
              <w:spacing w:line="240" w:lineRule="auto"/>
              <w:contextualSpacing/>
              <w:rPr>
                <w:sz w:val="26"/>
                <w:szCs w:val="26"/>
              </w:rPr>
            </w:pPr>
            <w:r w:rsidRPr="0041093B">
              <w:rPr>
                <w:rFonts w:eastAsia="Calibri"/>
                <w:sz w:val="26"/>
                <w:szCs w:val="26"/>
              </w:rPr>
              <w:t>C-2018-3005174</w:t>
            </w:r>
          </w:p>
        </w:tc>
        <w:tc>
          <w:tcPr>
            <w:tcW w:w="6530" w:type="dxa"/>
            <w:shd w:val="clear" w:color="auto" w:fill="auto"/>
            <w:vAlign w:val="center"/>
            <w:hideMark/>
          </w:tcPr>
          <w:p w14:paraId="6424BD48" w14:textId="77777777" w:rsidR="0041093B" w:rsidRPr="0041093B" w:rsidRDefault="0041093B" w:rsidP="002C4EC5">
            <w:pPr>
              <w:spacing w:line="240" w:lineRule="auto"/>
              <w:contextualSpacing/>
              <w:rPr>
                <w:sz w:val="26"/>
                <w:szCs w:val="26"/>
              </w:rPr>
            </w:pPr>
            <w:r w:rsidRPr="0041093B">
              <w:rPr>
                <w:rFonts w:eastAsia="Calibri"/>
                <w:sz w:val="26"/>
                <w:szCs w:val="26"/>
              </w:rPr>
              <w:t>Kenneth Ferguson</w:t>
            </w:r>
          </w:p>
        </w:tc>
      </w:tr>
      <w:tr w:rsidR="0041093B" w:rsidRPr="0041093B" w14:paraId="064EC1E5" w14:textId="77777777" w:rsidTr="000A2417">
        <w:trPr>
          <w:trHeight w:val="340"/>
          <w:jc w:val="center"/>
        </w:trPr>
        <w:tc>
          <w:tcPr>
            <w:tcW w:w="2245" w:type="dxa"/>
            <w:shd w:val="clear" w:color="auto" w:fill="auto"/>
            <w:vAlign w:val="center"/>
            <w:hideMark/>
          </w:tcPr>
          <w:p w14:paraId="3BC39D20" w14:textId="77777777" w:rsidR="0041093B" w:rsidRPr="0041093B" w:rsidRDefault="0041093B" w:rsidP="002C4EC5">
            <w:pPr>
              <w:spacing w:line="240" w:lineRule="auto"/>
              <w:contextualSpacing/>
              <w:rPr>
                <w:sz w:val="26"/>
                <w:szCs w:val="26"/>
              </w:rPr>
            </w:pPr>
            <w:r w:rsidRPr="0041093B">
              <w:rPr>
                <w:rFonts w:eastAsia="Calibri"/>
                <w:sz w:val="26"/>
                <w:szCs w:val="26"/>
              </w:rPr>
              <w:t>C-2018-3005207</w:t>
            </w:r>
          </w:p>
        </w:tc>
        <w:tc>
          <w:tcPr>
            <w:tcW w:w="6530" w:type="dxa"/>
            <w:shd w:val="clear" w:color="auto" w:fill="auto"/>
            <w:vAlign w:val="center"/>
            <w:hideMark/>
          </w:tcPr>
          <w:p w14:paraId="5A6F9909"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James Grace </w:t>
            </w:r>
          </w:p>
        </w:tc>
      </w:tr>
      <w:tr w:rsidR="0041093B" w:rsidRPr="0041093B" w14:paraId="2F630352" w14:textId="77777777" w:rsidTr="000A2417">
        <w:trPr>
          <w:trHeight w:val="340"/>
          <w:jc w:val="center"/>
        </w:trPr>
        <w:tc>
          <w:tcPr>
            <w:tcW w:w="2245" w:type="dxa"/>
            <w:shd w:val="clear" w:color="auto" w:fill="auto"/>
            <w:vAlign w:val="center"/>
            <w:hideMark/>
          </w:tcPr>
          <w:p w14:paraId="16711695" w14:textId="77777777" w:rsidR="0041093B" w:rsidRPr="0041093B" w:rsidRDefault="0041093B" w:rsidP="002C4EC5">
            <w:pPr>
              <w:spacing w:line="240" w:lineRule="auto"/>
              <w:contextualSpacing/>
              <w:rPr>
                <w:sz w:val="26"/>
                <w:szCs w:val="26"/>
              </w:rPr>
            </w:pPr>
            <w:r w:rsidRPr="0041093B">
              <w:rPr>
                <w:rFonts w:eastAsia="Calibri"/>
                <w:sz w:val="26"/>
                <w:szCs w:val="26"/>
              </w:rPr>
              <w:t>C-2018-3005287</w:t>
            </w:r>
          </w:p>
        </w:tc>
        <w:tc>
          <w:tcPr>
            <w:tcW w:w="6530" w:type="dxa"/>
            <w:shd w:val="clear" w:color="auto" w:fill="auto"/>
            <w:vAlign w:val="center"/>
            <w:hideMark/>
          </w:tcPr>
          <w:p w14:paraId="0B7C01F0" w14:textId="044D013C" w:rsidR="0041093B" w:rsidRPr="0041093B" w:rsidRDefault="00863749" w:rsidP="002C4EC5">
            <w:pPr>
              <w:spacing w:line="240" w:lineRule="auto"/>
              <w:contextualSpacing/>
              <w:rPr>
                <w:sz w:val="26"/>
                <w:szCs w:val="26"/>
              </w:rPr>
            </w:pPr>
            <w:r w:rsidRPr="0041093B">
              <w:rPr>
                <w:rFonts w:eastAsia="Calibri"/>
                <w:sz w:val="26"/>
                <w:szCs w:val="26"/>
              </w:rPr>
              <w:t>Paul Nice</w:t>
            </w:r>
          </w:p>
        </w:tc>
      </w:tr>
      <w:tr w:rsidR="0041093B" w:rsidRPr="0041093B" w14:paraId="2AED0629" w14:textId="77777777" w:rsidTr="000A2417">
        <w:trPr>
          <w:trHeight w:val="340"/>
          <w:jc w:val="center"/>
        </w:trPr>
        <w:tc>
          <w:tcPr>
            <w:tcW w:w="2245" w:type="dxa"/>
            <w:shd w:val="clear" w:color="auto" w:fill="auto"/>
            <w:vAlign w:val="center"/>
            <w:hideMark/>
          </w:tcPr>
          <w:p w14:paraId="04831DEF" w14:textId="77777777" w:rsidR="0041093B" w:rsidRPr="0041093B" w:rsidRDefault="0041093B" w:rsidP="002C4EC5">
            <w:pPr>
              <w:spacing w:line="240" w:lineRule="auto"/>
              <w:contextualSpacing/>
              <w:rPr>
                <w:sz w:val="26"/>
                <w:szCs w:val="26"/>
              </w:rPr>
            </w:pPr>
            <w:r w:rsidRPr="0041093B">
              <w:rPr>
                <w:rFonts w:eastAsia="Calibri"/>
                <w:sz w:val="26"/>
                <w:szCs w:val="26"/>
              </w:rPr>
              <w:t>C-2018-3005332</w:t>
            </w:r>
          </w:p>
        </w:tc>
        <w:tc>
          <w:tcPr>
            <w:tcW w:w="6530" w:type="dxa"/>
            <w:shd w:val="clear" w:color="auto" w:fill="auto"/>
            <w:vAlign w:val="center"/>
            <w:hideMark/>
          </w:tcPr>
          <w:p w14:paraId="352015B1" w14:textId="77777777" w:rsidR="0041093B" w:rsidRPr="0041093B" w:rsidRDefault="0041093B" w:rsidP="002C4EC5">
            <w:pPr>
              <w:spacing w:line="240" w:lineRule="auto"/>
              <w:contextualSpacing/>
              <w:rPr>
                <w:sz w:val="26"/>
                <w:szCs w:val="26"/>
              </w:rPr>
            </w:pPr>
            <w:r w:rsidRPr="0041093B">
              <w:rPr>
                <w:rFonts w:eastAsia="Calibri"/>
                <w:sz w:val="26"/>
                <w:szCs w:val="26"/>
              </w:rPr>
              <w:t>Athens Borough</w:t>
            </w:r>
          </w:p>
        </w:tc>
      </w:tr>
      <w:tr w:rsidR="0041093B" w:rsidRPr="0041093B" w14:paraId="53575EE3" w14:textId="77777777" w:rsidTr="000A2417">
        <w:trPr>
          <w:trHeight w:val="340"/>
          <w:jc w:val="center"/>
        </w:trPr>
        <w:tc>
          <w:tcPr>
            <w:tcW w:w="2245" w:type="dxa"/>
            <w:shd w:val="clear" w:color="auto" w:fill="auto"/>
            <w:vAlign w:val="center"/>
            <w:hideMark/>
          </w:tcPr>
          <w:p w14:paraId="62122B15" w14:textId="77777777" w:rsidR="0041093B" w:rsidRPr="0041093B" w:rsidRDefault="0041093B" w:rsidP="002C4EC5">
            <w:pPr>
              <w:spacing w:line="240" w:lineRule="auto"/>
              <w:contextualSpacing/>
              <w:rPr>
                <w:sz w:val="26"/>
                <w:szCs w:val="26"/>
              </w:rPr>
            </w:pPr>
            <w:r w:rsidRPr="0041093B">
              <w:rPr>
                <w:rFonts w:eastAsia="Calibri"/>
                <w:sz w:val="26"/>
                <w:szCs w:val="26"/>
              </w:rPr>
              <w:t>C-2018-3005335</w:t>
            </w:r>
          </w:p>
        </w:tc>
        <w:tc>
          <w:tcPr>
            <w:tcW w:w="6530" w:type="dxa"/>
            <w:shd w:val="clear" w:color="auto" w:fill="auto"/>
            <w:vAlign w:val="center"/>
            <w:hideMark/>
          </w:tcPr>
          <w:p w14:paraId="6E0BBCD0" w14:textId="77777777" w:rsidR="0041093B" w:rsidRPr="0041093B" w:rsidRDefault="0041093B" w:rsidP="002C4EC5">
            <w:pPr>
              <w:spacing w:line="240" w:lineRule="auto"/>
              <w:contextualSpacing/>
              <w:rPr>
                <w:sz w:val="26"/>
                <w:szCs w:val="26"/>
              </w:rPr>
            </w:pPr>
            <w:r w:rsidRPr="0041093B">
              <w:rPr>
                <w:rFonts w:eastAsia="Calibri"/>
                <w:sz w:val="26"/>
                <w:szCs w:val="26"/>
              </w:rPr>
              <w:t>South Waverly Borough</w:t>
            </w:r>
          </w:p>
        </w:tc>
      </w:tr>
      <w:tr w:rsidR="0041093B" w:rsidRPr="0041093B" w14:paraId="5A4E1900" w14:textId="77777777" w:rsidTr="000A2417">
        <w:trPr>
          <w:trHeight w:val="340"/>
          <w:jc w:val="center"/>
        </w:trPr>
        <w:tc>
          <w:tcPr>
            <w:tcW w:w="2245" w:type="dxa"/>
            <w:shd w:val="clear" w:color="auto" w:fill="auto"/>
            <w:vAlign w:val="center"/>
            <w:hideMark/>
          </w:tcPr>
          <w:p w14:paraId="59E016E3" w14:textId="77777777" w:rsidR="0041093B" w:rsidRPr="0041093B" w:rsidRDefault="0041093B" w:rsidP="002C4EC5">
            <w:pPr>
              <w:spacing w:line="240" w:lineRule="auto"/>
              <w:contextualSpacing/>
              <w:rPr>
                <w:sz w:val="26"/>
                <w:szCs w:val="26"/>
              </w:rPr>
            </w:pPr>
            <w:r w:rsidRPr="0041093B">
              <w:rPr>
                <w:rFonts w:eastAsia="Calibri"/>
                <w:sz w:val="26"/>
                <w:szCs w:val="26"/>
              </w:rPr>
              <w:t>C-2018-3005360</w:t>
            </w:r>
          </w:p>
        </w:tc>
        <w:tc>
          <w:tcPr>
            <w:tcW w:w="6530" w:type="dxa"/>
            <w:shd w:val="clear" w:color="auto" w:fill="auto"/>
            <w:vAlign w:val="center"/>
            <w:hideMark/>
          </w:tcPr>
          <w:p w14:paraId="04DAD5F0"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Desiree Kreidler </w:t>
            </w:r>
          </w:p>
        </w:tc>
      </w:tr>
      <w:tr w:rsidR="0041093B" w:rsidRPr="0041093B" w14:paraId="72FE0A03" w14:textId="77777777" w:rsidTr="000A2417">
        <w:trPr>
          <w:trHeight w:val="340"/>
          <w:jc w:val="center"/>
        </w:trPr>
        <w:tc>
          <w:tcPr>
            <w:tcW w:w="2245" w:type="dxa"/>
            <w:shd w:val="clear" w:color="auto" w:fill="auto"/>
            <w:vAlign w:val="center"/>
            <w:hideMark/>
          </w:tcPr>
          <w:p w14:paraId="0121F36A" w14:textId="77777777" w:rsidR="0041093B" w:rsidRPr="0041093B" w:rsidRDefault="0041093B" w:rsidP="002C4EC5">
            <w:pPr>
              <w:spacing w:line="240" w:lineRule="auto"/>
              <w:contextualSpacing/>
              <w:rPr>
                <w:sz w:val="26"/>
                <w:szCs w:val="26"/>
              </w:rPr>
            </w:pPr>
            <w:r w:rsidRPr="0041093B">
              <w:rPr>
                <w:rFonts w:eastAsia="Calibri"/>
                <w:sz w:val="26"/>
                <w:szCs w:val="26"/>
              </w:rPr>
              <w:t>C-2018-3005404</w:t>
            </w:r>
          </w:p>
        </w:tc>
        <w:tc>
          <w:tcPr>
            <w:tcW w:w="6530" w:type="dxa"/>
            <w:shd w:val="clear" w:color="auto" w:fill="auto"/>
            <w:vAlign w:val="center"/>
            <w:hideMark/>
          </w:tcPr>
          <w:p w14:paraId="0E83D7E4" w14:textId="77777777" w:rsidR="0041093B" w:rsidRPr="0041093B" w:rsidRDefault="0041093B" w:rsidP="002C4EC5">
            <w:pPr>
              <w:spacing w:line="240" w:lineRule="auto"/>
              <w:contextualSpacing/>
              <w:rPr>
                <w:sz w:val="26"/>
                <w:szCs w:val="26"/>
              </w:rPr>
            </w:pPr>
            <w:r w:rsidRPr="0041093B">
              <w:rPr>
                <w:rFonts w:eastAsia="Calibri"/>
                <w:sz w:val="26"/>
                <w:szCs w:val="26"/>
              </w:rPr>
              <w:t>Brian Edwards</w:t>
            </w:r>
          </w:p>
        </w:tc>
      </w:tr>
      <w:tr w:rsidR="0041093B" w:rsidRPr="0041093B" w14:paraId="21E8B55E" w14:textId="77777777" w:rsidTr="000A2417">
        <w:trPr>
          <w:trHeight w:val="340"/>
          <w:jc w:val="center"/>
        </w:trPr>
        <w:tc>
          <w:tcPr>
            <w:tcW w:w="2245" w:type="dxa"/>
            <w:shd w:val="clear" w:color="auto" w:fill="auto"/>
            <w:vAlign w:val="center"/>
            <w:hideMark/>
          </w:tcPr>
          <w:p w14:paraId="16D305AC" w14:textId="77777777" w:rsidR="0041093B" w:rsidRPr="0041093B" w:rsidRDefault="0041093B" w:rsidP="002C4EC5">
            <w:pPr>
              <w:spacing w:line="240" w:lineRule="auto"/>
              <w:contextualSpacing/>
              <w:rPr>
                <w:sz w:val="26"/>
                <w:szCs w:val="26"/>
              </w:rPr>
            </w:pPr>
            <w:r w:rsidRPr="0041093B">
              <w:rPr>
                <w:rFonts w:eastAsia="Calibri"/>
                <w:sz w:val="26"/>
                <w:szCs w:val="26"/>
              </w:rPr>
              <w:t>C-2018-3005417</w:t>
            </w:r>
          </w:p>
        </w:tc>
        <w:tc>
          <w:tcPr>
            <w:tcW w:w="6530" w:type="dxa"/>
            <w:shd w:val="clear" w:color="auto" w:fill="auto"/>
            <w:vAlign w:val="center"/>
            <w:hideMark/>
          </w:tcPr>
          <w:p w14:paraId="388D5AFF" w14:textId="77777777" w:rsidR="0041093B" w:rsidRPr="0041093B" w:rsidRDefault="0041093B" w:rsidP="002C4EC5">
            <w:pPr>
              <w:spacing w:line="240" w:lineRule="auto"/>
              <w:contextualSpacing/>
              <w:rPr>
                <w:sz w:val="26"/>
                <w:szCs w:val="26"/>
              </w:rPr>
            </w:pPr>
            <w:r w:rsidRPr="0041093B">
              <w:rPr>
                <w:rFonts w:eastAsia="Calibri"/>
                <w:sz w:val="26"/>
                <w:szCs w:val="26"/>
              </w:rPr>
              <w:t>David Jarrett</w:t>
            </w:r>
          </w:p>
        </w:tc>
      </w:tr>
      <w:tr w:rsidR="0041093B" w:rsidRPr="0041093B" w14:paraId="190B84A7" w14:textId="77777777" w:rsidTr="000A2417">
        <w:trPr>
          <w:trHeight w:val="340"/>
          <w:jc w:val="center"/>
        </w:trPr>
        <w:tc>
          <w:tcPr>
            <w:tcW w:w="2245" w:type="dxa"/>
            <w:shd w:val="clear" w:color="auto" w:fill="auto"/>
            <w:vAlign w:val="center"/>
            <w:hideMark/>
          </w:tcPr>
          <w:p w14:paraId="77828A9F" w14:textId="77777777" w:rsidR="0041093B" w:rsidRPr="0041093B" w:rsidRDefault="0041093B" w:rsidP="002C4EC5">
            <w:pPr>
              <w:spacing w:line="240" w:lineRule="auto"/>
              <w:contextualSpacing/>
              <w:rPr>
                <w:sz w:val="26"/>
                <w:szCs w:val="26"/>
              </w:rPr>
            </w:pPr>
            <w:r w:rsidRPr="0041093B">
              <w:rPr>
                <w:rFonts w:eastAsia="Calibri"/>
                <w:sz w:val="26"/>
                <w:szCs w:val="26"/>
              </w:rPr>
              <w:t>C-2018-3005418</w:t>
            </w:r>
          </w:p>
        </w:tc>
        <w:tc>
          <w:tcPr>
            <w:tcW w:w="6530" w:type="dxa"/>
            <w:shd w:val="clear" w:color="auto" w:fill="auto"/>
            <w:vAlign w:val="center"/>
            <w:hideMark/>
          </w:tcPr>
          <w:p w14:paraId="660CEDCB"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Tara Carpenter </w:t>
            </w:r>
          </w:p>
        </w:tc>
      </w:tr>
      <w:tr w:rsidR="0041093B" w:rsidRPr="0041093B" w14:paraId="3E5C6B89" w14:textId="77777777" w:rsidTr="000A2417">
        <w:trPr>
          <w:trHeight w:val="340"/>
          <w:jc w:val="center"/>
        </w:trPr>
        <w:tc>
          <w:tcPr>
            <w:tcW w:w="2245" w:type="dxa"/>
            <w:shd w:val="clear" w:color="auto" w:fill="auto"/>
            <w:vAlign w:val="center"/>
            <w:hideMark/>
          </w:tcPr>
          <w:p w14:paraId="69ECB077" w14:textId="77777777" w:rsidR="0041093B" w:rsidRPr="0041093B" w:rsidRDefault="0041093B" w:rsidP="002C4EC5">
            <w:pPr>
              <w:spacing w:line="240" w:lineRule="auto"/>
              <w:contextualSpacing/>
              <w:rPr>
                <w:sz w:val="26"/>
                <w:szCs w:val="26"/>
              </w:rPr>
            </w:pPr>
            <w:r w:rsidRPr="0041093B">
              <w:rPr>
                <w:rFonts w:eastAsia="Calibri"/>
                <w:sz w:val="26"/>
                <w:szCs w:val="26"/>
              </w:rPr>
              <w:t>C-2018-3005419</w:t>
            </w:r>
          </w:p>
        </w:tc>
        <w:tc>
          <w:tcPr>
            <w:tcW w:w="6530" w:type="dxa"/>
            <w:shd w:val="clear" w:color="auto" w:fill="auto"/>
            <w:vAlign w:val="center"/>
            <w:hideMark/>
          </w:tcPr>
          <w:p w14:paraId="383AAF1B" w14:textId="1082C85B" w:rsidR="0041093B" w:rsidRPr="0041093B" w:rsidRDefault="00863749" w:rsidP="002C4EC5">
            <w:pPr>
              <w:spacing w:line="240" w:lineRule="auto"/>
              <w:contextualSpacing/>
              <w:rPr>
                <w:sz w:val="26"/>
                <w:szCs w:val="26"/>
              </w:rPr>
            </w:pPr>
            <w:r w:rsidRPr="0041093B">
              <w:rPr>
                <w:rFonts w:eastAsia="Calibri"/>
                <w:sz w:val="26"/>
                <w:szCs w:val="26"/>
              </w:rPr>
              <w:t xml:space="preserve">Catherine Palicki </w:t>
            </w:r>
          </w:p>
        </w:tc>
      </w:tr>
      <w:tr w:rsidR="0041093B" w:rsidRPr="0041093B" w14:paraId="43E47382" w14:textId="77777777" w:rsidTr="000A2417">
        <w:trPr>
          <w:trHeight w:val="340"/>
          <w:jc w:val="center"/>
        </w:trPr>
        <w:tc>
          <w:tcPr>
            <w:tcW w:w="2245" w:type="dxa"/>
            <w:shd w:val="clear" w:color="auto" w:fill="auto"/>
            <w:vAlign w:val="center"/>
            <w:hideMark/>
          </w:tcPr>
          <w:p w14:paraId="7A96409B" w14:textId="77777777" w:rsidR="0041093B" w:rsidRPr="0041093B" w:rsidRDefault="0041093B" w:rsidP="002C4EC5">
            <w:pPr>
              <w:spacing w:line="240" w:lineRule="auto"/>
              <w:contextualSpacing/>
              <w:rPr>
                <w:sz w:val="26"/>
                <w:szCs w:val="26"/>
              </w:rPr>
            </w:pPr>
            <w:r w:rsidRPr="0041093B">
              <w:rPr>
                <w:rFonts w:eastAsia="Calibri"/>
                <w:sz w:val="26"/>
                <w:szCs w:val="26"/>
              </w:rPr>
              <w:t>C-2018-3005610</w:t>
            </w:r>
          </w:p>
        </w:tc>
        <w:tc>
          <w:tcPr>
            <w:tcW w:w="6530" w:type="dxa"/>
            <w:shd w:val="clear" w:color="auto" w:fill="auto"/>
            <w:vAlign w:val="center"/>
            <w:hideMark/>
          </w:tcPr>
          <w:p w14:paraId="71397257" w14:textId="77777777" w:rsidR="0041093B" w:rsidRPr="0041093B" w:rsidRDefault="0041093B" w:rsidP="002C4EC5">
            <w:pPr>
              <w:spacing w:line="240" w:lineRule="auto"/>
              <w:contextualSpacing/>
              <w:rPr>
                <w:sz w:val="26"/>
                <w:szCs w:val="26"/>
              </w:rPr>
            </w:pPr>
            <w:r w:rsidRPr="0041093B">
              <w:rPr>
                <w:rFonts w:eastAsia="Calibri"/>
                <w:sz w:val="26"/>
                <w:szCs w:val="26"/>
              </w:rPr>
              <w:t>Surge Ghosh</w:t>
            </w:r>
          </w:p>
        </w:tc>
      </w:tr>
      <w:tr w:rsidR="0041093B" w:rsidRPr="0041093B" w14:paraId="2CCF5FB9" w14:textId="77777777" w:rsidTr="000A2417">
        <w:trPr>
          <w:trHeight w:val="340"/>
          <w:jc w:val="center"/>
        </w:trPr>
        <w:tc>
          <w:tcPr>
            <w:tcW w:w="2245" w:type="dxa"/>
            <w:shd w:val="clear" w:color="auto" w:fill="auto"/>
            <w:vAlign w:val="center"/>
            <w:hideMark/>
          </w:tcPr>
          <w:p w14:paraId="2E301E77" w14:textId="77777777" w:rsidR="0041093B" w:rsidRPr="0041093B" w:rsidRDefault="0041093B" w:rsidP="002C4EC5">
            <w:pPr>
              <w:spacing w:line="240" w:lineRule="auto"/>
              <w:contextualSpacing/>
              <w:rPr>
                <w:sz w:val="26"/>
                <w:szCs w:val="26"/>
              </w:rPr>
            </w:pPr>
            <w:r w:rsidRPr="0041093B">
              <w:rPr>
                <w:rFonts w:eastAsia="Calibri"/>
                <w:sz w:val="26"/>
                <w:szCs w:val="26"/>
              </w:rPr>
              <w:t>C-2018-3005639</w:t>
            </w:r>
          </w:p>
        </w:tc>
        <w:tc>
          <w:tcPr>
            <w:tcW w:w="6530" w:type="dxa"/>
            <w:shd w:val="clear" w:color="auto" w:fill="auto"/>
            <w:vAlign w:val="center"/>
            <w:hideMark/>
          </w:tcPr>
          <w:p w14:paraId="070D85B7"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Robert Curtius </w:t>
            </w:r>
          </w:p>
        </w:tc>
      </w:tr>
      <w:tr w:rsidR="0041093B" w:rsidRPr="0041093B" w14:paraId="65D8C9BF" w14:textId="77777777" w:rsidTr="000A2417">
        <w:trPr>
          <w:trHeight w:val="340"/>
          <w:jc w:val="center"/>
        </w:trPr>
        <w:tc>
          <w:tcPr>
            <w:tcW w:w="2245" w:type="dxa"/>
            <w:shd w:val="clear" w:color="auto" w:fill="auto"/>
            <w:vAlign w:val="center"/>
            <w:hideMark/>
          </w:tcPr>
          <w:p w14:paraId="2A98166C" w14:textId="77777777" w:rsidR="0041093B" w:rsidRPr="0041093B" w:rsidRDefault="0041093B" w:rsidP="002C4EC5">
            <w:pPr>
              <w:spacing w:line="240" w:lineRule="auto"/>
              <w:contextualSpacing/>
              <w:rPr>
                <w:sz w:val="26"/>
                <w:szCs w:val="26"/>
              </w:rPr>
            </w:pPr>
            <w:r w:rsidRPr="0041093B">
              <w:rPr>
                <w:rFonts w:eastAsia="Calibri"/>
                <w:sz w:val="26"/>
                <w:szCs w:val="26"/>
              </w:rPr>
              <w:t>C-2018-3005657</w:t>
            </w:r>
          </w:p>
        </w:tc>
        <w:tc>
          <w:tcPr>
            <w:tcW w:w="6530" w:type="dxa"/>
            <w:shd w:val="clear" w:color="auto" w:fill="auto"/>
            <w:vAlign w:val="center"/>
            <w:hideMark/>
          </w:tcPr>
          <w:p w14:paraId="27A0FB63" w14:textId="77777777" w:rsidR="0041093B" w:rsidRPr="0041093B" w:rsidRDefault="0041093B" w:rsidP="002C4EC5">
            <w:pPr>
              <w:spacing w:line="240" w:lineRule="auto"/>
              <w:contextualSpacing/>
              <w:rPr>
                <w:sz w:val="26"/>
                <w:szCs w:val="26"/>
              </w:rPr>
            </w:pPr>
            <w:r w:rsidRPr="0041093B">
              <w:rPr>
                <w:rFonts w:eastAsia="Calibri"/>
                <w:sz w:val="26"/>
                <w:szCs w:val="26"/>
              </w:rPr>
              <w:t>John Bahnweg</w:t>
            </w:r>
          </w:p>
        </w:tc>
      </w:tr>
      <w:tr w:rsidR="0041093B" w:rsidRPr="0041093B" w14:paraId="6E807CA5" w14:textId="77777777" w:rsidTr="000A2417">
        <w:trPr>
          <w:trHeight w:val="340"/>
          <w:jc w:val="center"/>
        </w:trPr>
        <w:tc>
          <w:tcPr>
            <w:tcW w:w="2245" w:type="dxa"/>
            <w:shd w:val="clear" w:color="auto" w:fill="auto"/>
            <w:vAlign w:val="center"/>
            <w:hideMark/>
          </w:tcPr>
          <w:p w14:paraId="48C09AD9" w14:textId="77777777" w:rsidR="0041093B" w:rsidRPr="0041093B" w:rsidRDefault="0041093B" w:rsidP="002C4EC5">
            <w:pPr>
              <w:spacing w:line="240" w:lineRule="auto"/>
              <w:contextualSpacing/>
              <w:rPr>
                <w:sz w:val="26"/>
                <w:szCs w:val="26"/>
              </w:rPr>
            </w:pPr>
            <w:r w:rsidRPr="0041093B">
              <w:rPr>
                <w:rFonts w:eastAsia="Calibri"/>
                <w:sz w:val="26"/>
                <w:szCs w:val="26"/>
              </w:rPr>
              <w:t>C-2018-3005709</w:t>
            </w:r>
          </w:p>
        </w:tc>
        <w:tc>
          <w:tcPr>
            <w:tcW w:w="6530" w:type="dxa"/>
            <w:shd w:val="clear" w:color="auto" w:fill="auto"/>
            <w:vAlign w:val="center"/>
            <w:hideMark/>
          </w:tcPr>
          <w:p w14:paraId="20015758" w14:textId="77777777" w:rsidR="0041093B" w:rsidRPr="0041093B" w:rsidRDefault="0041093B" w:rsidP="002C4EC5">
            <w:pPr>
              <w:spacing w:line="240" w:lineRule="auto"/>
              <w:contextualSpacing/>
              <w:rPr>
                <w:sz w:val="26"/>
                <w:szCs w:val="26"/>
              </w:rPr>
            </w:pPr>
            <w:r w:rsidRPr="0041093B">
              <w:rPr>
                <w:rFonts w:eastAsia="Calibri"/>
                <w:sz w:val="26"/>
                <w:szCs w:val="26"/>
              </w:rPr>
              <w:t xml:space="preserve">Kenneth Reeves </w:t>
            </w:r>
          </w:p>
        </w:tc>
      </w:tr>
    </w:tbl>
    <w:p w14:paraId="14AA0D0B" w14:textId="5AC32BCC" w:rsidR="0041093B" w:rsidRDefault="0041093B" w:rsidP="002C4EC5">
      <w:pPr>
        <w:ind w:firstLine="1440"/>
        <w:contextualSpacing/>
        <w:rPr>
          <w:rFonts w:eastAsia="Calibri"/>
          <w:sz w:val="26"/>
          <w:szCs w:val="26"/>
        </w:rPr>
      </w:pPr>
    </w:p>
    <w:p w14:paraId="7136301C" w14:textId="49127618" w:rsidR="00666E2E" w:rsidRPr="00666E2E" w:rsidRDefault="00666E2E" w:rsidP="002C4EC5">
      <w:pPr>
        <w:numPr>
          <w:ilvl w:val="0"/>
          <w:numId w:val="28"/>
        </w:numPr>
        <w:ind w:left="0" w:firstLine="1440"/>
        <w:contextualSpacing/>
        <w:rPr>
          <w:sz w:val="26"/>
          <w:szCs w:val="26"/>
        </w:rPr>
      </w:pPr>
      <w:r w:rsidRPr="00666E2E">
        <w:rPr>
          <w:sz w:val="26"/>
          <w:szCs w:val="26"/>
        </w:rPr>
        <w:t xml:space="preserve">That the following Formal Complaints against Aqua </w:t>
      </w:r>
      <w:r>
        <w:rPr>
          <w:sz w:val="26"/>
          <w:szCs w:val="26"/>
        </w:rPr>
        <w:t>Pennsylvania  Wastewater</w:t>
      </w:r>
      <w:r w:rsidRPr="00666E2E">
        <w:rPr>
          <w:sz w:val="26"/>
          <w:szCs w:val="26"/>
        </w:rPr>
        <w:t>, Inc.</w:t>
      </w:r>
      <w:r>
        <w:rPr>
          <w:sz w:val="26"/>
          <w:szCs w:val="26"/>
        </w:rPr>
        <w:t>,</w:t>
      </w:r>
      <w:r w:rsidRPr="00666E2E">
        <w:rPr>
          <w:sz w:val="26"/>
          <w:szCs w:val="26"/>
        </w:rPr>
        <w:t xml:space="preserve"> are dismissed and marked closed:</w:t>
      </w:r>
    </w:p>
    <w:p w14:paraId="4EB9D70F" w14:textId="41C2B16C" w:rsidR="00666E2E" w:rsidRDefault="00666E2E" w:rsidP="002C4EC5">
      <w:pPr>
        <w:ind w:firstLine="1440"/>
        <w:contextualSpacing/>
        <w:rPr>
          <w:rFonts w:eastAsia="Calibri"/>
          <w:sz w:val="26"/>
          <w:szCs w:val="26"/>
        </w:rPr>
      </w:pPr>
    </w:p>
    <w:tbl>
      <w:tblPr>
        <w:tblW w:w="88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570"/>
      </w:tblGrid>
      <w:tr w:rsidR="000A2417" w:rsidRPr="000A2417" w14:paraId="37D04651" w14:textId="77777777" w:rsidTr="000A2417">
        <w:trPr>
          <w:trHeight w:val="340"/>
        </w:trPr>
        <w:tc>
          <w:tcPr>
            <w:tcW w:w="2250" w:type="dxa"/>
            <w:shd w:val="clear" w:color="auto" w:fill="auto"/>
            <w:vAlign w:val="center"/>
            <w:hideMark/>
          </w:tcPr>
          <w:p w14:paraId="61AF945E" w14:textId="77777777" w:rsidR="000A2417" w:rsidRPr="000A2417" w:rsidRDefault="000A2417" w:rsidP="002C4EC5">
            <w:pPr>
              <w:spacing w:line="240" w:lineRule="auto"/>
              <w:contextualSpacing/>
              <w:jc w:val="center"/>
              <w:rPr>
                <w:sz w:val="26"/>
                <w:szCs w:val="26"/>
              </w:rPr>
            </w:pPr>
            <w:r w:rsidRPr="000A2417">
              <w:rPr>
                <w:rFonts w:eastAsia="Calibri"/>
                <w:sz w:val="26"/>
                <w:szCs w:val="26"/>
              </w:rPr>
              <w:t>Docket Number</w:t>
            </w:r>
          </w:p>
        </w:tc>
        <w:tc>
          <w:tcPr>
            <w:tcW w:w="6570" w:type="dxa"/>
            <w:shd w:val="clear" w:color="auto" w:fill="auto"/>
            <w:vAlign w:val="center"/>
            <w:hideMark/>
          </w:tcPr>
          <w:p w14:paraId="27DBD6E8" w14:textId="77777777" w:rsidR="000A2417" w:rsidRPr="000A2417" w:rsidRDefault="000A2417" w:rsidP="002C4EC5">
            <w:pPr>
              <w:spacing w:line="240" w:lineRule="auto"/>
              <w:contextualSpacing/>
              <w:jc w:val="center"/>
              <w:rPr>
                <w:sz w:val="26"/>
                <w:szCs w:val="26"/>
              </w:rPr>
            </w:pPr>
            <w:r w:rsidRPr="000A2417">
              <w:rPr>
                <w:rFonts w:eastAsia="Calibri"/>
                <w:sz w:val="26"/>
                <w:szCs w:val="26"/>
              </w:rPr>
              <w:t>Complainant</w:t>
            </w:r>
          </w:p>
        </w:tc>
      </w:tr>
      <w:tr w:rsidR="000A2417" w:rsidRPr="000A2417" w14:paraId="57051533" w14:textId="77777777" w:rsidTr="000A2417">
        <w:trPr>
          <w:trHeight w:val="340"/>
        </w:trPr>
        <w:tc>
          <w:tcPr>
            <w:tcW w:w="2250" w:type="dxa"/>
            <w:shd w:val="clear" w:color="auto" w:fill="auto"/>
            <w:vAlign w:val="center"/>
            <w:hideMark/>
          </w:tcPr>
          <w:p w14:paraId="4C266891" w14:textId="77777777" w:rsidR="000A2417" w:rsidRPr="000A2417" w:rsidRDefault="000A2417" w:rsidP="002C4EC5">
            <w:pPr>
              <w:spacing w:line="240" w:lineRule="auto"/>
              <w:contextualSpacing/>
              <w:rPr>
                <w:sz w:val="26"/>
                <w:szCs w:val="26"/>
              </w:rPr>
            </w:pPr>
            <w:r w:rsidRPr="000A2417">
              <w:rPr>
                <w:rFonts w:eastAsia="Calibri"/>
                <w:sz w:val="26"/>
                <w:szCs w:val="26"/>
              </w:rPr>
              <w:t>C-2018-3004324</w:t>
            </w:r>
          </w:p>
        </w:tc>
        <w:tc>
          <w:tcPr>
            <w:tcW w:w="6570" w:type="dxa"/>
            <w:shd w:val="clear" w:color="auto" w:fill="auto"/>
            <w:vAlign w:val="center"/>
            <w:hideMark/>
          </w:tcPr>
          <w:p w14:paraId="78866607" w14:textId="77777777" w:rsidR="000A2417" w:rsidRPr="000A2417" w:rsidRDefault="000A2417" w:rsidP="002C4EC5">
            <w:pPr>
              <w:spacing w:line="240" w:lineRule="auto"/>
              <w:contextualSpacing/>
              <w:rPr>
                <w:sz w:val="26"/>
                <w:szCs w:val="26"/>
              </w:rPr>
            </w:pPr>
            <w:r w:rsidRPr="000A2417">
              <w:rPr>
                <w:rFonts w:eastAsia="Calibri"/>
                <w:sz w:val="26"/>
                <w:szCs w:val="26"/>
              </w:rPr>
              <w:t>Darren Distasio</w:t>
            </w:r>
          </w:p>
        </w:tc>
      </w:tr>
      <w:tr w:rsidR="000A2417" w:rsidRPr="000A2417" w14:paraId="7FD03437" w14:textId="77777777" w:rsidTr="000A2417">
        <w:trPr>
          <w:trHeight w:val="340"/>
        </w:trPr>
        <w:tc>
          <w:tcPr>
            <w:tcW w:w="2250" w:type="dxa"/>
            <w:shd w:val="clear" w:color="auto" w:fill="auto"/>
            <w:vAlign w:val="center"/>
            <w:hideMark/>
          </w:tcPr>
          <w:p w14:paraId="790B2CB3" w14:textId="77777777" w:rsidR="000A2417" w:rsidRPr="000A2417" w:rsidRDefault="000A2417" w:rsidP="002C4EC5">
            <w:pPr>
              <w:spacing w:line="240" w:lineRule="auto"/>
              <w:contextualSpacing/>
              <w:rPr>
                <w:sz w:val="26"/>
                <w:szCs w:val="26"/>
              </w:rPr>
            </w:pPr>
            <w:r w:rsidRPr="000A2417">
              <w:rPr>
                <w:rFonts w:eastAsia="Calibri"/>
                <w:sz w:val="26"/>
                <w:szCs w:val="26"/>
              </w:rPr>
              <w:t>C-2018-3004333</w:t>
            </w:r>
          </w:p>
        </w:tc>
        <w:tc>
          <w:tcPr>
            <w:tcW w:w="6570" w:type="dxa"/>
            <w:shd w:val="clear" w:color="auto" w:fill="auto"/>
            <w:vAlign w:val="center"/>
            <w:hideMark/>
          </w:tcPr>
          <w:p w14:paraId="3CBED3CD" w14:textId="77777777" w:rsidR="000A2417" w:rsidRPr="000A2417" w:rsidRDefault="000A2417" w:rsidP="002C4EC5">
            <w:pPr>
              <w:spacing w:line="240" w:lineRule="auto"/>
              <w:contextualSpacing/>
              <w:rPr>
                <w:sz w:val="26"/>
                <w:szCs w:val="26"/>
              </w:rPr>
            </w:pPr>
            <w:r w:rsidRPr="000A2417">
              <w:rPr>
                <w:rFonts w:eastAsia="Calibri"/>
                <w:sz w:val="26"/>
                <w:szCs w:val="26"/>
              </w:rPr>
              <w:t>Office of Consumer Advocate</w:t>
            </w:r>
          </w:p>
        </w:tc>
      </w:tr>
      <w:tr w:rsidR="000A2417" w:rsidRPr="000A2417" w14:paraId="1EB54C31" w14:textId="77777777" w:rsidTr="000A2417">
        <w:trPr>
          <w:trHeight w:val="340"/>
        </w:trPr>
        <w:tc>
          <w:tcPr>
            <w:tcW w:w="2250" w:type="dxa"/>
            <w:shd w:val="clear" w:color="auto" w:fill="auto"/>
            <w:vAlign w:val="center"/>
            <w:hideMark/>
          </w:tcPr>
          <w:p w14:paraId="71700C87" w14:textId="77777777" w:rsidR="000A2417" w:rsidRPr="000A2417" w:rsidRDefault="000A2417" w:rsidP="002C4EC5">
            <w:pPr>
              <w:spacing w:line="240" w:lineRule="auto"/>
              <w:contextualSpacing/>
              <w:rPr>
                <w:sz w:val="26"/>
                <w:szCs w:val="26"/>
              </w:rPr>
            </w:pPr>
            <w:r w:rsidRPr="000A2417">
              <w:rPr>
                <w:rFonts w:eastAsia="Calibri"/>
                <w:sz w:val="26"/>
                <w:szCs w:val="26"/>
              </w:rPr>
              <w:t>C-2018-3004389</w:t>
            </w:r>
          </w:p>
        </w:tc>
        <w:tc>
          <w:tcPr>
            <w:tcW w:w="6570" w:type="dxa"/>
            <w:shd w:val="clear" w:color="auto" w:fill="auto"/>
            <w:vAlign w:val="center"/>
            <w:hideMark/>
          </w:tcPr>
          <w:p w14:paraId="729D7C45" w14:textId="77777777" w:rsidR="000A2417" w:rsidRPr="000A2417" w:rsidRDefault="000A2417" w:rsidP="002C4EC5">
            <w:pPr>
              <w:spacing w:line="240" w:lineRule="auto"/>
              <w:contextualSpacing/>
              <w:rPr>
                <w:sz w:val="26"/>
                <w:szCs w:val="26"/>
              </w:rPr>
            </w:pPr>
            <w:r w:rsidRPr="000A2417">
              <w:rPr>
                <w:rFonts w:eastAsia="Calibri"/>
                <w:sz w:val="26"/>
                <w:szCs w:val="26"/>
              </w:rPr>
              <w:t>John Stull</w:t>
            </w:r>
          </w:p>
        </w:tc>
      </w:tr>
      <w:tr w:rsidR="000A2417" w:rsidRPr="000A2417" w14:paraId="299AFF63" w14:textId="77777777" w:rsidTr="000A2417">
        <w:trPr>
          <w:trHeight w:val="340"/>
        </w:trPr>
        <w:tc>
          <w:tcPr>
            <w:tcW w:w="2250" w:type="dxa"/>
            <w:shd w:val="clear" w:color="auto" w:fill="auto"/>
            <w:vAlign w:val="center"/>
            <w:hideMark/>
          </w:tcPr>
          <w:p w14:paraId="2C38C7A6" w14:textId="77777777" w:rsidR="000A2417" w:rsidRPr="000A2417" w:rsidRDefault="000A2417" w:rsidP="002C4EC5">
            <w:pPr>
              <w:spacing w:line="240" w:lineRule="auto"/>
              <w:contextualSpacing/>
              <w:rPr>
                <w:sz w:val="26"/>
                <w:szCs w:val="26"/>
              </w:rPr>
            </w:pPr>
            <w:r w:rsidRPr="000A2417">
              <w:rPr>
                <w:rFonts w:eastAsia="Calibri"/>
                <w:sz w:val="26"/>
                <w:szCs w:val="26"/>
              </w:rPr>
              <w:t>C-2018-3004531</w:t>
            </w:r>
          </w:p>
        </w:tc>
        <w:tc>
          <w:tcPr>
            <w:tcW w:w="6570" w:type="dxa"/>
            <w:shd w:val="clear" w:color="auto" w:fill="auto"/>
            <w:vAlign w:val="center"/>
            <w:hideMark/>
          </w:tcPr>
          <w:p w14:paraId="194FE899" w14:textId="77777777" w:rsidR="000A2417" w:rsidRPr="000A2417" w:rsidRDefault="000A2417" w:rsidP="002C4EC5">
            <w:pPr>
              <w:spacing w:line="240" w:lineRule="auto"/>
              <w:contextualSpacing/>
              <w:rPr>
                <w:sz w:val="26"/>
                <w:szCs w:val="26"/>
              </w:rPr>
            </w:pPr>
            <w:r w:rsidRPr="000A2417">
              <w:rPr>
                <w:rFonts w:eastAsia="Calibri"/>
                <w:sz w:val="26"/>
                <w:szCs w:val="26"/>
              </w:rPr>
              <w:t>Ben Mroz</w:t>
            </w:r>
          </w:p>
        </w:tc>
      </w:tr>
      <w:tr w:rsidR="000A2417" w:rsidRPr="000A2417" w14:paraId="4E79DD51" w14:textId="77777777" w:rsidTr="000A2417">
        <w:trPr>
          <w:trHeight w:val="340"/>
        </w:trPr>
        <w:tc>
          <w:tcPr>
            <w:tcW w:w="2250" w:type="dxa"/>
            <w:shd w:val="clear" w:color="auto" w:fill="auto"/>
            <w:vAlign w:val="center"/>
            <w:hideMark/>
          </w:tcPr>
          <w:p w14:paraId="3A444F95" w14:textId="77777777" w:rsidR="000A2417" w:rsidRPr="000A2417" w:rsidRDefault="000A2417" w:rsidP="002C4EC5">
            <w:pPr>
              <w:spacing w:line="240" w:lineRule="auto"/>
              <w:contextualSpacing/>
              <w:rPr>
                <w:sz w:val="26"/>
                <w:szCs w:val="26"/>
              </w:rPr>
            </w:pPr>
            <w:r w:rsidRPr="000A2417">
              <w:rPr>
                <w:rFonts w:eastAsia="Calibri"/>
                <w:sz w:val="26"/>
                <w:szCs w:val="26"/>
              </w:rPr>
              <w:t>C-2018-3004563</w:t>
            </w:r>
          </w:p>
        </w:tc>
        <w:tc>
          <w:tcPr>
            <w:tcW w:w="6570" w:type="dxa"/>
            <w:shd w:val="clear" w:color="auto" w:fill="auto"/>
            <w:vAlign w:val="center"/>
            <w:hideMark/>
          </w:tcPr>
          <w:p w14:paraId="69ADE011"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Ralph &amp; Lauretta Camardelli </w:t>
            </w:r>
          </w:p>
        </w:tc>
      </w:tr>
      <w:tr w:rsidR="000A2417" w:rsidRPr="000A2417" w14:paraId="6842A8BD" w14:textId="77777777" w:rsidTr="000A2417">
        <w:trPr>
          <w:trHeight w:val="340"/>
        </w:trPr>
        <w:tc>
          <w:tcPr>
            <w:tcW w:w="2250" w:type="dxa"/>
            <w:shd w:val="clear" w:color="auto" w:fill="auto"/>
            <w:vAlign w:val="center"/>
            <w:hideMark/>
          </w:tcPr>
          <w:p w14:paraId="342C50E8" w14:textId="77777777" w:rsidR="000A2417" w:rsidRPr="000A2417" w:rsidRDefault="000A2417" w:rsidP="002C4EC5">
            <w:pPr>
              <w:spacing w:line="240" w:lineRule="auto"/>
              <w:contextualSpacing/>
              <w:rPr>
                <w:sz w:val="26"/>
                <w:szCs w:val="26"/>
              </w:rPr>
            </w:pPr>
            <w:r w:rsidRPr="000A2417">
              <w:rPr>
                <w:rFonts w:eastAsia="Calibri"/>
                <w:sz w:val="26"/>
                <w:szCs w:val="26"/>
              </w:rPr>
              <w:lastRenderedPageBreak/>
              <w:t>C-2018-3004662</w:t>
            </w:r>
          </w:p>
        </w:tc>
        <w:tc>
          <w:tcPr>
            <w:tcW w:w="6570" w:type="dxa"/>
            <w:shd w:val="clear" w:color="auto" w:fill="auto"/>
            <w:vAlign w:val="center"/>
            <w:hideMark/>
          </w:tcPr>
          <w:p w14:paraId="23289E03" w14:textId="77777777" w:rsidR="000A2417" w:rsidRPr="000A2417" w:rsidRDefault="000A2417" w:rsidP="002C4EC5">
            <w:pPr>
              <w:spacing w:line="240" w:lineRule="auto"/>
              <w:contextualSpacing/>
              <w:rPr>
                <w:sz w:val="26"/>
                <w:szCs w:val="26"/>
              </w:rPr>
            </w:pPr>
            <w:r w:rsidRPr="000A2417">
              <w:rPr>
                <w:rFonts w:eastAsia="Calibri"/>
                <w:sz w:val="26"/>
                <w:szCs w:val="26"/>
              </w:rPr>
              <w:t>Arnold Kring</w:t>
            </w:r>
          </w:p>
        </w:tc>
      </w:tr>
      <w:tr w:rsidR="000A2417" w:rsidRPr="000A2417" w14:paraId="5CE40EAC" w14:textId="77777777" w:rsidTr="000A2417">
        <w:trPr>
          <w:trHeight w:val="340"/>
        </w:trPr>
        <w:tc>
          <w:tcPr>
            <w:tcW w:w="2250" w:type="dxa"/>
            <w:shd w:val="clear" w:color="auto" w:fill="auto"/>
            <w:vAlign w:val="center"/>
            <w:hideMark/>
          </w:tcPr>
          <w:p w14:paraId="605037B8" w14:textId="77777777" w:rsidR="000A2417" w:rsidRPr="000A2417" w:rsidRDefault="000A2417" w:rsidP="002C4EC5">
            <w:pPr>
              <w:spacing w:line="240" w:lineRule="auto"/>
              <w:contextualSpacing/>
              <w:rPr>
                <w:sz w:val="26"/>
                <w:szCs w:val="26"/>
              </w:rPr>
            </w:pPr>
            <w:r w:rsidRPr="000A2417">
              <w:rPr>
                <w:rFonts w:eastAsia="Calibri"/>
                <w:sz w:val="26"/>
                <w:szCs w:val="26"/>
              </w:rPr>
              <w:t>C-2018-3004692</w:t>
            </w:r>
          </w:p>
        </w:tc>
        <w:tc>
          <w:tcPr>
            <w:tcW w:w="6570" w:type="dxa"/>
            <w:shd w:val="clear" w:color="auto" w:fill="auto"/>
            <w:vAlign w:val="center"/>
            <w:hideMark/>
          </w:tcPr>
          <w:p w14:paraId="00767E9D"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Robert Leupold </w:t>
            </w:r>
          </w:p>
        </w:tc>
      </w:tr>
      <w:tr w:rsidR="000A2417" w:rsidRPr="000A2417" w14:paraId="480F98B2" w14:textId="77777777" w:rsidTr="000A2417">
        <w:trPr>
          <w:trHeight w:val="340"/>
        </w:trPr>
        <w:tc>
          <w:tcPr>
            <w:tcW w:w="2250" w:type="dxa"/>
            <w:shd w:val="clear" w:color="auto" w:fill="auto"/>
            <w:vAlign w:val="center"/>
            <w:hideMark/>
          </w:tcPr>
          <w:p w14:paraId="3413BAD2" w14:textId="77777777" w:rsidR="000A2417" w:rsidRPr="000A2417" w:rsidRDefault="000A2417" w:rsidP="002C4EC5">
            <w:pPr>
              <w:spacing w:line="240" w:lineRule="auto"/>
              <w:contextualSpacing/>
              <w:rPr>
                <w:sz w:val="26"/>
                <w:szCs w:val="26"/>
              </w:rPr>
            </w:pPr>
            <w:r w:rsidRPr="000A2417">
              <w:rPr>
                <w:rFonts w:eastAsia="Calibri"/>
                <w:sz w:val="26"/>
                <w:szCs w:val="26"/>
              </w:rPr>
              <w:t>C-2018-3004693</w:t>
            </w:r>
          </w:p>
        </w:tc>
        <w:tc>
          <w:tcPr>
            <w:tcW w:w="6570" w:type="dxa"/>
            <w:shd w:val="clear" w:color="auto" w:fill="auto"/>
            <w:vAlign w:val="center"/>
            <w:hideMark/>
          </w:tcPr>
          <w:p w14:paraId="73F2E387" w14:textId="77777777" w:rsidR="000A2417" w:rsidRPr="000A2417" w:rsidRDefault="000A2417" w:rsidP="002C4EC5">
            <w:pPr>
              <w:spacing w:line="240" w:lineRule="auto"/>
              <w:contextualSpacing/>
              <w:rPr>
                <w:sz w:val="26"/>
                <w:szCs w:val="26"/>
              </w:rPr>
            </w:pPr>
            <w:r w:rsidRPr="000A2417">
              <w:rPr>
                <w:rFonts w:eastAsia="Calibri"/>
                <w:sz w:val="26"/>
                <w:szCs w:val="26"/>
              </w:rPr>
              <w:t>Phyllis Genauer</w:t>
            </w:r>
          </w:p>
        </w:tc>
      </w:tr>
      <w:tr w:rsidR="000A2417" w:rsidRPr="000A2417" w14:paraId="578FED78" w14:textId="77777777" w:rsidTr="000A2417">
        <w:trPr>
          <w:trHeight w:val="340"/>
        </w:trPr>
        <w:tc>
          <w:tcPr>
            <w:tcW w:w="2250" w:type="dxa"/>
            <w:shd w:val="clear" w:color="auto" w:fill="auto"/>
            <w:vAlign w:val="center"/>
            <w:hideMark/>
          </w:tcPr>
          <w:p w14:paraId="1961B8D0" w14:textId="77777777" w:rsidR="000A2417" w:rsidRPr="000A2417" w:rsidRDefault="000A2417" w:rsidP="002C4EC5">
            <w:pPr>
              <w:spacing w:line="240" w:lineRule="auto"/>
              <w:contextualSpacing/>
              <w:rPr>
                <w:sz w:val="26"/>
                <w:szCs w:val="26"/>
              </w:rPr>
            </w:pPr>
            <w:r w:rsidRPr="000A2417">
              <w:rPr>
                <w:rFonts w:eastAsia="Calibri"/>
                <w:sz w:val="26"/>
                <w:szCs w:val="26"/>
              </w:rPr>
              <w:t>C-2018-3004694</w:t>
            </w:r>
          </w:p>
        </w:tc>
        <w:tc>
          <w:tcPr>
            <w:tcW w:w="6570" w:type="dxa"/>
            <w:shd w:val="clear" w:color="auto" w:fill="auto"/>
            <w:vAlign w:val="center"/>
            <w:hideMark/>
          </w:tcPr>
          <w:p w14:paraId="54FBB65D" w14:textId="77777777" w:rsidR="000A2417" w:rsidRPr="000A2417" w:rsidRDefault="000A2417" w:rsidP="002C4EC5">
            <w:pPr>
              <w:spacing w:line="240" w:lineRule="auto"/>
              <w:contextualSpacing/>
              <w:rPr>
                <w:sz w:val="26"/>
                <w:szCs w:val="26"/>
              </w:rPr>
            </w:pPr>
            <w:r w:rsidRPr="000A2417">
              <w:rPr>
                <w:rFonts w:eastAsia="Calibri"/>
                <w:sz w:val="26"/>
                <w:szCs w:val="26"/>
              </w:rPr>
              <w:t>Thomas Davis</w:t>
            </w:r>
          </w:p>
        </w:tc>
      </w:tr>
      <w:tr w:rsidR="000A2417" w:rsidRPr="000A2417" w14:paraId="6312318A" w14:textId="77777777" w:rsidTr="000A2417">
        <w:trPr>
          <w:trHeight w:val="340"/>
        </w:trPr>
        <w:tc>
          <w:tcPr>
            <w:tcW w:w="2250" w:type="dxa"/>
            <w:shd w:val="clear" w:color="auto" w:fill="auto"/>
            <w:vAlign w:val="center"/>
            <w:hideMark/>
          </w:tcPr>
          <w:p w14:paraId="4795ECB6" w14:textId="77777777" w:rsidR="000A2417" w:rsidRPr="000A2417" w:rsidRDefault="000A2417" w:rsidP="002C4EC5">
            <w:pPr>
              <w:spacing w:line="240" w:lineRule="auto"/>
              <w:contextualSpacing/>
              <w:rPr>
                <w:sz w:val="26"/>
                <w:szCs w:val="26"/>
              </w:rPr>
            </w:pPr>
            <w:r w:rsidRPr="000A2417">
              <w:rPr>
                <w:rFonts w:eastAsia="Calibri"/>
                <w:sz w:val="26"/>
                <w:szCs w:val="26"/>
              </w:rPr>
              <w:t>C-2018-3004695</w:t>
            </w:r>
          </w:p>
        </w:tc>
        <w:tc>
          <w:tcPr>
            <w:tcW w:w="6570" w:type="dxa"/>
            <w:shd w:val="clear" w:color="auto" w:fill="auto"/>
            <w:vAlign w:val="center"/>
            <w:hideMark/>
          </w:tcPr>
          <w:p w14:paraId="5DA6CCF8"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Thomas Davis </w:t>
            </w:r>
          </w:p>
        </w:tc>
      </w:tr>
      <w:tr w:rsidR="000A2417" w:rsidRPr="000A2417" w14:paraId="7B8532EA" w14:textId="77777777" w:rsidTr="000A2417">
        <w:trPr>
          <w:trHeight w:val="340"/>
        </w:trPr>
        <w:tc>
          <w:tcPr>
            <w:tcW w:w="2250" w:type="dxa"/>
            <w:shd w:val="clear" w:color="auto" w:fill="auto"/>
            <w:vAlign w:val="center"/>
            <w:hideMark/>
          </w:tcPr>
          <w:p w14:paraId="4C03671B" w14:textId="77777777" w:rsidR="000A2417" w:rsidRPr="000A2417" w:rsidRDefault="000A2417" w:rsidP="002C4EC5">
            <w:pPr>
              <w:spacing w:line="240" w:lineRule="auto"/>
              <w:contextualSpacing/>
              <w:rPr>
                <w:sz w:val="26"/>
                <w:szCs w:val="26"/>
              </w:rPr>
            </w:pPr>
            <w:r w:rsidRPr="000A2417">
              <w:rPr>
                <w:rFonts w:eastAsia="Calibri"/>
                <w:sz w:val="26"/>
                <w:szCs w:val="26"/>
              </w:rPr>
              <w:t>C-2018-3004856</w:t>
            </w:r>
          </w:p>
        </w:tc>
        <w:tc>
          <w:tcPr>
            <w:tcW w:w="6570" w:type="dxa"/>
            <w:shd w:val="clear" w:color="auto" w:fill="auto"/>
            <w:vAlign w:val="center"/>
            <w:hideMark/>
          </w:tcPr>
          <w:p w14:paraId="399746D5" w14:textId="77777777" w:rsidR="000A2417" w:rsidRPr="000A2417" w:rsidRDefault="000A2417" w:rsidP="002C4EC5">
            <w:pPr>
              <w:spacing w:line="240" w:lineRule="auto"/>
              <w:contextualSpacing/>
              <w:rPr>
                <w:sz w:val="26"/>
                <w:szCs w:val="26"/>
              </w:rPr>
            </w:pPr>
            <w:r w:rsidRPr="000A2417">
              <w:rPr>
                <w:rFonts w:eastAsia="Calibri"/>
                <w:sz w:val="26"/>
                <w:szCs w:val="26"/>
              </w:rPr>
              <w:t>Michael Luciano</w:t>
            </w:r>
          </w:p>
        </w:tc>
      </w:tr>
      <w:tr w:rsidR="000A2417" w:rsidRPr="000A2417" w14:paraId="19C77AA0" w14:textId="77777777" w:rsidTr="000A2417">
        <w:trPr>
          <w:trHeight w:val="340"/>
        </w:trPr>
        <w:tc>
          <w:tcPr>
            <w:tcW w:w="2250" w:type="dxa"/>
            <w:shd w:val="clear" w:color="auto" w:fill="auto"/>
            <w:vAlign w:val="center"/>
            <w:hideMark/>
          </w:tcPr>
          <w:p w14:paraId="3FFF3D89" w14:textId="77777777" w:rsidR="000A2417" w:rsidRPr="000A2417" w:rsidRDefault="000A2417" w:rsidP="002C4EC5">
            <w:pPr>
              <w:spacing w:line="240" w:lineRule="auto"/>
              <w:contextualSpacing/>
              <w:rPr>
                <w:sz w:val="26"/>
                <w:szCs w:val="26"/>
              </w:rPr>
            </w:pPr>
            <w:r w:rsidRPr="000A2417">
              <w:rPr>
                <w:rFonts w:eastAsia="Calibri"/>
                <w:sz w:val="26"/>
                <w:szCs w:val="26"/>
              </w:rPr>
              <w:t>C-2018-3004883</w:t>
            </w:r>
          </w:p>
        </w:tc>
        <w:tc>
          <w:tcPr>
            <w:tcW w:w="6570" w:type="dxa"/>
            <w:shd w:val="clear" w:color="auto" w:fill="auto"/>
            <w:vAlign w:val="center"/>
            <w:hideMark/>
          </w:tcPr>
          <w:p w14:paraId="3DE8746E" w14:textId="77777777" w:rsidR="000A2417" w:rsidRPr="000A2417" w:rsidRDefault="000A2417" w:rsidP="002C4EC5">
            <w:pPr>
              <w:spacing w:line="240" w:lineRule="auto"/>
              <w:contextualSpacing/>
              <w:rPr>
                <w:sz w:val="26"/>
                <w:szCs w:val="26"/>
              </w:rPr>
            </w:pPr>
            <w:r w:rsidRPr="000A2417">
              <w:rPr>
                <w:rFonts w:eastAsia="Calibri"/>
                <w:sz w:val="26"/>
                <w:szCs w:val="26"/>
              </w:rPr>
              <w:t>Robert Shafer</w:t>
            </w:r>
          </w:p>
        </w:tc>
      </w:tr>
      <w:tr w:rsidR="00863749" w:rsidRPr="000A2417" w14:paraId="1EB001C3" w14:textId="77777777" w:rsidTr="000A2417">
        <w:trPr>
          <w:trHeight w:val="340"/>
        </w:trPr>
        <w:tc>
          <w:tcPr>
            <w:tcW w:w="2250" w:type="dxa"/>
            <w:shd w:val="clear" w:color="auto" w:fill="auto"/>
            <w:vAlign w:val="center"/>
          </w:tcPr>
          <w:p w14:paraId="56A5EEFC" w14:textId="18D14310" w:rsidR="00863749" w:rsidRPr="000A2417" w:rsidRDefault="00863749" w:rsidP="00863749">
            <w:pPr>
              <w:spacing w:line="240" w:lineRule="auto"/>
              <w:contextualSpacing/>
              <w:rPr>
                <w:rFonts w:eastAsia="Calibri"/>
                <w:sz w:val="26"/>
                <w:szCs w:val="26"/>
              </w:rPr>
            </w:pPr>
            <w:r w:rsidRPr="000A2417">
              <w:rPr>
                <w:rFonts w:eastAsia="Calibri"/>
                <w:sz w:val="26"/>
                <w:szCs w:val="26"/>
              </w:rPr>
              <w:t>C-2018-3004</w:t>
            </w:r>
            <w:r>
              <w:rPr>
                <w:rFonts w:eastAsia="Calibri"/>
                <w:sz w:val="26"/>
                <w:szCs w:val="26"/>
              </w:rPr>
              <w:t>887</w:t>
            </w:r>
          </w:p>
        </w:tc>
        <w:tc>
          <w:tcPr>
            <w:tcW w:w="6570" w:type="dxa"/>
            <w:shd w:val="clear" w:color="auto" w:fill="auto"/>
            <w:vAlign w:val="center"/>
          </w:tcPr>
          <w:p w14:paraId="36CE2D63" w14:textId="181F89A1" w:rsidR="00863749" w:rsidRPr="000A2417" w:rsidRDefault="00863749" w:rsidP="00863749">
            <w:pPr>
              <w:spacing w:line="240" w:lineRule="auto"/>
              <w:contextualSpacing/>
              <w:rPr>
                <w:rFonts w:eastAsia="Calibri"/>
                <w:sz w:val="26"/>
                <w:szCs w:val="26"/>
              </w:rPr>
            </w:pPr>
            <w:r w:rsidRPr="000A2417">
              <w:rPr>
                <w:rFonts w:eastAsia="Calibri"/>
                <w:sz w:val="26"/>
                <w:szCs w:val="26"/>
              </w:rPr>
              <w:t xml:space="preserve">Carl &amp; Kathy </w:t>
            </w:r>
            <w:proofErr w:type="spellStart"/>
            <w:r w:rsidRPr="000A2417">
              <w:rPr>
                <w:rFonts w:eastAsia="Calibri"/>
                <w:sz w:val="26"/>
                <w:szCs w:val="26"/>
              </w:rPr>
              <w:t>Haybedian</w:t>
            </w:r>
            <w:proofErr w:type="spellEnd"/>
          </w:p>
        </w:tc>
      </w:tr>
      <w:tr w:rsidR="000A2417" w:rsidRPr="000A2417" w14:paraId="1EF028DB" w14:textId="77777777" w:rsidTr="000A2417">
        <w:trPr>
          <w:trHeight w:val="340"/>
        </w:trPr>
        <w:tc>
          <w:tcPr>
            <w:tcW w:w="2250" w:type="dxa"/>
            <w:shd w:val="clear" w:color="auto" w:fill="auto"/>
            <w:vAlign w:val="center"/>
            <w:hideMark/>
          </w:tcPr>
          <w:p w14:paraId="0F397B33" w14:textId="77777777" w:rsidR="000A2417" w:rsidRPr="000A2417" w:rsidRDefault="000A2417" w:rsidP="002C4EC5">
            <w:pPr>
              <w:spacing w:line="240" w:lineRule="auto"/>
              <w:contextualSpacing/>
              <w:rPr>
                <w:sz w:val="26"/>
                <w:szCs w:val="26"/>
              </w:rPr>
            </w:pPr>
            <w:r w:rsidRPr="000A2417">
              <w:rPr>
                <w:rFonts w:eastAsia="Calibri"/>
                <w:sz w:val="26"/>
                <w:szCs w:val="26"/>
              </w:rPr>
              <w:t>C-2018-3004913</w:t>
            </w:r>
          </w:p>
        </w:tc>
        <w:tc>
          <w:tcPr>
            <w:tcW w:w="6570" w:type="dxa"/>
            <w:shd w:val="clear" w:color="auto" w:fill="auto"/>
            <w:vAlign w:val="center"/>
            <w:hideMark/>
          </w:tcPr>
          <w:p w14:paraId="2B3803A2" w14:textId="6CCB14EA" w:rsidR="000A2417" w:rsidRPr="000A2417" w:rsidRDefault="000A2417" w:rsidP="002C4EC5">
            <w:pPr>
              <w:spacing w:line="240" w:lineRule="auto"/>
              <w:contextualSpacing/>
              <w:rPr>
                <w:sz w:val="26"/>
                <w:szCs w:val="26"/>
              </w:rPr>
            </w:pPr>
            <w:r w:rsidRPr="000A2417">
              <w:rPr>
                <w:rFonts w:eastAsia="Calibri"/>
                <w:sz w:val="26"/>
                <w:szCs w:val="26"/>
              </w:rPr>
              <w:t xml:space="preserve">Links at Gettysburg Master Association </w:t>
            </w:r>
            <w:r w:rsidR="00863749">
              <w:rPr>
                <w:rFonts w:eastAsia="Calibri"/>
                <w:sz w:val="26"/>
                <w:szCs w:val="26"/>
              </w:rPr>
              <w:t>c/o Cody Vance</w:t>
            </w:r>
          </w:p>
        </w:tc>
      </w:tr>
      <w:tr w:rsidR="000A2417" w:rsidRPr="000A2417" w14:paraId="423D91FC" w14:textId="77777777" w:rsidTr="000A2417">
        <w:trPr>
          <w:trHeight w:val="340"/>
        </w:trPr>
        <w:tc>
          <w:tcPr>
            <w:tcW w:w="2250" w:type="dxa"/>
            <w:shd w:val="clear" w:color="auto" w:fill="auto"/>
            <w:vAlign w:val="center"/>
            <w:hideMark/>
          </w:tcPr>
          <w:p w14:paraId="7E5C2C93" w14:textId="77777777" w:rsidR="000A2417" w:rsidRPr="000A2417" w:rsidRDefault="000A2417" w:rsidP="002C4EC5">
            <w:pPr>
              <w:spacing w:line="240" w:lineRule="auto"/>
              <w:contextualSpacing/>
              <w:rPr>
                <w:sz w:val="26"/>
                <w:szCs w:val="26"/>
              </w:rPr>
            </w:pPr>
            <w:r w:rsidRPr="000A2417">
              <w:rPr>
                <w:rFonts w:eastAsia="Calibri"/>
                <w:sz w:val="26"/>
                <w:szCs w:val="26"/>
              </w:rPr>
              <w:t>C-2018-3004923</w:t>
            </w:r>
          </w:p>
        </w:tc>
        <w:tc>
          <w:tcPr>
            <w:tcW w:w="6570" w:type="dxa"/>
            <w:shd w:val="clear" w:color="auto" w:fill="auto"/>
            <w:vAlign w:val="center"/>
            <w:hideMark/>
          </w:tcPr>
          <w:p w14:paraId="31270D7F" w14:textId="77777777" w:rsidR="000A2417" w:rsidRPr="000A2417" w:rsidRDefault="000A2417" w:rsidP="002C4EC5">
            <w:pPr>
              <w:spacing w:line="240" w:lineRule="auto"/>
              <w:contextualSpacing/>
              <w:rPr>
                <w:sz w:val="26"/>
                <w:szCs w:val="26"/>
              </w:rPr>
            </w:pPr>
            <w:r w:rsidRPr="000A2417">
              <w:rPr>
                <w:rFonts w:eastAsia="Calibri"/>
                <w:sz w:val="26"/>
                <w:szCs w:val="26"/>
              </w:rPr>
              <w:t>Susan Siensa</w:t>
            </w:r>
          </w:p>
        </w:tc>
      </w:tr>
      <w:tr w:rsidR="000A2417" w:rsidRPr="000A2417" w14:paraId="2ABCFA27" w14:textId="77777777" w:rsidTr="000A2417">
        <w:trPr>
          <w:trHeight w:val="340"/>
        </w:trPr>
        <w:tc>
          <w:tcPr>
            <w:tcW w:w="2250" w:type="dxa"/>
            <w:shd w:val="clear" w:color="auto" w:fill="auto"/>
            <w:vAlign w:val="center"/>
            <w:hideMark/>
          </w:tcPr>
          <w:p w14:paraId="4F164A03" w14:textId="77777777" w:rsidR="000A2417" w:rsidRPr="000A2417" w:rsidRDefault="000A2417" w:rsidP="002C4EC5">
            <w:pPr>
              <w:spacing w:line="240" w:lineRule="auto"/>
              <w:contextualSpacing/>
              <w:rPr>
                <w:sz w:val="26"/>
                <w:szCs w:val="26"/>
              </w:rPr>
            </w:pPr>
            <w:r w:rsidRPr="000A2417">
              <w:rPr>
                <w:rFonts w:eastAsia="Calibri"/>
                <w:sz w:val="26"/>
                <w:szCs w:val="26"/>
              </w:rPr>
              <w:t>C-2018-3004938</w:t>
            </w:r>
          </w:p>
        </w:tc>
        <w:tc>
          <w:tcPr>
            <w:tcW w:w="6570" w:type="dxa"/>
            <w:shd w:val="clear" w:color="auto" w:fill="auto"/>
            <w:vAlign w:val="center"/>
            <w:hideMark/>
          </w:tcPr>
          <w:p w14:paraId="25222A49"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Carey &amp; Sandra Terrell </w:t>
            </w:r>
          </w:p>
        </w:tc>
      </w:tr>
      <w:tr w:rsidR="000A2417" w:rsidRPr="000A2417" w14:paraId="3BEA3820" w14:textId="77777777" w:rsidTr="000A2417">
        <w:trPr>
          <w:trHeight w:val="340"/>
        </w:trPr>
        <w:tc>
          <w:tcPr>
            <w:tcW w:w="2250" w:type="dxa"/>
            <w:shd w:val="clear" w:color="auto" w:fill="auto"/>
            <w:vAlign w:val="center"/>
            <w:hideMark/>
          </w:tcPr>
          <w:p w14:paraId="2ED57685" w14:textId="77777777" w:rsidR="000A2417" w:rsidRPr="000A2417" w:rsidRDefault="000A2417" w:rsidP="002C4EC5">
            <w:pPr>
              <w:spacing w:line="240" w:lineRule="auto"/>
              <w:contextualSpacing/>
              <w:rPr>
                <w:sz w:val="26"/>
                <w:szCs w:val="26"/>
              </w:rPr>
            </w:pPr>
            <w:r w:rsidRPr="000A2417">
              <w:rPr>
                <w:rFonts w:eastAsia="Calibri"/>
                <w:sz w:val="26"/>
                <w:szCs w:val="26"/>
              </w:rPr>
              <w:t>C-2018-3004939</w:t>
            </w:r>
          </w:p>
        </w:tc>
        <w:tc>
          <w:tcPr>
            <w:tcW w:w="6570" w:type="dxa"/>
            <w:shd w:val="clear" w:color="auto" w:fill="auto"/>
            <w:vAlign w:val="center"/>
            <w:hideMark/>
          </w:tcPr>
          <w:p w14:paraId="4E30A9AD" w14:textId="77777777" w:rsidR="000A2417" w:rsidRPr="000A2417" w:rsidRDefault="000A2417" w:rsidP="002C4EC5">
            <w:pPr>
              <w:spacing w:line="240" w:lineRule="auto"/>
              <w:contextualSpacing/>
              <w:rPr>
                <w:sz w:val="26"/>
                <w:szCs w:val="26"/>
              </w:rPr>
            </w:pPr>
            <w:r w:rsidRPr="000A2417">
              <w:rPr>
                <w:rFonts w:eastAsia="Calibri"/>
                <w:sz w:val="26"/>
                <w:szCs w:val="26"/>
              </w:rPr>
              <w:t>Office of Small Business Advocate</w:t>
            </w:r>
          </w:p>
        </w:tc>
      </w:tr>
      <w:tr w:rsidR="000A2417" w:rsidRPr="000A2417" w14:paraId="0B14E614" w14:textId="77777777" w:rsidTr="000A2417">
        <w:trPr>
          <w:trHeight w:val="340"/>
        </w:trPr>
        <w:tc>
          <w:tcPr>
            <w:tcW w:w="2250" w:type="dxa"/>
            <w:shd w:val="clear" w:color="auto" w:fill="auto"/>
            <w:vAlign w:val="center"/>
            <w:hideMark/>
          </w:tcPr>
          <w:p w14:paraId="5C6170A3" w14:textId="77777777" w:rsidR="000A2417" w:rsidRPr="000A2417" w:rsidRDefault="000A2417" w:rsidP="002C4EC5">
            <w:pPr>
              <w:spacing w:line="240" w:lineRule="auto"/>
              <w:contextualSpacing/>
              <w:rPr>
                <w:sz w:val="26"/>
                <w:szCs w:val="26"/>
              </w:rPr>
            </w:pPr>
            <w:r w:rsidRPr="000A2417">
              <w:rPr>
                <w:rFonts w:eastAsia="Calibri"/>
                <w:sz w:val="26"/>
                <w:szCs w:val="26"/>
              </w:rPr>
              <w:t>C-2018-3004985</w:t>
            </w:r>
          </w:p>
        </w:tc>
        <w:tc>
          <w:tcPr>
            <w:tcW w:w="6570" w:type="dxa"/>
            <w:shd w:val="clear" w:color="auto" w:fill="auto"/>
            <w:vAlign w:val="center"/>
            <w:hideMark/>
          </w:tcPr>
          <w:p w14:paraId="212B096A" w14:textId="77777777" w:rsidR="000A2417" w:rsidRPr="000A2417" w:rsidRDefault="000A2417" w:rsidP="002C4EC5">
            <w:pPr>
              <w:spacing w:line="240" w:lineRule="auto"/>
              <w:contextualSpacing/>
              <w:rPr>
                <w:sz w:val="26"/>
                <w:szCs w:val="26"/>
              </w:rPr>
            </w:pPr>
            <w:r w:rsidRPr="000A2417">
              <w:rPr>
                <w:rFonts w:eastAsia="Calibri"/>
                <w:sz w:val="26"/>
                <w:szCs w:val="26"/>
              </w:rPr>
              <w:t>Cedar Knoll Builders</w:t>
            </w:r>
          </w:p>
        </w:tc>
      </w:tr>
      <w:tr w:rsidR="000A2417" w:rsidRPr="000A2417" w14:paraId="0E7CC089" w14:textId="77777777" w:rsidTr="000A2417">
        <w:trPr>
          <w:trHeight w:val="340"/>
        </w:trPr>
        <w:tc>
          <w:tcPr>
            <w:tcW w:w="2250" w:type="dxa"/>
            <w:shd w:val="clear" w:color="auto" w:fill="auto"/>
            <w:vAlign w:val="center"/>
            <w:hideMark/>
          </w:tcPr>
          <w:p w14:paraId="3BCB3414" w14:textId="77777777" w:rsidR="000A2417" w:rsidRPr="000A2417" w:rsidRDefault="000A2417" w:rsidP="002C4EC5">
            <w:pPr>
              <w:spacing w:line="240" w:lineRule="auto"/>
              <w:contextualSpacing/>
              <w:rPr>
                <w:sz w:val="26"/>
                <w:szCs w:val="26"/>
              </w:rPr>
            </w:pPr>
            <w:r w:rsidRPr="000A2417">
              <w:rPr>
                <w:rFonts w:eastAsia="Calibri"/>
                <w:sz w:val="26"/>
                <w:szCs w:val="26"/>
              </w:rPr>
              <w:t>C-2018-3004987</w:t>
            </w:r>
          </w:p>
        </w:tc>
        <w:tc>
          <w:tcPr>
            <w:tcW w:w="6570" w:type="dxa"/>
            <w:shd w:val="clear" w:color="auto" w:fill="auto"/>
            <w:vAlign w:val="center"/>
            <w:hideMark/>
          </w:tcPr>
          <w:p w14:paraId="7D99C08C" w14:textId="77777777" w:rsidR="000A2417" w:rsidRPr="000A2417" w:rsidRDefault="000A2417" w:rsidP="002C4EC5">
            <w:pPr>
              <w:spacing w:line="240" w:lineRule="auto"/>
              <w:contextualSpacing/>
              <w:rPr>
                <w:sz w:val="26"/>
                <w:szCs w:val="26"/>
              </w:rPr>
            </w:pPr>
            <w:r w:rsidRPr="000A2417">
              <w:rPr>
                <w:rFonts w:eastAsia="Calibri"/>
                <w:sz w:val="26"/>
                <w:szCs w:val="26"/>
              </w:rPr>
              <w:t>Donald Labranche</w:t>
            </w:r>
          </w:p>
        </w:tc>
      </w:tr>
      <w:tr w:rsidR="000A2417" w:rsidRPr="000A2417" w14:paraId="6FB441B6" w14:textId="77777777" w:rsidTr="000A2417">
        <w:trPr>
          <w:trHeight w:val="340"/>
        </w:trPr>
        <w:tc>
          <w:tcPr>
            <w:tcW w:w="2250" w:type="dxa"/>
            <w:shd w:val="clear" w:color="auto" w:fill="auto"/>
            <w:vAlign w:val="center"/>
            <w:hideMark/>
          </w:tcPr>
          <w:p w14:paraId="62F2FD0B" w14:textId="77777777" w:rsidR="000A2417" w:rsidRPr="000A2417" w:rsidRDefault="000A2417" w:rsidP="002C4EC5">
            <w:pPr>
              <w:spacing w:line="240" w:lineRule="auto"/>
              <w:contextualSpacing/>
              <w:rPr>
                <w:sz w:val="26"/>
                <w:szCs w:val="26"/>
              </w:rPr>
            </w:pPr>
            <w:r w:rsidRPr="000A2417">
              <w:rPr>
                <w:rFonts w:eastAsia="Calibri"/>
                <w:sz w:val="26"/>
                <w:szCs w:val="26"/>
              </w:rPr>
              <w:t>C-2018-3004989</w:t>
            </w:r>
          </w:p>
        </w:tc>
        <w:tc>
          <w:tcPr>
            <w:tcW w:w="6570" w:type="dxa"/>
            <w:shd w:val="clear" w:color="auto" w:fill="auto"/>
            <w:vAlign w:val="center"/>
            <w:hideMark/>
          </w:tcPr>
          <w:p w14:paraId="1EE26E75"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Janice &amp; Stephen McHenry </w:t>
            </w:r>
          </w:p>
        </w:tc>
      </w:tr>
      <w:tr w:rsidR="000A2417" w:rsidRPr="000A2417" w14:paraId="76391828" w14:textId="77777777" w:rsidTr="000A2417">
        <w:trPr>
          <w:trHeight w:val="340"/>
        </w:trPr>
        <w:tc>
          <w:tcPr>
            <w:tcW w:w="2250" w:type="dxa"/>
            <w:shd w:val="clear" w:color="auto" w:fill="auto"/>
            <w:vAlign w:val="center"/>
            <w:hideMark/>
          </w:tcPr>
          <w:p w14:paraId="7149E0B2" w14:textId="77777777" w:rsidR="000A2417" w:rsidRPr="000A2417" w:rsidRDefault="000A2417" w:rsidP="002C4EC5">
            <w:pPr>
              <w:spacing w:line="240" w:lineRule="auto"/>
              <w:contextualSpacing/>
              <w:rPr>
                <w:sz w:val="26"/>
                <w:szCs w:val="26"/>
              </w:rPr>
            </w:pPr>
            <w:r w:rsidRPr="000A2417">
              <w:rPr>
                <w:rFonts w:eastAsia="Calibri"/>
                <w:sz w:val="26"/>
                <w:szCs w:val="26"/>
              </w:rPr>
              <w:t>C-2018-3005014</w:t>
            </w:r>
          </w:p>
        </w:tc>
        <w:tc>
          <w:tcPr>
            <w:tcW w:w="6570" w:type="dxa"/>
            <w:shd w:val="clear" w:color="auto" w:fill="auto"/>
            <w:vAlign w:val="center"/>
            <w:hideMark/>
          </w:tcPr>
          <w:p w14:paraId="3A3DF6FD" w14:textId="77777777" w:rsidR="000A2417" w:rsidRPr="000A2417" w:rsidRDefault="000A2417" w:rsidP="002C4EC5">
            <w:pPr>
              <w:spacing w:line="240" w:lineRule="auto"/>
              <w:contextualSpacing/>
              <w:rPr>
                <w:sz w:val="26"/>
                <w:szCs w:val="26"/>
              </w:rPr>
            </w:pPr>
            <w:r w:rsidRPr="000A2417">
              <w:rPr>
                <w:rFonts w:eastAsia="Calibri"/>
                <w:sz w:val="26"/>
                <w:szCs w:val="26"/>
              </w:rPr>
              <w:t>Donna May</w:t>
            </w:r>
          </w:p>
        </w:tc>
      </w:tr>
      <w:tr w:rsidR="000A2417" w:rsidRPr="000A2417" w14:paraId="72C68A22" w14:textId="77777777" w:rsidTr="000A2417">
        <w:trPr>
          <w:trHeight w:val="340"/>
        </w:trPr>
        <w:tc>
          <w:tcPr>
            <w:tcW w:w="2250" w:type="dxa"/>
            <w:shd w:val="clear" w:color="auto" w:fill="auto"/>
            <w:vAlign w:val="center"/>
            <w:hideMark/>
          </w:tcPr>
          <w:p w14:paraId="0760A4FB" w14:textId="77777777" w:rsidR="000A2417" w:rsidRPr="000A2417" w:rsidRDefault="000A2417" w:rsidP="002C4EC5">
            <w:pPr>
              <w:spacing w:line="240" w:lineRule="auto"/>
              <w:contextualSpacing/>
              <w:rPr>
                <w:sz w:val="26"/>
                <w:szCs w:val="26"/>
              </w:rPr>
            </w:pPr>
            <w:r w:rsidRPr="000A2417">
              <w:rPr>
                <w:rFonts w:eastAsia="Calibri"/>
                <w:sz w:val="26"/>
                <w:szCs w:val="26"/>
              </w:rPr>
              <w:t>C-2018-3005015</w:t>
            </w:r>
          </w:p>
        </w:tc>
        <w:tc>
          <w:tcPr>
            <w:tcW w:w="6570" w:type="dxa"/>
            <w:shd w:val="clear" w:color="auto" w:fill="auto"/>
            <w:vAlign w:val="center"/>
            <w:hideMark/>
          </w:tcPr>
          <w:p w14:paraId="21A5DAC5"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James May </w:t>
            </w:r>
          </w:p>
        </w:tc>
      </w:tr>
      <w:tr w:rsidR="000A2417" w:rsidRPr="000A2417" w14:paraId="2E77CED6" w14:textId="77777777" w:rsidTr="000A2417">
        <w:trPr>
          <w:trHeight w:val="340"/>
        </w:trPr>
        <w:tc>
          <w:tcPr>
            <w:tcW w:w="2250" w:type="dxa"/>
            <w:shd w:val="clear" w:color="auto" w:fill="auto"/>
            <w:vAlign w:val="center"/>
            <w:hideMark/>
          </w:tcPr>
          <w:p w14:paraId="45AE40FF" w14:textId="77777777" w:rsidR="000A2417" w:rsidRPr="000A2417" w:rsidRDefault="000A2417" w:rsidP="002C4EC5">
            <w:pPr>
              <w:spacing w:line="240" w:lineRule="auto"/>
              <w:contextualSpacing/>
              <w:rPr>
                <w:sz w:val="26"/>
                <w:szCs w:val="26"/>
              </w:rPr>
            </w:pPr>
            <w:r w:rsidRPr="000A2417">
              <w:rPr>
                <w:rFonts w:eastAsia="Calibri"/>
                <w:sz w:val="26"/>
                <w:szCs w:val="26"/>
              </w:rPr>
              <w:t>C-2018-3005016</w:t>
            </w:r>
          </w:p>
        </w:tc>
        <w:tc>
          <w:tcPr>
            <w:tcW w:w="6570" w:type="dxa"/>
            <w:shd w:val="clear" w:color="auto" w:fill="auto"/>
            <w:vAlign w:val="center"/>
            <w:hideMark/>
          </w:tcPr>
          <w:p w14:paraId="49006036" w14:textId="77777777" w:rsidR="000A2417" w:rsidRPr="000A2417" w:rsidRDefault="000A2417" w:rsidP="002C4EC5">
            <w:pPr>
              <w:spacing w:line="240" w:lineRule="auto"/>
              <w:contextualSpacing/>
              <w:rPr>
                <w:sz w:val="26"/>
                <w:szCs w:val="26"/>
              </w:rPr>
            </w:pPr>
            <w:r w:rsidRPr="000A2417">
              <w:rPr>
                <w:rFonts w:eastAsia="Calibri"/>
                <w:sz w:val="26"/>
                <w:szCs w:val="26"/>
              </w:rPr>
              <w:t>David Marano</w:t>
            </w:r>
          </w:p>
        </w:tc>
      </w:tr>
      <w:tr w:rsidR="000A2417" w:rsidRPr="000A2417" w14:paraId="0627C3CB" w14:textId="77777777" w:rsidTr="000A2417">
        <w:trPr>
          <w:trHeight w:val="340"/>
        </w:trPr>
        <w:tc>
          <w:tcPr>
            <w:tcW w:w="2250" w:type="dxa"/>
            <w:shd w:val="clear" w:color="auto" w:fill="auto"/>
            <w:vAlign w:val="center"/>
            <w:hideMark/>
          </w:tcPr>
          <w:p w14:paraId="4546ABB4" w14:textId="77777777" w:rsidR="000A2417" w:rsidRPr="000A2417" w:rsidRDefault="000A2417" w:rsidP="002C4EC5">
            <w:pPr>
              <w:spacing w:line="240" w:lineRule="auto"/>
              <w:contextualSpacing/>
              <w:rPr>
                <w:sz w:val="26"/>
                <w:szCs w:val="26"/>
              </w:rPr>
            </w:pPr>
            <w:r w:rsidRPr="000A2417">
              <w:rPr>
                <w:rFonts w:eastAsia="Calibri"/>
                <w:sz w:val="26"/>
                <w:szCs w:val="26"/>
              </w:rPr>
              <w:t>C-2018-3005069</w:t>
            </w:r>
          </w:p>
        </w:tc>
        <w:tc>
          <w:tcPr>
            <w:tcW w:w="6570" w:type="dxa"/>
            <w:shd w:val="clear" w:color="auto" w:fill="auto"/>
            <w:vAlign w:val="center"/>
            <w:hideMark/>
          </w:tcPr>
          <w:p w14:paraId="4335E890" w14:textId="77777777" w:rsidR="000A2417" w:rsidRPr="000A2417" w:rsidRDefault="000A2417" w:rsidP="002C4EC5">
            <w:pPr>
              <w:spacing w:line="240" w:lineRule="auto"/>
              <w:contextualSpacing/>
              <w:rPr>
                <w:sz w:val="26"/>
                <w:szCs w:val="26"/>
              </w:rPr>
            </w:pPr>
            <w:r w:rsidRPr="000A2417">
              <w:rPr>
                <w:rFonts w:eastAsia="Calibri"/>
                <w:sz w:val="26"/>
                <w:szCs w:val="26"/>
              </w:rPr>
              <w:t>Grace Bowes</w:t>
            </w:r>
          </w:p>
        </w:tc>
      </w:tr>
      <w:tr w:rsidR="000A2417" w:rsidRPr="000A2417" w14:paraId="49A84744" w14:textId="77777777" w:rsidTr="000A2417">
        <w:trPr>
          <w:trHeight w:val="370"/>
        </w:trPr>
        <w:tc>
          <w:tcPr>
            <w:tcW w:w="2250" w:type="dxa"/>
            <w:shd w:val="clear" w:color="auto" w:fill="auto"/>
            <w:vAlign w:val="center"/>
            <w:hideMark/>
          </w:tcPr>
          <w:p w14:paraId="3E8EF04E" w14:textId="77777777" w:rsidR="000A2417" w:rsidRPr="000A2417" w:rsidRDefault="000A2417" w:rsidP="002C4EC5">
            <w:pPr>
              <w:spacing w:line="240" w:lineRule="auto"/>
              <w:contextualSpacing/>
              <w:rPr>
                <w:sz w:val="26"/>
                <w:szCs w:val="26"/>
              </w:rPr>
            </w:pPr>
            <w:r w:rsidRPr="000A2417">
              <w:rPr>
                <w:rFonts w:eastAsia="Calibri"/>
                <w:sz w:val="26"/>
                <w:szCs w:val="26"/>
              </w:rPr>
              <w:t>C-2018-3005079</w:t>
            </w:r>
          </w:p>
        </w:tc>
        <w:tc>
          <w:tcPr>
            <w:tcW w:w="6570" w:type="dxa"/>
            <w:shd w:val="clear" w:color="auto" w:fill="auto"/>
            <w:vAlign w:val="center"/>
            <w:hideMark/>
          </w:tcPr>
          <w:p w14:paraId="0CA5A499"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The Masthope Mountain Community Property Owners </w:t>
            </w:r>
          </w:p>
        </w:tc>
      </w:tr>
      <w:tr w:rsidR="000A2417" w:rsidRPr="000A2417" w14:paraId="40B71E2A" w14:textId="77777777" w:rsidTr="000A2417">
        <w:trPr>
          <w:trHeight w:val="340"/>
        </w:trPr>
        <w:tc>
          <w:tcPr>
            <w:tcW w:w="2250" w:type="dxa"/>
            <w:shd w:val="clear" w:color="auto" w:fill="auto"/>
            <w:vAlign w:val="center"/>
            <w:hideMark/>
          </w:tcPr>
          <w:p w14:paraId="57C2D2B2" w14:textId="77777777" w:rsidR="000A2417" w:rsidRPr="000A2417" w:rsidRDefault="000A2417" w:rsidP="002C4EC5">
            <w:pPr>
              <w:spacing w:line="240" w:lineRule="auto"/>
              <w:contextualSpacing/>
              <w:rPr>
                <w:sz w:val="26"/>
                <w:szCs w:val="26"/>
              </w:rPr>
            </w:pPr>
            <w:r w:rsidRPr="000A2417">
              <w:rPr>
                <w:rFonts w:eastAsia="Calibri"/>
                <w:sz w:val="26"/>
                <w:szCs w:val="26"/>
              </w:rPr>
              <w:t>C-2018-3005091</w:t>
            </w:r>
          </w:p>
        </w:tc>
        <w:tc>
          <w:tcPr>
            <w:tcW w:w="6570" w:type="dxa"/>
            <w:shd w:val="clear" w:color="auto" w:fill="auto"/>
            <w:vAlign w:val="center"/>
            <w:hideMark/>
          </w:tcPr>
          <w:p w14:paraId="6819CC15"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Donald &amp; Linda Dudjak </w:t>
            </w:r>
          </w:p>
        </w:tc>
      </w:tr>
      <w:tr w:rsidR="000A2417" w:rsidRPr="000A2417" w14:paraId="61D9CC3E" w14:textId="77777777" w:rsidTr="000A2417">
        <w:trPr>
          <w:trHeight w:val="340"/>
        </w:trPr>
        <w:tc>
          <w:tcPr>
            <w:tcW w:w="2250" w:type="dxa"/>
            <w:shd w:val="clear" w:color="auto" w:fill="auto"/>
            <w:vAlign w:val="center"/>
            <w:hideMark/>
          </w:tcPr>
          <w:p w14:paraId="4C0D179C" w14:textId="77777777" w:rsidR="000A2417" w:rsidRPr="000A2417" w:rsidRDefault="000A2417" w:rsidP="002C4EC5">
            <w:pPr>
              <w:spacing w:line="240" w:lineRule="auto"/>
              <w:contextualSpacing/>
              <w:rPr>
                <w:sz w:val="26"/>
                <w:szCs w:val="26"/>
              </w:rPr>
            </w:pPr>
            <w:r w:rsidRPr="000A2417">
              <w:rPr>
                <w:rFonts w:eastAsia="Calibri"/>
                <w:sz w:val="26"/>
                <w:szCs w:val="26"/>
              </w:rPr>
              <w:t>C-2018-3005130</w:t>
            </w:r>
          </w:p>
        </w:tc>
        <w:tc>
          <w:tcPr>
            <w:tcW w:w="6570" w:type="dxa"/>
            <w:shd w:val="clear" w:color="auto" w:fill="auto"/>
            <w:vAlign w:val="center"/>
            <w:hideMark/>
          </w:tcPr>
          <w:p w14:paraId="2D4F9A28"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Scott Peterson </w:t>
            </w:r>
          </w:p>
        </w:tc>
      </w:tr>
      <w:tr w:rsidR="000A2417" w:rsidRPr="000A2417" w14:paraId="78493CAC" w14:textId="77777777" w:rsidTr="000A2417">
        <w:trPr>
          <w:trHeight w:val="340"/>
        </w:trPr>
        <w:tc>
          <w:tcPr>
            <w:tcW w:w="2250" w:type="dxa"/>
            <w:shd w:val="clear" w:color="auto" w:fill="auto"/>
            <w:vAlign w:val="center"/>
            <w:hideMark/>
          </w:tcPr>
          <w:p w14:paraId="7B7D4CF2" w14:textId="77777777" w:rsidR="000A2417" w:rsidRPr="000A2417" w:rsidRDefault="000A2417" w:rsidP="002C4EC5">
            <w:pPr>
              <w:spacing w:line="240" w:lineRule="auto"/>
              <w:contextualSpacing/>
              <w:rPr>
                <w:sz w:val="26"/>
                <w:szCs w:val="26"/>
              </w:rPr>
            </w:pPr>
            <w:r w:rsidRPr="000A2417">
              <w:rPr>
                <w:rFonts w:eastAsia="Calibri"/>
                <w:sz w:val="26"/>
                <w:szCs w:val="26"/>
              </w:rPr>
              <w:t>C-2018-3005132</w:t>
            </w:r>
          </w:p>
        </w:tc>
        <w:tc>
          <w:tcPr>
            <w:tcW w:w="6570" w:type="dxa"/>
            <w:shd w:val="clear" w:color="auto" w:fill="auto"/>
            <w:vAlign w:val="center"/>
            <w:hideMark/>
          </w:tcPr>
          <w:p w14:paraId="10FDEBBC" w14:textId="77777777" w:rsidR="000A2417" w:rsidRPr="000A2417" w:rsidRDefault="000A2417" w:rsidP="002C4EC5">
            <w:pPr>
              <w:spacing w:line="240" w:lineRule="auto"/>
              <w:contextualSpacing/>
              <w:rPr>
                <w:sz w:val="26"/>
                <w:szCs w:val="26"/>
              </w:rPr>
            </w:pPr>
            <w:r w:rsidRPr="000A2417">
              <w:rPr>
                <w:rFonts w:eastAsia="Calibri"/>
                <w:sz w:val="26"/>
                <w:szCs w:val="26"/>
              </w:rPr>
              <w:t>Wayne Weismandel</w:t>
            </w:r>
          </w:p>
        </w:tc>
      </w:tr>
      <w:tr w:rsidR="000A2417" w:rsidRPr="000A2417" w14:paraId="11851F89" w14:textId="77777777" w:rsidTr="000A2417">
        <w:trPr>
          <w:trHeight w:val="340"/>
        </w:trPr>
        <w:tc>
          <w:tcPr>
            <w:tcW w:w="2250" w:type="dxa"/>
            <w:shd w:val="clear" w:color="auto" w:fill="auto"/>
            <w:vAlign w:val="center"/>
            <w:hideMark/>
          </w:tcPr>
          <w:p w14:paraId="2CA98739" w14:textId="77777777" w:rsidR="000A2417" w:rsidRPr="000A2417" w:rsidRDefault="000A2417" w:rsidP="002C4EC5">
            <w:pPr>
              <w:spacing w:line="240" w:lineRule="auto"/>
              <w:contextualSpacing/>
              <w:rPr>
                <w:sz w:val="26"/>
                <w:szCs w:val="26"/>
              </w:rPr>
            </w:pPr>
            <w:r w:rsidRPr="000A2417">
              <w:rPr>
                <w:rFonts w:eastAsia="Calibri"/>
                <w:sz w:val="26"/>
                <w:szCs w:val="26"/>
              </w:rPr>
              <w:t>C-2018-3005150</w:t>
            </w:r>
          </w:p>
        </w:tc>
        <w:tc>
          <w:tcPr>
            <w:tcW w:w="6570" w:type="dxa"/>
            <w:shd w:val="clear" w:color="auto" w:fill="auto"/>
            <w:vAlign w:val="center"/>
            <w:hideMark/>
          </w:tcPr>
          <w:p w14:paraId="7EB56F8B" w14:textId="77777777" w:rsidR="000A2417" w:rsidRPr="000A2417" w:rsidRDefault="000A2417" w:rsidP="002C4EC5">
            <w:pPr>
              <w:spacing w:line="240" w:lineRule="auto"/>
              <w:contextualSpacing/>
              <w:rPr>
                <w:sz w:val="26"/>
                <w:szCs w:val="26"/>
              </w:rPr>
            </w:pPr>
            <w:r w:rsidRPr="000A2417">
              <w:rPr>
                <w:rFonts w:eastAsia="Calibri"/>
                <w:sz w:val="26"/>
                <w:szCs w:val="26"/>
              </w:rPr>
              <w:t>Carroll Stroh</w:t>
            </w:r>
          </w:p>
        </w:tc>
      </w:tr>
      <w:tr w:rsidR="000A2417" w:rsidRPr="000A2417" w14:paraId="466287C7" w14:textId="77777777" w:rsidTr="000A2417">
        <w:trPr>
          <w:trHeight w:val="340"/>
        </w:trPr>
        <w:tc>
          <w:tcPr>
            <w:tcW w:w="2250" w:type="dxa"/>
            <w:shd w:val="clear" w:color="auto" w:fill="auto"/>
            <w:vAlign w:val="center"/>
            <w:hideMark/>
          </w:tcPr>
          <w:p w14:paraId="3B177DF2" w14:textId="77777777" w:rsidR="000A2417" w:rsidRPr="000A2417" w:rsidRDefault="000A2417" w:rsidP="002C4EC5">
            <w:pPr>
              <w:spacing w:line="240" w:lineRule="auto"/>
              <w:contextualSpacing/>
              <w:rPr>
                <w:sz w:val="26"/>
                <w:szCs w:val="26"/>
              </w:rPr>
            </w:pPr>
            <w:r w:rsidRPr="000A2417">
              <w:rPr>
                <w:rFonts w:eastAsia="Calibri"/>
                <w:sz w:val="26"/>
                <w:szCs w:val="26"/>
              </w:rPr>
              <w:t>C-2018-3005153</w:t>
            </w:r>
          </w:p>
        </w:tc>
        <w:tc>
          <w:tcPr>
            <w:tcW w:w="6570" w:type="dxa"/>
            <w:shd w:val="clear" w:color="auto" w:fill="auto"/>
            <w:vAlign w:val="center"/>
            <w:hideMark/>
          </w:tcPr>
          <w:p w14:paraId="0F478914"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Jacqueline Pasquini </w:t>
            </w:r>
          </w:p>
        </w:tc>
      </w:tr>
      <w:tr w:rsidR="000A2417" w:rsidRPr="000A2417" w14:paraId="7F0B0DB3" w14:textId="77777777" w:rsidTr="000A2417">
        <w:trPr>
          <w:trHeight w:val="340"/>
        </w:trPr>
        <w:tc>
          <w:tcPr>
            <w:tcW w:w="2250" w:type="dxa"/>
            <w:shd w:val="clear" w:color="auto" w:fill="auto"/>
            <w:vAlign w:val="center"/>
            <w:hideMark/>
          </w:tcPr>
          <w:p w14:paraId="4CFFAA05" w14:textId="77777777" w:rsidR="000A2417" w:rsidRPr="000A2417" w:rsidRDefault="000A2417" w:rsidP="002C4EC5">
            <w:pPr>
              <w:spacing w:line="240" w:lineRule="auto"/>
              <w:contextualSpacing/>
              <w:rPr>
                <w:sz w:val="26"/>
                <w:szCs w:val="26"/>
              </w:rPr>
            </w:pPr>
            <w:r w:rsidRPr="000A2417">
              <w:rPr>
                <w:rFonts w:eastAsia="Calibri"/>
                <w:sz w:val="26"/>
                <w:szCs w:val="26"/>
              </w:rPr>
              <w:t>C-2018-3005220</w:t>
            </w:r>
          </w:p>
        </w:tc>
        <w:tc>
          <w:tcPr>
            <w:tcW w:w="6570" w:type="dxa"/>
            <w:shd w:val="clear" w:color="auto" w:fill="auto"/>
            <w:vAlign w:val="center"/>
            <w:hideMark/>
          </w:tcPr>
          <w:p w14:paraId="072A5BA9"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Tammy Livziey </w:t>
            </w:r>
          </w:p>
        </w:tc>
      </w:tr>
      <w:tr w:rsidR="000A2417" w:rsidRPr="000A2417" w14:paraId="0DCC9ABA" w14:textId="77777777" w:rsidTr="000A2417">
        <w:trPr>
          <w:trHeight w:val="410"/>
        </w:trPr>
        <w:tc>
          <w:tcPr>
            <w:tcW w:w="2250" w:type="dxa"/>
            <w:shd w:val="clear" w:color="auto" w:fill="auto"/>
            <w:vAlign w:val="center"/>
            <w:hideMark/>
          </w:tcPr>
          <w:p w14:paraId="66198BC7" w14:textId="77777777" w:rsidR="000A2417" w:rsidRPr="000A2417" w:rsidRDefault="000A2417" w:rsidP="002C4EC5">
            <w:pPr>
              <w:spacing w:line="240" w:lineRule="auto"/>
              <w:contextualSpacing/>
              <w:rPr>
                <w:sz w:val="26"/>
                <w:szCs w:val="26"/>
              </w:rPr>
            </w:pPr>
            <w:r w:rsidRPr="000A2417">
              <w:rPr>
                <w:rFonts w:eastAsia="Calibri"/>
                <w:sz w:val="26"/>
                <w:szCs w:val="26"/>
              </w:rPr>
              <w:t>C-2018-3005235</w:t>
            </w:r>
          </w:p>
        </w:tc>
        <w:tc>
          <w:tcPr>
            <w:tcW w:w="6570" w:type="dxa"/>
            <w:shd w:val="clear" w:color="auto" w:fill="auto"/>
            <w:vAlign w:val="center"/>
            <w:hideMark/>
          </w:tcPr>
          <w:p w14:paraId="7D1445F4" w14:textId="77777777" w:rsidR="000A2417" w:rsidRPr="000A2417" w:rsidRDefault="000A2417" w:rsidP="002C4EC5">
            <w:pPr>
              <w:spacing w:line="240" w:lineRule="auto"/>
              <w:contextualSpacing/>
              <w:rPr>
                <w:sz w:val="26"/>
                <w:szCs w:val="26"/>
              </w:rPr>
            </w:pPr>
            <w:r w:rsidRPr="000A2417">
              <w:rPr>
                <w:rFonts w:eastAsia="Calibri"/>
                <w:sz w:val="26"/>
                <w:szCs w:val="26"/>
              </w:rPr>
              <w:t>Rafael Rodriguez</w:t>
            </w:r>
          </w:p>
        </w:tc>
      </w:tr>
      <w:tr w:rsidR="000A2417" w:rsidRPr="000A2417" w14:paraId="455361B5" w14:textId="77777777" w:rsidTr="000A2417">
        <w:trPr>
          <w:trHeight w:val="340"/>
        </w:trPr>
        <w:tc>
          <w:tcPr>
            <w:tcW w:w="2250" w:type="dxa"/>
            <w:shd w:val="clear" w:color="auto" w:fill="auto"/>
            <w:vAlign w:val="center"/>
            <w:hideMark/>
          </w:tcPr>
          <w:p w14:paraId="7D58996C" w14:textId="77777777" w:rsidR="000A2417" w:rsidRPr="000A2417" w:rsidRDefault="000A2417" w:rsidP="002C4EC5">
            <w:pPr>
              <w:spacing w:line="240" w:lineRule="auto"/>
              <w:contextualSpacing/>
              <w:rPr>
                <w:sz w:val="26"/>
                <w:szCs w:val="26"/>
              </w:rPr>
            </w:pPr>
            <w:r w:rsidRPr="000A2417">
              <w:rPr>
                <w:rFonts w:eastAsia="Calibri"/>
                <w:sz w:val="26"/>
                <w:szCs w:val="26"/>
              </w:rPr>
              <w:t>C-2018-3005288</w:t>
            </w:r>
          </w:p>
        </w:tc>
        <w:tc>
          <w:tcPr>
            <w:tcW w:w="6570" w:type="dxa"/>
            <w:shd w:val="clear" w:color="auto" w:fill="auto"/>
            <w:vAlign w:val="center"/>
            <w:hideMark/>
          </w:tcPr>
          <w:p w14:paraId="4B02CBDB"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Paul Nice </w:t>
            </w:r>
          </w:p>
        </w:tc>
      </w:tr>
      <w:tr w:rsidR="000A2417" w:rsidRPr="000A2417" w14:paraId="576BA812" w14:textId="77777777" w:rsidTr="000A2417">
        <w:trPr>
          <w:trHeight w:val="340"/>
        </w:trPr>
        <w:tc>
          <w:tcPr>
            <w:tcW w:w="2250" w:type="dxa"/>
            <w:shd w:val="clear" w:color="auto" w:fill="auto"/>
            <w:vAlign w:val="center"/>
            <w:hideMark/>
          </w:tcPr>
          <w:p w14:paraId="2AD82BBB" w14:textId="77777777" w:rsidR="000A2417" w:rsidRPr="000A2417" w:rsidRDefault="000A2417" w:rsidP="002C4EC5">
            <w:pPr>
              <w:spacing w:line="240" w:lineRule="auto"/>
              <w:contextualSpacing/>
              <w:rPr>
                <w:sz w:val="26"/>
                <w:szCs w:val="26"/>
              </w:rPr>
            </w:pPr>
            <w:r w:rsidRPr="000A2417">
              <w:rPr>
                <w:rFonts w:eastAsia="Calibri"/>
                <w:sz w:val="26"/>
                <w:szCs w:val="26"/>
              </w:rPr>
              <w:t>C-2018-3005295</w:t>
            </w:r>
          </w:p>
        </w:tc>
        <w:tc>
          <w:tcPr>
            <w:tcW w:w="6570" w:type="dxa"/>
            <w:shd w:val="clear" w:color="auto" w:fill="auto"/>
            <w:vAlign w:val="center"/>
            <w:hideMark/>
          </w:tcPr>
          <w:p w14:paraId="421269A5" w14:textId="77777777" w:rsidR="000A2417" w:rsidRPr="000A2417" w:rsidRDefault="000A2417" w:rsidP="002C4EC5">
            <w:pPr>
              <w:spacing w:line="240" w:lineRule="auto"/>
              <w:contextualSpacing/>
              <w:rPr>
                <w:sz w:val="26"/>
                <w:szCs w:val="26"/>
              </w:rPr>
            </w:pPr>
            <w:r w:rsidRPr="000A2417">
              <w:rPr>
                <w:rFonts w:eastAsia="Calibri"/>
                <w:sz w:val="26"/>
                <w:szCs w:val="26"/>
              </w:rPr>
              <w:t>Colleen Essick</w:t>
            </w:r>
          </w:p>
        </w:tc>
      </w:tr>
      <w:tr w:rsidR="000A2417" w:rsidRPr="000A2417" w14:paraId="01023A4B" w14:textId="77777777" w:rsidTr="000A2417">
        <w:trPr>
          <w:trHeight w:val="340"/>
        </w:trPr>
        <w:tc>
          <w:tcPr>
            <w:tcW w:w="2250" w:type="dxa"/>
            <w:shd w:val="clear" w:color="auto" w:fill="auto"/>
            <w:vAlign w:val="center"/>
            <w:hideMark/>
          </w:tcPr>
          <w:p w14:paraId="581B9F2B" w14:textId="77777777" w:rsidR="000A2417" w:rsidRPr="000A2417" w:rsidRDefault="000A2417" w:rsidP="002C4EC5">
            <w:pPr>
              <w:spacing w:line="240" w:lineRule="auto"/>
              <w:contextualSpacing/>
              <w:rPr>
                <w:sz w:val="26"/>
                <w:szCs w:val="26"/>
              </w:rPr>
            </w:pPr>
            <w:r w:rsidRPr="000A2417">
              <w:rPr>
                <w:rFonts w:eastAsia="Calibri"/>
                <w:sz w:val="26"/>
                <w:szCs w:val="26"/>
              </w:rPr>
              <w:t>C-2018-3005320</w:t>
            </w:r>
          </w:p>
        </w:tc>
        <w:tc>
          <w:tcPr>
            <w:tcW w:w="6570" w:type="dxa"/>
            <w:shd w:val="clear" w:color="auto" w:fill="auto"/>
            <w:vAlign w:val="center"/>
            <w:hideMark/>
          </w:tcPr>
          <w:p w14:paraId="36B60C4A" w14:textId="77777777" w:rsidR="000A2417" w:rsidRPr="000A2417" w:rsidRDefault="000A2417" w:rsidP="002C4EC5">
            <w:pPr>
              <w:spacing w:line="240" w:lineRule="auto"/>
              <w:contextualSpacing/>
              <w:rPr>
                <w:sz w:val="26"/>
                <w:szCs w:val="26"/>
              </w:rPr>
            </w:pPr>
            <w:r w:rsidRPr="000A2417">
              <w:rPr>
                <w:rFonts w:eastAsia="Calibri"/>
                <w:sz w:val="26"/>
                <w:szCs w:val="26"/>
              </w:rPr>
              <w:t>Sylvia Habacker</w:t>
            </w:r>
          </w:p>
        </w:tc>
      </w:tr>
      <w:tr w:rsidR="000A2417" w:rsidRPr="000A2417" w14:paraId="644F3CCC" w14:textId="77777777" w:rsidTr="000A2417">
        <w:trPr>
          <w:trHeight w:val="340"/>
        </w:trPr>
        <w:tc>
          <w:tcPr>
            <w:tcW w:w="2250" w:type="dxa"/>
            <w:shd w:val="clear" w:color="auto" w:fill="auto"/>
            <w:vAlign w:val="center"/>
            <w:hideMark/>
          </w:tcPr>
          <w:p w14:paraId="4D8306B1" w14:textId="77777777" w:rsidR="000A2417" w:rsidRPr="000A2417" w:rsidRDefault="000A2417" w:rsidP="002C4EC5">
            <w:pPr>
              <w:spacing w:line="240" w:lineRule="auto"/>
              <w:contextualSpacing/>
              <w:rPr>
                <w:sz w:val="26"/>
                <w:szCs w:val="26"/>
              </w:rPr>
            </w:pPr>
            <w:r w:rsidRPr="000A2417">
              <w:rPr>
                <w:rFonts w:eastAsia="Calibri"/>
                <w:sz w:val="26"/>
                <w:szCs w:val="26"/>
              </w:rPr>
              <w:t>C-2018-3005322</w:t>
            </w:r>
          </w:p>
        </w:tc>
        <w:tc>
          <w:tcPr>
            <w:tcW w:w="6570" w:type="dxa"/>
            <w:shd w:val="clear" w:color="auto" w:fill="auto"/>
            <w:vAlign w:val="center"/>
            <w:hideMark/>
          </w:tcPr>
          <w:p w14:paraId="36A49E07" w14:textId="77777777" w:rsidR="000A2417" w:rsidRPr="000A2417" w:rsidRDefault="000A2417" w:rsidP="002C4EC5">
            <w:pPr>
              <w:spacing w:line="240" w:lineRule="auto"/>
              <w:contextualSpacing/>
              <w:rPr>
                <w:sz w:val="26"/>
                <w:szCs w:val="26"/>
              </w:rPr>
            </w:pPr>
            <w:r w:rsidRPr="000A2417">
              <w:rPr>
                <w:rFonts w:eastAsia="Calibri"/>
                <w:sz w:val="26"/>
                <w:szCs w:val="26"/>
              </w:rPr>
              <w:t>Stephen DeLeo</w:t>
            </w:r>
          </w:p>
        </w:tc>
      </w:tr>
      <w:tr w:rsidR="000A2417" w:rsidRPr="000A2417" w14:paraId="1E2B1F57" w14:textId="77777777" w:rsidTr="000A2417">
        <w:trPr>
          <w:trHeight w:val="340"/>
        </w:trPr>
        <w:tc>
          <w:tcPr>
            <w:tcW w:w="2250" w:type="dxa"/>
            <w:shd w:val="clear" w:color="auto" w:fill="auto"/>
            <w:vAlign w:val="center"/>
            <w:hideMark/>
          </w:tcPr>
          <w:p w14:paraId="4EDC382C" w14:textId="77777777" w:rsidR="000A2417" w:rsidRPr="000A2417" w:rsidRDefault="000A2417" w:rsidP="002C4EC5">
            <w:pPr>
              <w:spacing w:line="240" w:lineRule="auto"/>
              <w:contextualSpacing/>
              <w:rPr>
                <w:sz w:val="26"/>
                <w:szCs w:val="26"/>
              </w:rPr>
            </w:pPr>
            <w:r w:rsidRPr="000A2417">
              <w:rPr>
                <w:rFonts w:eastAsia="Calibri"/>
                <w:sz w:val="26"/>
                <w:szCs w:val="26"/>
              </w:rPr>
              <w:t>C-2018-3005327</w:t>
            </w:r>
          </w:p>
        </w:tc>
        <w:tc>
          <w:tcPr>
            <w:tcW w:w="6570" w:type="dxa"/>
            <w:shd w:val="clear" w:color="auto" w:fill="auto"/>
            <w:vAlign w:val="center"/>
            <w:hideMark/>
          </w:tcPr>
          <w:p w14:paraId="7163D68F" w14:textId="77777777" w:rsidR="000A2417" w:rsidRPr="000A2417" w:rsidRDefault="000A2417" w:rsidP="002C4EC5">
            <w:pPr>
              <w:spacing w:line="240" w:lineRule="auto"/>
              <w:contextualSpacing/>
              <w:rPr>
                <w:sz w:val="26"/>
                <w:szCs w:val="26"/>
              </w:rPr>
            </w:pPr>
            <w:r w:rsidRPr="000A2417">
              <w:rPr>
                <w:rFonts w:eastAsia="Calibri"/>
                <w:sz w:val="26"/>
                <w:szCs w:val="26"/>
              </w:rPr>
              <w:t>Joseph &amp; Karen Calvacca</w:t>
            </w:r>
          </w:p>
        </w:tc>
      </w:tr>
      <w:tr w:rsidR="000A2417" w:rsidRPr="000A2417" w14:paraId="2BAEFDD7" w14:textId="77777777" w:rsidTr="000A2417">
        <w:trPr>
          <w:trHeight w:val="340"/>
        </w:trPr>
        <w:tc>
          <w:tcPr>
            <w:tcW w:w="2250" w:type="dxa"/>
            <w:shd w:val="clear" w:color="auto" w:fill="auto"/>
            <w:vAlign w:val="center"/>
            <w:hideMark/>
          </w:tcPr>
          <w:p w14:paraId="775E1BF4" w14:textId="77777777" w:rsidR="000A2417" w:rsidRPr="000A2417" w:rsidRDefault="000A2417" w:rsidP="002C4EC5">
            <w:pPr>
              <w:spacing w:line="240" w:lineRule="auto"/>
              <w:contextualSpacing/>
              <w:rPr>
                <w:sz w:val="26"/>
                <w:szCs w:val="26"/>
              </w:rPr>
            </w:pPr>
            <w:r w:rsidRPr="000A2417">
              <w:rPr>
                <w:rFonts w:eastAsia="Calibri"/>
                <w:sz w:val="26"/>
                <w:szCs w:val="26"/>
              </w:rPr>
              <w:t>C-2018-3005329</w:t>
            </w:r>
          </w:p>
        </w:tc>
        <w:tc>
          <w:tcPr>
            <w:tcW w:w="6570" w:type="dxa"/>
            <w:shd w:val="clear" w:color="auto" w:fill="auto"/>
            <w:vAlign w:val="center"/>
            <w:hideMark/>
          </w:tcPr>
          <w:p w14:paraId="70634730"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William Finn </w:t>
            </w:r>
          </w:p>
        </w:tc>
      </w:tr>
      <w:tr w:rsidR="000A2417" w:rsidRPr="000A2417" w14:paraId="742FB816" w14:textId="77777777" w:rsidTr="000A2417">
        <w:trPr>
          <w:trHeight w:val="340"/>
        </w:trPr>
        <w:tc>
          <w:tcPr>
            <w:tcW w:w="2250" w:type="dxa"/>
            <w:shd w:val="clear" w:color="auto" w:fill="auto"/>
            <w:vAlign w:val="center"/>
            <w:hideMark/>
          </w:tcPr>
          <w:p w14:paraId="734CEF41" w14:textId="77777777" w:rsidR="000A2417" w:rsidRPr="000A2417" w:rsidRDefault="000A2417" w:rsidP="002C4EC5">
            <w:pPr>
              <w:spacing w:line="240" w:lineRule="auto"/>
              <w:contextualSpacing/>
              <w:rPr>
                <w:sz w:val="26"/>
                <w:szCs w:val="26"/>
              </w:rPr>
            </w:pPr>
            <w:r w:rsidRPr="000A2417">
              <w:rPr>
                <w:rFonts w:eastAsia="Calibri"/>
                <w:sz w:val="26"/>
                <w:szCs w:val="26"/>
              </w:rPr>
              <w:t>C-2018-3005338</w:t>
            </w:r>
          </w:p>
        </w:tc>
        <w:tc>
          <w:tcPr>
            <w:tcW w:w="6570" w:type="dxa"/>
            <w:shd w:val="clear" w:color="auto" w:fill="auto"/>
            <w:vAlign w:val="center"/>
            <w:hideMark/>
          </w:tcPr>
          <w:p w14:paraId="69837BC2"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Michael McKiernan </w:t>
            </w:r>
          </w:p>
        </w:tc>
      </w:tr>
      <w:tr w:rsidR="000A2417" w:rsidRPr="000A2417" w14:paraId="0EB399CA" w14:textId="77777777" w:rsidTr="000A2417">
        <w:trPr>
          <w:trHeight w:val="340"/>
        </w:trPr>
        <w:tc>
          <w:tcPr>
            <w:tcW w:w="2250" w:type="dxa"/>
            <w:shd w:val="clear" w:color="auto" w:fill="auto"/>
            <w:vAlign w:val="center"/>
            <w:hideMark/>
          </w:tcPr>
          <w:p w14:paraId="65B6126F" w14:textId="77777777" w:rsidR="000A2417" w:rsidRPr="000A2417" w:rsidRDefault="000A2417" w:rsidP="002C4EC5">
            <w:pPr>
              <w:spacing w:line="240" w:lineRule="auto"/>
              <w:contextualSpacing/>
              <w:rPr>
                <w:sz w:val="26"/>
                <w:szCs w:val="26"/>
              </w:rPr>
            </w:pPr>
            <w:r w:rsidRPr="000A2417">
              <w:rPr>
                <w:rFonts w:eastAsia="Calibri"/>
                <w:sz w:val="26"/>
                <w:szCs w:val="26"/>
              </w:rPr>
              <w:t>C-2018-3005347</w:t>
            </w:r>
          </w:p>
        </w:tc>
        <w:tc>
          <w:tcPr>
            <w:tcW w:w="6570" w:type="dxa"/>
            <w:shd w:val="clear" w:color="auto" w:fill="auto"/>
            <w:vAlign w:val="center"/>
            <w:hideMark/>
          </w:tcPr>
          <w:p w14:paraId="14EE22A4"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Desiree Kreidler </w:t>
            </w:r>
          </w:p>
        </w:tc>
      </w:tr>
      <w:tr w:rsidR="000A2417" w:rsidRPr="000A2417" w14:paraId="1C21ED35" w14:textId="77777777" w:rsidTr="000A2417">
        <w:trPr>
          <w:trHeight w:val="340"/>
        </w:trPr>
        <w:tc>
          <w:tcPr>
            <w:tcW w:w="2250" w:type="dxa"/>
            <w:shd w:val="clear" w:color="auto" w:fill="auto"/>
            <w:vAlign w:val="center"/>
            <w:hideMark/>
          </w:tcPr>
          <w:p w14:paraId="1B1F944E" w14:textId="77777777" w:rsidR="000A2417" w:rsidRPr="000A2417" w:rsidRDefault="000A2417" w:rsidP="002C4EC5">
            <w:pPr>
              <w:spacing w:line="240" w:lineRule="auto"/>
              <w:contextualSpacing/>
              <w:rPr>
                <w:sz w:val="26"/>
                <w:szCs w:val="26"/>
              </w:rPr>
            </w:pPr>
            <w:r w:rsidRPr="000A2417">
              <w:rPr>
                <w:rFonts w:eastAsia="Calibri"/>
                <w:sz w:val="26"/>
                <w:szCs w:val="26"/>
              </w:rPr>
              <w:t>C-2018-3005406</w:t>
            </w:r>
          </w:p>
        </w:tc>
        <w:tc>
          <w:tcPr>
            <w:tcW w:w="6570" w:type="dxa"/>
            <w:shd w:val="clear" w:color="auto" w:fill="auto"/>
            <w:vAlign w:val="center"/>
            <w:hideMark/>
          </w:tcPr>
          <w:p w14:paraId="25893779" w14:textId="77777777" w:rsidR="000A2417" w:rsidRPr="000A2417" w:rsidRDefault="000A2417" w:rsidP="002C4EC5">
            <w:pPr>
              <w:spacing w:line="240" w:lineRule="auto"/>
              <w:contextualSpacing/>
              <w:rPr>
                <w:sz w:val="26"/>
                <w:szCs w:val="26"/>
              </w:rPr>
            </w:pPr>
            <w:r w:rsidRPr="000A2417">
              <w:rPr>
                <w:rFonts w:eastAsia="Calibri"/>
                <w:sz w:val="26"/>
                <w:szCs w:val="26"/>
              </w:rPr>
              <w:t>Brian Edwards</w:t>
            </w:r>
          </w:p>
        </w:tc>
      </w:tr>
      <w:tr w:rsidR="000A2417" w:rsidRPr="000A2417" w14:paraId="3FA253A1" w14:textId="77777777" w:rsidTr="000A2417">
        <w:trPr>
          <w:trHeight w:val="340"/>
        </w:trPr>
        <w:tc>
          <w:tcPr>
            <w:tcW w:w="2250" w:type="dxa"/>
            <w:shd w:val="clear" w:color="auto" w:fill="auto"/>
            <w:vAlign w:val="center"/>
            <w:hideMark/>
          </w:tcPr>
          <w:p w14:paraId="5C95D255" w14:textId="77777777" w:rsidR="000A2417" w:rsidRPr="000A2417" w:rsidRDefault="000A2417" w:rsidP="002C4EC5">
            <w:pPr>
              <w:spacing w:line="240" w:lineRule="auto"/>
              <w:contextualSpacing/>
              <w:rPr>
                <w:sz w:val="26"/>
                <w:szCs w:val="26"/>
              </w:rPr>
            </w:pPr>
            <w:r w:rsidRPr="000A2417">
              <w:rPr>
                <w:rFonts w:eastAsia="Calibri"/>
                <w:sz w:val="26"/>
                <w:szCs w:val="26"/>
              </w:rPr>
              <w:lastRenderedPageBreak/>
              <w:t>C-2018-3005414</w:t>
            </w:r>
          </w:p>
        </w:tc>
        <w:tc>
          <w:tcPr>
            <w:tcW w:w="6570" w:type="dxa"/>
            <w:shd w:val="clear" w:color="auto" w:fill="auto"/>
            <w:vAlign w:val="center"/>
            <w:hideMark/>
          </w:tcPr>
          <w:p w14:paraId="7AB2FD0A"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Edward Levy </w:t>
            </w:r>
          </w:p>
        </w:tc>
      </w:tr>
      <w:tr w:rsidR="000A2417" w:rsidRPr="000A2417" w14:paraId="4145CE66" w14:textId="77777777" w:rsidTr="000A2417">
        <w:trPr>
          <w:trHeight w:val="340"/>
        </w:trPr>
        <w:tc>
          <w:tcPr>
            <w:tcW w:w="2250" w:type="dxa"/>
            <w:shd w:val="clear" w:color="auto" w:fill="auto"/>
            <w:vAlign w:val="center"/>
            <w:hideMark/>
          </w:tcPr>
          <w:p w14:paraId="516F3003" w14:textId="77777777" w:rsidR="000A2417" w:rsidRPr="000A2417" w:rsidRDefault="000A2417" w:rsidP="002C4EC5">
            <w:pPr>
              <w:spacing w:line="240" w:lineRule="auto"/>
              <w:contextualSpacing/>
              <w:rPr>
                <w:sz w:val="26"/>
                <w:szCs w:val="26"/>
              </w:rPr>
            </w:pPr>
            <w:r w:rsidRPr="000A2417">
              <w:rPr>
                <w:rFonts w:eastAsia="Calibri"/>
                <w:sz w:val="26"/>
                <w:szCs w:val="26"/>
              </w:rPr>
              <w:t>C-2018-3005415</w:t>
            </w:r>
          </w:p>
        </w:tc>
        <w:tc>
          <w:tcPr>
            <w:tcW w:w="6570" w:type="dxa"/>
            <w:shd w:val="clear" w:color="auto" w:fill="auto"/>
            <w:vAlign w:val="center"/>
            <w:hideMark/>
          </w:tcPr>
          <w:p w14:paraId="3191CBD7"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Patricia Manning </w:t>
            </w:r>
          </w:p>
        </w:tc>
      </w:tr>
      <w:tr w:rsidR="000A2417" w:rsidRPr="000A2417" w14:paraId="471AB96F" w14:textId="77777777" w:rsidTr="000A2417">
        <w:trPr>
          <w:trHeight w:val="340"/>
        </w:trPr>
        <w:tc>
          <w:tcPr>
            <w:tcW w:w="2250" w:type="dxa"/>
            <w:shd w:val="clear" w:color="auto" w:fill="auto"/>
            <w:vAlign w:val="center"/>
            <w:hideMark/>
          </w:tcPr>
          <w:p w14:paraId="2E0BE9FC" w14:textId="77777777" w:rsidR="000A2417" w:rsidRPr="000A2417" w:rsidRDefault="000A2417" w:rsidP="002C4EC5">
            <w:pPr>
              <w:spacing w:line="240" w:lineRule="auto"/>
              <w:contextualSpacing/>
              <w:rPr>
                <w:sz w:val="26"/>
                <w:szCs w:val="26"/>
              </w:rPr>
            </w:pPr>
            <w:r w:rsidRPr="000A2417">
              <w:rPr>
                <w:rFonts w:eastAsia="Calibri"/>
                <w:sz w:val="26"/>
                <w:szCs w:val="26"/>
              </w:rPr>
              <w:t>C-2018-3005416</w:t>
            </w:r>
          </w:p>
        </w:tc>
        <w:tc>
          <w:tcPr>
            <w:tcW w:w="6570" w:type="dxa"/>
            <w:shd w:val="clear" w:color="auto" w:fill="auto"/>
            <w:vAlign w:val="center"/>
            <w:hideMark/>
          </w:tcPr>
          <w:p w14:paraId="1A1C349A"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Catherine Palicki </w:t>
            </w:r>
          </w:p>
        </w:tc>
      </w:tr>
      <w:tr w:rsidR="000A2417" w:rsidRPr="000A2417" w14:paraId="52618AA0" w14:textId="77777777" w:rsidTr="000A2417">
        <w:trPr>
          <w:trHeight w:val="340"/>
        </w:trPr>
        <w:tc>
          <w:tcPr>
            <w:tcW w:w="2250" w:type="dxa"/>
            <w:shd w:val="clear" w:color="auto" w:fill="auto"/>
            <w:vAlign w:val="center"/>
            <w:hideMark/>
          </w:tcPr>
          <w:p w14:paraId="6748A7B8" w14:textId="77777777" w:rsidR="000A2417" w:rsidRPr="000A2417" w:rsidRDefault="000A2417" w:rsidP="002C4EC5">
            <w:pPr>
              <w:spacing w:line="240" w:lineRule="auto"/>
              <w:contextualSpacing/>
              <w:rPr>
                <w:sz w:val="26"/>
                <w:szCs w:val="26"/>
              </w:rPr>
            </w:pPr>
            <w:r w:rsidRPr="000A2417">
              <w:rPr>
                <w:rFonts w:eastAsia="Calibri"/>
                <w:sz w:val="26"/>
                <w:szCs w:val="26"/>
              </w:rPr>
              <w:t>C-2018-3005467</w:t>
            </w:r>
          </w:p>
        </w:tc>
        <w:tc>
          <w:tcPr>
            <w:tcW w:w="6570" w:type="dxa"/>
            <w:shd w:val="clear" w:color="auto" w:fill="auto"/>
            <w:vAlign w:val="center"/>
            <w:hideMark/>
          </w:tcPr>
          <w:p w14:paraId="69573A39"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Claire Mann </w:t>
            </w:r>
          </w:p>
        </w:tc>
      </w:tr>
      <w:tr w:rsidR="000A2417" w:rsidRPr="000A2417" w14:paraId="4FF9E2AD" w14:textId="77777777" w:rsidTr="000A2417">
        <w:trPr>
          <w:trHeight w:val="340"/>
        </w:trPr>
        <w:tc>
          <w:tcPr>
            <w:tcW w:w="2250" w:type="dxa"/>
            <w:shd w:val="clear" w:color="auto" w:fill="auto"/>
            <w:vAlign w:val="center"/>
            <w:hideMark/>
          </w:tcPr>
          <w:p w14:paraId="031007E0" w14:textId="77777777" w:rsidR="000A2417" w:rsidRPr="000A2417" w:rsidRDefault="000A2417" w:rsidP="002C4EC5">
            <w:pPr>
              <w:spacing w:line="240" w:lineRule="auto"/>
              <w:contextualSpacing/>
              <w:rPr>
                <w:sz w:val="26"/>
                <w:szCs w:val="26"/>
              </w:rPr>
            </w:pPr>
            <w:r w:rsidRPr="000A2417">
              <w:rPr>
                <w:rFonts w:eastAsia="Calibri"/>
                <w:sz w:val="26"/>
                <w:szCs w:val="26"/>
              </w:rPr>
              <w:t>C-2018-3005471</w:t>
            </w:r>
          </w:p>
        </w:tc>
        <w:tc>
          <w:tcPr>
            <w:tcW w:w="6570" w:type="dxa"/>
            <w:shd w:val="clear" w:color="auto" w:fill="auto"/>
            <w:vAlign w:val="center"/>
            <w:hideMark/>
          </w:tcPr>
          <w:p w14:paraId="190AD77F"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Jeri Ramagnano </w:t>
            </w:r>
          </w:p>
        </w:tc>
      </w:tr>
      <w:tr w:rsidR="000A2417" w:rsidRPr="000A2417" w14:paraId="268F81BF" w14:textId="77777777" w:rsidTr="000A2417">
        <w:trPr>
          <w:trHeight w:val="340"/>
        </w:trPr>
        <w:tc>
          <w:tcPr>
            <w:tcW w:w="2250" w:type="dxa"/>
            <w:shd w:val="clear" w:color="auto" w:fill="auto"/>
            <w:vAlign w:val="center"/>
            <w:hideMark/>
          </w:tcPr>
          <w:p w14:paraId="4079F8E4" w14:textId="77777777" w:rsidR="000A2417" w:rsidRPr="000A2417" w:rsidRDefault="000A2417" w:rsidP="002C4EC5">
            <w:pPr>
              <w:spacing w:line="240" w:lineRule="auto"/>
              <w:contextualSpacing/>
              <w:rPr>
                <w:sz w:val="26"/>
                <w:szCs w:val="26"/>
              </w:rPr>
            </w:pPr>
            <w:r w:rsidRPr="000A2417">
              <w:rPr>
                <w:rFonts w:eastAsia="Calibri"/>
                <w:sz w:val="26"/>
                <w:szCs w:val="26"/>
              </w:rPr>
              <w:t>C-2018-3005521</w:t>
            </w:r>
          </w:p>
        </w:tc>
        <w:tc>
          <w:tcPr>
            <w:tcW w:w="6570" w:type="dxa"/>
            <w:shd w:val="clear" w:color="auto" w:fill="auto"/>
            <w:vAlign w:val="center"/>
            <w:hideMark/>
          </w:tcPr>
          <w:p w14:paraId="224E07D7"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William Smith </w:t>
            </w:r>
          </w:p>
        </w:tc>
      </w:tr>
      <w:tr w:rsidR="000A2417" w:rsidRPr="000A2417" w14:paraId="4FD8A2B9" w14:textId="77777777" w:rsidTr="000A2417">
        <w:trPr>
          <w:trHeight w:val="340"/>
        </w:trPr>
        <w:tc>
          <w:tcPr>
            <w:tcW w:w="2250" w:type="dxa"/>
            <w:shd w:val="clear" w:color="auto" w:fill="auto"/>
            <w:vAlign w:val="center"/>
            <w:hideMark/>
          </w:tcPr>
          <w:p w14:paraId="6A715087" w14:textId="77777777" w:rsidR="000A2417" w:rsidRPr="000A2417" w:rsidRDefault="000A2417" w:rsidP="002C4EC5">
            <w:pPr>
              <w:spacing w:line="240" w:lineRule="auto"/>
              <w:contextualSpacing/>
              <w:rPr>
                <w:sz w:val="26"/>
                <w:szCs w:val="26"/>
              </w:rPr>
            </w:pPr>
            <w:r w:rsidRPr="000A2417">
              <w:rPr>
                <w:rFonts w:eastAsia="Calibri"/>
                <w:sz w:val="26"/>
                <w:szCs w:val="26"/>
              </w:rPr>
              <w:t>C-2018-3005651</w:t>
            </w:r>
          </w:p>
        </w:tc>
        <w:tc>
          <w:tcPr>
            <w:tcW w:w="6570" w:type="dxa"/>
            <w:shd w:val="clear" w:color="auto" w:fill="auto"/>
            <w:vAlign w:val="center"/>
            <w:hideMark/>
          </w:tcPr>
          <w:p w14:paraId="182B4A93"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Robert Curtius </w:t>
            </w:r>
          </w:p>
        </w:tc>
      </w:tr>
      <w:tr w:rsidR="000A2417" w:rsidRPr="000A2417" w14:paraId="7AAB83CF" w14:textId="77777777" w:rsidTr="000A2417">
        <w:trPr>
          <w:trHeight w:val="340"/>
        </w:trPr>
        <w:tc>
          <w:tcPr>
            <w:tcW w:w="2250" w:type="dxa"/>
            <w:shd w:val="clear" w:color="auto" w:fill="auto"/>
            <w:vAlign w:val="center"/>
            <w:hideMark/>
          </w:tcPr>
          <w:p w14:paraId="44E76B53" w14:textId="77777777" w:rsidR="000A2417" w:rsidRPr="000A2417" w:rsidRDefault="000A2417" w:rsidP="002C4EC5">
            <w:pPr>
              <w:spacing w:line="240" w:lineRule="auto"/>
              <w:contextualSpacing/>
              <w:rPr>
                <w:sz w:val="26"/>
                <w:szCs w:val="26"/>
              </w:rPr>
            </w:pPr>
            <w:r w:rsidRPr="000A2417">
              <w:rPr>
                <w:rFonts w:eastAsia="Calibri"/>
                <w:sz w:val="26"/>
                <w:szCs w:val="26"/>
              </w:rPr>
              <w:t>C-2018-3005661</w:t>
            </w:r>
          </w:p>
        </w:tc>
        <w:tc>
          <w:tcPr>
            <w:tcW w:w="6570" w:type="dxa"/>
            <w:shd w:val="clear" w:color="auto" w:fill="auto"/>
            <w:vAlign w:val="center"/>
            <w:hideMark/>
          </w:tcPr>
          <w:p w14:paraId="7D0D1A01" w14:textId="77777777" w:rsidR="000A2417" w:rsidRPr="000A2417" w:rsidRDefault="000A2417" w:rsidP="002C4EC5">
            <w:pPr>
              <w:spacing w:line="240" w:lineRule="auto"/>
              <w:contextualSpacing/>
              <w:rPr>
                <w:sz w:val="26"/>
                <w:szCs w:val="26"/>
              </w:rPr>
            </w:pPr>
            <w:r w:rsidRPr="000A2417">
              <w:rPr>
                <w:rFonts w:eastAsia="Calibri"/>
                <w:sz w:val="26"/>
                <w:szCs w:val="26"/>
              </w:rPr>
              <w:t>Kimberlyann King</w:t>
            </w:r>
          </w:p>
        </w:tc>
      </w:tr>
      <w:tr w:rsidR="000A2417" w:rsidRPr="000A2417" w14:paraId="213869EC" w14:textId="77777777" w:rsidTr="000A2417">
        <w:trPr>
          <w:trHeight w:val="340"/>
        </w:trPr>
        <w:tc>
          <w:tcPr>
            <w:tcW w:w="2250" w:type="dxa"/>
            <w:shd w:val="clear" w:color="auto" w:fill="auto"/>
            <w:vAlign w:val="center"/>
            <w:hideMark/>
          </w:tcPr>
          <w:p w14:paraId="20EC8853" w14:textId="77777777" w:rsidR="000A2417" w:rsidRPr="000A2417" w:rsidRDefault="000A2417" w:rsidP="002C4EC5">
            <w:pPr>
              <w:spacing w:line="240" w:lineRule="auto"/>
              <w:contextualSpacing/>
              <w:rPr>
                <w:sz w:val="26"/>
                <w:szCs w:val="26"/>
              </w:rPr>
            </w:pPr>
            <w:r w:rsidRPr="000A2417">
              <w:rPr>
                <w:rFonts w:eastAsia="Calibri"/>
                <w:sz w:val="26"/>
                <w:szCs w:val="26"/>
              </w:rPr>
              <w:t>C-2018-3005662</w:t>
            </w:r>
          </w:p>
        </w:tc>
        <w:tc>
          <w:tcPr>
            <w:tcW w:w="6570" w:type="dxa"/>
            <w:shd w:val="clear" w:color="auto" w:fill="auto"/>
            <w:vAlign w:val="center"/>
            <w:hideMark/>
          </w:tcPr>
          <w:p w14:paraId="2D368FD3"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Louis and Barbara Riccio </w:t>
            </w:r>
          </w:p>
        </w:tc>
      </w:tr>
      <w:tr w:rsidR="000A2417" w:rsidRPr="000A2417" w14:paraId="4BD930CD" w14:textId="77777777" w:rsidTr="000A2417">
        <w:trPr>
          <w:trHeight w:val="340"/>
        </w:trPr>
        <w:tc>
          <w:tcPr>
            <w:tcW w:w="2250" w:type="dxa"/>
            <w:shd w:val="clear" w:color="auto" w:fill="auto"/>
            <w:vAlign w:val="center"/>
            <w:hideMark/>
          </w:tcPr>
          <w:p w14:paraId="0C44352A" w14:textId="18712F5E" w:rsidR="000A2417" w:rsidRPr="000A2417" w:rsidRDefault="000A2417" w:rsidP="002C4EC5">
            <w:pPr>
              <w:spacing w:line="240" w:lineRule="auto"/>
              <w:contextualSpacing/>
              <w:rPr>
                <w:sz w:val="26"/>
                <w:szCs w:val="26"/>
              </w:rPr>
            </w:pPr>
            <w:r w:rsidRPr="000A2417">
              <w:rPr>
                <w:rFonts w:eastAsia="Calibri"/>
                <w:sz w:val="26"/>
                <w:szCs w:val="26"/>
              </w:rPr>
              <w:t>C-201</w:t>
            </w:r>
            <w:r w:rsidR="00863749">
              <w:rPr>
                <w:rFonts w:eastAsia="Calibri"/>
                <w:sz w:val="26"/>
                <w:szCs w:val="26"/>
              </w:rPr>
              <w:t>9</w:t>
            </w:r>
            <w:r w:rsidRPr="000A2417">
              <w:rPr>
                <w:rFonts w:eastAsia="Calibri"/>
                <w:sz w:val="26"/>
                <w:szCs w:val="26"/>
              </w:rPr>
              <w:t>-3008086</w:t>
            </w:r>
          </w:p>
        </w:tc>
        <w:tc>
          <w:tcPr>
            <w:tcW w:w="6570" w:type="dxa"/>
            <w:shd w:val="clear" w:color="auto" w:fill="auto"/>
            <w:vAlign w:val="center"/>
            <w:hideMark/>
          </w:tcPr>
          <w:p w14:paraId="2FB8491A" w14:textId="77777777" w:rsidR="000A2417" w:rsidRPr="000A2417" w:rsidRDefault="000A2417" w:rsidP="002C4EC5">
            <w:pPr>
              <w:spacing w:line="240" w:lineRule="auto"/>
              <w:contextualSpacing/>
              <w:rPr>
                <w:sz w:val="26"/>
                <w:szCs w:val="26"/>
              </w:rPr>
            </w:pPr>
            <w:r w:rsidRPr="000A2417">
              <w:rPr>
                <w:rFonts w:eastAsia="Calibri"/>
                <w:sz w:val="26"/>
                <w:szCs w:val="26"/>
              </w:rPr>
              <w:t xml:space="preserve">Dorothy Bruzgo </w:t>
            </w:r>
          </w:p>
        </w:tc>
      </w:tr>
    </w:tbl>
    <w:p w14:paraId="278CADE7" w14:textId="77777777" w:rsidR="00892425" w:rsidRPr="00892425" w:rsidRDefault="00892425" w:rsidP="002C4EC5">
      <w:pPr>
        <w:ind w:firstLine="1440"/>
        <w:contextualSpacing/>
        <w:rPr>
          <w:rFonts w:eastAsia="Calibri"/>
          <w:sz w:val="26"/>
          <w:szCs w:val="26"/>
        </w:rPr>
      </w:pPr>
      <w:bookmarkStart w:id="26" w:name="_Hlk2858583"/>
      <w:bookmarkEnd w:id="24"/>
    </w:p>
    <w:bookmarkEnd w:id="26"/>
    <w:p w14:paraId="67B21B84" w14:textId="67C47BF0" w:rsidR="00892425" w:rsidRPr="00892425" w:rsidRDefault="00892425" w:rsidP="002C4EC5">
      <w:pPr>
        <w:numPr>
          <w:ilvl w:val="0"/>
          <w:numId w:val="28"/>
        </w:numPr>
        <w:ind w:left="0" w:firstLine="1440"/>
        <w:contextualSpacing/>
        <w:rPr>
          <w:sz w:val="26"/>
          <w:szCs w:val="26"/>
        </w:rPr>
      </w:pPr>
      <w:r w:rsidRPr="00892425">
        <w:rPr>
          <w:sz w:val="26"/>
          <w:szCs w:val="26"/>
        </w:rPr>
        <w:t xml:space="preserve">That the </w:t>
      </w:r>
      <w:r w:rsidR="0098356A">
        <w:rPr>
          <w:sz w:val="26"/>
          <w:szCs w:val="26"/>
        </w:rPr>
        <w:t>Joint Merger Application</w:t>
      </w:r>
      <w:r w:rsidRPr="00892425">
        <w:rPr>
          <w:sz w:val="26"/>
          <w:szCs w:val="26"/>
        </w:rPr>
        <w:t xml:space="preserve"> of Aqua Pennsylvania, Inc. and Superior Water Company, Inc. at Docket Nos. A-2018-3004108 and A-2018-3004109 be approved.</w:t>
      </w:r>
    </w:p>
    <w:p w14:paraId="36D683FA" w14:textId="77777777" w:rsidR="00892425" w:rsidRPr="00892425" w:rsidRDefault="00892425" w:rsidP="002C4EC5">
      <w:pPr>
        <w:ind w:firstLine="1440"/>
        <w:contextualSpacing/>
        <w:rPr>
          <w:sz w:val="26"/>
          <w:szCs w:val="26"/>
        </w:rPr>
      </w:pPr>
    </w:p>
    <w:p w14:paraId="5E91CC4F" w14:textId="473F369C" w:rsidR="00892425" w:rsidRDefault="00892425" w:rsidP="002C4EC5">
      <w:pPr>
        <w:numPr>
          <w:ilvl w:val="0"/>
          <w:numId w:val="28"/>
        </w:numPr>
        <w:ind w:left="0" w:firstLine="1440"/>
        <w:contextualSpacing/>
        <w:rPr>
          <w:sz w:val="26"/>
          <w:szCs w:val="26"/>
        </w:rPr>
      </w:pPr>
      <w:r w:rsidRPr="00892425">
        <w:rPr>
          <w:sz w:val="26"/>
          <w:szCs w:val="26"/>
        </w:rPr>
        <w:t xml:space="preserve">That a Certificate of Public Convenience be issued pursuant to </w:t>
      </w:r>
      <w:r w:rsidR="008D1836">
        <w:rPr>
          <w:sz w:val="26"/>
          <w:szCs w:val="26"/>
        </w:rPr>
        <w:t>Section 1102(a)</w:t>
      </w:r>
      <w:r w:rsidR="00254A7D">
        <w:rPr>
          <w:sz w:val="26"/>
          <w:szCs w:val="26"/>
        </w:rPr>
        <w:t>(</w:t>
      </w:r>
      <w:r w:rsidR="008D1836">
        <w:rPr>
          <w:sz w:val="26"/>
          <w:szCs w:val="26"/>
        </w:rPr>
        <w:t>3</w:t>
      </w:r>
      <w:r w:rsidR="00254A7D">
        <w:rPr>
          <w:sz w:val="26"/>
          <w:szCs w:val="26"/>
        </w:rPr>
        <w:t>)</w:t>
      </w:r>
      <w:r w:rsidR="008D1836">
        <w:rPr>
          <w:sz w:val="26"/>
          <w:szCs w:val="26"/>
        </w:rPr>
        <w:t xml:space="preserve"> of the Public Utility Code, </w:t>
      </w:r>
      <w:r w:rsidRPr="00892425">
        <w:rPr>
          <w:sz w:val="26"/>
          <w:szCs w:val="26"/>
        </w:rPr>
        <w:t>66 Pa. C.S. § 1102(a)(3)</w:t>
      </w:r>
      <w:r w:rsidR="008D1836">
        <w:rPr>
          <w:sz w:val="26"/>
          <w:szCs w:val="26"/>
        </w:rPr>
        <w:t>,</w:t>
      </w:r>
      <w:r w:rsidRPr="00892425">
        <w:rPr>
          <w:sz w:val="26"/>
          <w:szCs w:val="26"/>
        </w:rPr>
        <w:t xml:space="preserve"> authorizing the transfer to Aqua Pennsylvania, Inc., through merger, of all property of Superior Water Company, Inc. used or useful in the public service.</w:t>
      </w:r>
    </w:p>
    <w:p w14:paraId="6DA24C03" w14:textId="77777777" w:rsidR="00E96395" w:rsidRPr="00892425" w:rsidRDefault="00E96395" w:rsidP="002C4EC5">
      <w:pPr>
        <w:ind w:left="1440"/>
        <w:contextualSpacing/>
        <w:rPr>
          <w:sz w:val="26"/>
          <w:szCs w:val="26"/>
        </w:rPr>
      </w:pPr>
    </w:p>
    <w:p w14:paraId="1A57DF46" w14:textId="5EE34817" w:rsidR="00892425" w:rsidRPr="00892425" w:rsidRDefault="00892425" w:rsidP="002C4EC5">
      <w:pPr>
        <w:numPr>
          <w:ilvl w:val="0"/>
          <w:numId w:val="28"/>
        </w:numPr>
        <w:ind w:left="0" w:firstLine="1440"/>
        <w:contextualSpacing/>
        <w:rPr>
          <w:sz w:val="26"/>
          <w:szCs w:val="26"/>
        </w:rPr>
      </w:pPr>
      <w:r w:rsidRPr="00892425">
        <w:rPr>
          <w:sz w:val="26"/>
          <w:szCs w:val="26"/>
        </w:rPr>
        <w:t xml:space="preserve">That a Certificate of Public Convenience be issued pursuant to </w:t>
      </w:r>
      <w:r w:rsidR="008D1836">
        <w:rPr>
          <w:sz w:val="26"/>
          <w:szCs w:val="26"/>
        </w:rPr>
        <w:t xml:space="preserve">Section 1102(a)(1)(i) of the Public Utility Code, </w:t>
      </w:r>
      <w:r w:rsidRPr="00892425">
        <w:rPr>
          <w:sz w:val="26"/>
          <w:szCs w:val="26"/>
        </w:rPr>
        <w:t>66 Pa. C.S. § 1102(a)(1)(i)</w:t>
      </w:r>
      <w:r w:rsidR="008D1836">
        <w:rPr>
          <w:sz w:val="26"/>
          <w:szCs w:val="26"/>
        </w:rPr>
        <w:t>,</w:t>
      </w:r>
      <w:r w:rsidRPr="00892425">
        <w:rPr>
          <w:sz w:val="26"/>
          <w:szCs w:val="26"/>
        </w:rPr>
        <w:t xml:space="preserve"> authorizing Aqua Pennsylvania, Inc. to begin to offer, render, furnish, or supply water service to the public in the territory currently served by Superior Water Company, Inc.</w:t>
      </w:r>
    </w:p>
    <w:p w14:paraId="381D3B79" w14:textId="77777777" w:rsidR="00892425" w:rsidRPr="00892425" w:rsidRDefault="00892425" w:rsidP="002C4EC5">
      <w:pPr>
        <w:ind w:firstLine="1440"/>
        <w:contextualSpacing/>
        <w:rPr>
          <w:sz w:val="26"/>
          <w:szCs w:val="26"/>
        </w:rPr>
      </w:pPr>
    </w:p>
    <w:p w14:paraId="547F6FE4" w14:textId="6254F58E" w:rsidR="00892425" w:rsidRPr="00892425" w:rsidRDefault="00892425" w:rsidP="002C4EC5">
      <w:pPr>
        <w:numPr>
          <w:ilvl w:val="0"/>
          <w:numId w:val="28"/>
        </w:numPr>
        <w:ind w:left="0" w:firstLine="1440"/>
        <w:contextualSpacing/>
        <w:rPr>
          <w:sz w:val="26"/>
          <w:szCs w:val="26"/>
        </w:rPr>
      </w:pPr>
      <w:r w:rsidRPr="00892425">
        <w:rPr>
          <w:sz w:val="26"/>
          <w:szCs w:val="26"/>
        </w:rPr>
        <w:t xml:space="preserve">That within </w:t>
      </w:r>
      <w:r w:rsidR="00CB43F8">
        <w:rPr>
          <w:sz w:val="26"/>
          <w:szCs w:val="26"/>
        </w:rPr>
        <w:t>thirty (</w:t>
      </w:r>
      <w:r w:rsidRPr="00892425">
        <w:rPr>
          <w:sz w:val="26"/>
          <w:szCs w:val="26"/>
        </w:rPr>
        <w:t>30</w:t>
      </w:r>
      <w:r w:rsidR="00CB43F8">
        <w:rPr>
          <w:sz w:val="26"/>
          <w:szCs w:val="26"/>
        </w:rPr>
        <w:t>)</w:t>
      </w:r>
      <w:r w:rsidRPr="00892425">
        <w:rPr>
          <w:sz w:val="26"/>
          <w:szCs w:val="26"/>
        </w:rPr>
        <w:t xml:space="preserve"> days following consummation of the transaction approved by Ordering Paragraph No. </w:t>
      </w:r>
      <w:r w:rsidR="00B24C10">
        <w:rPr>
          <w:sz w:val="26"/>
          <w:szCs w:val="26"/>
        </w:rPr>
        <w:t>15</w:t>
      </w:r>
      <w:r w:rsidRPr="00892425">
        <w:rPr>
          <w:sz w:val="26"/>
          <w:szCs w:val="26"/>
        </w:rPr>
        <w:t>, above, Aqua Pennsylvania, Inc. shall notify this Commission of the effective date of the merger.</w:t>
      </w:r>
    </w:p>
    <w:p w14:paraId="37F45CFD" w14:textId="77777777" w:rsidR="00892425" w:rsidRPr="00892425" w:rsidRDefault="00892425" w:rsidP="002C4EC5">
      <w:pPr>
        <w:ind w:firstLine="1440"/>
        <w:contextualSpacing/>
        <w:rPr>
          <w:sz w:val="26"/>
          <w:szCs w:val="26"/>
        </w:rPr>
      </w:pPr>
    </w:p>
    <w:p w14:paraId="34A0239D" w14:textId="2AC846E3" w:rsidR="00892425" w:rsidRPr="00892425" w:rsidRDefault="00892425" w:rsidP="002C4EC5">
      <w:pPr>
        <w:numPr>
          <w:ilvl w:val="0"/>
          <w:numId w:val="28"/>
        </w:numPr>
        <w:ind w:left="0" w:firstLine="1440"/>
        <w:contextualSpacing/>
        <w:rPr>
          <w:sz w:val="26"/>
          <w:szCs w:val="26"/>
        </w:rPr>
      </w:pPr>
      <w:r w:rsidRPr="00892425">
        <w:rPr>
          <w:sz w:val="26"/>
          <w:szCs w:val="26"/>
        </w:rPr>
        <w:t xml:space="preserve">That upon receiving the notice required by Ordering Paragraph </w:t>
      </w:r>
      <w:r w:rsidR="00CB43F8">
        <w:rPr>
          <w:sz w:val="26"/>
          <w:szCs w:val="26"/>
        </w:rPr>
        <w:t xml:space="preserve">No. </w:t>
      </w:r>
      <w:r w:rsidR="00B24C10">
        <w:rPr>
          <w:sz w:val="26"/>
          <w:szCs w:val="26"/>
        </w:rPr>
        <w:t>18</w:t>
      </w:r>
      <w:r w:rsidRPr="00892425">
        <w:rPr>
          <w:sz w:val="26"/>
          <w:szCs w:val="26"/>
        </w:rPr>
        <w:t xml:space="preserve">, above, a Certificate of Public Convenience </w:t>
      </w:r>
      <w:r w:rsidR="008D1836">
        <w:rPr>
          <w:sz w:val="26"/>
          <w:szCs w:val="26"/>
        </w:rPr>
        <w:t xml:space="preserve">shall </w:t>
      </w:r>
      <w:r w:rsidRPr="00892425">
        <w:rPr>
          <w:sz w:val="26"/>
          <w:szCs w:val="26"/>
        </w:rPr>
        <w:t xml:space="preserve">be issued pursuant to </w:t>
      </w:r>
      <w:r w:rsidR="008D1836">
        <w:rPr>
          <w:sz w:val="26"/>
          <w:szCs w:val="26"/>
        </w:rPr>
        <w:t xml:space="preserve">Section </w:t>
      </w:r>
      <w:r w:rsidR="008D1836">
        <w:rPr>
          <w:sz w:val="26"/>
          <w:szCs w:val="26"/>
        </w:rPr>
        <w:lastRenderedPageBreak/>
        <w:t xml:space="preserve">1102(a)(2) of the Public Utility Code, </w:t>
      </w:r>
      <w:r w:rsidRPr="00892425">
        <w:rPr>
          <w:sz w:val="26"/>
          <w:szCs w:val="26"/>
        </w:rPr>
        <w:t>66 Pa. C.S. §</w:t>
      </w:r>
      <w:r w:rsidR="00E96395">
        <w:rPr>
          <w:sz w:val="26"/>
          <w:szCs w:val="26"/>
        </w:rPr>
        <w:t> </w:t>
      </w:r>
      <w:r w:rsidRPr="00892425">
        <w:rPr>
          <w:sz w:val="26"/>
          <w:szCs w:val="26"/>
        </w:rPr>
        <w:t>1102(a)(2), authorizing Superior Water Company, Inc. to abandon its authority to provide water service in its current service territory.</w:t>
      </w:r>
    </w:p>
    <w:p w14:paraId="7E82FF5E" w14:textId="77777777" w:rsidR="00892425" w:rsidRPr="00892425" w:rsidRDefault="00892425" w:rsidP="002C4EC5">
      <w:pPr>
        <w:ind w:firstLine="1440"/>
        <w:contextualSpacing/>
        <w:rPr>
          <w:sz w:val="26"/>
          <w:szCs w:val="26"/>
        </w:rPr>
      </w:pPr>
    </w:p>
    <w:p w14:paraId="028BC857" w14:textId="77777777" w:rsidR="00892425" w:rsidRPr="00892425" w:rsidRDefault="00892425" w:rsidP="002C4EC5">
      <w:pPr>
        <w:numPr>
          <w:ilvl w:val="0"/>
          <w:numId w:val="28"/>
        </w:numPr>
        <w:ind w:left="0" w:firstLine="1440"/>
        <w:contextualSpacing/>
        <w:rPr>
          <w:sz w:val="26"/>
          <w:szCs w:val="26"/>
        </w:rPr>
      </w:pPr>
      <w:r w:rsidRPr="00892425">
        <w:rPr>
          <w:sz w:val="26"/>
          <w:szCs w:val="26"/>
        </w:rPr>
        <w:t>That if the Joint Applicants determine that the instant transaction will not occur, they shall promptly file notice of such determination with the Commission.</w:t>
      </w:r>
    </w:p>
    <w:p w14:paraId="47916994" w14:textId="77777777" w:rsidR="00892425" w:rsidRPr="00892425" w:rsidRDefault="00892425" w:rsidP="002C4EC5">
      <w:pPr>
        <w:ind w:firstLine="1440"/>
        <w:contextualSpacing/>
        <w:rPr>
          <w:sz w:val="26"/>
          <w:szCs w:val="26"/>
        </w:rPr>
      </w:pPr>
    </w:p>
    <w:p w14:paraId="308C208B" w14:textId="0201496F" w:rsidR="00892425" w:rsidRPr="00892425" w:rsidRDefault="00892425" w:rsidP="002C4EC5">
      <w:pPr>
        <w:keepNext/>
        <w:keepLines/>
        <w:numPr>
          <w:ilvl w:val="0"/>
          <w:numId w:val="28"/>
        </w:numPr>
        <w:ind w:left="0" w:firstLine="1440"/>
        <w:contextualSpacing/>
        <w:rPr>
          <w:sz w:val="26"/>
          <w:szCs w:val="26"/>
        </w:rPr>
      </w:pPr>
      <w:r w:rsidRPr="00892425">
        <w:rPr>
          <w:sz w:val="26"/>
          <w:szCs w:val="26"/>
        </w:rPr>
        <w:t xml:space="preserve">That upon filing of </w:t>
      </w:r>
      <w:r w:rsidR="00B24C10">
        <w:rPr>
          <w:sz w:val="26"/>
          <w:szCs w:val="26"/>
        </w:rPr>
        <w:t xml:space="preserve">either </w:t>
      </w:r>
      <w:r w:rsidRPr="00892425">
        <w:rPr>
          <w:sz w:val="26"/>
          <w:szCs w:val="26"/>
        </w:rPr>
        <w:t xml:space="preserve">notice </w:t>
      </w:r>
      <w:r w:rsidR="00B24C10">
        <w:rPr>
          <w:sz w:val="26"/>
          <w:szCs w:val="26"/>
        </w:rPr>
        <w:t xml:space="preserve">directed by </w:t>
      </w:r>
      <w:r w:rsidRPr="00892425">
        <w:rPr>
          <w:sz w:val="26"/>
          <w:szCs w:val="26"/>
        </w:rPr>
        <w:t>Ordering Paragraph</w:t>
      </w:r>
      <w:r w:rsidR="00B24C10">
        <w:rPr>
          <w:sz w:val="26"/>
          <w:szCs w:val="26"/>
        </w:rPr>
        <w:t xml:space="preserve"> </w:t>
      </w:r>
      <w:r w:rsidRPr="00E966A5">
        <w:rPr>
          <w:sz w:val="26"/>
          <w:szCs w:val="26"/>
        </w:rPr>
        <w:t>No</w:t>
      </w:r>
      <w:r w:rsidR="00B24C10" w:rsidRPr="00E966A5">
        <w:rPr>
          <w:sz w:val="26"/>
          <w:szCs w:val="26"/>
        </w:rPr>
        <w:t>s</w:t>
      </w:r>
      <w:r w:rsidRPr="00E966A5">
        <w:rPr>
          <w:sz w:val="26"/>
          <w:szCs w:val="26"/>
        </w:rPr>
        <w:t xml:space="preserve">. </w:t>
      </w:r>
      <w:r w:rsidR="00B24C10" w:rsidRPr="00E966A5">
        <w:rPr>
          <w:sz w:val="26"/>
          <w:szCs w:val="26"/>
        </w:rPr>
        <w:t>18</w:t>
      </w:r>
      <w:r w:rsidR="008D1836" w:rsidRPr="00E966A5">
        <w:rPr>
          <w:sz w:val="26"/>
          <w:szCs w:val="26"/>
        </w:rPr>
        <w:t xml:space="preserve"> </w:t>
      </w:r>
      <w:r w:rsidRPr="00E966A5">
        <w:rPr>
          <w:sz w:val="26"/>
          <w:szCs w:val="26"/>
        </w:rPr>
        <w:t xml:space="preserve">or </w:t>
      </w:r>
      <w:r w:rsidR="00B24C10" w:rsidRPr="00E966A5">
        <w:rPr>
          <w:sz w:val="26"/>
          <w:szCs w:val="26"/>
        </w:rPr>
        <w:t>20</w:t>
      </w:r>
      <w:r w:rsidRPr="00E966A5">
        <w:rPr>
          <w:sz w:val="26"/>
          <w:szCs w:val="26"/>
        </w:rPr>
        <w:t xml:space="preserve">, above, the </w:t>
      </w:r>
      <w:r w:rsidR="00B24C10">
        <w:rPr>
          <w:sz w:val="26"/>
          <w:szCs w:val="26"/>
        </w:rPr>
        <w:t xml:space="preserve">proceedings at </w:t>
      </w:r>
      <w:r w:rsidRPr="00892425">
        <w:rPr>
          <w:sz w:val="26"/>
          <w:szCs w:val="26"/>
        </w:rPr>
        <w:t xml:space="preserve">Docket Nos. A-2018-3004108 and A-2018-3004109 </w:t>
      </w:r>
      <w:r w:rsidR="00B24C10">
        <w:rPr>
          <w:sz w:val="26"/>
          <w:szCs w:val="26"/>
        </w:rPr>
        <w:t xml:space="preserve">shall </w:t>
      </w:r>
      <w:r w:rsidRPr="00892425">
        <w:rPr>
          <w:sz w:val="26"/>
          <w:szCs w:val="26"/>
        </w:rPr>
        <w:t>be marked closed.</w:t>
      </w:r>
      <w:r w:rsidR="00A519B5" w:rsidRPr="00A519B5">
        <w:rPr>
          <w:noProof/>
        </w:rPr>
        <w:t xml:space="preserve"> </w:t>
      </w:r>
    </w:p>
    <w:p w14:paraId="7309A66B" w14:textId="599FA0A7" w:rsidR="00A44992" w:rsidRPr="00892425" w:rsidRDefault="00A44992" w:rsidP="002C4EC5">
      <w:pPr>
        <w:pStyle w:val="NoSpacing"/>
        <w:keepNext/>
        <w:keepLines/>
        <w:spacing w:line="360" w:lineRule="auto"/>
        <w:ind w:firstLine="1440"/>
        <w:contextualSpacing/>
        <w:rPr>
          <w:sz w:val="26"/>
          <w:szCs w:val="26"/>
        </w:rPr>
      </w:pPr>
    </w:p>
    <w:p w14:paraId="54425CC4" w14:textId="158F095A" w:rsidR="00A44992" w:rsidRPr="00892425" w:rsidRDefault="00A44992" w:rsidP="002C4EC5">
      <w:pPr>
        <w:pStyle w:val="BodyText2"/>
        <w:keepNext/>
        <w:keepLines/>
        <w:spacing w:after="0" w:line="240" w:lineRule="auto"/>
        <w:ind w:left="4032" w:firstLine="720"/>
        <w:contextualSpacing/>
        <w:rPr>
          <w:b/>
          <w:sz w:val="26"/>
          <w:szCs w:val="26"/>
        </w:rPr>
      </w:pPr>
      <w:r w:rsidRPr="00892425">
        <w:rPr>
          <w:b/>
          <w:sz w:val="26"/>
          <w:szCs w:val="26"/>
        </w:rPr>
        <w:t>BY THE COMMISSION,</w:t>
      </w:r>
    </w:p>
    <w:p w14:paraId="10EDBBD3" w14:textId="066AD02A" w:rsidR="00815284" w:rsidRPr="00892425" w:rsidRDefault="00A519B5" w:rsidP="002C4EC5">
      <w:pPr>
        <w:pStyle w:val="BodyText2"/>
        <w:keepNext/>
        <w:keepLines/>
        <w:spacing w:after="0" w:line="240" w:lineRule="auto"/>
        <w:ind w:left="4032" w:firstLine="720"/>
        <w:contextualSpacing/>
        <w:rPr>
          <w:b/>
          <w:sz w:val="26"/>
          <w:szCs w:val="26"/>
        </w:rPr>
      </w:pPr>
      <w:r>
        <w:rPr>
          <w:noProof/>
        </w:rPr>
        <w:drawing>
          <wp:anchor distT="0" distB="0" distL="114300" distR="114300" simplePos="0" relativeHeight="251659264" behindDoc="1" locked="0" layoutInCell="1" allowOverlap="1" wp14:anchorId="1F6398AF" wp14:editId="7FCC109A">
            <wp:simplePos x="0" y="0"/>
            <wp:positionH relativeFrom="column">
              <wp:posOffset>3000375</wp:posOffset>
            </wp:positionH>
            <wp:positionV relativeFrom="paragraph">
              <wp:posOffset>20955</wp:posOffset>
            </wp:positionV>
            <wp:extent cx="2200275" cy="8382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B415B" w14:textId="77777777" w:rsidR="003776D2" w:rsidRPr="00892425" w:rsidRDefault="003776D2" w:rsidP="002C4EC5">
      <w:pPr>
        <w:pStyle w:val="BodyText2"/>
        <w:keepNext/>
        <w:keepLines/>
        <w:spacing w:after="0" w:line="240" w:lineRule="auto"/>
        <w:ind w:left="4032" w:firstLine="720"/>
        <w:contextualSpacing/>
        <w:rPr>
          <w:b/>
          <w:sz w:val="26"/>
          <w:szCs w:val="26"/>
        </w:rPr>
      </w:pPr>
    </w:p>
    <w:p w14:paraId="61170045" w14:textId="77777777" w:rsidR="00F32BB0" w:rsidRPr="00892425" w:rsidRDefault="00F32BB0" w:rsidP="002C4EC5">
      <w:pPr>
        <w:pStyle w:val="BodyText2"/>
        <w:keepNext/>
        <w:keepLines/>
        <w:spacing w:after="0" w:line="240" w:lineRule="auto"/>
        <w:ind w:left="4032" w:firstLine="720"/>
        <w:contextualSpacing/>
        <w:rPr>
          <w:b/>
          <w:sz w:val="26"/>
          <w:szCs w:val="26"/>
        </w:rPr>
      </w:pPr>
    </w:p>
    <w:p w14:paraId="4A724A75" w14:textId="77777777" w:rsidR="00815284" w:rsidRPr="00892425" w:rsidRDefault="00815284" w:rsidP="002C4EC5">
      <w:pPr>
        <w:pStyle w:val="BodyText2"/>
        <w:keepNext/>
        <w:keepLines/>
        <w:spacing w:after="0" w:line="240" w:lineRule="auto"/>
        <w:ind w:left="4032" w:firstLine="720"/>
        <w:contextualSpacing/>
        <w:rPr>
          <w:b/>
          <w:sz w:val="26"/>
          <w:szCs w:val="26"/>
        </w:rPr>
      </w:pPr>
    </w:p>
    <w:p w14:paraId="1D9F39DB" w14:textId="77777777" w:rsidR="00A44992" w:rsidRPr="00892425" w:rsidRDefault="00A44992" w:rsidP="002C4EC5">
      <w:pPr>
        <w:pStyle w:val="BodyText2"/>
        <w:keepNext/>
        <w:keepLines/>
        <w:spacing w:after="0" w:line="240" w:lineRule="auto"/>
        <w:ind w:left="4032" w:firstLine="720"/>
        <w:contextualSpacing/>
        <w:rPr>
          <w:sz w:val="26"/>
          <w:szCs w:val="26"/>
        </w:rPr>
      </w:pPr>
      <w:r w:rsidRPr="00892425">
        <w:rPr>
          <w:sz w:val="26"/>
          <w:szCs w:val="26"/>
        </w:rPr>
        <w:t>Rosemary Chiavetta</w:t>
      </w:r>
    </w:p>
    <w:p w14:paraId="007B47C0" w14:textId="77777777" w:rsidR="00A44992" w:rsidRPr="00892425" w:rsidRDefault="00A44992" w:rsidP="002C4EC5">
      <w:pPr>
        <w:pStyle w:val="BodyText2"/>
        <w:keepNext/>
        <w:keepLines/>
        <w:spacing w:after="0" w:line="240" w:lineRule="auto"/>
        <w:ind w:left="4032" w:firstLine="720"/>
        <w:contextualSpacing/>
        <w:rPr>
          <w:sz w:val="26"/>
          <w:szCs w:val="26"/>
        </w:rPr>
      </w:pPr>
      <w:r w:rsidRPr="00892425">
        <w:rPr>
          <w:sz w:val="26"/>
          <w:szCs w:val="26"/>
        </w:rPr>
        <w:t>Secretary</w:t>
      </w:r>
    </w:p>
    <w:p w14:paraId="147C4547" w14:textId="77777777" w:rsidR="0056027F" w:rsidRPr="00892425" w:rsidRDefault="0056027F" w:rsidP="002C4EC5">
      <w:pPr>
        <w:pStyle w:val="BodyText2"/>
        <w:keepNext/>
        <w:keepLines/>
        <w:spacing w:after="0" w:line="240" w:lineRule="auto"/>
        <w:ind w:left="4032" w:firstLine="720"/>
        <w:contextualSpacing/>
        <w:rPr>
          <w:sz w:val="26"/>
          <w:szCs w:val="26"/>
        </w:rPr>
      </w:pPr>
    </w:p>
    <w:p w14:paraId="7E7A74EE" w14:textId="77777777" w:rsidR="00A44992" w:rsidRPr="00892425" w:rsidRDefault="00A44992" w:rsidP="002C4EC5">
      <w:pPr>
        <w:pStyle w:val="BodyText2"/>
        <w:keepNext/>
        <w:keepLines/>
        <w:spacing w:after="0" w:line="360" w:lineRule="auto"/>
        <w:contextualSpacing/>
        <w:rPr>
          <w:sz w:val="26"/>
          <w:szCs w:val="26"/>
        </w:rPr>
      </w:pPr>
      <w:r w:rsidRPr="00892425">
        <w:rPr>
          <w:sz w:val="26"/>
          <w:szCs w:val="26"/>
        </w:rPr>
        <w:t>(SEAL)</w:t>
      </w:r>
    </w:p>
    <w:p w14:paraId="3AE4C662" w14:textId="1185BBC5" w:rsidR="00A44992" w:rsidRPr="00892425" w:rsidRDefault="00A44992" w:rsidP="002C4EC5">
      <w:pPr>
        <w:pStyle w:val="BodyText2"/>
        <w:keepNext/>
        <w:keepLines/>
        <w:spacing w:after="0" w:line="360" w:lineRule="auto"/>
        <w:contextualSpacing/>
        <w:rPr>
          <w:sz w:val="26"/>
          <w:szCs w:val="26"/>
        </w:rPr>
      </w:pPr>
      <w:r w:rsidRPr="00892425">
        <w:rPr>
          <w:sz w:val="26"/>
          <w:szCs w:val="26"/>
        </w:rPr>
        <w:t xml:space="preserve">ORDER ADOPTED: </w:t>
      </w:r>
      <w:r w:rsidR="00815284" w:rsidRPr="00892425">
        <w:rPr>
          <w:sz w:val="26"/>
          <w:szCs w:val="26"/>
        </w:rPr>
        <w:t xml:space="preserve"> </w:t>
      </w:r>
      <w:r w:rsidR="00187052" w:rsidRPr="00892425">
        <w:rPr>
          <w:sz w:val="26"/>
          <w:szCs w:val="26"/>
        </w:rPr>
        <w:t>May 9, 2019</w:t>
      </w:r>
    </w:p>
    <w:p w14:paraId="759B7FD4" w14:textId="01D8ED9F" w:rsidR="0076047E" w:rsidRPr="00892425" w:rsidRDefault="00815284" w:rsidP="002C4EC5">
      <w:pPr>
        <w:pStyle w:val="BodyText2"/>
        <w:keepNext/>
        <w:keepLines/>
        <w:spacing w:after="0" w:line="360" w:lineRule="auto"/>
        <w:contextualSpacing/>
        <w:rPr>
          <w:sz w:val="26"/>
          <w:szCs w:val="26"/>
        </w:rPr>
      </w:pPr>
      <w:r w:rsidRPr="00892425">
        <w:rPr>
          <w:sz w:val="26"/>
          <w:szCs w:val="26"/>
        </w:rPr>
        <w:t xml:space="preserve">ORDER ENTERED: </w:t>
      </w:r>
      <w:r w:rsidR="003671EC" w:rsidRPr="00892425">
        <w:rPr>
          <w:sz w:val="26"/>
          <w:szCs w:val="26"/>
        </w:rPr>
        <w:t xml:space="preserve"> </w:t>
      </w:r>
      <w:r w:rsidR="00A519B5">
        <w:rPr>
          <w:sz w:val="26"/>
          <w:szCs w:val="26"/>
        </w:rPr>
        <w:t>May 9, 2019</w:t>
      </w:r>
      <w:bookmarkStart w:id="27" w:name="_GoBack"/>
      <w:bookmarkEnd w:id="27"/>
    </w:p>
    <w:p w14:paraId="77F37460" w14:textId="77777777" w:rsidR="00B8262D" w:rsidRPr="00892425" w:rsidRDefault="00B8262D" w:rsidP="002C4EC5">
      <w:pPr>
        <w:pStyle w:val="BodyText2"/>
        <w:keepNext/>
        <w:keepLines/>
        <w:spacing w:after="0" w:line="360" w:lineRule="auto"/>
        <w:contextualSpacing/>
        <w:rPr>
          <w:sz w:val="26"/>
          <w:szCs w:val="26"/>
        </w:rPr>
        <w:sectPr w:rsidR="00B8262D" w:rsidRPr="00892425" w:rsidSect="000B24E9">
          <w:footerReference w:type="default" r:id="rId15"/>
          <w:footerReference w:type="first" r:id="rId16"/>
          <w:pgSz w:w="12240" w:h="15840"/>
          <w:pgMar w:top="1440" w:right="1440" w:bottom="1440" w:left="1440" w:header="720" w:footer="720" w:gutter="0"/>
          <w:pgNumType w:start="1"/>
          <w:cols w:space="720"/>
          <w:titlePg/>
          <w:docGrid w:linePitch="360"/>
        </w:sectPr>
      </w:pPr>
    </w:p>
    <w:p w14:paraId="6F026DFC" w14:textId="77777777" w:rsidR="00B8262D" w:rsidRPr="00892425" w:rsidRDefault="00B8262D" w:rsidP="002C4EC5">
      <w:pPr>
        <w:spacing w:after="200" w:line="240" w:lineRule="auto"/>
        <w:contextualSpacing/>
        <w:jc w:val="center"/>
        <w:rPr>
          <w:rFonts w:eastAsiaTheme="minorHAnsi"/>
          <w:b/>
          <w:sz w:val="26"/>
          <w:szCs w:val="26"/>
        </w:rPr>
      </w:pPr>
      <w:r w:rsidRPr="00892425">
        <w:rPr>
          <w:rFonts w:eastAsiaTheme="minorHAnsi"/>
          <w:b/>
          <w:sz w:val="26"/>
          <w:szCs w:val="26"/>
        </w:rPr>
        <w:lastRenderedPageBreak/>
        <w:t>APPENDIX A</w:t>
      </w:r>
    </w:p>
    <w:p w14:paraId="4B425DDF" w14:textId="77777777" w:rsidR="00B8262D" w:rsidRPr="00892425" w:rsidRDefault="00B8262D" w:rsidP="002C4EC5">
      <w:pPr>
        <w:spacing w:after="200" w:line="240" w:lineRule="auto"/>
        <w:contextualSpacing/>
        <w:jc w:val="center"/>
        <w:rPr>
          <w:rFonts w:eastAsiaTheme="minorHAnsi"/>
          <w:b/>
          <w:sz w:val="26"/>
          <w:szCs w:val="26"/>
        </w:rPr>
      </w:pPr>
    </w:p>
    <w:p w14:paraId="4C1821A2" w14:textId="77777777" w:rsidR="00B8262D" w:rsidRPr="00892425" w:rsidRDefault="00B8262D" w:rsidP="002C4EC5">
      <w:pPr>
        <w:spacing w:after="200" w:line="276" w:lineRule="auto"/>
        <w:contextualSpacing/>
        <w:jc w:val="center"/>
        <w:rPr>
          <w:rFonts w:eastAsiaTheme="minorHAnsi"/>
          <w:sz w:val="26"/>
          <w:szCs w:val="26"/>
        </w:rPr>
      </w:pPr>
    </w:p>
    <w:p w14:paraId="54CF13B9"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Pennsylvania Public Utility Commission</w:t>
      </w:r>
    </w:p>
    <w:p w14:paraId="2734922D" w14:textId="77777777" w:rsidR="00B8262D" w:rsidRPr="00892425" w:rsidRDefault="00B8262D" w:rsidP="002C4EC5">
      <w:pPr>
        <w:keepNext/>
        <w:keepLines/>
        <w:spacing w:after="200" w:line="276" w:lineRule="auto"/>
        <w:contextualSpacing/>
        <w:jc w:val="center"/>
        <w:rPr>
          <w:rFonts w:eastAsiaTheme="minorHAnsi"/>
          <w:b/>
          <w:sz w:val="26"/>
          <w:szCs w:val="26"/>
        </w:rPr>
      </w:pPr>
    </w:p>
    <w:p w14:paraId="26D88664"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v.</w:t>
      </w:r>
    </w:p>
    <w:p w14:paraId="5BA86D16" w14:textId="77777777" w:rsidR="00B8262D" w:rsidRPr="00892425" w:rsidRDefault="00B8262D" w:rsidP="002C4EC5">
      <w:pPr>
        <w:keepNext/>
        <w:keepLines/>
        <w:spacing w:after="200" w:line="276" w:lineRule="auto"/>
        <w:contextualSpacing/>
        <w:jc w:val="center"/>
        <w:rPr>
          <w:rFonts w:eastAsiaTheme="minorHAnsi"/>
          <w:b/>
          <w:sz w:val="26"/>
          <w:szCs w:val="26"/>
        </w:rPr>
      </w:pPr>
    </w:p>
    <w:p w14:paraId="676DDF20"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Aqua Pennsylvania, Inc.</w:t>
      </w:r>
    </w:p>
    <w:p w14:paraId="7D15AB4F"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Docket No. R-2018-3003558</w:t>
      </w:r>
    </w:p>
    <w:p w14:paraId="4359E9FD" w14:textId="77777777" w:rsidR="00B8262D" w:rsidRPr="00892425" w:rsidRDefault="00B8262D" w:rsidP="002C4EC5">
      <w:pPr>
        <w:keepNext/>
        <w:keepLines/>
        <w:spacing w:after="200" w:line="240" w:lineRule="auto"/>
        <w:contextualSpacing/>
        <w:jc w:val="center"/>
        <w:rPr>
          <w:rFonts w:eastAsiaTheme="minorHAnsi"/>
          <w:b/>
          <w:sz w:val="26"/>
          <w:szCs w:val="26"/>
        </w:rPr>
      </w:pPr>
    </w:p>
    <w:p w14:paraId="6B726526" w14:textId="77777777" w:rsidR="00B8262D" w:rsidRPr="00892425" w:rsidRDefault="00B8262D" w:rsidP="002C4EC5">
      <w:pPr>
        <w:keepNext/>
        <w:keepLines/>
        <w:spacing w:after="200" w:line="240" w:lineRule="auto"/>
        <w:contextualSpacing/>
        <w:jc w:val="center"/>
        <w:rPr>
          <w:rFonts w:eastAsiaTheme="minorHAnsi"/>
          <w:b/>
          <w:sz w:val="26"/>
          <w:szCs w:val="26"/>
        </w:rPr>
      </w:pPr>
    </w:p>
    <w:p w14:paraId="1E9F65A2" w14:textId="77777777" w:rsidR="00B8262D" w:rsidRPr="00892425" w:rsidRDefault="00B8262D" w:rsidP="002C4EC5">
      <w:pPr>
        <w:spacing w:after="200" w:line="240" w:lineRule="auto"/>
        <w:contextualSpacing/>
        <w:jc w:val="center"/>
        <w:rPr>
          <w:rFonts w:eastAsiaTheme="minorHAnsi"/>
          <w:b/>
          <w:sz w:val="26"/>
          <w:szCs w:val="26"/>
        </w:rPr>
      </w:pPr>
    </w:p>
    <w:p w14:paraId="640AB105" w14:textId="77777777" w:rsidR="00B8262D" w:rsidRPr="00892425" w:rsidRDefault="00B8262D" w:rsidP="002C4EC5">
      <w:pPr>
        <w:spacing w:after="200" w:line="240" w:lineRule="auto"/>
        <w:contextualSpacing/>
        <w:jc w:val="center"/>
        <w:rPr>
          <w:rFonts w:eastAsiaTheme="minorHAnsi"/>
          <w:b/>
          <w:sz w:val="26"/>
          <w:szCs w:val="26"/>
        </w:rPr>
      </w:pPr>
    </w:p>
    <w:p w14:paraId="0935FD5D"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Pennsylvania Public Utility Commission</w:t>
      </w:r>
    </w:p>
    <w:p w14:paraId="77458584" w14:textId="77777777" w:rsidR="00B8262D" w:rsidRPr="00892425" w:rsidRDefault="00B8262D" w:rsidP="002C4EC5">
      <w:pPr>
        <w:keepNext/>
        <w:keepLines/>
        <w:spacing w:after="200" w:line="276" w:lineRule="auto"/>
        <w:contextualSpacing/>
        <w:jc w:val="center"/>
        <w:rPr>
          <w:rFonts w:eastAsiaTheme="minorHAnsi"/>
          <w:b/>
          <w:sz w:val="26"/>
          <w:szCs w:val="26"/>
        </w:rPr>
      </w:pPr>
    </w:p>
    <w:p w14:paraId="412003A7"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v.</w:t>
      </w:r>
    </w:p>
    <w:p w14:paraId="0438EA53" w14:textId="77777777" w:rsidR="00B8262D" w:rsidRPr="00892425" w:rsidRDefault="00B8262D" w:rsidP="002C4EC5">
      <w:pPr>
        <w:keepNext/>
        <w:keepLines/>
        <w:spacing w:after="200" w:line="276" w:lineRule="auto"/>
        <w:contextualSpacing/>
        <w:jc w:val="center"/>
        <w:rPr>
          <w:rFonts w:eastAsiaTheme="minorHAnsi"/>
          <w:b/>
          <w:sz w:val="26"/>
          <w:szCs w:val="26"/>
        </w:rPr>
      </w:pPr>
    </w:p>
    <w:p w14:paraId="16821EAA"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Aqua Pennsylvania Wastewater, Inc.</w:t>
      </w:r>
    </w:p>
    <w:p w14:paraId="18DF0F31" w14:textId="77777777" w:rsidR="00B8262D" w:rsidRPr="00892425" w:rsidRDefault="00B8262D" w:rsidP="002C4EC5">
      <w:pPr>
        <w:keepNext/>
        <w:keepLines/>
        <w:spacing w:after="200" w:line="276" w:lineRule="auto"/>
        <w:contextualSpacing/>
        <w:jc w:val="center"/>
        <w:rPr>
          <w:rFonts w:eastAsiaTheme="minorHAnsi"/>
          <w:b/>
          <w:sz w:val="26"/>
          <w:szCs w:val="26"/>
        </w:rPr>
      </w:pPr>
      <w:r w:rsidRPr="00892425">
        <w:rPr>
          <w:rFonts w:eastAsiaTheme="minorHAnsi"/>
          <w:b/>
          <w:sz w:val="26"/>
          <w:szCs w:val="26"/>
        </w:rPr>
        <w:t>Docket No. R-2018-3003561</w:t>
      </w:r>
    </w:p>
    <w:p w14:paraId="40567D74" w14:textId="77777777" w:rsidR="00B8262D" w:rsidRPr="00892425" w:rsidRDefault="00B8262D" w:rsidP="002C4EC5">
      <w:pPr>
        <w:spacing w:after="200" w:line="240" w:lineRule="auto"/>
        <w:contextualSpacing/>
        <w:jc w:val="center"/>
        <w:rPr>
          <w:rFonts w:eastAsiaTheme="minorHAnsi"/>
          <w:b/>
          <w:sz w:val="26"/>
          <w:szCs w:val="26"/>
        </w:rPr>
      </w:pPr>
    </w:p>
    <w:p w14:paraId="51179CE3" w14:textId="77777777" w:rsidR="00B8262D" w:rsidRPr="00892425" w:rsidRDefault="00B8262D" w:rsidP="002C4EC5">
      <w:pPr>
        <w:spacing w:after="200" w:line="240" w:lineRule="auto"/>
        <w:contextualSpacing/>
        <w:jc w:val="center"/>
        <w:rPr>
          <w:rFonts w:eastAsiaTheme="minorHAnsi"/>
          <w:b/>
          <w:sz w:val="26"/>
          <w:szCs w:val="26"/>
        </w:rPr>
      </w:pPr>
    </w:p>
    <w:p w14:paraId="11EA90D3" w14:textId="77777777" w:rsidR="00B8262D" w:rsidRPr="00892425" w:rsidRDefault="00B8262D" w:rsidP="002C4EC5">
      <w:pPr>
        <w:spacing w:after="200" w:line="240" w:lineRule="auto"/>
        <w:contextualSpacing/>
        <w:jc w:val="center"/>
        <w:rPr>
          <w:rFonts w:eastAsiaTheme="minorHAnsi"/>
          <w:b/>
          <w:sz w:val="26"/>
          <w:szCs w:val="26"/>
        </w:rPr>
      </w:pPr>
    </w:p>
    <w:p w14:paraId="6EC2B8C1" w14:textId="77777777" w:rsidR="00B8262D" w:rsidRPr="00892425" w:rsidRDefault="00B8262D" w:rsidP="002C4EC5">
      <w:pPr>
        <w:spacing w:after="200" w:line="240" w:lineRule="auto"/>
        <w:contextualSpacing/>
        <w:jc w:val="center"/>
        <w:rPr>
          <w:rFonts w:eastAsiaTheme="minorHAnsi"/>
          <w:b/>
          <w:sz w:val="26"/>
          <w:szCs w:val="26"/>
        </w:rPr>
      </w:pPr>
    </w:p>
    <w:p w14:paraId="3F36B69B" w14:textId="3AA23F03" w:rsidR="00B8262D" w:rsidRPr="00892425" w:rsidRDefault="00634F96" w:rsidP="002C4EC5">
      <w:pPr>
        <w:spacing w:after="200" w:line="240" w:lineRule="auto"/>
        <w:ind w:left="1440" w:right="1440"/>
        <w:contextualSpacing/>
        <w:rPr>
          <w:rFonts w:eastAsiaTheme="minorHAnsi"/>
          <w:b/>
          <w:sz w:val="26"/>
          <w:szCs w:val="26"/>
        </w:rPr>
      </w:pPr>
      <w:r>
        <w:rPr>
          <w:rFonts w:eastAsiaTheme="minorHAnsi"/>
          <w:b/>
          <w:sz w:val="26"/>
          <w:szCs w:val="26"/>
          <w:u w:val="single"/>
        </w:rPr>
        <w:t>Joint Settlement</w:t>
      </w:r>
      <w:r w:rsidR="00B8262D" w:rsidRPr="00892425">
        <w:rPr>
          <w:rFonts w:eastAsiaTheme="minorHAnsi"/>
          <w:b/>
          <w:sz w:val="26"/>
          <w:szCs w:val="26"/>
          <w:u w:val="single"/>
        </w:rPr>
        <w:t xml:space="preserve"> Rate Effects for Typical Customers in each Water and Wastewater Rate Class</w:t>
      </w:r>
    </w:p>
    <w:p w14:paraId="310820C4" w14:textId="77777777" w:rsidR="00B8262D" w:rsidRPr="00892425" w:rsidRDefault="00B8262D" w:rsidP="002C4EC5">
      <w:pPr>
        <w:spacing w:after="200" w:line="240" w:lineRule="auto"/>
        <w:ind w:firstLine="1440"/>
        <w:contextualSpacing/>
        <w:rPr>
          <w:rFonts w:eastAsiaTheme="minorHAnsi"/>
          <w:b/>
          <w:sz w:val="26"/>
          <w:szCs w:val="26"/>
        </w:rPr>
      </w:pPr>
    </w:p>
    <w:p w14:paraId="1FDDCB7B" w14:textId="77777777" w:rsidR="00B8262D" w:rsidRPr="00892425" w:rsidRDefault="00B8262D" w:rsidP="002C4EC5">
      <w:pPr>
        <w:spacing w:line="240" w:lineRule="auto"/>
        <w:ind w:firstLine="1440"/>
        <w:contextualSpacing/>
        <w:rPr>
          <w:b/>
          <w:sz w:val="26"/>
          <w:szCs w:val="26"/>
        </w:rPr>
      </w:pPr>
      <w:r w:rsidRPr="00892425">
        <w:rPr>
          <w:b/>
          <w:sz w:val="26"/>
          <w:szCs w:val="26"/>
        </w:rPr>
        <w:t>Table I</w:t>
      </w:r>
      <w:r w:rsidRPr="00892425">
        <w:rPr>
          <w:b/>
          <w:sz w:val="26"/>
          <w:szCs w:val="26"/>
        </w:rPr>
        <w:tab/>
        <w:t>Residential Average Monthly Water Bill Comparison</w:t>
      </w:r>
    </w:p>
    <w:p w14:paraId="1AD40414" w14:textId="77777777" w:rsidR="00B8262D" w:rsidRPr="00892425" w:rsidRDefault="00B8262D" w:rsidP="002C4EC5">
      <w:pPr>
        <w:spacing w:line="240" w:lineRule="auto"/>
        <w:ind w:firstLine="1440"/>
        <w:contextualSpacing/>
        <w:rPr>
          <w:b/>
          <w:sz w:val="26"/>
          <w:szCs w:val="26"/>
        </w:rPr>
      </w:pPr>
      <w:r w:rsidRPr="00892425">
        <w:rPr>
          <w:b/>
          <w:sz w:val="26"/>
          <w:szCs w:val="26"/>
        </w:rPr>
        <w:t>Table II</w:t>
      </w:r>
      <w:r w:rsidRPr="00892425">
        <w:rPr>
          <w:b/>
          <w:sz w:val="26"/>
          <w:szCs w:val="26"/>
        </w:rPr>
        <w:tab/>
        <w:t>Commercial Average Monthly Water Bill Comparison</w:t>
      </w:r>
    </w:p>
    <w:p w14:paraId="52AD374D" w14:textId="77777777" w:rsidR="00B8262D" w:rsidRPr="00892425" w:rsidRDefault="00B8262D" w:rsidP="002C4EC5">
      <w:pPr>
        <w:spacing w:line="240" w:lineRule="auto"/>
        <w:ind w:firstLine="1440"/>
        <w:contextualSpacing/>
        <w:rPr>
          <w:b/>
          <w:sz w:val="26"/>
          <w:szCs w:val="26"/>
        </w:rPr>
      </w:pPr>
      <w:r w:rsidRPr="00892425">
        <w:rPr>
          <w:b/>
          <w:sz w:val="26"/>
          <w:szCs w:val="26"/>
        </w:rPr>
        <w:t>Table III</w:t>
      </w:r>
      <w:r w:rsidRPr="00892425">
        <w:rPr>
          <w:b/>
          <w:sz w:val="26"/>
          <w:szCs w:val="26"/>
        </w:rPr>
        <w:tab/>
        <w:t>Industrial Average Monthly Water Bill Comparison</w:t>
      </w:r>
    </w:p>
    <w:p w14:paraId="5A2F5C1D" w14:textId="77777777" w:rsidR="00B8262D" w:rsidRPr="00892425" w:rsidRDefault="00B8262D" w:rsidP="002C4EC5">
      <w:pPr>
        <w:spacing w:line="240" w:lineRule="auto"/>
        <w:ind w:left="2880" w:hanging="1440"/>
        <w:contextualSpacing/>
        <w:rPr>
          <w:b/>
          <w:sz w:val="26"/>
          <w:szCs w:val="26"/>
        </w:rPr>
      </w:pPr>
      <w:r w:rsidRPr="00892425">
        <w:rPr>
          <w:b/>
          <w:sz w:val="26"/>
          <w:szCs w:val="26"/>
        </w:rPr>
        <w:t>Table IV</w:t>
      </w:r>
      <w:r w:rsidRPr="00892425">
        <w:rPr>
          <w:b/>
          <w:sz w:val="26"/>
          <w:szCs w:val="26"/>
        </w:rPr>
        <w:tab/>
        <w:t>Residential Average Monthly Wastewater Bill Comparison</w:t>
      </w:r>
    </w:p>
    <w:p w14:paraId="65EDA7E3" w14:textId="77777777" w:rsidR="00B8262D" w:rsidRPr="00892425" w:rsidRDefault="00B8262D" w:rsidP="002C4EC5">
      <w:pPr>
        <w:spacing w:line="240" w:lineRule="auto"/>
        <w:ind w:left="2880" w:hanging="1440"/>
        <w:contextualSpacing/>
        <w:rPr>
          <w:b/>
          <w:sz w:val="26"/>
          <w:szCs w:val="26"/>
        </w:rPr>
      </w:pPr>
      <w:r w:rsidRPr="00892425">
        <w:rPr>
          <w:b/>
          <w:sz w:val="26"/>
          <w:szCs w:val="26"/>
        </w:rPr>
        <w:t>Table V</w:t>
      </w:r>
      <w:r w:rsidRPr="00892425">
        <w:rPr>
          <w:b/>
          <w:sz w:val="26"/>
          <w:szCs w:val="26"/>
        </w:rPr>
        <w:tab/>
        <w:t>Commercial Average Monthly Wastewater Bill Comparison</w:t>
      </w:r>
    </w:p>
    <w:p w14:paraId="694EAA1F" w14:textId="77777777" w:rsidR="00B8262D" w:rsidRPr="00892425" w:rsidRDefault="00B8262D" w:rsidP="002C4EC5">
      <w:pPr>
        <w:spacing w:line="240" w:lineRule="auto"/>
        <w:ind w:firstLine="1440"/>
        <w:contextualSpacing/>
        <w:rPr>
          <w:b/>
          <w:sz w:val="26"/>
          <w:szCs w:val="26"/>
        </w:rPr>
      </w:pPr>
      <w:r w:rsidRPr="00892425">
        <w:rPr>
          <w:b/>
          <w:sz w:val="26"/>
          <w:szCs w:val="26"/>
        </w:rPr>
        <w:t>Table VI</w:t>
      </w:r>
      <w:r w:rsidRPr="00892425">
        <w:rPr>
          <w:b/>
          <w:sz w:val="26"/>
          <w:szCs w:val="26"/>
        </w:rPr>
        <w:tab/>
        <w:t>Industrial Average Monthly Wastewater Bill Comparison</w:t>
      </w:r>
    </w:p>
    <w:p w14:paraId="09E14E5E" w14:textId="77777777" w:rsidR="00B8262D" w:rsidRPr="00892425" w:rsidRDefault="00B8262D" w:rsidP="002C4EC5">
      <w:pPr>
        <w:spacing w:line="240" w:lineRule="auto"/>
        <w:ind w:firstLine="1440"/>
        <w:contextualSpacing/>
        <w:rPr>
          <w:b/>
          <w:sz w:val="26"/>
          <w:szCs w:val="26"/>
        </w:rPr>
      </w:pPr>
    </w:p>
    <w:p w14:paraId="07E0D33E" w14:textId="77777777" w:rsidR="00B8262D" w:rsidRPr="00892425" w:rsidRDefault="00B8262D" w:rsidP="002C4EC5">
      <w:pPr>
        <w:pStyle w:val="BodyText2"/>
        <w:keepNext/>
        <w:keepLines/>
        <w:spacing w:after="0" w:line="360" w:lineRule="auto"/>
        <w:contextualSpacing/>
        <w:rPr>
          <w:sz w:val="26"/>
          <w:szCs w:val="26"/>
        </w:rPr>
        <w:sectPr w:rsidR="00B8262D" w:rsidRPr="00892425" w:rsidSect="000B24E9">
          <w:pgSz w:w="12240" w:h="15840"/>
          <w:pgMar w:top="1440" w:right="1440" w:bottom="1440" w:left="1440" w:header="720" w:footer="720" w:gutter="0"/>
          <w:pgNumType w:start="1"/>
          <w:cols w:space="720"/>
          <w:titlePg/>
          <w:docGrid w:linePitch="360"/>
        </w:sectPr>
      </w:pPr>
    </w:p>
    <w:p w14:paraId="6E9A4770" w14:textId="77777777" w:rsidR="00B8262D" w:rsidRPr="00892425" w:rsidRDefault="00B8262D" w:rsidP="002C4EC5">
      <w:pPr>
        <w:spacing w:line="240" w:lineRule="auto"/>
        <w:contextualSpacing/>
        <w:jc w:val="center"/>
        <w:rPr>
          <w:b/>
          <w:sz w:val="26"/>
          <w:szCs w:val="26"/>
        </w:rPr>
        <w:sectPr w:rsidR="00B8262D" w:rsidRPr="00892425" w:rsidSect="00613283">
          <w:pgSz w:w="15840" w:h="12240" w:orient="landscape"/>
          <w:pgMar w:top="1440" w:right="1440" w:bottom="1440" w:left="1440" w:header="720" w:footer="720" w:gutter="0"/>
          <w:cols w:space="720"/>
          <w:docGrid w:linePitch="360"/>
        </w:sectPr>
      </w:pPr>
      <w:r w:rsidRPr="00892425">
        <w:rPr>
          <w:noProof/>
          <w:sz w:val="26"/>
          <w:szCs w:val="26"/>
        </w:rPr>
        <w:lastRenderedPageBreak/>
        <w:drawing>
          <wp:inline distT="0" distB="0" distL="0" distR="0" wp14:anchorId="32686A08" wp14:editId="6AB87EC9">
            <wp:extent cx="7239000" cy="584234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35" t="22689" r="51273" b="14334"/>
                    <a:stretch/>
                  </pic:blipFill>
                  <pic:spPr bwMode="auto">
                    <a:xfrm>
                      <a:off x="0" y="0"/>
                      <a:ext cx="7260456" cy="5859661"/>
                    </a:xfrm>
                    <a:prstGeom prst="rect">
                      <a:avLst/>
                    </a:prstGeom>
                    <a:ln>
                      <a:noFill/>
                    </a:ln>
                    <a:extLst>
                      <a:ext uri="{53640926-AAD7-44D8-BBD7-CCE9431645EC}">
                        <a14:shadowObscured xmlns:a14="http://schemas.microsoft.com/office/drawing/2010/main"/>
                      </a:ext>
                    </a:extLst>
                  </pic:spPr>
                </pic:pic>
              </a:graphicData>
            </a:graphic>
          </wp:inline>
        </w:drawing>
      </w:r>
    </w:p>
    <w:p w14:paraId="2FB38B59" w14:textId="77777777" w:rsidR="00B8262D" w:rsidRPr="00892425" w:rsidRDefault="00B8262D" w:rsidP="002C4EC5">
      <w:pPr>
        <w:spacing w:line="240" w:lineRule="auto"/>
        <w:contextualSpacing/>
        <w:jc w:val="center"/>
        <w:rPr>
          <w:b/>
          <w:sz w:val="26"/>
          <w:szCs w:val="26"/>
        </w:rPr>
      </w:pPr>
    </w:p>
    <w:p w14:paraId="15F5B252" w14:textId="77777777" w:rsidR="00B8262D" w:rsidRPr="00892425" w:rsidRDefault="00B8262D" w:rsidP="002C4EC5">
      <w:pPr>
        <w:spacing w:line="240" w:lineRule="auto"/>
        <w:contextualSpacing/>
        <w:jc w:val="center"/>
        <w:rPr>
          <w:b/>
          <w:sz w:val="26"/>
          <w:szCs w:val="26"/>
        </w:rPr>
        <w:sectPr w:rsidR="00B8262D" w:rsidRPr="00892425" w:rsidSect="00613283">
          <w:pgSz w:w="15840" w:h="12240" w:orient="landscape"/>
          <w:pgMar w:top="1440" w:right="1440" w:bottom="1440" w:left="1440" w:header="720" w:footer="720" w:gutter="0"/>
          <w:cols w:space="720"/>
          <w:docGrid w:linePitch="360"/>
        </w:sectPr>
      </w:pPr>
      <w:r w:rsidRPr="00892425">
        <w:rPr>
          <w:noProof/>
          <w:sz w:val="26"/>
          <w:szCs w:val="26"/>
        </w:rPr>
        <w:drawing>
          <wp:inline distT="0" distB="0" distL="0" distR="0" wp14:anchorId="42E4C29B" wp14:editId="5D0A8920">
            <wp:extent cx="7038975" cy="5606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34" t="22900" r="47801" b="9881"/>
                    <a:stretch/>
                  </pic:blipFill>
                  <pic:spPr bwMode="auto">
                    <a:xfrm>
                      <a:off x="0" y="0"/>
                      <a:ext cx="7042351" cy="5609109"/>
                    </a:xfrm>
                    <a:prstGeom prst="rect">
                      <a:avLst/>
                    </a:prstGeom>
                    <a:ln>
                      <a:noFill/>
                    </a:ln>
                    <a:extLst>
                      <a:ext uri="{53640926-AAD7-44D8-BBD7-CCE9431645EC}">
                        <a14:shadowObscured xmlns:a14="http://schemas.microsoft.com/office/drawing/2010/main"/>
                      </a:ext>
                    </a:extLst>
                  </pic:spPr>
                </pic:pic>
              </a:graphicData>
            </a:graphic>
          </wp:inline>
        </w:drawing>
      </w:r>
    </w:p>
    <w:p w14:paraId="0DC6B73A" w14:textId="77777777" w:rsidR="00B8262D" w:rsidRPr="00892425" w:rsidRDefault="00B8262D" w:rsidP="002C4EC5">
      <w:pPr>
        <w:spacing w:line="240" w:lineRule="auto"/>
        <w:contextualSpacing/>
        <w:jc w:val="center"/>
        <w:rPr>
          <w:b/>
          <w:sz w:val="26"/>
          <w:szCs w:val="26"/>
        </w:rPr>
        <w:sectPr w:rsidR="00B8262D" w:rsidRPr="00892425" w:rsidSect="00613283">
          <w:pgSz w:w="15840" w:h="12240" w:orient="landscape"/>
          <w:pgMar w:top="1440" w:right="1440" w:bottom="1440" w:left="1440" w:header="720" w:footer="720" w:gutter="0"/>
          <w:cols w:space="720"/>
          <w:docGrid w:linePitch="360"/>
        </w:sectPr>
      </w:pPr>
      <w:r w:rsidRPr="00892425">
        <w:rPr>
          <w:noProof/>
          <w:sz w:val="26"/>
          <w:szCs w:val="26"/>
        </w:rPr>
        <w:lastRenderedPageBreak/>
        <w:drawing>
          <wp:inline distT="0" distB="0" distL="0" distR="0" wp14:anchorId="783B8223" wp14:editId="1DFC800A">
            <wp:extent cx="8208606" cy="3086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607" t="22689" r="45139" b="46141"/>
                    <a:stretch/>
                  </pic:blipFill>
                  <pic:spPr bwMode="auto">
                    <a:xfrm>
                      <a:off x="0" y="0"/>
                      <a:ext cx="8226756" cy="3092924"/>
                    </a:xfrm>
                    <a:prstGeom prst="rect">
                      <a:avLst/>
                    </a:prstGeom>
                    <a:ln>
                      <a:noFill/>
                    </a:ln>
                    <a:extLst>
                      <a:ext uri="{53640926-AAD7-44D8-BBD7-CCE9431645EC}">
                        <a14:shadowObscured xmlns:a14="http://schemas.microsoft.com/office/drawing/2010/main"/>
                      </a:ext>
                    </a:extLst>
                  </pic:spPr>
                </pic:pic>
              </a:graphicData>
            </a:graphic>
          </wp:inline>
        </w:drawing>
      </w:r>
    </w:p>
    <w:p w14:paraId="1B6FF1D5" w14:textId="4C8180B2" w:rsidR="00B8262D" w:rsidRPr="00892425" w:rsidRDefault="002C5BC9" w:rsidP="002C4EC5">
      <w:pPr>
        <w:spacing w:line="240" w:lineRule="auto"/>
        <w:contextualSpacing/>
        <w:jc w:val="center"/>
        <w:rPr>
          <w:b/>
          <w:sz w:val="26"/>
          <w:szCs w:val="26"/>
        </w:rPr>
        <w:sectPr w:rsidR="00B8262D" w:rsidRPr="00892425" w:rsidSect="00613283">
          <w:pgSz w:w="15840" w:h="12240" w:orient="landscape"/>
          <w:pgMar w:top="1440" w:right="1440" w:bottom="1440" w:left="1440" w:header="720" w:footer="720" w:gutter="0"/>
          <w:cols w:space="720"/>
          <w:docGrid w:linePitch="360"/>
        </w:sectPr>
      </w:pPr>
      <w:r>
        <w:rPr>
          <w:noProof/>
        </w:rPr>
        <w:lastRenderedPageBreak/>
        <w:drawing>
          <wp:inline distT="0" distB="0" distL="0" distR="0" wp14:anchorId="0E0CC9EC" wp14:editId="615672DD">
            <wp:extent cx="5912425" cy="6313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9672" cy="6321521"/>
                    </a:xfrm>
                    <a:prstGeom prst="rect">
                      <a:avLst/>
                    </a:prstGeom>
                  </pic:spPr>
                </pic:pic>
              </a:graphicData>
            </a:graphic>
          </wp:inline>
        </w:drawing>
      </w:r>
    </w:p>
    <w:p w14:paraId="309D2FFA" w14:textId="5F23479E" w:rsidR="00B8262D" w:rsidRPr="00892425" w:rsidRDefault="002C5BC9" w:rsidP="002C4EC5">
      <w:pPr>
        <w:spacing w:line="240" w:lineRule="auto"/>
        <w:contextualSpacing/>
        <w:jc w:val="center"/>
        <w:rPr>
          <w:b/>
          <w:sz w:val="26"/>
          <w:szCs w:val="26"/>
        </w:rPr>
        <w:sectPr w:rsidR="00B8262D" w:rsidRPr="00892425" w:rsidSect="00613283">
          <w:pgSz w:w="15840" w:h="12240" w:orient="landscape"/>
          <w:pgMar w:top="1440" w:right="1440" w:bottom="1440" w:left="1440" w:header="720" w:footer="720" w:gutter="0"/>
          <w:cols w:space="720"/>
          <w:docGrid w:linePitch="360"/>
        </w:sectPr>
      </w:pPr>
      <w:r>
        <w:rPr>
          <w:noProof/>
        </w:rPr>
        <w:lastRenderedPageBreak/>
        <w:drawing>
          <wp:inline distT="0" distB="0" distL="0" distR="0" wp14:anchorId="013A9631" wp14:editId="14B0D68B">
            <wp:extent cx="6338301" cy="65151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3816" cy="6531048"/>
                    </a:xfrm>
                    <a:prstGeom prst="rect">
                      <a:avLst/>
                    </a:prstGeom>
                  </pic:spPr>
                </pic:pic>
              </a:graphicData>
            </a:graphic>
          </wp:inline>
        </w:drawing>
      </w:r>
    </w:p>
    <w:p w14:paraId="19465B1F" w14:textId="1E32CB1B" w:rsidR="00B8262D" w:rsidRPr="00892425" w:rsidRDefault="00B8262D" w:rsidP="002C4EC5">
      <w:pPr>
        <w:spacing w:line="240" w:lineRule="auto"/>
        <w:contextualSpacing/>
        <w:jc w:val="center"/>
        <w:rPr>
          <w:b/>
          <w:sz w:val="26"/>
          <w:szCs w:val="26"/>
        </w:rPr>
      </w:pPr>
    </w:p>
    <w:p w14:paraId="3B226ACF" w14:textId="799FDA6E" w:rsidR="00B8262D" w:rsidRPr="00892425" w:rsidRDefault="008C3D04" w:rsidP="002C4EC5">
      <w:pPr>
        <w:spacing w:line="240" w:lineRule="auto"/>
        <w:contextualSpacing/>
        <w:jc w:val="center"/>
        <w:rPr>
          <w:b/>
          <w:sz w:val="26"/>
          <w:szCs w:val="26"/>
        </w:rPr>
      </w:pPr>
      <w:r>
        <w:rPr>
          <w:noProof/>
        </w:rPr>
        <w:drawing>
          <wp:inline distT="0" distB="0" distL="0" distR="0" wp14:anchorId="048BAFD1" wp14:editId="6AF9F0A6">
            <wp:extent cx="8229600" cy="18335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607" t="23113" r="45717" b="58651"/>
                    <a:stretch/>
                  </pic:blipFill>
                  <pic:spPr bwMode="auto">
                    <a:xfrm>
                      <a:off x="0" y="0"/>
                      <a:ext cx="8229600" cy="1833561"/>
                    </a:xfrm>
                    <a:prstGeom prst="rect">
                      <a:avLst/>
                    </a:prstGeom>
                    <a:ln>
                      <a:noFill/>
                    </a:ln>
                    <a:extLst>
                      <a:ext uri="{53640926-AAD7-44D8-BBD7-CCE9431645EC}">
                        <a14:shadowObscured xmlns:a14="http://schemas.microsoft.com/office/drawing/2010/main"/>
                      </a:ext>
                    </a:extLst>
                  </pic:spPr>
                </pic:pic>
              </a:graphicData>
            </a:graphic>
          </wp:inline>
        </w:drawing>
      </w:r>
    </w:p>
    <w:p w14:paraId="5D20C4E3" w14:textId="7B7FD4D7" w:rsidR="00A61EAF" w:rsidRDefault="00A61EAF" w:rsidP="002C4EC5">
      <w:pPr>
        <w:pStyle w:val="BodyText2"/>
        <w:keepNext/>
        <w:keepLines/>
        <w:spacing w:after="0" w:line="360" w:lineRule="auto"/>
        <w:contextualSpacing/>
        <w:rPr>
          <w:sz w:val="26"/>
          <w:szCs w:val="26"/>
        </w:rPr>
      </w:pPr>
    </w:p>
    <w:p w14:paraId="72152FB8" w14:textId="31D48A2D" w:rsidR="002C5BC9" w:rsidRDefault="002C5BC9" w:rsidP="002C4EC5">
      <w:pPr>
        <w:pStyle w:val="BodyText2"/>
        <w:keepNext/>
        <w:keepLines/>
        <w:spacing w:after="0" w:line="360" w:lineRule="auto"/>
        <w:contextualSpacing/>
        <w:rPr>
          <w:sz w:val="26"/>
          <w:szCs w:val="26"/>
        </w:rPr>
      </w:pPr>
    </w:p>
    <w:sectPr w:rsidR="002C5BC9" w:rsidSect="0061328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374BE" w14:textId="77777777" w:rsidR="00CE1726" w:rsidRDefault="00CE1726" w:rsidP="00792C5F">
      <w:pPr>
        <w:spacing w:line="240" w:lineRule="auto"/>
      </w:pPr>
      <w:r>
        <w:separator/>
      </w:r>
    </w:p>
  </w:endnote>
  <w:endnote w:type="continuationSeparator" w:id="0">
    <w:p w14:paraId="46117A1E" w14:textId="77777777" w:rsidR="00CE1726" w:rsidRDefault="00CE1726" w:rsidP="00792C5F">
      <w:pPr>
        <w:spacing w:line="240" w:lineRule="auto"/>
      </w:pPr>
      <w:r>
        <w:continuationSeparator/>
      </w:r>
    </w:p>
  </w:endnote>
  <w:endnote w:type="continuationNotice" w:id="1">
    <w:p w14:paraId="722BDF08" w14:textId="77777777" w:rsidR="00CE1726" w:rsidRDefault="00CE17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675610"/>
      <w:docPartObj>
        <w:docPartGallery w:val="Page Numbers (Bottom of Page)"/>
        <w:docPartUnique/>
      </w:docPartObj>
    </w:sdtPr>
    <w:sdtEndPr>
      <w:rPr>
        <w:noProof/>
      </w:rPr>
    </w:sdtEndPr>
    <w:sdtContent>
      <w:p w14:paraId="2FA1FE9F" w14:textId="77777777" w:rsidR="002A6EA1" w:rsidRDefault="002A6EA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4B1E4D6" w14:textId="77777777" w:rsidR="002A6EA1" w:rsidRDefault="002A6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0667" w14:textId="3A9713CF" w:rsidR="002A6EA1" w:rsidRDefault="002A6EA1">
    <w:pPr>
      <w:pStyle w:val="Footer"/>
      <w:jc w:val="center"/>
    </w:pPr>
  </w:p>
  <w:p w14:paraId="1A2E7589" w14:textId="77777777" w:rsidR="002A6EA1" w:rsidRDefault="002A6E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007464"/>
      <w:docPartObj>
        <w:docPartGallery w:val="Page Numbers (Bottom of Page)"/>
        <w:docPartUnique/>
      </w:docPartObj>
    </w:sdtPr>
    <w:sdtEndPr>
      <w:rPr>
        <w:noProof/>
        <w:sz w:val="26"/>
        <w:szCs w:val="26"/>
      </w:rPr>
    </w:sdtEndPr>
    <w:sdtContent>
      <w:p w14:paraId="0E466636" w14:textId="77777777" w:rsidR="002A6EA1" w:rsidRPr="00E70A0E" w:rsidRDefault="002A6EA1">
        <w:pPr>
          <w:pStyle w:val="Footer"/>
          <w:jc w:val="center"/>
          <w:rPr>
            <w:sz w:val="26"/>
            <w:szCs w:val="26"/>
          </w:rPr>
        </w:pPr>
        <w:r w:rsidRPr="00E70A0E">
          <w:rPr>
            <w:sz w:val="26"/>
            <w:szCs w:val="26"/>
          </w:rPr>
          <w:fldChar w:fldCharType="begin"/>
        </w:r>
        <w:r w:rsidRPr="00E70A0E">
          <w:rPr>
            <w:sz w:val="26"/>
            <w:szCs w:val="26"/>
          </w:rPr>
          <w:instrText xml:space="preserve"> PAGE   \* MERGEFORMAT </w:instrText>
        </w:r>
        <w:r w:rsidRPr="00E70A0E">
          <w:rPr>
            <w:sz w:val="26"/>
            <w:szCs w:val="26"/>
          </w:rPr>
          <w:fldChar w:fldCharType="separate"/>
        </w:r>
        <w:r w:rsidRPr="00E70A0E">
          <w:rPr>
            <w:noProof/>
            <w:sz w:val="26"/>
            <w:szCs w:val="26"/>
          </w:rPr>
          <w:t>47</w:t>
        </w:r>
        <w:r w:rsidRPr="00E70A0E">
          <w:rPr>
            <w:noProof/>
            <w:sz w:val="26"/>
            <w:szCs w:val="26"/>
          </w:rPr>
          <w:fldChar w:fldCharType="end"/>
        </w:r>
      </w:p>
    </w:sdtContent>
  </w:sdt>
  <w:p w14:paraId="3DCBEB3A" w14:textId="77777777" w:rsidR="002A6EA1" w:rsidRDefault="002A6E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0D243" w14:textId="77777777" w:rsidR="002A6EA1" w:rsidRDefault="002A6EA1">
    <w:pPr>
      <w:pStyle w:val="Footer"/>
      <w:jc w:val="center"/>
    </w:pPr>
  </w:p>
  <w:p w14:paraId="79AF0A23" w14:textId="77777777" w:rsidR="002A6EA1" w:rsidRDefault="002A6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ED1A9" w14:textId="77777777" w:rsidR="00CE1726" w:rsidRDefault="00CE1726" w:rsidP="00792C5F">
      <w:pPr>
        <w:spacing w:line="240" w:lineRule="auto"/>
      </w:pPr>
      <w:r>
        <w:separator/>
      </w:r>
    </w:p>
  </w:footnote>
  <w:footnote w:type="continuationSeparator" w:id="0">
    <w:p w14:paraId="28FBF3B5" w14:textId="77777777" w:rsidR="00CE1726" w:rsidRDefault="00CE1726" w:rsidP="00792C5F">
      <w:pPr>
        <w:spacing w:line="240" w:lineRule="auto"/>
      </w:pPr>
      <w:r>
        <w:continuationSeparator/>
      </w:r>
    </w:p>
  </w:footnote>
  <w:footnote w:type="continuationNotice" w:id="1">
    <w:p w14:paraId="5FDE722E" w14:textId="77777777" w:rsidR="00CE1726" w:rsidRDefault="00CE1726">
      <w:pPr>
        <w:spacing w:line="240" w:lineRule="auto"/>
      </w:pPr>
    </w:p>
  </w:footnote>
  <w:footnote w:id="2">
    <w:p w14:paraId="1BCFAB3C" w14:textId="6FCCFE13" w:rsidR="002A6EA1" w:rsidRDefault="002A6EA1">
      <w:pPr>
        <w:pStyle w:val="FootnoteText"/>
      </w:pPr>
      <w:r>
        <w:rPr>
          <w:rStyle w:val="FootnoteReference"/>
        </w:rPr>
        <w:footnoteRef/>
      </w:r>
      <w:r>
        <w:tab/>
      </w:r>
      <w:r w:rsidRPr="00C75D0B">
        <w:t>By Secretarial Letter issued July 3, 2018, the Commission granted Aqua’s request to depart from the requirements of 52 Pa. Code § 53.53(b)(2), and extend the 120-day interval for filing a general rate increase after the end of a historic test year</w:t>
      </w:r>
      <w:r>
        <w:t xml:space="preserve"> b</w:t>
      </w:r>
      <w:r w:rsidRPr="00C75D0B">
        <w:t xml:space="preserve">y </w:t>
      </w:r>
      <w:r>
        <w:t>nineteen</w:t>
      </w:r>
      <w:r w:rsidRPr="00C75D0B">
        <w:t xml:space="preserve"> days.</w:t>
      </w:r>
    </w:p>
  </w:footnote>
  <w:footnote w:id="3">
    <w:p w14:paraId="48CD97DD" w14:textId="4DCF0CE9" w:rsidR="002A6EA1" w:rsidRDefault="002A6EA1">
      <w:pPr>
        <w:pStyle w:val="FootnoteText"/>
      </w:pPr>
      <w:r>
        <w:rPr>
          <w:rStyle w:val="FootnoteReference"/>
        </w:rPr>
        <w:footnoteRef/>
      </w:r>
      <w:r>
        <w:tab/>
        <w:t>Pages 11 through 25 of the Recommended Decision contains a summary of these Public Input Hearings.</w:t>
      </w:r>
    </w:p>
  </w:footnote>
  <w:footnote w:id="4">
    <w:p w14:paraId="468FB24B" w14:textId="326C0F58" w:rsidR="002A6EA1" w:rsidRDefault="002A6EA1">
      <w:pPr>
        <w:pStyle w:val="FootnoteText"/>
      </w:pPr>
      <w:r>
        <w:rPr>
          <w:rStyle w:val="FootnoteReference"/>
        </w:rPr>
        <w:footnoteRef/>
      </w:r>
      <w:r>
        <w:tab/>
        <w:t>See pages 7 through 9 of the Recommended Decision for the list of admitted testimony and Exhibits.</w:t>
      </w:r>
    </w:p>
  </w:footnote>
  <w:footnote w:id="5">
    <w:p w14:paraId="1B3E9912" w14:textId="6F7A2451" w:rsidR="002A6EA1" w:rsidRDefault="002A6EA1">
      <w:pPr>
        <w:pStyle w:val="FootnoteText"/>
      </w:pPr>
      <w:r>
        <w:rPr>
          <w:rStyle w:val="FootnoteReference"/>
        </w:rPr>
        <w:footnoteRef/>
      </w:r>
      <w:r>
        <w:tab/>
        <w:t>Although Coyd Vance sent a document indicating that he joined the proposed Settlement, at Docket Nos. C-2018-3004912 and C-2018-3004913, those Formal Complaints are attributed to LGBA, which is represented by counsel and is a signatory party to the Joint Settlement.</w:t>
      </w:r>
    </w:p>
  </w:footnote>
  <w:footnote w:id="6">
    <w:p w14:paraId="4E9B150F" w14:textId="31794AA2" w:rsidR="002A6EA1" w:rsidRDefault="002A6EA1">
      <w:pPr>
        <w:pStyle w:val="FootnoteText"/>
      </w:pPr>
      <w:r>
        <w:rPr>
          <w:rStyle w:val="FootnoteReference"/>
        </w:rPr>
        <w:footnoteRef/>
      </w:r>
      <w:r>
        <w:tab/>
        <w:t>Appendix A to this Opinion and Order is based on Appendix D of the Settlement.</w:t>
      </w:r>
    </w:p>
  </w:footnote>
  <w:footnote w:id="7">
    <w:p w14:paraId="018724D4" w14:textId="09A6B691" w:rsidR="002A6EA1" w:rsidRPr="006968DC" w:rsidRDefault="002A6EA1" w:rsidP="00576015">
      <w:pPr>
        <w:pStyle w:val="FootnoteText"/>
      </w:pPr>
      <w:r w:rsidRPr="006968DC">
        <w:rPr>
          <w:rStyle w:val="FootnoteReference"/>
        </w:rPr>
        <w:footnoteRef/>
      </w:r>
      <w:r>
        <w:tab/>
        <w:t>As discussed below, in their Recommended Decision, the ALJs noted that TLPOA did not file any testimony in this proceeding; nor did it file any comments in opposition to the settlement.  R.D. at 63.</w:t>
      </w:r>
    </w:p>
  </w:footnote>
  <w:footnote w:id="8">
    <w:p w14:paraId="567122C9" w14:textId="49EBDFB0" w:rsidR="002A6EA1" w:rsidRPr="002D5416" w:rsidRDefault="002A6EA1" w:rsidP="00BF7B7E">
      <w:pPr>
        <w:pStyle w:val="FootnoteText"/>
      </w:pPr>
      <w:r w:rsidRPr="002D5416">
        <w:rPr>
          <w:rStyle w:val="FootnoteReference"/>
        </w:rPr>
        <w:footnoteRef/>
      </w:r>
      <w:r w:rsidRPr="002D5416">
        <w:tab/>
        <w:t>Mr. Curtius initially submitted Comments in Opposition on February 15, 2019.  However, he filed revised Comments in Opposition on February 18, 2019.  We shall summarize his revised Comments in Opposition.</w:t>
      </w:r>
    </w:p>
  </w:footnote>
  <w:footnote w:id="9">
    <w:p w14:paraId="643CAEAA" w14:textId="203BB378" w:rsidR="002A6EA1" w:rsidRPr="00FA1207" w:rsidRDefault="002A6EA1">
      <w:pPr>
        <w:pStyle w:val="FootnoteText"/>
      </w:pPr>
      <w:r>
        <w:rPr>
          <w:rStyle w:val="FootnoteReference"/>
        </w:rPr>
        <w:footnoteRef/>
      </w:r>
      <w:r>
        <w:tab/>
        <w:t xml:space="preserve">See R.D. at 64, 68-80 for a specific summary of each </w:t>
      </w:r>
      <w:r>
        <w:rPr>
          <w:i/>
        </w:rPr>
        <w:t xml:space="preserve">pro se </w:t>
      </w:r>
      <w:r>
        <w:t xml:space="preserve">Complainant’s comments.  </w:t>
      </w:r>
    </w:p>
  </w:footnote>
  <w:footnote w:id="10">
    <w:p w14:paraId="210399C5" w14:textId="45D87331" w:rsidR="002A6EA1" w:rsidRPr="00A1663F" w:rsidRDefault="002A6EA1">
      <w:pPr>
        <w:pStyle w:val="FootnoteText"/>
      </w:pPr>
      <w:r>
        <w:rPr>
          <w:rStyle w:val="FootnoteReference"/>
        </w:rPr>
        <w:footnoteRef/>
      </w:r>
      <w:r>
        <w:tab/>
        <w:t xml:space="preserve">In addition to the Main Division, TLPOA lists monthly water rate percentage increases for customers in the following rate divisions: Superior, Eagle Rock, Fawn Lake, Tanglewood, Thorhurst, Woodledge Village, Western, Pinecreast, Oakland Beech Lakeland Acres, Karatzerville, and East Cameron.  </w:t>
      </w:r>
      <w:r>
        <w:rPr>
          <w:i/>
        </w:rPr>
        <w:t xml:space="preserve">See </w:t>
      </w:r>
      <w:r w:rsidRPr="00496384">
        <w:t>TLPOA</w:t>
      </w:r>
      <w:r>
        <w:rPr>
          <w:i/>
        </w:rPr>
        <w:t xml:space="preserve"> </w:t>
      </w:r>
      <w:r>
        <w:t>Exc at 4, n.2.</w:t>
      </w:r>
    </w:p>
  </w:footnote>
  <w:footnote w:id="11">
    <w:p w14:paraId="7C7B7201" w14:textId="7A2A9238" w:rsidR="002A6EA1" w:rsidRPr="00646546" w:rsidRDefault="002A6EA1">
      <w:pPr>
        <w:pStyle w:val="FootnoteText"/>
      </w:pPr>
      <w:r>
        <w:rPr>
          <w:rStyle w:val="FootnoteReference"/>
        </w:rPr>
        <w:footnoteRef/>
      </w:r>
      <w:r>
        <w:tab/>
        <w:t xml:space="preserve">Specifically, TLPOA compares the monthly wastewater rate percentage increases Treasure Lake customers will receive with those for customers in the following rate divisions:  Willston Woods, Links at Gettysburg, Twin Hills, Withaven Division-Kidder Township, Eagle Rock, and Stony Creek.  </w:t>
      </w:r>
      <w:r>
        <w:rPr>
          <w:i/>
        </w:rPr>
        <w:t xml:space="preserve">See </w:t>
      </w:r>
      <w:r>
        <w:t>TLPOA Exc. at 5, 5, n.3.</w:t>
      </w:r>
    </w:p>
  </w:footnote>
  <w:footnote w:id="12">
    <w:p w14:paraId="2B655539" w14:textId="77777777" w:rsidR="002A6EA1" w:rsidRPr="00AD0224" w:rsidRDefault="002A6EA1" w:rsidP="003A04EC">
      <w:pPr>
        <w:pStyle w:val="FootnoteText"/>
        <w:contextualSpacing/>
      </w:pPr>
      <w:r w:rsidRPr="00AD0224">
        <w:tab/>
      </w:r>
      <w:r w:rsidRPr="00AD0224">
        <w:rPr>
          <w:rStyle w:val="FootnoteReference"/>
        </w:rPr>
        <w:footnoteRef/>
      </w:r>
      <w:r w:rsidRPr="00AD0224">
        <w:tab/>
        <w:t xml:space="preserve">Aqua points out that unlike the arguments TLPOA sets forth in its Exceptions, the bill comparisons in Appendix D have been agreed to by all the Joint Petitioners, are based on actual record evidence, were filed with the Joint Petition, and were made available for review and comment by all parties when the notice of the Joint Petition was served.  </w:t>
      </w:r>
      <w:r w:rsidRPr="00AD0224">
        <w:rPr>
          <w:i/>
        </w:rPr>
        <w:t xml:space="preserve">See </w:t>
      </w:r>
      <w:r w:rsidRPr="00BA1A6C">
        <w:t>Aqua R. Exc.</w:t>
      </w:r>
      <w:r w:rsidRPr="00AD0224">
        <w:rPr>
          <w:i/>
        </w:rPr>
        <w:t xml:space="preserve"> </w:t>
      </w:r>
      <w:r w:rsidRPr="00AD0224">
        <w:t>at 15, n.56.</w:t>
      </w:r>
    </w:p>
  </w:footnote>
  <w:footnote w:id="13">
    <w:p w14:paraId="22720FEF" w14:textId="77777777" w:rsidR="002A6EA1" w:rsidRDefault="002A6EA1" w:rsidP="00203E2F">
      <w:pPr>
        <w:pStyle w:val="FootnoteText"/>
      </w:pPr>
      <w:r>
        <w:rPr>
          <w:rStyle w:val="FootnoteReference"/>
        </w:rPr>
        <w:footnoteRef/>
      </w:r>
      <w:r>
        <w:tab/>
        <w:t>As previously noted, Appendix A of this Opinion and Order is based on Appendix D of the Settlement.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10E6"/>
    <w:multiLevelType w:val="multilevel"/>
    <w:tmpl w:val="E24E5558"/>
    <w:lvl w:ilvl="0">
      <w:start w:val="4"/>
      <w:numFmt w:val="decimal"/>
      <w:lvlText w:val="%1."/>
      <w:lvlJc w:val="left"/>
      <w:pPr>
        <w:tabs>
          <w:tab w:val="left"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AC0CC7"/>
    <w:multiLevelType w:val="multilevel"/>
    <w:tmpl w:val="AFA2773C"/>
    <w:lvl w:ilvl="0">
      <w:start w:val="1"/>
      <w:numFmt w:val="lowerLetter"/>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3F18A9"/>
    <w:multiLevelType w:val="hybridMultilevel"/>
    <w:tmpl w:val="3FEC8AF6"/>
    <w:lvl w:ilvl="0" w:tplc="89027386">
      <w:start w:val="1"/>
      <w:numFmt w:val="upperRoman"/>
      <w:lvlText w:val="%1."/>
      <w:lvlJc w:val="left"/>
      <w:pPr>
        <w:ind w:left="990" w:hanging="720"/>
      </w:pPr>
      <w:rPr>
        <w:rFonts w:hint="default"/>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24DE2054"/>
    <w:multiLevelType w:val="multilevel"/>
    <w:tmpl w:val="DD8CF10A"/>
    <w:lvl w:ilvl="0">
      <w:start w:val="52"/>
      <w:numFmt w:val="decimal"/>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0901BD"/>
    <w:multiLevelType w:val="multilevel"/>
    <w:tmpl w:val="D08C074C"/>
    <w:lvl w:ilvl="0">
      <w:start w:val="1"/>
      <w:numFmt w:val="lowerRoman"/>
      <w:lvlText w:val="%1."/>
      <w:lvlJc w:val="left"/>
      <w:pPr>
        <w:tabs>
          <w:tab w:val="left" w:pos="432"/>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172758"/>
    <w:multiLevelType w:val="hybridMultilevel"/>
    <w:tmpl w:val="1BCEFC9E"/>
    <w:lvl w:ilvl="0" w:tplc="365826B4">
      <w:start w:val="1"/>
      <w:numFmt w:val="decimal"/>
      <w:lvlText w:val="%1."/>
      <w:lvlJc w:val="left"/>
      <w:pPr>
        <w:tabs>
          <w:tab w:val="num" w:pos="2250"/>
        </w:tabs>
        <w:ind w:left="225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28561C76"/>
    <w:multiLevelType w:val="multilevel"/>
    <w:tmpl w:val="20C2FD96"/>
    <w:lvl w:ilvl="0">
      <w:start w:val="1"/>
      <w:numFmt w:val="lowerLetter"/>
      <w:lvlText w:val="%1."/>
      <w:lvlJc w:val="left"/>
      <w:pPr>
        <w:tabs>
          <w:tab w:val="left"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D17AA1"/>
    <w:multiLevelType w:val="multilevel"/>
    <w:tmpl w:val="AC6C2948"/>
    <w:lvl w:ilvl="0">
      <w:start w:val="45"/>
      <w:numFmt w:val="decimal"/>
      <w:lvlText w:val="%1."/>
      <w:lvlJc w:val="left"/>
      <w:pPr>
        <w:tabs>
          <w:tab w:val="left" w:pos="720"/>
        </w:tabs>
        <w:ind w:left="720"/>
      </w:pPr>
      <w:rPr>
        <w:rFonts w:ascii="Times New Roman" w:eastAsia="Times New Roman" w:hAnsi="Times New Roman"/>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22329D"/>
    <w:multiLevelType w:val="multilevel"/>
    <w:tmpl w:val="D1D43E30"/>
    <w:lvl w:ilvl="0">
      <w:start w:val="1"/>
      <w:numFmt w:val="lowerLetter"/>
      <w:lvlText w:val="%1."/>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B332C9"/>
    <w:multiLevelType w:val="hybridMultilevel"/>
    <w:tmpl w:val="891EE3A8"/>
    <w:lvl w:ilvl="0" w:tplc="8EE469F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3D0E6D"/>
    <w:multiLevelType w:val="multilevel"/>
    <w:tmpl w:val="448E6F6C"/>
    <w:lvl w:ilvl="0">
      <w:start w:val="1"/>
      <w:numFmt w:val="lowerLetter"/>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933A8D"/>
    <w:multiLevelType w:val="multilevel"/>
    <w:tmpl w:val="CD886C50"/>
    <w:lvl w:ilvl="0">
      <w:start w:val="19"/>
      <w:numFmt w:val="decimal"/>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BC4BB1"/>
    <w:multiLevelType w:val="multilevel"/>
    <w:tmpl w:val="CD886C50"/>
    <w:lvl w:ilvl="0">
      <w:start w:val="19"/>
      <w:numFmt w:val="decimal"/>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064C78"/>
    <w:multiLevelType w:val="hybridMultilevel"/>
    <w:tmpl w:val="0E9E0D5A"/>
    <w:lvl w:ilvl="0" w:tplc="93BE72F4">
      <w:start w:val="1"/>
      <w:numFmt w:val="decimal"/>
      <w:lvlText w:val="%1."/>
      <w:lvlJc w:val="left"/>
      <w:pPr>
        <w:ind w:left="1440" w:hanging="360"/>
      </w:pPr>
    </w:lvl>
    <w:lvl w:ilvl="1" w:tplc="04090019">
      <w:start w:val="1"/>
      <w:numFmt w:val="lowerLetter"/>
      <w:lvlText w:val="%2."/>
      <w:lvlJc w:val="left"/>
      <w:pPr>
        <w:ind w:left="2160" w:hanging="360"/>
      </w:pPr>
    </w:lvl>
    <w:lvl w:ilvl="2" w:tplc="D3FABFC4">
      <w:start w:val="2"/>
      <w:numFmt w:val="upperLetter"/>
      <w:lvlText w:val="%3."/>
      <w:lvlJc w:val="left"/>
      <w:pPr>
        <w:ind w:left="3060" w:hanging="360"/>
      </w:pPr>
      <w:rPr>
        <w:rFonts w:hint="default"/>
      </w:rPr>
    </w:lvl>
    <w:lvl w:ilvl="3" w:tplc="02F848EE">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6A038A1"/>
    <w:multiLevelType w:val="hybridMultilevel"/>
    <w:tmpl w:val="43EE7B2E"/>
    <w:lvl w:ilvl="0" w:tplc="17D0E1E8">
      <w:start w:val="13"/>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7D33FB1"/>
    <w:multiLevelType w:val="multilevel"/>
    <w:tmpl w:val="7A64D4FC"/>
    <w:lvl w:ilvl="0">
      <w:start w:val="4"/>
      <w:numFmt w:val="lowerLetter"/>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917FAA"/>
    <w:multiLevelType w:val="multilevel"/>
    <w:tmpl w:val="CCB86442"/>
    <w:lvl w:ilvl="0">
      <w:start w:val="1"/>
      <w:numFmt w:val="lowerLetter"/>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3C750B6"/>
    <w:multiLevelType w:val="hybridMultilevel"/>
    <w:tmpl w:val="F7A6283C"/>
    <w:lvl w:ilvl="0" w:tplc="F0E63A10">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81F5E16"/>
    <w:multiLevelType w:val="multilevel"/>
    <w:tmpl w:val="3B208ECC"/>
    <w:lvl w:ilvl="0">
      <w:start w:val="35"/>
      <w:numFmt w:val="decimal"/>
      <w:lvlText w:val="%1."/>
      <w:lvlJc w:val="left"/>
      <w:pPr>
        <w:tabs>
          <w:tab w:val="left" w:pos="648"/>
        </w:tabs>
        <w:ind w:left="720"/>
      </w:pPr>
      <w:rPr>
        <w:rFonts w:ascii="Times New Roman" w:eastAsia="Times New Roman" w:hAnsi="Times New Roman"/>
        <w:i w:val="0"/>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4D37AA"/>
    <w:multiLevelType w:val="hybridMultilevel"/>
    <w:tmpl w:val="D8967E58"/>
    <w:lvl w:ilvl="0" w:tplc="E522F6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9571BB0"/>
    <w:multiLevelType w:val="hybridMultilevel"/>
    <w:tmpl w:val="DBA29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E073B"/>
    <w:multiLevelType w:val="hybridMultilevel"/>
    <w:tmpl w:val="6E6CB124"/>
    <w:lvl w:ilvl="0" w:tplc="B6E626F2">
      <w:start w:val="1"/>
      <w:numFmt w:val="lowerRoman"/>
      <w:lvlText w:val="(%1)"/>
      <w:lvlJc w:val="left"/>
      <w:pPr>
        <w:ind w:left="5760" w:hanging="72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2" w15:restartNumberingAfterBreak="0">
    <w:nsid w:val="69B64210"/>
    <w:multiLevelType w:val="multilevel"/>
    <w:tmpl w:val="5E0A0634"/>
    <w:lvl w:ilvl="0">
      <w:start w:val="25"/>
      <w:numFmt w:val="decimal"/>
      <w:lvlText w:val="%1."/>
      <w:lvlJc w:val="left"/>
      <w:pPr>
        <w:tabs>
          <w:tab w:val="left" w:pos="720"/>
        </w:tabs>
        <w:ind w:left="720"/>
      </w:pPr>
      <w:rPr>
        <w:rFonts w:ascii="Times New Roman" w:eastAsia="Times New Roman" w:hAnsi="Times New Roman"/>
        <w:i w:val="0"/>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E4E6962"/>
    <w:multiLevelType w:val="hybridMultilevel"/>
    <w:tmpl w:val="26166126"/>
    <w:lvl w:ilvl="0" w:tplc="60FAB6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566841"/>
    <w:multiLevelType w:val="hybridMultilevel"/>
    <w:tmpl w:val="F2229556"/>
    <w:lvl w:ilvl="0" w:tplc="85A466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7CA942AB"/>
    <w:multiLevelType w:val="multilevel"/>
    <w:tmpl w:val="DCE26876"/>
    <w:lvl w:ilvl="0">
      <w:start w:val="1"/>
      <w:numFmt w:val="decimal"/>
      <w:lvlText w:val="%1."/>
      <w:lvlJc w:val="left"/>
      <w:pPr>
        <w:tabs>
          <w:tab w:val="left" w:pos="504"/>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F332032"/>
    <w:multiLevelType w:val="multilevel"/>
    <w:tmpl w:val="95ECFED4"/>
    <w:lvl w:ilvl="0">
      <w:start w:val="47"/>
      <w:numFmt w:val="decimal"/>
      <w:lvlText w:val="%1."/>
      <w:lvlJc w:val="left"/>
      <w:pPr>
        <w:tabs>
          <w:tab w:val="left" w:pos="720"/>
        </w:tabs>
        <w:ind w:left="720"/>
      </w:pPr>
      <w:rPr>
        <w:rFonts w:ascii="Times New Roman" w:eastAsia="Times New Roman" w:hAnsi="Times New Roman"/>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FD9726B"/>
    <w:multiLevelType w:val="multilevel"/>
    <w:tmpl w:val="7B587AEE"/>
    <w:lvl w:ilvl="0">
      <w:start w:val="1"/>
      <w:numFmt w:val="lowerLetter"/>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3"/>
  </w:num>
  <w:num w:numId="3">
    <w:abstractNumId w:val="23"/>
  </w:num>
  <w:num w:numId="4">
    <w:abstractNumId w:val="9"/>
  </w:num>
  <w:num w:numId="5">
    <w:abstractNumId w:val="21"/>
  </w:num>
  <w:num w:numId="6">
    <w:abstractNumId w:val="17"/>
  </w:num>
  <w:num w:numId="7">
    <w:abstractNumId w:val="19"/>
  </w:num>
  <w:num w:numId="8">
    <w:abstractNumId w:val="14"/>
  </w:num>
  <w:num w:numId="9">
    <w:abstractNumId w:val="24"/>
  </w:num>
  <w:num w:numId="10">
    <w:abstractNumId w:val="20"/>
  </w:num>
  <w:num w:numId="11">
    <w:abstractNumId w:val="11"/>
  </w:num>
  <w:num w:numId="12">
    <w:abstractNumId w:val="12"/>
  </w:num>
  <w:num w:numId="13">
    <w:abstractNumId w:val="22"/>
  </w:num>
  <w:num w:numId="14">
    <w:abstractNumId w:val="27"/>
  </w:num>
  <w:num w:numId="15">
    <w:abstractNumId w:val="10"/>
  </w:num>
  <w:num w:numId="16">
    <w:abstractNumId w:val="1"/>
  </w:num>
  <w:num w:numId="17">
    <w:abstractNumId w:val="18"/>
  </w:num>
  <w:num w:numId="18">
    <w:abstractNumId w:val="8"/>
  </w:num>
  <w:num w:numId="19">
    <w:abstractNumId w:val="4"/>
  </w:num>
  <w:num w:numId="20">
    <w:abstractNumId w:val="3"/>
  </w:num>
  <w:num w:numId="21">
    <w:abstractNumId w:val="6"/>
  </w:num>
  <w:num w:numId="22">
    <w:abstractNumId w:val="25"/>
  </w:num>
  <w:num w:numId="23">
    <w:abstractNumId w:val="0"/>
  </w:num>
  <w:num w:numId="24">
    <w:abstractNumId w:val="7"/>
  </w:num>
  <w:num w:numId="25">
    <w:abstractNumId w:val="26"/>
  </w:num>
  <w:num w:numId="26">
    <w:abstractNumId w:val="16"/>
  </w:num>
  <w:num w:numId="27">
    <w:abstractNumId w:val="1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83"/>
    <w:rsid w:val="00000DE2"/>
    <w:rsid w:val="00002784"/>
    <w:rsid w:val="00003DD6"/>
    <w:rsid w:val="00004FAA"/>
    <w:rsid w:val="00006499"/>
    <w:rsid w:val="000115B1"/>
    <w:rsid w:val="0001164E"/>
    <w:rsid w:val="00011EB5"/>
    <w:rsid w:val="00012DBA"/>
    <w:rsid w:val="000137A9"/>
    <w:rsid w:val="0001451D"/>
    <w:rsid w:val="00015BEC"/>
    <w:rsid w:val="00015EA9"/>
    <w:rsid w:val="00016FBE"/>
    <w:rsid w:val="00017E42"/>
    <w:rsid w:val="00020A36"/>
    <w:rsid w:val="00021ACB"/>
    <w:rsid w:val="00022C77"/>
    <w:rsid w:val="00023173"/>
    <w:rsid w:val="0002318A"/>
    <w:rsid w:val="0002482B"/>
    <w:rsid w:val="00025807"/>
    <w:rsid w:val="00025FED"/>
    <w:rsid w:val="00026B0B"/>
    <w:rsid w:val="00026DFA"/>
    <w:rsid w:val="00027078"/>
    <w:rsid w:val="000272D6"/>
    <w:rsid w:val="000272E1"/>
    <w:rsid w:val="00030160"/>
    <w:rsid w:val="00030391"/>
    <w:rsid w:val="00030A78"/>
    <w:rsid w:val="00031232"/>
    <w:rsid w:val="00031667"/>
    <w:rsid w:val="0003455A"/>
    <w:rsid w:val="000346D9"/>
    <w:rsid w:val="00034896"/>
    <w:rsid w:val="00035619"/>
    <w:rsid w:val="00037DAA"/>
    <w:rsid w:val="000401E8"/>
    <w:rsid w:val="0004092B"/>
    <w:rsid w:val="00043DD5"/>
    <w:rsid w:val="00044F82"/>
    <w:rsid w:val="00047FBC"/>
    <w:rsid w:val="00050707"/>
    <w:rsid w:val="00050D68"/>
    <w:rsid w:val="00050D88"/>
    <w:rsid w:val="0005113C"/>
    <w:rsid w:val="00051D79"/>
    <w:rsid w:val="000532D4"/>
    <w:rsid w:val="000532FE"/>
    <w:rsid w:val="00055F63"/>
    <w:rsid w:val="0005604B"/>
    <w:rsid w:val="0005637E"/>
    <w:rsid w:val="0005656B"/>
    <w:rsid w:val="00056C12"/>
    <w:rsid w:val="00056ED6"/>
    <w:rsid w:val="00057C3D"/>
    <w:rsid w:val="00062EA2"/>
    <w:rsid w:val="00064329"/>
    <w:rsid w:val="00064CDB"/>
    <w:rsid w:val="00066819"/>
    <w:rsid w:val="0006707F"/>
    <w:rsid w:val="000737D4"/>
    <w:rsid w:val="00073F9E"/>
    <w:rsid w:val="000743E1"/>
    <w:rsid w:val="00074639"/>
    <w:rsid w:val="0007536D"/>
    <w:rsid w:val="00080796"/>
    <w:rsid w:val="000837F0"/>
    <w:rsid w:val="00084A34"/>
    <w:rsid w:val="0008573D"/>
    <w:rsid w:val="0009066B"/>
    <w:rsid w:val="00091CE4"/>
    <w:rsid w:val="00093EDD"/>
    <w:rsid w:val="000945B3"/>
    <w:rsid w:val="0009479F"/>
    <w:rsid w:val="00094D38"/>
    <w:rsid w:val="00095AAE"/>
    <w:rsid w:val="000A0DD8"/>
    <w:rsid w:val="000A1058"/>
    <w:rsid w:val="000A18B1"/>
    <w:rsid w:val="000A2417"/>
    <w:rsid w:val="000A4E99"/>
    <w:rsid w:val="000A5671"/>
    <w:rsid w:val="000A5CD1"/>
    <w:rsid w:val="000A6FFD"/>
    <w:rsid w:val="000B0A78"/>
    <w:rsid w:val="000B1C67"/>
    <w:rsid w:val="000B1DB6"/>
    <w:rsid w:val="000B24E9"/>
    <w:rsid w:val="000B322B"/>
    <w:rsid w:val="000B3EF3"/>
    <w:rsid w:val="000B5230"/>
    <w:rsid w:val="000B55AE"/>
    <w:rsid w:val="000B66A7"/>
    <w:rsid w:val="000B6A0A"/>
    <w:rsid w:val="000B7E30"/>
    <w:rsid w:val="000B7F12"/>
    <w:rsid w:val="000C0707"/>
    <w:rsid w:val="000C1A97"/>
    <w:rsid w:val="000C2395"/>
    <w:rsid w:val="000C328D"/>
    <w:rsid w:val="000C3A4F"/>
    <w:rsid w:val="000C48C4"/>
    <w:rsid w:val="000C5390"/>
    <w:rsid w:val="000C5A63"/>
    <w:rsid w:val="000C667F"/>
    <w:rsid w:val="000C6ECF"/>
    <w:rsid w:val="000C7903"/>
    <w:rsid w:val="000C7C19"/>
    <w:rsid w:val="000D0EC7"/>
    <w:rsid w:val="000D1386"/>
    <w:rsid w:val="000D1409"/>
    <w:rsid w:val="000D17DD"/>
    <w:rsid w:val="000D2E34"/>
    <w:rsid w:val="000D5BDF"/>
    <w:rsid w:val="000D65C7"/>
    <w:rsid w:val="000E0863"/>
    <w:rsid w:val="000E1314"/>
    <w:rsid w:val="000E1932"/>
    <w:rsid w:val="000E2A5F"/>
    <w:rsid w:val="000E3247"/>
    <w:rsid w:val="000E3AB3"/>
    <w:rsid w:val="000E4BF2"/>
    <w:rsid w:val="000E5111"/>
    <w:rsid w:val="000E5327"/>
    <w:rsid w:val="000E65A7"/>
    <w:rsid w:val="000E774D"/>
    <w:rsid w:val="000E7F2C"/>
    <w:rsid w:val="000F0472"/>
    <w:rsid w:val="000F1E54"/>
    <w:rsid w:val="000F2211"/>
    <w:rsid w:val="000F3F62"/>
    <w:rsid w:val="000F41A4"/>
    <w:rsid w:val="000F5BF0"/>
    <w:rsid w:val="000F683A"/>
    <w:rsid w:val="00100514"/>
    <w:rsid w:val="001012D5"/>
    <w:rsid w:val="0010255B"/>
    <w:rsid w:val="00102BCA"/>
    <w:rsid w:val="00102EB0"/>
    <w:rsid w:val="001032FD"/>
    <w:rsid w:val="0010378D"/>
    <w:rsid w:val="00104116"/>
    <w:rsid w:val="00106955"/>
    <w:rsid w:val="001113BF"/>
    <w:rsid w:val="00112877"/>
    <w:rsid w:val="001133D5"/>
    <w:rsid w:val="001136A9"/>
    <w:rsid w:val="001177DE"/>
    <w:rsid w:val="001212FD"/>
    <w:rsid w:val="001221AE"/>
    <w:rsid w:val="00122204"/>
    <w:rsid w:val="0012296B"/>
    <w:rsid w:val="00122BAA"/>
    <w:rsid w:val="0012405A"/>
    <w:rsid w:val="0012426F"/>
    <w:rsid w:val="001244C9"/>
    <w:rsid w:val="001248BF"/>
    <w:rsid w:val="00125E24"/>
    <w:rsid w:val="001262E5"/>
    <w:rsid w:val="001263E1"/>
    <w:rsid w:val="00126BA6"/>
    <w:rsid w:val="00127072"/>
    <w:rsid w:val="00131342"/>
    <w:rsid w:val="001318A0"/>
    <w:rsid w:val="00131E7C"/>
    <w:rsid w:val="00132BFE"/>
    <w:rsid w:val="00133847"/>
    <w:rsid w:val="00133BE0"/>
    <w:rsid w:val="001340FD"/>
    <w:rsid w:val="001346A6"/>
    <w:rsid w:val="00134B50"/>
    <w:rsid w:val="001358C3"/>
    <w:rsid w:val="00136045"/>
    <w:rsid w:val="00136876"/>
    <w:rsid w:val="001403DF"/>
    <w:rsid w:val="0014056F"/>
    <w:rsid w:val="00140575"/>
    <w:rsid w:val="00141FBF"/>
    <w:rsid w:val="0014268E"/>
    <w:rsid w:val="00142B96"/>
    <w:rsid w:val="00143D08"/>
    <w:rsid w:val="00144568"/>
    <w:rsid w:val="00144ADB"/>
    <w:rsid w:val="001455F5"/>
    <w:rsid w:val="00146955"/>
    <w:rsid w:val="00147813"/>
    <w:rsid w:val="00147AE0"/>
    <w:rsid w:val="00151CED"/>
    <w:rsid w:val="001520E2"/>
    <w:rsid w:val="00152CA9"/>
    <w:rsid w:val="0015567E"/>
    <w:rsid w:val="00155781"/>
    <w:rsid w:val="001561ED"/>
    <w:rsid w:val="001564D6"/>
    <w:rsid w:val="00157B77"/>
    <w:rsid w:val="00160344"/>
    <w:rsid w:val="00160ADD"/>
    <w:rsid w:val="00161723"/>
    <w:rsid w:val="001619C0"/>
    <w:rsid w:val="001625DC"/>
    <w:rsid w:val="001634ED"/>
    <w:rsid w:val="0016477D"/>
    <w:rsid w:val="001652CA"/>
    <w:rsid w:val="0016726D"/>
    <w:rsid w:val="00170121"/>
    <w:rsid w:val="001715D1"/>
    <w:rsid w:val="0017187E"/>
    <w:rsid w:val="00171CE5"/>
    <w:rsid w:val="0017231B"/>
    <w:rsid w:val="00174B68"/>
    <w:rsid w:val="00174F7C"/>
    <w:rsid w:val="00176C15"/>
    <w:rsid w:val="00176C9A"/>
    <w:rsid w:val="00177198"/>
    <w:rsid w:val="00177260"/>
    <w:rsid w:val="0018008E"/>
    <w:rsid w:val="001826E9"/>
    <w:rsid w:val="00182A10"/>
    <w:rsid w:val="00182BE9"/>
    <w:rsid w:val="0018543E"/>
    <w:rsid w:val="00186354"/>
    <w:rsid w:val="0018648A"/>
    <w:rsid w:val="00187052"/>
    <w:rsid w:val="00187463"/>
    <w:rsid w:val="00187A42"/>
    <w:rsid w:val="0019078D"/>
    <w:rsid w:val="0019193C"/>
    <w:rsid w:val="00192B4A"/>
    <w:rsid w:val="001930D2"/>
    <w:rsid w:val="00193A47"/>
    <w:rsid w:val="00195B6C"/>
    <w:rsid w:val="0019718C"/>
    <w:rsid w:val="001976C1"/>
    <w:rsid w:val="001A0285"/>
    <w:rsid w:val="001A049A"/>
    <w:rsid w:val="001A24EF"/>
    <w:rsid w:val="001A3BD4"/>
    <w:rsid w:val="001A50CB"/>
    <w:rsid w:val="001A59D3"/>
    <w:rsid w:val="001B11AB"/>
    <w:rsid w:val="001B16EF"/>
    <w:rsid w:val="001B1701"/>
    <w:rsid w:val="001B2F75"/>
    <w:rsid w:val="001B425A"/>
    <w:rsid w:val="001B445B"/>
    <w:rsid w:val="001B4611"/>
    <w:rsid w:val="001B5254"/>
    <w:rsid w:val="001B57F3"/>
    <w:rsid w:val="001B6575"/>
    <w:rsid w:val="001B7A0C"/>
    <w:rsid w:val="001C045B"/>
    <w:rsid w:val="001C0CF7"/>
    <w:rsid w:val="001C11DB"/>
    <w:rsid w:val="001C1CB1"/>
    <w:rsid w:val="001C2767"/>
    <w:rsid w:val="001C33C8"/>
    <w:rsid w:val="001C3C30"/>
    <w:rsid w:val="001C44A4"/>
    <w:rsid w:val="001C48D1"/>
    <w:rsid w:val="001C5B8C"/>
    <w:rsid w:val="001C7379"/>
    <w:rsid w:val="001C74A5"/>
    <w:rsid w:val="001C78EE"/>
    <w:rsid w:val="001D12EE"/>
    <w:rsid w:val="001D1794"/>
    <w:rsid w:val="001D26BE"/>
    <w:rsid w:val="001D3336"/>
    <w:rsid w:val="001D400A"/>
    <w:rsid w:val="001D4D8E"/>
    <w:rsid w:val="001D4DBD"/>
    <w:rsid w:val="001D4E03"/>
    <w:rsid w:val="001D5996"/>
    <w:rsid w:val="001D5B0A"/>
    <w:rsid w:val="001D5D46"/>
    <w:rsid w:val="001D751B"/>
    <w:rsid w:val="001E0BE6"/>
    <w:rsid w:val="001E0E1B"/>
    <w:rsid w:val="001E0E4C"/>
    <w:rsid w:val="001E1A2F"/>
    <w:rsid w:val="001E2A7D"/>
    <w:rsid w:val="001E2B47"/>
    <w:rsid w:val="001E3495"/>
    <w:rsid w:val="001E44B1"/>
    <w:rsid w:val="001E5771"/>
    <w:rsid w:val="001E58B4"/>
    <w:rsid w:val="001F0AB5"/>
    <w:rsid w:val="001F0E09"/>
    <w:rsid w:val="001F1563"/>
    <w:rsid w:val="001F1A9E"/>
    <w:rsid w:val="001F21AC"/>
    <w:rsid w:val="001F274B"/>
    <w:rsid w:val="001F4EC9"/>
    <w:rsid w:val="001F53D1"/>
    <w:rsid w:val="001F5881"/>
    <w:rsid w:val="001F6370"/>
    <w:rsid w:val="001F707A"/>
    <w:rsid w:val="001F76F1"/>
    <w:rsid w:val="00200DA3"/>
    <w:rsid w:val="00201F73"/>
    <w:rsid w:val="002025EC"/>
    <w:rsid w:val="00202F15"/>
    <w:rsid w:val="00203175"/>
    <w:rsid w:val="00203E2F"/>
    <w:rsid w:val="002040DF"/>
    <w:rsid w:val="00205F77"/>
    <w:rsid w:val="002060CD"/>
    <w:rsid w:val="00206D1B"/>
    <w:rsid w:val="002102E5"/>
    <w:rsid w:val="002104D4"/>
    <w:rsid w:val="0021056B"/>
    <w:rsid w:val="00210D10"/>
    <w:rsid w:val="00211EB8"/>
    <w:rsid w:val="002130DD"/>
    <w:rsid w:val="0021320F"/>
    <w:rsid w:val="002136E3"/>
    <w:rsid w:val="002146E3"/>
    <w:rsid w:val="0021514A"/>
    <w:rsid w:val="002154AE"/>
    <w:rsid w:val="00215EC5"/>
    <w:rsid w:val="0021647B"/>
    <w:rsid w:val="002175B5"/>
    <w:rsid w:val="00217DFC"/>
    <w:rsid w:val="00217FA9"/>
    <w:rsid w:val="0022070A"/>
    <w:rsid w:val="0022079E"/>
    <w:rsid w:val="002218FF"/>
    <w:rsid w:val="002233BD"/>
    <w:rsid w:val="0022408B"/>
    <w:rsid w:val="002242FD"/>
    <w:rsid w:val="00226CE9"/>
    <w:rsid w:val="002305E6"/>
    <w:rsid w:val="002306E4"/>
    <w:rsid w:val="00230E5C"/>
    <w:rsid w:val="00231765"/>
    <w:rsid w:val="00234794"/>
    <w:rsid w:val="0023776D"/>
    <w:rsid w:val="00240638"/>
    <w:rsid w:val="00240A0B"/>
    <w:rsid w:val="00241BEB"/>
    <w:rsid w:val="00242110"/>
    <w:rsid w:val="0024257E"/>
    <w:rsid w:val="0024297C"/>
    <w:rsid w:val="00244658"/>
    <w:rsid w:val="0024796D"/>
    <w:rsid w:val="00247A11"/>
    <w:rsid w:val="002518E3"/>
    <w:rsid w:val="002540E4"/>
    <w:rsid w:val="00254A7D"/>
    <w:rsid w:val="00254FFF"/>
    <w:rsid w:val="0025662A"/>
    <w:rsid w:val="0026040C"/>
    <w:rsid w:val="00260707"/>
    <w:rsid w:val="002645E4"/>
    <w:rsid w:val="0026536B"/>
    <w:rsid w:val="00266119"/>
    <w:rsid w:val="002669F3"/>
    <w:rsid w:val="0026767F"/>
    <w:rsid w:val="0027053D"/>
    <w:rsid w:val="00273275"/>
    <w:rsid w:val="00273887"/>
    <w:rsid w:val="00275CF2"/>
    <w:rsid w:val="00276402"/>
    <w:rsid w:val="00276BDF"/>
    <w:rsid w:val="00277D89"/>
    <w:rsid w:val="00280862"/>
    <w:rsid w:val="00281560"/>
    <w:rsid w:val="00281AA8"/>
    <w:rsid w:val="002825A8"/>
    <w:rsid w:val="002829F4"/>
    <w:rsid w:val="00282CE8"/>
    <w:rsid w:val="00283E0D"/>
    <w:rsid w:val="002847C8"/>
    <w:rsid w:val="00284C77"/>
    <w:rsid w:val="002859A8"/>
    <w:rsid w:val="00286716"/>
    <w:rsid w:val="00291FB5"/>
    <w:rsid w:val="00292E48"/>
    <w:rsid w:val="00294A2A"/>
    <w:rsid w:val="00296659"/>
    <w:rsid w:val="002A02CF"/>
    <w:rsid w:val="002A030A"/>
    <w:rsid w:val="002A2AD4"/>
    <w:rsid w:val="002A3E26"/>
    <w:rsid w:val="002A4FB0"/>
    <w:rsid w:val="002A5390"/>
    <w:rsid w:val="002A53EC"/>
    <w:rsid w:val="002A6EA1"/>
    <w:rsid w:val="002A71DF"/>
    <w:rsid w:val="002A7694"/>
    <w:rsid w:val="002B07E8"/>
    <w:rsid w:val="002B170B"/>
    <w:rsid w:val="002B3766"/>
    <w:rsid w:val="002B3EF0"/>
    <w:rsid w:val="002B4961"/>
    <w:rsid w:val="002B59F1"/>
    <w:rsid w:val="002B7075"/>
    <w:rsid w:val="002C0237"/>
    <w:rsid w:val="002C0554"/>
    <w:rsid w:val="002C0FA3"/>
    <w:rsid w:val="002C12D2"/>
    <w:rsid w:val="002C13E0"/>
    <w:rsid w:val="002C19F6"/>
    <w:rsid w:val="002C27B8"/>
    <w:rsid w:val="002C2DDF"/>
    <w:rsid w:val="002C2F26"/>
    <w:rsid w:val="002C4EC5"/>
    <w:rsid w:val="002C548B"/>
    <w:rsid w:val="002C557F"/>
    <w:rsid w:val="002C5BC9"/>
    <w:rsid w:val="002C691C"/>
    <w:rsid w:val="002C7A4C"/>
    <w:rsid w:val="002D1D60"/>
    <w:rsid w:val="002D1E60"/>
    <w:rsid w:val="002D41A5"/>
    <w:rsid w:val="002D448C"/>
    <w:rsid w:val="002D4EA8"/>
    <w:rsid w:val="002D5324"/>
    <w:rsid w:val="002D5D42"/>
    <w:rsid w:val="002E0266"/>
    <w:rsid w:val="002E0C9E"/>
    <w:rsid w:val="002E19B5"/>
    <w:rsid w:val="002E1AE6"/>
    <w:rsid w:val="002E280C"/>
    <w:rsid w:val="002E2E0B"/>
    <w:rsid w:val="002E2E77"/>
    <w:rsid w:val="002E39EC"/>
    <w:rsid w:val="002E3F77"/>
    <w:rsid w:val="002E5DD7"/>
    <w:rsid w:val="002E6027"/>
    <w:rsid w:val="002E6CEA"/>
    <w:rsid w:val="002E6EA2"/>
    <w:rsid w:val="002E7CC1"/>
    <w:rsid w:val="002F10EC"/>
    <w:rsid w:val="002F166D"/>
    <w:rsid w:val="002F21E4"/>
    <w:rsid w:val="002F33B9"/>
    <w:rsid w:val="002F34CB"/>
    <w:rsid w:val="002F3E89"/>
    <w:rsid w:val="002F4EDC"/>
    <w:rsid w:val="002F589A"/>
    <w:rsid w:val="002F75FF"/>
    <w:rsid w:val="002F7E58"/>
    <w:rsid w:val="0030048C"/>
    <w:rsid w:val="003007A7"/>
    <w:rsid w:val="003008B1"/>
    <w:rsid w:val="00301C72"/>
    <w:rsid w:val="00301CA1"/>
    <w:rsid w:val="003034E1"/>
    <w:rsid w:val="00304420"/>
    <w:rsid w:val="003045D6"/>
    <w:rsid w:val="003062C7"/>
    <w:rsid w:val="00306657"/>
    <w:rsid w:val="00306706"/>
    <w:rsid w:val="003128C4"/>
    <w:rsid w:val="00312B2A"/>
    <w:rsid w:val="003134BE"/>
    <w:rsid w:val="00313C2A"/>
    <w:rsid w:val="0031449C"/>
    <w:rsid w:val="00314AC9"/>
    <w:rsid w:val="003154D7"/>
    <w:rsid w:val="003154E3"/>
    <w:rsid w:val="00317D3F"/>
    <w:rsid w:val="003207FF"/>
    <w:rsid w:val="003213BF"/>
    <w:rsid w:val="003216A1"/>
    <w:rsid w:val="00321743"/>
    <w:rsid w:val="003217DB"/>
    <w:rsid w:val="0032229C"/>
    <w:rsid w:val="00323798"/>
    <w:rsid w:val="00324992"/>
    <w:rsid w:val="00324E77"/>
    <w:rsid w:val="00326D8F"/>
    <w:rsid w:val="00327588"/>
    <w:rsid w:val="00330340"/>
    <w:rsid w:val="00333824"/>
    <w:rsid w:val="0033451F"/>
    <w:rsid w:val="00334667"/>
    <w:rsid w:val="003369EC"/>
    <w:rsid w:val="003379E5"/>
    <w:rsid w:val="00340040"/>
    <w:rsid w:val="00341148"/>
    <w:rsid w:val="00341327"/>
    <w:rsid w:val="00341AF5"/>
    <w:rsid w:val="003429ED"/>
    <w:rsid w:val="00342D0B"/>
    <w:rsid w:val="00343E1F"/>
    <w:rsid w:val="00347A77"/>
    <w:rsid w:val="0035073E"/>
    <w:rsid w:val="003539FB"/>
    <w:rsid w:val="003556CD"/>
    <w:rsid w:val="00355D38"/>
    <w:rsid w:val="00355E5D"/>
    <w:rsid w:val="00356EA9"/>
    <w:rsid w:val="00357310"/>
    <w:rsid w:val="0035790B"/>
    <w:rsid w:val="00357B3C"/>
    <w:rsid w:val="00361D28"/>
    <w:rsid w:val="003648BC"/>
    <w:rsid w:val="003649F9"/>
    <w:rsid w:val="00364FA9"/>
    <w:rsid w:val="0036594D"/>
    <w:rsid w:val="00366A5D"/>
    <w:rsid w:val="003671EC"/>
    <w:rsid w:val="00367217"/>
    <w:rsid w:val="0036738E"/>
    <w:rsid w:val="00367510"/>
    <w:rsid w:val="00367AD4"/>
    <w:rsid w:val="003721B6"/>
    <w:rsid w:val="0037225A"/>
    <w:rsid w:val="00372540"/>
    <w:rsid w:val="00372B28"/>
    <w:rsid w:val="00373212"/>
    <w:rsid w:val="00373B91"/>
    <w:rsid w:val="00373FFC"/>
    <w:rsid w:val="00374B23"/>
    <w:rsid w:val="00374B8E"/>
    <w:rsid w:val="00374C4C"/>
    <w:rsid w:val="00374F8B"/>
    <w:rsid w:val="00375281"/>
    <w:rsid w:val="003776D2"/>
    <w:rsid w:val="00380809"/>
    <w:rsid w:val="00380DCD"/>
    <w:rsid w:val="00382BD6"/>
    <w:rsid w:val="00383FE0"/>
    <w:rsid w:val="00384A1A"/>
    <w:rsid w:val="0038518B"/>
    <w:rsid w:val="00385274"/>
    <w:rsid w:val="003923F9"/>
    <w:rsid w:val="00392834"/>
    <w:rsid w:val="003929FC"/>
    <w:rsid w:val="00392FD3"/>
    <w:rsid w:val="00393A0E"/>
    <w:rsid w:val="0039408D"/>
    <w:rsid w:val="003940C9"/>
    <w:rsid w:val="003949B7"/>
    <w:rsid w:val="00394A5B"/>
    <w:rsid w:val="00394F59"/>
    <w:rsid w:val="00397773"/>
    <w:rsid w:val="003A04EC"/>
    <w:rsid w:val="003A1B93"/>
    <w:rsid w:val="003A2496"/>
    <w:rsid w:val="003A2E54"/>
    <w:rsid w:val="003A4166"/>
    <w:rsid w:val="003A49E6"/>
    <w:rsid w:val="003A51F6"/>
    <w:rsid w:val="003A5859"/>
    <w:rsid w:val="003A5D5C"/>
    <w:rsid w:val="003A6C66"/>
    <w:rsid w:val="003A7F91"/>
    <w:rsid w:val="003B230D"/>
    <w:rsid w:val="003B34F7"/>
    <w:rsid w:val="003B4CCE"/>
    <w:rsid w:val="003B5D6F"/>
    <w:rsid w:val="003B6F24"/>
    <w:rsid w:val="003B753A"/>
    <w:rsid w:val="003B7DF2"/>
    <w:rsid w:val="003B7FD9"/>
    <w:rsid w:val="003C0CF7"/>
    <w:rsid w:val="003C0E9E"/>
    <w:rsid w:val="003C1B45"/>
    <w:rsid w:val="003C2103"/>
    <w:rsid w:val="003C3424"/>
    <w:rsid w:val="003C3CB1"/>
    <w:rsid w:val="003D1682"/>
    <w:rsid w:val="003D183A"/>
    <w:rsid w:val="003D1FDB"/>
    <w:rsid w:val="003D3107"/>
    <w:rsid w:val="003D3B0F"/>
    <w:rsid w:val="003D5688"/>
    <w:rsid w:val="003D6CD8"/>
    <w:rsid w:val="003D7739"/>
    <w:rsid w:val="003D7F1C"/>
    <w:rsid w:val="003E00ED"/>
    <w:rsid w:val="003E092E"/>
    <w:rsid w:val="003E1741"/>
    <w:rsid w:val="003E23BE"/>
    <w:rsid w:val="003E4D75"/>
    <w:rsid w:val="003E551D"/>
    <w:rsid w:val="003E5D3E"/>
    <w:rsid w:val="003E61C9"/>
    <w:rsid w:val="003E66D7"/>
    <w:rsid w:val="003E6C84"/>
    <w:rsid w:val="003E7D95"/>
    <w:rsid w:val="003F001F"/>
    <w:rsid w:val="003F0695"/>
    <w:rsid w:val="003F073A"/>
    <w:rsid w:val="003F119C"/>
    <w:rsid w:val="003F3B97"/>
    <w:rsid w:val="003F6D6C"/>
    <w:rsid w:val="003F798A"/>
    <w:rsid w:val="00402912"/>
    <w:rsid w:val="00403957"/>
    <w:rsid w:val="004059BB"/>
    <w:rsid w:val="00406373"/>
    <w:rsid w:val="0041093B"/>
    <w:rsid w:val="00410E8B"/>
    <w:rsid w:val="00411148"/>
    <w:rsid w:val="004114BA"/>
    <w:rsid w:val="0041357C"/>
    <w:rsid w:val="004137E2"/>
    <w:rsid w:val="004140DF"/>
    <w:rsid w:val="00415883"/>
    <w:rsid w:val="00417A34"/>
    <w:rsid w:val="00420864"/>
    <w:rsid w:val="00420A59"/>
    <w:rsid w:val="0042117F"/>
    <w:rsid w:val="00422313"/>
    <w:rsid w:val="00422BB3"/>
    <w:rsid w:val="0042333B"/>
    <w:rsid w:val="0042344E"/>
    <w:rsid w:val="00423FA6"/>
    <w:rsid w:val="0042453F"/>
    <w:rsid w:val="00425B5B"/>
    <w:rsid w:val="00427038"/>
    <w:rsid w:val="004271EC"/>
    <w:rsid w:val="00431212"/>
    <w:rsid w:val="00431B37"/>
    <w:rsid w:val="00432323"/>
    <w:rsid w:val="004338B9"/>
    <w:rsid w:val="00434A6E"/>
    <w:rsid w:val="00434B06"/>
    <w:rsid w:val="00436331"/>
    <w:rsid w:val="004368E1"/>
    <w:rsid w:val="00437579"/>
    <w:rsid w:val="00437E31"/>
    <w:rsid w:val="00437E46"/>
    <w:rsid w:val="00437EDE"/>
    <w:rsid w:val="00440D47"/>
    <w:rsid w:val="00441020"/>
    <w:rsid w:val="004421D6"/>
    <w:rsid w:val="00442517"/>
    <w:rsid w:val="00442E1B"/>
    <w:rsid w:val="00443C2E"/>
    <w:rsid w:val="004442D9"/>
    <w:rsid w:val="004451D1"/>
    <w:rsid w:val="004457B5"/>
    <w:rsid w:val="004474B9"/>
    <w:rsid w:val="0045062E"/>
    <w:rsid w:val="00452EFC"/>
    <w:rsid w:val="0045445C"/>
    <w:rsid w:val="004559C0"/>
    <w:rsid w:val="00455E4E"/>
    <w:rsid w:val="00457B24"/>
    <w:rsid w:val="0046045E"/>
    <w:rsid w:val="00460527"/>
    <w:rsid w:val="00460715"/>
    <w:rsid w:val="004622BB"/>
    <w:rsid w:val="00462C9F"/>
    <w:rsid w:val="004651FF"/>
    <w:rsid w:val="00465204"/>
    <w:rsid w:val="00465E10"/>
    <w:rsid w:val="00465F8B"/>
    <w:rsid w:val="0046600C"/>
    <w:rsid w:val="00471188"/>
    <w:rsid w:val="00472E28"/>
    <w:rsid w:val="00474D64"/>
    <w:rsid w:val="0047566D"/>
    <w:rsid w:val="004762E8"/>
    <w:rsid w:val="00476646"/>
    <w:rsid w:val="0048039A"/>
    <w:rsid w:val="0048333C"/>
    <w:rsid w:val="00487334"/>
    <w:rsid w:val="00490DCC"/>
    <w:rsid w:val="00490E12"/>
    <w:rsid w:val="00490E40"/>
    <w:rsid w:val="00490FC1"/>
    <w:rsid w:val="004915D9"/>
    <w:rsid w:val="00491966"/>
    <w:rsid w:val="00492A58"/>
    <w:rsid w:val="00492D22"/>
    <w:rsid w:val="00493A7B"/>
    <w:rsid w:val="00493B74"/>
    <w:rsid w:val="00493E41"/>
    <w:rsid w:val="00494233"/>
    <w:rsid w:val="00496384"/>
    <w:rsid w:val="00497798"/>
    <w:rsid w:val="004A0109"/>
    <w:rsid w:val="004A03CA"/>
    <w:rsid w:val="004A1663"/>
    <w:rsid w:val="004A2AFB"/>
    <w:rsid w:val="004A2E8F"/>
    <w:rsid w:val="004A5AB7"/>
    <w:rsid w:val="004A67C4"/>
    <w:rsid w:val="004B0EF6"/>
    <w:rsid w:val="004B22E4"/>
    <w:rsid w:val="004B3F74"/>
    <w:rsid w:val="004B4847"/>
    <w:rsid w:val="004B4C78"/>
    <w:rsid w:val="004B4CCB"/>
    <w:rsid w:val="004B7E01"/>
    <w:rsid w:val="004B7F98"/>
    <w:rsid w:val="004C0E56"/>
    <w:rsid w:val="004C1DE1"/>
    <w:rsid w:val="004C1EAD"/>
    <w:rsid w:val="004C20CB"/>
    <w:rsid w:val="004C2477"/>
    <w:rsid w:val="004C272B"/>
    <w:rsid w:val="004C3247"/>
    <w:rsid w:val="004C329A"/>
    <w:rsid w:val="004C3304"/>
    <w:rsid w:val="004C3810"/>
    <w:rsid w:val="004C4E4A"/>
    <w:rsid w:val="004C4FAA"/>
    <w:rsid w:val="004C5EE5"/>
    <w:rsid w:val="004C7208"/>
    <w:rsid w:val="004C77C1"/>
    <w:rsid w:val="004C783E"/>
    <w:rsid w:val="004D0E27"/>
    <w:rsid w:val="004D18E7"/>
    <w:rsid w:val="004D3D27"/>
    <w:rsid w:val="004D5941"/>
    <w:rsid w:val="004D5AD8"/>
    <w:rsid w:val="004D6886"/>
    <w:rsid w:val="004D6DED"/>
    <w:rsid w:val="004D7E7F"/>
    <w:rsid w:val="004E1379"/>
    <w:rsid w:val="004E2212"/>
    <w:rsid w:val="004E24BB"/>
    <w:rsid w:val="004E3011"/>
    <w:rsid w:val="004E303A"/>
    <w:rsid w:val="004E50CD"/>
    <w:rsid w:val="004E6EA2"/>
    <w:rsid w:val="004F0366"/>
    <w:rsid w:val="004F06BA"/>
    <w:rsid w:val="004F20D3"/>
    <w:rsid w:val="004F25FC"/>
    <w:rsid w:val="004F3981"/>
    <w:rsid w:val="004F4321"/>
    <w:rsid w:val="004F4D1D"/>
    <w:rsid w:val="004F603F"/>
    <w:rsid w:val="004F642B"/>
    <w:rsid w:val="004F64FE"/>
    <w:rsid w:val="004F6B6C"/>
    <w:rsid w:val="004F755B"/>
    <w:rsid w:val="00500414"/>
    <w:rsid w:val="00501738"/>
    <w:rsid w:val="0050257A"/>
    <w:rsid w:val="00502AFF"/>
    <w:rsid w:val="00502C17"/>
    <w:rsid w:val="005070C4"/>
    <w:rsid w:val="005074A7"/>
    <w:rsid w:val="00510CB9"/>
    <w:rsid w:val="005116D8"/>
    <w:rsid w:val="00511829"/>
    <w:rsid w:val="00511AF0"/>
    <w:rsid w:val="00512E8A"/>
    <w:rsid w:val="0051470E"/>
    <w:rsid w:val="00515B9C"/>
    <w:rsid w:val="00516068"/>
    <w:rsid w:val="0051626F"/>
    <w:rsid w:val="005165D6"/>
    <w:rsid w:val="00516B13"/>
    <w:rsid w:val="00520722"/>
    <w:rsid w:val="005207DF"/>
    <w:rsid w:val="00520F3F"/>
    <w:rsid w:val="00522931"/>
    <w:rsid w:val="00522A32"/>
    <w:rsid w:val="00522B3A"/>
    <w:rsid w:val="00523600"/>
    <w:rsid w:val="00523B48"/>
    <w:rsid w:val="00523D42"/>
    <w:rsid w:val="0052453A"/>
    <w:rsid w:val="00524B4E"/>
    <w:rsid w:val="005253E0"/>
    <w:rsid w:val="00525DD5"/>
    <w:rsid w:val="00526916"/>
    <w:rsid w:val="00527B51"/>
    <w:rsid w:val="00530335"/>
    <w:rsid w:val="00533F9A"/>
    <w:rsid w:val="00534C94"/>
    <w:rsid w:val="005354F9"/>
    <w:rsid w:val="0053702B"/>
    <w:rsid w:val="005409D3"/>
    <w:rsid w:val="00540C54"/>
    <w:rsid w:val="005414F8"/>
    <w:rsid w:val="00542770"/>
    <w:rsid w:val="00543626"/>
    <w:rsid w:val="00545334"/>
    <w:rsid w:val="00545AC9"/>
    <w:rsid w:val="00545F98"/>
    <w:rsid w:val="00546F7A"/>
    <w:rsid w:val="00547481"/>
    <w:rsid w:val="00547CE1"/>
    <w:rsid w:val="00550D12"/>
    <w:rsid w:val="00551035"/>
    <w:rsid w:val="0055177B"/>
    <w:rsid w:val="00551F56"/>
    <w:rsid w:val="00551F91"/>
    <w:rsid w:val="00552E11"/>
    <w:rsid w:val="00552F5A"/>
    <w:rsid w:val="00553561"/>
    <w:rsid w:val="00553636"/>
    <w:rsid w:val="00553D37"/>
    <w:rsid w:val="00553D7F"/>
    <w:rsid w:val="005543B7"/>
    <w:rsid w:val="0055471D"/>
    <w:rsid w:val="005551AF"/>
    <w:rsid w:val="00555A18"/>
    <w:rsid w:val="00555B39"/>
    <w:rsid w:val="00555B98"/>
    <w:rsid w:val="00556A77"/>
    <w:rsid w:val="00556BAF"/>
    <w:rsid w:val="00557066"/>
    <w:rsid w:val="005575CE"/>
    <w:rsid w:val="0055792E"/>
    <w:rsid w:val="0056027F"/>
    <w:rsid w:val="00560925"/>
    <w:rsid w:val="00561CE8"/>
    <w:rsid w:val="005633EB"/>
    <w:rsid w:val="00563664"/>
    <w:rsid w:val="00563DAC"/>
    <w:rsid w:val="00564626"/>
    <w:rsid w:val="005663F2"/>
    <w:rsid w:val="00566940"/>
    <w:rsid w:val="005669F7"/>
    <w:rsid w:val="005675B7"/>
    <w:rsid w:val="0057056D"/>
    <w:rsid w:val="0057087D"/>
    <w:rsid w:val="005716DE"/>
    <w:rsid w:val="005719DA"/>
    <w:rsid w:val="00571F86"/>
    <w:rsid w:val="0057297F"/>
    <w:rsid w:val="00572FE2"/>
    <w:rsid w:val="00573927"/>
    <w:rsid w:val="0057421E"/>
    <w:rsid w:val="00575E10"/>
    <w:rsid w:val="00576015"/>
    <w:rsid w:val="005768E6"/>
    <w:rsid w:val="0058089C"/>
    <w:rsid w:val="005812BA"/>
    <w:rsid w:val="00581CC5"/>
    <w:rsid w:val="0058326F"/>
    <w:rsid w:val="00583EAA"/>
    <w:rsid w:val="005841F6"/>
    <w:rsid w:val="005842D6"/>
    <w:rsid w:val="00586097"/>
    <w:rsid w:val="00586106"/>
    <w:rsid w:val="00586404"/>
    <w:rsid w:val="00586A4E"/>
    <w:rsid w:val="005874BC"/>
    <w:rsid w:val="005874DA"/>
    <w:rsid w:val="00587B5C"/>
    <w:rsid w:val="00590044"/>
    <w:rsid w:val="005910C3"/>
    <w:rsid w:val="00592C5B"/>
    <w:rsid w:val="005934D4"/>
    <w:rsid w:val="00594692"/>
    <w:rsid w:val="00594F6C"/>
    <w:rsid w:val="00595AD2"/>
    <w:rsid w:val="00596380"/>
    <w:rsid w:val="00597021"/>
    <w:rsid w:val="005975AF"/>
    <w:rsid w:val="0059793D"/>
    <w:rsid w:val="005A034D"/>
    <w:rsid w:val="005A043F"/>
    <w:rsid w:val="005A1474"/>
    <w:rsid w:val="005A1B78"/>
    <w:rsid w:val="005A1FCB"/>
    <w:rsid w:val="005A29E5"/>
    <w:rsid w:val="005A5279"/>
    <w:rsid w:val="005A5419"/>
    <w:rsid w:val="005A5AF4"/>
    <w:rsid w:val="005A6049"/>
    <w:rsid w:val="005A7B68"/>
    <w:rsid w:val="005B03C1"/>
    <w:rsid w:val="005B06AE"/>
    <w:rsid w:val="005B197C"/>
    <w:rsid w:val="005B28E9"/>
    <w:rsid w:val="005B2B96"/>
    <w:rsid w:val="005B4245"/>
    <w:rsid w:val="005B4A9A"/>
    <w:rsid w:val="005B6595"/>
    <w:rsid w:val="005B75A3"/>
    <w:rsid w:val="005C0586"/>
    <w:rsid w:val="005C25D5"/>
    <w:rsid w:val="005C27D3"/>
    <w:rsid w:val="005C3179"/>
    <w:rsid w:val="005C3519"/>
    <w:rsid w:val="005C3579"/>
    <w:rsid w:val="005C397B"/>
    <w:rsid w:val="005C3F4E"/>
    <w:rsid w:val="005C5623"/>
    <w:rsid w:val="005C7546"/>
    <w:rsid w:val="005D1208"/>
    <w:rsid w:val="005D1C0A"/>
    <w:rsid w:val="005D273B"/>
    <w:rsid w:val="005D2923"/>
    <w:rsid w:val="005D2A16"/>
    <w:rsid w:val="005D35CA"/>
    <w:rsid w:val="005D401E"/>
    <w:rsid w:val="005D4A33"/>
    <w:rsid w:val="005D4AD7"/>
    <w:rsid w:val="005D51D9"/>
    <w:rsid w:val="005D585F"/>
    <w:rsid w:val="005D5E93"/>
    <w:rsid w:val="005D5F9B"/>
    <w:rsid w:val="005E0486"/>
    <w:rsid w:val="005E04E4"/>
    <w:rsid w:val="005E063C"/>
    <w:rsid w:val="005E0A47"/>
    <w:rsid w:val="005E0D4D"/>
    <w:rsid w:val="005E0E10"/>
    <w:rsid w:val="005E0E39"/>
    <w:rsid w:val="005E2472"/>
    <w:rsid w:val="005E25D6"/>
    <w:rsid w:val="005E3690"/>
    <w:rsid w:val="005E473E"/>
    <w:rsid w:val="005E6583"/>
    <w:rsid w:val="005F0333"/>
    <w:rsid w:val="005F0F95"/>
    <w:rsid w:val="005F101B"/>
    <w:rsid w:val="005F1859"/>
    <w:rsid w:val="005F2703"/>
    <w:rsid w:val="005F3A98"/>
    <w:rsid w:val="005F3DDD"/>
    <w:rsid w:val="005F4237"/>
    <w:rsid w:val="005F5D1E"/>
    <w:rsid w:val="005F60EC"/>
    <w:rsid w:val="005F7ECB"/>
    <w:rsid w:val="00600FC7"/>
    <w:rsid w:val="006010AF"/>
    <w:rsid w:val="00601460"/>
    <w:rsid w:val="00603497"/>
    <w:rsid w:val="00603576"/>
    <w:rsid w:val="00603BB4"/>
    <w:rsid w:val="006104DE"/>
    <w:rsid w:val="00611A3D"/>
    <w:rsid w:val="00613283"/>
    <w:rsid w:val="00615258"/>
    <w:rsid w:val="00615810"/>
    <w:rsid w:val="0061643F"/>
    <w:rsid w:val="00616D8E"/>
    <w:rsid w:val="00617B5B"/>
    <w:rsid w:val="006202FB"/>
    <w:rsid w:val="006209A2"/>
    <w:rsid w:val="00621181"/>
    <w:rsid w:val="0062157E"/>
    <w:rsid w:val="006217D8"/>
    <w:rsid w:val="00621903"/>
    <w:rsid w:val="00622D30"/>
    <w:rsid w:val="006230E7"/>
    <w:rsid w:val="00623AC6"/>
    <w:rsid w:val="006241AD"/>
    <w:rsid w:val="00625B0D"/>
    <w:rsid w:val="006270D0"/>
    <w:rsid w:val="006275A1"/>
    <w:rsid w:val="006276F2"/>
    <w:rsid w:val="00627928"/>
    <w:rsid w:val="00627B28"/>
    <w:rsid w:val="00630DDC"/>
    <w:rsid w:val="006314CC"/>
    <w:rsid w:val="00634680"/>
    <w:rsid w:val="00634AA4"/>
    <w:rsid w:val="00634F96"/>
    <w:rsid w:val="00634FA4"/>
    <w:rsid w:val="00636B6C"/>
    <w:rsid w:val="006409E5"/>
    <w:rsid w:val="00644F70"/>
    <w:rsid w:val="00645164"/>
    <w:rsid w:val="00645A41"/>
    <w:rsid w:val="00646546"/>
    <w:rsid w:val="00647865"/>
    <w:rsid w:val="00651672"/>
    <w:rsid w:val="00652930"/>
    <w:rsid w:val="006535A3"/>
    <w:rsid w:val="006537CA"/>
    <w:rsid w:val="00654AEC"/>
    <w:rsid w:val="0065528A"/>
    <w:rsid w:val="006555CF"/>
    <w:rsid w:val="00655A4E"/>
    <w:rsid w:val="006568AA"/>
    <w:rsid w:val="006568DF"/>
    <w:rsid w:val="006576C7"/>
    <w:rsid w:val="00657748"/>
    <w:rsid w:val="00657ACC"/>
    <w:rsid w:val="006603BE"/>
    <w:rsid w:val="0066056F"/>
    <w:rsid w:val="0066176A"/>
    <w:rsid w:val="0066228A"/>
    <w:rsid w:val="006632C1"/>
    <w:rsid w:val="00663666"/>
    <w:rsid w:val="00664F8D"/>
    <w:rsid w:val="006654D6"/>
    <w:rsid w:val="00665C7C"/>
    <w:rsid w:val="006665D0"/>
    <w:rsid w:val="006668B7"/>
    <w:rsid w:val="00666E2E"/>
    <w:rsid w:val="00667502"/>
    <w:rsid w:val="00670E98"/>
    <w:rsid w:val="006711A1"/>
    <w:rsid w:val="0067125B"/>
    <w:rsid w:val="006717CC"/>
    <w:rsid w:val="006736E6"/>
    <w:rsid w:val="00673994"/>
    <w:rsid w:val="00673D00"/>
    <w:rsid w:val="0067416F"/>
    <w:rsid w:val="006745FF"/>
    <w:rsid w:val="00676A9A"/>
    <w:rsid w:val="006813F5"/>
    <w:rsid w:val="00682558"/>
    <w:rsid w:val="00682743"/>
    <w:rsid w:val="00682C2E"/>
    <w:rsid w:val="006838D0"/>
    <w:rsid w:val="00686C97"/>
    <w:rsid w:val="00686ECB"/>
    <w:rsid w:val="00687826"/>
    <w:rsid w:val="0068792B"/>
    <w:rsid w:val="0069277E"/>
    <w:rsid w:val="00693818"/>
    <w:rsid w:val="0069396D"/>
    <w:rsid w:val="00693987"/>
    <w:rsid w:val="00693F31"/>
    <w:rsid w:val="00694993"/>
    <w:rsid w:val="00694C65"/>
    <w:rsid w:val="006A0A09"/>
    <w:rsid w:val="006A0EB6"/>
    <w:rsid w:val="006A1343"/>
    <w:rsid w:val="006A1AC4"/>
    <w:rsid w:val="006A3489"/>
    <w:rsid w:val="006A3DA8"/>
    <w:rsid w:val="006A4112"/>
    <w:rsid w:val="006A442F"/>
    <w:rsid w:val="006A4F02"/>
    <w:rsid w:val="006A6706"/>
    <w:rsid w:val="006A74A4"/>
    <w:rsid w:val="006B0B52"/>
    <w:rsid w:val="006B0FFC"/>
    <w:rsid w:val="006B195C"/>
    <w:rsid w:val="006B1DB5"/>
    <w:rsid w:val="006B1FC2"/>
    <w:rsid w:val="006B442F"/>
    <w:rsid w:val="006B4CA9"/>
    <w:rsid w:val="006B54D9"/>
    <w:rsid w:val="006B76C4"/>
    <w:rsid w:val="006B7DBE"/>
    <w:rsid w:val="006C0376"/>
    <w:rsid w:val="006C354D"/>
    <w:rsid w:val="006C363A"/>
    <w:rsid w:val="006C3CDC"/>
    <w:rsid w:val="006C3EC7"/>
    <w:rsid w:val="006C54B4"/>
    <w:rsid w:val="006C5B94"/>
    <w:rsid w:val="006C6511"/>
    <w:rsid w:val="006C69CD"/>
    <w:rsid w:val="006C6ECF"/>
    <w:rsid w:val="006C7549"/>
    <w:rsid w:val="006C7698"/>
    <w:rsid w:val="006C7F32"/>
    <w:rsid w:val="006D1E5A"/>
    <w:rsid w:val="006D2765"/>
    <w:rsid w:val="006D30A5"/>
    <w:rsid w:val="006D36CD"/>
    <w:rsid w:val="006D451D"/>
    <w:rsid w:val="006D50C3"/>
    <w:rsid w:val="006D68A1"/>
    <w:rsid w:val="006D6A30"/>
    <w:rsid w:val="006D6B14"/>
    <w:rsid w:val="006D6F0D"/>
    <w:rsid w:val="006E0686"/>
    <w:rsid w:val="006E3651"/>
    <w:rsid w:val="006E4A4F"/>
    <w:rsid w:val="006E5B83"/>
    <w:rsid w:val="006E7546"/>
    <w:rsid w:val="006E779C"/>
    <w:rsid w:val="006F02C2"/>
    <w:rsid w:val="006F0EC3"/>
    <w:rsid w:val="006F3ED1"/>
    <w:rsid w:val="006F5DDD"/>
    <w:rsid w:val="006F707A"/>
    <w:rsid w:val="006F78D9"/>
    <w:rsid w:val="00701817"/>
    <w:rsid w:val="00702E4B"/>
    <w:rsid w:val="00703592"/>
    <w:rsid w:val="007036B5"/>
    <w:rsid w:val="0070448B"/>
    <w:rsid w:val="007059A1"/>
    <w:rsid w:val="00705C38"/>
    <w:rsid w:val="0070770F"/>
    <w:rsid w:val="007118AA"/>
    <w:rsid w:val="00712189"/>
    <w:rsid w:val="007131F2"/>
    <w:rsid w:val="0071364C"/>
    <w:rsid w:val="00714614"/>
    <w:rsid w:val="00714A85"/>
    <w:rsid w:val="00715D00"/>
    <w:rsid w:val="00716993"/>
    <w:rsid w:val="00717035"/>
    <w:rsid w:val="00720654"/>
    <w:rsid w:val="007213B0"/>
    <w:rsid w:val="00723833"/>
    <w:rsid w:val="0072412D"/>
    <w:rsid w:val="007245D0"/>
    <w:rsid w:val="00724653"/>
    <w:rsid w:val="00725526"/>
    <w:rsid w:val="00725938"/>
    <w:rsid w:val="00726A65"/>
    <w:rsid w:val="00727635"/>
    <w:rsid w:val="00727AFC"/>
    <w:rsid w:val="007307E1"/>
    <w:rsid w:val="00731F03"/>
    <w:rsid w:val="007327BB"/>
    <w:rsid w:val="00735BA1"/>
    <w:rsid w:val="00737ACC"/>
    <w:rsid w:val="007419D6"/>
    <w:rsid w:val="00741A3A"/>
    <w:rsid w:val="00741AF3"/>
    <w:rsid w:val="00742790"/>
    <w:rsid w:val="00742E58"/>
    <w:rsid w:val="00742ECB"/>
    <w:rsid w:val="00743DE8"/>
    <w:rsid w:val="0074451E"/>
    <w:rsid w:val="0074520B"/>
    <w:rsid w:val="00745873"/>
    <w:rsid w:val="00746702"/>
    <w:rsid w:val="00746930"/>
    <w:rsid w:val="00746B74"/>
    <w:rsid w:val="0075060A"/>
    <w:rsid w:val="00751625"/>
    <w:rsid w:val="0075273B"/>
    <w:rsid w:val="007528CF"/>
    <w:rsid w:val="0075320D"/>
    <w:rsid w:val="00753896"/>
    <w:rsid w:val="0075480B"/>
    <w:rsid w:val="0075569C"/>
    <w:rsid w:val="00756C15"/>
    <w:rsid w:val="007570A4"/>
    <w:rsid w:val="007574ED"/>
    <w:rsid w:val="0076047E"/>
    <w:rsid w:val="00760BCC"/>
    <w:rsid w:val="00761718"/>
    <w:rsid w:val="00763903"/>
    <w:rsid w:val="00763F09"/>
    <w:rsid w:val="00765095"/>
    <w:rsid w:val="00766ACC"/>
    <w:rsid w:val="00770013"/>
    <w:rsid w:val="007724B5"/>
    <w:rsid w:val="00773416"/>
    <w:rsid w:val="00775C76"/>
    <w:rsid w:val="00775CF9"/>
    <w:rsid w:val="00775D09"/>
    <w:rsid w:val="00776196"/>
    <w:rsid w:val="007769DF"/>
    <w:rsid w:val="00776AA7"/>
    <w:rsid w:val="00777194"/>
    <w:rsid w:val="00777244"/>
    <w:rsid w:val="00781661"/>
    <w:rsid w:val="00781900"/>
    <w:rsid w:val="007823D9"/>
    <w:rsid w:val="00785D55"/>
    <w:rsid w:val="007879BB"/>
    <w:rsid w:val="00790388"/>
    <w:rsid w:val="00792C5F"/>
    <w:rsid w:val="00794C19"/>
    <w:rsid w:val="0079666C"/>
    <w:rsid w:val="00796A72"/>
    <w:rsid w:val="00796E24"/>
    <w:rsid w:val="00796EE7"/>
    <w:rsid w:val="007974FE"/>
    <w:rsid w:val="007A1486"/>
    <w:rsid w:val="007A151B"/>
    <w:rsid w:val="007A27DC"/>
    <w:rsid w:val="007A3D7A"/>
    <w:rsid w:val="007A4C8E"/>
    <w:rsid w:val="007A5D96"/>
    <w:rsid w:val="007A73F4"/>
    <w:rsid w:val="007B0720"/>
    <w:rsid w:val="007B0F84"/>
    <w:rsid w:val="007B1327"/>
    <w:rsid w:val="007B192B"/>
    <w:rsid w:val="007B3648"/>
    <w:rsid w:val="007B4465"/>
    <w:rsid w:val="007B467F"/>
    <w:rsid w:val="007B50D9"/>
    <w:rsid w:val="007B50E7"/>
    <w:rsid w:val="007B54BC"/>
    <w:rsid w:val="007B776E"/>
    <w:rsid w:val="007C053F"/>
    <w:rsid w:val="007C082D"/>
    <w:rsid w:val="007C1CFA"/>
    <w:rsid w:val="007C200D"/>
    <w:rsid w:val="007C26DD"/>
    <w:rsid w:val="007C2AAB"/>
    <w:rsid w:val="007C3FC1"/>
    <w:rsid w:val="007C5BB0"/>
    <w:rsid w:val="007C74B0"/>
    <w:rsid w:val="007C7863"/>
    <w:rsid w:val="007C7B03"/>
    <w:rsid w:val="007D12F9"/>
    <w:rsid w:val="007D2340"/>
    <w:rsid w:val="007D267E"/>
    <w:rsid w:val="007D3982"/>
    <w:rsid w:val="007D3E04"/>
    <w:rsid w:val="007D4F0F"/>
    <w:rsid w:val="007D65AA"/>
    <w:rsid w:val="007D69D2"/>
    <w:rsid w:val="007D6E22"/>
    <w:rsid w:val="007D6F87"/>
    <w:rsid w:val="007D73D0"/>
    <w:rsid w:val="007E05CC"/>
    <w:rsid w:val="007E0F20"/>
    <w:rsid w:val="007E296B"/>
    <w:rsid w:val="007E2993"/>
    <w:rsid w:val="007E2B19"/>
    <w:rsid w:val="007E3C73"/>
    <w:rsid w:val="007E43A8"/>
    <w:rsid w:val="007E573B"/>
    <w:rsid w:val="007E5986"/>
    <w:rsid w:val="007E6669"/>
    <w:rsid w:val="007E6C1D"/>
    <w:rsid w:val="007F123A"/>
    <w:rsid w:val="007F18D7"/>
    <w:rsid w:val="007F1CE5"/>
    <w:rsid w:val="007F31AA"/>
    <w:rsid w:val="007F3377"/>
    <w:rsid w:val="007F3961"/>
    <w:rsid w:val="007F4160"/>
    <w:rsid w:val="007F4788"/>
    <w:rsid w:val="007F6343"/>
    <w:rsid w:val="007F669A"/>
    <w:rsid w:val="007F71DD"/>
    <w:rsid w:val="007F7B73"/>
    <w:rsid w:val="008017FB"/>
    <w:rsid w:val="00803041"/>
    <w:rsid w:val="00804138"/>
    <w:rsid w:val="00804586"/>
    <w:rsid w:val="00806798"/>
    <w:rsid w:val="00806E01"/>
    <w:rsid w:val="008102DB"/>
    <w:rsid w:val="00810EA6"/>
    <w:rsid w:val="00810FDA"/>
    <w:rsid w:val="008121A2"/>
    <w:rsid w:val="00812784"/>
    <w:rsid w:val="00812ADF"/>
    <w:rsid w:val="008133F5"/>
    <w:rsid w:val="00814588"/>
    <w:rsid w:val="008146D0"/>
    <w:rsid w:val="00815284"/>
    <w:rsid w:val="00815548"/>
    <w:rsid w:val="0081686C"/>
    <w:rsid w:val="00820337"/>
    <w:rsid w:val="008207E3"/>
    <w:rsid w:val="008214E7"/>
    <w:rsid w:val="008220BF"/>
    <w:rsid w:val="00822BAB"/>
    <w:rsid w:val="00822DCE"/>
    <w:rsid w:val="00823016"/>
    <w:rsid w:val="008243AB"/>
    <w:rsid w:val="00824B31"/>
    <w:rsid w:val="008256C4"/>
    <w:rsid w:val="00826C4F"/>
    <w:rsid w:val="00827890"/>
    <w:rsid w:val="00827BB1"/>
    <w:rsid w:val="00830475"/>
    <w:rsid w:val="00832768"/>
    <w:rsid w:val="00832AF1"/>
    <w:rsid w:val="00832EA5"/>
    <w:rsid w:val="0083335C"/>
    <w:rsid w:val="008342D6"/>
    <w:rsid w:val="00837AA0"/>
    <w:rsid w:val="008402F6"/>
    <w:rsid w:val="008403B7"/>
    <w:rsid w:val="008412B6"/>
    <w:rsid w:val="00841BED"/>
    <w:rsid w:val="00841D6C"/>
    <w:rsid w:val="00842443"/>
    <w:rsid w:val="00842B6E"/>
    <w:rsid w:val="008435FC"/>
    <w:rsid w:val="008438E0"/>
    <w:rsid w:val="00843C39"/>
    <w:rsid w:val="00845289"/>
    <w:rsid w:val="00845D49"/>
    <w:rsid w:val="00845E90"/>
    <w:rsid w:val="008462B1"/>
    <w:rsid w:val="0085037E"/>
    <w:rsid w:val="008511EE"/>
    <w:rsid w:val="00851631"/>
    <w:rsid w:val="00851E13"/>
    <w:rsid w:val="00853480"/>
    <w:rsid w:val="0085385F"/>
    <w:rsid w:val="008547F3"/>
    <w:rsid w:val="00854A46"/>
    <w:rsid w:val="00854BFE"/>
    <w:rsid w:val="0085521A"/>
    <w:rsid w:val="008578F8"/>
    <w:rsid w:val="00857B22"/>
    <w:rsid w:val="008603D2"/>
    <w:rsid w:val="00861139"/>
    <w:rsid w:val="00862070"/>
    <w:rsid w:val="00863749"/>
    <w:rsid w:val="00864C53"/>
    <w:rsid w:val="00864D86"/>
    <w:rsid w:val="008650D3"/>
    <w:rsid w:val="00865EA5"/>
    <w:rsid w:val="00867697"/>
    <w:rsid w:val="00867AE9"/>
    <w:rsid w:val="00870487"/>
    <w:rsid w:val="00871D64"/>
    <w:rsid w:val="00872100"/>
    <w:rsid w:val="008729F4"/>
    <w:rsid w:val="00873FEA"/>
    <w:rsid w:val="008750A2"/>
    <w:rsid w:val="00875E5E"/>
    <w:rsid w:val="00880668"/>
    <w:rsid w:val="00880A2D"/>
    <w:rsid w:val="0088241E"/>
    <w:rsid w:val="00883477"/>
    <w:rsid w:val="00883922"/>
    <w:rsid w:val="00884A17"/>
    <w:rsid w:val="00884DA4"/>
    <w:rsid w:val="00884F3F"/>
    <w:rsid w:val="00884F83"/>
    <w:rsid w:val="008850BB"/>
    <w:rsid w:val="008851B6"/>
    <w:rsid w:val="008863AA"/>
    <w:rsid w:val="00886E12"/>
    <w:rsid w:val="008877A5"/>
    <w:rsid w:val="00887821"/>
    <w:rsid w:val="00887C15"/>
    <w:rsid w:val="00890252"/>
    <w:rsid w:val="00890AB7"/>
    <w:rsid w:val="008920C3"/>
    <w:rsid w:val="00892425"/>
    <w:rsid w:val="008926BA"/>
    <w:rsid w:val="008926E8"/>
    <w:rsid w:val="008931BA"/>
    <w:rsid w:val="00895CDE"/>
    <w:rsid w:val="00896CAE"/>
    <w:rsid w:val="008971D5"/>
    <w:rsid w:val="008A0179"/>
    <w:rsid w:val="008A0B94"/>
    <w:rsid w:val="008A1482"/>
    <w:rsid w:val="008A1A1E"/>
    <w:rsid w:val="008A2DE5"/>
    <w:rsid w:val="008A32A3"/>
    <w:rsid w:val="008A4FA7"/>
    <w:rsid w:val="008A5D34"/>
    <w:rsid w:val="008A6A18"/>
    <w:rsid w:val="008A6C6A"/>
    <w:rsid w:val="008B187A"/>
    <w:rsid w:val="008B28E7"/>
    <w:rsid w:val="008B33D9"/>
    <w:rsid w:val="008B3459"/>
    <w:rsid w:val="008B47B9"/>
    <w:rsid w:val="008B5D4B"/>
    <w:rsid w:val="008B60C6"/>
    <w:rsid w:val="008B75D9"/>
    <w:rsid w:val="008B77DB"/>
    <w:rsid w:val="008B79CA"/>
    <w:rsid w:val="008C0146"/>
    <w:rsid w:val="008C0CD9"/>
    <w:rsid w:val="008C0FA8"/>
    <w:rsid w:val="008C125A"/>
    <w:rsid w:val="008C1EEA"/>
    <w:rsid w:val="008C2259"/>
    <w:rsid w:val="008C32D2"/>
    <w:rsid w:val="008C3D04"/>
    <w:rsid w:val="008C41F2"/>
    <w:rsid w:val="008C4C8E"/>
    <w:rsid w:val="008C4E8C"/>
    <w:rsid w:val="008C5321"/>
    <w:rsid w:val="008C5A58"/>
    <w:rsid w:val="008C611C"/>
    <w:rsid w:val="008C688F"/>
    <w:rsid w:val="008C6DA3"/>
    <w:rsid w:val="008D00D2"/>
    <w:rsid w:val="008D1836"/>
    <w:rsid w:val="008D19D4"/>
    <w:rsid w:val="008D1B43"/>
    <w:rsid w:val="008D435A"/>
    <w:rsid w:val="008D619D"/>
    <w:rsid w:val="008D69E5"/>
    <w:rsid w:val="008D6DAC"/>
    <w:rsid w:val="008D72FF"/>
    <w:rsid w:val="008D78A0"/>
    <w:rsid w:val="008E075B"/>
    <w:rsid w:val="008E12D6"/>
    <w:rsid w:val="008E24C1"/>
    <w:rsid w:val="008E4225"/>
    <w:rsid w:val="008E492F"/>
    <w:rsid w:val="008E5694"/>
    <w:rsid w:val="008E7768"/>
    <w:rsid w:val="008F150C"/>
    <w:rsid w:val="008F20E6"/>
    <w:rsid w:val="008F2340"/>
    <w:rsid w:val="008F2815"/>
    <w:rsid w:val="008F2AE7"/>
    <w:rsid w:val="008F4883"/>
    <w:rsid w:val="008F589D"/>
    <w:rsid w:val="008F6BC0"/>
    <w:rsid w:val="0090044C"/>
    <w:rsid w:val="00901A28"/>
    <w:rsid w:val="00901B3D"/>
    <w:rsid w:val="00902AF9"/>
    <w:rsid w:val="00902EBB"/>
    <w:rsid w:val="00903899"/>
    <w:rsid w:val="009038F7"/>
    <w:rsid w:val="00903E29"/>
    <w:rsid w:val="009058BB"/>
    <w:rsid w:val="009059B5"/>
    <w:rsid w:val="009072D6"/>
    <w:rsid w:val="00907BB3"/>
    <w:rsid w:val="00911AA7"/>
    <w:rsid w:val="00912221"/>
    <w:rsid w:val="00912D55"/>
    <w:rsid w:val="00913073"/>
    <w:rsid w:val="00913665"/>
    <w:rsid w:val="00913C77"/>
    <w:rsid w:val="00914136"/>
    <w:rsid w:val="009141BB"/>
    <w:rsid w:val="0091699F"/>
    <w:rsid w:val="00917B1C"/>
    <w:rsid w:val="00917FF6"/>
    <w:rsid w:val="009204BD"/>
    <w:rsid w:val="00920DD4"/>
    <w:rsid w:val="00920F36"/>
    <w:rsid w:val="009217E7"/>
    <w:rsid w:val="00921F90"/>
    <w:rsid w:val="00922712"/>
    <w:rsid w:val="00922900"/>
    <w:rsid w:val="00922A67"/>
    <w:rsid w:val="0092323C"/>
    <w:rsid w:val="00925645"/>
    <w:rsid w:val="00925D16"/>
    <w:rsid w:val="00927634"/>
    <w:rsid w:val="00930582"/>
    <w:rsid w:val="009305E2"/>
    <w:rsid w:val="0093061F"/>
    <w:rsid w:val="009316DD"/>
    <w:rsid w:val="0093176D"/>
    <w:rsid w:val="00931D44"/>
    <w:rsid w:val="009329C8"/>
    <w:rsid w:val="00933BE9"/>
    <w:rsid w:val="00933BF7"/>
    <w:rsid w:val="00934982"/>
    <w:rsid w:val="00936C39"/>
    <w:rsid w:val="00937876"/>
    <w:rsid w:val="00937FBA"/>
    <w:rsid w:val="00940B8B"/>
    <w:rsid w:val="00941762"/>
    <w:rsid w:val="00941EB4"/>
    <w:rsid w:val="00942571"/>
    <w:rsid w:val="0094509E"/>
    <w:rsid w:val="009450EA"/>
    <w:rsid w:val="009452EE"/>
    <w:rsid w:val="009457DB"/>
    <w:rsid w:val="00945D0D"/>
    <w:rsid w:val="00947330"/>
    <w:rsid w:val="009476B1"/>
    <w:rsid w:val="00951110"/>
    <w:rsid w:val="00952BE3"/>
    <w:rsid w:val="00953386"/>
    <w:rsid w:val="009535C3"/>
    <w:rsid w:val="00953772"/>
    <w:rsid w:val="00953B3D"/>
    <w:rsid w:val="00956323"/>
    <w:rsid w:val="00956552"/>
    <w:rsid w:val="00960888"/>
    <w:rsid w:val="00960CAD"/>
    <w:rsid w:val="00960FF6"/>
    <w:rsid w:val="00961291"/>
    <w:rsid w:val="009618EC"/>
    <w:rsid w:val="00963F1C"/>
    <w:rsid w:val="00964E7C"/>
    <w:rsid w:val="00965987"/>
    <w:rsid w:val="00965AEC"/>
    <w:rsid w:val="00965F79"/>
    <w:rsid w:val="0096721A"/>
    <w:rsid w:val="009675D2"/>
    <w:rsid w:val="0097185E"/>
    <w:rsid w:val="009721C2"/>
    <w:rsid w:val="009728BD"/>
    <w:rsid w:val="00973BB5"/>
    <w:rsid w:val="009743CA"/>
    <w:rsid w:val="009744E2"/>
    <w:rsid w:val="009745BF"/>
    <w:rsid w:val="009755E5"/>
    <w:rsid w:val="00980D91"/>
    <w:rsid w:val="00981ADE"/>
    <w:rsid w:val="00981E12"/>
    <w:rsid w:val="0098356A"/>
    <w:rsid w:val="00984D38"/>
    <w:rsid w:val="0098587D"/>
    <w:rsid w:val="00985F72"/>
    <w:rsid w:val="00986F96"/>
    <w:rsid w:val="009873FB"/>
    <w:rsid w:val="00987579"/>
    <w:rsid w:val="009878ED"/>
    <w:rsid w:val="00990081"/>
    <w:rsid w:val="00990E88"/>
    <w:rsid w:val="00991DE8"/>
    <w:rsid w:val="00992CF8"/>
    <w:rsid w:val="00994240"/>
    <w:rsid w:val="00997837"/>
    <w:rsid w:val="00997889"/>
    <w:rsid w:val="00997A12"/>
    <w:rsid w:val="009A00B3"/>
    <w:rsid w:val="009A0378"/>
    <w:rsid w:val="009A0632"/>
    <w:rsid w:val="009A0B34"/>
    <w:rsid w:val="009A14DD"/>
    <w:rsid w:val="009A2F25"/>
    <w:rsid w:val="009A35F2"/>
    <w:rsid w:val="009A4EF4"/>
    <w:rsid w:val="009A5647"/>
    <w:rsid w:val="009A78DA"/>
    <w:rsid w:val="009B0650"/>
    <w:rsid w:val="009B0C35"/>
    <w:rsid w:val="009B13D8"/>
    <w:rsid w:val="009B2AEB"/>
    <w:rsid w:val="009B2C5E"/>
    <w:rsid w:val="009B2D47"/>
    <w:rsid w:val="009B4E6F"/>
    <w:rsid w:val="009B691A"/>
    <w:rsid w:val="009B6C19"/>
    <w:rsid w:val="009B6EAA"/>
    <w:rsid w:val="009B6EBC"/>
    <w:rsid w:val="009C026A"/>
    <w:rsid w:val="009C060B"/>
    <w:rsid w:val="009C3699"/>
    <w:rsid w:val="009C4CFA"/>
    <w:rsid w:val="009C4FCD"/>
    <w:rsid w:val="009C6D93"/>
    <w:rsid w:val="009C741C"/>
    <w:rsid w:val="009D0995"/>
    <w:rsid w:val="009D1540"/>
    <w:rsid w:val="009D15C7"/>
    <w:rsid w:val="009D1A6B"/>
    <w:rsid w:val="009D3047"/>
    <w:rsid w:val="009D6BFA"/>
    <w:rsid w:val="009D6CD2"/>
    <w:rsid w:val="009E0E6A"/>
    <w:rsid w:val="009E289C"/>
    <w:rsid w:val="009E3F14"/>
    <w:rsid w:val="009E40A5"/>
    <w:rsid w:val="009E466D"/>
    <w:rsid w:val="009E4CBF"/>
    <w:rsid w:val="009E4FB2"/>
    <w:rsid w:val="009E5583"/>
    <w:rsid w:val="009E6119"/>
    <w:rsid w:val="009E6346"/>
    <w:rsid w:val="009E6A72"/>
    <w:rsid w:val="009E6D21"/>
    <w:rsid w:val="009E72B7"/>
    <w:rsid w:val="009F0724"/>
    <w:rsid w:val="009F1395"/>
    <w:rsid w:val="009F3E46"/>
    <w:rsid w:val="009F5FD0"/>
    <w:rsid w:val="009F6AF7"/>
    <w:rsid w:val="009F6ED8"/>
    <w:rsid w:val="009F6EF0"/>
    <w:rsid w:val="009F718C"/>
    <w:rsid w:val="009F7F91"/>
    <w:rsid w:val="00A01549"/>
    <w:rsid w:val="00A01C0F"/>
    <w:rsid w:val="00A022E7"/>
    <w:rsid w:val="00A02C32"/>
    <w:rsid w:val="00A03B2C"/>
    <w:rsid w:val="00A03D0E"/>
    <w:rsid w:val="00A045DE"/>
    <w:rsid w:val="00A058F8"/>
    <w:rsid w:val="00A07D4C"/>
    <w:rsid w:val="00A104DE"/>
    <w:rsid w:val="00A10AFC"/>
    <w:rsid w:val="00A11089"/>
    <w:rsid w:val="00A11B3C"/>
    <w:rsid w:val="00A11B9E"/>
    <w:rsid w:val="00A1436C"/>
    <w:rsid w:val="00A14E4C"/>
    <w:rsid w:val="00A14E58"/>
    <w:rsid w:val="00A15066"/>
    <w:rsid w:val="00A16161"/>
    <w:rsid w:val="00A1663F"/>
    <w:rsid w:val="00A223D7"/>
    <w:rsid w:val="00A22617"/>
    <w:rsid w:val="00A22E38"/>
    <w:rsid w:val="00A23A91"/>
    <w:rsid w:val="00A2557E"/>
    <w:rsid w:val="00A25D3E"/>
    <w:rsid w:val="00A26F18"/>
    <w:rsid w:val="00A27724"/>
    <w:rsid w:val="00A27A59"/>
    <w:rsid w:val="00A30BA1"/>
    <w:rsid w:val="00A30D5A"/>
    <w:rsid w:val="00A30FC4"/>
    <w:rsid w:val="00A31647"/>
    <w:rsid w:val="00A316A8"/>
    <w:rsid w:val="00A31AE9"/>
    <w:rsid w:val="00A32978"/>
    <w:rsid w:val="00A32A78"/>
    <w:rsid w:val="00A33628"/>
    <w:rsid w:val="00A33A4A"/>
    <w:rsid w:val="00A33D5A"/>
    <w:rsid w:val="00A3517D"/>
    <w:rsid w:val="00A366DC"/>
    <w:rsid w:val="00A37BAC"/>
    <w:rsid w:val="00A404C8"/>
    <w:rsid w:val="00A40D00"/>
    <w:rsid w:val="00A41FC6"/>
    <w:rsid w:val="00A435A9"/>
    <w:rsid w:val="00A43966"/>
    <w:rsid w:val="00A44324"/>
    <w:rsid w:val="00A44992"/>
    <w:rsid w:val="00A4528F"/>
    <w:rsid w:val="00A46892"/>
    <w:rsid w:val="00A47558"/>
    <w:rsid w:val="00A5189A"/>
    <w:rsid w:val="00A519B5"/>
    <w:rsid w:val="00A52337"/>
    <w:rsid w:val="00A523C1"/>
    <w:rsid w:val="00A526CC"/>
    <w:rsid w:val="00A52840"/>
    <w:rsid w:val="00A55764"/>
    <w:rsid w:val="00A558D2"/>
    <w:rsid w:val="00A5639B"/>
    <w:rsid w:val="00A57A6A"/>
    <w:rsid w:val="00A60DC6"/>
    <w:rsid w:val="00A60E24"/>
    <w:rsid w:val="00A61D5E"/>
    <w:rsid w:val="00A61EAF"/>
    <w:rsid w:val="00A62AE9"/>
    <w:rsid w:val="00A62FE6"/>
    <w:rsid w:val="00A63346"/>
    <w:rsid w:val="00A64D3B"/>
    <w:rsid w:val="00A6679F"/>
    <w:rsid w:val="00A67533"/>
    <w:rsid w:val="00A714A2"/>
    <w:rsid w:val="00A715FB"/>
    <w:rsid w:val="00A718FC"/>
    <w:rsid w:val="00A725FB"/>
    <w:rsid w:val="00A7319D"/>
    <w:rsid w:val="00A73C48"/>
    <w:rsid w:val="00A7571C"/>
    <w:rsid w:val="00A77404"/>
    <w:rsid w:val="00A818D9"/>
    <w:rsid w:val="00A831CD"/>
    <w:rsid w:val="00A8374A"/>
    <w:rsid w:val="00A8394B"/>
    <w:rsid w:val="00A84332"/>
    <w:rsid w:val="00A84C94"/>
    <w:rsid w:val="00A84DB9"/>
    <w:rsid w:val="00A84EC4"/>
    <w:rsid w:val="00A87AE6"/>
    <w:rsid w:val="00A90665"/>
    <w:rsid w:val="00A90778"/>
    <w:rsid w:val="00A907C1"/>
    <w:rsid w:val="00A90914"/>
    <w:rsid w:val="00A91D22"/>
    <w:rsid w:val="00A91E2F"/>
    <w:rsid w:val="00A923B0"/>
    <w:rsid w:val="00A9264D"/>
    <w:rsid w:val="00A92BCF"/>
    <w:rsid w:val="00A94217"/>
    <w:rsid w:val="00A94819"/>
    <w:rsid w:val="00A9635F"/>
    <w:rsid w:val="00A96FB4"/>
    <w:rsid w:val="00A97EE8"/>
    <w:rsid w:val="00AA042C"/>
    <w:rsid w:val="00AA05A8"/>
    <w:rsid w:val="00AA05DA"/>
    <w:rsid w:val="00AA2281"/>
    <w:rsid w:val="00AA3F8D"/>
    <w:rsid w:val="00AA4F8E"/>
    <w:rsid w:val="00AA5D8A"/>
    <w:rsid w:val="00AA677D"/>
    <w:rsid w:val="00AA68FB"/>
    <w:rsid w:val="00AA7221"/>
    <w:rsid w:val="00AA76F4"/>
    <w:rsid w:val="00AA784B"/>
    <w:rsid w:val="00AB084C"/>
    <w:rsid w:val="00AB14DD"/>
    <w:rsid w:val="00AB16B5"/>
    <w:rsid w:val="00AB1E61"/>
    <w:rsid w:val="00AB259B"/>
    <w:rsid w:val="00AB3FC0"/>
    <w:rsid w:val="00AB4099"/>
    <w:rsid w:val="00AB4681"/>
    <w:rsid w:val="00AB5278"/>
    <w:rsid w:val="00AB6DCB"/>
    <w:rsid w:val="00AB6E73"/>
    <w:rsid w:val="00AB73B8"/>
    <w:rsid w:val="00AB7BEA"/>
    <w:rsid w:val="00AC0023"/>
    <w:rsid w:val="00AC0EA4"/>
    <w:rsid w:val="00AC2EBD"/>
    <w:rsid w:val="00AC4002"/>
    <w:rsid w:val="00AC5155"/>
    <w:rsid w:val="00AC559A"/>
    <w:rsid w:val="00AC677A"/>
    <w:rsid w:val="00AC7963"/>
    <w:rsid w:val="00AC7A2A"/>
    <w:rsid w:val="00AD1BFE"/>
    <w:rsid w:val="00AD2688"/>
    <w:rsid w:val="00AD3781"/>
    <w:rsid w:val="00AD3F44"/>
    <w:rsid w:val="00AD578B"/>
    <w:rsid w:val="00AD5972"/>
    <w:rsid w:val="00AD6635"/>
    <w:rsid w:val="00AD7978"/>
    <w:rsid w:val="00AD7D5D"/>
    <w:rsid w:val="00AE0062"/>
    <w:rsid w:val="00AE1920"/>
    <w:rsid w:val="00AE2051"/>
    <w:rsid w:val="00AE2460"/>
    <w:rsid w:val="00AE2ED2"/>
    <w:rsid w:val="00AE2F17"/>
    <w:rsid w:val="00AE3A27"/>
    <w:rsid w:val="00AE3AC5"/>
    <w:rsid w:val="00AE5827"/>
    <w:rsid w:val="00AE6104"/>
    <w:rsid w:val="00AE6A2C"/>
    <w:rsid w:val="00AE6F4F"/>
    <w:rsid w:val="00AE7AEE"/>
    <w:rsid w:val="00AF0F90"/>
    <w:rsid w:val="00AF1273"/>
    <w:rsid w:val="00AF1398"/>
    <w:rsid w:val="00AF13DE"/>
    <w:rsid w:val="00AF225E"/>
    <w:rsid w:val="00AF2719"/>
    <w:rsid w:val="00AF281B"/>
    <w:rsid w:val="00AF2B16"/>
    <w:rsid w:val="00AF35B7"/>
    <w:rsid w:val="00AF40B5"/>
    <w:rsid w:val="00AF519F"/>
    <w:rsid w:val="00AF6B27"/>
    <w:rsid w:val="00AF6B4B"/>
    <w:rsid w:val="00AF78BD"/>
    <w:rsid w:val="00B001D4"/>
    <w:rsid w:val="00B0136D"/>
    <w:rsid w:val="00B01902"/>
    <w:rsid w:val="00B01EB5"/>
    <w:rsid w:val="00B02120"/>
    <w:rsid w:val="00B021F0"/>
    <w:rsid w:val="00B03F7F"/>
    <w:rsid w:val="00B0421B"/>
    <w:rsid w:val="00B05216"/>
    <w:rsid w:val="00B0567C"/>
    <w:rsid w:val="00B06374"/>
    <w:rsid w:val="00B06AA3"/>
    <w:rsid w:val="00B1016A"/>
    <w:rsid w:val="00B1257E"/>
    <w:rsid w:val="00B1358E"/>
    <w:rsid w:val="00B13D0C"/>
    <w:rsid w:val="00B14F69"/>
    <w:rsid w:val="00B15878"/>
    <w:rsid w:val="00B15BCA"/>
    <w:rsid w:val="00B16721"/>
    <w:rsid w:val="00B224D6"/>
    <w:rsid w:val="00B22A21"/>
    <w:rsid w:val="00B232EA"/>
    <w:rsid w:val="00B2373F"/>
    <w:rsid w:val="00B24C10"/>
    <w:rsid w:val="00B24CD5"/>
    <w:rsid w:val="00B25ABA"/>
    <w:rsid w:val="00B27569"/>
    <w:rsid w:val="00B276DA"/>
    <w:rsid w:val="00B27723"/>
    <w:rsid w:val="00B27E08"/>
    <w:rsid w:val="00B3003A"/>
    <w:rsid w:val="00B3066D"/>
    <w:rsid w:val="00B30E9B"/>
    <w:rsid w:val="00B31920"/>
    <w:rsid w:val="00B32CA6"/>
    <w:rsid w:val="00B32F87"/>
    <w:rsid w:val="00B345BB"/>
    <w:rsid w:val="00B349EF"/>
    <w:rsid w:val="00B365E5"/>
    <w:rsid w:val="00B369FC"/>
    <w:rsid w:val="00B36C22"/>
    <w:rsid w:val="00B36E62"/>
    <w:rsid w:val="00B37304"/>
    <w:rsid w:val="00B40654"/>
    <w:rsid w:val="00B4250B"/>
    <w:rsid w:val="00B429DB"/>
    <w:rsid w:val="00B46517"/>
    <w:rsid w:val="00B4735A"/>
    <w:rsid w:val="00B47BF8"/>
    <w:rsid w:val="00B47F0C"/>
    <w:rsid w:val="00B50592"/>
    <w:rsid w:val="00B51CE1"/>
    <w:rsid w:val="00B52AF3"/>
    <w:rsid w:val="00B53588"/>
    <w:rsid w:val="00B5383C"/>
    <w:rsid w:val="00B53B0A"/>
    <w:rsid w:val="00B551FD"/>
    <w:rsid w:val="00B554A0"/>
    <w:rsid w:val="00B5624E"/>
    <w:rsid w:val="00B567CA"/>
    <w:rsid w:val="00B569F4"/>
    <w:rsid w:val="00B56A4D"/>
    <w:rsid w:val="00B57A05"/>
    <w:rsid w:val="00B63371"/>
    <w:rsid w:val="00B636E9"/>
    <w:rsid w:val="00B644FA"/>
    <w:rsid w:val="00B6600E"/>
    <w:rsid w:val="00B66642"/>
    <w:rsid w:val="00B66E71"/>
    <w:rsid w:val="00B70FB3"/>
    <w:rsid w:val="00B72339"/>
    <w:rsid w:val="00B7475B"/>
    <w:rsid w:val="00B74D0D"/>
    <w:rsid w:val="00B76A0A"/>
    <w:rsid w:val="00B76AEA"/>
    <w:rsid w:val="00B778B7"/>
    <w:rsid w:val="00B77B2B"/>
    <w:rsid w:val="00B77DA8"/>
    <w:rsid w:val="00B80F76"/>
    <w:rsid w:val="00B8177E"/>
    <w:rsid w:val="00B819BC"/>
    <w:rsid w:val="00B8262D"/>
    <w:rsid w:val="00B82F09"/>
    <w:rsid w:val="00B84899"/>
    <w:rsid w:val="00B84A3C"/>
    <w:rsid w:val="00B85A45"/>
    <w:rsid w:val="00B874A6"/>
    <w:rsid w:val="00B902F2"/>
    <w:rsid w:val="00B90D7D"/>
    <w:rsid w:val="00B90FD0"/>
    <w:rsid w:val="00B9126E"/>
    <w:rsid w:val="00B91980"/>
    <w:rsid w:val="00B91E4D"/>
    <w:rsid w:val="00B92C70"/>
    <w:rsid w:val="00B92F4A"/>
    <w:rsid w:val="00BA062E"/>
    <w:rsid w:val="00BA19C7"/>
    <w:rsid w:val="00BA1A6C"/>
    <w:rsid w:val="00BA21D2"/>
    <w:rsid w:val="00BA3016"/>
    <w:rsid w:val="00BA411F"/>
    <w:rsid w:val="00BA4EB5"/>
    <w:rsid w:val="00BA718F"/>
    <w:rsid w:val="00BA7255"/>
    <w:rsid w:val="00BB008D"/>
    <w:rsid w:val="00BB08AB"/>
    <w:rsid w:val="00BB0ADA"/>
    <w:rsid w:val="00BB178D"/>
    <w:rsid w:val="00BB2889"/>
    <w:rsid w:val="00BB2D79"/>
    <w:rsid w:val="00BB4D7E"/>
    <w:rsid w:val="00BB591E"/>
    <w:rsid w:val="00BC001A"/>
    <w:rsid w:val="00BC039B"/>
    <w:rsid w:val="00BC0505"/>
    <w:rsid w:val="00BC0A00"/>
    <w:rsid w:val="00BC0CF2"/>
    <w:rsid w:val="00BC1005"/>
    <w:rsid w:val="00BC10B3"/>
    <w:rsid w:val="00BC3D91"/>
    <w:rsid w:val="00BC3ED2"/>
    <w:rsid w:val="00BD023D"/>
    <w:rsid w:val="00BD18C0"/>
    <w:rsid w:val="00BD3980"/>
    <w:rsid w:val="00BD3BA0"/>
    <w:rsid w:val="00BD449E"/>
    <w:rsid w:val="00BD45CE"/>
    <w:rsid w:val="00BD4FDC"/>
    <w:rsid w:val="00BD556A"/>
    <w:rsid w:val="00BD59FE"/>
    <w:rsid w:val="00BD5AF6"/>
    <w:rsid w:val="00BD7242"/>
    <w:rsid w:val="00BE0776"/>
    <w:rsid w:val="00BE0781"/>
    <w:rsid w:val="00BE0C5B"/>
    <w:rsid w:val="00BE145B"/>
    <w:rsid w:val="00BE243B"/>
    <w:rsid w:val="00BE3870"/>
    <w:rsid w:val="00BE46C7"/>
    <w:rsid w:val="00BE48CC"/>
    <w:rsid w:val="00BE5B9E"/>
    <w:rsid w:val="00BF0DCB"/>
    <w:rsid w:val="00BF0E90"/>
    <w:rsid w:val="00BF0F5B"/>
    <w:rsid w:val="00BF2F1A"/>
    <w:rsid w:val="00BF4746"/>
    <w:rsid w:val="00BF4A37"/>
    <w:rsid w:val="00BF6E72"/>
    <w:rsid w:val="00BF7443"/>
    <w:rsid w:val="00BF7990"/>
    <w:rsid w:val="00BF7B7E"/>
    <w:rsid w:val="00BF7BF9"/>
    <w:rsid w:val="00BF7C8F"/>
    <w:rsid w:val="00BF7D4B"/>
    <w:rsid w:val="00C00862"/>
    <w:rsid w:val="00C027AE"/>
    <w:rsid w:val="00C03668"/>
    <w:rsid w:val="00C03A2B"/>
    <w:rsid w:val="00C03AC8"/>
    <w:rsid w:val="00C04859"/>
    <w:rsid w:val="00C053A4"/>
    <w:rsid w:val="00C063A3"/>
    <w:rsid w:val="00C0690A"/>
    <w:rsid w:val="00C07D0A"/>
    <w:rsid w:val="00C103A6"/>
    <w:rsid w:val="00C10407"/>
    <w:rsid w:val="00C15296"/>
    <w:rsid w:val="00C209FC"/>
    <w:rsid w:val="00C22501"/>
    <w:rsid w:val="00C243C2"/>
    <w:rsid w:val="00C24CB6"/>
    <w:rsid w:val="00C2506C"/>
    <w:rsid w:val="00C257F7"/>
    <w:rsid w:val="00C2586B"/>
    <w:rsid w:val="00C27AE7"/>
    <w:rsid w:val="00C3020C"/>
    <w:rsid w:val="00C321EA"/>
    <w:rsid w:val="00C32D14"/>
    <w:rsid w:val="00C3339C"/>
    <w:rsid w:val="00C333F1"/>
    <w:rsid w:val="00C341EB"/>
    <w:rsid w:val="00C34954"/>
    <w:rsid w:val="00C34FF7"/>
    <w:rsid w:val="00C359FA"/>
    <w:rsid w:val="00C35E3D"/>
    <w:rsid w:val="00C35E91"/>
    <w:rsid w:val="00C3751A"/>
    <w:rsid w:val="00C37A0D"/>
    <w:rsid w:val="00C37DE5"/>
    <w:rsid w:val="00C405AE"/>
    <w:rsid w:val="00C4140B"/>
    <w:rsid w:val="00C42AA7"/>
    <w:rsid w:val="00C42B0A"/>
    <w:rsid w:val="00C42BE2"/>
    <w:rsid w:val="00C446F1"/>
    <w:rsid w:val="00C45012"/>
    <w:rsid w:val="00C4624C"/>
    <w:rsid w:val="00C46523"/>
    <w:rsid w:val="00C46BD9"/>
    <w:rsid w:val="00C46EDD"/>
    <w:rsid w:val="00C47AD0"/>
    <w:rsid w:val="00C47B0A"/>
    <w:rsid w:val="00C47EA5"/>
    <w:rsid w:val="00C5232E"/>
    <w:rsid w:val="00C53281"/>
    <w:rsid w:val="00C540FF"/>
    <w:rsid w:val="00C542C8"/>
    <w:rsid w:val="00C57FA1"/>
    <w:rsid w:val="00C60AA2"/>
    <w:rsid w:val="00C61344"/>
    <w:rsid w:val="00C61B50"/>
    <w:rsid w:val="00C620E6"/>
    <w:rsid w:val="00C621DE"/>
    <w:rsid w:val="00C6246E"/>
    <w:rsid w:val="00C62525"/>
    <w:rsid w:val="00C6360E"/>
    <w:rsid w:val="00C63661"/>
    <w:rsid w:val="00C64E70"/>
    <w:rsid w:val="00C64FBF"/>
    <w:rsid w:val="00C66396"/>
    <w:rsid w:val="00C6715A"/>
    <w:rsid w:val="00C70485"/>
    <w:rsid w:val="00C704AB"/>
    <w:rsid w:val="00C712B4"/>
    <w:rsid w:val="00C718AA"/>
    <w:rsid w:val="00C71B74"/>
    <w:rsid w:val="00C759BA"/>
    <w:rsid w:val="00C75D0B"/>
    <w:rsid w:val="00C76FB4"/>
    <w:rsid w:val="00C77706"/>
    <w:rsid w:val="00C77FAF"/>
    <w:rsid w:val="00C81B21"/>
    <w:rsid w:val="00C826BB"/>
    <w:rsid w:val="00C8455F"/>
    <w:rsid w:val="00C8620C"/>
    <w:rsid w:val="00C86E8A"/>
    <w:rsid w:val="00C872C7"/>
    <w:rsid w:val="00C87D7B"/>
    <w:rsid w:val="00C92539"/>
    <w:rsid w:val="00C926E1"/>
    <w:rsid w:val="00C92CAA"/>
    <w:rsid w:val="00C92D4C"/>
    <w:rsid w:val="00C94CE2"/>
    <w:rsid w:val="00C957C8"/>
    <w:rsid w:val="00C96382"/>
    <w:rsid w:val="00C968A9"/>
    <w:rsid w:val="00C9721C"/>
    <w:rsid w:val="00C97342"/>
    <w:rsid w:val="00CA0225"/>
    <w:rsid w:val="00CA07A9"/>
    <w:rsid w:val="00CA2171"/>
    <w:rsid w:val="00CA270C"/>
    <w:rsid w:val="00CA3BB9"/>
    <w:rsid w:val="00CA4EA8"/>
    <w:rsid w:val="00CA63E3"/>
    <w:rsid w:val="00CA7F21"/>
    <w:rsid w:val="00CB011C"/>
    <w:rsid w:val="00CB1239"/>
    <w:rsid w:val="00CB19B5"/>
    <w:rsid w:val="00CB2217"/>
    <w:rsid w:val="00CB395D"/>
    <w:rsid w:val="00CB39B0"/>
    <w:rsid w:val="00CB3B05"/>
    <w:rsid w:val="00CB43F8"/>
    <w:rsid w:val="00CB5B53"/>
    <w:rsid w:val="00CC0989"/>
    <w:rsid w:val="00CC0ADD"/>
    <w:rsid w:val="00CC0B66"/>
    <w:rsid w:val="00CC1227"/>
    <w:rsid w:val="00CC4471"/>
    <w:rsid w:val="00CD0492"/>
    <w:rsid w:val="00CD05B6"/>
    <w:rsid w:val="00CD06C2"/>
    <w:rsid w:val="00CD22E8"/>
    <w:rsid w:val="00CD2D1E"/>
    <w:rsid w:val="00CD4653"/>
    <w:rsid w:val="00CD509F"/>
    <w:rsid w:val="00CD60C2"/>
    <w:rsid w:val="00CD656F"/>
    <w:rsid w:val="00CD7BE4"/>
    <w:rsid w:val="00CE0E4C"/>
    <w:rsid w:val="00CE1726"/>
    <w:rsid w:val="00CE1F2A"/>
    <w:rsid w:val="00CE2522"/>
    <w:rsid w:val="00CE3970"/>
    <w:rsid w:val="00CE47B4"/>
    <w:rsid w:val="00CE4FED"/>
    <w:rsid w:val="00CE5955"/>
    <w:rsid w:val="00CE7DCB"/>
    <w:rsid w:val="00CF433E"/>
    <w:rsid w:val="00CF635A"/>
    <w:rsid w:val="00CF6B04"/>
    <w:rsid w:val="00CF6B0F"/>
    <w:rsid w:val="00CF76DD"/>
    <w:rsid w:val="00CF77DB"/>
    <w:rsid w:val="00D000B3"/>
    <w:rsid w:val="00D00F8E"/>
    <w:rsid w:val="00D00FE5"/>
    <w:rsid w:val="00D03F26"/>
    <w:rsid w:val="00D0401E"/>
    <w:rsid w:val="00D04D3D"/>
    <w:rsid w:val="00D05A01"/>
    <w:rsid w:val="00D061BE"/>
    <w:rsid w:val="00D069B6"/>
    <w:rsid w:val="00D11DCB"/>
    <w:rsid w:val="00D12055"/>
    <w:rsid w:val="00D129D2"/>
    <w:rsid w:val="00D135C4"/>
    <w:rsid w:val="00D139F8"/>
    <w:rsid w:val="00D16502"/>
    <w:rsid w:val="00D1666F"/>
    <w:rsid w:val="00D16698"/>
    <w:rsid w:val="00D205F1"/>
    <w:rsid w:val="00D227AE"/>
    <w:rsid w:val="00D25695"/>
    <w:rsid w:val="00D2670F"/>
    <w:rsid w:val="00D2694A"/>
    <w:rsid w:val="00D26973"/>
    <w:rsid w:val="00D30725"/>
    <w:rsid w:val="00D30C79"/>
    <w:rsid w:val="00D31C17"/>
    <w:rsid w:val="00D322C6"/>
    <w:rsid w:val="00D324CF"/>
    <w:rsid w:val="00D34A94"/>
    <w:rsid w:val="00D354E4"/>
    <w:rsid w:val="00D35507"/>
    <w:rsid w:val="00D35A70"/>
    <w:rsid w:val="00D364BA"/>
    <w:rsid w:val="00D368B1"/>
    <w:rsid w:val="00D378BB"/>
    <w:rsid w:val="00D400C7"/>
    <w:rsid w:val="00D424E3"/>
    <w:rsid w:val="00D43446"/>
    <w:rsid w:val="00D43C9E"/>
    <w:rsid w:val="00D45BA4"/>
    <w:rsid w:val="00D4694E"/>
    <w:rsid w:val="00D46AE6"/>
    <w:rsid w:val="00D46BEF"/>
    <w:rsid w:val="00D47813"/>
    <w:rsid w:val="00D513C3"/>
    <w:rsid w:val="00D52460"/>
    <w:rsid w:val="00D52918"/>
    <w:rsid w:val="00D52F09"/>
    <w:rsid w:val="00D53428"/>
    <w:rsid w:val="00D54137"/>
    <w:rsid w:val="00D54DFE"/>
    <w:rsid w:val="00D56DC8"/>
    <w:rsid w:val="00D57C5D"/>
    <w:rsid w:val="00D60F3E"/>
    <w:rsid w:val="00D62915"/>
    <w:rsid w:val="00D62AFF"/>
    <w:rsid w:val="00D63267"/>
    <w:rsid w:val="00D6356F"/>
    <w:rsid w:val="00D64D3C"/>
    <w:rsid w:val="00D66C94"/>
    <w:rsid w:val="00D66CCD"/>
    <w:rsid w:val="00D74246"/>
    <w:rsid w:val="00D7477D"/>
    <w:rsid w:val="00D749C2"/>
    <w:rsid w:val="00D7747C"/>
    <w:rsid w:val="00D777D6"/>
    <w:rsid w:val="00D819FB"/>
    <w:rsid w:val="00D81FFF"/>
    <w:rsid w:val="00D83F9B"/>
    <w:rsid w:val="00D84A4B"/>
    <w:rsid w:val="00D853F9"/>
    <w:rsid w:val="00D86BAF"/>
    <w:rsid w:val="00D87AF1"/>
    <w:rsid w:val="00D926C2"/>
    <w:rsid w:val="00D9350B"/>
    <w:rsid w:val="00D94614"/>
    <w:rsid w:val="00D94929"/>
    <w:rsid w:val="00D94D18"/>
    <w:rsid w:val="00D9531D"/>
    <w:rsid w:val="00D966B0"/>
    <w:rsid w:val="00DA023B"/>
    <w:rsid w:val="00DA1354"/>
    <w:rsid w:val="00DA15BB"/>
    <w:rsid w:val="00DA1F4D"/>
    <w:rsid w:val="00DA2622"/>
    <w:rsid w:val="00DA564D"/>
    <w:rsid w:val="00DA69A9"/>
    <w:rsid w:val="00DA7562"/>
    <w:rsid w:val="00DB075C"/>
    <w:rsid w:val="00DB20DF"/>
    <w:rsid w:val="00DB2B86"/>
    <w:rsid w:val="00DB2D6D"/>
    <w:rsid w:val="00DB3231"/>
    <w:rsid w:val="00DB3980"/>
    <w:rsid w:val="00DB49B0"/>
    <w:rsid w:val="00DB65F1"/>
    <w:rsid w:val="00DB74FD"/>
    <w:rsid w:val="00DC0801"/>
    <w:rsid w:val="00DC0EDA"/>
    <w:rsid w:val="00DC0EDE"/>
    <w:rsid w:val="00DC117B"/>
    <w:rsid w:val="00DC1B06"/>
    <w:rsid w:val="00DC1D0A"/>
    <w:rsid w:val="00DC2BE7"/>
    <w:rsid w:val="00DC2E17"/>
    <w:rsid w:val="00DC34EA"/>
    <w:rsid w:val="00DC3C7C"/>
    <w:rsid w:val="00DC3F79"/>
    <w:rsid w:val="00DC42F9"/>
    <w:rsid w:val="00DC43C6"/>
    <w:rsid w:val="00DC43D9"/>
    <w:rsid w:val="00DC5B83"/>
    <w:rsid w:val="00DC5D5C"/>
    <w:rsid w:val="00DC61C6"/>
    <w:rsid w:val="00DC64AA"/>
    <w:rsid w:val="00DC7050"/>
    <w:rsid w:val="00DC7A54"/>
    <w:rsid w:val="00DC7F85"/>
    <w:rsid w:val="00DD02D0"/>
    <w:rsid w:val="00DD0315"/>
    <w:rsid w:val="00DD118B"/>
    <w:rsid w:val="00DD4966"/>
    <w:rsid w:val="00DD5073"/>
    <w:rsid w:val="00DD592D"/>
    <w:rsid w:val="00DD5C71"/>
    <w:rsid w:val="00DD5E2E"/>
    <w:rsid w:val="00DD5F8C"/>
    <w:rsid w:val="00DD692D"/>
    <w:rsid w:val="00DE1326"/>
    <w:rsid w:val="00DE1464"/>
    <w:rsid w:val="00DE2361"/>
    <w:rsid w:val="00DE26AD"/>
    <w:rsid w:val="00DE31A7"/>
    <w:rsid w:val="00DE5A9C"/>
    <w:rsid w:val="00DE7095"/>
    <w:rsid w:val="00DF0117"/>
    <w:rsid w:val="00DF08D0"/>
    <w:rsid w:val="00DF2852"/>
    <w:rsid w:val="00DF465B"/>
    <w:rsid w:val="00DF48A6"/>
    <w:rsid w:val="00DF4A16"/>
    <w:rsid w:val="00DF6B38"/>
    <w:rsid w:val="00DF7007"/>
    <w:rsid w:val="00DF78F9"/>
    <w:rsid w:val="00E00262"/>
    <w:rsid w:val="00E0103B"/>
    <w:rsid w:val="00E013E0"/>
    <w:rsid w:val="00E017A2"/>
    <w:rsid w:val="00E03AD7"/>
    <w:rsid w:val="00E042E8"/>
    <w:rsid w:val="00E05523"/>
    <w:rsid w:val="00E06432"/>
    <w:rsid w:val="00E07EA0"/>
    <w:rsid w:val="00E07FF1"/>
    <w:rsid w:val="00E11BE9"/>
    <w:rsid w:val="00E1344F"/>
    <w:rsid w:val="00E14207"/>
    <w:rsid w:val="00E1439D"/>
    <w:rsid w:val="00E14749"/>
    <w:rsid w:val="00E15753"/>
    <w:rsid w:val="00E160C4"/>
    <w:rsid w:val="00E16B40"/>
    <w:rsid w:val="00E17D4F"/>
    <w:rsid w:val="00E20541"/>
    <w:rsid w:val="00E2098C"/>
    <w:rsid w:val="00E20F2D"/>
    <w:rsid w:val="00E225C0"/>
    <w:rsid w:val="00E22790"/>
    <w:rsid w:val="00E22ABD"/>
    <w:rsid w:val="00E2301C"/>
    <w:rsid w:val="00E23AD8"/>
    <w:rsid w:val="00E2480F"/>
    <w:rsid w:val="00E248D1"/>
    <w:rsid w:val="00E24E70"/>
    <w:rsid w:val="00E25725"/>
    <w:rsid w:val="00E265C0"/>
    <w:rsid w:val="00E26B82"/>
    <w:rsid w:val="00E31D86"/>
    <w:rsid w:val="00E33F29"/>
    <w:rsid w:val="00E34609"/>
    <w:rsid w:val="00E35FAE"/>
    <w:rsid w:val="00E35FE2"/>
    <w:rsid w:val="00E36318"/>
    <w:rsid w:val="00E36B80"/>
    <w:rsid w:val="00E374E3"/>
    <w:rsid w:val="00E379F3"/>
    <w:rsid w:val="00E37DAA"/>
    <w:rsid w:val="00E40399"/>
    <w:rsid w:val="00E41650"/>
    <w:rsid w:val="00E41A51"/>
    <w:rsid w:val="00E42BFE"/>
    <w:rsid w:val="00E42DAF"/>
    <w:rsid w:val="00E42F36"/>
    <w:rsid w:val="00E43C34"/>
    <w:rsid w:val="00E44508"/>
    <w:rsid w:val="00E452C4"/>
    <w:rsid w:val="00E46961"/>
    <w:rsid w:val="00E46B06"/>
    <w:rsid w:val="00E5076C"/>
    <w:rsid w:val="00E518C5"/>
    <w:rsid w:val="00E529AD"/>
    <w:rsid w:val="00E52BF0"/>
    <w:rsid w:val="00E53F2C"/>
    <w:rsid w:val="00E54A6D"/>
    <w:rsid w:val="00E54F45"/>
    <w:rsid w:val="00E55984"/>
    <w:rsid w:val="00E55CEF"/>
    <w:rsid w:val="00E55D48"/>
    <w:rsid w:val="00E56485"/>
    <w:rsid w:val="00E572F6"/>
    <w:rsid w:val="00E57C79"/>
    <w:rsid w:val="00E60261"/>
    <w:rsid w:val="00E60A07"/>
    <w:rsid w:val="00E61616"/>
    <w:rsid w:val="00E61775"/>
    <w:rsid w:val="00E62191"/>
    <w:rsid w:val="00E633E6"/>
    <w:rsid w:val="00E64CD0"/>
    <w:rsid w:val="00E65154"/>
    <w:rsid w:val="00E654EF"/>
    <w:rsid w:val="00E66444"/>
    <w:rsid w:val="00E66823"/>
    <w:rsid w:val="00E669EB"/>
    <w:rsid w:val="00E70A0E"/>
    <w:rsid w:val="00E70E62"/>
    <w:rsid w:val="00E71A79"/>
    <w:rsid w:val="00E72CA9"/>
    <w:rsid w:val="00E73F1E"/>
    <w:rsid w:val="00E76E8C"/>
    <w:rsid w:val="00E779CE"/>
    <w:rsid w:val="00E80E93"/>
    <w:rsid w:val="00E8305B"/>
    <w:rsid w:val="00E85D0A"/>
    <w:rsid w:val="00E861E4"/>
    <w:rsid w:val="00E865E8"/>
    <w:rsid w:val="00E86FAF"/>
    <w:rsid w:val="00E908C1"/>
    <w:rsid w:val="00E90C1D"/>
    <w:rsid w:val="00E913B9"/>
    <w:rsid w:val="00E91F7C"/>
    <w:rsid w:val="00E92FAB"/>
    <w:rsid w:val="00E93221"/>
    <w:rsid w:val="00E9518A"/>
    <w:rsid w:val="00E95799"/>
    <w:rsid w:val="00E96395"/>
    <w:rsid w:val="00E966A5"/>
    <w:rsid w:val="00E96A17"/>
    <w:rsid w:val="00E97B06"/>
    <w:rsid w:val="00EA18F2"/>
    <w:rsid w:val="00EA4F36"/>
    <w:rsid w:val="00EA55E7"/>
    <w:rsid w:val="00EB1AE8"/>
    <w:rsid w:val="00EB30FD"/>
    <w:rsid w:val="00EB330A"/>
    <w:rsid w:val="00EB3C65"/>
    <w:rsid w:val="00EB51F5"/>
    <w:rsid w:val="00EB6502"/>
    <w:rsid w:val="00EB7365"/>
    <w:rsid w:val="00EB76C6"/>
    <w:rsid w:val="00EC24E6"/>
    <w:rsid w:val="00EC4BF3"/>
    <w:rsid w:val="00EC541A"/>
    <w:rsid w:val="00EC54EB"/>
    <w:rsid w:val="00EC558C"/>
    <w:rsid w:val="00EC5A9A"/>
    <w:rsid w:val="00EC5E8E"/>
    <w:rsid w:val="00ED0599"/>
    <w:rsid w:val="00ED0B4A"/>
    <w:rsid w:val="00ED2366"/>
    <w:rsid w:val="00ED3342"/>
    <w:rsid w:val="00ED3515"/>
    <w:rsid w:val="00ED3E34"/>
    <w:rsid w:val="00ED5252"/>
    <w:rsid w:val="00ED559D"/>
    <w:rsid w:val="00ED57FD"/>
    <w:rsid w:val="00ED6409"/>
    <w:rsid w:val="00ED776B"/>
    <w:rsid w:val="00ED7ED6"/>
    <w:rsid w:val="00EE01CB"/>
    <w:rsid w:val="00EE3FCE"/>
    <w:rsid w:val="00EE4D31"/>
    <w:rsid w:val="00EE7525"/>
    <w:rsid w:val="00EE7A74"/>
    <w:rsid w:val="00EF0122"/>
    <w:rsid w:val="00EF033D"/>
    <w:rsid w:val="00EF057E"/>
    <w:rsid w:val="00EF0AA7"/>
    <w:rsid w:val="00EF160E"/>
    <w:rsid w:val="00EF25D8"/>
    <w:rsid w:val="00EF2803"/>
    <w:rsid w:val="00EF3E18"/>
    <w:rsid w:val="00EF6271"/>
    <w:rsid w:val="00EF634D"/>
    <w:rsid w:val="00EF7CFB"/>
    <w:rsid w:val="00EF7D44"/>
    <w:rsid w:val="00F00C81"/>
    <w:rsid w:val="00F01126"/>
    <w:rsid w:val="00F01198"/>
    <w:rsid w:val="00F01707"/>
    <w:rsid w:val="00F02694"/>
    <w:rsid w:val="00F027FE"/>
    <w:rsid w:val="00F02B02"/>
    <w:rsid w:val="00F02B37"/>
    <w:rsid w:val="00F0338A"/>
    <w:rsid w:val="00F0533A"/>
    <w:rsid w:val="00F05ECB"/>
    <w:rsid w:val="00F0644E"/>
    <w:rsid w:val="00F06F4D"/>
    <w:rsid w:val="00F1036E"/>
    <w:rsid w:val="00F10472"/>
    <w:rsid w:val="00F10560"/>
    <w:rsid w:val="00F116A7"/>
    <w:rsid w:val="00F117F0"/>
    <w:rsid w:val="00F11EBB"/>
    <w:rsid w:val="00F125E3"/>
    <w:rsid w:val="00F128F1"/>
    <w:rsid w:val="00F12AFC"/>
    <w:rsid w:val="00F1494E"/>
    <w:rsid w:val="00F15D86"/>
    <w:rsid w:val="00F15F90"/>
    <w:rsid w:val="00F1699E"/>
    <w:rsid w:val="00F20521"/>
    <w:rsid w:val="00F24847"/>
    <w:rsid w:val="00F25403"/>
    <w:rsid w:val="00F26B1A"/>
    <w:rsid w:val="00F26BB6"/>
    <w:rsid w:val="00F27D91"/>
    <w:rsid w:val="00F32BB0"/>
    <w:rsid w:val="00F32E1E"/>
    <w:rsid w:val="00F330CE"/>
    <w:rsid w:val="00F333BD"/>
    <w:rsid w:val="00F33DF7"/>
    <w:rsid w:val="00F33F62"/>
    <w:rsid w:val="00F3535A"/>
    <w:rsid w:val="00F35601"/>
    <w:rsid w:val="00F35DB8"/>
    <w:rsid w:val="00F37039"/>
    <w:rsid w:val="00F41127"/>
    <w:rsid w:val="00F4196B"/>
    <w:rsid w:val="00F42284"/>
    <w:rsid w:val="00F422FB"/>
    <w:rsid w:val="00F4243F"/>
    <w:rsid w:val="00F42FA3"/>
    <w:rsid w:val="00F43406"/>
    <w:rsid w:val="00F4518F"/>
    <w:rsid w:val="00F4540F"/>
    <w:rsid w:val="00F457F6"/>
    <w:rsid w:val="00F47EB6"/>
    <w:rsid w:val="00F50158"/>
    <w:rsid w:val="00F5115B"/>
    <w:rsid w:val="00F529F4"/>
    <w:rsid w:val="00F52C6E"/>
    <w:rsid w:val="00F53459"/>
    <w:rsid w:val="00F53B40"/>
    <w:rsid w:val="00F54326"/>
    <w:rsid w:val="00F577B9"/>
    <w:rsid w:val="00F57B64"/>
    <w:rsid w:val="00F57CC2"/>
    <w:rsid w:val="00F60246"/>
    <w:rsid w:val="00F60E41"/>
    <w:rsid w:val="00F610E0"/>
    <w:rsid w:val="00F616B7"/>
    <w:rsid w:val="00F627CD"/>
    <w:rsid w:val="00F643FD"/>
    <w:rsid w:val="00F66093"/>
    <w:rsid w:val="00F70504"/>
    <w:rsid w:val="00F7104C"/>
    <w:rsid w:val="00F710D9"/>
    <w:rsid w:val="00F72135"/>
    <w:rsid w:val="00F72765"/>
    <w:rsid w:val="00F72980"/>
    <w:rsid w:val="00F735BE"/>
    <w:rsid w:val="00F73C73"/>
    <w:rsid w:val="00F74C52"/>
    <w:rsid w:val="00F76312"/>
    <w:rsid w:val="00F8052C"/>
    <w:rsid w:val="00F80F92"/>
    <w:rsid w:val="00F839F4"/>
    <w:rsid w:val="00F84B8A"/>
    <w:rsid w:val="00F86CE5"/>
    <w:rsid w:val="00F87373"/>
    <w:rsid w:val="00F91456"/>
    <w:rsid w:val="00F9185D"/>
    <w:rsid w:val="00F92649"/>
    <w:rsid w:val="00F92AAC"/>
    <w:rsid w:val="00F92EAE"/>
    <w:rsid w:val="00F94F09"/>
    <w:rsid w:val="00F953C8"/>
    <w:rsid w:val="00F95FD2"/>
    <w:rsid w:val="00F96701"/>
    <w:rsid w:val="00F96E1E"/>
    <w:rsid w:val="00F975DB"/>
    <w:rsid w:val="00F97BA2"/>
    <w:rsid w:val="00FA0381"/>
    <w:rsid w:val="00FA08FA"/>
    <w:rsid w:val="00FA1207"/>
    <w:rsid w:val="00FA28F4"/>
    <w:rsid w:val="00FA46DF"/>
    <w:rsid w:val="00FA4B61"/>
    <w:rsid w:val="00FB3184"/>
    <w:rsid w:val="00FB3804"/>
    <w:rsid w:val="00FB4001"/>
    <w:rsid w:val="00FB4C81"/>
    <w:rsid w:val="00FB4D56"/>
    <w:rsid w:val="00FB5373"/>
    <w:rsid w:val="00FB5450"/>
    <w:rsid w:val="00FB62B9"/>
    <w:rsid w:val="00FB6ABE"/>
    <w:rsid w:val="00FB7495"/>
    <w:rsid w:val="00FC0E65"/>
    <w:rsid w:val="00FC14C7"/>
    <w:rsid w:val="00FC15D8"/>
    <w:rsid w:val="00FC1C04"/>
    <w:rsid w:val="00FC1CB3"/>
    <w:rsid w:val="00FC4072"/>
    <w:rsid w:val="00FC4362"/>
    <w:rsid w:val="00FC46B0"/>
    <w:rsid w:val="00FC7120"/>
    <w:rsid w:val="00FC7B61"/>
    <w:rsid w:val="00FC7E54"/>
    <w:rsid w:val="00FD02BB"/>
    <w:rsid w:val="00FD189A"/>
    <w:rsid w:val="00FD2F09"/>
    <w:rsid w:val="00FD3870"/>
    <w:rsid w:val="00FD437C"/>
    <w:rsid w:val="00FD480D"/>
    <w:rsid w:val="00FD5365"/>
    <w:rsid w:val="00FD5991"/>
    <w:rsid w:val="00FD71E6"/>
    <w:rsid w:val="00FD7451"/>
    <w:rsid w:val="00FE21C5"/>
    <w:rsid w:val="00FE2408"/>
    <w:rsid w:val="00FE2F8C"/>
    <w:rsid w:val="00FE300C"/>
    <w:rsid w:val="00FE4041"/>
    <w:rsid w:val="00FE4144"/>
    <w:rsid w:val="00FE478E"/>
    <w:rsid w:val="00FE49A7"/>
    <w:rsid w:val="00FE5508"/>
    <w:rsid w:val="00FE642B"/>
    <w:rsid w:val="00FE79F4"/>
    <w:rsid w:val="00FF00AE"/>
    <w:rsid w:val="00FF098C"/>
    <w:rsid w:val="00FF2891"/>
    <w:rsid w:val="00FF329A"/>
    <w:rsid w:val="00FF3C97"/>
    <w:rsid w:val="00FF4C6C"/>
    <w:rsid w:val="00FF5271"/>
    <w:rsid w:val="00FF7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E84BA"/>
  <w15:docId w15:val="{54F1B2C6-6A1E-4128-BC70-0C52251F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671"/>
    <w:pPr>
      <w:spacing w:after="0" w:line="360" w:lineRule="auto"/>
    </w:pPr>
    <w:rPr>
      <w:rFonts w:ascii="Times New Roman" w:eastAsia="Times New Roman" w:hAnsi="Times New Roman" w:cs="Times New Roman"/>
      <w:sz w:val="24"/>
      <w:szCs w:val="20"/>
    </w:rPr>
  </w:style>
  <w:style w:type="paragraph" w:styleId="Heading1">
    <w:name w:val="heading 1"/>
    <w:basedOn w:val="ListParagraph"/>
    <w:next w:val="Normal"/>
    <w:link w:val="Heading1Char"/>
    <w:uiPriority w:val="9"/>
    <w:qFormat/>
    <w:rsid w:val="00BE145B"/>
    <w:pPr>
      <w:ind w:left="0"/>
      <w:contextualSpacing w:val="0"/>
      <w:jc w:val="center"/>
      <w:outlineLvl w:val="0"/>
    </w:pPr>
    <w:rPr>
      <w:b/>
      <w:sz w:val="26"/>
      <w:szCs w:val="26"/>
    </w:rPr>
  </w:style>
  <w:style w:type="paragraph" w:styleId="Heading2">
    <w:name w:val="heading 2"/>
    <w:basedOn w:val="Normal"/>
    <w:next w:val="Normal"/>
    <w:link w:val="Heading2Char"/>
    <w:uiPriority w:val="9"/>
    <w:unhideWhenUsed/>
    <w:qFormat/>
    <w:rsid w:val="00BE145B"/>
    <w:pPr>
      <w:keepNext/>
      <w:outlineLvl w:val="1"/>
    </w:pPr>
    <w:rPr>
      <w:b/>
      <w:sz w:val="26"/>
      <w:szCs w:val="26"/>
    </w:rPr>
  </w:style>
  <w:style w:type="paragraph" w:styleId="Heading3">
    <w:name w:val="heading 3"/>
    <w:basedOn w:val="Heading1"/>
    <w:next w:val="Normal"/>
    <w:link w:val="Heading3Char"/>
    <w:uiPriority w:val="9"/>
    <w:unhideWhenUsed/>
    <w:qFormat/>
    <w:rsid w:val="00600FC7"/>
    <w:pPr>
      <w:outlineLvl w:val="2"/>
    </w:pPr>
  </w:style>
  <w:style w:type="paragraph" w:styleId="Heading4">
    <w:name w:val="heading 4"/>
    <w:basedOn w:val="Normal"/>
    <w:next w:val="Normal"/>
    <w:link w:val="Heading4Char"/>
    <w:uiPriority w:val="9"/>
    <w:unhideWhenUsed/>
    <w:qFormat/>
    <w:rsid w:val="00600FC7"/>
    <w:pPr>
      <w:keepNext/>
      <w:jc w:val="center"/>
      <w:outlineLvl w:val="3"/>
    </w:pPr>
    <w:rPr>
      <w:b/>
      <w:sz w:val="26"/>
      <w:szCs w:val="26"/>
    </w:rPr>
  </w:style>
  <w:style w:type="paragraph" w:styleId="Heading5">
    <w:name w:val="heading 5"/>
    <w:basedOn w:val="Normal"/>
    <w:next w:val="Normal"/>
    <w:link w:val="Heading5Char"/>
    <w:uiPriority w:val="9"/>
    <w:unhideWhenUsed/>
    <w:qFormat/>
    <w:rsid w:val="00600FC7"/>
    <w:pPr>
      <w:keepNext/>
      <w:keepLines/>
      <w:jc w:val="center"/>
      <w:outlineLvl w:val="4"/>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9E5583"/>
    <w:pPr>
      <w:spacing w:line="240" w:lineRule="auto"/>
      <w:jc w:val="center"/>
    </w:pPr>
    <w:rPr>
      <w:b/>
    </w:rPr>
  </w:style>
  <w:style w:type="character" w:customStyle="1" w:styleId="SubtitleChar">
    <w:name w:val="Subtitle Char"/>
    <w:basedOn w:val="DefaultParagraphFont"/>
    <w:link w:val="Subtitle"/>
    <w:rsid w:val="009E5583"/>
    <w:rPr>
      <w:rFonts w:ascii="CG Times" w:eastAsia="Times New Roman" w:hAnsi="CG Times" w:cs="Times New Roman"/>
      <w:b/>
      <w:sz w:val="24"/>
      <w:szCs w:val="20"/>
    </w:rPr>
  </w:style>
  <w:style w:type="character" w:customStyle="1" w:styleId="Heading1Char">
    <w:name w:val="Heading 1 Char"/>
    <w:basedOn w:val="DefaultParagraphFont"/>
    <w:link w:val="Heading1"/>
    <w:uiPriority w:val="9"/>
    <w:rsid w:val="00BE145B"/>
    <w:rPr>
      <w:rFonts w:ascii="Times New Roman" w:eastAsia="Times New Roman" w:hAnsi="Times New Roman" w:cs="Times New Roman"/>
      <w:b/>
      <w:sz w:val="26"/>
      <w:szCs w:val="26"/>
    </w:rPr>
  </w:style>
  <w:style w:type="paragraph" w:styleId="BodyTextIndent">
    <w:name w:val="Body Text Indent"/>
    <w:basedOn w:val="Normal"/>
    <w:link w:val="BodyTextIndentChar"/>
    <w:uiPriority w:val="99"/>
    <w:unhideWhenUsed/>
    <w:rsid w:val="009E5583"/>
    <w:pPr>
      <w:spacing w:after="120"/>
      <w:ind w:left="360"/>
    </w:pPr>
  </w:style>
  <w:style w:type="character" w:customStyle="1" w:styleId="BodyTextIndentChar">
    <w:name w:val="Body Text Indent Char"/>
    <w:basedOn w:val="DefaultParagraphFont"/>
    <w:link w:val="BodyTextIndent"/>
    <w:uiPriority w:val="99"/>
    <w:rsid w:val="009E5583"/>
    <w:rPr>
      <w:rFonts w:ascii="CG Times" w:eastAsia="Times New Roman" w:hAnsi="CG Times" w:cs="Times New Roman"/>
      <w:sz w:val="24"/>
      <w:szCs w:val="20"/>
    </w:rPr>
  </w:style>
  <w:style w:type="paragraph" w:styleId="ListParagraph">
    <w:name w:val="List Paragraph"/>
    <w:basedOn w:val="Normal"/>
    <w:uiPriority w:val="34"/>
    <w:qFormat/>
    <w:rsid w:val="009E5583"/>
    <w:pPr>
      <w:ind w:left="720"/>
      <w:contextualSpacing/>
    </w:pPr>
  </w:style>
  <w:style w:type="character" w:styleId="FootnoteReference">
    <w:name w:val="footnote reference"/>
    <w:aliases w:val="o,fr"/>
    <w:basedOn w:val="DefaultParagraphFont"/>
    <w:uiPriority w:val="99"/>
    <w:unhideWhenUsed/>
    <w:rsid w:val="00792C5F"/>
    <w:rPr>
      <w:rFonts w:ascii="Times New Roman" w:hAnsi="Times New Roman"/>
      <w:vertAlign w:val="superscript"/>
    </w:rPr>
  </w:style>
  <w:style w:type="paragraph" w:styleId="FootnoteText">
    <w:name w:val="footnote text"/>
    <w:aliases w:val="Car,fn,ALTS FOOTNOTE,Footnote Text 2,Footnote text,FOOTNOTE,fn Char Char,fn Char,Footnote Text Char1 Char,Footnote Text Char Char Char,ALTS FOOTNOTE Char Char Char,Footnote Text Char2 Char Char Char,Footnote Text Char1"/>
    <w:basedOn w:val="Normal"/>
    <w:link w:val="FootnoteTextChar"/>
    <w:autoRedefine/>
    <w:uiPriority w:val="99"/>
    <w:unhideWhenUsed/>
    <w:qFormat/>
    <w:rsid w:val="00F5115B"/>
    <w:pPr>
      <w:keepNext/>
      <w:keepLines/>
      <w:spacing w:after="120" w:line="240" w:lineRule="auto"/>
      <w:ind w:firstLine="720"/>
    </w:pPr>
    <w:rPr>
      <w:sz w:val="26"/>
      <w:szCs w:val="26"/>
    </w:rPr>
  </w:style>
  <w:style w:type="character" w:customStyle="1" w:styleId="FootnoteTextChar">
    <w:name w:val="Footnote Text Char"/>
    <w:aliases w:val="Car Char,fn Char1,ALTS FOOTNOTE Char,Footnote Text 2 Char,Footnote text Char,FOOTNOTE Char,fn Char Char Char,fn Char Char1,Footnote Text Char1 Char Char,Footnote Text Char Char Char Char,ALTS FOOTNOTE Char Char Char Char"/>
    <w:basedOn w:val="DefaultParagraphFont"/>
    <w:link w:val="FootnoteText"/>
    <w:uiPriority w:val="99"/>
    <w:rsid w:val="00F5115B"/>
    <w:rPr>
      <w:rFonts w:ascii="Times New Roman" w:eastAsia="Times New Roman" w:hAnsi="Times New Roman" w:cs="Times New Roman"/>
      <w:sz w:val="26"/>
      <w:szCs w:val="26"/>
    </w:rPr>
  </w:style>
  <w:style w:type="paragraph" w:styleId="Footer">
    <w:name w:val="footer"/>
    <w:basedOn w:val="Normal"/>
    <w:link w:val="FooterChar"/>
    <w:uiPriority w:val="99"/>
    <w:rsid w:val="00792C5F"/>
    <w:pPr>
      <w:tabs>
        <w:tab w:val="center" w:pos="4320"/>
        <w:tab w:val="right" w:pos="8640"/>
      </w:tabs>
      <w:spacing w:line="240" w:lineRule="auto"/>
    </w:pPr>
    <w:rPr>
      <w:sz w:val="20"/>
    </w:rPr>
  </w:style>
  <w:style w:type="character" w:customStyle="1" w:styleId="FooterChar">
    <w:name w:val="Footer Char"/>
    <w:basedOn w:val="DefaultParagraphFont"/>
    <w:link w:val="Footer"/>
    <w:uiPriority w:val="99"/>
    <w:rsid w:val="00792C5F"/>
    <w:rPr>
      <w:rFonts w:ascii="Times New Roman" w:eastAsia="Times New Roman" w:hAnsi="Times New Roman" w:cs="Times New Roman"/>
      <w:sz w:val="20"/>
      <w:szCs w:val="20"/>
    </w:rPr>
  </w:style>
  <w:style w:type="paragraph" w:styleId="BodyText2">
    <w:name w:val="Body Text 2"/>
    <w:basedOn w:val="Normal"/>
    <w:link w:val="BodyText2Char"/>
    <w:unhideWhenUsed/>
    <w:rsid w:val="00AB259B"/>
    <w:pPr>
      <w:spacing w:after="120" w:line="480" w:lineRule="auto"/>
    </w:pPr>
  </w:style>
  <w:style w:type="character" w:customStyle="1" w:styleId="BodyText2Char">
    <w:name w:val="Body Text 2 Char"/>
    <w:basedOn w:val="DefaultParagraphFont"/>
    <w:link w:val="BodyText2"/>
    <w:rsid w:val="00AB259B"/>
    <w:rPr>
      <w:rFonts w:ascii="CG Times" w:eastAsia="Times New Roman" w:hAnsi="CG Times" w:cs="Times New Roman"/>
      <w:sz w:val="24"/>
      <w:szCs w:val="20"/>
    </w:rPr>
  </w:style>
  <w:style w:type="paragraph" w:styleId="Header">
    <w:name w:val="header"/>
    <w:basedOn w:val="Normal"/>
    <w:link w:val="HeaderChar"/>
    <w:uiPriority w:val="99"/>
    <w:unhideWhenUsed/>
    <w:rsid w:val="00C2506C"/>
    <w:pPr>
      <w:tabs>
        <w:tab w:val="center" w:pos="4680"/>
        <w:tab w:val="right" w:pos="9360"/>
      </w:tabs>
      <w:spacing w:line="240" w:lineRule="auto"/>
    </w:pPr>
  </w:style>
  <w:style w:type="character" w:customStyle="1" w:styleId="HeaderChar">
    <w:name w:val="Header Char"/>
    <w:basedOn w:val="DefaultParagraphFont"/>
    <w:link w:val="Header"/>
    <w:uiPriority w:val="99"/>
    <w:rsid w:val="00C2506C"/>
    <w:rPr>
      <w:rFonts w:ascii="CG Times" w:eastAsia="Times New Roman" w:hAnsi="CG Times" w:cs="Times New Roman"/>
      <w:sz w:val="24"/>
      <w:szCs w:val="20"/>
    </w:rPr>
  </w:style>
  <w:style w:type="paragraph" w:styleId="EndnoteText">
    <w:name w:val="endnote text"/>
    <w:basedOn w:val="Normal"/>
    <w:link w:val="EndnoteTextChar"/>
    <w:uiPriority w:val="99"/>
    <w:semiHidden/>
    <w:unhideWhenUsed/>
    <w:rsid w:val="00A52840"/>
    <w:pPr>
      <w:spacing w:line="240" w:lineRule="auto"/>
    </w:pPr>
    <w:rPr>
      <w:sz w:val="20"/>
    </w:rPr>
  </w:style>
  <w:style w:type="character" w:customStyle="1" w:styleId="EndnoteTextChar">
    <w:name w:val="Endnote Text Char"/>
    <w:basedOn w:val="DefaultParagraphFont"/>
    <w:link w:val="EndnoteText"/>
    <w:uiPriority w:val="99"/>
    <w:semiHidden/>
    <w:rsid w:val="00A52840"/>
    <w:rPr>
      <w:rFonts w:ascii="CG Times" w:eastAsia="Times New Roman" w:hAnsi="CG Times" w:cs="Times New Roman"/>
      <w:sz w:val="20"/>
      <w:szCs w:val="20"/>
    </w:rPr>
  </w:style>
  <w:style w:type="character" w:styleId="EndnoteReference">
    <w:name w:val="endnote reference"/>
    <w:basedOn w:val="DefaultParagraphFont"/>
    <w:uiPriority w:val="99"/>
    <w:semiHidden/>
    <w:unhideWhenUsed/>
    <w:rsid w:val="00A52840"/>
    <w:rPr>
      <w:vertAlign w:val="superscript"/>
    </w:rPr>
  </w:style>
  <w:style w:type="paragraph" w:styleId="BodyText3">
    <w:name w:val="Body Text 3"/>
    <w:basedOn w:val="Normal"/>
    <w:link w:val="BodyText3Char"/>
    <w:uiPriority w:val="99"/>
    <w:unhideWhenUsed/>
    <w:rsid w:val="003C2103"/>
    <w:pPr>
      <w:spacing w:after="120"/>
    </w:pPr>
    <w:rPr>
      <w:sz w:val="16"/>
      <w:szCs w:val="16"/>
    </w:rPr>
  </w:style>
  <w:style w:type="character" w:customStyle="1" w:styleId="BodyText3Char">
    <w:name w:val="Body Text 3 Char"/>
    <w:basedOn w:val="DefaultParagraphFont"/>
    <w:link w:val="BodyText3"/>
    <w:uiPriority w:val="99"/>
    <w:rsid w:val="003C2103"/>
    <w:rPr>
      <w:rFonts w:ascii="CG Times" w:eastAsia="Times New Roman" w:hAnsi="CG Times" w:cs="Times New Roman"/>
      <w:sz w:val="16"/>
      <w:szCs w:val="16"/>
    </w:rPr>
  </w:style>
  <w:style w:type="paragraph" w:styleId="NoSpacing">
    <w:name w:val="No Spacing"/>
    <w:uiPriority w:val="1"/>
    <w:qFormat/>
    <w:rsid w:val="003C2103"/>
    <w:pPr>
      <w:spacing w:after="0" w:line="240" w:lineRule="auto"/>
    </w:pPr>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3672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217"/>
    <w:rPr>
      <w:rFonts w:ascii="Tahoma" w:eastAsia="Times New Roman" w:hAnsi="Tahoma" w:cs="Tahoma"/>
      <w:sz w:val="16"/>
      <w:szCs w:val="16"/>
    </w:rPr>
  </w:style>
  <w:style w:type="table" w:styleId="TableGrid">
    <w:name w:val="Table Grid"/>
    <w:basedOn w:val="TableNormal"/>
    <w:uiPriority w:val="59"/>
    <w:rsid w:val="00DA262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12055"/>
    <w:pPr>
      <w:spacing w:after="120"/>
    </w:pPr>
  </w:style>
  <w:style w:type="character" w:customStyle="1" w:styleId="BodyTextChar">
    <w:name w:val="Body Text Char"/>
    <w:basedOn w:val="DefaultParagraphFont"/>
    <w:link w:val="BodyText"/>
    <w:rsid w:val="00D12055"/>
    <w:rPr>
      <w:rFonts w:ascii="CG Times" w:eastAsia="Times New Roman" w:hAnsi="CG Times" w:cs="Times New Roman"/>
      <w:sz w:val="24"/>
      <w:szCs w:val="20"/>
    </w:rPr>
  </w:style>
  <w:style w:type="character" w:styleId="CommentReference">
    <w:name w:val="annotation reference"/>
    <w:basedOn w:val="DefaultParagraphFont"/>
    <w:uiPriority w:val="99"/>
    <w:semiHidden/>
    <w:unhideWhenUsed/>
    <w:rsid w:val="006F02C2"/>
    <w:rPr>
      <w:sz w:val="16"/>
      <w:szCs w:val="16"/>
    </w:rPr>
  </w:style>
  <w:style w:type="paragraph" w:styleId="CommentText">
    <w:name w:val="annotation text"/>
    <w:basedOn w:val="Normal"/>
    <w:link w:val="CommentTextChar"/>
    <w:uiPriority w:val="99"/>
    <w:semiHidden/>
    <w:unhideWhenUsed/>
    <w:rsid w:val="006F02C2"/>
    <w:pPr>
      <w:spacing w:line="240" w:lineRule="auto"/>
    </w:pPr>
    <w:rPr>
      <w:sz w:val="20"/>
    </w:rPr>
  </w:style>
  <w:style w:type="character" w:customStyle="1" w:styleId="CommentTextChar">
    <w:name w:val="Comment Text Char"/>
    <w:basedOn w:val="DefaultParagraphFont"/>
    <w:link w:val="CommentText"/>
    <w:uiPriority w:val="99"/>
    <w:semiHidden/>
    <w:rsid w:val="006F02C2"/>
    <w:rPr>
      <w:rFonts w:ascii="CG Times" w:eastAsia="Times New Roman" w:hAnsi="CG Times" w:cs="Times New Roman"/>
      <w:sz w:val="20"/>
      <w:szCs w:val="20"/>
    </w:rPr>
  </w:style>
  <w:style w:type="paragraph" w:styleId="CommentSubject">
    <w:name w:val="annotation subject"/>
    <w:basedOn w:val="CommentText"/>
    <w:next w:val="CommentText"/>
    <w:link w:val="CommentSubjectChar"/>
    <w:uiPriority w:val="99"/>
    <w:semiHidden/>
    <w:unhideWhenUsed/>
    <w:rsid w:val="006F02C2"/>
    <w:rPr>
      <w:b/>
      <w:bCs/>
    </w:rPr>
  </w:style>
  <w:style w:type="character" w:customStyle="1" w:styleId="CommentSubjectChar">
    <w:name w:val="Comment Subject Char"/>
    <w:basedOn w:val="CommentTextChar"/>
    <w:link w:val="CommentSubject"/>
    <w:uiPriority w:val="99"/>
    <w:semiHidden/>
    <w:rsid w:val="006F02C2"/>
    <w:rPr>
      <w:rFonts w:ascii="CG Times" w:eastAsia="Times New Roman" w:hAnsi="CG Times" w:cs="Times New Roman"/>
      <w:b/>
      <w:bCs/>
      <w:sz w:val="20"/>
      <w:szCs w:val="20"/>
    </w:rPr>
  </w:style>
  <w:style w:type="character" w:styleId="Strong">
    <w:name w:val="Strong"/>
    <w:basedOn w:val="DefaultParagraphFont"/>
    <w:uiPriority w:val="22"/>
    <w:qFormat/>
    <w:rsid w:val="00A44992"/>
    <w:rPr>
      <w:b/>
      <w:bCs/>
    </w:rPr>
  </w:style>
  <w:style w:type="character" w:customStyle="1" w:styleId="Heading2Char">
    <w:name w:val="Heading 2 Char"/>
    <w:basedOn w:val="DefaultParagraphFont"/>
    <w:link w:val="Heading2"/>
    <w:uiPriority w:val="9"/>
    <w:rsid w:val="00BE145B"/>
    <w:rPr>
      <w:rFonts w:ascii="Times New Roman" w:eastAsia="Times New Roman" w:hAnsi="Times New Roman" w:cs="Times New Roman"/>
      <w:b/>
      <w:sz w:val="26"/>
      <w:szCs w:val="26"/>
    </w:rPr>
  </w:style>
  <w:style w:type="character" w:customStyle="1" w:styleId="Heading3Char">
    <w:name w:val="Heading 3 Char"/>
    <w:basedOn w:val="DefaultParagraphFont"/>
    <w:link w:val="Heading3"/>
    <w:uiPriority w:val="9"/>
    <w:rsid w:val="00600FC7"/>
    <w:rPr>
      <w:rFonts w:ascii="Times New Roman" w:eastAsia="Times New Roman" w:hAnsi="Times New Roman" w:cs="Times New Roman"/>
      <w:b/>
      <w:sz w:val="26"/>
      <w:szCs w:val="26"/>
    </w:rPr>
  </w:style>
  <w:style w:type="character" w:customStyle="1" w:styleId="Heading4Char">
    <w:name w:val="Heading 4 Char"/>
    <w:basedOn w:val="DefaultParagraphFont"/>
    <w:link w:val="Heading4"/>
    <w:uiPriority w:val="9"/>
    <w:rsid w:val="00600FC7"/>
    <w:rPr>
      <w:rFonts w:ascii="Times New Roman" w:eastAsia="Times New Roman" w:hAnsi="Times New Roman" w:cs="Times New Roman"/>
      <w:b/>
      <w:sz w:val="26"/>
      <w:szCs w:val="26"/>
    </w:rPr>
  </w:style>
  <w:style w:type="character" w:customStyle="1" w:styleId="Heading5Char">
    <w:name w:val="Heading 5 Char"/>
    <w:basedOn w:val="DefaultParagraphFont"/>
    <w:link w:val="Heading5"/>
    <w:uiPriority w:val="9"/>
    <w:rsid w:val="00600FC7"/>
    <w:rPr>
      <w:rFonts w:ascii="Times New Roman" w:eastAsia="Times New Roman" w:hAnsi="Times New Roman" w:cs="Times New Roman"/>
      <w:b/>
      <w:sz w:val="26"/>
      <w:szCs w:val="26"/>
    </w:rPr>
  </w:style>
  <w:style w:type="paragraph" w:styleId="TOC1">
    <w:name w:val="toc 1"/>
    <w:basedOn w:val="Normal"/>
    <w:next w:val="Normal"/>
    <w:autoRedefine/>
    <w:uiPriority w:val="39"/>
    <w:unhideWhenUsed/>
    <w:rsid w:val="00296659"/>
    <w:pPr>
      <w:tabs>
        <w:tab w:val="left" w:pos="440"/>
        <w:tab w:val="right" w:leader="dot" w:pos="9350"/>
      </w:tabs>
      <w:spacing w:before="360"/>
    </w:pPr>
    <w:rPr>
      <w:b/>
      <w:noProof/>
    </w:rPr>
  </w:style>
  <w:style w:type="paragraph" w:styleId="TOC2">
    <w:name w:val="toc 2"/>
    <w:basedOn w:val="Normal"/>
    <w:next w:val="Normal"/>
    <w:autoRedefine/>
    <w:uiPriority w:val="39"/>
    <w:unhideWhenUsed/>
    <w:rsid w:val="009745BF"/>
    <w:pPr>
      <w:tabs>
        <w:tab w:val="left" w:pos="880"/>
        <w:tab w:val="right" w:leader="dot" w:pos="9350"/>
      </w:tabs>
      <w:spacing w:after="100"/>
      <w:ind w:lef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46581">
      <w:bodyDiv w:val="1"/>
      <w:marLeft w:val="0"/>
      <w:marRight w:val="0"/>
      <w:marTop w:val="0"/>
      <w:marBottom w:val="0"/>
      <w:divBdr>
        <w:top w:val="none" w:sz="0" w:space="0" w:color="auto"/>
        <w:left w:val="none" w:sz="0" w:space="0" w:color="auto"/>
        <w:bottom w:val="none" w:sz="0" w:space="0" w:color="auto"/>
        <w:right w:val="none" w:sz="0" w:space="0" w:color="auto"/>
      </w:divBdr>
    </w:div>
    <w:div w:id="310403686">
      <w:bodyDiv w:val="1"/>
      <w:marLeft w:val="0"/>
      <w:marRight w:val="0"/>
      <w:marTop w:val="0"/>
      <w:marBottom w:val="0"/>
      <w:divBdr>
        <w:top w:val="none" w:sz="0" w:space="0" w:color="auto"/>
        <w:left w:val="none" w:sz="0" w:space="0" w:color="auto"/>
        <w:bottom w:val="none" w:sz="0" w:space="0" w:color="auto"/>
        <w:right w:val="none" w:sz="0" w:space="0" w:color="auto"/>
      </w:divBdr>
    </w:div>
    <w:div w:id="367797539">
      <w:bodyDiv w:val="1"/>
      <w:marLeft w:val="0"/>
      <w:marRight w:val="0"/>
      <w:marTop w:val="0"/>
      <w:marBottom w:val="0"/>
      <w:divBdr>
        <w:top w:val="none" w:sz="0" w:space="0" w:color="auto"/>
        <w:left w:val="none" w:sz="0" w:space="0" w:color="auto"/>
        <w:bottom w:val="none" w:sz="0" w:space="0" w:color="auto"/>
        <w:right w:val="none" w:sz="0" w:space="0" w:color="auto"/>
      </w:divBdr>
    </w:div>
    <w:div w:id="396510277">
      <w:bodyDiv w:val="1"/>
      <w:marLeft w:val="0"/>
      <w:marRight w:val="0"/>
      <w:marTop w:val="0"/>
      <w:marBottom w:val="0"/>
      <w:divBdr>
        <w:top w:val="none" w:sz="0" w:space="0" w:color="auto"/>
        <w:left w:val="none" w:sz="0" w:space="0" w:color="auto"/>
        <w:bottom w:val="none" w:sz="0" w:space="0" w:color="auto"/>
        <w:right w:val="none" w:sz="0" w:space="0" w:color="auto"/>
      </w:divBdr>
    </w:div>
    <w:div w:id="543832982">
      <w:bodyDiv w:val="1"/>
      <w:marLeft w:val="0"/>
      <w:marRight w:val="0"/>
      <w:marTop w:val="0"/>
      <w:marBottom w:val="0"/>
      <w:divBdr>
        <w:top w:val="none" w:sz="0" w:space="0" w:color="auto"/>
        <w:left w:val="none" w:sz="0" w:space="0" w:color="auto"/>
        <w:bottom w:val="none" w:sz="0" w:space="0" w:color="auto"/>
        <w:right w:val="none" w:sz="0" w:space="0" w:color="auto"/>
      </w:divBdr>
    </w:div>
    <w:div w:id="585845547">
      <w:bodyDiv w:val="1"/>
      <w:marLeft w:val="0"/>
      <w:marRight w:val="0"/>
      <w:marTop w:val="0"/>
      <w:marBottom w:val="0"/>
      <w:divBdr>
        <w:top w:val="none" w:sz="0" w:space="0" w:color="auto"/>
        <w:left w:val="none" w:sz="0" w:space="0" w:color="auto"/>
        <w:bottom w:val="none" w:sz="0" w:space="0" w:color="auto"/>
        <w:right w:val="none" w:sz="0" w:space="0" w:color="auto"/>
      </w:divBdr>
    </w:div>
    <w:div w:id="737627704">
      <w:bodyDiv w:val="1"/>
      <w:marLeft w:val="0"/>
      <w:marRight w:val="0"/>
      <w:marTop w:val="0"/>
      <w:marBottom w:val="0"/>
      <w:divBdr>
        <w:top w:val="none" w:sz="0" w:space="0" w:color="auto"/>
        <w:left w:val="none" w:sz="0" w:space="0" w:color="auto"/>
        <w:bottom w:val="none" w:sz="0" w:space="0" w:color="auto"/>
        <w:right w:val="none" w:sz="0" w:space="0" w:color="auto"/>
      </w:divBdr>
    </w:div>
    <w:div w:id="805392532">
      <w:bodyDiv w:val="1"/>
      <w:marLeft w:val="0"/>
      <w:marRight w:val="0"/>
      <w:marTop w:val="0"/>
      <w:marBottom w:val="0"/>
      <w:divBdr>
        <w:top w:val="none" w:sz="0" w:space="0" w:color="auto"/>
        <w:left w:val="none" w:sz="0" w:space="0" w:color="auto"/>
        <w:bottom w:val="none" w:sz="0" w:space="0" w:color="auto"/>
        <w:right w:val="none" w:sz="0" w:space="0" w:color="auto"/>
      </w:divBdr>
    </w:div>
    <w:div w:id="886381610">
      <w:bodyDiv w:val="1"/>
      <w:marLeft w:val="0"/>
      <w:marRight w:val="0"/>
      <w:marTop w:val="0"/>
      <w:marBottom w:val="0"/>
      <w:divBdr>
        <w:top w:val="none" w:sz="0" w:space="0" w:color="auto"/>
        <w:left w:val="none" w:sz="0" w:space="0" w:color="auto"/>
        <w:bottom w:val="none" w:sz="0" w:space="0" w:color="auto"/>
        <w:right w:val="none" w:sz="0" w:space="0" w:color="auto"/>
      </w:divBdr>
    </w:div>
    <w:div w:id="933903423">
      <w:bodyDiv w:val="1"/>
      <w:marLeft w:val="0"/>
      <w:marRight w:val="0"/>
      <w:marTop w:val="0"/>
      <w:marBottom w:val="0"/>
      <w:divBdr>
        <w:top w:val="none" w:sz="0" w:space="0" w:color="auto"/>
        <w:left w:val="none" w:sz="0" w:space="0" w:color="auto"/>
        <w:bottom w:val="none" w:sz="0" w:space="0" w:color="auto"/>
        <w:right w:val="none" w:sz="0" w:space="0" w:color="auto"/>
      </w:divBdr>
    </w:div>
    <w:div w:id="1105268352">
      <w:bodyDiv w:val="1"/>
      <w:marLeft w:val="0"/>
      <w:marRight w:val="0"/>
      <w:marTop w:val="0"/>
      <w:marBottom w:val="0"/>
      <w:divBdr>
        <w:top w:val="none" w:sz="0" w:space="0" w:color="auto"/>
        <w:left w:val="none" w:sz="0" w:space="0" w:color="auto"/>
        <w:bottom w:val="none" w:sz="0" w:space="0" w:color="auto"/>
        <w:right w:val="none" w:sz="0" w:space="0" w:color="auto"/>
      </w:divBdr>
    </w:div>
    <w:div w:id="1164011714">
      <w:bodyDiv w:val="1"/>
      <w:marLeft w:val="0"/>
      <w:marRight w:val="0"/>
      <w:marTop w:val="0"/>
      <w:marBottom w:val="0"/>
      <w:divBdr>
        <w:top w:val="none" w:sz="0" w:space="0" w:color="auto"/>
        <w:left w:val="none" w:sz="0" w:space="0" w:color="auto"/>
        <w:bottom w:val="none" w:sz="0" w:space="0" w:color="auto"/>
        <w:right w:val="none" w:sz="0" w:space="0" w:color="auto"/>
      </w:divBdr>
    </w:div>
    <w:div w:id="1221481364">
      <w:bodyDiv w:val="1"/>
      <w:marLeft w:val="0"/>
      <w:marRight w:val="0"/>
      <w:marTop w:val="0"/>
      <w:marBottom w:val="0"/>
      <w:divBdr>
        <w:top w:val="none" w:sz="0" w:space="0" w:color="auto"/>
        <w:left w:val="none" w:sz="0" w:space="0" w:color="auto"/>
        <w:bottom w:val="none" w:sz="0" w:space="0" w:color="auto"/>
        <w:right w:val="none" w:sz="0" w:space="0" w:color="auto"/>
      </w:divBdr>
    </w:div>
    <w:div w:id="1233781545">
      <w:bodyDiv w:val="1"/>
      <w:marLeft w:val="0"/>
      <w:marRight w:val="0"/>
      <w:marTop w:val="0"/>
      <w:marBottom w:val="0"/>
      <w:divBdr>
        <w:top w:val="none" w:sz="0" w:space="0" w:color="auto"/>
        <w:left w:val="none" w:sz="0" w:space="0" w:color="auto"/>
        <w:bottom w:val="none" w:sz="0" w:space="0" w:color="auto"/>
        <w:right w:val="none" w:sz="0" w:space="0" w:color="auto"/>
      </w:divBdr>
    </w:div>
    <w:div w:id="1346904018">
      <w:bodyDiv w:val="1"/>
      <w:marLeft w:val="0"/>
      <w:marRight w:val="0"/>
      <w:marTop w:val="0"/>
      <w:marBottom w:val="0"/>
      <w:divBdr>
        <w:top w:val="none" w:sz="0" w:space="0" w:color="auto"/>
        <w:left w:val="none" w:sz="0" w:space="0" w:color="auto"/>
        <w:bottom w:val="none" w:sz="0" w:space="0" w:color="auto"/>
        <w:right w:val="none" w:sz="0" w:space="0" w:color="auto"/>
      </w:divBdr>
    </w:div>
    <w:div w:id="1410615142">
      <w:bodyDiv w:val="1"/>
      <w:marLeft w:val="0"/>
      <w:marRight w:val="0"/>
      <w:marTop w:val="0"/>
      <w:marBottom w:val="0"/>
      <w:divBdr>
        <w:top w:val="none" w:sz="0" w:space="0" w:color="auto"/>
        <w:left w:val="none" w:sz="0" w:space="0" w:color="auto"/>
        <w:bottom w:val="none" w:sz="0" w:space="0" w:color="auto"/>
        <w:right w:val="none" w:sz="0" w:space="0" w:color="auto"/>
      </w:divBdr>
    </w:div>
    <w:div w:id="1416702155">
      <w:bodyDiv w:val="1"/>
      <w:marLeft w:val="0"/>
      <w:marRight w:val="0"/>
      <w:marTop w:val="0"/>
      <w:marBottom w:val="0"/>
      <w:divBdr>
        <w:top w:val="none" w:sz="0" w:space="0" w:color="auto"/>
        <w:left w:val="none" w:sz="0" w:space="0" w:color="auto"/>
        <w:bottom w:val="none" w:sz="0" w:space="0" w:color="auto"/>
        <w:right w:val="none" w:sz="0" w:space="0" w:color="auto"/>
      </w:divBdr>
    </w:div>
    <w:div w:id="1567229206">
      <w:bodyDiv w:val="1"/>
      <w:marLeft w:val="0"/>
      <w:marRight w:val="0"/>
      <w:marTop w:val="0"/>
      <w:marBottom w:val="0"/>
      <w:divBdr>
        <w:top w:val="none" w:sz="0" w:space="0" w:color="auto"/>
        <w:left w:val="none" w:sz="0" w:space="0" w:color="auto"/>
        <w:bottom w:val="none" w:sz="0" w:space="0" w:color="auto"/>
        <w:right w:val="none" w:sz="0" w:space="0" w:color="auto"/>
      </w:divBdr>
    </w:div>
    <w:div w:id="1569881297">
      <w:bodyDiv w:val="1"/>
      <w:marLeft w:val="0"/>
      <w:marRight w:val="0"/>
      <w:marTop w:val="0"/>
      <w:marBottom w:val="0"/>
      <w:divBdr>
        <w:top w:val="none" w:sz="0" w:space="0" w:color="auto"/>
        <w:left w:val="none" w:sz="0" w:space="0" w:color="auto"/>
        <w:bottom w:val="none" w:sz="0" w:space="0" w:color="auto"/>
        <w:right w:val="none" w:sz="0" w:space="0" w:color="auto"/>
      </w:divBdr>
    </w:div>
    <w:div w:id="1610770903">
      <w:bodyDiv w:val="1"/>
      <w:marLeft w:val="0"/>
      <w:marRight w:val="0"/>
      <w:marTop w:val="0"/>
      <w:marBottom w:val="0"/>
      <w:divBdr>
        <w:top w:val="none" w:sz="0" w:space="0" w:color="auto"/>
        <w:left w:val="none" w:sz="0" w:space="0" w:color="auto"/>
        <w:bottom w:val="none" w:sz="0" w:space="0" w:color="auto"/>
        <w:right w:val="none" w:sz="0" w:space="0" w:color="auto"/>
      </w:divBdr>
    </w:div>
    <w:div w:id="1619792648">
      <w:bodyDiv w:val="1"/>
      <w:marLeft w:val="0"/>
      <w:marRight w:val="0"/>
      <w:marTop w:val="0"/>
      <w:marBottom w:val="0"/>
      <w:divBdr>
        <w:top w:val="none" w:sz="0" w:space="0" w:color="auto"/>
        <w:left w:val="none" w:sz="0" w:space="0" w:color="auto"/>
        <w:bottom w:val="none" w:sz="0" w:space="0" w:color="auto"/>
        <w:right w:val="none" w:sz="0" w:space="0" w:color="auto"/>
      </w:divBdr>
    </w:div>
    <w:div w:id="1707287884">
      <w:bodyDiv w:val="1"/>
      <w:marLeft w:val="0"/>
      <w:marRight w:val="0"/>
      <w:marTop w:val="0"/>
      <w:marBottom w:val="0"/>
      <w:divBdr>
        <w:top w:val="none" w:sz="0" w:space="0" w:color="auto"/>
        <w:left w:val="none" w:sz="0" w:space="0" w:color="auto"/>
        <w:bottom w:val="none" w:sz="0" w:space="0" w:color="auto"/>
        <w:right w:val="none" w:sz="0" w:space="0" w:color="auto"/>
      </w:divBdr>
    </w:div>
    <w:div w:id="1804612880">
      <w:bodyDiv w:val="1"/>
      <w:marLeft w:val="0"/>
      <w:marRight w:val="0"/>
      <w:marTop w:val="0"/>
      <w:marBottom w:val="0"/>
      <w:divBdr>
        <w:top w:val="none" w:sz="0" w:space="0" w:color="auto"/>
        <w:left w:val="none" w:sz="0" w:space="0" w:color="auto"/>
        <w:bottom w:val="none" w:sz="0" w:space="0" w:color="auto"/>
        <w:right w:val="none" w:sz="0" w:space="0" w:color="auto"/>
      </w:divBdr>
    </w:div>
    <w:div w:id="1882281209">
      <w:bodyDiv w:val="1"/>
      <w:marLeft w:val="0"/>
      <w:marRight w:val="0"/>
      <w:marTop w:val="0"/>
      <w:marBottom w:val="0"/>
      <w:divBdr>
        <w:top w:val="none" w:sz="0" w:space="0" w:color="auto"/>
        <w:left w:val="none" w:sz="0" w:space="0" w:color="auto"/>
        <w:bottom w:val="none" w:sz="0" w:space="0" w:color="auto"/>
        <w:right w:val="none" w:sz="0" w:space="0" w:color="auto"/>
      </w:divBdr>
    </w:div>
    <w:div w:id="199210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aterFacts.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aterFacts.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A7C5D-8E20-46B9-A292-2A7F628E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74</Pages>
  <Words>17878</Words>
  <Characters>101910</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rocarran</dc:creator>
  <cp:lastModifiedBy>Wagner, Nathan R</cp:lastModifiedBy>
  <cp:revision>4</cp:revision>
  <cp:lastPrinted>2018-08-02T11:46:00Z</cp:lastPrinted>
  <dcterms:created xsi:type="dcterms:W3CDTF">2019-05-08T20:29:00Z</dcterms:created>
  <dcterms:modified xsi:type="dcterms:W3CDTF">2019-05-09T12:02:00Z</dcterms:modified>
</cp:coreProperties>
</file>