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8" w:type="dxa"/>
        <w:tblLayout w:type="fixed"/>
        <w:tblLook w:val="0000" w:firstRow="0" w:lastRow="0" w:firstColumn="0" w:lastColumn="0" w:noHBand="0" w:noVBand="0"/>
      </w:tblPr>
      <w:tblGrid>
        <w:gridCol w:w="2448"/>
        <w:gridCol w:w="5130"/>
        <w:gridCol w:w="2700"/>
      </w:tblGrid>
      <w:tr w:rsidR="002719B7" w:rsidRPr="00235CED" w14:paraId="0B2F4302" w14:textId="77777777" w:rsidTr="00333082">
        <w:tc>
          <w:tcPr>
            <w:tcW w:w="2448" w:type="dxa"/>
          </w:tcPr>
          <w:p w14:paraId="2ABD9F81" w14:textId="043D35CE" w:rsidR="002719B7" w:rsidRPr="00235CED" w:rsidRDefault="002719B7" w:rsidP="20ED0338"/>
        </w:tc>
        <w:tc>
          <w:tcPr>
            <w:tcW w:w="5130" w:type="dxa"/>
          </w:tcPr>
          <w:p w14:paraId="479CE8A3" w14:textId="77777777" w:rsidR="002719B7" w:rsidRPr="00235CED" w:rsidRDefault="002719B7" w:rsidP="00333082">
            <w:pPr>
              <w:jc w:val="center"/>
              <w:rPr>
                <w:b/>
                <w:sz w:val="26"/>
                <w:szCs w:val="26"/>
              </w:rPr>
            </w:pPr>
            <w:r w:rsidRPr="00235CED">
              <w:rPr>
                <w:b/>
                <w:sz w:val="26"/>
                <w:szCs w:val="26"/>
              </w:rPr>
              <w:t>PENNSYLVANIA</w:t>
            </w:r>
          </w:p>
          <w:p w14:paraId="699587B5" w14:textId="77777777" w:rsidR="002719B7" w:rsidRPr="00235CED" w:rsidRDefault="002719B7" w:rsidP="00333082">
            <w:pPr>
              <w:jc w:val="center"/>
              <w:rPr>
                <w:b/>
                <w:sz w:val="26"/>
                <w:szCs w:val="26"/>
              </w:rPr>
            </w:pPr>
            <w:r w:rsidRPr="00235CED">
              <w:rPr>
                <w:b/>
                <w:sz w:val="26"/>
                <w:szCs w:val="26"/>
              </w:rPr>
              <w:t>PUBLIC UTILITY COMMISSION</w:t>
            </w:r>
          </w:p>
          <w:p w14:paraId="28842A6F" w14:textId="0940E99C" w:rsidR="002719B7" w:rsidRPr="00235CED" w:rsidRDefault="002719B7" w:rsidP="00333082">
            <w:pPr>
              <w:pStyle w:val="StyleCentered"/>
              <w:rPr>
                <w:szCs w:val="26"/>
              </w:rPr>
            </w:pPr>
            <w:r w:rsidRPr="00235CED">
              <w:rPr>
                <w:szCs w:val="26"/>
              </w:rPr>
              <w:t xml:space="preserve">Harrisburg, PA.  </w:t>
            </w:r>
            <w:r w:rsidR="00D24CE2">
              <w:rPr>
                <w:szCs w:val="26"/>
              </w:rPr>
              <w:t>17120</w:t>
            </w:r>
          </w:p>
        </w:tc>
        <w:tc>
          <w:tcPr>
            <w:tcW w:w="2700" w:type="dxa"/>
          </w:tcPr>
          <w:p w14:paraId="715CAB94" w14:textId="77777777" w:rsidR="002719B7" w:rsidRPr="00235CED" w:rsidRDefault="002719B7" w:rsidP="00333082">
            <w:pPr>
              <w:rPr>
                <w:sz w:val="26"/>
                <w:szCs w:val="26"/>
              </w:rPr>
            </w:pPr>
          </w:p>
        </w:tc>
      </w:tr>
    </w:tbl>
    <w:p w14:paraId="35435A50" w14:textId="7042A3B7" w:rsidR="514F3F2F" w:rsidRDefault="514F3F2F"/>
    <w:p w14:paraId="2F2A491E" w14:textId="77777777" w:rsidR="002719B7" w:rsidRPr="00235CED" w:rsidRDefault="002719B7" w:rsidP="002719B7">
      <w:pPr>
        <w:rPr>
          <w:sz w:val="26"/>
          <w:szCs w:val="26"/>
        </w:rPr>
      </w:pPr>
    </w:p>
    <w:tbl>
      <w:tblPr>
        <w:tblW w:w="0" w:type="auto"/>
        <w:tblLayout w:type="fixed"/>
        <w:tblLook w:val="0000" w:firstRow="0" w:lastRow="0" w:firstColumn="0" w:lastColumn="0" w:noHBand="0" w:noVBand="0"/>
      </w:tblPr>
      <w:tblGrid>
        <w:gridCol w:w="5148"/>
        <w:gridCol w:w="5148"/>
      </w:tblGrid>
      <w:tr w:rsidR="002719B7" w:rsidRPr="00235CED" w14:paraId="39F2A97F" w14:textId="77777777" w:rsidTr="00333082">
        <w:tc>
          <w:tcPr>
            <w:tcW w:w="5148" w:type="dxa"/>
          </w:tcPr>
          <w:p w14:paraId="0443CFE1" w14:textId="77777777" w:rsidR="002719B7" w:rsidRPr="00235CED" w:rsidRDefault="002719B7" w:rsidP="00333082">
            <w:pPr>
              <w:rPr>
                <w:sz w:val="26"/>
                <w:szCs w:val="26"/>
              </w:rPr>
            </w:pPr>
          </w:p>
        </w:tc>
        <w:tc>
          <w:tcPr>
            <w:tcW w:w="5148" w:type="dxa"/>
          </w:tcPr>
          <w:p w14:paraId="388AA542" w14:textId="4EBDEE15" w:rsidR="002719B7" w:rsidRPr="00235CED" w:rsidRDefault="002719B7" w:rsidP="00E450EA">
            <w:pPr>
              <w:ind w:firstLine="612"/>
              <w:rPr>
                <w:sz w:val="26"/>
                <w:szCs w:val="26"/>
              </w:rPr>
            </w:pPr>
            <w:r w:rsidRPr="00235CED">
              <w:rPr>
                <w:sz w:val="26"/>
                <w:szCs w:val="26"/>
              </w:rPr>
              <w:t xml:space="preserve">Public Meeting held </w:t>
            </w:r>
            <w:r w:rsidR="00E450EA">
              <w:rPr>
                <w:sz w:val="26"/>
                <w:szCs w:val="26"/>
              </w:rPr>
              <w:t xml:space="preserve">March </w:t>
            </w:r>
            <w:r w:rsidR="0019331E">
              <w:rPr>
                <w:sz w:val="26"/>
                <w:szCs w:val="26"/>
              </w:rPr>
              <w:t>12</w:t>
            </w:r>
            <w:r w:rsidR="00E450EA">
              <w:rPr>
                <w:sz w:val="26"/>
                <w:szCs w:val="26"/>
              </w:rPr>
              <w:t xml:space="preserve">, </w:t>
            </w:r>
            <w:r w:rsidR="00D13A9C">
              <w:rPr>
                <w:sz w:val="26"/>
                <w:szCs w:val="26"/>
              </w:rPr>
              <w:t>2020</w:t>
            </w:r>
          </w:p>
        </w:tc>
      </w:tr>
      <w:tr w:rsidR="002719B7" w:rsidRPr="00235CED" w14:paraId="0896AF4A" w14:textId="77777777" w:rsidTr="00333082">
        <w:tc>
          <w:tcPr>
            <w:tcW w:w="5148" w:type="dxa"/>
          </w:tcPr>
          <w:p w14:paraId="2D5D42C8" w14:textId="77777777" w:rsidR="002719B7" w:rsidRPr="00235CED" w:rsidRDefault="002719B7" w:rsidP="00333082">
            <w:pPr>
              <w:rPr>
                <w:sz w:val="26"/>
                <w:szCs w:val="26"/>
              </w:rPr>
            </w:pPr>
            <w:r w:rsidRPr="00235CED">
              <w:rPr>
                <w:sz w:val="26"/>
                <w:szCs w:val="26"/>
              </w:rPr>
              <w:t>Commissioners Present:</w:t>
            </w:r>
          </w:p>
        </w:tc>
        <w:tc>
          <w:tcPr>
            <w:tcW w:w="5148" w:type="dxa"/>
          </w:tcPr>
          <w:p w14:paraId="6DD7BDBB" w14:textId="77777777" w:rsidR="002719B7" w:rsidRPr="00235CED" w:rsidRDefault="002719B7" w:rsidP="00333082">
            <w:pPr>
              <w:rPr>
                <w:sz w:val="26"/>
                <w:szCs w:val="26"/>
              </w:rPr>
            </w:pPr>
          </w:p>
        </w:tc>
      </w:tr>
    </w:tbl>
    <w:p w14:paraId="17CF6335" w14:textId="77777777" w:rsidR="002719B7" w:rsidRPr="00235CED" w:rsidRDefault="002719B7" w:rsidP="002719B7">
      <w:pPr>
        <w:rPr>
          <w:sz w:val="26"/>
          <w:szCs w:val="26"/>
        </w:rPr>
      </w:pPr>
    </w:p>
    <w:tbl>
      <w:tblPr>
        <w:tblW w:w="10296" w:type="dxa"/>
        <w:tblLayout w:type="fixed"/>
        <w:tblLook w:val="0000" w:firstRow="0" w:lastRow="0" w:firstColumn="0" w:lastColumn="0" w:noHBand="0" w:noVBand="0"/>
      </w:tblPr>
      <w:tblGrid>
        <w:gridCol w:w="5958"/>
        <w:gridCol w:w="3600"/>
        <w:gridCol w:w="738"/>
      </w:tblGrid>
      <w:tr w:rsidR="00D13A9C" w:rsidRPr="00235CED" w14:paraId="123E5E37" w14:textId="77777777" w:rsidTr="00333082">
        <w:tc>
          <w:tcPr>
            <w:tcW w:w="9558" w:type="dxa"/>
            <w:gridSpan w:val="2"/>
          </w:tcPr>
          <w:p w14:paraId="0A1D9A03" w14:textId="2194BEE7" w:rsidR="00D13A9C" w:rsidRPr="00C60F42" w:rsidRDefault="00D13A9C" w:rsidP="00D13A9C">
            <w:pPr>
              <w:ind w:left="360" w:hanging="360"/>
              <w:rPr>
                <w:sz w:val="26"/>
                <w:szCs w:val="26"/>
              </w:rPr>
            </w:pPr>
            <w:r w:rsidRPr="009E2F31">
              <w:rPr>
                <w:sz w:val="26"/>
                <w:szCs w:val="26"/>
              </w:rPr>
              <w:t>Gladys Brown Dutrieuille, Chairman</w:t>
            </w:r>
            <w:r w:rsidR="00BB1E55">
              <w:rPr>
                <w:sz w:val="26"/>
                <w:szCs w:val="26"/>
              </w:rPr>
              <w:t>, Statement</w:t>
            </w:r>
          </w:p>
        </w:tc>
        <w:tc>
          <w:tcPr>
            <w:tcW w:w="738" w:type="dxa"/>
          </w:tcPr>
          <w:p w14:paraId="2CAA0995" w14:textId="77777777" w:rsidR="00D13A9C" w:rsidRPr="00235CED" w:rsidRDefault="00D13A9C" w:rsidP="00D13A9C">
            <w:pPr>
              <w:rPr>
                <w:sz w:val="26"/>
                <w:szCs w:val="26"/>
              </w:rPr>
            </w:pPr>
          </w:p>
        </w:tc>
      </w:tr>
      <w:tr w:rsidR="00D13A9C" w:rsidRPr="00235CED" w14:paraId="1488E9F5" w14:textId="77777777" w:rsidTr="00333082">
        <w:tc>
          <w:tcPr>
            <w:tcW w:w="9558" w:type="dxa"/>
            <w:gridSpan w:val="2"/>
          </w:tcPr>
          <w:p w14:paraId="7DB12996" w14:textId="77777777" w:rsidR="00D13A9C" w:rsidRPr="009E2F31" w:rsidRDefault="00D13A9C" w:rsidP="00063E46">
            <w:pPr>
              <w:rPr>
                <w:sz w:val="26"/>
                <w:szCs w:val="26"/>
              </w:rPr>
            </w:pPr>
            <w:r w:rsidRPr="009E2F31">
              <w:rPr>
                <w:sz w:val="26"/>
                <w:szCs w:val="26"/>
              </w:rPr>
              <w:t>David W. Sweet, Vice Chairman</w:t>
            </w:r>
          </w:p>
          <w:p w14:paraId="109555E2" w14:textId="3E35AE6F" w:rsidR="00D13A9C" w:rsidRPr="00C60F42" w:rsidRDefault="00C17964" w:rsidP="00D13A9C">
            <w:pPr>
              <w:ind w:left="360" w:hanging="360"/>
              <w:rPr>
                <w:color w:val="1F497D"/>
                <w:sz w:val="26"/>
                <w:szCs w:val="26"/>
              </w:rPr>
            </w:pPr>
            <w:r w:rsidRPr="009E2F31">
              <w:rPr>
                <w:sz w:val="26"/>
                <w:szCs w:val="26"/>
              </w:rPr>
              <w:t>Andrew G. Place</w:t>
            </w:r>
            <w:r w:rsidR="00BB1E55">
              <w:rPr>
                <w:sz w:val="26"/>
                <w:szCs w:val="26"/>
              </w:rPr>
              <w:t>, Statement</w:t>
            </w:r>
            <w:bookmarkStart w:id="0" w:name="_GoBack"/>
            <w:bookmarkEnd w:id="0"/>
          </w:p>
        </w:tc>
        <w:tc>
          <w:tcPr>
            <w:tcW w:w="738" w:type="dxa"/>
          </w:tcPr>
          <w:p w14:paraId="4C0C7247" w14:textId="77777777" w:rsidR="00D13A9C" w:rsidRPr="00235CED" w:rsidRDefault="00D13A9C" w:rsidP="00D13A9C">
            <w:pPr>
              <w:rPr>
                <w:sz w:val="26"/>
                <w:szCs w:val="26"/>
              </w:rPr>
            </w:pPr>
          </w:p>
        </w:tc>
      </w:tr>
      <w:tr w:rsidR="00D13A9C" w:rsidRPr="00235CED" w14:paraId="1A94080D" w14:textId="77777777" w:rsidTr="00333082">
        <w:tc>
          <w:tcPr>
            <w:tcW w:w="9558" w:type="dxa"/>
            <w:gridSpan w:val="2"/>
          </w:tcPr>
          <w:p w14:paraId="63841F83" w14:textId="6D056E4F" w:rsidR="00D13A9C" w:rsidRPr="00C60F42" w:rsidRDefault="00C17964" w:rsidP="00D13A9C">
            <w:pPr>
              <w:ind w:left="360" w:hanging="360"/>
              <w:rPr>
                <w:color w:val="1F497D"/>
                <w:sz w:val="26"/>
                <w:szCs w:val="26"/>
              </w:rPr>
            </w:pPr>
            <w:r w:rsidRPr="009E2F31">
              <w:rPr>
                <w:sz w:val="26"/>
                <w:szCs w:val="26"/>
              </w:rPr>
              <w:t>John F. Coleman, Jr.</w:t>
            </w:r>
          </w:p>
        </w:tc>
        <w:tc>
          <w:tcPr>
            <w:tcW w:w="738" w:type="dxa"/>
          </w:tcPr>
          <w:p w14:paraId="5EB9D7AE" w14:textId="77777777" w:rsidR="00D13A9C" w:rsidRPr="00235CED" w:rsidRDefault="00D13A9C" w:rsidP="00D13A9C">
            <w:pPr>
              <w:rPr>
                <w:sz w:val="26"/>
                <w:szCs w:val="26"/>
              </w:rPr>
            </w:pPr>
          </w:p>
        </w:tc>
      </w:tr>
      <w:tr w:rsidR="00D13A9C" w:rsidRPr="00235CED" w14:paraId="40128BDB" w14:textId="77777777" w:rsidTr="00333082">
        <w:tc>
          <w:tcPr>
            <w:tcW w:w="9558" w:type="dxa"/>
            <w:gridSpan w:val="2"/>
          </w:tcPr>
          <w:p w14:paraId="3C05AC65" w14:textId="4B7C04D4" w:rsidR="00D13A9C" w:rsidRPr="00C60F42" w:rsidRDefault="000B7C50" w:rsidP="00D13A9C">
            <w:pPr>
              <w:ind w:left="360" w:hanging="360"/>
              <w:rPr>
                <w:sz w:val="26"/>
                <w:szCs w:val="26"/>
              </w:rPr>
            </w:pPr>
            <w:r w:rsidRPr="009E2F31">
              <w:rPr>
                <w:sz w:val="26"/>
                <w:szCs w:val="26"/>
              </w:rPr>
              <w:t>Ralph V. Yanora</w:t>
            </w:r>
            <w:r w:rsidR="003F4441" w:rsidRPr="009E2F31">
              <w:rPr>
                <w:sz w:val="26"/>
                <w:szCs w:val="26"/>
              </w:rPr>
              <w:t xml:space="preserve"> </w:t>
            </w:r>
          </w:p>
        </w:tc>
        <w:tc>
          <w:tcPr>
            <w:tcW w:w="738" w:type="dxa"/>
          </w:tcPr>
          <w:p w14:paraId="40B37815" w14:textId="77777777" w:rsidR="00D13A9C" w:rsidRPr="00235CED" w:rsidRDefault="00D13A9C" w:rsidP="00D13A9C">
            <w:pPr>
              <w:rPr>
                <w:sz w:val="26"/>
                <w:szCs w:val="26"/>
              </w:rPr>
            </w:pPr>
          </w:p>
        </w:tc>
      </w:tr>
      <w:tr w:rsidR="00D13A9C" w:rsidRPr="00235CED" w14:paraId="15936185" w14:textId="77777777" w:rsidTr="00333082">
        <w:tc>
          <w:tcPr>
            <w:tcW w:w="9558" w:type="dxa"/>
            <w:gridSpan w:val="2"/>
          </w:tcPr>
          <w:p w14:paraId="228C1C50" w14:textId="5A36E771" w:rsidR="00D13A9C" w:rsidRPr="00C60F42" w:rsidRDefault="00D13A9C" w:rsidP="00D13A9C">
            <w:pPr>
              <w:ind w:left="360" w:hanging="360"/>
              <w:rPr>
                <w:sz w:val="26"/>
                <w:szCs w:val="26"/>
              </w:rPr>
            </w:pPr>
          </w:p>
        </w:tc>
        <w:tc>
          <w:tcPr>
            <w:tcW w:w="738" w:type="dxa"/>
          </w:tcPr>
          <w:p w14:paraId="7426F509" w14:textId="77777777" w:rsidR="00D13A9C" w:rsidRPr="00235CED" w:rsidRDefault="00D13A9C" w:rsidP="00D13A9C">
            <w:pPr>
              <w:rPr>
                <w:sz w:val="26"/>
                <w:szCs w:val="26"/>
              </w:rPr>
            </w:pPr>
          </w:p>
        </w:tc>
      </w:tr>
      <w:tr w:rsidR="002719B7" w:rsidRPr="00235CED" w14:paraId="42C364EA" w14:textId="77777777" w:rsidTr="00333082">
        <w:trPr>
          <w:gridAfter w:val="1"/>
          <w:wAfter w:w="738" w:type="dxa"/>
        </w:trPr>
        <w:tc>
          <w:tcPr>
            <w:tcW w:w="5958" w:type="dxa"/>
          </w:tcPr>
          <w:p w14:paraId="5210D98C" w14:textId="77777777" w:rsidR="002719B7" w:rsidRPr="00235CED" w:rsidRDefault="002719B7" w:rsidP="00333082">
            <w:pPr>
              <w:rPr>
                <w:sz w:val="26"/>
                <w:szCs w:val="26"/>
              </w:rPr>
            </w:pPr>
          </w:p>
        </w:tc>
        <w:tc>
          <w:tcPr>
            <w:tcW w:w="3600" w:type="dxa"/>
          </w:tcPr>
          <w:p w14:paraId="6B76AC78" w14:textId="77777777" w:rsidR="002719B7" w:rsidRPr="00235CED" w:rsidRDefault="002719B7" w:rsidP="00333082">
            <w:pPr>
              <w:rPr>
                <w:sz w:val="26"/>
                <w:szCs w:val="26"/>
              </w:rPr>
            </w:pPr>
          </w:p>
        </w:tc>
      </w:tr>
      <w:tr w:rsidR="002719B7" w:rsidRPr="00235CED" w14:paraId="32EAA7D0" w14:textId="77777777" w:rsidTr="00333082">
        <w:trPr>
          <w:gridAfter w:val="1"/>
          <w:wAfter w:w="738" w:type="dxa"/>
        </w:trPr>
        <w:tc>
          <w:tcPr>
            <w:tcW w:w="5958" w:type="dxa"/>
          </w:tcPr>
          <w:p w14:paraId="5D033F72" w14:textId="77777777" w:rsidR="002719B7" w:rsidRDefault="002719B7" w:rsidP="00333082">
            <w:pPr>
              <w:rPr>
                <w:sz w:val="26"/>
                <w:szCs w:val="26"/>
              </w:rPr>
            </w:pPr>
            <w:r w:rsidRPr="00235CED">
              <w:rPr>
                <w:sz w:val="26"/>
                <w:szCs w:val="26"/>
              </w:rPr>
              <w:t>Energy Efficiency and Conservation Program</w:t>
            </w:r>
          </w:p>
          <w:p w14:paraId="60A5DB78" w14:textId="77777777" w:rsidR="00317B49" w:rsidRPr="00235CED" w:rsidRDefault="00317B49" w:rsidP="00333082">
            <w:pPr>
              <w:rPr>
                <w:sz w:val="26"/>
                <w:szCs w:val="26"/>
              </w:rPr>
            </w:pPr>
          </w:p>
        </w:tc>
        <w:tc>
          <w:tcPr>
            <w:tcW w:w="3600" w:type="dxa"/>
          </w:tcPr>
          <w:p w14:paraId="55E16961" w14:textId="30D0C893" w:rsidR="002719B7" w:rsidRDefault="002719B7" w:rsidP="00317B49">
            <w:pPr>
              <w:rPr>
                <w:sz w:val="26"/>
                <w:szCs w:val="26"/>
              </w:rPr>
            </w:pPr>
            <w:r w:rsidRPr="00235CED">
              <w:rPr>
                <w:sz w:val="26"/>
                <w:szCs w:val="26"/>
              </w:rPr>
              <w:t xml:space="preserve">Docket No.  </w:t>
            </w:r>
            <w:r w:rsidR="007E25B7" w:rsidRPr="007E25B7">
              <w:rPr>
                <w:sz w:val="26"/>
                <w:szCs w:val="26"/>
              </w:rPr>
              <w:t>M-2020-3015228</w:t>
            </w:r>
            <w:r w:rsidR="007E25B7">
              <w:rPr>
                <w:sz w:val="26"/>
                <w:szCs w:val="26"/>
              </w:rPr>
              <w:t xml:space="preserve"> </w:t>
            </w:r>
          </w:p>
          <w:p w14:paraId="43947F76" w14:textId="77777777" w:rsidR="00317B49" w:rsidRPr="00235CED" w:rsidRDefault="00317B49" w:rsidP="00E450EA">
            <w:pPr>
              <w:rPr>
                <w:sz w:val="26"/>
                <w:szCs w:val="26"/>
              </w:rPr>
            </w:pPr>
            <w:r>
              <w:rPr>
                <w:sz w:val="26"/>
                <w:szCs w:val="26"/>
              </w:rPr>
              <w:t xml:space="preserve">                     </w:t>
            </w:r>
          </w:p>
        </w:tc>
      </w:tr>
    </w:tbl>
    <w:p w14:paraId="6F349726" w14:textId="77777777" w:rsidR="002719B7" w:rsidRDefault="002719B7" w:rsidP="002719B7">
      <w:pPr>
        <w:jc w:val="center"/>
        <w:rPr>
          <w:b/>
          <w:sz w:val="26"/>
          <w:szCs w:val="26"/>
        </w:rPr>
      </w:pPr>
    </w:p>
    <w:p w14:paraId="4F977CAC" w14:textId="77777777" w:rsidR="00241BFC" w:rsidRPr="00235CED" w:rsidRDefault="00241BFC" w:rsidP="002719B7">
      <w:pPr>
        <w:jc w:val="center"/>
        <w:rPr>
          <w:b/>
          <w:sz w:val="26"/>
          <w:szCs w:val="26"/>
        </w:rPr>
      </w:pPr>
    </w:p>
    <w:p w14:paraId="0196B3AC" w14:textId="77777777" w:rsidR="002719B7" w:rsidRPr="00235CED" w:rsidRDefault="002719B7" w:rsidP="002719B7">
      <w:pPr>
        <w:jc w:val="center"/>
        <w:rPr>
          <w:b/>
          <w:sz w:val="26"/>
          <w:szCs w:val="26"/>
        </w:rPr>
      </w:pPr>
    </w:p>
    <w:p w14:paraId="0D777127" w14:textId="77777777" w:rsidR="002719B7" w:rsidRDefault="00317B49" w:rsidP="002719B7">
      <w:pPr>
        <w:jc w:val="center"/>
        <w:rPr>
          <w:b/>
          <w:sz w:val="26"/>
          <w:szCs w:val="26"/>
        </w:rPr>
      </w:pPr>
      <w:r>
        <w:rPr>
          <w:b/>
          <w:sz w:val="26"/>
          <w:szCs w:val="26"/>
        </w:rPr>
        <w:t xml:space="preserve">TENTATIVE </w:t>
      </w:r>
      <w:r w:rsidR="002719B7" w:rsidRPr="00235CED">
        <w:rPr>
          <w:b/>
          <w:sz w:val="26"/>
          <w:szCs w:val="26"/>
        </w:rPr>
        <w:t>IMPLEMENTATION ORDER</w:t>
      </w:r>
    </w:p>
    <w:p w14:paraId="3A3CAA54" w14:textId="77777777" w:rsidR="00373384" w:rsidRDefault="00373384" w:rsidP="002719B7">
      <w:pPr>
        <w:jc w:val="center"/>
        <w:rPr>
          <w:b/>
          <w:sz w:val="26"/>
          <w:szCs w:val="26"/>
        </w:rPr>
      </w:pPr>
    </w:p>
    <w:p w14:paraId="445F3098" w14:textId="77777777" w:rsidR="00373384" w:rsidRPr="00235CED" w:rsidRDefault="00373384" w:rsidP="002719B7">
      <w:pPr>
        <w:jc w:val="center"/>
        <w:rPr>
          <w:b/>
          <w:sz w:val="26"/>
          <w:szCs w:val="26"/>
        </w:rPr>
      </w:pPr>
    </w:p>
    <w:p w14:paraId="45AAFB8A" w14:textId="77777777" w:rsidR="00941190" w:rsidRDefault="00941190" w:rsidP="002719B7">
      <w:pPr>
        <w:spacing w:line="360" w:lineRule="auto"/>
        <w:rPr>
          <w:sz w:val="26"/>
          <w:szCs w:val="26"/>
        </w:rPr>
      </w:pPr>
    </w:p>
    <w:p w14:paraId="55232FE0" w14:textId="77777777" w:rsidR="00606F3E" w:rsidRDefault="00E450EA">
      <w:pPr>
        <w:pStyle w:val="TOC1"/>
        <w:rPr>
          <w:b/>
          <w:sz w:val="26"/>
          <w:szCs w:val="26"/>
        </w:rPr>
      </w:pPr>
      <w:r w:rsidRPr="00A30B75">
        <w:rPr>
          <w:b/>
          <w:sz w:val="26"/>
          <w:szCs w:val="26"/>
        </w:rPr>
        <w:br w:type="page"/>
      </w:r>
      <w:r w:rsidR="00576BB0" w:rsidRPr="00A30B75">
        <w:rPr>
          <w:b/>
          <w:sz w:val="26"/>
          <w:szCs w:val="26"/>
        </w:rPr>
        <w:lastRenderedPageBreak/>
        <w:t>Table of Contents</w:t>
      </w:r>
    </w:p>
    <w:p w14:paraId="3B48A229" w14:textId="2C22F4DB" w:rsidR="002C3CEA" w:rsidRDefault="00576BB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781992" w:history="1">
        <w:r w:rsidR="002C3CEA" w:rsidRPr="000C7EF5">
          <w:rPr>
            <w:rStyle w:val="Hyperlink"/>
            <w:noProof/>
          </w:rPr>
          <w:t>BACKGROUND AND HISTORY OF THIS PROCEEDING</w:t>
        </w:r>
        <w:r w:rsidR="002C3CEA">
          <w:rPr>
            <w:noProof/>
            <w:webHidden/>
          </w:rPr>
          <w:tab/>
        </w:r>
        <w:r w:rsidR="002C3CEA">
          <w:rPr>
            <w:noProof/>
            <w:webHidden/>
          </w:rPr>
          <w:fldChar w:fldCharType="begin"/>
        </w:r>
        <w:r w:rsidR="002C3CEA">
          <w:rPr>
            <w:noProof/>
            <w:webHidden/>
          </w:rPr>
          <w:instrText xml:space="preserve"> PAGEREF _Toc33781992 \h </w:instrText>
        </w:r>
        <w:r w:rsidR="002C3CEA">
          <w:rPr>
            <w:noProof/>
            <w:webHidden/>
          </w:rPr>
        </w:r>
        <w:r w:rsidR="002C3CEA">
          <w:rPr>
            <w:noProof/>
            <w:webHidden/>
          </w:rPr>
          <w:fldChar w:fldCharType="separate"/>
        </w:r>
        <w:r w:rsidR="00BB1E55">
          <w:rPr>
            <w:noProof/>
            <w:webHidden/>
          </w:rPr>
          <w:t>5</w:t>
        </w:r>
        <w:r w:rsidR="002C3CEA">
          <w:rPr>
            <w:noProof/>
            <w:webHidden/>
          </w:rPr>
          <w:fldChar w:fldCharType="end"/>
        </w:r>
      </w:hyperlink>
    </w:p>
    <w:p w14:paraId="6C81DF66" w14:textId="4275880C" w:rsidR="002C3CEA" w:rsidRDefault="00176250">
      <w:pPr>
        <w:pStyle w:val="TOC1"/>
        <w:rPr>
          <w:rFonts w:asciiTheme="minorHAnsi" w:eastAsiaTheme="minorEastAsia" w:hAnsiTheme="minorHAnsi" w:cstheme="minorBidi"/>
          <w:noProof/>
          <w:sz w:val="22"/>
          <w:szCs w:val="22"/>
        </w:rPr>
      </w:pPr>
      <w:hyperlink w:anchor="_Toc33781993" w:history="1">
        <w:r w:rsidR="002C3CEA" w:rsidRPr="000C7EF5">
          <w:rPr>
            <w:rStyle w:val="Hyperlink"/>
            <w:noProof/>
          </w:rPr>
          <w:t>DISCUSSION</w:t>
        </w:r>
        <w:r w:rsidR="002C3CEA">
          <w:rPr>
            <w:noProof/>
            <w:webHidden/>
          </w:rPr>
          <w:tab/>
        </w:r>
        <w:r w:rsidR="002C3CEA">
          <w:rPr>
            <w:noProof/>
            <w:webHidden/>
          </w:rPr>
          <w:fldChar w:fldCharType="begin"/>
        </w:r>
        <w:r w:rsidR="002C3CEA">
          <w:rPr>
            <w:noProof/>
            <w:webHidden/>
          </w:rPr>
          <w:instrText xml:space="preserve"> PAGEREF _Toc33781993 \h </w:instrText>
        </w:r>
        <w:r w:rsidR="002C3CEA">
          <w:rPr>
            <w:noProof/>
            <w:webHidden/>
          </w:rPr>
        </w:r>
        <w:r w:rsidR="002C3CEA">
          <w:rPr>
            <w:noProof/>
            <w:webHidden/>
          </w:rPr>
          <w:fldChar w:fldCharType="separate"/>
        </w:r>
        <w:r w:rsidR="00BB1E55">
          <w:rPr>
            <w:noProof/>
            <w:webHidden/>
          </w:rPr>
          <w:t>8</w:t>
        </w:r>
        <w:r w:rsidR="002C3CEA">
          <w:rPr>
            <w:noProof/>
            <w:webHidden/>
          </w:rPr>
          <w:fldChar w:fldCharType="end"/>
        </w:r>
      </w:hyperlink>
    </w:p>
    <w:p w14:paraId="4D644A75" w14:textId="0A16310B" w:rsidR="002C3CEA" w:rsidRDefault="00176250">
      <w:pPr>
        <w:pStyle w:val="TOC2"/>
        <w:rPr>
          <w:rFonts w:asciiTheme="minorHAnsi" w:eastAsiaTheme="minorEastAsia" w:hAnsiTheme="minorHAnsi" w:cstheme="minorBidi"/>
          <w:noProof/>
          <w:sz w:val="22"/>
          <w:szCs w:val="22"/>
        </w:rPr>
      </w:pPr>
      <w:hyperlink w:anchor="_Toc33781994" w:history="1">
        <w:r w:rsidR="002C3CEA" w:rsidRPr="000C7EF5">
          <w:rPr>
            <w:rStyle w:val="Hyperlink"/>
            <w:noProof/>
          </w:rPr>
          <w:t>A.</w:t>
        </w:r>
        <w:r w:rsidR="002C3CEA">
          <w:rPr>
            <w:rFonts w:asciiTheme="minorHAnsi" w:eastAsiaTheme="minorEastAsia" w:hAnsiTheme="minorHAnsi" w:cstheme="minorBidi"/>
            <w:noProof/>
            <w:sz w:val="22"/>
            <w:szCs w:val="22"/>
          </w:rPr>
          <w:tab/>
        </w:r>
        <w:r w:rsidR="002C3CEA" w:rsidRPr="000C7EF5">
          <w:rPr>
            <w:rStyle w:val="Hyperlink"/>
            <w:noProof/>
          </w:rPr>
          <w:t>Proposed Reductions in Electric Consumption</w:t>
        </w:r>
        <w:r w:rsidR="002C3CEA">
          <w:rPr>
            <w:noProof/>
            <w:webHidden/>
          </w:rPr>
          <w:tab/>
        </w:r>
        <w:r w:rsidR="002C3CEA">
          <w:rPr>
            <w:noProof/>
            <w:webHidden/>
          </w:rPr>
          <w:fldChar w:fldCharType="begin"/>
        </w:r>
        <w:r w:rsidR="002C3CEA">
          <w:rPr>
            <w:noProof/>
            <w:webHidden/>
          </w:rPr>
          <w:instrText xml:space="preserve"> PAGEREF _Toc33781994 \h </w:instrText>
        </w:r>
        <w:r w:rsidR="002C3CEA">
          <w:rPr>
            <w:noProof/>
            <w:webHidden/>
          </w:rPr>
        </w:r>
        <w:r w:rsidR="002C3CEA">
          <w:rPr>
            <w:noProof/>
            <w:webHidden/>
          </w:rPr>
          <w:fldChar w:fldCharType="separate"/>
        </w:r>
        <w:r w:rsidR="00BB1E55">
          <w:rPr>
            <w:noProof/>
            <w:webHidden/>
          </w:rPr>
          <w:t>9</w:t>
        </w:r>
        <w:r w:rsidR="002C3CEA">
          <w:rPr>
            <w:noProof/>
            <w:webHidden/>
          </w:rPr>
          <w:fldChar w:fldCharType="end"/>
        </w:r>
      </w:hyperlink>
    </w:p>
    <w:p w14:paraId="1B8954D4" w14:textId="6F9D252D" w:rsidR="002C3CEA" w:rsidRDefault="00176250">
      <w:pPr>
        <w:pStyle w:val="TOC3"/>
        <w:rPr>
          <w:rFonts w:asciiTheme="minorHAnsi" w:eastAsiaTheme="minorEastAsia" w:hAnsiTheme="minorHAnsi" w:cstheme="minorBidi"/>
          <w:noProof/>
          <w:sz w:val="22"/>
          <w:szCs w:val="22"/>
        </w:rPr>
      </w:pPr>
      <w:hyperlink w:anchor="_Toc33781995" w:history="1">
        <w:r w:rsidR="002C3CEA" w:rsidRPr="000C7EF5">
          <w:rPr>
            <w:rStyle w:val="Hyperlink"/>
            <w:noProof/>
          </w:rPr>
          <w:t>1.</w:t>
        </w:r>
        <w:r w:rsidR="002C3CEA">
          <w:rPr>
            <w:rFonts w:asciiTheme="minorHAnsi" w:eastAsiaTheme="minorEastAsia" w:hAnsiTheme="minorHAnsi" w:cstheme="minorBidi"/>
            <w:noProof/>
            <w:sz w:val="22"/>
            <w:szCs w:val="22"/>
          </w:rPr>
          <w:tab/>
        </w:r>
        <w:r w:rsidR="002C3CEA" w:rsidRPr="000C7EF5">
          <w:rPr>
            <w:rStyle w:val="Hyperlink"/>
            <w:noProof/>
          </w:rPr>
          <w:t>Summary of SWE’s EEPDR Potential Study</w:t>
        </w:r>
        <w:r w:rsidR="002C3CEA">
          <w:rPr>
            <w:noProof/>
            <w:webHidden/>
          </w:rPr>
          <w:tab/>
        </w:r>
        <w:r w:rsidR="002C3CEA">
          <w:rPr>
            <w:noProof/>
            <w:webHidden/>
          </w:rPr>
          <w:fldChar w:fldCharType="begin"/>
        </w:r>
        <w:r w:rsidR="002C3CEA">
          <w:rPr>
            <w:noProof/>
            <w:webHidden/>
          </w:rPr>
          <w:instrText xml:space="preserve"> PAGEREF _Toc33781995 \h </w:instrText>
        </w:r>
        <w:r w:rsidR="002C3CEA">
          <w:rPr>
            <w:noProof/>
            <w:webHidden/>
          </w:rPr>
        </w:r>
        <w:r w:rsidR="002C3CEA">
          <w:rPr>
            <w:noProof/>
            <w:webHidden/>
          </w:rPr>
          <w:fldChar w:fldCharType="separate"/>
        </w:r>
        <w:r w:rsidR="00BB1E55">
          <w:rPr>
            <w:noProof/>
            <w:webHidden/>
          </w:rPr>
          <w:t>9</w:t>
        </w:r>
        <w:r w:rsidR="002C3CEA">
          <w:rPr>
            <w:noProof/>
            <w:webHidden/>
          </w:rPr>
          <w:fldChar w:fldCharType="end"/>
        </w:r>
      </w:hyperlink>
    </w:p>
    <w:p w14:paraId="7E88192F" w14:textId="1D8070A6" w:rsidR="002C3CEA" w:rsidRDefault="00176250">
      <w:pPr>
        <w:pStyle w:val="TOC3"/>
        <w:rPr>
          <w:rFonts w:asciiTheme="minorHAnsi" w:eastAsiaTheme="minorEastAsia" w:hAnsiTheme="minorHAnsi" w:cstheme="minorBidi"/>
          <w:noProof/>
          <w:sz w:val="22"/>
          <w:szCs w:val="22"/>
        </w:rPr>
      </w:pPr>
      <w:hyperlink w:anchor="_Toc33781996" w:history="1">
        <w:r w:rsidR="002C3CEA" w:rsidRPr="000C7EF5">
          <w:rPr>
            <w:rStyle w:val="Hyperlink"/>
            <w:noProof/>
          </w:rPr>
          <w:t>2.</w:t>
        </w:r>
        <w:r w:rsidR="002C3CEA">
          <w:rPr>
            <w:rFonts w:asciiTheme="minorHAnsi" w:eastAsiaTheme="minorEastAsia" w:hAnsiTheme="minorHAnsi" w:cstheme="minorBidi"/>
            <w:noProof/>
            <w:sz w:val="22"/>
            <w:szCs w:val="22"/>
          </w:rPr>
          <w:tab/>
        </w:r>
        <w:r w:rsidR="002C3CEA" w:rsidRPr="000C7EF5">
          <w:rPr>
            <w:rStyle w:val="Hyperlink"/>
            <w:noProof/>
          </w:rPr>
          <w:t>Proposed Reductions in Consumption</w:t>
        </w:r>
        <w:r w:rsidR="002C3CEA">
          <w:rPr>
            <w:noProof/>
            <w:webHidden/>
          </w:rPr>
          <w:tab/>
        </w:r>
        <w:r w:rsidR="002C3CEA">
          <w:rPr>
            <w:noProof/>
            <w:webHidden/>
          </w:rPr>
          <w:fldChar w:fldCharType="begin"/>
        </w:r>
        <w:r w:rsidR="002C3CEA">
          <w:rPr>
            <w:noProof/>
            <w:webHidden/>
          </w:rPr>
          <w:instrText xml:space="preserve"> PAGEREF _Toc33781996 \h </w:instrText>
        </w:r>
        <w:r w:rsidR="002C3CEA">
          <w:rPr>
            <w:noProof/>
            <w:webHidden/>
          </w:rPr>
        </w:r>
        <w:r w:rsidR="002C3CEA">
          <w:rPr>
            <w:noProof/>
            <w:webHidden/>
          </w:rPr>
          <w:fldChar w:fldCharType="separate"/>
        </w:r>
        <w:r w:rsidR="00BB1E55">
          <w:rPr>
            <w:noProof/>
            <w:webHidden/>
          </w:rPr>
          <w:t>12</w:t>
        </w:r>
        <w:r w:rsidR="002C3CEA">
          <w:rPr>
            <w:noProof/>
            <w:webHidden/>
          </w:rPr>
          <w:fldChar w:fldCharType="end"/>
        </w:r>
      </w:hyperlink>
    </w:p>
    <w:p w14:paraId="463B2DEA" w14:textId="1BBD3834" w:rsidR="002C3CEA" w:rsidRDefault="00176250">
      <w:pPr>
        <w:pStyle w:val="TOC3"/>
        <w:rPr>
          <w:rFonts w:asciiTheme="minorHAnsi" w:eastAsiaTheme="minorEastAsia" w:hAnsiTheme="minorHAnsi" w:cstheme="minorBidi"/>
          <w:noProof/>
          <w:sz w:val="22"/>
          <w:szCs w:val="22"/>
        </w:rPr>
      </w:pPr>
      <w:hyperlink w:anchor="_Toc33781997" w:history="1">
        <w:r w:rsidR="002C3CEA" w:rsidRPr="000C7EF5">
          <w:rPr>
            <w:rStyle w:val="Hyperlink"/>
            <w:noProof/>
          </w:rPr>
          <w:t>3.</w:t>
        </w:r>
        <w:r w:rsidR="002C3CEA">
          <w:rPr>
            <w:rFonts w:asciiTheme="minorHAnsi" w:eastAsiaTheme="minorEastAsia" w:hAnsiTheme="minorHAnsi" w:cstheme="minorBidi"/>
            <w:noProof/>
            <w:sz w:val="22"/>
            <w:szCs w:val="22"/>
          </w:rPr>
          <w:tab/>
        </w:r>
        <w:r w:rsidR="002C3CEA" w:rsidRPr="000C7EF5">
          <w:rPr>
            <w:rStyle w:val="Hyperlink"/>
            <w:noProof/>
          </w:rPr>
          <w:t>Prescription of Low-Income Measures and Carve-Out</w:t>
        </w:r>
        <w:r w:rsidR="002C3CEA">
          <w:rPr>
            <w:noProof/>
            <w:webHidden/>
          </w:rPr>
          <w:tab/>
        </w:r>
        <w:r w:rsidR="002C3CEA">
          <w:rPr>
            <w:noProof/>
            <w:webHidden/>
          </w:rPr>
          <w:fldChar w:fldCharType="begin"/>
        </w:r>
        <w:r w:rsidR="002C3CEA">
          <w:rPr>
            <w:noProof/>
            <w:webHidden/>
          </w:rPr>
          <w:instrText xml:space="preserve"> PAGEREF _Toc33781997 \h </w:instrText>
        </w:r>
        <w:r w:rsidR="002C3CEA">
          <w:rPr>
            <w:noProof/>
            <w:webHidden/>
          </w:rPr>
        </w:r>
        <w:r w:rsidR="002C3CEA">
          <w:rPr>
            <w:noProof/>
            <w:webHidden/>
          </w:rPr>
          <w:fldChar w:fldCharType="separate"/>
        </w:r>
        <w:r w:rsidR="00BB1E55">
          <w:rPr>
            <w:noProof/>
            <w:webHidden/>
          </w:rPr>
          <w:t>15</w:t>
        </w:r>
        <w:r w:rsidR="002C3CEA">
          <w:rPr>
            <w:noProof/>
            <w:webHidden/>
          </w:rPr>
          <w:fldChar w:fldCharType="end"/>
        </w:r>
      </w:hyperlink>
    </w:p>
    <w:p w14:paraId="675D3E00" w14:textId="42EC6EFC" w:rsidR="002C3CEA" w:rsidRDefault="00176250">
      <w:pPr>
        <w:pStyle w:val="TOC3"/>
        <w:rPr>
          <w:rFonts w:asciiTheme="minorHAnsi" w:eastAsiaTheme="minorEastAsia" w:hAnsiTheme="minorHAnsi" w:cstheme="minorBidi"/>
          <w:noProof/>
          <w:sz w:val="22"/>
          <w:szCs w:val="22"/>
        </w:rPr>
      </w:pPr>
      <w:hyperlink w:anchor="_Toc33781998" w:history="1">
        <w:r w:rsidR="002C3CEA" w:rsidRPr="000C7EF5">
          <w:rPr>
            <w:rStyle w:val="Hyperlink"/>
            <w:noProof/>
          </w:rPr>
          <w:t>4.</w:t>
        </w:r>
        <w:r w:rsidR="002C3CEA">
          <w:rPr>
            <w:rFonts w:asciiTheme="minorHAnsi" w:eastAsiaTheme="minorEastAsia" w:hAnsiTheme="minorHAnsi" w:cstheme="minorBidi"/>
            <w:noProof/>
            <w:sz w:val="22"/>
            <w:szCs w:val="22"/>
          </w:rPr>
          <w:tab/>
        </w:r>
        <w:r w:rsidR="002C3CEA" w:rsidRPr="000C7EF5">
          <w:rPr>
            <w:rStyle w:val="Hyperlink"/>
            <w:noProof/>
          </w:rPr>
          <w:t>Carve-Out for Government, Nonprofit and Institutional Entities</w:t>
        </w:r>
        <w:r w:rsidR="002C3CEA">
          <w:rPr>
            <w:noProof/>
            <w:webHidden/>
          </w:rPr>
          <w:tab/>
        </w:r>
        <w:r w:rsidR="002C3CEA">
          <w:rPr>
            <w:noProof/>
            <w:webHidden/>
          </w:rPr>
          <w:fldChar w:fldCharType="begin"/>
        </w:r>
        <w:r w:rsidR="002C3CEA">
          <w:rPr>
            <w:noProof/>
            <w:webHidden/>
          </w:rPr>
          <w:instrText xml:space="preserve"> PAGEREF _Toc33781998 \h </w:instrText>
        </w:r>
        <w:r w:rsidR="002C3CEA">
          <w:rPr>
            <w:noProof/>
            <w:webHidden/>
          </w:rPr>
        </w:r>
        <w:r w:rsidR="002C3CEA">
          <w:rPr>
            <w:noProof/>
            <w:webHidden/>
          </w:rPr>
          <w:fldChar w:fldCharType="separate"/>
        </w:r>
        <w:r w:rsidR="00BB1E55">
          <w:rPr>
            <w:noProof/>
            <w:webHidden/>
          </w:rPr>
          <w:t>18</w:t>
        </w:r>
        <w:r w:rsidR="002C3CEA">
          <w:rPr>
            <w:noProof/>
            <w:webHidden/>
          </w:rPr>
          <w:fldChar w:fldCharType="end"/>
        </w:r>
      </w:hyperlink>
    </w:p>
    <w:p w14:paraId="7F207796" w14:textId="2D2EB169" w:rsidR="002C3CEA" w:rsidRDefault="00176250">
      <w:pPr>
        <w:pStyle w:val="TOC3"/>
        <w:rPr>
          <w:rFonts w:asciiTheme="minorHAnsi" w:eastAsiaTheme="minorEastAsia" w:hAnsiTheme="minorHAnsi" w:cstheme="minorBidi"/>
          <w:noProof/>
          <w:sz w:val="22"/>
          <w:szCs w:val="22"/>
        </w:rPr>
      </w:pPr>
      <w:hyperlink w:anchor="_Toc33781999" w:history="1">
        <w:r w:rsidR="002C3CEA" w:rsidRPr="000C7EF5">
          <w:rPr>
            <w:rStyle w:val="Hyperlink"/>
            <w:noProof/>
          </w:rPr>
          <w:t>5.</w:t>
        </w:r>
        <w:r w:rsidR="002C3CEA">
          <w:rPr>
            <w:rFonts w:asciiTheme="minorHAnsi" w:eastAsiaTheme="minorEastAsia" w:hAnsiTheme="minorHAnsi" w:cstheme="minorBidi"/>
            <w:noProof/>
            <w:sz w:val="22"/>
            <w:szCs w:val="22"/>
          </w:rPr>
          <w:tab/>
        </w:r>
        <w:r w:rsidR="002C3CEA" w:rsidRPr="000C7EF5">
          <w:rPr>
            <w:rStyle w:val="Hyperlink"/>
            <w:noProof/>
          </w:rPr>
          <w:t>Accumulating Savings in Excess of Reduction Requirements</w:t>
        </w:r>
        <w:r w:rsidR="002C3CEA">
          <w:rPr>
            <w:noProof/>
            <w:webHidden/>
          </w:rPr>
          <w:tab/>
        </w:r>
        <w:r w:rsidR="002C3CEA">
          <w:rPr>
            <w:noProof/>
            <w:webHidden/>
          </w:rPr>
          <w:fldChar w:fldCharType="begin"/>
        </w:r>
        <w:r w:rsidR="002C3CEA">
          <w:rPr>
            <w:noProof/>
            <w:webHidden/>
          </w:rPr>
          <w:instrText xml:space="preserve"> PAGEREF _Toc33781999 \h </w:instrText>
        </w:r>
        <w:r w:rsidR="002C3CEA">
          <w:rPr>
            <w:noProof/>
            <w:webHidden/>
          </w:rPr>
        </w:r>
        <w:r w:rsidR="002C3CEA">
          <w:rPr>
            <w:noProof/>
            <w:webHidden/>
          </w:rPr>
          <w:fldChar w:fldCharType="separate"/>
        </w:r>
        <w:r w:rsidR="00BB1E55">
          <w:rPr>
            <w:noProof/>
            <w:webHidden/>
          </w:rPr>
          <w:t>22</w:t>
        </w:r>
        <w:r w:rsidR="002C3CEA">
          <w:rPr>
            <w:noProof/>
            <w:webHidden/>
          </w:rPr>
          <w:fldChar w:fldCharType="end"/>
        </w:r>
      </w:hyperlink>
    </w:p>
    <w:p w14:paraId="1B98C3C9" w14:textId="325F425C" w:rsidR="002C3CEA" w:rsidRDefault="00176250">
      <w:pPr>
        <w:pStyle w:val="TOC3"/>
        <w:rPr>
          <w:rFonts w:asciiTheme="minorHAnsi" w:eastAsiaTheme="minorEastAsia" w:hAnsiTheme="minorHAnsi" w:cstheme="minorBidi"/>
          <w:noProof/>
          <w:sz w:val="22"/>
          <w:szCs w:val="22"/>
        </w:rPr>
      </w:pPr>
      <w:hyperlink w:anchor="_Toc33782000" w:history="1">
        <w:r w:rsidR="002C3CEA" w:rsidRPr="000C7EF5">
          <w:rPr>
            <w:rStyle w:val="Hyperlink"/>
            <w:noProof/>
          </w:rPr>
          <w:t>6.</w:t>
        </w:r>
        <w:r w:rsidR="002C3CEA">
          <w:rPr>
            <w:rFonts w:asciiTheme="minorHAnsi" w:eastAsiaTheme="minorEastAsia" w:hAnsiTheme="minorHAnsi" w:cstheme="minorBidi"/>
            <w:noProof/>
            <w:sz w:val="22"/>
            <w:szCs w:val="22"/>
          </w:rPr>
          <w:tab/>
        </w:r>
        <w:r w:rsidR="002C3CEA" w:rsidRPr="000C7EF5">
          <w:rPr>
            <w:rStyle w:val="Hyperlink"/>
            <w:noProof/>
          </w:rPr>
          <w:t>Process to Challenge Reduction Requirements</w:t>
        </w:r>
        <w:r w:rsidR="002C3CEA">
          <w:rPr>
            <w:noProof/>
            <w:webHidden/>
          </w:rPr>
          <w:tab/>
        </w:r>
        <w:r w:rsidR="002C3CEA">
          <w:rPr>
            <w:noProof/>
            <w:webHidden/>
          </w:rPr>
          <w:fldChar w:fldCharType="begin"/>
        </w:r>
        <w:r w:rsidR="002C3CEA">
          <w:rPr>
            <w:noProof/>
            <w:webHidden/>
          </w:rPr>
          <w:instrText xml:space="preserve"> PAGEREF _Toc33782000 \h </w:instrText>
        </w:r>
        <w:r w:rsidR="002C3CEA">
          <w:rPr>
            <w:noProof/>
            <w:webHidden/>
          </w:rPr>
        </w:r>
        <w:r w:rsidR="002C3CEA">
          <w:rPr>
            <w:noProof/>
            <w:webHidden/>
          </w:rPr>
          <w:fldChar w:fldCharType="separate"/>
        </w:r>
        <w:r w:rsidR="00BB1E55">
          <w:rPr>
            <w:noProof/>
            <w:webHidden/>
          </w:rPr>
          <w:t>23</w:t>
        </w:r>
        <w:r w:rsidR="002C3CEA">
          <w:rPr>
            <w:noProof/>
            <w:webHidden/>
          </w:rPr>
          <w:fldChar w:fldCharType="end"/>
        </w:r>
      </w:hyperlink>
    </w:p>
    <w:p w14:paraId="4E9BA719" w14:textId="05D9EC42" w:rsidR="002C3CEA" w:rsidRDefault="00176250">
      <w:pPr>
        <w:pStyle w:val="TOC3"/>
        <w:rPr>
          <w:rFonts w:asciiTheme="minorHAnsi" w:eastAsiaTheme="minorEastAsia" w:hAnsiTheme="minorHAnsi" w:cstheme="minorBidi"/>
          <w:noProof/>
          <w:sz w:val="22"/>
          <w:szCs w:val="22"/>
        </w:rPr>
      </w:pPr>
      <w:hyperlink w:anchor="_Toc33782001" w:history="1">
        <w:r w:rsidR="002C3CEA" w:rsidRPr="000C7EF5">
          <w:rPr>
            <w:rStyle w:val="Hyperlink"/>
            <w:noProof/>
          </w:rPr>
          <w:t>7.</w:t>
        </w:r>
        <w:r w:rsidR="002C3CEA">
          <w:rPr>
            <w:rFonts w:asciiTheme="minorHAnsi" w:eastAsiaTheme="minorEastAsia" w:hAnsiTheme="minorHAnsi" w:cstheme="minorBidi"/>
            <w:noProof/>
            <w:sz w:val="22"/>
            <w:szCs w:val="22"/>
          </w:rPr>
          <w:tab/>
        </w:r>
        <w:r w:rsidR="002C3CEA" w:rsidRPr="000C7EF5">
          <w:rPr>
            <w:rStyle w:val="Hyperlink"/>
            <w:noProof/>
          </w:rPr>
          <w:t>Measuring Annual Consumption Reductions</w:t>
        </w:r>
        <w:r w:rsidR="002C3CEA">
          <w:rPr>
            <w:noProof/>
            <w:webHidden/>
          </w:rPr>
          <w:tab/>
        </w:r>
        <w:r w:rsidR="002C3CEA">
          <w:rPr>
            <w:noProof/>
            <w:webHidden/>
          </w:rPr>
          <w:fldChar w:fldCharType="begin"/>
        </w:r>
        <w:r w:rsidR="002C3CEA">
          <w:rPr>
            <w:noProof/>
            <w:webHidden/>
          </w:rPr>
          <w:instrText xml:space="preserve"> PAGEREF _Toc33782001 \h </w:instrText>
        </w:r>
        <w:r w:rsidR="002C3CEA">
          <w:rPr>
            <w:noProof/>
            <w:webHidden/>
          </w:rPr>
        </w:r>
        <w:r w:rsidR="002C3CEA">
          <w:rPr>
            <w:noProof/>
            <w:webHidden/>
          </w:rPr>
          <w:fldChar w:fldCharType="separate"/>
        </w:r>
        <w:r w:rsidR="00BB1E55">
          <w:rPr>
            <w:noProof/>
            <w:webHidden/>
          </w:rPr>
          <w:t>25</w:t>
        </w:r>
        <w:r w:rsidR="002C3CEA">
          <w:rPr>
            <w:noProof/>
            <w:webHidden/>
          </w:rPr>
          <w:fldChar w:fldCharType="end"/>
        </w:r>
      </w:hyperlink>
    </w:p>
    <w:p w14:paraId="446642F2" w14:textId="5C191A8D" w:rsidR="002C3CEA" w:rsidRDefault="00176250">
      <w:pPr>
        <w:pStyle w:val="TOC2"/>
        <w:rPr>
          <w:rFonts w:asciiTheme="minorHAnsi" w:eastAsiaTheme="minorEastAsia" w:hAnsiTheme="minorHAnsi" w:cstheme="minorBidi"/>
          <w:noProof/>
          <w:sz w:val="22"/>
          <w:szCs w:val="22"/>
        </w:rPr>
      </w:pPr>
      <w:hyperlink w:anchor="_Toc33782002" w:history="1">
        <w:r w:rsidR="002C3CEA" w:rsidRPr="000C7EF5">
          <w:rPr>
            <w:rStyle w:val="Hyperlink"/>
            <w:noProof/>
          </w:rPr>
          <w:t>B.</w:t>
        </w:r>
        <w:r w:rsidR="002C3CEA">
          <w:rPr>
            <w:rFonts w:asciiTheme="minorHAnsi" w:eastAsiaTheme="minorEastAsia" w:hAnsiTheme="minorHAnsi" w:cstheme="minorBidi"/>
            <w:noProof/>
            <w:sz w:val="22"/>
            <w:szCs w:val="22"/>
          </w:rPr>
          <w:tab/>
        </w:r>
        <w:r w:rsidR="002C3CEA" w:rsidRPr="000C7EF5">
          <w:rPr>
            <w:rStyle w:val="Hyperlink"/>
            <w:noProof/>
          </w:rPr>
          <w:t>Proposed Reductions in Peak Demand</w:t>
        </w:r>
        <w:r w:rsidR="002C3CEA">
          <w:rPr>
            <w:noProof/>
            <w:webHidden/>
          </w:rPr>
          <w:tab/>
        </w:r>
        <w:r w:rsidR="002C3CEA">
          <w:rPr>
            <w:noProof/>
            <w:webHidden/>
          </w:rPr>
          <w:fldChar w:fldCharType="begin"/>
        </w:r>
        <w:r w:rsidR="002C3CEA">
          <w:rPr>
            <w:noProof/>
            <w:webHidden/>
          </w:rPr>
          <w:instrText xml:space="preserve"> PAGEREF _Toc33782002 \h </w:instrText>
        </w:r>
        <w:r w:rsidR="002C3CEA">
          <w:rPr>
            <w:noProof/>
            <w:webHidden/>
          </w:rPr>
        </w:r>
        <w:r w:rsidR="002C3CEA">
          <w:rPr>
            <w:noProof/>
            <w:webHidden/>
          </w:rPr>
          <w:fldChar w:fldCharType="separate"/>
        </w:r>
        <w:r w:rsidR="00BB1E55">
          <w:rPr>
            <w:noProof/>
            <w:webHidden/>
          </w:rPr>
          <w:t>26</w:t>
        </w:r>
        <w:r w:rsidR="002C3CEA">
          <w:rPr>
            <w:noProof/>
            <w:webHidden/>
          </w:rPr>
          <w:fldChar w:fldCharType="end"/>
        </w:r>
      </w:hyperlink>
    </w:p>
    <w:p w14:paraId="22232817" w14:textId="44031D45" w:rsidR="002C3CEA" w:rsidRDefault="00176250">
      <w:pPr>
        <w:pStyle w:val="TOC3"/>
        <w:rPr>
          <w:rFonts w:asciiTheme="minorHAnsi" w:eastAsiaTheme="minorEastAsia" w:hAnsiTheme="minorHAnsi" w:cstheme="minorBidi"/>
          <w:noProof/>
          <w:sz w:val="22"/>
          <w:szCs w:val="22"/>
        </w:rPr>
      </w:pPr>
      <w:hyperlink w:anchor="_Toc33782003" w:history="1">
        <w:r w:rsidR="002C3CEA" w:rsidRPr="000C7EF5">
          <w:rPr>
            <w:rStyle w:val="Hyperlink"/>
            <w:noProof/>
          </w:rPr>
          <w:t>1.</w:t>
        </w:r>
        <w:r w:rsidR="002C3CEA">
          <w:rPr>
            <w:rFonts w:asciiTheme="minorHAnsi" w:eastAsiaTheme="minorEastAsia" w:hAnsiTheme="minorHAnsi" w:cstheme="minorBidi"/>
            <w:noProof/>
            <w:sz w:val="22"/>
            <w:szCs w:val="22"/>
          </w:rPr>
          <w:tab/>
        </w:r>
        <w:r w:rsidR="002C3CEA" w:rsidRPr="000C7EF5">
          <w:rPr>
            <w:rStyle w:val="Hyperlink"/>
            <w:noProof/>
          </w:rPr>
          <w:t>Summary of SWE’s DDR Potential Study</w:t>
        </w:r>
        <w:r w:rsidR="002C3CEA">
          <w:rPr>
            <w:noProof/>
            <w:webHidden/>
          </w:rPr>
          <w:tab/>
        </w:r>
        <w:r w:rsidR="002C3CEA">
          <w:rPr>
            <w:noProof/>
            <w:webHidden/>
          </w:rPr>
          <w:fldChar w:fldCharType="begin"/>
        </w:r>
        <w:r w:rsidR="002C3CEA">
          <w:rPr>
            <w:noProof/>
            <w:webHidden/>
          </w:rPr>
          <w:instrText xml:space="preserve"> PAGEREF _Toc33782003 \h </w:instrText>
        </w:r>
        <w:r w:rsidR="002C3CEA">
          <w:rPr>
            <w:noProof/>
            <w:webHidden/>
          </w:rPr>
        </w:r>
        <w:r w:rsidR="002C3CEA">
          <w:rPr>
            <w:noProof/>
            <w:webHidden/>
          </w:rPr>
          <w:fldChar w:fldCharType="separate"/>
        </w:r>
        <w:r w:rsidR="00BB1E55">
          <w:rPr>
            <w:noProof/>
            <w:webHidden/>
          </w:rPr>
          <w:t>26</w:t>
        </w:r>
        <w:r w:rsidR="002C3CEA">
          <w:rPr>
            <w:noProof/>
            <w:webHidden/>
          </w:rPr>
          <w:fldChar w:fldCharType="end"/>
        </w:r>
      </w:hyperlink>
    </w:p>
    <w:p w14:paraId="39C5BC98" w14:textId="3C2BED35" w:rsidR="002C3CEA" w:rsidRDefault="00176250">
      <w:pPr>
        <w:pStyle w:val="TOC3"/>
        <w:rPr>
          <w:rFonts w:asciiTheme="minorHAnsi" w:eastAsiaTheme="minorEastAsia" w:hAnsiTheme="minorHAnsi" w:cstheme="minorBidi"/>
          <w:noProof/>
          <w:sz w:val="22"/>
          <w:szCs w:val="22"/>
        </w:rPr>
      </w:pPr>
      <w:hyperlink w:anchor="_Toc33782004" w:history="1">
        <w:r w:rsidR="002C3CEA" w:rsidRPr="000C7EF5">
          <w:rPr>
            <w:rStyle w:val="Hyperlink"/>
            <w:noProof/>
          </w:rPr>
          <w:t>2.</w:t>
        </w:r>
        <w:r w:rsidR="002C3CEA">
          <w:rPr>
            <w:rFonts w:asciiTheme="minorHAnsi" w:eastAsiaTheme="minorEastAsia" w:hAnsiTheme="minorHAnsi" w:cstheme="minorBidi"/>
            <w:noProof/>
            <w:sz w:val="22"/>
            <w:szCs w:val="22"/>
          </w:rPr>
          <w:tab/>
        </w:r>
        <w:r w:rsidR="002C3CEA" w:rsidRPr="000C7EF5">
          <w:rPr>
            <w:rStyle w:val="Hyperlink"/>
            <w:noProof/>
          </w:rPr>
          <w:t>Methodology Used to Set Peak Demand Reduction Targets</w:t>
        </w:r>
        <w:r w:rsidR="002C3CEA">
          <w:rPr>
            <w:noProof/>
            <w:webHidden/>
          </w:rPr>
          <w:tab/>
        </w:r>
        <w:r w:rsidR="002C3CEA">
          <w:rPr>
            <w:noProof/>
            <w:webHidden/>
          </w:rPr>
          <w:fldChar w:fldCharType="begin"/>
        </w:r>
        <w:r w:rsidR="002C3CEA">
          <w:rPr>
            <w:noProof/>
            <w:webHidden/>
          </w:rPr>
          <w:instrText xml:space="preserve"> PAGEREF _Toc33782004 \h </w:instrText>
        </w:r>
        <w:r w:rsidR="002C3CEA">
          <w:rPr>
            <w:noProof/>
            <w:webHidden/>
          </w:rPr>
        </w:r>
        <w:r w:rsidR="002C3CEA">
          <w:rPr>
            <w:noProof/>
            <w:webHidden/>
          </w:rPr>
          <w:fldChar w:fldCharType="separate"/>
        </w:r>
        <w:r w:rsidR="00BB1E55">
          <w:rPr>
            <w:noProof/>
            <w:webHidden/>
          </w:rPr>
          <w:t>31</w:t>
        </w:r>
        <w:r w:rsidR="002C3CEA">
          <w:rPr>
            <w:noProof/>
            <w:webHidden/>
          </w:rPr>
          <w:fldChar w:fldCharType="end"/>
        </w:r>
      </w:hyperlink>
    </w:p>
    <w:p w14:paraId="71E0DC92" w14:textId="08D42BC5" w:rsidR="002C3CEA" w:rsidRDefault="00176250">
      <w:pPr>
        <w:pStyle w:val="TOC3"/>
        <w:rPr>
          <w:rFonts w:asciiTheme="minorHAnsi" w:eastAsiaTheme="minorEastAsia" w:hAnsiTheme="minorHAnsi" w:cstheme="minorBidi"/>
          <w:noProof/>
          <w:sz w:val="22"/>
          <w:szCs w:val="22"/>
        </w:rPr>
      </w:pPr>
      <w:hyperlink w:anchor="_Toc33782005" w:history="1">
        <w:r w:rsidR="002C3CEA" w:rsidRPr="000C7EF5">
          <w:rPr>
            <w:rStyle w:val="Hyperlink"/>
            <w:noProof/>
          </w:rPr>
          <w:t>3.</w:t>
        </w:r>
        <w:r w:rsidR="002C3CEA">
          <w:rPr>
            <w:rFonts w:asciiTheme="minorHAnsi" w:eastAsiaTheme="minorEastAsia" w:hAnsiTheme="minorHAnsi" w:cstheme="minorBidi"/>
            <w:noProof/>
            <w:sz w:val="22"/>
            <w:szCs w:val="22"/>
          </w:rPr>
          <w:tab/>
        </w:r>
        <w:r w:rsidR="002C3CEA" w:rsidRPr="000C7EF5">
          <w:rPr>
            <w:rStyle w:val="Hyperlink"/>
            <w:noProof/>
          </w:rPr>
          <w:t>Baseline for Targets</w:t>
        </w:r>
        <w:r w:rsidR="002C3CEA">
          <w:rPr>
            <w:noProof/>
            <w:webHidden/>
          </w:rPr>
          <w:tab/>
        </w:r>
        <w:r w:rsidR="002C3CEA">
          <w:rPr>
            <w:noProof/>
            <w:webHidden/>
          </w:rPr>
          <w:fldChar w:fldCharType="begin"/>
        </w:r>
        <w:r w:rsidR="002C3CEA">
          <w:rPr>
            <w:noProof/>
            <w:webHidden/>
          </w:rPr>
          <w:instrText xml:space="preserve"> PAGEREF _Toc33782005 \h </w:instrText>
        </w:r>
        <w:r w:rsidR="002C3CEA">
          <w:rPr>
            <w:noProof/>
            <w:webHidden/>
          </w:rPr>
        </w:r>
        <w:r w:rsidR="002C3CEA">
          <w:rPr>
            <w:noProof/>
            <w:webHidden/>
          </w:rPr>
          <w:fldChar w:fldCharType="separate"/>
        </w:r>
        <w:r w:rsidR="00BB1E55">
          <w:rPr>
            <w:noProof/>
            <w:webHidden/>
          </w:rPr>
          <w:t>35</w:t>
        </w:r>
        <w:r w:rsidR="002C3CEA">
          <w:rPr>
            <w:noProof/>
            <w:webHidden/>
          </w:rPr>
          <w:fldChar w:fldCharType="end"/>
        </w:r>
      </w:hyperlink>
    </w:p>
    <w:p w14:paraId="5A7AC692" w14:textId="68324D02" w:rsidR="002C3CEA" w:rsidRDefault="00176250">
      <w:pPr>
        <w:pStyle w:val="TOC3"/>
        <w:rPr>
          <w:rFonts w:asciiTheme="minorHAnsi" w:eastAsiaTheme="minorEastAsia" w:hAnsiTheme="minorHAnsi" w:cstheme="minorBidi"/>
          <w:noProof/>
          <w:sz w:val="22"/>
          <w:szCs w:val="22"/>
        </w:rPr>
      </w:pPr>
      <w:hyperlink w:anchor="_Toc33782006" w:history="1">
        <w:r w:rsidR="002C3CEA" w:rsidRPr="000C7EF5">
          <w:rPr>
            <w:rStyle w:val="Hyperlink"/>
            <w:noProof/>
          </w:rPr>
          <w:t>4.</w:t>
        </w:r>
        <w:r w:rsidR="002C3CEA">
          <w:rPr>
            <w:rFonts w:asciiTheme="minorHAnsi" w:eastAsiaTheme="minorEastAsia" w:hAnsiTheme="minorHAnsi" w:cstheme="minorBidi"/>
            <w:noProof/>
            <w:sz w:val="22"/>
            <w:szCs w:val="22"/>
          </w:rPr>
          <w:tab/>
        </w:r>
        <w:r w:rsidR="002C3CEA" w:rsidRPr="000C7EF5">
          <w:rPr>
            <w:rStyle w:val="Hyperlink"/>
            <w:noProof/>
          </w:rPr>
          <w:t>Proposed Peak Demand Reduction Targets</w:t>
        </w:r>
        <w:r w:rsidR="002C3CEA">
          <w:rPr>
            <w:noProof/>
            <w:webHidden/>
          </w:rPr>
          <w:tab/>
        </w:r>
        <w:r w:rsidR="002C3CEA">
          <w:rPr>
            <w:noProof/>
            <w:webHidden/>
          </w:rPr>
          <w:fldChar w:fldCharType="begin"/>
        </w:r>
        <w:r w:rsidR="002C3CEA">
          <w:rPr>
            <w:noProof/>
            <w:webHidden/>
          </w:rPr>
          <w:instrText xml:space="preserve"> PAGEREF _Toc33782006 \h </w:instrText>
        </w:r>
        <w:r w:rsidR="002C3CEA">
          <w:rPr>
            <w:noProof/>
            <w:webHidden/>
          </w:rPr>
        </w:r>
        <w:r w:rsidR="002C3CEA">
          <w:rPr>
            <w:noProof/>
            <w:webHidden/>
          </w:rPr>
          <w:fldChar w:fldCharType="separate"/>
        </w:r>
        <w:r w:rsidR="00BB1E55">
          <w:rPr>
            <w:noProof/>
            <w:webHidden/>
          </w:rPr>
          <w:t>36</w:t>
        </w:r>
        <w:r w:rsidR="002C3CEA">
          <w:rPr>
            <w:noProof/>
            <w:webHidden/>
          </w:rPr>
          <w:fldChar w:fldCharType="end"/>
        </w:r>
      </w:hyperlink>
    </w:p>
    <w:p w14:paraId="3320C0DB" w14:textId="490A0228" w:rsidR="002C3CEA" w:rsidRDefault="00176250">
      <w:pPr>
        <w:pStyle w:val="TOC3"/>
        <w:rPr>
          <w:rFonts w:asciiTheme="minorHAnsi" w:eastAsiaTheme="minorEastAsia" w:hAnsiTheme="minorHAnsi" w:cstheme="minorBidi"/>
          <w:noProof/>
          <w:sz w:val="22"/>
          <w:szCs w:val="22"/>
        </w:rPr>
      </w:pPr>
      <w:hyperlink w:anchor="_Toc33782007" w:history="1">
        <w:r w:rsidR="002C3CEA" w:rsidRPr="000C7EF5">
          <w:rPr>
            <w:rStyle w:val="Hyperlink"/>
            <w:noProof/>
          </w:rPr>
          <w:t>5.</w:t>
        </w:r>
        <w:r w:rsidR="002C3CEA">
          <w:rPr>
            <w:rFonts w:asciiTheme="minorHAnsi" w:eastAsiaTheme="minorEastAsia" w:hAnsiTheme="minorHAnsi" w:cstheme="minorBidi"/>
            <w:noProof/>
            <w:sz w:val="22"/>
            <w:szCs w:val="22"/>
          </w:rPr>
          <w:tab/>
        </w:r>
        <w:r w:rsidR="002C3CEA" w:rsidRPr="000C7EF5">
          <w:rPr>
            <w:rStyle w:val="Hyperlink"/>
            <w:noProof/>
          </w:rPr>
          <w:t>Measuring Peak Demand Reductions</w:t>
        </w:r>
        <w:r w:rsidR="002C3CEA">
          <w:rPr>
            <w:noProof/>
            <w:webHidden/>
          </w:rPr>
          <w:tab/>
        </w:r>
        <w:r w:rsidR="002C3CEA">
          <w:rPr>
            <w:noProof/>
            <w:webHidden/>
          </w:rPr>
          <w:fldChar w:fldCharType="begin"/>
        </w:r>
        <w:r w:rsidR="002C3CEA">
          <w:rPr>
            <w:noProof/>
            <w:webHidden/>
          </w:rPr>
          <w:instrText xml:space="preserve"> PAGEREF _Toc33782007 \h </w:instrText>
        </w:r>
        <w:r w:rsidR="002C3CEA">
          <w:rPr>
            <w:noProof/>
            <w:webHidden/>
          </w:rPr>
        </w:r>
        <w:r w:rsidR="002C3CEA">
          <w:rPr>
            <w:noProof/>
            <w:webHidden/>
          </w:rPr>
          <w:fldChar w:fldCharType="separate"/>
        </w:r>
        <w:r w:rsidR="00BB1E55">
          <w:rPr>
            <w:noProof/>
            <w:webHidden/>
          </w:rPr>
          <w:t>38</w:t>
        </w:r>
        <w:r w:rsidR="002C3CEA">
          <w:rPr>
            <w:noProof/>
            <w:webHidden/>
          </w:rPr>
          <w:fldChar w:fldCharType="end"/>
        </w:r>
      </w:hyperlink>
    </w:p>
    <w:p w14:paraId="0A936808" w14:textId="7787161C" w:rsidR="002C3CEA" w:rsidRDefault="00176250">
      <w:pPr>
        <w:pStyle w:val="TOC2"/>
        <w:rPr>
          <w:rFonts w:asciiTheme="minorHAnsi" w:eastAsiaTheme="minorEastAsia" w:hAnsiTheme="minorHAnsi" w:cstheme="minorBidi"/>
          <w:noProof/>
          <w:sz w:val="22"/>
          <w:szCs w:val="22"/>
        </w:rPr>
      </w:pPr>
      <w:hyperlink w:anchor="_Toc33782008" w:history="1">
        <w:r w:rsidR="002C3CEA" w:rsidRPr="000C7EF5">
          <w:rPr>
            <w:rStyle w:val="Hyperlink"/>
            <w:noProof/>
          </w:rPr>
          <w:t>C.</w:t>
        </w:r>
        <w:r w:rsidR="002C3CEA">
          <w:rPr>
            <w:rFonts w:asciiTheme="minorHAnsi" w:eastAsiaTheme="minorEastAsia" w:hAnsiTheme="minorHAnsi" w:cstheme="minorBidi"/>
            <w:noProof/>
            <w:sz w:val="22"/>
            <w:szCs w:val="22"/>
          </w:rPr>
          <w:tab/>
        </w:r>
        <w:r w:rsidR="002C3CEA" w:rsidRPr="000C7EF5">
          <w:rPr>
            <w:rStyle w:val="Hyperlink"/>
            <w:noProof/>
          </w:rPr>
          <w:t>Plan Approval Process</w:t>
        </w:r>
        <w:r w:rsidR="002C3CEA">
          <w:rPr>
            <w:noProof/>
            <w:webHidden/>
          </w:rPr>
          <w:tab/>
        </w:r>
        <w:r w:rsidR="002C3CEA">
          <w:rPr>
            <w:noProof/>
            <w:webHidden/>
          </w:rPr>
          <w:fldChar w:fldCharType="begin"/>
        </w:r>
        <w:r w:rsidR="002C3CEA">
          <w:rPr>
            <w:noProof/>
            <w:webHidden/>
          </w:rPr>
          <w:instrText xml:space="preserve"> PAGEREF _Toc33782008 \h </w:instrText>
        </w:r>
        <w:r w:rsidR="002C3CEA">
          <w:rPr>
            <w:noProof/>
            <w:webHidden/>
          </w:rPr>
        </w:r>
        <w:r w:rsidR="002C3CEA">
          <w:rPr>
            <w:noProof/>
            <w:webHidden/>
          </w:rPr>
          <w:fldChar w:fldCharType="separate"/>
        </w:r>
        <w:r w:rsidR="00BB1E55">
          <w:rPr>
            <w:noProof/>
            <w:webHidden/>
          </w:rPr>
          <w:t>39</w:t>
        </w:r>
        <w:r w:rsidR="002C3CEA">
          <w:rPr>
            <w:noProof/>
            <w:webHidden/>
          </w:rPr>
          <w:fldChar w:fldCharType="end"/>
        </w:r>
      </w:hyperlink>
    </w:p>
    <w:p w14:paraId="540A9F8C" w14:textId="7DA152C5" w:rsidR="002C3CEA" w:rsidRDefault="00176250">
      <w:pPr>
        <w:pStyle w:val="TOC3"/>
        <w:rPr>
          <w:rFonts w:asciiTheme="minorHAnsi" w:eastAsiaTheme="minorEastAsia" w:hAnsiTheme="minorHAnsi" w:cstheme="minorBidi"/>
          <w:noProof/>
          <w:sz w:val="22"/>
          <w:szCs w:val="22"/>
        </w:rPr>
      </w:pPr>
      <w:hyperlink w:anchor="_Toc33782009" w:history="1">
        <w:r w:rsidR="002C3CEA" w:rsidRPr="000C7EF5">
          <w:rPr>
            <w:rStyle w:val="Hyperlink"/>
            <w:noProof/>
          </w:rPr>
          <w:t>1.</w:t>
        </w:r>
        <w:r w:rsidR="002C3CEA">
          <w:rPr>
            <w:rFonts w:asciiTheme="minorHAnsi" w:eastAsiaTheme="minorEastAsia" w:hAnsiTheme="minorHAnsi" w:cstheme="minorBidi"/>
            <w:noProof/>
            <w:sz w:val="22"/>
            <w:szCs w:val="22"/>
          </w:rPr>
          <w:tab/>
        </w:r>
        <w:r w:rsidR="002C3CEA" w:rsidRPr="000C7EF5">
          <w:rPr>
            <w:rStyle w:val="Hyperlink"/>
            <w:noProof/>
          </w:rPr>
          <w:t>Phase IV EE&amp;C Plan Approval Process</w:t>
        </w:r>
        <w:r w:rsidR="002C3CEA">
          <w:rPr>
            <w:noProof/>
            <w:webHidden/>
          </w:rPr>
          <w:tab/>
        </w:r>
        <w:r w:rsidR="002C3CEA">
          <w:rPr>
            <w:noProof/>
            <w:webHidden/>
          </w:rPr>
          <w:fldChar w:fldCharType="begin"/>
        </w:r>
        <w:r w:rsidR="002C3CEA">
          <w:rPr>
            <w:noProof/>
            <w:webHidden/>
          </w:rPr>
          <w:instrText xml:space="preserve"> PAGEREF _Toc33782009 \h </w:instrText>
        </w:r>
        <w:r w:rsidR="002C3CEA">
          <w:rPr>
            <w:noProof/>
            <w:webHidden/>
          </w:rPr>
        </w:r>
        <w:r w:rsidR="002C3CEA">
          <w:rPr>
            <w:noProof/>
            <w:webHidden/>
          </w:rPr>
          <w:fldChar w:fldCharType="separate"/>
        </w:r>
        <w:r w:rsidR="00BB1E55">
          <w:rPr>
            <w:noProof/>
            <w:webHidden/>
          </w:rPr>
          <w:t>40</w:t>
        </w:r>
        <w:r w:rsidR="002C3CEA">
          <w:rPr>
            <w:noProof/>
            <w:webHidden/>
          </w:rPr>
          <w:fldChar w:fldCharType="end"/>
        </w:r>
      </w:hyperlink>
    </w:p>
    <w:p w14:paraId="6F9DEB77" w14:textId="368AD359" w:rsidR="002C3CEA" w:rsidRDefault="00176250" w:rsidP="00F2097E">
      <w:pPr>
        <w:pStyle w:val="TOC3"/>
        <w:rPr>
          <w:rFonts w:asciiTheme="minorHAnsi" w:eastAsiaTheme="minorEastAsia" w:hAnsiTheme="minorHAnsi" w:cstheme="minorBidi"/>
          <w:noProof/>
          <w:sz w:val="22"/>
          <w:szCs w:val="22"/>
        </w:rPr>
      </w:pPr>
      <w:hyperlink w:anchor="_Toc33782010" w:history="1">
        <w:r w:rsidR="002C3CEA" w:rsidRPr="000C7EF5">
          <w:rPr>
            <w:rStyle w:val="Hyperlink"/>
            <w:noProof/>
          </w:rPr>
          <w:t>2.</w:t>
        </w:r>
        <w:r w:rsidR="002C3CEA">
          <w:rPr>
            <w:rFonts w:asciiTheme="minorHAnsi" w:eastAsiaTheme="minorEastAsia" w:hAnsiTheme="minorHAnsi" w:cstheme="minorBidi"/>
            <w:noProof/>
            <w:sz w:val="22"/>
            <w:szCs w:val="22"/>
          </w:rPr>
          <w:tab/>
        </w:r>
        <w:r w:rsidR="002C3CEA" w:rsidRPr="000C7EF5">
          <w:rPr>
            <w:rStyle w:val="Hyperlink"/>
            <w:noProof/>
          </w:rPr>
          <w:t>Phase IV Planning Timeline</w:t>
        </w:r>
        <w:r w:rsidR="002C3CEA">
          <w:rPr>
            <w:noProof/>
            <w:webHidden/>
          </w:rPr>
          <w:tab/>
        </w:r>
        <w:r w:rsidR="002C3CEA">
          <w:rPr>
            <w:noProof/>
            <w:webHidden/>
          </w:rPr>
          <w:fldChar w:fldCharType="begin"/>
        </w:r>
        <w:r w:rsidR="002C3CEA">
          <w:rPr>
            <w:noProof/>
            <w:webHidden/>
          </w:rPr>
          <w:instrText xml:space="preserve"> PAGEREF _Toc33782010 \h </w:instrText>
        </w:r>
        <w:r w:rsidR="002C3CEA">
          <w:rPr>
            <w:noProof/>
            <w:webHidden/>
          </w:rPr>
        </w:r>
        <w:r w:rsidR="002C3CEA">
          <w:rPr>
            <w:noProof/>
            <w:webHidden/>
          </w:rPr>
          <w:fldChar w:fldCharType="separate"/>
        </w:r>
        <w:r w:rsidR="00BB1E55">
          <w:rPr>
            <w:noProof/>
            <w:webHidden/>
          </w:rPr>
          <w:t>42</w:t>
        </w:r>
        <w:r w:rsidR="002C3CEA">
          <w:rPr>
            <w:noProof/>
            <w:webHidden/>
          </w:rPr>
          <w:fldChar w:fldCharType="end"/>
        </w:r>
      </w:hyperlink>
    </w:p>
    <w:p w14:paraId="185F2B5F" w14:textId="14582657" w:rsidR="002C3CEA" w:rsidRDefault="00176250">
      <w:pPr>
        <w:pStyle w:val="TOC3"/>
        <w:rPr>
          <w:rFonts w:asciiTheme="minorHAnsi" w:eastAsiaTheme="minorEastAsia" w:hAnsiTheme="minorHAnsi" w:cstheme="minorBidi"/>
          <w:noProof/>
          <w:sz w:val="22"/>
          <w:szCs w:val="22"/>
        </w:rPr>
      </w:pPr>
      <w:hyperlink w:anchor="_Toc33782012" w:history="1">
        <w:r w:rsidR="00F2097E">
          <w:rPr>
            <w:rStyle w:val="Hyperlink"/>
            <w:noProof/>
          </w:rPr>
          <w:t>3</w:t>
        </w:r>
        <w:r w:rsidR="002C3CEA" w:rsidRPr="000C7EF5">
          <w:rPr>
            <w:rStyle w:val="Hyperlink"/>
            <w:noProof/>
          </w:rPr>
          <w:t>.</w:t>
        </w:r>
        <w:r w:rsidR="002C3CEA">
          <w:rPr>
            <w:rFonts w:asciiTheme="minorHAnsi" w:eastAsiaTheme="minorEastAsia" w:hAnsiTheme="minorHAnsi" w:cstheme="minorBidi"/>
            <w:noProof/>
            <w:sz w:val="22"/>
            <w:szCs w:val="22"/>
          </w:rPr>
          <w:tab/>
        </w:r>
        <w:r w:rsidR="002C3CEA" w:rsidRPr="000C7EF5">
          <w:rPr>
            <w:rStyle w:val="Hyperlink"/>
            <w:noProof/>
          </w:rPr>
          <w:t>Standards to Ensure that a Variety of Measures are Applied Equitably to all Customer Classes</w:t>
        </w:r>
        <w:r w:rsidR="002C3CEA">
          <w:rPr>
            <w:noProof/>
            <w:webHidden/>
          </w:rPr>
          <w:tab/>
        </w:r>
        <w:r w:rsidR="002C3CEA">
          <w:rPr>
            <w:noProof/>
            <w:webHidden/>
          </w:rPr>
          <w:fldChar w:fldCharType="begin"/>
        </w:r>
        <w:r w:rsidR="002C3CEA">
          <w:rPr>
            <w:noProof/>
            <w:webHidden/>
          </w:rPr>
          <w:instrText xml:space="preserve"> PAGEREF _Toc33782012 \h </w:instrText>
        </w:r>
        <w:r w:rsidR="002C3CEA">
          <w:rPr>
            <w:noProof/>
            <w:webHidden/>
          </w:rPr>
        </w:r>
        <w:r w:rsidR="002C3CEA">
          <w:rPr>
            <w:noProof/>
            <w:webHidden/>
          </w:rPr>
          <w:fldChar w:fldCharType="separate"/>
        </w:r>
        <w:r w:rsidR="00BB1E55">
          <w:rPr>
            <w:noProof/>
            <w:webHidden/>
          </w:rPr>
          <w:t>43</w:t>
        </w:r>
        <w:r w:rsidR="002C3CEA">
          <w:rPr>
            <w:noProof/>
            <w:webHidden/>
          </w:rPr>
          <w:fldChar w:fldCharType="end"/>
        </w:r>
      </w:hyperlink>
    </w:p>
    <w:p w14:paraId="160F87CC" w14:textId="2EF1BCD3" w:rsidR="002C3CEA" w:rsidRDefault="00176250">
      <w:pPr>
        <w:pStyle w:val="TOC3"/>
        <w:rPr>
          <w:rFonts w:asciiTheme="minorHAnsi" w:eastAsiaTheme="minorEastAsia" w:hAnsiTheme="minorHAnsi" w:cstheme="minorBidi"/>
          <w:noProof/>
          <w:sz w:val="22"/>
          <w:szCs w:val="22"/>
        </w:rPr>
      </w:pPr>
      <w:hyperlink w:anchor="_Toc33782013" w:history="1">
        <w:r w:rsidR="00F2097E">
          <w:t>4</w:t>
        </w:r>
        <w:r w:rsidR="002C3CEA" w:rsidRPr="000C7EF5">
          <w:rPr>
            <w:rStyle w:val="Hyperlink"/>
            <w:noProof/>
          </w:rPr>
          <w:t>.</w:t>
        </w:r>
        <w:r w:rsidR="002C3CEA">
          <w:rPr>
            <w:rFonts w:asciiTheme="minorHAnsi" w:eastAsiaTheme="minorEastAsia" w:hAnsiTheme="minorHAnsi" w:cstheme="minorBidi"/>
            <w:noProof/>
            <w:sz w:val="22"/>
            <w:szCs w:val="22"/>
          </w:rPr>
          <w:tab/>
        </w:r>
        <w:r w:rsidR="002C3CEA" w:rsidRPr="000C7EF5">
          <w:rPr>
            <w:rStyle w:val="Hyperlink"/>
            <w:noProof/>
          </w:rPr>
          <w:t>Process to Make EE&amp;C Plan Changes and Recommendations for Additional Measures</w:t>
        </w:r>
        <w:r w:rsidR="002C3CEA">
          <w:rPr>
            <w:noProof/>
            <w:webHidden/>
          </w:rPr>
          <w:tab/>
        </w:r>
        <w:r w:rsidR="002C3CEA">
          <w:rPr>
            <w:noProof/>
            <w:webHidden/>
          </w:rPr>
          <w:fldChar w:fldCharType="begin"/>
        </w:r>
        <w:r w:rsidR="002C3CEA">
          <w:rPr>
            <w:noProof/>
            <w:webHidden/>
          </w:rPr>
          <w:instrText xml:space="preserve"> PAGEREF _Toc33782013 \h </w:instrText>
        </w:r>
        <w:r w:rsidR="002C3CEA">
          <w:rPr>
            <w:noProof/>
            <w:webHidden/>
          </w:rPr>
        </w:r>
        <w:r w:rsidR="002C3CEA">
          <w:rPr>
            <w:noProof/>
            <w:webHidden/>
          </w:rPr>
          <w:fldChar w:fldCharType="separate"/>
        </w:r>
        <w:r w:rsidR="00BB1E55">
          <w:rPr>
            <w:noProof/>
            <w:webHidden/>
          </w:rPr>
          <w:t>45</w:t>
        </w:r>
        <w:r w:rsidR="002C3CEA">
          <w:rPr>
            <w:noProof/>
            <w:webHidden/>
          </w:rPr>
          <w:fldChar w:fldCharType="end"/>
        </w:r>
      </w:hyperlink>
    </w:p>
    <w:p w14:paraId="6CD95DFF" w14:textId="2AB012F5" w:rsidR="002C3CEA" w:rsidRDefault="00176250">
      <w:pPr>
        <w:pStyle w:val="TOC2"/>
        <w:rPr>
          <w:rFonts w:asciiTheme="minorHAnsi" w:eastAsiaTheme="minorEastAsia" w:hAnsiTheme="minorHAnsi" w:cstheme="minorBidi"/>
          <w:noProof/>
          <w:sz w:val="22"/>
          <w:szCs w:val="22"/>
        </w:rPr>
      </w:pPr>
      <w:hyperlink w:anchor="_Toc33782014" w:history="1">
        <w:r w:rsidR="002C3CEA" w:rsidRPr="000C7EF5">
          <w:rPr>
            <w:rStyle w:val="Hyperlink"/>
            <w:noProof/>
          </w:rPr>
          <w:t>D.</w:t>
        </w:r>
        <w:r w:rsidR="002C3CEA">
          <w:rPr>
            <w:rFonts w:asciiTheme="minorHAnsi" w:eastAsiaTheme="minorEastAsia" w:hAnsiTheme="minorHAnsi" w:cstheme="minorBidi"/>
            <w:noProof/>
            <w:sz w:val="22"/>
            <w:szCs w:val="22"/>
          </w:rPr>
          <w:tab/>
        </w:r>
        <w:r w:rsidR="002C3CEA" w:rsidRPr="000C7EF5">
          <w:rPr>
            <w:rStyle w:val="Hyperlink"/>
            <w:noProof/>
          </w:rPr>
          <w:t>Plan Effectiveness Evaluation Process</w:t>
        </w:r>
        <w:r w:rsidR="002C3CEA">
          <w:rPr>
            <w:noProof/>
            <w:webHidden/>
          </w:rPr>
          <w:tab/>
        </w:r>
        <w:r w:rsidR="002C3CEA">
          <w:rPr>
            <w:noProof/>
            <w:webHidden/>
          </w:rPr>
          <w:fldChar w:fldCharType="begin"/>
        </w:r>
        <w:r w:rsidR="002C3CEA">
          <w:rPr>
            <w:noProof/>
            <w:webHidden/>
          </w:rPr>
          <w:instrText xml:space="preserve"> PAGEREF _Toc33782014 \h </w:instrText>
        </w:r>
        <w:r w:rsidR="002C3CEA">
          <w:rPr>
            <w:noProof/>
            <w:webHidden/>
          </w:rPr>
        </w:r>
        <w:r w:rsidR="002C3CEA">
          <w:rPr>
            <w:noProof/>
            <w:webHidden/>
          </w:rPr>
          <w:fldChar w:fldCharType="separate"/>
        </w:r>
        <w:r w:rsidR="00BB1E55">
          <w:rPr>
            <w:noProof/>
            <w:webHidden/>
          </w:rPr>
          <w:t>47</w:t>
        </w:r>
        <w:r w:rsidR="002C3CEA">
          <w:rPr>
            <w:noProof/>
            <w:webHidden/>
          </w:rPr>
          <w:fldChar w:fldCharType="end"/>
        </w:r>
      </w:hyperlink>
    </w:p>
    <w:p w14:paraId="69F7E503" w14:textId="447EA004" w:rsidR="002C3CEA" w:rsidRDefault="00176250">
      <w:pPr>
        <w:pStyle w:val="TOC3"/>
        <w:rPr>
          <w:rFonts w:asciiTheme="minorHAnsi" w:eastAsiaTheme="minorEastAsia" w:hAnsiTheme="minorHAnsi" w:cstheme="minorBidi"/>
          <w:noProof/>
          <w:sz w:val="22"/>
          <w:szCs w:val="22"/>
        </w:rPr>
      </w:pPr>
      <w:hyperlink w:anchor="_Toc33782015" w:history="1">
        <w:r w:rsidR="002C3CEA" w:rsidRPr="000C7EF5">
          <w:rPr>
            <w:rStyle w:val="Hyperlink"/>
            <w:noProof/>
          </w:rPr>
          <w:t>1.</w:t>
        </w:r>
        <w:r w:rsidR="002C3CEA">
          <w:rPr>
            <w:rFonts w:asciiTheme="minorHAnsi" w:eastAsiaTheme="minorEastAsia" w:hAnsiTheme="minorHAnsi" w:cstheme="minorBidi"/>
            <w:noProof/>
            <w:sz w:val="22"/>
            <w:szCs w:val="22"/>
          </w:rPr>
          <w:tab/>
        </w:r>
        <w:r w:rsidR="002C3CEA" w:rsidRPr="000C7EF5">
          <w:rPr>
            <w:rStyle w:val="Hyperlink"/>
            <w:noProof/>
          </w:rPr>
          <w:t>Statewide Evaluator</w:t>
        </w:r>
        <w:r w:rsidR="002C3CEA">
          <w:rPr>
            <w:noProof/>
            <w:webHidden/>
          </w:rPr>
          <w:tab/>
        </w:r>
        <w:r w:rsidR="002C3CEA">
          <w:rPr>
            <w:noProof/>
            <w:webHidden/>
          </w:rPr>
          <w:fldChar w:fldCharType="begin"/>
        </w:r>
        <w:r w:rsidR="002C3CEA">
          <w:rPr>
            <w:noProof/>
            <w:webHidden/>
          </w:rPr>
          <w:instrText xml:space="preserve"> PAGEREF _Toc33782015 \h </w:instrText>
        </w:r>
        <w:r w:rsidR="002C3CEA">
          <w:rPr>
            <w:noProof/>
            <w:webHidden/>
          </w:rPr>
        </w:r>
        <w:r w:rsidR="002C3CEA">
          <w:rPr>
            <w:noProof/>
            <w:webHidden/>
          </w:rPr>
          <w:fldChar w:fldCharType="separate"/>
        </w:r>
        <w:r w:rsidR="00BB1E55">
          <w:rPr>
            <w:noProof/>
            <w:webHidden/>
          </w:rPr>
          <w:t>47</w:t>
        </w:r>
        <w:r w:rsidR="002C3CEA">
          <w:rPr>
            <w:noProof/>
            <w:webHidden/>
          </w:rPr>
          <w:fldChar w:fldCharType="end"/>
        </w:r>
      </w:hyperlink>
    </w:p>
    <w:p w14:paraId="66199B26" w14:textId="107622FC" w:rsidR="002C3CEA" w:rsidRDefault="00176250">
      <w:pPr>
        <w:pStyle w:val="TOC3"/>
        <w:rPr>
          <w:rFonts w:asciiTheme="minorHAnsi" w:eastAsiaTheme="minorEastAsia" w:hAnsiTheme="minorHAnsi" w:cstheme="minorBidi"/>
          <w:noProof/>
          <w:sz w:val="22"/>
          <w:szCs w:val="22"/>
        </w:rPr>
      </w:pPr>
      <w:hyperlink w:anchor="_Toc33782016" w:history="1">
        <w:r w:rsidR="002C3CEA" w:rsidRPr="000C7EF5">
          <w:rPr>
            <w:rStyle w:val="Hyperlink"/>
            <w:noProof/>
          </w:rPr>
          <w:t>2.</w:t>
        </w:r>
        <w:r w:rsidR="002C3CEA">
          <w:rPr>
            <w:rFonts w:asciiTheme="minorHAnsi" w:eastAsiaTheme="minorEastAsia" w:hAnsiTheme="minorHAnsi" w:cstheme="minorBidi"/>
            <w:noProof/>
            <w:sz w:val="22"/>
            <w:szCs w:val="22"/>
          </w:rPr>
          <w:tab/>
        </w:r>
        <w:r w:rsidR="002C3CEA" w:rsidRPr="000C7EF5">
          <w:rPr>
            <w:rStyle w:val="Hyperlink"/>
            <w:noProof/>
          </w:rPr>
          <w:t>Technical Reference Manual</w:t>
        </w:r>
        <w:r w:rsidR="002C3CEA">
          <w:rPr>
            <w:noProof/>
            <w:webHidden/>
          </w:rPr>
          <w:tab/>
        </w:r>
        <w:r w:rsidR="002C3CEA">
          <w:rPr>
            <w:noProof/>
            <w:webHidden/>
          </w:rPr>
          <w:fldChar w:fldCharType="begin"/>
        </w:r>
        <w:r w:rsidR="002C3CEA">
          <w:rPr>
            <w:noProof/>
            <w:webHidden/>
          </w:rPr>
          <w:instrText xml:space="preserve"> PAGEREF _Toc33782016 \h </w:instrText>
        </w:r>
        <w:r w:rsidR="002C3CEA">
          <w:rPr>
            <w:noProof/>
            <w:webHidden/>
          </w:rPr>
        </w:r>
        <w:r w:rsidR="002C3CEA">
          <w:rPr>
            <w:noProof/>
            <w:webHidden/>
          </w:rPr>
          <w:fldChar w:fldCharType="separate"/>
        </w:r>
        <w:r w:rsidR="00BB1E55">
          <w:rPr>
            <w:noProof/>
            <w:webHidden/>
          </w:rPr>
          <w:t>48</w:t>
        </w:r>
        <w:r w:rsidR="002C3CEA">
          <w:rPr>
            <w:noProof/>
            <w:webHidden/>
          </w:rPr>
          <w:fldChar w:fldCharType="end"/>
        </w:r>
      </w:hyperlink>
    </w:p>
    <w:p w14:paraId="7F61F2B1" w14:textId="7AF90F95" w:rsidR="002C3CEA" w:rsidRDefault="00176250">
      <w:pPr>
        <w:pStyle w:val="TOC3"/>
        <w:rPr>
          <w:rFonts w:asciiTheme="minorHAnsi" w:eastAsiaTheme="minorEastAsia" w:hAnsiTheme="minorHAnsi" w:cstheme="minorBidi"/>
          <w:noProof/>
          <w:sz w:val="22"/>
          <w:szCs w:val="22"/>
        </w:rPr>
      </w:pPr>
      <w:hyperlink w:anchor="_Toc33782017" w:history="1">
        <w:r w:rsidR="002C3CEA" w:rsidRPr="000C7EF5">
          <w:rPr>
            <w:rStyle w:val="Hyperlink"/>
            <w:noProof/>
          </w:rPr>
          <w:t>3.</w:t>
        </w:r>
        <w:r w:rsidR="002C3CEA">
          <w:rPr>
            <w:rFonts w:asciiTheme="minorHAnsi" w:eastAsiaTheme="minorEastAsia" w:hAnsiTheme="minorHAnsi" w:cstheme="minorBidi"/>
            <w:noProof/>
            <w:sz w:val="22"/>
            <w:szCs w:val="22"/>
          </w:rPr>
          <w:tab/>
        </w:r>
        <w:r w:rsidR="002C3CEA" w:rsidRPr="000C7EF5">
          <w:rPr>
            <w:rStyle w:val="Hyperlink"/>
            <w:noProof/>
          </w:rPr>
          <w:t>EDC and SWE Reports</w:t>
        </w:r>
        <w:r w:rsidR="002C3CEA">
          <w:rPr>
            <w:noProof/>
            <w:webHidden/>
          </w:rPr>
          <w:tab/>
        </w:r>
        <w:r w:rsidR="002C3CEA">
          <w:rPr>
            <w:noProof/>
            <w:webHidden/>
          </w:rPr>
          <w:fldChar w:fldCharType="begin"/>
        </w:r>
        <w:r w:rsidR="002C3CEA">
          <w:rPr>
            <w:noProof/>
            <w:webHidden/>
          </w:rPr>
          <w:instrText xml:space="preserve"> PAGEREF _Toc33782017 \h </w:instrText>
        </w:r>
        <w:r w:rsidR="002C3CEA">
          <w:rPr>
            <w:noProof/>
            <w:webHidden/>
          </w:rPr>
        </w:r>
        <w:r w:rsidR="002C3CEA">
          <w:rPr>
            <w:noProof/>
            <w:webHidden/>
          </w:rPr>
          <w:fldChar w:fldCharType="separate"/>
        </w:r>
        <w:r w:rsidR="00BB1E55">
          <w:rPr>
            <w:noProof/>
            <w:webHidden/>
          </w:rPr>
          <w:t>49</w:t>
        </w:r>
        <w:r w:rsidR="002C3CEA">
          <w:rPr>
            <w:noProof/>
            <w:webHidden/>
          </w:rPr>
          <w:fldChar w:fldCharType="end"/>
        </w:r>
      </w:hyperlink>
    </w:p>
    <w:p w14:paraId="6BA87419" w14:textId="537A0009" w:rsidR="002C3CEA" w:rsidRDefault="00176250">
      <w:pPr>
        <w:pStyle w:val="TOC2"/>
        <w:rPr>
          <w:rFonts w:asciiTheme="minorHAnsi" w:eastAsiaTheme="minorEastAsia" w:hAnsiTheme="minorHAnsi" w:cstheme="minorBidi"/>
          <w:noProof/>
          <w:sz w:val="22"/>
          <w:szCs w:val="22"/>
        </w:rPr>
      </w:pPr>
      <w:hyperlink w:anchor="_Toc33782018" w:history="1">
        <w:r w:rsidR="002C3CEA" w:rsidRPr="000C7EF5">
          <w:rPr>
            <w:rStyle w:val="Hyperlink"/>
            <w:noProof/>
          </w:rPr>
          <w:t>E.</w:t>
        </w:r>
        <w:r w:rsidR="002C3CEA">
          <w:rPr>
            <w:rFonts w:asciiTheme="minorHAnsi" w:eastAsiaTheme="minorEastAsia" w:hAnsiTheme="minorHAnsi" w:cstheme="minorBidi"/>
            <w:noProof/>
            <w:sz w:val="22"/>
            <w:szCs w:val="22"/>
          </w:rPr>
          <w:tab/>
        </w:r>
        <w:r w:rsidR="002C3CEA" w:rsidRPr="000C7EF5">
          <w:rPr>
            <w:rStyle w:val="Hyperlink"/>
            <w:noProof/>
          </w:rPr>
          <w:t>Benefit - Cost Analysis Approval Process</w:t>
        </w:r>
        <w:r w:rsidR="002C3CEA">
          <w:rPr>
            <w:noProof/>
            <w:webHidden/>
          </w:rPr>
          <w:tab/>
        </w:r>
        <w:r w:rsidR="002C3CEA">
          <w:rPr>
            <w:noProof/>
            <w:webHidden/>
          </w:rPr>
          <w:fldChar w:fldCharType="begin"/>
        </w:r>
        <w:r w:rsidR="002C3CEA">
          <w:rPr>
            <w:noProof/>
            <w:webHidden/>
          </w:rPr>
          <w:instrText xml:space="preserve"> PAGEREF _Toc33782018 \h </w:instrText>
        </w:r>
        <w:r w:rsidR="002C3CEA">
          <w:rPr>
            <w:noProof/>
            <w:webHidden/>
          </w:rPr>
        </w:r>
        <w:r w:rsidR="002C3CEA">
          <w:rPr>
            <w:noProof/>
            <w:webHidden/>
          </w:rPr>
          <w:fldChar w:fldCharType="separate"/>
        </w:r>
        <w:r w:rsidR="00BB1E55">
          <w:rPr>
            <w:noProof/>
            <w:webHidden/>
          </w:rPr>
          <w:t>51</w:t>
        </w:r>
        <w:r w:rsidR="002C3CEA">
          <w:rPr>
            <w:noProof/>
            <w:webHidden/>
          </w:rPr>
          <w:fldChar w:fldCharType="end"/>
        </w:r>
      </w:hyperlink>
    </w:p>
    <w:p w14:paraId="387AD067" w14:textId="2B1F021C" w:rsidR="002C3CEA" w:rsidRDefault="00176250">
      <w:pPr>
        <w:pStyle w:val="TOC3"/>
        <w:rPr>
          <w:rFonts w:asciiTheme="minorHAnsi" w:eastAsiaTheme="minorEastAsia" w:hAnsiTheme="minorHAnsi" w:cstheme="minorBidi"/>
          <w:noProof/>
          <w:sz w:val="22"/>
          <w:szCs w:val="22"/>
        </w:rPr>
      </w:pPr>
      <w:hyperlink w:anchor="_Toc33782019" w:history="1">
        <w:r w:rsidR="002C3CEA" w:rsidRPr="000C7EF5">
          <w:rPr>
            <w:rStyle w:val="Hyperlink"/>
            <w:noProof/>
          </w:rPr>
          <w:t>1.</w:t>
        </w:r>
        <w:r w:rsidR="002C3CEA">
          <w:rPr>
            <w:rFonts w:asciiTheme="minorHAnsi" w:eastAsiaTheme="minorEastAsia" w:hAnsiTheme="minorHAnsi" w:cstheme="minorBidi"/>
            <w:noProof/>
            <w:sz w:val="22"/>
            <w:szCs w:val="22"/>
          </w:rPr>
          <w:tab/>
        </w:r>
        <w:r w:rsidR="002C3CEA" w:rsidRPr="000C7EF5">
          <w:rPr>
            <w:rStyle w:val="Hyperlink"/>
            <w:noProof/>
          </w:rPr>
          <w:t>2021 TRC Test Order</w:t>
        </w:r>
        <w:r w:rsidR="002C3CEA">
          <w:rPr>
            <w:noProof/>
            <w:webHidden/>
          </w:rPr>
          <w:tab/>
        </w:r>
        <w:r w:rsidR="002C3CEA">
          <w:rPr>
            <w:noProof/>
            <w:webHidden/>
          </w:rPr>
          <w:fldChar w:fldCharType="begin"/>
        </w:r>
        <w:r w:rsidR="002C3CEA">
          <w:rPr>
            <w:noProof/>
            <w:webHidden/>
          </w:rPr>
          <w:instrText xml:space="preserve"> PAGEREF _Toc33782019 \h </w:instrText>
        </w:r>
        <w:r w:rsidR="002C3CEA">
          <w:rPr>
            <w:noProof/>
            <w:webHidden/>
          </w:rPr>
        </w:r>
        <w:r w:rsidR="002C3CEA">
          <w:rPr>
            <w:noProof/>
            <w:webHidden/>
          </w:rPr>
          <w:fldChar w:fldCharType="separate"/>
        </w:r>
        <w:r w:rsidR="00BB1E55">
          <w:rPr>
            <w:noProof/>
            <w:webHidden/>
          </w:rPr>
          <w:t>52</w:t>
        </w:r>
        <w:r w:rsidR="002C3CEA">
          <w:rPr>
            <w:noProof/>
            <w:webHidden/>
          </w:rPr>
          <w:fldChar w:fldCharType="end"/>
        </w:r>
      </w:hyperlink>
    </w:p>
    <w:p w14:paraId="5A99D9DB" w14:textId="30F6CB05" w:rsidR="002C3CEA" w:rsidRDefault="00176250">
      <w:pPr>
        <w:pStyle w:val="TOC3"/>
        <w:rPr>
          <w:rFonts w:asciiTheme="minorHAnsi" w:eastAsiaTheme="minorEastAsia" w:hAnsiTheme="minorHAnsi" w:cstheme="minorBidi"/>
          <w:noProof/>
          <w:sz w:val="22"/>
          <w:szCs w:val="22"/>
        </w:rPr>
      </w:pPr>
      <w:hyperlink w:anchor="_Toc33782020" w:history="1">
        <w:r w:rsidR="002C3CEA" w:rsidRPr="000C7EF5">
          <w:rPr>
            <w:rStyle w:val="Hyperlink"/>
            <w:noProof/>
          </w:rPr>
          <w:t>2.</w:t>
        </w:r>
        <w:r w:rsidR="002C3CEA">
          <w:rPr>
            <w:rFonts w:asciiTheme="minorHAnsi" w:eastAsiaTheme="minorEastAsia" w:hAnsiTheme="minorHAnsi" w:cstheme="minorBidi"/>
            <w:noProof/>
            <w:sz w:val="22"/>
            <w:szCs w:val="22"/>
          </w:rPr>
          <w:tab/>
        </w:r>
        <w:r w:rsidR="002C3CEA" w:rsidRPr="000C7EF5">
          <w:rPr>
            <w:rStyle w:val="Hyperlink"/>
            <w:noProof/>
          </w:rPr>
          <w:t>Net-to-Gross Adjustment</w:t>
        </w:r>
        <w:r w:rsidR="002C3CEA">
          <w:rPr>
            <w:noProof/>
            <w:webHidden/>
          </w:rPr>
          <w:tab/>
        </w:r>
        <w:r w:rsidR="002C3CEA">
          <w:rPr>
            <w:noProof/>
            <w:webHidden/>
          </w:rPr>
          <w:fldChar w:fldCharType="begin"/>
        </w:r>
        <w:r w:rsidR="002C3CEA">
          <w:rPr>
            <w:noProof/>
            <w:webHidden/>
          </w:rPr>
          <w:instrText xml:space="preserve"> PAGEREF _Toc33782020 \h </w:instrText>
        </w:r>
        <w:r w:rsidR="002C3CEA">
          <w:rPr>
            <w:noProof/>
            <w:webHidden/>
          </w:rPr>
        </w:r>
        <w:r w:rsidR="002C3CEA">
          <w:rPr>
            <w:noProof/>
            <w:webHidden/>
          </w:rPr>
          <w:fldChar w:fldCharType="separate"/>
        </w:r>
        <w:r w:rsidR="00BB1E55">
          <w:rPr>
            <w:noProof/>
            <w:webHidden/>
          </w:rPr>
          <w:t>53</w:t>
        </w:r>
        <w:r w:rsidR="002C3CEA">
          <w:rPr>
            <w:noProof/>
            <w:webHidden/>
          </w:rPr>
          <w:fldChar w:fldCharType="end"/>
        </w:r>
      </w:hyperlink>
    </w:p>
    <w:p w14:paraId="5B47899D" w14:textId="0CD02975" w:rsidR="002C3CEA" w:rsidRDefault="00176250">
      <w:pPr>
        <w:pStyle w:val="TOC2"/>
        <w:rPr>
          <w:rFonts w:asciiTheme="minorHAnsi" w:eastAsiaTheme="minorEastAsia" w:hAnsiTheme="minorHAnsi" w:cstheme="minorBidi"/>
          <w:noProof/>
          <w:sz w:val="22"/>
          <w:szCs w:val="22"/>
        </w:rPr>
      </w:pPr>
      <w:hyperlink w:anchor="_Toc33782021" w:history="1">
        <w:r w:rsidR="002C3CEA" w:rsidRPr="000C7EF5">
          <w:rPr>
            <w:rStyle w:val="Hyperlink"/>
            <w:noProof/>
          </w:rPr>
          <w:t>F.</w:t>
        </w:r>
        <w:r w:rsidR="002C3CEA">
          <w:rPr>
            <w:rFonts w:asciiTheme="minorHAnsi" w:eastAsiaTheme="minorEastAsia" w:hAnsiTheme="minorHAnsi" w:cstheme="minorBidi"/>
            <w:noProof/>
            <w:sz w:val="22"/>
            <w:szCs w:val="22"/>
          </w:rPr>
          <w:tab/>
        </w:r>
        <w:r w:rsidR="002C3CEA" w:rsidRPr="000C7EF5">
          <w:rPr>
            <w:rStyle w:val="Hyperlink"/>
            <w:noProof/>
          </w:rPr>
          <w:t>Process to Analyze How the Program and Each Plan will Enable EDCs to Meet Consumption and Peak Demand Reductions Requirements, and How to Ensure Compliance</w:t>
        </w:r>
        <w:r w:rsidR="002C3CEA">
          <w:rPr>
            <w:noProof/>
            <w:webHidden/>
          </w:rPr>
          <w:tab/>
        </w:r>
        <w:r w:rsidR="002C3CEA">
          <w:rPr>
            <w:noProof/>
            <w:webHidden/>
          </w:rPr>
          <w:fldChar w:fldCharType="begin"/>
        </w:r>
        <w:r w:rsidR="002C3CEA">
          <w:rPr>
            <w:noProof/>
            <w:webHidden/>
          </w:rPr>
          <w:instrText xml:space="preserve"> PAGEREF _Toc33782021 \h </w:instrText>
        </w:r>
        <w:r w:rsidR="002C3CEA">
          <w:rPr>
            <w:noProof/>
            <w:webHidden/>
          </w:rPr>
        </w:r>
        <w:r w:rsidR="002C3CEA">
          <w:rPr>
            <w:noProof/>
            <w:webHidden/>
          </w:rPr>
          <w:fldChar w:fldCharType="separate"/>
        </w:r>
        <w:r w:rsidR="00BB1E55">
          <w:rPr>
            <w:noProof/>
            <w:webHidden/>
          </w:rPr>
          <w:t>56</w:t>
        </w:r>
        <w:r w:rsidR="002C3CEA">
          <w:rPr>
            <w:noProof/>
            <w:webHidden/>
          </w:rPr>
          <w:fldChar w:fldCharType="end"/>
        </w:r>
      </w:hyperlink>
    </w:p>
    <w:p w14:paraId="62772AD1" w14:textId="49E3C97B" w:rsidR="002C3CEA" w:rsidRDefault="00176250">
      <w:pPr>
        <w:pStyle w:val="TOC2"/>
        <w:rPr>
          <w:rFonts w:asciiTheme="minorHAnsi" w:eastAsiaTheme="minorEastAsia" w:hAnsiTheme="minorHAnsi" w:cstheme="minorBidi"/>
          <w:noProof/>
          <w:sz w:val="22"/>
          <w:szCs w:val="22"/>
        </w:rPr>
      </w:pPr>
      <w:hyperlink w:anchor="_Toc33782022" w:history="1">
        <w:r w:rsidR="002C3CEA" w:rsidRPr="000C7EF5">
          <w:rPr>
            <w:rStyle w:val="Hyperlink"/>
            <w:noProof/>
          </w:rPr>
          <w:t>G.</w:t>
        </w:r>
        <w:r w:rsidR="002C3CEA">
          <w:rPr>
            <w:rFonts w:asciiTheme="minorHAnsi" w:eastAsiaTheme="minorEastAsia" w:hAnsiTheme="minorHAnsi" w:cstheme="minorBidi"/>
            <w:noProof/>
            <w:sz w:val="22"/>
            <w:szCs w:val="22"/>
          </w:rPr>
          <w:tab/>
        </w:r>
        <w:r w:rsidR="002C3CEA" w:rsidRPr="000C7EF5">
          <w:rPr>
            <w:rStyle w:val="Hyperlink"/>
            <w:noProof/>
          </w:rPr>
          <w:t>Procedures to Require Competitive Bidding and Approval of Contracts with CSPs</w:t>
        </w:r>
        <w:r w:rsidR="002C3CEA">
          <w:rPr>
            <w:noProof/>
            <w:webHidden/>
          </w:rPr>
          <w:tab/>
        </w:r>
        <w:r w:rsidR="002C3CEA">
          <w:rPr>
            <w:noProof/>
            <w:webHidden/>
          </w:rPr>
          <w:fldChar w:fldCharType="begin"/>
        </w:r>
        <w:r w:rsidR="002C3CEA">
          <w:rPr>
            <w:noProof/>
            <w:webHidden/>
          </w:rPr>
          <w:instrText xml:space="preserve"> PAGEREF _Toc33782022 \h </w:instrText>
        </w:r>
        <w:r w:rsidR="002C3CEA">
          <w:rPr>
            <w:noProof/>
            <w:webHidden/>
          </w:rPr>
        </w:r>
        <w:r w:rsidR="002C3CEA">
          <w:rPr>
            <w:noProof/>
            <w:webHidden/>
          </w:rPr>
          <w:fldChar w:fldCharType="separate"/>
        </w:r>
        <w:r w:rsidR="00BB1E55">
          <w:rPr>
            <w:noProof/>
            <w:webHidden/>
          </w:rPr>
          <w:t>57</w:t>
        </w:r>
        <w:r w:rsidR="002C3CEA">
          <w:rPr>
            <w:noProof/>
            <w:webHidden/>
          </w:rPr>
          <w:fldChar w:fldCharType="end"/>
        </w:r>
      </w:hyperlink>
    </w:p>
    <w:p w14:paraId="10B28B84" w14:textId="4018831A" w:rsidR="002C3CEA" w:rsidRDefault="00176250">
      <w:pPr>
        <w:pStyle w:val="TOC3"/>
        <w:rPr>
          <w:rFonts w:asciiTheme="minorHAnsi" w:eastAsiaTheme="minorEastAsia" w:hAnsiTheme="minorHAnsi" w:cstheme="minorBidi"/>
          <w:noProof/>
          <w:sz w:val="22"/>
          <w:szCs w:val="22"/>
        </w:rPr>
      </w:pPr>
      <w:hyperlink w:anchor="_Toc33782023" w:history="1">
        <w:r w:rsidR="002C3CEA" w:rsidRPr="000C7EF5">
          <w:rPr>
            <w:rStyle w:val="Hyperlink"/>
            <w:noProof/>
          </w:rPr>
          <w:t>1.</w:t>
        </w:r>
        <w:r w:rsidR="002C3CEA">
          <w:rPr>
            <w:rFonts w:asciiTheme="minorHAnsi" w:eastAsiaTheme="minorEastAsia" w:hAnsiTheme="minorHAnsi" w:cstheme="minorBidi"/>
            <w:noProof/>
            <w:sz w:val="22"/>
            <w:szCs w:val="22"/>
          </w:rPr>
          <w:tab/>
        </w:r>
        <w:r w:rsidR="002C3CEA" w:rsidRPr="000C7EF5">
          <w:rPr>
            <w:rStyle w:val="Hyperlink"/>
            <w:noProof/>
          </w:rPr>
          <w:t>Competitive Bidding</w:t>
        </w:r>
        <w:r w:rsidR="002C3CEA">
          <w:rPr>
            <w:noProof/>
            <w:webHidden/>
          </w:rPr>
          <w:tab/>
        </w:r>
        <w:r w:rsidR="002C3CEA">
          <w:rPr>
            <w:noProof/>
            <w:webHidden/>
          </w:rPr>
          <w:fldChar w:fldCharType="begin"/>
        </w:r>
        <w:r w:rsidR="002C3CEA">
          <w:rPr>
            <w:noProof/>
            <w:webHidden/>
          </w:rPr>
          <w:instrText xml:space="preserve"> PAGEREF _Toc33782023 \h </w:instrText>
        </w:r>
        <w:r w:rsidR="002C3CEA">
          <w:rPr>
            <w:noProof/>
            <w:webHidden/>
          </w:rPr>
        </w:r>
        <w:r w:rsidR="002C3CEA">
          <w:rPr>
            <w:noProof/>
            <w:webHidden/>
          </w:rPr>
          <w:fldChar w:fldCharType="separate"/>
        </w:r>
        <w:r w:rsidR="00BB1E55">
          <w:rPr>
            <w:noProof/>
            <w:webHidden/>
          </w:rPr>
          <w:t>58</w:t>
        </w:r>
        <w:r w:rsidR="002C3CEA">
          <w:rPr>
            <w:noProof/>
            <w:webHidden/>
          </w:rPr>
          <w:fldChar w:fldCharType="end"/>
        </w:r>
      </w:hyperlink>
    </w:p>
    <w:p w14:paraId="2C9EF689" w14:textId="16155957" w:rsidR="002C3CEA" w:rsidRDefault="00176250">
      <w:pPr>
        <w:pStyle w:val="TOC3"/>
        <w:rPr>
          <w:rFonts w:asciiTheme="minorHAnsi" w:eastAsiaTheme="minorEastAsia" w:hAnsiTheme="minorHAnsi" w:cstheme="minorBidi"/>
          <w:noProof/>
          <w:sz w:val="22"/>
          <w:szCs w:val="22"/>
        </w:rPr>
      </w:pPr>
      <w:hyperlink w:anchor="_Toc33782024" w:history="1">
        <w:r w:rsidR="002C3CEA" w:rsidRPr="000C7EF5">
          <w:rPr>
            <w:rStyle w:val="Hyperlink"/>
            <w:noProof/>
          </w:rPr>
          <w:t>2.</w:t>
        </w:r>
        <w:r w:rsidR="002C3CEA">
          <w:rPr>
            <w:rFonts w:asciiTheme="minorHAnsi" w:eastAsiaTheme="minorEastAsia" w:hAnsiTheme="minorHAnsi" w:cstheme="minorBidi"/>
            <w:noProof/>
            <w:sz w:val="22"/>
            <w:szCs w:val="22"/>
          </w:rPr>
          <w:tab/>
        </w:r>
        <w:r w:rsidR="002C3CEA" w:rsidRPr="000C7EF5">
          <w:rPr>
            <w:rStyle w:val="Hyperlink"/>
            <w:noProof/>
          </w:rPr>
          <w:t>Approval of Contracts</w:t>
        </w:r>
        <w:r w:rsidR="002C3CEA">
          <w:rPr>
            <w:noProof/>
            <w:webHidden/>
          </w:rPr>
          <w:tab/>
        </w:r>
        <w:r w:rsidR="002C3CEA">
          <w:rPr>
            <w:noProof/>
            <w:webHidden/>
          </w:rPr>
          <w:fldChar w:fldCharType="begin"/>
        </w:r>
        <w:r w:rsidR="002C3CEA">
          <w:rPr>
            <w:noProof/>
            <w:webHidden/>
          </w:rPr>
          <w:instrText xml:space="preserve"> PAGEREF _Toc33782024 \h </w:instrText>
        </w:r>
        <w:r w:rsidR="002C3CEA">
          <w:rPr>
            <w:noProof/>
            <w:webHidden/>
          </w:rPr>
        </w:r>
        <w:r w:rsidR="002C3CEA">
          <w:rPr>
            <w:noProof/>
            <w:webHidden/>
          </w:rPr>
          <w:fldChar w:fldCharType="separate"/>
        </w:r>
        <w:r w:rsidR="00BB1E55">
          <w:rPr>
            <w:noProof/>
            <w:webHidden/>
          </w:rPr>
          <w:t>59</w:t>
        </w:r>
        <w:r w:rsidR="002C3CEA">
          <w:rPr>
            <w:noProof/>
            <w:webHidden/>
          </w:rPr>
          <w:fldChar w:fldCharType="end"/>
        </w:r>
      </w:hyperlink>
    </w:p>
    <w:p w14:paraId="6964A65B" w14:textId="47A18DC6" w:rsidR="002C3CEA" w:rsidRDefault="00176250">
      <w:pPr>
        <w:pStyle w:val="TOC2"/>
        <w:rPr>
          <w:rFonts w:asciiTheme="minorHAnsi" w:eastAsiaTheme="minorEastAsia" w:hAnsiTheme="minorHAnsi" w:cstheme="minorBidi"/>
          <w:noProof/>
          <w:sz w:val="22"/>
          <w:szCs w:val="22"/>
        </w:rPr>
      </w:pPr>
      <w:hyperlink w:anchor="_Toc33782025" w:history="1">
        <w:r w:rsidR="002C3CEA" w:rsidRPr="000C7EF5">
          <w:rPr>
            <w:rStyle w:val="Hyperlink"/>
            <w:noProof/>
          </w:rPr>
          <w:t>H.</w:t>
        </w:r>
        <w:r w:rsidR="002C3CEA">
          <w:rPr>
            <w:rFonts w:asciiTheme="minorHAnsi" w:eastAsiaTheme="minorEastAsia" w:hAnsiTheme="minorHAnsi" w:cstheme="minorBidi"/>
            <w:noProof/>
            <w:sz w:val="22"/>
            <w:szCs w:val="22"/>
          </w:rPr>
          <w:tab/>
        </w:r>
        <w:r w:rsidR="002C3CEA" w:rsidRPr="000C7EF5">
          <w:rPr>
            <w:rStyle w:val="Hyperlink"/>
            <w:noProof/>
          </w:rPr>
          <w:t>Participation of Conservation Service Providers</w:t>
        </w:r>
        <w:r w:rsidR="002C3CEA">
          <w:rPr>
            <w:noProof/>
            <w:webHidden/>
          </w:rPr>
          <w:tab/>
        </w:r>
        <w:r w:rsidR="002C3CEA">
          <w:rPr>
            <w:noProof/>
            <w:webHidden/>
          </w:rPr>
          <w:fldChar w:fldCharType="begin"/>
        </w:r>
        <w:r w:rsidR="002C3CEA">
          <w:rPr>
            <w:noProof/>
            <w:webHidden/>
          </w:rPr>
          <w:instrText xml:space="preserve"> PAGEREF _Toc33782025 \h </w:instrText>
        </w:r>
        <w:r w:rsidR="002C3CEA">
          <w:rPr>
            <w:noProof/>
            <w:webHidden/>
          </w:rPr>
        </w:r>
        <w:r w:rsidR="002C3CEA">
          <w:rPr>
            <w:noProof/>
            <w:webHidden/>
          </w:rPr>
          <w:fldChar w:fldCharType="separate"/>
        </w:r>
        <w:r w:rsidR="00BB1E55">
          <w:rPr>
            <w:noProof/>
            <w:webHidden/>
          </w:rPr>
          <w:t>62</w:t>
        </w:r>
        <w:r w:rsidR="002C3CEA">
          <w:rPr>
            <w:noProof/>
            <w:webHidden/>
          </w:rPr>
          <w:fldChar w:fldCharType="end"/>
        </w:r>
      </w:hyperlink>
    </w:p>
    <w:p w14:paraId="554EE0ED" w14:textId="7DF54CA0" w:rsidR="002C3CEA" w:rsidRDefault="00176250">
      <w:pPr>
        <w:pStyle w:val="TOC2"/>
        <w:rPr>
          <w:rFonts w:asciiTheme="minorHAnsi" w:eastAsiaTheme="minorEastAsia" w:hAnsiTheme="minorHAnsi" w:cstheme="minorBidi"/>
          <w:noProof/>
          <w:sz w:val="22"/>
          <w:szCs w:val="22"/>
        </w:rPr>
      </w:pPr>
      <w:hyperlink w:anchor="_Toc33782026" w:history="1">
        <w:r w:rsidR="002C3CEA" w:rsidRPr="000C7EF5">
          <w:rPr>
            <w:rStyle w:val="Hyperlink"/>
            <w:noProof/>
          </w:rPr>
          <w:t>I.</w:t>
        </w:r>
        <w:r w:rsidR="002C3CEA">
          <w:rPr>
            <w:rFonts w:asciiTheme="minorHAnsi" w:eastAsiaTheme="minorEastAsia" w:hAnsiTheme="minorHAnsi" w:cstheme="minorBidi"/>
            <w:noProof/>
            <w:sz w:val="22"/>
            <w:szCs w:val="22"/>
          </w:rPr>
          <w:tab/>
        </w:r>
        <w:r w:rsidR="002C3CEA" w:rsidRPr="000C7EF5">
          <w:rPr>
            <w:rStyle w:val="Hyperlink"/>
            <w:noProof/>
          </w:rPr>
          <w:t>EDC Cost Recovery</w:t>
        </w:r>
        <w:r w:rsidR="002C3CEA">
          <w:rPr>
            <w:noProof/>
            <w:webHidden/>
          </w:rPr>
          <w:tab/>
        </w:r>
        <w:r w:rsidR="002C3CEA">
          <w:rPr>
            <w:noProof/>
            <w:webHidden/>
          </w:rPr>
          <w:fldChar w:fldCharType="begin"/>
        </w:r>
        <w:r w:rsidR="002C3CEA">
          <w:rPr>
            <w:noProof/>
            <w:webHidden/>
          </w:rPr>
          <w:instrText xml:space="preserve"> PAGEREF _Toc33782026 \h </w:instrText>
        </w:r>
        <w:r w:rsidR="002C3CEA">
          <w:rPr>
            <w:noProof/>
            <w:webHidden/>
          </w:rPr>
        </w:r>
        <w:r w:rsidR="002C3CEA">
          <w:rPr>
            <w:noProof/>
            <w:webHidden/>
          </w:rPr>
          <w:fldChar w:fldCharType="separate"/>
        </w:r>
        <w:r w:rsidR="00BB1E55">
          <w:rPr>
            <w:noProof/>
            <w:webHidden/>
          </w:rPr>
          <w:t>63</w:t>
        </w:r>
        <w:r w:rsidR="002C3CEA">
          <w:rPr>
            <w:noProof/>
            <w:webHidden/>
          </w:rPr>
          <w:fldChar w:fldCharType="end"/>
        </w:r>
      </w:hyperlink>
    </w:p>
    <w:p w14:paraId="4E17C534" w14:textId="26089578" w:rsidR="002C3CEA" w:rsidRDefault="00176250">
      <w:pPr>
        <w:pStyle w:val="TOC3"/>
        <w:rPr>
          <w:rFonts w:asciiTheme="minorHAnsi" w:eastAsiaTheme="minorEastAsia" w:hAnsiTheme="minorHAnsi" w:cstheme="minorBidi"/>
          <w:noProof/>
          <w:sz w:val="22"/>
          <w:szCs w:val="22"/>
        </w:rPr>
      </w:pPr>
      <w:hyperlink w:anchor="_Toc33782027" w:history="1">
        <w:r w:rsidR="002C3CEA" w:rsidRPr="000C7EF5">
          <w:rPr>
            <w:rStyle w:val="Hyperlink"/>
            <w:noProof/>
          </w:rPr>
          <w:t>1.</w:t>
        </w:r>
        <w:r w:rsidR="002C3CEA">
          <w:rPr>
            <w:rFonts w:asciiTheme="minorHAnsi" w:eastAsiaTheme="minorEastAsia" w:hAnsiTheme="minorHAnsi" w:cstheme="minorBidi"/>
            <w:noProof/>
            <w:sz w:val="22"/>
            <w:szCs w:val="22"/>
          </w:rPr>
          <w:tab/>
        </w:r>
        <w:r w:rsidR="002C3CEA" w:rsidRPr="000C7EF5">
          <w:rPr>
            <w:rStyle w:val="Hyperlink"/>
            <w:noProof/>
          </w:rPr>
          <w:t>Determination of Phase IV Allowable Costs</w:t>
        </w:r>
        <w:r w:rsidR="002C3CEA">
          <w:rPr>
            <w:noProof/>
            <w:webHidden/>
          </w:rPr>
          <w:tab/>
        </w:r>
        <w:r w:rsidR="002C3CEA">
          <w:rPr>
            <w:noProof/>
            <w:webHidden/>
          </w:rPr>
          <w:fldChar w:fldCharType="begin"/>
        </w:r>
        <w:r w:rsidR="002C3CEA">
          <w:rPr>
            <w:noProof/>
            <w:webHidden/>
          </w:rPr>
          <w:instrText xml:space="preserve"> PAGEREF _Toc33782027 \h </w:instrText>
        </w:r>
        <w:r w:rsidR="002C3CEA">
          <w:rPr>
            <w:noProof/>
            <w:webHidden/>
          </w:rPr>
        </w:r>
        <w:r w:rsidR="002C3CEA">
          <w:rPr>
            <w:noProof/>
            <w:webHidden/>
          </w:rPr>
          <w:fldChar w:fldCharType="separate"/>
        </w:r>
        <w:r w:rsidR="00BB1E55">
          <w:rPr>
            <w:noProof/>
            <w:webHidden/>
          </w:rPr>
          <w:t>63</w:t>
        </w:r>
        <w:r w:rsidR="002C3CEA">
          <w:rPr>
            <w:noProof/>
            <w:webHidden/>
          </w:rPr>
          <w:fldChar w:fldCharType="end"/>
        </w:r>
      </w:hyperlink>
    </w:p>
    <w:p w14:paraId="00F54552" w14:textId="6636F74C" w:rsidR="002C3CEA" w:rsidRDefault="00176250">
      <w:pPr>
        <w:pStyle w:val="TOC3"/>
        <w:rPr>
          <w:rFonts w:asciiTheme="minorHAnsi" w:eastAsiaTheme="minorEastAsia" w:hAnsiTheme="minorHAnsi" w:cstheme="minorBidi"/>
          <w:noProof/>
          <w:sz w:val="22"/>
          <w:szCs w:val="22"/>
        </w:rPr>
      </w:pPr>
      <w:hyperlink w:anchor="_Toc33782028" w:history="1">
        <w:r w:rsidR="002C3CEA" w:rsidRPr="000C7EF5">
          <w:rPr>
            <w:rStyle w:val="Hyperlink"/>
            <w:noProof/>
          </w:rPr>
          <w:t>2.</w:t>
        </w:r>
        <w:r w:rsidR="002C3CEA">
          <w:rPr>
            <w:rFonts w:asciiTheme="minorHAnsi" w:eastAsiaTheme="minorEastAsia" w:hAnsiTheme="minorHAnsi" w:cstheme="minorBidi"/>
            <w:noProof/>
            <w:sz w:val="22"/>
            <w:szCs w:val="22"/>
          </w:rPr>
          <w:tab/>
        </w:r>
        <w:r w:rsidR="002C3CEA" w:rsidRPr="000C7EF5">
          <w:rPr>
            <w:rStyle w:val="Hyperlink"/>
            <w:noProof/>
          </w:rPr>
          <w:t>Application of Excess Phase III Budget</w:t>
        </w:r>
        <w:r w:rsidR="002C3CEA">
          <w:rPr>
            <w:noProof/>
            <w:webHidden/>
          </w:rPr>
          <w:tab/>
        </w:r>
        <w:r w:rsidR="002C3CEA">
          <w:rPr>
            <w:noProof/>
            <w:webHidden/>
          </w:rPr>
          <w:fldChar w:fldCharType="begin"/>
        </w:r>
        <w:r w:rsidR="002C3CEA">
          <w:rPr>
            <w:noProof/>
            <w:webHidden/>
          </w:rPr>
          <w:instrText xml:space="preserve"> PAGEREF _Toc33782028 \h </w:instrText>
        </w:r>
        <w:r w:rsidR="002C3CEA">
          <w:rPr>
            <w:noProof/>
            <w:webHidden/>
          </w:rPr>
        </w:r>
        <w:r w:rsidR="002C3CEA">
          <w:rPr>
            <w:noProof/>
            <w:webHidden/>
          </w:rPr>
          <w:fldChar w:fldCharType="separate"/>
        </w:r>
        <w:r w:rsidR="00BB1E55">
          <w:rPr>
            <w:noProof/>
            <w:webHidden/>
          </w:rPr>
          <w:t>68</w:t>
        </w:r>
        <w:r w:rsidR="002C3CEA">
          <w:rPr>
            <w:noProof/>
            <w:webHidden/>
          </w:rPr>
          <w:fldChar w:fldCharType="end"/>
        </w:r>
      </w:hyperlink>
    </w:p>
    <w:p w14:paraId="5C70FDB4" w14:textId="2CBEEB75" w:rsidR="002C3CEA" w:rsidRDefault="00176250">
      <w:pPr>
        <w:pStyle w:val="TOC3"/>
        <w:rPr>
          <w:rFonts w:asciiTheme="minorHAnsi" w:eastAsiaTheme="minorEastAsia" w:hAnsiTheme="minorHAnsi" w:cstheme="minorBidi"/>
          <w:noProof/>
          <w:sz w:val="22"/>
          <w:szCs w:val="22"/>
        </w:rPr>
      </w:pPr>
      <w:hyperlink w:anchor="_Toc33782029" w:history="1">
        <w:r w:rsidR="002C3CEA" w:rsidRPr="000C7EF5">
          <w:rPr>
            <w:rStyle w:val="Hyperlink"/>
            <w:noProof/>
          </w:rPr>
          <w:t>3.</w:t>
        </w:r>
        <w:r w:rsidR="002C3CEA">
          <w:rPr>
            <w:rFonts w:asciiTheme="minorHAnsi" w:eastAsiaTheme="minorEastAsia" w:hAnsiTheme="minorHAnsi" w:cstheme="minorBidi"/>
            <w:noProof/>
            <w:sz w:val="22"/>
            <w:szCs w:val="22"/>
          </w:rPr>
          <w:tab/>
        </w:r>
        <w:r w:rsidR="002C3CEA" w:rsidRPr="000C7EF5">
          <w:rPr>
            <w:rStyle w:val="Hyperlink"/>
            <w:noProof/>
          </w:rPr>
          <w:t>Rebate Application Deadlines</w:t>
        </w:r>
        <w:r w:rsidR="002C3CEA">
          <w:rPr>
            <w:noProof/>
            <w:webHidden/>
          </w:rPr>
          <w:tab/>
        </w:r>
        <w:r w:rsidR="002C3CEA">
          <w:rPr>
            <w:noProof/>
            <w:webHidden/>
          </w:rPr>
          <w:fldChar w:fldCharType="begin"/>
        </w:r>
        <w:r w:rsidR="002C3CEA">
          <w:rPr>
            <w:noProof/>
            <w:webHidden/>
          </w:rPr>
          <w:instrText xml:space="preserve"> PAGEREF _Toc33782029 \h </w:instrText>
        </w:r>
        <w:r w:rsidR="002C3CEA">
          <w:rPr>
            <w:noProof/>
            <w:webHidden/>
          </w:rPr>
        </w:r>
        <w:r w:rsidR="002C3CEA">
          <w:rPr>
            <w:noProof/>
            <w:webHidden/>
          </w:rPr>
          <w:fldChar w:fldCharType="separate"/>
        </w:r>
        <w:r w:rsidR="00BB1E55">
          <w:rPr>
            <w:noProof/>
            <w:webHidden/>
          </w:rPr>
          <w:t>70</w:t>
        </w:r>
        <w:r w:rsidR="002C3CEA">
          <w:rPr>
            <w:noProof/>
            <w:webHidden/>
          </w:rPr>
          <w:fldChar w:fldCharType="end"/>
        </w:r>
      </w:hyperlink>
    </w:p>
    <w:p w14:paraId="75C1D4F4" w14:textId="5E9CE69A" w:rsidR="002C3CEA" w:rsidRDefault="00176250">
      <w:pPr>
        <w:pStyle w:val="TOC3"/>
        <w:rPr>
          <w:rFonts w:asciiTheme="minorHAnsi" w:eastAsiaTheme="minorEastAsia" w:hAnsiTheme="minorHAnsi" w:cstheme="minorBidi"/>
          <w:noProof/>
          <w:sz w:val="22"/>
          <w:szCs w:val="22"/>
        </w:rPr>
      </w:pPr>
      <w:hyperlink w:anchor="_Toc33782030" w:history="1">
        <w:r w:rsidR="002C3CEA" w:rsidRPr="000C7EF5">
          <w:rPr>
            <w:rStyle w:val="Hyperlink"/>
            <w:noProof/>
          </w:rPr>
          <w:t>4.</w:t>
        </w:r>
        <w:r w:rsidR="002C3CEA">
          <w:rPr>
            <w:rFonts w:asciiTheme="minorHAnsi" w:eastAsiaTheme="minorEastAsia" w:hAnsiTheme="minorHAnsi" w:cstheme="minorBidi"/>
            <w:noProof/>
            <w:sz w:val="22"/>
            <w:szCs w:val="22"/>
          </w:rPr>
          <w:tab/>
        </w:r>
        <w:r w:rsidR="002C3CEA" w:rsidRPr="000C7EF5">
          <w:rPr>
            <w:rStyle w:val="Hyperlink"/>
            <w:noProof/>
          </w:rPr>
          <w:t>Allocation of Costs to Customer Classes</w:t>
        </w:r>
        <w:r w:rsidR="002C3CEA">
          <w:rPr>
            <w:noProof/>
            <w:webHidden/>
          </w:rPr>
          <w:tab/>
        </w:r>
        <w:r w:rsidR="002C3CEA">
          <w:rPr>
            <w:noProof/>
            <w:webHidden/>
          </w:rPr>
          <w:fldChar w:fldCharType="begin"/>
        </w:r>
        <w:r w:rsidR="002C3CEA">
          <w:rPr>
            <w:noProof/>
            <w:webHidden/>
          </w:rPr>
          <w:instrText xml:space="preserve"> PAGEREF _Toc33782030 \h </w:instrText>
        </w:r>
        <w:r w:rsidR="002C3CEA">
          <w:rPr>
            <w:noProof/>
            <w:webHidden/>
          </w:rPr>
        </w:r>
        <w:r w:rsidR="002C3CEA">
          <w:rPr>
            <w:noProof/>
            <w:webHidden/>
          </w:rPr>
          <w:fldChar w:fldCharType="separate"/>
        </w:r>
        <w:r w:rsidR="00BB1E55">
          <w:rPr>
            <w:noProof/>
            <w:webHidden/>
          </w:rPr>
          <w:t>72</w:t>
        </w:r>
        <w:r w:rsidR="002C3CEA">
          <w:rPr>
            <w:noProof/>
            <w:webHidden/>
          </w:rPr>
          <w:fldChar w:fldCharType="end"/>
        </w:r>
      </w:hyperlink>
    </w:p>
    <w:p w14:paraId="281395E5" w14:textId="066FF3AB" w:rsidR="002C3CEA" w:rsidRDefault="00176250">
      <w:pPr>
        <w:pStyle w:val="TOC3"/>
        <w:rPr>
          <w:rFonts w:asciiTheme="minorHAnsi" w:eastAsiaTheme="minorEastAsia" w:hAnsiTheme="minorHAnsi" w:cstheme="minorBidi"/>
          <w:noProof/>
          <w:sz w:val="22"/>
          <w:szCs w:val="22"/>
        </w:rPr>
      </w:pPr>
      <w:hyperlink w:anchor="_Toc33782031" w:history="1">
        <w:r w:rsidR="002C3CEA" w:rsidRPr="000C7EF5">
          <w:rPr>
            <w:rStyle w:val="Hyperlink"/>
            <w:noProof/>
          </w:rPr>
          <w:t>5.</w:t>
        </w:r>
        <w:r w:rsidR="002C3CEA">
          <w:rPr>
            <w:rFonts w:asciiTheme="minorHAnsi" w:eastAsiaTheme="minorEastAsia" w:hAnsiTheme="minorHAnsi" w:cstheme="minorBidi"/>
            <w:noProof/>
            <w:sz w:val="22"/>
            <w:szCs w:val="22"/>
          </w:rPr>
          <w:tab/>
        </w:r>
        <w:r w:rsidR="002C3CEA" w:rsidRPr="000C7EF5">
          <w:rPr>
            <w:rStyle w:val="Hyperlink"/>
            <w:noProof/>
          </w:rPr>
          <w:t>Bidding Peak Demand from Energy Efficiency Resources into the PJM Capacity Market</w:t>
        </w:r>
        <w:r w:rsidR="002C3CEA">
          <w:rPr>
            <w:noProof/>
            <w:webHidden/>
          </w:rPr>
          <w:tab/>
        </w:r>
        <w:r w:rsidR="00FA5C17">
          <w:rPr>
            <w:noProof/>
            <w:webHidden/>
          </w:rPr>
          <w:tab/>
        </w:r>
        <w:r w:rsidR="002C3CEA">
          <w:rPr>
            <w:noProof/>
            <w:webHidden/>
          </w:rPr>
          <w:fldChar w:fldCharType="begin"/>
        </w:r>
        <w:r w:rsidR="002C3CEA">
          <w:rPr>
            <w:noProof/>
            <w:webHidden/>
          </w:rPr>
          <w:instrText xml:space="preserve"> PAGEREF _Toc33782031 \h </w:instrText>
        </w:r>
        <w:r w:rsidR="002C3CEA">
          <w:rPr>
            <w:noProof/>
            <w:webHidden/>
          </w:rPr>
        </w:r>
        <w:r w:rsidR="002C3CEA">
          <w:rPr>
            <w:noProof/>
            <w:webHidden/>
          </w:rPr>
          <w:fldChar w:fldCharType="separate"/>
        </w:r>
        <w:r w:rsidR="00BB1E55">
          <w:rPr>
            <w:noProof/>
            <w:webHidden/>
          </w:rPr>
          <w:t>73</w:t>
        </w:r>
        <w:r w:rsidR="002C3CEA">
          <w:rPr>
            <w:noProof/>
            <w:webHidden/>
          </w:rPr>
          <w:fldChar w:fldCharType="end"/>
        </w:r>
      </w:hyperlink>
    </w:p>
    <w:p w14:paraId="126A3268" w14:textId="29ABD163" w:rsidR="002C3CEA" w:rsidRDefault="00176250">
      <w:pPr>
        <w:pStyle w:val="TOC3"/>
        <w:rPr>
          <w:rFonts w:asciiTheme="minorHAnsi" w:eastAsiaTheme="minorEastAsia" w:hAnsiTheme="minorHAnsi" w:cstheme="minorBidi"/>
          <w:noProof/>
          <w:sz w:val="22"/>
          <w:szCs w:val="22"/>
        </w:rPr>
      </w:pPr>
      <w:hyperlink w:anchor="_Toc33782032" w:history="1">
        <w:r w:rsidR="002C3CEA" w:rsidRPr="000C7EF5">
          <w:rPr>
            <w:rStyle w:val="Hyperlink"/>
            <w:noProof/>
          </w:rPr>
          <w:t>6.</w:t>
        </w:r>
        <w:r w:rsidR="002C3CEA">
          <w:rPr>
            <w:rFonts w:asciiTheme="minorHAnsi" w:eastAsiaTheme="minorEastAsia" w:hAnsiTheme="minorHAnsi" w:cstheme="minorBidi"/>
            <w:noProof/>
            <w:sz w:val="22"/>
            <w:szCs w:val="22"/>
          </w:rPr>
          <w:tab/>
        </w:r>
        <w:r w:rsidR="002C3CEA" w:rsidRPr="000C7EF5">
          <w:rPr>
            <w:rStyle w:val="Hyperlink"/>
            <w:noProof/>
          </w:rPr>
          <w:t>Cost Recovery Tariff Mechanism</w:t>
        </w:r>
        <w:r w:rsidR="002C3CEA">
          <w:rPr>
            <w:noProof/>
            <w:webHidden/>
          </w:rPr>
          <w:tab/>
        </w:r>
        <w:r w:rsidR="002C3CEA">
          <w:rPr>
            <w:noProof/>
            <w:webHidden/>
          </w:rPr>
          <w:fldChar w:fldCharType="begin"/>
        </w:r>
        <w:r w:rsidR="002C3CEA">
          <w:rPr>
            <w:noProof/>
            <w:webHidden/>
          </w:rPr>
          <w:instrText xml:space="preserve"> PAGEREF _Toc33782032 \h </w:instrText>
        </w:r>
        <w:r w:rsidR="002C3CEA">
          <w:rPr>
            <w:noProof/>
            <w:webHidden/>
          </w:rPr>
        </w:r>
        <w:r w:rsidR="002C3CEA">
          <w:rPr>
            <w:noProof/>
            <w:webHidden/>
          </w:rPr>
          <w:fldChar w:fldCharType="separate"/>
        </w:r>
        <w:r w:rsidR="00BB1E55">
          <w:rPr>
            <w:noProof/>
            <w:webHidden/>
          </w:rPr>
          <w:t>75</w:t>
        </w:r>
        <w:r w:rsidR="002C3CEA">
          <w:rPr>
            <w:noProof/>
            <w:webHidden/>
          </w:rPr>
          <w:fldChar w:fldCharType="end"/>
        </w:r>
      </w:hyperlink>
    </w:p>
    <w:p w14:paraId="0F1C8CD0" w14:textId="0B357864" w:rsidR="002C3CEA" w:rsidRDefault="00176250">
      <w:pPr>
        <w:pStyle w:val="TOC1"/>
        <w:rPr>
          <w:rFonts w:asciiTheme="minorHAnsi" w:eastAsiaTheme="minorEastAsia" w:hAnsiTheme="minorHAnsi" w:cstheme="minorBidi"/>
          <w:noProof/>
          <w:sz w:val="22"/>
          <w:szCs w:val="22"/>
        </w:rPr>
      </w:pPr>
      <w:hyperlink w:anchor="_Toc33782033" w:history="1">
        <w:r w:rsidR="002C3CEA" w:rsidRPr="000C7EF5">
          <w:rPr>
            <w:rStyle w:val="Hyperlink"/>
            <w:noProof/>
          </w:rPr>
          <w:t>CONCLUSION</w:t>
        </w:r>
        <w:r w:rsidR="002C3CEA">
          <w:rPr>
            <w:noProof/>
            <w:webHidden/>
          </w:rPr>
          <w:tab/>
        </w:r>
        <w:r w:rsidR="002C3CEA">
          <w:rPr>
            <w:noProof/>
            <w:webHidden/>
          </w:rPr>
          <w:fldChar w:fldCharType="begin"/>
        </w:r>
        <w:r w:rsidR="002C3CEA">
          <w:rPr>
            <w:noProof/>
            <w:webHidden/>
          </w:rPr>
          <w:instrText xml:space="preserve"> PAGEREF _Toc33782033 \h </w:instrText>
        </w:r>
        <w:r w:rsidR="002C3CEA">
          <w:rPr>
            <w:noProof/>
            <w:webHidden/>
          </w:rPr>
        </w:r>
        <w:r w:rsidR="002C3CEA">
          <w:rPr>
            <w:noProof/>
            <w:webHidden/>
          </w:rPr>
          <w:fldChar w:fldCharType="separate"/>
        </w:r>
        <w:r w:rsidR="00BB1E55">
          <w:rPr>
            <w:noProof/>
            <w:webHidden/>
          </w:rPr>
          <w:t>78</w:t>
        </w:r>
        <w:r w:rsidR="002C3CEA">
          <w:rPr>
            <w:noProof/>
            <w:webHidden/>
          </w:rPr>
          <w:fldChar w:fldCharType="end"/>
        </w:r>
      </w:hyperlink>
    </w:p>
    <w:p w14:paraId="5061B106" w14:textId="17F9478F" w:rsidR="00576BB0" w:rsidRDefault="00576BB0" w:rsidP="00D666E1">
      <w:pPr>
        <w:spacing w:afterLines="60" w:after="144"/>
      </w:pPr>
      <w:r>
        <w:rPr>
          <w:b/>
          <w:bCs/>
          <w:noProof/>
        </w:rPr>
        <w:fldChar w:fldCharType="end"/>
      </w:r>
    </w:p>
    <w:p w14:paraId="4ED1164F" w14:textId="77777777" w:rsidR="002719B7" w:rsidRPr="00EE027C" w:rsidRDefault="00E450EA" w:rsidP="00EB6FDF">
      <w:pPr>
        <w:pStyle w:val="StyleLinespacing15lines"/>
        <w:rPr>
          <w:b/>
        </w:rPr>
      </w:pPr>
      <w:r>
        <w:br w:type="page"/>
      </w:r>
      <w:r w:rsidR="002719B7" w:rsidRPr="00EE027C">
        <w:rPr>
          <w:b/>
        </w:rPr>
        <w:lastRenderedPageBreak/>
        <w:t>BY THE COMMISSION:</w:t>
      </w:r>
    </w:p>
    <w:p w14:paraId="4651BA74" w14:textId="77777777" w:rsidR="002719B7" w:rsidRPr="00235CED" w:rsidRDefault="002719B7" w:rsidP="0009548F">
      <w:pPr>
        <w:pStyle w:val="p3"/>
        <w:widowControl/>
        <w:spacing w:line="360" w:lineRule="auto"/>
        <w:rPr>
          <w:szCs w:val="26"/>
        </w:rPr>
      </w:pPr>
    </w:p>
    <w:p w14:paraId="486AC13E" w14:textId="543B72F2" w:rsidR="002719B7" w:rsidRDefault="002719B7" w:rsidP="0009548F">
      <w:pPr>
        <w:pStyle w:val="p3"/>
        <w:widowControl/>
        <w:tabs>
          <w:tab w:val="clear" w:pos="204"/>
          <w:tab w:val="left" w:pos="720"/>
        </w:tabs>
        <w:spacing w:line="360" w:lineRule="auto"/>
        <w:rPr>
          <w:szCs w:val="26"/>
        </w:rPr>
      </w:pPr>
      <w:r w:rsidRPr="00235CED">
        <w:rPr>
          <w:szCs w:val="26"/>
        </w:rPr>
        <w:tab/>
        <w:t xml:space="preserve">The </w:t>
      </w:r>
      <w:r w:rsidR="005509AA">
        <w:rPr>
          <w:szCs w:val="26"/>
        </w:rPr>
        <w:t>Pennsylvania Public U</w:t>
      </w:r>
      <w:r w:rsidR="003B1AD1">
        <w:rPr>
          <w:szCs w:val="26"/>
        </w:rPr>
        <w:t xml:space="preserve">tility </w:t>
      </w:r>
      <w:r w:rsidRPr="00235CED">
        <w:rPr>
          <w:szCs w:val="26"/>
        </w:rPr>
        <w:t xml:space="preserve">Commission </w:t>
      </w:r>
      <w:r w:rsidR="003B1AD1">
        <w:rPr>
          <w:szCs w:val="26"/>
        </w:rPr>
        <w:t>(Commission)</w:t>
      </w:r>
      <w:r w:rsidRPr="00235CED">
        <w:rPr>
          <w:szCs w:val="26"/>
        </w:rPr>
        <w:t xml:space="preserve"> has been charged by the Pennsylvania General Assembly (General Assembly) with establishing an energy efficiency and conservation program</w:t>
      </w:r>
      <w:r w:rsidR="001D61CC">
        <w:rPr>
          <w:szCs w:val="26"/>
        </w:rPr>
        <w:t xml:space="preserve"> (EE&amp;C Program)</w:t>
      </w:r>
      <w:r w:rsidRPr="00235CED">
        <w:rPr>
          <w:szCs w:val="26"/>
        </w:rPr>
        <w:t xml:space="preserve">. </w:t>
      </w:r>
      <w:r w:rsidR="00A263CC">
        <w:rPr>
          <w:szCs w:val="26"/>
        </w:rPr>
        <w:t xml:space="preserve"> </w:t>
      </w:r>
      <w:r w:rsidRPr="00235CED">
        <w:rPr>
          <w:szCs w:val="26"/>
        </w:rPr>
        <w:t xml:space="preserve">The </w:t>
      </w:r>
      <w:r w:rsidR="001D61CC">
        <w:rPr>
          <w:szCs w:val="26"/>
        </w:rPr>
        <w:t>EE&amp;C Program</w:t>
      </w:r>
      <w:r w:rsidRPr="00235CED">
        <w:rPr>
          <w:szCs w:val="26"/>
        </w:rPr>
        <w:t xml:space="preserve"> requires each electric distribution company (EDC) with at least 100,000 customers to adopt a plan to reduce energy demand and consumption within its service territory.  66 Pa. C.S.</w:t>
      </w:r>
      <w:r w:rsidR="00F23874">
        <w:rPr>
          <w:szCs w:val="26"/>
        </w:rPr>
        <w:t> </w:t>
      </w:r>
      <w:r w:rsidRPr="00235CED">
        <w:rPr>
          <w:szCs w:val="26"/>
        </w:rPr>
        <w:t>§</w:t>
      </w:r>
      <w:r w:rsidR="00027EBF">
        <w:rPr>
          <w:szCs w:val="26"/>
        </w:rPr>
        <w:t> </w:t>
      </w:r>
      <w:r w:rsidRPr="00235CED">
        <w:rPr>
          <w:szCs w:val="26"/>
        </w:rPr>
        <w:t xml:space="preserve">2806.1.  </w:t>
      </w:r>
      <w:r w:rsidR="00317B49">
        <w:rPr>
          <w:szCs w:val="26"/>
        </w:rPr>
        <w:t xml:space="preserve">On January 15, 2009, the Commission adopted an </w:t>
      </w:r>
      <w:r w:rsidRPr="00235CED">
        <w:rPr>
          <w:szCs w:val="26"/>
        </w:rPr>
        <w:t xml:space="preserve">Implementation Order </w:t>
      </w:r>
      <w:r w:rsidR="00317B49">
        <w:rPr>
          <w:szCs w:val="26"/>
        </w:rPr>
        <w:t>at Docket No. M-2008-2069887</w:t>
      </w:r>
      <w:r w:rsidRPr="00235CED">
        <w:rPr>
          <w:szCs w:val="26"/>
        </w:rPr>
        <w:t xml:space="preserve"> establish</w:t>
      </w:r>
      <w:r w:rsidR="00317B49">
        <w:rPr>
          <w:szCs w:val="26"/>
        </w:rPr>
        <w:t xml:space="preserve">ing </w:t>
      </w:r>
      <w:r w:rsidRPr="00235CED">
        <w:rPr>
          <w:szCs w:val="26"/>
        </w:rPr>
        <w:t>the standards each plan must meet and provid</w:t>
      </w:r>
      <w:r w:rsidR="00317B49">
        <w:rPr>
          <w:szCs w:val="26"/>
        </w:rPr>
        <w:t>ing</w:t>
      </w:r>
      <w:r w:rsidRPr="00235CED">
        <w:rPr>
          <w:szCs w:val="26"/>
        </w:rPr>
        <w:t xml:space="preserve"> guidance on the procedures to be followed for submittal, review and approval of</w:t>
      </w:r>
      <w:r>
        <w:rPr>
          <w:szCs w:val="26"/>
        </w:rPr>
        <w:t xml:space="preserve"> all aspects of</w:t>
      </w:r>
      <w:r w:rsidRPr="00235CED">
        <w:rPr>
          <w:szCs w:val="26"/>
        </w:rPr>
        <w:t xml:space="preserve"> EDC </w:t>
      </w:r>
      <w:r w:rsidR="001D5762">
        <w:rPr>
          <w:szCs w:val="26"/>
        </w:rPr>
        <w:t>EE&amp;C</w:t>
      </w:r>
      <w:r w:rsidR="00786971">
        <w:rPr>
          <w:szCs w:val="26"/>
        </w:rPr>
        <w:t xml:space="preserve"> </w:t>
      </w:r>
      <w:r w:rsidR="001D5762">
        <w:rPr>
          <w:szCs w:val="26"/>
        </w:rPr>
        <w:t>p</w:t>
      </w:r>
      <w:r w:rsidR="001D5762" w:rsidRPr="00235CED">
        <w:rPr>
          <w:szCs w:val="26"/>
        </w:rPr>
        <w:t>lans</w:t>
      </w:r>
      <w:r w:rsidRPr="00235CED">
        <w:rPr>
          <w:szCs w:val="26"/>
        </w:rPr>
        <w:t>.</w:t>
      </w:r>
      <w:r w:rsidR="00A263CC">
        <w:rPr>
          <w:rStyle w:val="FootnoteReference"/>
          <w:szCs w:val="26"/>
        </w:rPr>
        <w:footnoteReference w:id="2"/>
      </w:r>
      <w:r w:rsidR="00317B49">
        <w:rPr>
          <w:szCs w:val="26"/>
        </w:rPr>
        <w:t xml:space="preserve">  </w:t>
      </w:r>
    </w:p>
    <w:p w14:paraId="42843DD7" w14:textId="77777777" w:rsidR="00317B49" w:rsidRDefault="00317B49" w:rsidP="0009548F">
      <w:pPr>
        <w:pStyle w:val="p3"/>
        <w:widowControl/>
        <w:tabs>
          <w:tab w:val="clear" w:pos="204"/>
          <w:tab w:val="left" w:pos="720"/>
        </w:tabs>
        <w:spacing w:line="360" w:lineRule="auto"/>
        <w:rPr>
          <w:szCs w:val="26"/>
        </w:rPr>
      </w:pPr>
    </w:p>
    <w:p w14:paraId="167770E4" w14:textId="3547FD36" w:rsidR="008E6CBA" w:rsidRPr="00235CED" w:rsidRDefault="00317B49" w:rsidP="0009548F">
      <w:pPr>
        <w:pStyle w:val="p3"/>
        <w:widowControl/>
        <w:tabs>
          <w:tab w:val="clear" w:pos="204"/>
          <w:tab w:val="left" w:pos="720"/>
        </w:tabs>
        <w:spacing w:line="360" w:lineRule="auto"/>
        <w:rPr>
          <w:szCs w:val="26"/>
        </w:rPr>
      </w:pPr>
      <w:r>
        <w:rPr>
          <w:szCs w:val="26"/>
        </w:rPr>
        <w:tab/>
      </w:r>
      <w:r w:rsidR="008E6CBA">
        <w:rPr>
          <w:szCs w:val="26"/>
        </w:rPr>
        <w:t>The Commission was</w:t>
      </w:r>
      <w:r>
        <w:rPr>
          <w:szCs w:val="26"/>
        </w:rPr>
        <w:t xml:space="preserve"> also charged with the responsibility to evaluate the costs and benefits of the </w:t>
      </w:r>
      <w:r w:rsidR="001D61CC">
        <w:rPr>
          <w:szCs w:val="26"/>
        </w:rPr>
        <w:t>EE&amp;C Program</w:t>
      </w:r>
      <w:r>
        <w:rPr>
          <w:szCs w:val="26"/>
        </w:rPr>
        <w:t xml:space="preserve"> by November 3</w:t>
      </w:r>
      <w:r w:rsidR="00134733">
        <w:rPr>
          <w:szCs w:val="26"/>
        </w:rPr>
        <w:t>0</w:t>
      </w:r>
      <w:r>
        <w:rPr>
          <w:szCs w:val="26"/>
        </w:rPr>
        <w:t>, 2013</w:t>
      </w:r>
      <w:r w:rsidR="001D61CC">
        <w:rPr>
          <w:szCs w:val="26"/>
        </w:rPr>
        <w:t>,</w:t>
      </w:r>
      <w:r w:rsidR="009C7252">
        <w:rPr>
          <w:szCs w:val="26"/>
        </w:rPr>
        <w:t xml:space="preserve"> and every five years thereafter.  66 Pa. C.S. § 2806.1(c)(3).  </w:t>
      </w:r>
      <w:r w:rsidR="0093763D">
        <w:rPr>
          <w:szCs w:val="26"/>
        </w:rPr>
        <w:t>The Commission must adopt additional incremental reductions in consumption i</w:t>
      </w:r>
      <w:r w:rsidR="009C7252">
        <w:rPr>
          <w:szCs w:val="26"/>
        </w:rPr>
        <w:t>f the</w:t>
      </w:r>
      <w:r w:rsidR="0093763D">
        <w:rPr>
          <w:szCs w:val="26"/>
        </w:rPr>
        <w:t xml:space="preserve"> benefits of</w:t>
      </w:r>
      <w:r w:rsidR="009C7252">
        <w:rPr>
          <w:szCs w:val="26"/>
        </w:rPr>
        <w:t xml:space="preserve"> </w:t>
      </w:r>
      <w:r w:rsidR="0093763D">
        <w:rPr>
          <w:szCs w:val="26"/>
        </w:rPr>
        <w:t xml:space="preserve">the </w:t>
      </w:r>
      <w:r w:rsidR="009C7252">
        <w:rPr>
          <w:szCs w:val="26"/>
        </w:rPr>
        <w:t xml:space="preserve">EE&amp;C </w:t>
      </w:r>
      <w:r w:rsidR="001D61CC">
        <w:rPr>
          <w:szCs w:val="26"/>
        </w:rPr>
        <w:t>P</w:t>
      </w:r>
      <w:r w:rsidR="009C7252">
        <w:rPr>
          <w:szCs w:val="26"/>
        </w:rPr>
        <w:t xml:space="preserve">rogram exceed </w:t>
      </w:r>
      <w:r w:rsidR="001D61CC">
        <w:rPr>
          <w:szCs w:val="26"/>
        </w:rPr>
        <w:t>its</w:t>
      </w:r>
      <w:r w:rsidR="009C7252">
        <w:rPr>
          <w:szCs w:val="26"/>
        </w:rPr>
        <w:t xml:space="preserve"> costs.  </w:t>
      </w:r>
      <w:r w:rsidR="009C7252" w:rsidRPr="009C7252">
        <w:rPr>
          <w:i/>
          <w:szCs w:val="26"/>
        </w:rPr>
        <w:t>Id</w:t>
      </w:r>
      <w:r w:rsidR="009C7252">
        <w:rPr>
          <w:szCs w:val="26"/>
        </w:rPr>
        <w:t>.</w:t>
      </w:r>
      <w:r w:rsidR="008E6CBA">
        <w:rPr>
          <w:szCs w:val="26"/>
        </w:rPr>
        <w:t xml:space="preserve">  </w:t>
      </w:r>
      <w:r w:rsidR="005B2FF8">
        <w:rPr>
          <w:szCs w:val="26"/>
        </w:rPr>
        <w:t>In addition, the Commission was charged with the responsibility to compare the total costs of the EE&amp;C Program to the total savings in energy and capacity costs.  If the Commission determines that the benefits exceed the costs, the Commission shall set additional incremental requirements for reduction in peak demand for the 100 hours of greatest demand or an alternative reduction approved by the Commission.  66 Pa. C.S.</w:t>
      </w:r>
      <w:r w:rsidR="00234193">
        <w:rPr>
          <w:szCs w:val="26"/>
        </w:rPr>
        <w:t> </w:t>
      </w:r>
      <w:r w:rsidR="005B2FF8">
        <w:rPr>
          <w:szCs w:val="26"/>
        </w:rPr>
        <w:t>§</w:t>
      </w:r>
      <w:r w:rsidR="00CB7D77">
        <w:rPr>
          <w:szCs w:val="26"/>
        </w:rPr>
        <w:t> </w:t>
      </w:r>
      <w:r w:rsidR="005B2FF8">
        <w:rPr>
          <w:szCs w:val="26"/>
        </w:rPr>
        <w:t xml:space="preserve">2806.1(d)(2).  </w:t>
      </w:r>
      <w:r w:rsidR="00C06B59">
        <w:rPr>
          <w:szCs w:val="26"/>
        </w:rPr>
        <w:t xml:space="preserve">Furthermore, </w:t>
      </w:r>
      <w:r w:rsidR="00EB05F6">
        <w:rPr>
          <w:szCs w:val="26"/>
        </w:rPr>
        <w:t xml:space="preserve">EDCs are to </w:t>
      </w:r>
      <w:r w:rsidR="00ED55DC">
        <w:rPr>
          <w:szCs w:val="26"/>
        </w:rPr>
        <w:t xml:space="preserve">file </w:t>
      </w:r>
      <w:r w:rsidR="003416AC">
        <w:rPr>
          <w:szCs w:val="26"/>
        </w:rPr>
        <w:t xml:space="preserve">a new </w:t>
      </w:r>
      <w:r w:rsidR="00C3608E">
        <w:rPr>
          <w:szCs w:val="26"/>
        </w:rPr>
        <w:t xml:space="preserve">EE&amp;C plan </w:t>
      </w:r>
      <w:r w:rsidR="00037DF8">
        <w:rPr>
          <w:szCs w:val="26"/>
        </w:rPr>
        <w:t>with the Commission every five</w:t>
      </w:r>
      <w:r w:rsidR="00C64928">
        <w:rPr>
          <w:szCs w:val="26"/>
        </w:rPr>
        <w:t xml:space="preserve"> years or as otherwise required by the Commission</w:t>
      </w:r>
      <w:r w:rsidR="007C54ED">
        <w:rPr>
          <w:szCs w:val="26"/>
        </w:rPr>
        <w:t>.  Such plans are to set forth</w:t>
      </w:r>
      <w:r w:rsidR="00D01171">
        <w:rPr>
          <w:szCs w:val="26"/>
        </w:rPr>
        <w:t xml:space="preserve"> the manner in which the EDC will meet the required reductions in consumption under subsections (c) and (d).  </w:t>
      </w:r>
      <w:r w:rsidR="00045BAE">
        <w:rPr>
          <w:szCs w:val="26"/>
        </w:rPr>
        <w:t>66 Pa. C.S. § </w:t>
      </w:r>
      <w:r w:rsidR="000F733C">
        <w:rPr>
          <w:szCs w:val="26"/>
        </w:rPr>
        <w:t>2806.1(</w:t>
      </w:r>
      <w:r w:rsidR="00C53A21">
        <w:rPr>
          <w:szCs w:val="26"/>
        </w:rPr>
        <w:t>b)</w:t>
      </w:r>
      <w:r w:rsidR="00B14137">
        <w:rPr>
          <w:szCs w:val="26"/>
        </w:rPr>
        <w:t>(1)(ii).</w:t>
      </w:r>
      <w:r w:rsidR="003D17D7">
        <w:rPr>
          <w:szCs w:val="26"/>
        </w:rPr>
        <w:t xml:space="preserve">  </w:t>
      </w:r>
      <w:r w:rsidR="008E6CBA">
        <w:rPr>
          <w:szCs w:val="26"/>
        </w:rPr>
        <w:t xml:space="preserve">With this Tentative </w:t>
      </w:r>
      <w:r w:rsidR="001D5762">
        <w:rPr>
          <w:szCs w:val="26"/>
        </w:rPr>
        <w:t xml:space="preserve">Implementation </w:t>
      </w:r>
      <w:r w:rsidR="008E6CBA">
        <w:rPr>
          <w:szCs w:val="26"/>
        </w:rPr>
        <w:t xml:space="preserve">Order, the Commission begins the process of evaluating the </w:t>
      </w:r>
      <w:r w:rsidR="008E6CBA">
        <w:rPr>
          <w:szCs w:val="26"/>
        </w:rPr>
        <w:lastRenderedPageBreak/>
        <w:t xml:space="preserve">costs and benefits of the EE&amp;C Program and </w:t>
      </w:r>
      <w:r w:rsidR="005B2FF8">
        <w:rPr>
          <w:szCs w:val="26"/>
        </w:rPr>
        <w:t xml:space="preserve">proposing the </w:t>
      </w:r>
      <w:r w:rsidR="008E6CBA">
        <w:rPr>
          <w:szCs w:val="26"/>
        </w:rPr>
        <w:t>establish</w:t>
      </w:r>
      <w:r w:rsidR="005B2FF8">
        <w:rPr>
          <w:szCs w:val="26"/>
        </w:rPr>
        <w:t>ment of</w:t>
      </w:r>
      <w:r w:rsidR="008E6CBA">
        <w:rPr>
          <w:szCs w:val="26"/>
        </w:rPr>
        <w:t xml:space="preserve"> additional incremental reductions in electric consumption and peak demand.</w:t>
      </w:r>
    </w:p>
    <w:p w14:paraId="7F328C47" w14:textId="77777777" w:rsidR="005A7989" w:rsidRPr="00235CED" w:rsidRDefault="005A7989" w:rsidP="0009548F">
      <w:pPr>
        <w:pStyle w:val="p3"/>
        <w:widowControl/>
        <w:spacing w:line="360" w:lineRule="auto"/>
        <w:rPr>
          <w:szCs w:val="26"/>
        </w:rPr>
      </w:pPr>
    </w:p>
    <w:p w14:paraId="513C7B80" w14:textId="11B0639F" w:rsidR="002719B7" w:rsidRDefault="002719B7" w:rsidP="002339A4">
      <w:pPr>
        <w:pStyle w:val="Heading1"/>
      </w:pPr>
      <w:bookmarkStart w:id="1" w:name="_Toc33781992"/>
      <w:r w:rsidRPr="00235CED">
        <w:t>BACKGROUND AND HISTORY OF THIS PROCEEDING</w:t>
      </w:r>
      <w:bookmarkEnd w:id="1"/>
    </w:p>
    <w:p w14:paraId="185AB325" w14:textId="6B9E73B6" w:rsidR="002719B7" w:rsidRDefault="002719B7" w:rsidP="0009548F">
      <w:pPr>
        <w:pStyle w:val="p3"/>
        <w:widowControl/>
        <w:tabs>
          <w:tab w:val="clear" w:pos="204"/>
        </w:tabs>
        <w:spacing w:line="360" w:lineRule="auto"/>
        <w:rPr>
          <w:szCs w:val="26"/>
        </w:rPr>
      </w:pPr>
      <w:r w:rsidRPr="00235CED">
        <w:rPr>
          <w:szCs w:val="26"/>
        </w:rPr>
        <w:tab/>
        <w:t>Act 129 of 2008 (the Act</w:t>
      </w:r>
      <w:r>
        <w:rPr>
          <w:szCs w:val="26"/>
        </w:rPr>
        <w:t xml:space="preserve"> or Act 129</w:t>
      </w:r>
      <w:r w:rsidRPr="00235CED">
        <w:rPr>
          <w:szCs w:val="26"/>
        </w:rPr>
        <w:t xml:space="preserve">) </w:t>
      </w:r>
      <w:r w:rsidR="0093763D">
        <w:rPr>
          <w:szCs w:val="26"/>
        </w:rPr>
        <w:t xml:space="preserve">was signed </w:t>
      </w:r>
      <w:r w:rsidRPr="00235CED">
        <w:rPr>
          <w:szCs w:val="26"/>
        </w:rPr>
        <w:t>into law on October 15, 2008</w:t>
      </w:r>
      <w:r w:rsidR="0093763D">
        <w:rPr>
          <w:szCs w:val="26"/>
        </w:rPr>
        <w:t xml:space="preserve"> and became effective</w:t>
      </w:r>
      <w:r w:rsidRPr="00235CED">
        <w:rPr>
          <w:szCs w:val="26"/>
        </w:rPr>
        <w:t xml:space="preserve"> on November 14, 2008.  Among other things, the Act created an </w:t>
      </w:r>
      <w:r w:rsidR="001D61CC">
        <w:rPr>
          <w:szCs w:val="26"/>
        </w:rPr>
        <w:t>EE&amp;C Program</w:t>
      </w:r>
      <w:r w:rsidRPr="00235CED">
        <w:rPr>
          <w:szCs w:val="26"/>
        </w:rPr>
        <w:t xml:space="preserve">, codified in the Pennsylvania Public Utility Code at Sections 2806.1 and 2806.2, 66 Pa. C.S. §§ 2806.1 and 2806.2.  </w:t>
      </w:r>
      <w:r w:rsidRPr="00235CED" w:rsidDel="00E61F90">
        <w:rPr>
          <w:szCs w:val="26"/>
        </w:rPr>
        <w:t>This</w:t>
      </w:r>
      <w:r w:rsidRPr="00235CED">
        <w:rPr>
          <w:szCs w:val="26"/>
        </w:rPr>
        <w:t xml:space="preserve"> </w:t>
      </w:r>
      <w:r w:rsidR="0093763D">
        <w:rPr>
          <w:szCs w:val="26"/>
        </w:rPr>
        <w:t xml:space="preserve">initial </w:t>
      </w:r>
      <w:r w:rsidRPr="00235CED">
        <w:rPr>
          <w:szCs w:val="26"/>
        </w:rPr>
        <w:t>program require</w:t>
      </w:r>
      <w:r w:rsidR="000140B8">
        <w:rPr>
          <w:szCs w:val="26"/>
        </w:rPr>
        <w:t>d</w:t>
      </w:r>
      <w:r w:rsidRPr="00235CED">
        <w:rPr>
          <w:szCs w:val="26"/>
        </w:rPr>
        <w:t xml:space="preserve"> an EDC with at least 100,000 customers to adopt a</w:t>
      </w:r>
      <w:r w:rsidR="001D61CC">
        <w:rPr>
          <w:szCs w:val="26"/>
        </w:rPr>
        <w:t>n EE&amp;C Plan</w:t>
      </w:r>
      <w:r w:rsidRPr="00235CED">
        <w:rPr>
          <w:szCs w:val="26"/>
        </w:rPr>
        <w:t>, approved by the Commission, to reduce electric consumption by at least one percent (1%) by May 31, 2011</w:t>
      </w:r>
      <w:r w:rsidR="00520A2D">
        <w:rPr>
          <w:szCs w:val="26"/>
        </w:rPr>
        <w:t xml:space="preserve"> and</w:t>
      </w:r>
      <w:r w:rsidRPr="00235CED">
        <w:rPr>
          <w:szCs w:val="26"/>
        </w:rPr>
        <w:t xml:space="preserve"> by a minimum of three percent (3%)</w:t>
      </w:r>
      <w:r w:rsidR="00EF56A6">
        <w:rPr>
          <w:szCs w:val="26"/>
        </w:rPr>
        <w:t xml:space="preserve"> </w:t>
      </w:r>
      <w:r w:rsidR="00012FC7">
        <w:rPr>
          <w:szCs w:val="26"/>
        </w:rPr>
        <w:t xml:space="preserve">May 31, </w:t>
      </w:r>
      <w:r w:rsidR="007C2279">
        <w:rPr>
          <w:szCs w:val="26"/>
        </w:rPr>
        <w:t>2013</w:t>
      </w:r>
      <w:r w:rsidRPr="00235CED">
        <w:rPr>
          <w:szCs w:val="26"/>
        </w:rPr>
        <w:t xml:space="preserve">.  Also, by May 31, 2013, peak demand </w:t>
      </w:r>
      <w:r w:rsidR="008A3FED">
        <w:rPr>
          <w:szCs w:val="26"/>
        </w:rPr>
        <w:t>was</w:t>
      </w:r>
      <w:r w:rsidRPr="00235CED">
        <w:rPr>
          <w:szCs w:val="26"/>
        </w:rPr>
        <w:t xml:space="preserve"> to be reduced by a minimum of four</w:t>
      </w:r>
      <w:r w:rsidRPr="00235CED">
        <w:rPr>
          <w:szCs w:val="26"/>
        </w:rPr>
        <w:noBreakHyphen/>
        <w:t>and</w:t>
      </w:r>
      <w:r w:rsidRPr="00235CED">
        <w:rPr>
          <w:szCs w:val="26"/>
        </w:rPr>
        <w:noBreakHyphen/>
        <w:t>a</w:t>
      </w:r>
      <w:r w:rsidRPr="00235CED">
        <w:rPr>
          <w:szCs w:val="26"/>
        </w:rPr>
        <w:noBreakHyphen/>
        <w:t xml:space="preserve">half percent (4.5%) of the EDC’s annual system peak demand in the 100 hours of highest demand.  By November 30, 2013, </w:t>
      </w:r>
      <w:r w:rsidR="00375A42">
        <w:rPr>
          <w:szCs w:val="26"/>
        </w:rPr>
        <w:t xml:space="preserve">and every five years thereafter, </w:t>
      </w:r>
      <w:r w:rsidRPr="00235CED">
        <w:rPr>
          <w:szCs w:val="26"/>
        </w:rPr>
        <w:t xml:space="preserve">the Commission </w:t>
      </w:r>
      <w:r w:rsidR="004673B3">
        <w:rPr>
          <w:szCs w:val="26"/>
        </w:rPr>
        <w:t>is</w:t>
      </w:r>
      <w:r w:rsidRPr="00235CED">
        <w:rPr>
          <w:szCs w:val="26"/>
        </w:rPr>
        <w:t xml:space="preserve"> to assess the cost</w:t>
      </w:r>
      <w:r w:rsidR="001D61CC">
        <w:rPr>
          <w:szCs w:val="26"/>
        </w:rPr>
        <w:t>-</w:t>
      </w:r>
      <w:r w:rsidRPr="00235CED">
        <w:rPr>
          <w:szCs w:val="26"/>
        </w:rPr>
        <w:t xml:space="preserve">effectiveness of the </w:t>
      </w:r>
      <w:r w:rsidR="001D61CC">
        <w:rPr>
          <w:szCs w:val="26"/>
        </w:rPr>
        <w:t>EE&amp;C P</w:t>
      </w:r>
      <w:r w:rsidRPr="00235CED">
        <w:rPr>
          <w:szCs w:val="26"/>
        </w:rPr>
        <w:t xml:space="preserve">rogram and set additional incremental reductions in electric consumption if the </w:t>
      </w:r>
      <w:r w:rsidR="001D61CC">
        <w:rPr>
          <w:szCs w:val="26"/>
        </w:rPr>
        <w:t xml:space="preserve">EE&amp;C Program’s </w:t>
      </w:r>
      <w:r w:rsidRPr="00235CED">
        <w:rPr>
          <w:szCs w:val="26"/>
        </w:rPr>
        <w:t xml:space="preserve">benefits </w:t>
      </w:r>
      <w:r w:rsidRPr="00842A53">
        <w:rPr>
          <w:szCs w:val="26"/>
        </w:rPr>
        <w:t>exceed its costs.</w:t>
      </w:r>
    </w:p>
    <w:p w14:paraId="6A975D84" w14:textId="77777777" w:rsidR="00B43C66" w:rsidRDefault="00B43C66" w:rsidP="00B43C66">
      <w:pPr>
        <w:pStyle w:val="p3"/>
        <w:widowControl/>
        <w:tabs>
          <w:tab w:val="clear" w:pos="204"/>
        </w:tabs>
        <w:spacing w:line="360" w:lineRule="auto"/>
        <w:ind w:firstLine="720"/>
        <w:rPr>
          <w:szCs w:val="26"/>
        </w:rPr>
      </w:pPr>
    </w:p>
    <w:p w14:paraId="4BEB914E" w14:textId="180B29B2" w:rsidR="003A756D" w:rsidRPr="00235CED" w:rsidRDefault="003A756D" w:rsidP="00AC660E">
      <w:pPr>
        <w:pStyle w:val="p3"/>
        <w:widowControl/>
        <w:tabs>
          <w:tab w:val="clear" w:pos="204"/>
        </w:tabs>
        <w:spacing w:line="360" w:lineRule="auto"/>
        <w:ind w:firstLine="720"/>
        <w:rPr>
          <w:szCs w:val="26"/>
        </w:rPr>
      </w:pPr>
      <w:r w:rsidRPr="00235CED">
        <w:rPr>
          <w:szCs w:val="26"/>
        </w:rPr>
        <w:t>The Act require</w:t>
      </w:r>
      <w:r>
        <w:rPr>
          <w:szCs w:val="26"/>
        </w:rPr>
        <w:t>d</w:t>
      </w:r>
      <w:r w:rsidRPr="00235CED">
        <w:rPr>
          <w:szCs w:val="26"/>
        </w:rPr>
        <w:t xml:space="preserve"> the Commission to develop and adopt an EE&amp;C Program by January 15, 2009 and sets out specific issues the EE&amp;C Program must address.  66 Pa. C.S. § 2806.1(a).  The Commission’s EE&amp;C Program is to include the following:</w:t>
      </w:r>
    </w:p>
    <w:p w14:paraId="27323CF2" w14:textId="77777777" w:rsidR="003A756D" w:rsidRPr="00235CED" w:rsidRDefault="003A756D" w:rsidP="003A756D">
      <w:pPr>
        <w:pStyle w:val="p3"/>
        <w:widowControl/>
        <w:tabs>
          <w:tab w:val="clear" w:pos="204"/>
        </w:tabs>
        <w:spacing w:line="360" w:lineRule="auto"/>
        <w:ind w:right="720"/>
        <w:rPr>
          <w:szCs w:val="26"/>
        </w:rPr>
      </w:pPr>
      <w:r w:rsidRPr="00235CED">
        <w:rPr>
          <w:szCs w:val="26"/>
        </w:rPr>
        <w:tab/>
        <w:t>(1)</w:t>
      </w:r>
      <w:r w:rsidRPr="00235CED">
        <w:rPr>
          <w:szCs w:val="26"/>
        </w:rPr>
        <w:tab/>
        <w:t>A procedure for approving</w:t>
      </w:r>
      <w:r>
        <w:rPr>
          <w:szCs w:val="26"/>
        </w:rPr>
        <w:t xml:space="preserve"> EE&amp;C P</w:t>
      </w:r>
      <w:r w:rsidRPr="00235CED">
        <w:rPr>
          <w:szCs w:val="26"/>
        </w:rPr>
        <w:t>lans.</w:t>
      </w:r>
    </w:p>
    <w:p w14:paraId="4D58E110" w14:textId="77777777" w:rsidR="003A756D" w:rsidRPr="00235CED" w:rsidRDefault="003A756D" w:rsidP="003A756D">
      <w:pPr>
        <w:pStyle w:val="p3"/>
        <w:widowControl/>
        <w:spacing w:line="360" w:lineRule="auto"/>
        <w:ind w:left="1440" w:right="720" w:hanging="720"/>
        <w:rPr>
          <w:szCs w:val="26"/>
        </w:rPr>
      </w:pPr>
      <w:r w:rsidRPr="00235CED">
        <w:rPr>
          <w:szCs w:val="26"/>
        </w:rPr>
        <w:t>(2)</w:t>
      </w:r>
      <w:r w:rsidRPr="00235CED">
        <w:rPr>
          <w:szCs w:val="26"/>
        </w:rPr>
        <w:tab/>
        <w:t xml:space="preserve">A process to evaluate and verify the results of each </w:t>
      </w:r>
      <w:r>
        <w:rPr>
          <w:szCs w:val="26"/>
        </w:rPr>
        <w:t>EE&amp;C P</w:t>
      </w:r>
      <w:r w:rsidRPr="00235CED">
        <w:rPr>
          <w:szCs w:val="26"/>
        </w:rPr>
        <w:t xml:space="preserve">lan and the </w:t>
      </w:r>
      <w:r>
        <w:rPr>
          <w:szCs w:val="26"/>
        </w:rPr>
        <w:t>EE&amp;C P</w:t>
      </w:r>
      <w:r w:rsidRPr="00235CED">
        <w:rPr>
          <w:szCs w:val="26"/>
        </w:rPr>
        <w:t>rogram as a whole.</w:t>
      </w:r>
    </w:p>
    <w:p w14:paraId="65BEF1C9" w14:textId="6400AB84" w:rsidR="003A756D" w:rsidRPr="00235CED" w:rsidRDefault="003A756D" w:rsidP="003A756D">
      <w:pPr>
        <w:pStyle w:val="p3"/>
        <w:widowControl/>
        <w:spacing w:line="360" w:lineRule="auto"/>
        <w:ind w:left="1440" w:right="720" w:hanging="720"/>
        <w:rPr>
          <w:szCs w:val="26"/>
        </w:rPr>
      </w:pPr>
      <w:r w:rsidRPr="00235CED">
        <w:rPr>
          <w:szCs w:val="26"/>
        </w:rPr>
        <w:t>(3)</w:t>
      </w:r>
      <w:r w:rsidRPr="00235CED">
        <w:rPr>
          <w:szCs w:val="26"/>
        </w:rPr>
        <w:tab/>
        <w:t xml:space="preserve">A process to analyze the costs and benefits of each </w:t>
      </w:r>
      <w:r>
        <w:rPr>
          <w:szCs w:val="26"/>
        </w:rPr>
        <w:t>EE&amp;C P</w:t>
      </w:r>
      <w:r w:rsidRPr="00235CED">
        <w:rPr>
          <w:szCs w:val="26"/>
        </w:rPr>
        <w:t xml:space="preserve">lan in accordance with a </w:t>
      </w:r>
      <w:r w:rsidR="00EE2F34">
        <w:rPr>
          <w:szCs w:val="26"/>
        </w:rPr>
        <w:t>total resource cost (</w:t>
      </w:r>
      <w:r>
        <w:rPr>
          <w:szCs w:val="26"/>
        </w:rPr>
        <w:t>TRC</w:t>
      </w:r>
      <w:r w:rsidR="00EE2F34">
        <w:rPr>
          <w:szCs w:val="26"/>
        </w:rPr>
        <w:t>)</w:t>
      </w:r>
      <w:r>
        <w:rPr>
          <w:szCs w:val="26"/>
        </w:rPr>
        <w:t xml:space="preserve"> T</w:t>
      </w:r>
      <w:r w:rsidRPr="00235CED">
        <w:rPr>
          <w:szCs w:val="26"/>
        </w:rPr>
        <w:t>est.</w:t>
      </w:r>
    </w:p>
    <w:p w14:paraId="694E9717" w14:textId="77777777" w:rsidR="003A756D" w:rsidRPr="00235CED" w:rsidRDefault="003A756D" w:rsidP="003A756D">
      <w:pPr>
        <w:pStyle w:val="p3"/>
        <w:widowControl/>
        <w:spacing w:line="360" w:lineRule="auto"/>
        <w:ind w:left="1440" w:right="720" w:hanging="720"/>
        <w:rPr>
          <w:szCs w:val="26"/>
        </w:rPr>
      </w:pPr>
      <w:r w:rsidRPr="00235CED">
        <w:rPr>
          <w:szCs w:val="26"/>
        </w:rPr>
        <w:t>(4)</w:t>
      </w:r>
      <w:r w:rsidRPr="00235CED">
        <w:rPr>
          <w:szCs w:val="26"/>
        </w:rPr>
        <w:tab/>
        <w:t xml:space="preserve">A process to analyze how the </w:t>
      </w:r>
      <w:r>
        <w:rPr>
          <w:szCs w:val="26"/>
        </w:rPr>
        <w:t>EE&amp;C P</w:t>
      </w:r>
      <w:r w:rsidRPr="00235CED">
        <w:rPr>
          <w:szCs w:val="26"/>
        </w:rPr>
        <w:t xml:space="preserve">rogram as a whole and each </w:t>
      </w:r>
      <w:r>
        <w:rPr>
          <w:szCs w:val="26"/>
        </w:rPr>
        <w:t>EE&amp;C P</w:t>
      </w:r>
      <w:r w:rsidRPr="00235CED">
        <w:rPr>
          <w:szCs w:val="26"/>
        </w:rPr>
        <w:t>lan will enable the EDCs to meet or exceed the consumption</w:t>
      </w:r>
      <w:r>
        <w:rPr>
          <w:szCs w:val="26"/>
        </w:rPr>
        <w:t xml:space="preserve"> and peak demand</w:t>
      </w:r>
      <w:r w:rsidRPr="00235CED">
        <w:rPr>
          <w:szCs w:val="26"/>
        </w:rPr>
        <w:t xml:space="preserve"> reduction requirements.</w:t>
      </w:r>
    </w:p>
    <w:p w14:paraId="07073CDA" w14:textId="77777777" w:rsidR="003A756D" w:rsidRPr="00235CED" w:rsidRDefault="003A756D" w:rsidP="003A756D">
      <w:pPr>
        <w:pStyle w:val="p3"/>
        <w:widowControl/>
        <w:spacing w:line="360" w:lineRule="auto"/>
        <w:ind w:left="1440" w:right="720" w:hanging="720"/>
        <w:rPr>
          <w:szCs w:val="26"/>
        </w:rPr>
      </w:pPr>
      <w:r w:rsidRPr="00235CED">
        <w:rPr>
          <w:szCs w:val="26"/>
        </w:rPr>
        <w:lastRenderedPageBreak/>
        <w:t>(5)</w:t>
      </w:r>
      <w:r w:rsidRPr="00235CED">
        <w:rPr>
          <w:szCs w:val="26"/>
        </w:rPr>
        <w:tab/>
        <w:t xml:space="preserve">Standards to ensure that each </w:t>
      </w:r>
      <w:r>
        <w:rPr>
          <w:szCs w:val="26"/>
        </w:rPr>
        <w:t>EE&amp;C P</w:t>
      </w:r>
      <w:r w:rsidRPr="00235CED">
        <w:rPr>
          <w:szCs w:val="26"/>
        </w:rPr>
        <w:t>lan uses a variety of measures that are applied equitably to all customer classes.</w:t>
      </w:r>
    </w:p>
    <w:p w14:paraId="3BB63576" w14:textId="77777777" w:rsidR="003A756D" w:rsidRPr="00235CED" w:rsidRDefault="003A756D" w:rsidP="003A756D">
      <w:pPr>
        <w:pStyle w:val="p3"/>
        <w:widowControl/>
        <w:spacing w:line="360" w:lineRule="auto"/>
        <w:ind w:left="1440" w:right="720" w:hanging="720"/>
        <w:rPr>
          <w:szCs w:val="26"/>
        </w:rPr>
      </w:pPr>
      <w:r w:rsidRPr="00235CED">
        <w:rPr>
          <w:szCs w:val="26"/>
        </w:rPr>
        <w:t>(6)</w:t>
      </w:r>
      <w:r w:rsidRPr="00235CED">
        <w:rPr>
          <w:szCs w:val="26"/>
        </w:rPr>
        <w:tab/>
        <w:t xml:space="preserve">A process through which recommendations can be made for the employment of additional measures. </w:t>
      </w:r>
    </w:p>
    <w:p w14:paraId="582DC788" w14:textId="6AA5F33D" w:rsidR="003A756D" w:rsidRPr="00235CED" w:rsidRDefault="003A756D" w:rsidP="003A756D">
      <w:pPr>
        <w:pStyle w:val="p3"/>
        <w:widowControl/>
        <w:spacing w:line="360" w:lineRule="auto"/>
        <w:ind w:left="1440" w:right="720" w:hanging="720"/>
        <w:rPr>
          <w:szCs w:val="26"/>
        </w:rPr>
      </w:pPr>
      <w:r w:rsidRPr="00235CED">
        <w:rPr>
          <w:szCs w:val="26"/>
        </w:rPr>
        <w:t>(7)</w:t>
      </w:r>
      <w:r w:rsidRPr="00235CED">
        <w:rPr>
          <w:szCs w:val="26"/>
        </w:rPr>
        <w:tab/>
        <w:t>A procedure to require and approve the competitive bidding of all contracts with conservation service providers (CSP</w:t>
      </w:r>
      <w:r w:rsidR="00AA3F41">
        <w:rPr>
          <w:szCs w:val="26"/>
        </w:rPr>
        <w:t>s</w:t>
      </w:r>
      <w:r w:rsidRPr="00235CED">
        <w:rPr>
          <w:szCs w:val="26"/>
        </w:rPr>
        <w:t>).</w:t>
      </w:r>
    </w:p>
    <w:p w14:paraId="6F4C9A2C" w14:textId="77777777" w:rsidR="003A756D" w:rsidRPr="00235CED" w:rsidRDefault="003A756D" w:rsidP="003A756D">
      <w:pPr>
        <w:pStyle w:val="p3"/>
        <w:widowControl/>
        <w:spacing w:line="360" w:lineRule="auto"/>
        <w:ind w:left="1440" w:right="720" w:hanging="720"/>
        <w:rPr>
          <w:szCs w:val="26"/>
        </w:rPr>
      </w:pPr>
      <w:r w:rsidRPr="00235CED">
        <w:rPr>
          <w:szCs w:val="26"/>
        </w:rPr>
        <w:t>(8)</w:t>
      </w:r>
      <w:r w:rsidRPr="00235CED">
        <w:rPr>
          <w:szCs w:val="26"/>
        </w:rPr>
        <w:tab/>
        <w:t xml:space="preserve">A procedure through which the Commission will review and modify, if necessary, all contracts with </w:t>
      </w:r>
      <w:r>
        <w:rPr>
          <w:szCs w:val="26"/>
        </w:rPr>
        <w:t>CSPs</w:t>
      </w:r>
      <w:r w:rsidRPr="00235CED">
        <w:rPr>
          <w:szCs w:val="26"/>
        </w:rPr>
        <w:t xml:space="preserve"> prior to execution.</w:t>
      </w:r>
    </w:p>
    <w:p w14:paraId="68C38E28" w14:textId="77777777" w:rsidR="003A756D" w:rsidRDefault="003A756D" w:rsidP="003A756D">
      <w:pPr>
        <w:pStyle w:val="p3"/>
        <w:widowControl/>
        <w:spacing w:line="360" w:lineRule="auto"/>
        <w:ind w:left="1440" w:right="720" w:hanging="720"/>
        <w:rPr>
          <w:szCs w:val="26"/>
        </w:rPr>
      </w:pPr>
      <w:r>
        <w:rPr>
          <w:szCs w:val="26"/>
        </w:rPr>
        <w:t>(9)</w:t>
      </w:r>
      <w:r>
        <w:rPr>
          <w:szCs w:val="26"/>
        </w:rPr>
        <w:tab/>
      </w:r>
      <w:r w:rsidRPr="00235CED">
        <w:rPr>
          <w:szCs w:val="26"/>
        </w:rPr>
        <w:t xml:space="preserve">A requirement for the participation of </w:t>
      </w:r>
      <w:r>
        <w:rPr>
          <w:szCs w:val="26"/>
        </w:rPr>
        <w:t>CSPs</w:t>
      </w:r>
      <w:r w:rsidRPr="00235CED">
        <w:rPr>
          <w:szCs w:val="26"/>
        </w:rPr>
        <w:t xml:space="preserve"> in the implementation of all or part of a</w:t>
      </w:r>
      <w:r>
        <w:rPr>
          <w:szCs w:val="26"/>
        </w:rPr>
        <w:t>n</w:t>
      </w:r>
      <w:r w:rsidRPr="00235CED">
        <w:rPr>
          <w:szCs w:val="26"/>
        </w:rPr>
        <w:t xml:space="preserve"> </w:t>
      </w:r>
      <w:r>
        <w:rPr>
          <w:szCs w:val="26"/>
        </w:rPr>
        <w:t>EE&amp;C Pl</w:t>
      </w:r>
      <w:r w:rsidRPr="00235CED">
        <w:rPr>
          <w:szCs w:val="26"/>
        </w:rPr>
        <w:t>an.</w:t>
      </w:r>
      <w:r w:rsidRPr="00235CED">
        <w:rPr>
          <w:szCs w:val="26"/>
        </w:rPr>
        <w:tab/>
      </w:r>
    </w:p>
    <w:p w14:paraId="31317E42" w14:textId="77777777" w:rsidR="003A756D" w:rsidRPr="00235CED" w:rsidRDefault="003A756D" w:rsidP="003A756D">
      <w:pPr>
        <w:pStyle w:val="p3"/>
        <w:widowControl/>
        <w:spacing w:line="360" w:lineRule="auto"/>
        <w:ind w:left="1440" w:right="720" w:hanging="720"/>
        <w:rPr>
          <w:szCs w:val="26"/>
        </w:rPr>
      </w:pPr>
      <w:r>
        <w:rPr>
          <w:szCs w:val="26"/>
        </w:rPr>
        <w:t>(10)</w:t>
      </w:r>
      <w:r>
        <w:rPr>
          <w:szCs w:val="26"/>
        </w:rPr>
        <w:tab/>
      </w:r>
      <w:r w:rsidRPr="00235CED">
        <w:rPr>
          <w:szCs w:val="26"/>
        </w:rPr>
        <w:t>A procedure to ensure compliance with the requirements of Sections 2806.1(c) &amp; (d).</w:t>
      </w:r>
      <w:r w:rsidRPr="00235CED">
        <w:rPr>
          <w:szCs w:val="26"/>
        </w:rPr>
        <w:tab/>
      </w:r>
    </w:p>
    <w:p w14:paraId="52C568C4" w14:textId="77777777" w:rsidR="003A756D" w:rsidRPr="00235CED" w:rsidRDefault="003A756D" w:rsidP="003A756D">
      <w:pPr>
        <w:pStyle w:val="p3"/>
        <w:widowControl/>
        <w:spacing w:line="360" w:lineRule="auto"/>
        <w:ind w:left="1440" w:right="720" w:hanging="720"/>
        <w:rPr>
          <w:szCs w:val="26"/>
        </w:rPr>
      </w:pPr>
      <w:r w:rsidRPr="00235CED">
        <w:rPr>
          <w:szCs w:val="26"/>
        </w:rPr>
        <w:t>(11)</w:t>
      </w:r>
      <w:r w:rsidRPr="00235CED">
        <w:rPr>
          <w:szCs w:val="26"/>
        </w:rPr>
        <w:tab/>
        <w:t>A cost recovery mechanism to ensure that measures approved are financed by the customer class that directly receives the energy and conservation benefits.</w:t>
      </w:r>
    </w:p>
    <w:p w14:paraId="7A510948" w14:textId="77777777" w:rsidR="003A756D" w:rsidRPr="00235CED" w:rsidRDefault="003A756D" w:rsidP="003A756D">
      <w:pPr>
        <w:pStyle w:val="p3"/>
        <w:widowControl/>
        <w:spacing w:line="360" w:lineRule="auto"/>
        <w:ind w:left="1440" w:right="720" w:hanging="720"/>
        <w:rPr>
          <w:szCs w:val="26"/>
        </w:rPr>
      </w:pPr>
    </w:p>
    <w:p w14:paraId="11DE0672" w14:textId="07750FE8" w:rsidR="00B43C66" w:rsidRDefault="00B43C66" w:rsidP="009548D2">
      <w:pPr>
        <w:pStyle w:val="p3"/>
        <w:widowControl/>
        <w:tabs>
          <w:tab w:val="clear" w:pos="204"/>
        </w:tabs>
        <w:spacing w:line="360" w:lineRule="auto"/>
        <w:ind w:firstLine="720"/>
        <w:rPr>
          <w:szCs w:val="26"/>
        </w:rPr>
      </w:pPr>
      <w:r w:rsidRPr="00EE01A6">
        <w:rPr>
          <w:szCs w:val="26"/>
        </w:rPr>
        <w:t>On January 15, 2009, the Commission adopted the Phase I Implementation Order establishing the EE&amp;C Program in compliance with Section 2806.1(a), 66 Pa. C.S.</w:t>
      </w:r>
      <w:r w:rsidR="00FF3516">
        <w:rPr>
          <w:szCs w:val="26"/>
        </w:rPr>
        <w:t> </w:t>
      </w:r>
      <w:r w:rsidRPr="00EE01A6">
        <w:rPr>
          <w:szCs w:val="26"/>
        </w:rPr>
        <w:t xml:space="preserve">§ 2806.1(a).  In addition to adopting the Phase I Implementation Order, the Commission also adopted orders implementing specific and essential components of the EE&amp;C </w:t>
      </w:r>
      <w:r w:rsidRPr="00A33278">
        <w:rPr>
          <w:szCs w:val="26"/>
        </w:rPr>
        <w:t>Program, to include the establishment of a TRC T</w:t>
      </w:r>
      <w:r w:rsidRPr="00E659EC">
        <w:rPr>
          <w:szCs w:val="26"/>
        </w:rPr>
        <w:t>est,</w:t>
      </w:r>
      <w:r w:rsidRPr="00A33278">
        <w:rPr>
          <w:rStyle w:val="FootnoteReference"/>
          <w:szCs w:val="26"/>
        </w:rPr>
        <w:footnoteReference w:id="3"/>
      </w:r>
      <w:r w:rsidRPr="00A33278">
        <w:rPr>
          <w:szCs w:val="26"/>
        </w:rPr>
        <w:t xml:space="preserve"> updates to the Technical Reference Manual (TRM)</w:t>
      </w:r>
      <w:r w:rsidRPr="00A33278">
        <w:rPr>
          <w:rStyle w:val="FootnoteReference"/>
          <w:szCs w:val="26"/>
        </w:rPr>
        <w:footnoteReference w:id="4"/>
      </w:r>
      <w:r w:rsidRPr="00A33278">
        <w:rPr>
          <w:szCs w:val="26"/>
        </w:rPr>
        <w:t xml:space="preserve"> and the establishment of a </w:t>
      </w:r>
      <w:r w:rsidR="00074026" w:rsidRPr="00A33278">
        <w:rPr>
          <w:szCs w:val="26"/>
        </w:rPr>
        <w:t>Statewide Evaluator (</w:t>
      </w:r>
      <w:r w:rsidRPr="00E659EC">
        <w:rPr>
          <w:szCs w:val="26"/>
        </w:rPr>
        <w:t>SWE</w:t>
      </w:r>
      <w:r w:rsidR="00074026" w:rsidRPr="00924F1A">
        <w:rPr>
          <w:szCs w:val="26"/>
        </w:rPr>
        <w:t>)</w:t>
      </w:r>
      <w:r w:rsidRPr="00924F1A">
        <w:rPr>
          <w:szCs w:val="26"/>
        </w:rPr>
        <w:t xml:space="preserve">.  </w:t>
      </w:r>
    </w:p>
    <w:p w14:paraId="220EE06B" w14:textId="77777777" w:rsidR="00863707" w:rsidRDefault="00863707" w:rsidP="009548D2">
      <w:pPr>
        <w:pStyle w:val="p3"/>
        <w:widowControl/>
        <w:tabs>
          <w:tab w:val="clear" w:pos="204"/>
        </w:tabs>
        <w:spacing w:line="360" w:lineRule="auto"/>
        <w:ind w:firstLine="720"/>
        <w:rPr>
          <w:szCs w:val="26"/>
        </w:rPr>
      </w:pPr>
    </w:p>
    <w:p w14:paraId="776C1609" w14:textId="11D2F912" w:rsidR="00863707" w:rsidRPr="00924F1A" w:rsidRDefault="00863707" w:rsidP="00863707">
      <w:pPr>
        <w:pStyle w:val="p3"/>
        <w:widowControl/>
        <w:tabs>
          <w:tab w:val="clear" w:pos="204"/>
        </w:tabs>
        <w:spacing w:line="360" w:lineRule="auto"/>
        <w:ind w:firstLine="720"/>
        <w:rPr>
          <w:szCs w:val="26"/>
        </w:rPr>
      </w:pPr>
      <w:r w:rsidRPr="004D2067">
        <w:rPr>
          <w:szCs w:val="26"/>
        </w:rPr>
        <w:lastRenderedPageBreak/>
        <w:t>The Commission determined in its Phase II Implementation Order that additional reductions in consumption were cost-effective and prescribed targets to be met by May</w:t>
      </w:r>
      <w:r w:rsidR="00165FD9">
        <w:rPr>
          <w:szCs w:val="26"/>
        </w:rPr>
        <w:t> </w:t>
      </w:r>
      <w:r w:rsidRPr="004D2067">
        <w:rPr>
          <w:szCs w:val="26"/>
        </w:rPr>
        <w:t>31, 2016.</w:t>
      </w:r>
      <w:r w:rsidRPr="004D2067">
        <w:rPr>
          <w:rStyle w:val="FootnoteReference"/>
          <w:szCs w:val="26"/>
        </w:rPr>
        <w:footnoteReference w:id="5"/>
      </w:r>
      <w:r w:rsidRPr="004D2067">
        <w:rPr>
          <w:szCs w:val="26"/>
        </w:rPr>
        <w:t xml:space="preserve">  </w:t>
      </w:r>
      <w:r>
        <w:rPr>
          <w:szCs w:val="26"/>
        </w:rPr>
        <w:t>At that time</w:t>
      </w:r>
      <w:r w:rsidRPr="004D2067">
        <w:rPr>
          <w:szCs w:val="26"/>
        </w:rPr>
        <w:t>,</w:t>
      </w:r>
      <w:r>
        <w:rPr>
          <w:szCs w:val="26"/>
        </w:rPr>
        <w:t xml:space="preserve"> though,</w:t>
      </w:r>
      <w:r w:rsidRPr="004D2067">
        <w:rPr>
          <w:szCs w:val="26"/>
        </w:rPr>
        <w:t xml:space="preserve"> the Commission did not have enough information to determine the cost-effectiveness of peak demand reduction programs and only permitted EDCs to voluntarily offer </w:t>
      </w:r>
      <w:r>
        <w:rPr>
          <w:szCs w:val="26"/>
        </w:rPr>
        <w:t xml:space="preserve">cost-effective </w:t>
      </w:r>
      <w:r w:rsidRPr="004D2067">
        <w:rPr>
          <w:szCs w:val="26"/>
        </w:rPr>
        <w:t>demand reduction programs.</w:t>
      </w:r>
      <w:r w:rsidRPr="004D2067">
        <w:rPr>
          <w:rStyle w:val="FootnoteReference"/>
          <w:szCs w:val="26"/>
        </w:rPr>
        <w:footnoteReference w:id="6"/>
      </w:r>
      <w:r w:rsidRPr="004D2067">
        <w:rPr>
          <w:szCs w:val="26"/>
        </w:rPr>
        <w:t xml:space="preserve">  </w:t>
      </w:r>
    </w:p>
    <w:p w14:paraId="4D6E4F1E" w14:textId="77777777" w:rsidR="003A756D" w:rsidRPr="00924F1A" w:rsidRDefault="003A756D" w:rsidP="0009548F">
      <w:pPr>
        <w:pStyle w:val="p3"/>
        <w:widowControl/>
        <w:tabs>
          <w:tab w:val="clear" w:pos="204"/>
        </w:tabs>
        <w:spacing w:line="360" w:lineRule="auto"/>
        <w:rPr>
          <w:szCs w:val="26"/>
        </w:rPr>
      </w:pPr>
    </w:p>
    <w:p w14:paraId="2036A350" w14:textId="78BA09E6" w:rsidR="00A91F4C" w:rsidRPr="00924F1A" w:rsidRDefault="003C2708" w:rsidP="00924F1A">
      <w:pPr>
        <w:spacing w:line="360" w:lineRule="auto"/>
        <w:rPr>
          <w:sz w:val="26"/>
          <w:szCs w:val="26"/>
        </w:rPr>
      </w:pPr>
      <w:r w:rsidRPr="00924F1A">
        <w:rPr>
          <w:sz w:val="26"/>
          <w:szCs w:val="26"/>
        </w:rPr>
        <w:tab/>
      </w:r>
      <w:r w:rsidR="00A91F4C" w:rsidRPr="00924F1A">
        <w:rPr>
          <w:sz w:val="26"/>
          <w:szCs w:val="26"/>
        </w:rPr>
        <w:t>The Commission determined in its Phase III Implementation Order that additional reductions in consumption</w:t>
      </w:r>
      <w:r w:rsidR="006F148F" w:rsidRPr="00924F1A">
        <w:rPr>
          <w:sz w:val="26"/>
          <w:szCs w:val="26"/>
        </w:rPr>
        <w:t xml:space="preserve"> and peak demand</w:t>
      </w:r>
      <w:r w:rsidR="00A91F4C" w:rsidRPr="00924F1A">
        <w:rPr>
          <w:sz w:val="26"/>
          <w:szCs w:val="26"/>
        </w:rPr>
        <w:t xml:space="preserve"> were cost-effective and therefore prescribed </w:t>
      </w:r>
      <w:r w:rsidR="00AF4B07">
        <w:rPr>
          <w:sz w:val="26"/>
          <w:szCs w:val="26"/>
        </w:rPr>
        <w:t xml:space="preserve">reductions </w:t>
      </w:r>
      <w:r w:rsidR="0089377F">
        <w:rPr>
          <w:sz w:val="26"/>
          <w:szCs w:val="26"/>
        </w:rPr>
        <w:t xml:space="preserve">in consumption and peak demand </w:t>
      </w:r>
      <w:r w:rsidR="00A91F4C" w:rsidRPr="00924F1A">
        <w:rPr>
          <w:sz w:val="26"/>
          <w:szCs w:val="26"/>
        </w:rPr>
        <w:t>targets to be met by May 31, 2021.</w:t>
      </w:r>
      <w:r w:rsidR="00A91F4C" w:rsidRPr="00924F1A">
        <w:rPr>
          <w:rStyle w:val="FootnoteReference"/>
          <w:sz w:val="26"/>
          <w:szCs w:val="26"/>
        </w:rPr>
        <w:footnoteReference w:id="7"/>
      </w:r>
      <w:r w:rsidR="006F148F" w:rsidRPr="00924F1A">
        <w:rPr>
          <w:sz w:val="26"/>
          <w:szCs w:val="26"/>
        </w:rPr>
        <w:t xml:space="preserve"> </w:t>
      </w:r>
    </w:p>
    <w:p w14:paraId="1153F5BC" w14:textId="77777777" w:rsidR="00075F96" w:rsidRPr="00A33278" w:rsidRDefault="00075F96" w:rsidP="0009548F">
      <w:pPr>
        <w:pStyle w:val="p3"/>
        <w:widowControl/>
        <w:tabs>
          <w:tab w:val="clear" w:pos="204"/>
          <w:tab w:val="left" w:pos="1993"/>
        </w:tabs>
        <w:spacing w:line="360" w:lineRule="auto"/>
        <w:rPr>
          <w:szCs w:val="26"/>
        </w:rPr>
      </w:pPr>
    </w:p>
    <w:p w14:paraId="606E08F2" w14:textId="5669A26C" w:rsidR="003C2708" w:rsidRPr="00DC3CA6" w:rsidRDefault="00075F96" w:rsidP="0009548F">
      <w:pPr>
        <w:pStyle w:val="p3"/>
        <w:widowControl/>
        <w:tabs>
          <w:tab w:val="clear" w:pos="204"/>
        </w:tabs>
        <w:spacing w:line="360" w:lineRule="auto"/>
        <w:rPr>
          <w:szCs w:val="26"/>
        </w:rPr>
      </w:pPr>
      <w:r w:rsidRPr="00924F1A">
        <w:rPr>
          <w:szCs w:val="26"/>
        </w:rPr>
        <w:tab/>
      </w:r>
      <w:r w:rsidR="005509AA" w:rsidRPr="00924F1A">
        <w:rPr>
          <w:szCs w:val="26"/>
        </w:rPr>
        <w:t>In preparation for a potential Phase IV, the Commission</w:t>
      </w:r>
      <w:r w:rsidR="003B1AD1" w:rsidRPr="00924F1A">
        <w:rPr>
          <w:szCs w:val="26"/>
        </w:rPr>
        <w:t xml:space="preserve"> tasked the </w:t>
      </w:r>
      <w:r w:rsidR="002732F4" w:rsidRPr="00924F1A">
        <w:rPr>
          <w:szCs w:val="26"/>
        </w:rPr>
        <w:t xml:space="preserve">Phase III </w:t>
      </w:r>
      <w:r w:rsidRPr="00924F1A">
        <w:rPr>
          <w:szCs w:val="26"/>
        </w:rPr>
        <w:t xml:space="preserve">SWE with performing </w:t>
      </w:r>
      <w:r w:rsidR="00C47561">
        <w:rPr>
          <w:szCs w:val="26"/>
        </w:rPr>
        <w:t xml:space="preserve">an </w:t>
      </w:r>
      <w:r w:rsidRPr="00924F1A">
        <w:rPr>
          <w:szCs w:val="26"/>
        </w:rPr>
        <w:t>energy efficiency</w:t>
      </w:r>
      <w:r w:rsidR="00C47561">
        <w:rPr>
          <w:szCs w:val="26"/>
        </w:rPr>
        <w:t xml:space="preserve"> and peak demand reduction</w:t>
      </w:r>
      <w:r w:rsidR="00A91F4C" w:rsidRPr="00924F1A">
        <w:rPr>
          <w:szCs w:val="26"/>
        </w:rPr>
        <w:t xml:space="preserve"> </w:t>
      </w:r>
      <w:r w:rsidR="00EB34EE" w:rsidRPr="00924F1A">
        <w:rPr>
          <w:szCs w:val="26"/>
        </w:rPr>
        <w:t>(EE</w:t>
      </w:r>
      <w:r w:rsidR="00C47561">
        <w:rPr>
          <w:szCs w:val="26"/>
        </w:rPr>
        <w:t>PDR</w:t>
      </w:r>
      <w:r w:rsidR="00EB34EE" w:rsidRPr="00924F1A">
        <w:rPr>
          <w:szCs w:val="26"/>
        </w:rPr>
        <w:t>)</w:t>
      </w:r>
      <w:r w:rsidR="00A91F4C" w:rsidRPr="00924F1A">
        <w:rPr>
          <w:szCs w:val="26"/>
        </w:rPr>
        <w:t xml:space="preserve"> </w:t>
      </w:r>
      <w:r w:rsidR="00C47561">
        <w:rPr>
          <w:szCs w:val="26"/>
        </w:rPr>
        <w:t>potential study, as well as a dispatchable</w:t>
      </w:r>
      <w:r w:rsidR="00A91F4C" w:rsidRPr="00924F1A">
        <w:rPr>
          <w:szCs w:val="26"/>
        </w:rPr>
        <w:t xml:space="preserve"> demand response</w:t>
      </w:r>
      <w:r w:rsidRPr="00924F1A">
        <w:rPr>
          <w:szCs w:val="26"/>
        </w:rPr>
        <w:t xml:space="preserve"> </w:t>
      </w:r>
      <w:r w:rsidR="00EB34EE" w:rsidRPr="00924F1A">
        <w:rPr>
          <w:szCs w:val="26"/>
        </w:rPr>
        <w:t>(D</w:t>
      </w:r>
      <w:r w:rsidR="00C47561">
        <w:rPr>
          <w:szCs w:val="26"/>
        </w:rPr>
        <w:t>D</w:t>
      </w:r>
      <w:r w:rsidR="00EB34EE" w:rsidRPr="00924F1A">
        <w:rPr>
          <w:szCs w:val="26"/>
        </w:rPr>
        <w:t>R)</w:t>
      </w:r>
      <w:r w:rsidRPr="00924F1A">
        <w:rPr>
          <w:szCs w:val="26"/>
        </w:rPr>
        <w:t xml:space="preserve"> potential </w:t>
      </w:r>
      <w:r w:rsidR="00A91F4C" w:rsidRPr="00924F1A">
        <w:rPr>
          <w:szCs w:val="26"/>
        </w:rPr>
        <w:t>stud</w:t>
      </w:r>
      <w:r w:rsidR="00C47561">
        <w:rPr>
          <w:szCs w:val="26"/>
        </w:rPr>
        <w:t>y</w:t>
      </w:r>
      <w:r w:rsidR="00A91F4C" w:rsidRPr="00924F1A">
        <w:rPr>
          <w:szCs w:val="26"/>
        </w:rPr>
        <w:t xml:space="preserve"> </w:t>
      </w:r>
      <w:r w:rsidRPr="00924F1A">
        <w:rPr>
          <w:szCs w:val="26"/>
        </w:rPr>
        <w:t xml:space="preserve">to determine the cost-effective consumption </w:t>
      </w:r>
      <w:r w:rsidR="006D2174">
        <w:rPr>
          <w:szCs w:val="26"/>
        </w:rPr>
        <w:t xml:space="preserve">and peak demand </w:t>
      </w:r>
      <w:r w:rsidRPr="00924F1A">
        <w:rPr>
          <w:szCs w:val="26"/>
        </w:rPr>
        <w:t xml:space="preserve">reduction potential in Pennsylvania.  The SWE submitted its </w:t>
      </w:r>
      <w:r w:rsidR="00DC3CA6" w:rsidRPr="00924F1A">
        <w:rPr>
          <w:szCs w:val="26"/>
        </w:rPr>
        <w:t xml:space="preserve">final </w:t>
      </w:r>
      <w:r w:rsidR="00116D3D" w:rsidRPr="00924F1A">
        <w:rPr>
          <w:i/>
          <w:iCs/>
          <w:szCs w:val="26"/>
        </w:rPr>
        <w:t xml:space="preserve">Pennsylvania Act 129 Phase IV </w:t>
      </w:r>
      <w:r w:rsidRPr="00924F1A">
        <w:rPr>
          <w:i/>
          <w:szCs w:val="26"/>
        </w:rPr>
        <w:t xml:space="preserve">Energy Efficiency </w:t>
      </w:r>
      <w:r w:rsidR="003B32B3">
        <w:rPr>
          <w:i/>
          <w:szCs w:val="26"/>
        </w:rPr>
        <w:t>and Peak Demand Re</w:t>
      </w:r>
      <w:r w:rsidR="002C71EA">
        <w:rPr>
          <w:i/>
          <w:szCs w:val="26"/>
        </w:rPr>
        <w:t xml:space="preserve">duction </w:t>
      </w:r>
      <w:r w:rsidR="00116D3D" w:rsidRPr="00924F1A">
        <w:rPr>
          <w:i/>
          <w:szCs w:val="26"/>
        </w:rPr>
        <w:t xml:space="preserve">Market </w:t>
      </w:r>
      <w:r w:rsidRPr="00924F1A">
        <w:rPr>
          <w:i/>
          <w:szCs w:val="26"/>
        </w:rPr>
        <w:t>Potential Study</w:t>
      </w:r>
      <w:r w:rsidR="00DC3CA6" w:rsidRPr="00924F1A">
        <w:rPr>
          <w:szCs w:val="26"/>
        </w:rPr>
        <w:t xml:space="preserve"> </w:t>
      </w:r>
      <w:r w:rsidR="00A91F4C" w:rsidRPr="00924F1A">
        <w:rPr>
          <w:szCs w:val="26"/>
        </w:rPr>
        <w:t xml:space="preserve">and </w:t>
      </w:r>
      <w:r w:rsidR="00C33B35" w:rsidRPr="00924F1A">
        <w:rPr>
          <w:i/>
          <w:iCs/>
          <w:szCs w:val="26"/>
        </w:rPr>
        <w:t xml:space="preserve">Pennsylvania Act 129 Phase IV </w:t>
      </w:r>
      <w:r w:rsidR="00A91F4C" w:rsidRPr="00924F1A">
        <w:rPr>
          <w:i/>
          <w:szCs w:val="26"/>
        </w:rPr>
        <w:t xml:space="preserve">Demand Response Potential Study </w:t>
      </w:r>
      <w:r w:rsidR="00DC3CA6" w:rsidRPr="00924F1A">
        <w:rPr>
          <w:szCs w:val="26"/>
        </w:rPr>
        <w:t xml:space="preserve">to the Commission on February </w:t>
      </w:r>
      <w:r w:rsidR="000813BF" w:rsidRPr="00924F1A">
        <w:rPr>
          <w:szCs w:val="26"/>
        </w:rPr>
        <w:t>2</w:t>
      </w:r>
      <w:r w:rsidR="00E86859">
        <w:rPr>
          <w:szCs w:val="26"/>
        </w:rPr>
        <w:t>8</w:t>
      </w:r>
      <w:r w:rsidR="000813BF" w:rsidRPr="00924F1A">
        <w:rPr>
          <w:szCs w:val="26"/>
        </w:rPr>
        <w:t>,</w:t>
      </w:r>
      <w:r w:rsidR="00DC3CA6" w:rsidRPr="00924F1A">
        <w:rPr>
          <w:szCs w:val="26"/>
        </w:rPr>
        <w:t xml:space="preserve"> </w:t>
      </w:r>
      <w:r w:rsidR="00A91F4C" w:rsidRPr="00924F1A">
        <w:rPr>
          <w:szCs w:val="26"/>
        </w:rPr>
        <w:t>202</w:t>
      </w:r>
      <w:r w:rsidR="009A5956" w:rsidRPr="00924F1A">
        <w:rPr>
          <w:szCs w:val="26"/>
        </w:rPr>
        <w:t>0</w:t>
      </w:r>
      <w:r w:rsidRPr="00924F1A">
        <w:rPr>
          <w:szCs w:val="26"/>
        </w:rPr>
        <w:t>.</w:t>
      </w:r>
      <w:r w:rsidR="00DC3CA6" w:rsidRPr="00A33278">
        <w:rPr>
          <w:rStyle w:val="FootnoteReference"/>
          <w:szCs w:val="26"/>
        </w:rPr>
        <w:footnoteReference w:id="8"/>
      </w:r>
      <w:r w:rsidRPr="00A33278">
        <w:rPr>
          <w:szCs w:val="26"/>
        </w:rPr>
        <w:t xml:space="preserve">  </w:t>
      </w:r>
      <w:r w:rsidR="00DC3CA6" w:rsidRPr="00EB34EE">
        <w:rPr>
          <w:szCs w:val="26"/>
        </w:rPr>
        <w:t xml:space="preserve">The </w:t>
      </w:r>
      <w:r w:rsidR="006B5B9B" w:rsidRPr="00EB34EE">
        <w:rPr>
          <w:szCs w:val="26"/>
        </w:rPr>
        <w:t>EE</w:t>
      </w:r>
      <w:r w:rsidR="00C47561">
        <w:rPr>
          <w:szCs w:val="26"/>
        </w:rPr>
        <w:t>PDR</w:t>
      </w:r>
      <w:r w:rsidR="006B5B9B" w:rsidRPr="00EB34EE">
        <w:rPr>
          <w:szCs w:val="26"/>
        </w:rPr>
        <w:t xml:space="preserve"> and </w:t>
      </w:r>
      <w:r w:rsidR="00ED1C64" w:rsidRPr="00EB34EE">
        <w:rPr>
          <w:szCs w:val="26"/>
        </w:rPr>
        <w:t>D</w:t>
      </w:r>
      <w:r w:rsidR="00C47561">
        <w:rPr>
          <w:szCs w:val="26"/>
        </w:rPr>
        <w:t>D</w:t>
      </w:r>
      <w:r w:rsidR="00ED1C64" w:rsidRPr="00EB34EE">
        <w:rPr>
          <w:szCs w:val="26"/>
        </w:rPr>
        <w:t>R Potential Stud</w:t>
      </w:r>
      <w:r w:rsidR="006B5B9B" w:rsidRPr="00EB34EE">
        <w:rPr>
          <w:szCs w:val="26"/>
        </w:rPr>
        <w:t>ies were</w:t>
      </w:r>
      <w:r w:rsidR="00ED1C64" w:rsidRPr="00EB34EE">
        <w:rPr>
          <w:szCs w:val="26"/>
        </w:rPr>
        <w:t xml:space="preserve"> released publicly via Secretarial Letter served </w:t>
      </w:r>
      <w:r w:rsidR="00E86859">
        <w:rPr>
          <w:szCs w:val="26"/>
        </w:rPr>
        <w:t>March 2</w:t>
      </w:r>
      <w:r w:rsidR="00ED1C64" w:rsidRPr="000813BF">
        <w:rPr>
          <w:szCs w:val="26"/>
        </w:rPr>
        <w:t>, 20</w:t>
      </w:r>
      <w:r w:rsidR="00A91F4C" w:rsidRPr="000813BF">
        <w:rPr>
          <w:szCs w:val="26"/>
        </w:rPr>
        <w:t>2</w:t>
      </w:r>
      <w:r w:rsidR="004159A4" w:rsidRPr="000813BF">
        <w:rPr>
          <w:szCs w:val="26"/>
        </w:rPr>
        <w:t>0</w:t>
      </w:r>
      <w:r w:rsidR="00ED1C64" w:rsidRPr="00EB34EE">
        <w:rPr>
          <w:szCs w:val="26"/>
        </w:rPr>
        <w:t>.</w:t>
      </w:r>
      <w:r w:rsidR="00ED1C64" w:rsidRPr="00EB34EE">
        <w:rPr>
          <w:rStyle w:val="FootnoteReference"/>
          <w:szCs w:val="26"/>
        </w:rPr>
        <w:footnoteReference w:id="9"/>
      </w:r>
      <w:r w:rsidR="00ED1C64" w:rsidRPr="00DC3CA6">
        <w:rPr>
          <w:szCs w:val="26"/>
        </w:rPr>
        <w:t xml:space="preserve">  </w:t>
      </w:r>
    </w:p>
    <w:p w14:paraId="5EDAD861" w14:textId="1B916887" w:rsidR="002719B7" w:rsidRPr="00235CED" w:rsidRDefault="002719B7" w:rsidP="00F71262">
      <w:pPr>
        <w:pStyle w:val="p3"/>
        <w:widowControl/>
        <w:tabs>
          <w:tab w:val="clear" w:pos="204"/>
        </w:tabs>
        <w:spacing w:line="360" w:lineRule="auto"/>
        <w:rPr>
          <w:szCs w:val="26"/>
        </w:rPr>
      </w:pPr>
    </w:p>
    <w:p w14:paraId="3B8CB712" w14:textId="4769428C" w:rsidR="001A67C3" w:rsidRDefault="002719B7" w:rsidP="0009548F">
      <w:pPr>
        <w:pStyle w:val="p3"/>
        <w:widowControl/>
        <w:tabs>
          <w:tab w:val="clear" w:pos="204"/>
        </w:tabs>
        <w:spacing w:line="360" w:lineRule="auto"/>
        <w:rPr>
          <w:szCs w:val="26"/>
        </w:rPr>
      </w:pPr>
      <w:r w:rsidRPr="00235CED">
        <w:rPr>
          <w:szCs w:val="26"/>
        </w:rPr>
        <w:tab/>
      </w:r>
    </w:p>
    <w:p w14:paraId="20580907" w14:textId="77777777" w:rsidR="002719B7" w:rsidRPr="00B91EE6" w:rsidRDefault="002719B7" w:rsidP="002339A4">
      <w:pPr>
        <w:pStyle w:val="Heading1"/>
        <w:rPr>
          <w:szCs w:val="26"/>
        </w:rPr>
      </w:pPr>
      <w:bookmarkStart w:id="2" w:name="_Toc33781993"/>
      <w:r w:rsidRPr="00B91EE6">
        <w:rPr>
          <w:szCs w:val="26"/>
        </w:rPr>
        <w:lastRenderedPageBreak/>
        <w:t>DISCUSSION</w:t>
      </w:r>
      <w:bookmarkEnd w:id="2"/>
    </w:p>
    <w:p w14:paraId="2C83EF59" w14:textId="6EC8E689" w:rsidR="00D94A66" w:rsidRPr="00B91EE6" w:rsidRDefault="002719B7" w:rsidP="00D94A66">
      <w:pPr>
        <w:tabs>
          <w:tab w:val="left" w:pos="204"/>
        </w:tabs>
        <w:autoSpaceDE w:val="0"/>
        <w:autoSpaceDN w:val="0"/>
        <w:adjustRightInd w:val="0"/>
        <w:spacing w:line="360" w:lineRule="auto"/>
        <w:ind w:firstLine="720"/>
        <w:rPr>
          <w:sz w:val="26"/>
          <w:szCs w:val="26"/>
        </w:rPr>
      </w:pPr>
      <w:r w:rsidRPr="00B91EE6">
        <w:rPr>
          <w:sz w:val="26"/>
          <w:szCs w:val="26"/>
        </w:rPr>
        <w:t xml:space="preserve">In this </w:t>
      </w:r>
      <w:r w:rsidR="00EA7B29" w:rsidRPr="00B91EE6">
        <w:rPr>
          <w:sz w:val="26"/>
          <w:szCs w:val="26"/>
        </w:rPr>
        <w:t>Order</w:t>
      </w:r>
      <w:r w:rsidR="00986FFA">
        <w:rPr>
          <w:sz w:val="26"/>
          <w:szCs w:val="26"/>
        </w:rPr>
        <w:t>,</w:t>
      </w:r>
      <w:r w:rsidRPr="00B91EE6">
        <w:rPr>
          <w:sz w:val="26"/>
          <w:szCs w:val="26"/>
        </w:rPr>
        <w:t xml:space="preserve"> the Commission will </w:t>
      </w:r>
      <w:r w:rsidR="00EF0A8E" w:rsidRPr="00B91EE6">
        <w:rPr>
          <w:sz w:val="26"/>
          <w:szCs w:val="26"/>
        </w:rPr>
        <w:t>present its evaluation of the cost</w:t>
      </w:r>
      <w:r w:rsidR="001D61CC" w:rsidRPr="00B91EE6">
        <w:rPr>
          <w:sz w:val="26"/>
          <w:szCs w:val="26"/>
        </w:rPr>
        <w:t>-</w:t>
      </w:r>
      <w:r w:rsidR="00EF0A8E" w:rsidRPr="00B91EE6">
        <w:rPr>
          <w:sz w:val="26"/>
          <w:szCs w:val="26"/>
        </w:rPr>
        <w:t xml:space="preserve">effectiveness of the </w:t>
      </w:r>
      <w:r w:rsidRPr="00B91EE6">
        <w:rPr>
          <w:sz w:val="26"/>
          <w:szCs w:val="26"/>
        </w:rPr>
        <w:t xml:space="preserve">EE&amp;C Program </w:t>
      </w:r>
      <w:r w:rsidR="00EF0A8E" w:rsidRPr="00B91EE6">
        <w:rPr>
          <w:sz w:val="26"/>
          <w:szCs w:val="26"/>
        </w:rPr>
        <w:t>and any proposed additional required incremental reductions in consumption</w:t>
      </w:r>
      <w:r w:rsidR="00A51586" w:rsidRPr="00B91EE6">
        <w:rPr>
          <w:sz w:val="26"/>
          <w:szCs w:val="26"/>
        </w:rPr>
        <w:t xml:space="preserve"> and peak demand</w:t>
      </w:r>
      <w:r w:rsidR="00EF0A8E" w:rsidRPr="00B91EE6">
        <w:rPr>
          <w:sz w:val="26"/>
          <w:szCs w:val="26"/>
        </w:rPr>
        <w:t xml:space="preserve">.  In addition, we will </w:t>
      </w:r>
      <w:r w:rsidR="00CB0C7A" w:rsidRPr="00B91EE6">
        <w:rPr>
          <w:sz w:val="26"/>
          <w:szCs w:val="26"/>
        </w:rPr>
        <w:t xml:space="preserve">outline our proposals </w:t>
      </w:r>
      <w:r w:rsidRPr="00B91EE6">
        <w:rPr>
          <w:sz w:val="26"/>
          <w:szCs w:val="26"/>
        </w:rPr>
        <w:t>addressing the issues delineated in Section 2806.1(a) of the Act</w:t>
      </w:r>
      <w:r w:rsidR="00F96315" w:rsidRPr="00B91EE6">
        <w:rPr>
          <w:sz w:val="26"/>
          <w:szCs w:val="26"/>
        </w:rPr>
        <w:t>, 66 Pa. C.S. §</w:t>
      </w:r>
      <w:r w:rsidR="00036C16" w:rsidRPr="00B91EE6">
        <w:rPr>
          <w:sz w:val="26"/>
          <w:szCs w:val="26"/>
        </w:rPr>
        <w:t> 2806.1(a)</w:t>
      </w:r>
      <w:r w:rsidR="00D94A66" w:rsidRPr="00B91EE6">
        <w:rPr>
          <w:sz w:val="26"/>
          <w:szCs w:val="26"/>
        </w:rPr>
        <w:t>,</w:t>
      </w:r>
      <w:r w:rsidR="005370F5" w:rsidRPr="00B91EE6">
        <w:rPr>
          <w:sz w:val="26"/>
          <w:szCs w:val="26"/>
        </w:rPr>
        <w:t xml:space="preserve"> for establishing Phase </w:t>
      </w:r>
      <w:r w:rsidR="00E314D1" w:rsidRPr="00B91EE6">
        <w:rPr>
          <w:sz w:val="26"/>
          <w:szCs w:val="26"/>
        </w:rPr>
        <w:t xml:space="preserve">IV </w:t>
      </w:r>
      <w:r w:rsidR="005370F5" w:rsidRPr="00B91EE6">
        <w:rPr>
          <w:sz w:val="26"/>
          <w:szCs w:val="26"/>
        </w:rPr>
        <w:t>of the EE&amp;C Program</w:t>
      </w:r>
      <w:r w:rsidRPr="00B91EE6">
        <w:rPr>
          <w:sz w:val="26"/>
          <w:szCs w:val="26"/>
        </w:rPr>
        <w:t xml:space="preserve">.  </w:t>
      </w:r>
      <w:r w:rsidR="00CB0C7A" w:rsidRPr="00B91EE6">
        <w:rPr>
          <w:sz w:val="26"/>
          <w:szCs w:val="26"/>
        </w:rPr>
        <w:t xml:space="preserve">We seek comments on the evaluation of the EE&amp;C Program, the proposed additional required incremental reductions in consumption </w:t>
      </w:r>
      <w:r w:rsidR="008A62F6" w:rsidRPr="00B91EE6">
        <w:rPr>
          <w:sz w:val="26"/>
          <w:szCs w:val="26"/>
        </w:rPr>
        <w:t>and peak demand</w:t>
      </w:r>
      <w:r w:rsidR="00EC0B7C" w:rsidRPr="00B91EE6">
        <w:rPr>
          <w:sz w:val="26"/>
          <w:szCs w:val="26"/>
        </w:rPr>
        <w:t xml:space="preserve"> shown in </w:t>
      </w:r>
      <w:r w:rsidR="00EC0B7C" w:rsidRPr="00B91EE6">
        <w:rPr>
          <w:sz w:val="26"/>
          <w:szCs w:val="26"/>
        </w:rPr>
        <w:fldChar w:fldCharType="begin"/>
      </w:r>
      <w:r w:rsidR="00EC0B7C" w:rsidRPr="00B91EE6">
        <w:rPr>
          <w:sz w:val="26"/>
          <w:szCs w:val="26"/>
        </w:rPr>
        <w:instrText xml:space="preserve"> REF _Ref33461552 \h  \* MERGEFORMAT </w:instrText>
      </w:r>
      <w:r w:rsidR="00EC0B7C" w:rsidRPr="00B91EE6">
        <w:rPr>
          <w:sz w:val="26"/>
          <w:szCs w:val="26"/>
        </w:rPr>
      </w:r>
      <w:r w:rsidR="00EC0B7C" w:rsidRPr="00B91EE6">
        <w:rPr>
          <w:sz w:val="26"/>
          <w:szCs w:val="26"/>
        </w:rPr>
        <w:fldChar w:fldCharType="separate"/>
      </w:r>
      <w:r w:rsidR="00BB1E55" w:rsidRPr="00BB1E55">
        <w:rPr>
          <w:szCs w:val="26"/>
        </w:rPr>
        <w:t>Table 1</w:t>
      </w:r>
      <w:r w:rsidR="00EC0B7C" w:rsidRPr="00B91EE6">
        <w:rPr>
          <w:sz w:val="26"/>
          <w:szCs w:val="26"/>
        </w:rPr>
        <w:fldChar w:fldCharType="end"/>
      </w:r>
      <w:r w:rsidR="008A62F6" w:rsidRPr="00B91EE6">
        <w:rPr>
          <w:sz w:val="26"/>
          <w:szCs w:val="26"/>
        </w:rPr>
        <w:t xml:space="preserve">, as well as on </w:t>
      </w:r>
      <w:r w:rsidR="00CB0C7A" w:rsidRPr="00B91EE6">
        <w:rPr>
          <w:sz w:val="26"/>
          <w:szCs w:val="26"/>
        </w:rPr>
        <w:t>the proposals addressing the design and implementation of the</w:t>
      </w:r>
      <w:r w:rsidR="00353488" w:rsidRPr="00B91EE6">
        <w:rPr>
          <w:sz w:val="26"/>
          <w:szCs w:val="26"/>
        </w:rPr>
        <w:t xml:space="preserve"> next round of </w:t>
      </w:r>
      <w:r w:rsidR="005370F5" w:rsidRPr="00B91EE6">
        <w:rPr>
          <w:sz w:val="26"/>
          <w:szCs w:val="26"/>
        </w:rPr>
        <w:t xml:space="preserve">the </w:t>
      </w:r>
      <w:r w:rsidR="00CB0C7A" w:rsidRPr="00B91EE6">
        <w:rPr>
          <w:sz w:val="26"/>
          <w:szCs w:val="26"/>
        </w:rPr>
        <w:t xml:space="preserve">EE&amp;C </w:t>
      </w:r>
      <w:r w:rsidR="00174B7D" w:rsidRPr="00B91EE6">
        <w:rPr>
          <w:sz w:val="26"/>
          <w:szCs w:val="26"/>
        </w:rPr>
        <w:t>Program</w:t>
      </w:r>
      <w:r w:rsidRPr="00B91EE6">
        <w:rPr>
          <w:sz w:val="26"/>
          <w:szCs w:val="26"/>
        </w:rPr>
        <w:t>.</w:t>
      </w:r>
      <w:r w:rsidR="00D94A66" w:rsidRPr="00B91EE6">
        <w:rPr>
          <w:sz w:val="26"/>
          <w:szCs w:val="26"/>
        </w:rPr>
        <w:t xml:space="preserve">  The Commission proposes to implement a five-year Phase IV of the Act 129 EE&amp;C Program that would operate from June 1, 2021 through May 31, 2026.</w:t>
      </w:r>
      <w:r w:rsidR="00D94A66" w:rsidRPr="00B91EE6" w:rsidDel="0016671E">
        <w:rPr>
          <w:sz w:val="26"/>
          <w:szCs w:val="26"/>
        </w:rPr>
        <w:t xml:space="preserve"> </w:t>
      </w:r>
      <w:r w:rsidR="00D94A66" w:rsidRPr="00B91EE6">
        <w:rPr>
          <w:sz w:val="26"/>
          <w:szCs w:val="26"/>
        </w:rPr>
        <w:t xml:space="preserve"> We note that the EE&amp;C Programs have matured enough so that EDCs can increase their focus on more comprehensive measures which tend to require greater implementation timeframes.</w:t>
      </w:r>
    </w:p>
    <w:p w14:paraId="6C5F2310" w14:textId="5C81EA25" w:rsidR="002719B7" w:rsidRDefault="002719B7" w:rsidP="0009548F">
      <w:pPr>
        <w:pStyle w:val="p3"/>
        <w:widowControl/>
        <w:spacing w:line="360" w:lineRule="auto"/>
        <w:ind w:firstLine="720"/>
        <w:rPr>
          <w:szCs w:val="26"/>
        </w:rPr>
      </w:pPr>
    </w:p>
    <w:p w14:paraId="2BD948A1" w14:textId="0E0C54C6" w:rsidR="00EC0B7C" w:rsidRPr="00225AF0" w:rsidRDefault="00EC0B7C" w:rsidP="00EB662B">
      <w:pPr>
        <w:pStyle w:val="Caption"/>
        <w:keepNext/>
        <w:jc w:val="center"/>
        <w:rPr>
          <w:rStyle w:val="Style11ptBold1"/>
          <w:i w:val="0"/>
          <w:iCs w:val="0"/>
          <w:color w:val="auto"/>
        </w:rPr>
      </w:pPr>
      <w:bookmarkStart w:id="3" w:name="_Ref33461552"/>
      <w:r w:rsidRPr="0058211B">
        <w:rPr>
          <w:rStyle w:val="Style11ptBold1"/>
          <w:i w:val="0"/>
          <w:iCs w:val="0"/>
          <w:color w:val="auto"/>
        </w:rPr>
        <w:t xml:space="preserve">Table </w:t>
      </w:r>
      <w:r w:rsidRPr="0058211B">
        <w:rPr>
          <w:rStyle w:val="Style11ptBold1"/>
          <w:i w:val="0"/>
          <w:iCs w:val="0"/>
          <w:color w:val="auto"/>
        </w:rPr>
        <w:fldChar w:fldCharType="begin"/>
      </w:r>
      <w:r w:rsidRPr="0058211B">
        <w:rPr>
          <w:rStyle w:val="Style11ptBold1"/>
          <w:i w:val="0"/>
          <w:iCs w:val="0"/>
          <w:color w:val="auto"/>
        </w:rPr>
        <w:instrText xml:space="preserve"> SEQ Table \* ARABIC </w:instrText>
      </w:r>
      <w:r w:rsidRPr="0058211B">
        <w:rPr>
          <w:rStyle w:val="Style11ptBold1"/>
          <w:i w:val="0"/>
          <w:iCs w:val="0"/>
          <w:color w:val="auto"/>
        </w:rPr>
        <w:fldChar w:fldCharType="separate"/>
      </w:r>
      <w:r w:rsidR="00BB1E55">
        <w:rPr>
          <w:rStyle w:val="Style11ptBold1"/>
          <w:i w:val="0"/>
          <w:iCs w:val="0"/>
          <w:noProof/>
          <w:color w:val="auto"/>
        </w:rPr>
        <w:t>1</w:t>
      </w:r>
      <w:r w:rsidRPr="0058211B">
        <w:rPr>
          <w:rStyle w:val="Style11ptBold1"/>
          <w:i w:val="0"/>
          <w:iCs w:val="0"/>
          <w:color w:val="auto"/>
        </w:rPr>
        <w:fldChar w:fldCharType="end"/>
      </w:r>
      <w:bookmarkEnd w:id="3"/>
      <w:r w:rsidRPr="0058211B">
        <w:rPr>
          <w:rStyle w:val="Style11ptBold1"/>
          <w:i w:val="0"/>
          <w:iCs w:val="0"/>
          <w:color w:val="auto"/>
        </w:rPr>
        <w:t>: Proposed Phase IV Targets, by EDC</w:t>
      </w:r>
    </w:p>
    <w:tbl>
      <w:tblPr>
        <w:tblStyle w:val="ListTable3"/>
        <w:tblW w:w="5000" w:type="pct"/>
        <w:tblLook w:val="04A0" w:firstRow="1" w:lastRow="0" w:firstColumn="1" w:lastColumn="0" w:noHBand="0" w:noVBand="1"/>
      </w:tblPr>
      <w:tblGrid>
        <w:gridCol w:w="3194"/>
        <w:gridCol w:w="3080"/>
        <w:gridCol w:w="3076"/>
      </w:tblGrid>
      <w:tr w:rsidR="00EC0B7C" w:rsidRPr="00924F1A" w14:paraId="00794168" w14:textId="4D38023F" w:rsidTr="00EB662B">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708" w:type="pct"/>
            <w:tcBorders>
              <w:top w:val="single" w:sz="4" w:space="0" w:color="000000" w:themeColor="text1"/>
              <w:bottom w:val="single" w:sz="4" w:space="0" w:color="auto"/>
              <w:right w:val="single" w:sz="4" w:space="0" w:color="FFFFFF" w:themeColor="background1"/>
            </w:tcBorders>
            <w:vAlign w:val="center"/>
          </w:tcPr>
          <w:p w14:paraId="43B2C77E" w14:textId="77777777" w:rsidR="00EC0B7C" w:rsidRPr="00924F1A" w:rsidRDefault="00EC0B7C" w:rsidP="00EC0B7C">
            <w:pPr>
              <w:keepNext/>
              <w:spacing w:before="80" w:after="80"/>
              <w:jc w:val="center"/>
              <w:rPr>
                <w:bCs w:val="0"/>
                <w:sz w:val="26"/>
                <w:szCs w:val="26"/>
              </w:rPr>
            </w:pPr>
            <w:r w:rsidRPr="00924F1A">
              <w:rPr>
                <w:sz w:val="26"/>
                <w:szCs w:val="26"/>
              </w:rPr>
              <w:br w:type="page"/>
              <w:t>EDC</w:t>
            </w:r>
          </w:p>
        </w:tc>
        <w:tc>
          <w:tcPr>
            <w:tcW w:w="1647" w:type="pct"/>
            <w:tcBorders>
              <w:top w:val="single" w:sz="4" w:space="0" w:color="000000" w:themeColor="text1"/>
              <w:left w:val="single" w:sz="4" w:space="0" w:color="FFFFFF" w:themeColor="background1"/>
              <w:bottom w:val="single" w:sz="4" w:space="0" w:color="auto"/>
            </w:tcBorders>
            <w:vAlign w:val="center"/>
          </w:tcPr>
          <w:p w14:paraId="31395B88" w14:textId="280AB8AB" w:rsidR="00EC0B7C" w:rsidRPr="00924F1A" w:rsidRDefault="00EC0B7C">
            <w:pPr>
              <w:keepNext/>
              <w:spacing w:before="80" w:after="80"/>
              <w:jc w:val="center"/>
              <w:cnfStyle w:val="100000000000" w:firstRow="1" w:lastRow="0" w:firstColumn="0" w:lastColumn="0" w:oddVBand="0" w:evenVBand="0" w:oddHBand="0" w:evenHBand="0" w:firstRowFirstColumn="0" w:firstRowLastColumn="0" w:lastRowFirstColumn="0" w:lastRowLastColumn="0"/>
              <w:rPr>
                <w:sz w:val="26"/>
                <w:szCs w:val="26"/>
              </w:rPr>
            </w:pPr>
            <w:r w:rsidRPr="00924F1A">
              <w:rPr>
                <w:sz w:val="26"/>
                <w:szCs w:val="26"/>
              </w:rPr>
              <w:t>Consumption Reduction (MWh)</w:t>
            </w:r>
          </w:p>
        </w:tc>
        <w:tc>
          <w:tcPr>
            <w:tcW w:w="1645" w:type="pct"/>
            <w:tcBorders>
              <w:top w:val="single" w:sz="4" w:space="0" w:color="000000" w:themeColor="text1"/>
              <w:left w:val="single" w:sz="4" w:space="0" w:color="FFFFFF" w:themeColor="background1"/>
              <w:bottom w:val="single" w:sz="4" w:space="0" w:color="auto"/>
            </w:tcBorders>
            <w:vAlign w:val="center"/>
          </w:tcPr>
          <w:p w14:paraId="78BB0F10" w14:textId="33A7A301" w:rsidR="00EC0B7C" w:rsidRPr="00924F1A" w:rsidRDefault="00EC0B7C">
            <w:pPr>
              <w:keepNext/>
              <w:spacing w:before="80" w:after="80"/>
              <w:jc w:val="center"/>
              <w:cnfStyle w:val="100000000000" w:firstRow="1" w:lastRow="0" w:firstColumn="0" w:lastColumn="0" w:oddVBand="0" w:evenVBand="0" w:oddHBand="0" w:evenHBand="0" w:firstRowFirstColumn="0" w:firstRowLastColumn="0" w:lastRowFirstColumn="0" w:lastRowLastColumn="0"/>
              <w:rPr>
                <w:sz w:val="26"/>
                <w:szCs w:val="26"/>
              </w:rPr>
            </w:pPr>
            <w:r w:rsidRPr="00924F1A">
              <w:rPr>
                <w:sz w:val="26"/>
                <w:szCs w:val="26"/>
              </w:rPr>
              <w:t>Peak Demand Reduction (MW)</w:t>
            </w:r>
          </w:p>
        </w:tc>
      </w:tr>
      <w:tr w:rsidR="00EC0B7C" w:rsidRPr="00B26E6F" w14:paraId="5EF067A4" w14:textId="31F6DF37" w:rsidTr="00EB662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8" w:type="pct"/>
            <w:tcBorders>
              <w:top w:val="single" w:sz="4" w:space="0" w:color="auto"/>
              <w:left w:val="single" w:sz="4" w:space="0" w:color="auto"/>
              <w:bottom w:val="single" w:sz="4" w:space="0" w:color="auto"/>
              <w:right w:val="single" w:sz="4" w:space="0" w:color="auto"/>
            </w:tcBorders>
            <w:vAlign w:val="center"/>
          </w:tcPr>
          <w:p w14:paraId="46CEF3D2" w14:textId="77777777" w:rsidR="00EC0B7C" w:rsidRPr="00A33278" w:rsidRDefault="00EC0B7C" w:rsidP="00EB662B">
            <w:pPr>
              <w:keepNext/>
              <w:spacing w:before="80" w:after="80"/>
              <w:jc w:val="center"/>
              <w:rPr>
                <w:b w:val="0"/>
                <w:sz w:val="26"/>
                <w:szCs w:val="26"/>
              </w:rPr>
            </w:pPr>
            <w:r w:rsidRPr="00A33278">
              <w:rPr>
                <w:b w:val="0"/>
                <w:sz w:val="26"/>
                <w:szCs w:val="26"/>
              </w:rPr>
              <w:t>Duquesne Light</w:t>
            </w:r>
          </w:p>
        </w:tc>
        <w:tc>
          <w:tcPr>
            <w:tcW w:w="1647" w:type="pct"/>
            <w:tcBorders>
              <w:top w:val="single" w:sz="4" w:space="0" w:color="auto"/>
              <w:left w:val="single" w:sz="4" w:space="0" w:color="auto"/>
              <w:bottom w:val="single" w:sz="4" w:space="0" w:color="auto"/>
              <w:right w:val="single" w:sz="4" w:space="0" w:color="auto"/>
            </w:tcBorders>
            <w:vAlign w:val="center"/>
          </w:tcPr>
          <w:p w14:paraId="132DCBCE" w14:textId="77777777" w:rsidR="00EC0B7C" w:rsidRPr="00E659EC" w:rsidRDefault="00EC0B7C" w:rsidP="00EC0B7C">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E659EC">
              <w:rPr>
                <w:color w:val="000000"/>
                <w:sz w:val="26"/>
                <w:szCs w:val="26"/>
              </w:rPr>
              <w:t>347,084</w:t>
            </w:r>
          </w:p>
        </w:tc>
        <w:tc>
          <w:tcPr>
            <w:tcW w:w="1645" w:type="pct"/>
            <w:tcBorders>
              <w:top w:val="single" w:sz="4" w:space="0" w:color="auto"/>
              <w:left w:val="single" w:sz="4" w:space="0" w:color="auto"/>
              <w:bottom w:val="single" w:sz="4" w:space="0" w:color="auto"/>
              <w:right w:val="single" w:sz="4" w:space="0" w:color="auto"/>
            </w:tcBorders>
            <w:vAlign w:val="center"/>
          </w:tcPr>
          <w:p w14:paraId="66DE1978" w14:textId="59DD2374" w:rsidR="00EC0B7C" w:rsidRPr="00A33278" w:rsidRDefault="00EF5095">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Pr>
                <w:sz w:val="26"/>
                <w:szCs w:val="26"/>
              </w:rPr>
              <w:t>67</w:t>
            </w:r>
          </w:p>
        </w:tc>
      </w:tr>
      <w:tr w:rsidR="00034B44" w:rsidRPr="00B26E6F" w14:paraId="3AB8434C" w14:textId="77777777" w:rsidTr="00EB662B">
        <w:trPr>
          <w:trHeight w:val="315"/>
        </w:trPr>
        <w:tc>
          <w:tcPr>
            <w:cnfStyle w:val="001000000000" w:firstRow="0" w:lastRow="0" w:firstColumn="1" w:lastColumn="0" w:oddVBand="0" w:evenVBand="0" w:oddHBand="0" w:evenHBand="0" w:firstRowFirstColumn="0" w:firstRowLastColumn="0" w:lastRowFirstColumn="0" w:lastRowLastColumn="0"/>
            <w:tcW w:w="1708" w:type="pct"/>
            <w:tcBorders>
              <w:top w:val="single" w:sz="4" w:space="0" w:color="auto"/>
              <w:left w:val="single" w:sz="4" w:space="0" w:color="auto"/>
              <w:bottom w:val="single" w:sz="4" w:space="0" w:color="auto"/>
              <w:right w:val="single" w:sz="4" w:space="0" w:color="auto"/>
            </w:tcBorders>
            <w:vAlign w:val="center"/>
          </w:tcPr>
          <w:p w14:paraId="18A5E753" w14:textId="6DE701A3" w:rsidR="00034B44" w:rsidRPr="00A33278" w:rsidRDefault="00034B44" w:rsidP="00034B44">
            <w:pPr>
              <w:keepNext/>
              <w:spacing w:before="80" w:after="80"/>
              <w:jc w:val="center"/>
              <w:rPr>
                <w:sz w:val="26"/>
                <w:szCs w:val="26"/>
              </w:rPr>
            </w:pPr>
            <w:r w:rsidRPr="00A33278">
              <w:rPr>
                <w:b w:val="0"/>
                <w:sz w:val="26"/>
                <w:szCs w:val="26"/>
              </w:rPr>
              <w:t>PECO</w:t>
            </w:r>
          </w:p>
        </w:tc>
        <w:tc>
          <w:tcPr>
            <w:tcW w:w="1647" w:type="pct"/>
            <w:tcBorders>
              <w:top w:val="single" w:sz="4" w:space="0" w:color="auto"/>
              <w:left w:val="single" w:sz="4" w:space="0" w:color="auto"/>
              <w:bottom w:val="single" w:sz="4" w:space="0" w:color="auto"/>
              <w:right w:val="single" w:sz="4" w:space="0" w:color="auto"/>
            </w:tcBorders>
            <w:vAlign w:val="center"/>
          </w:tcPr>
          <w:p w14:paraId="2FA8269B" w14:textId="5236C446" w:rsidR="00034B44" w:rsidRPr="00E659EC" w:rsidRDefault="00034B44" w:rsidP="00034B44">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6"/>
                <w:szCs w:val="26"/>
              </w:rPr>
            </w:pPr>
            <w:r w:rsidRPr="00E659EC">
              <w:rPr>
                <w:color w:val="000000"/>
                <w:sz w:val="26"/>
                <w:szCs w:val="26"/>
              </w:rPr>
              <w:t>1,380,837</w:t>
            </w:r>
          </w:p>
        </w:tc>
        <w:tc>
          <w:tcPr>
            <w:tcW w:w="1645" w:type="pct"/>
            <w:tcBorders>
              <w:top w:val="single" w:sz="4" w:space="0" w:color="auto"/>
              <w:left w:val="single" w:sz="4" w:space="0" w:color="auto"/>
              <w:bottom w:val="single" w:sz="4" w:space="0" w:color="auto"/>
              <w:right w:val="single" w:sz="4" w:space="0" w:color="auto"/>
            </w:tcBorders>
            <w:vAlign w:val="center"/>
          </w:tcPr>
          <w:p w14:paraId="60DDDEC6" w14:textId="1287AA4F" w:rsidR="00034B44" w:rsidRPr="00924F1A" w:rsidRDefault="00EF5095" w:rsidP="00034B44">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276</w:t>
            </w:r>
          </w:p>
        </w:tc>
      </w:tr>
      <w:tr w:rsidR="00034B44" w:rsidRPr="00B26E6F" w14:paraId="18F7DE30" w14:textId="15302E21" w:rsidTr="00EB662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8" w:type="pct"/>
            <w:tcBorders>
              <w:top w:val="single" w:sz="4" w:space="0" w:color="auto"/>
              <w:left w:val="single" w:sz="4" w:space="0" w:color="auto"/>
              <w:bottom w:val="single" w:sz="4" w:space="0" w:color="auto"/>
              <w:right w:val="single" w:sz="4" w:space="0" w:color="auto"/>
            </w:tcBorders>
            <w:vAlign w:val="center"/>
          </w:tcPr>
          <w:p w14:paraId="47C4D532" w14:textId="77777777" w:rsidR="00034B44" w:rsidRPr="00A33278" w:rsidRDefault="00034B44" w:rsidP="00034B44">
            <w:pPr>
              <w:keepNext/>
              <w:spacing w:before="80" w:after="80"/>
              <w:jc w:val="center"/>
              <w:rPr>
                <w:b w:val="0"/>
                <w:sz w:val="26"/>
                <w:szCs w:val="26"/>
              </w:rPr>
            </w:pPr>
            <w:r w:rsidRPr="00A33278">
              <w:rPr>
                <w:b w:val="0"/>
                <w:sz w:val="26"/>
                <w:szCs w:val="26"/>
              </w:rPr>
              <w:t>PPL</w:t>
            </w:r>
          </w:p>
        </w:tc>
        <w:tc>
          <w:tcPr>
            <w:tcW w:w="1647" w:type="pct"/>
            <w:tcBorders>
              <w:top w:val="single" w:sz="4" w:space="0" w:color="auto"/>
              <w:left w:val="single" w:sz="4" w:space="0" w:color="auto"/>
              <w:bottom w:val="single" w:sz="4" w:space="0" w:color="auto"/>
              <w:right w:val="single" w:sz="4" w:space="0" w:color="auto"/>
            </w:tcBorders>
            <w:vAlign w:val="center"/>
          </w:tcPr>
          <w:p w14:paraId="5C7894F8" w14:textId="77777777" w:rsidR="00034B44" w:rsidRPr="00924F1A" w:rsidRDefault="00034B44" w:rsidP="00034B44">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E659EC">
              <w:rPr>
                <w:color w:val="000000"/>
                <w:sz w:val="26"/>
                <w:szCs w:val="26"/>
              </w:rPr>
              <w:t>1,250,157</w:t>
            </w:r>
          </w:p>
        </w:tc>
        <w:tc>
          <w:tcPr>
            <w:tcW w:w="1645" w:type="pct"/>
            <w:tcBorders>
              <w:top w:val="single" w:sz="4" w:space="0" w:color="auto"/>
              <w:left w:val="single" w:sz="4" w:space="0" w:color="auto"/>
              <w:bottom w:val="single" w:sz="4" w:space="0" w:color="auto"/>
              <w:right w:val="single" w:sz="4" w:space="0" w:color="auto"/>
            </w:tcBorders>
            <w:vAlign w:val="center"/>
          </w:tcPr>
          <w:p w14:paraId="74666D72" w14:textId="4C22BACC" w:rsidR="00034B44" w:rsidRPr="00A33278" w:rsidRDefault="00034B44" w:rsidP="00034B44">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924F1A">
              <w:rPr>
                <w:sz w:val="26"/>
                <w:szCs w:val="26"/>
              </w:rPr>
              <w:t>244</w:t>
            </w:r>
          </w:p>
        </w:tc>
      </w:tr>
      <w:tr w:rsidR="00034B44" w:rsidRPr="00B26E6F" w14:paraId="6CA5C59B" w14:textId="368E0A87" w:rsidTr="00EB662B">
        <w:trPr>
          <w:trHeight w:val="315"/>
        </w:trPr>
        <w:tc>
          <w:tcPr>
            <w:cnfStyle w:val="001000000000" w:firstRow="0" w:lastRow="0" w:firstColumn="1" w:lastColumn="0" w:oddVBand="0" w:evenVBand="0" w:oddHBand="0" w:evenHBand="0" w:firstRowFirstColumn="0" w:firstRowLastColumn="0" w:lastRowFirstColumn="0" w:lastRowLastColumn="0"/>
            <w:tcW w:w="1708" w:type="pct"/>
            <w:tcBorders>
              <w:top w:val="single" w:sz="4" w:space="0" w:color="auto"/>
              <w:left w:val="single" w:sz="4" w:space="0" w:color="auto"/>
              <w:bottom w:val="single" w:sz="4" w:space="0" w:color="auto"/>
              <w:right w:val="single" w:sz="4" w:space="0" w:color="auto"/>
            </w:tcBorders>
            <w:vAlign w:val="center"/>
          </w:tcPr>
          <w:p w14:paraId="134E4CDE" w14:textId="77777777" w:rsidR="00034B44" w:rsidRPr="00E659EC" w:rsidRDefault="00034B44" w:rsidP="00034B44">
            <w:pPr>
              <w:keepNext/>
              <w:spacing w:before="80" w:after="80"/>
              <w:jc w:val="center"/>
              <w:rPr>
                <w:b w:val="0"/>
                <w:sz w:val="26"/>
                <w:szCs w:val="26"/>
              </w:rPr>
            </w:pPr>
            <w:r w:rsidRPr="00A33278">
              <w:rPr>
                <w:b w:val="0"/>
                <w:sz w:val="26"/>
                <w:szCs w:val="26"/>
              </w:rPr>
              <w:t>FE: Met-</w:t>
            </w:r>
            <w:r w:rsidRPr="00A33278" w:rsidDel="00EC2C30">
              <w:rPr>
                <w:b w:val="0"/>
                <w:sz w:val="26"/>
                <w:szCs w:val="26"/>
              </w:rPr>
              <w:t>Ed</w:t>
            </w:r>
          </w:p>
        </w:tc>
        <w:tc>
          <w:tcPr>
            <w:tcW w:w="1647" w:type="pct"/>
            <w:tcBorders>
              <w:top w:val="single" w:sz="4" w:space="0" w:color="auto"/>
              <w:left w:val="single" w:sz="4" w:space="0" w:color="auto"/>
              <w:bottom w:val="single" w:sz="4" w:space="0" w:color="auto"/>
              <w:right w:val="single" w:sz="4" w:space="0" w:color="auto"/>
            </w:tcBorders>
            <w:vAlign w:val="center"/>
          </w:tcPr>
          <w:p w14:paraId="4F7F95E1" w14:textId="77777777" w:rsidR="00034B44" w:rsidRPr="00924F1A" w:rsidRDefault="00034B44" w:rsidP="00034B44">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924F1A">
              <w:rPr>
                <w:color w:val="000000"/>
                <w:sz w:val="26"/>
                <w:szCs w:val="26"/>
              </w:rPr>
              <w:t>463,215</w:t>
            </w:r>
          </w:p>
        </w:tc>
        <w:tc>
          <w:tcPr>
            <w:tcW w:w="1645" w:type="pct"/>
            <w:tcBorders>
              <w:top w:val="single" w:sz="4" w:space="0" w:color="auto"/>
              <w:left w:val="single" w:sz="4" w:space="0" w:color="auto"/>
              <w:bottom w:val="single" w:sz="4" w:space="0" w:color="auto"/>
              <w:right w:val="single" w:sz="4" w:space="0" w:color="auto"/>
            </w:tcBorders>
            <w:vAlign w:val="center"/>
          </w:tcPr>
          <w:p w14:paraId="0236A235" w14:textId="1D8038AA" w:rsidR="00034B44" w:rsidRPr="00A33278" w:rsidRDefault="00034B44" w:rsidP="00034B44">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6"/>
                <w:szCs w:val="26"/>
              </w:rPr>
            </w:pPr>
            <w:r w:rsidRPr="00924F1A">
              <w:rPr>
                <w:sz w:val="26"/>
                <w:szCs w:val="26"/>
              </w:rPr>
              <w:t>85</w:t>
            </w:r>
          </w:p>
        </w:tc>
      </w:tr>
      <w:tr w:rsidR="00034B44" w:rsidRPr="00B26E6F" w14:paraId="6BF57142" w14:textId="661EFD0B" w:rsidTr="00EB662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8" w:type="pct"/>
            <w:tcBorders>
              <w:top w:val="single" w:sz="4" w:space="0" w:color="auto"/>
              <w:left w:val="single" w:sz="4" w:space="0" w:color="auto"/>
              <w:bottom w:val="single" w:sz="4" w:space="0" w:color="auto"/>
              <w:right w:val="single" w:sz="4" w:space="0" w:color="auto"/>
            </w:tcBorders>
            <w:vAlign w:val="center"/>
            <w:hideMark/>
          </w:tcPr>
          <w:p w14:paraId="2E9AC897" w14:textId="77777777" w:rsidR="00034B44" w:rsidRPr="00A33278" w:rsidRDefault="00034B44" w:rsidP="00034B44">
            <w:pPr>
              <w:keepNext/>
              <w:spacing w:before="80" w:after="80"/>
              <w:jc w:val="center"/>
              <w:rPr>
                <w:b w:val="0"/>
                <w:sz w:val="26"/>
                <w:szCs w:val="26"/>
              </w:rPr>
            </w:pPr>
            <w:r w:rsidRPr="00A33278">
              <w:rPr>
                <w:b w:val="0"/>
                <w:sz w:val="26"/>
                <w:szCs w:val="26"/>
              </w:rPr>
              <w:t>FE: Penelec</w:t>
            </w:r>
          </w:p>
        </w:tc>
        <w:tc>
          <w:tcPr>
            <w:tcW w:w="1647" w:type="pct"/>
            <w:tcBorders>
              <w:top w:val="single" w:sz="4" w:space="0" w:color="auto"/>
              <w:left w:val="single" w:sz="4" w:space="0" w:color="auto"/>
              <w:bottom w:val="single" w:sz="4" w:space="0" w:color="auto"/>
              <w:right w:val="single" w:sz="4" w:space="0" w:color="auto"/>
            </w:tcBorders>
            <w:vAlign w:val="center"/>
          </w:tcPr>
          <w:p w14:paraId="0E8A5542" w14:textId="77777777" w:rsidR="00034B44" w:rsidRPr="00924F1A" w:rsidRDefault="00034B44" w:rsidP="00034B44">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E659EC">
              <w:rPr>
                <w:color w:val="000000"/>
                <w:sz w:val="26"/>
                <w:szCs w:val="26"/>
              </w:rPr>
              <w:t>437,676</w:t>
            </w:r>
          </w:p>
        </w:tc>
        <w:tc>
          <w:tcPr>
            <w:tcW w:w="1645" w:type="pct"/>
            <w:tcBorders>
              <w:top w:val="single" w:sz="4" w:space="0" w:color="auto"/>
              <w:left w:val="single" w:sz="4" w:space="0" w:color="auto"/>
              <w:bottom w:val="single" w:sz="4" w:space="0" w:color="auto"/>
              <w:right w:val="single" w:sz="4" w:space="0" w:color="auto"/>
            </w:tcBorders>
            <w:vAlign w:val="center"/>
          </w:tcPr>
          <w:p w14:paraId="4DDE75B9" w14:textId="5B0AA35A" w:rsidR="00034B44" w:rsidRPr="00A33278" w:rsidRDefault="00034B44" w:rsidP="00034B44">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924F1A">
              <w:rPr>
                <w:sz w:val="26"/>
                <w:szCs w:val="26"/>
              </w:rPr>
              <w:t>91</w:t>
            </w:r>
          </w:p>
        </w:tc>
      </w:tr>
      <w:tr w:rsidR="00034B44" w:rsidRPr="00B26E6F" w14:paraId="472931C8" w14:textId="45145AA8" w:rsidTr="00EB662B">
        <w:trPr>
          <w:trHeight w:val="315"/>
        </w:trPr>
        <w:tc>
          <w:tcPr>
            <w:cnfStyle w:val="001000000000" w:firstRow="0" w:lastRow="0" w:firstColumn="1" w:lastColumn="0" w:oddVBand="0" w:evenVBand="0" w:oddHBand="0" w:evenHBand="0" w:firstRowFirstColumn="0" w:firstRowLastColumn="0" w:lastRowFirstColumn="0" w:lastRowLastColumn="0"/>
            <w:tcW w:w="1708" w:type="pct"/>
            <w:tcBorders>
              <w:top w:val="single" w:sz="4" w:space="0" w:color="auto"/>
              <w:left w:val="single" w:sz="4" w:space="0" w:color="auto"/>
              <w:bottom w:val="single" w:sz="4" w:space="0" w:color="auto"/>
              <w:right w:val="single" w:sz="4" w:space="0" w:color="auto"/>
            </w:tcBorders>
            <w:vAlign w:val="center"/>
            <w:hideMark/>
          </w:tcPr>
          <w:p w14:paraId="4206D83A" w14:textId="77777777" w:rsidR="00034B44" w:rsidRPr="00A33278" w:rsidRDefault="00034B44" w:rsidP="00034B44">
            <w:pPr>
              <w:keepNext/>
              <w:spacing w:before="80" w:after="80"/>
              <w:jc w:val="center"/>
              <w:rPr>
                <w:b w:val="0"/>
                <w:sz w:val="26"/>
                <w:szCs w:val="26"/>
              </w:rPr>
            </w:pPr>
            <w:r w:rsidRPr="00A33278">
              <w:rPr>
                <w:b w:val="0"/>
                <w:sz w:val="26"/>
                <w:szCs w:val="26"/>
              </w:rPr>
              <w:t>FE: Penn Power</w:t>
            </w:r>
          </w:p>
        </w:tc>
        <w:tc>
          <w:tcPr>
            <w:tcW w:w="1647" w:type="pct"/>
            <w:tcBorders>
              <w:top w:val="single" w:sz="4" w:space="0" w:color="auto"/>
              <w:left w:val="single" w:sz="4" w:space="0" w:color="auto"/>
              <w:bottom w:val="single" w:sz="4" w:space="0" w:color="auto"/>
              <w:right w:val="single" w:sz="4" w:space="0" w:color="auto"/>
            </w:tcBorders>
            <w:vAlign w:val="center"/>
          </w:tcPr>
          <w:p w14:paraId="0FEE61C3" w14:textId="77777777" w:rsidR="00034B44" w:rsidRPr="00924F1A" w:rsidRDefault="00034B44" w:rsidP="00034B44">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E659EC">
              <w:rPr>
                <w:color w:val="000000"/>
                <w:sz w:val="26"/>
                <w:szCs w:val="26"/>
              </w:rPr>
              <w:t>128,909</w:t>
            </w:r>
          </w:p>
        </w:tc>
        <w:tc>
          <w:tcPr>
            <w:tcW w:w="1645" w:type="pct"/>
            <w:tcBorders>
              <w:top w:val="single" w:sz="4" w:space="0" w:color="auto"/>
              <w:left w:val="single" w:sz="4" w:space="0" w:color="auto"/>
              <w:bottom w:val="single" w:sz="4" w:space="0" w:color="auto"/>
              <w:right w:val="single" w:sz="4" w:space="0" w:color="auto"/>
            </w:tcBorders>
            <w:vAlign w:val="center"/>
          </w:tcPr>
          <w:p w14:paraId="38E6B2E0" w14:textId="4229AC7B" w:rsidR="00034B44" w:rsidRPr="00A33278" w:rsidRDefault="00034B44" w:rsidP="00034B44">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6"/>
                <w:szCs w:val="26"/>
              </w:rPr>
            </w:pPr>
            <w:r w:rsidRPr="00924F1A">
              <w:rPr>
                <w:sz w:val="26"/>
                <w:szCs w:val="26"/>
              </w:rPr>
              <w:t>22</w:t>
            </w:r>
          </w:p>
        </w:tc>
      </w:tr>
      <w:tr w:rsidR="00034B44" w:rsidRPr="00B26E6F" w14:paraId="1400396C" w14:textId="7F10FFBB" w:rsidTr="00EB662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8" w:type="pct"/>
            <w:tcBorders>
              <w:top w:val="single" w:sz="4" w:space="0" w:color="auto"/>
              <w:left w:val="single" w:sz="4" w:space="0" w:color="auto"/>
              <w:bottom w:val="single" w:sz="4" w:space="0" w:color="auto"/>
              <w:right w:val="single" w:sz="4" w:space="0" w:color="auto"/>
            </w:tcBorders>
            <w:vAlign w:val="center"/>
          </w:tcPr>
          <w:p w14:paraId="1267AB7D" w14:textId="77777777" w:rsidR="00034B44" w:rsidRPr="00A33278" w:rsidRDefault="00034B44" w:rsidP="00034B44">
            <w:pPr>
              <w:keepNext/>
              <w:spacing w:before="80" w:after="80"/>
              <w:jc w:val="center"/>
              <w:rPr>
                <w:b w:val="0"/>
                <w:sz w:val="26"/>
                <w:szCs w:val="26"/>
              </w:rPr>
            </w:pPr>
            <w:r w:rsidRPr="00A33278">
              <w:rPr>
                <w:b w:val="0"/>
                <w:sz w:val="26"/>
                <w:szCs w:val="26"/>
              </w:rPr>
              <w:t>FE: West Penn Power</w:t>
            </w:r>
          </w:p>
        </w:tc>
        <w:tc>
          <w:tcPr>
            <w:tcW w:w="1647" w:type="pct"/>
            <w:tcBorders>
              <w:top w:val="single" w:sz="4" w:space="0" w:color="auto"/>
              <w:left w:val="single" w:sz="4" w:space="0" w:color="auto"/>
              <w:bottom w:val="single" w:sz="4" w:space="0" w:color="auto"/>
              <w:right w:val="single" w:sz="4" w:space="0" w:color="auto"/>
            </w:tcBorders>
            <w:vAlign w:val="center"/>
          </w:tcPr>
          <w:p w14:paraId="202DB187" w14:textId="77777777" w:rsidR="00034B44" w:rsidRPr="00924F1A" w:rsidRDefault="00034B44" w:rsidP="00034B44">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E659EC">
              <w:rPr>
                <w:color w:val="000000"/>
                <w:sz w:val="26"/>
                <w:szCs w:val="26"/>
              </w:rPr>
              <w:t>504,951</w:t>
            </w:r>
          </w:p>
        </w:tc>
        <w:tc>
          <w:tcPr>
            <w:tcW w:w="1645" w:type="pct"/>
            <w:tcBorders>
              <w:top w:val="single" w:sz="4" w:space="0" w:color="auto"/>
              <w:left w:val="single" w:sz="4" w:space="0" w:color="auto"/>
              <w:bottom w:val="single" w:sz="4" w:space="0" w:color="auto"/>
              <w:right w:val="single" w:sz="4" w:space="0" w:color="auto"/>
            </w:tcBorders>
            <w:vAlign w:val="center"/>
          </w:tcPr>
          <w:p w14:paraId="4A2FA83D" w14:textId="53CABD07" w:rsidR="00034B44" w:rsidRPr="00A33278" w:rsidRDefault="00034B44" w:rsidP="00034B44">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924F1A">
              <w:rPr>
                <w:sz w:val="26"/>
                <w:szCs w:val="26"/>
              </w:rPr>
              <w:t>95</w:t>
            </w:r>
          </w:p>
        </w:tc>
      </w:tr>
    </w:tbl>
    <w:p w14:paraId="68ACA442" w14:textId="77777777" w:rsidR="00370E00" w:rsidRPr="00C96CD9" w:rsidRDefault="00370E00" w:rsidP="00370E00">
      <w:pPr>
        <w:rPr>
          <w:sz w:val="26"/>
          <w:szCs w:val="26"/>
        </w:rPr>
      </w:pPr>
    </w:p>
    <w:p w14:paraId="601B6353" w14:textId="1E7F94BA" w:rsidR="00E212C9" w:rsidRDefault="00E212C9" w:rsidP="00E212C9">
      <w:pPr>
        <w:tabs>
          <w:tab w:val="left" w:pos="204"/>
        </w:tabs>
        <w:autoSpaceDE w:val="0"/>
        <w:autoSpaceDN w:val="0"/>
        <w:adjustRightInd w:val="0"/>
        <w:spacing w:line="360" w:lineRule="auto"/>
        <w:ind w:firstLine="720"/>
        <w:rPr>
          <w:sz w:val="26"/>
          <w:szCs w:val="26"/>
        </w:rPr>
      </w:pPr>
    </w:p>
    <w:p w14:paraId="1F7975FE" w14:textId="77777777" w:rsidR="00B26E6F" w:rsidRDefault="00B26E6F" w:rsidP="00E212C9">
      <w:pPr>
        <w:tabs>
          <w:tab w:val="left" w:pos="204"/>
        </w:tabs>
        <w:autoSpaceDE w:val="0"/>
        <w:autoSpaceDN w:val="0"/>
        <w:adjustRightInd w:val="0"/>
        <w:spacing w:line="360" w:lineRule="auto"/>
        <w:ind w:firstLine="720"/>
        <w:rPr>
          <w:sz w:val="26"/>
          <w:szCs w:val="26"/>
        </w:rPr>
      </w:pPr>
    </w:p>
    <w:p w14:paraId="36E0AC18" w14:textId="7AD50C08" w:rsidR="00BA1AFE" w:rsidRDefault="00BA1AFE" w:rsidP="009C2566">
      <w:pPr>
        <w:pStyle w:val="Heading2"/>
        <w:keepNext/>
        <w:keepLines/>
      </w:pPr>
      <w:bookmarkStart w:id="4" w:name="_Toc33511479"/>
      <w:bookmarkStart w:id="5" w:name="_Toc33512687"/>
      <w:bookmarkStart w:id="6" w:name="_Toc33511480"/>
      <w:bookmarkStart w:id="7" w:name="_Toc33512688"/>
      <w:bookmarkStart w:id="8" w:name="_Toc33511481"/>
      <w:bookmarkStart w:id="9" w:name="_Toc33512689"/>
      <w:bookmarkStart w:id="10" w:name="_Toc33511482"/>
      <w:bookmarkStart w:id="11" w:name="_Toc33512690"/>
      <w:bookmarkStart w:id="12" w:name="_Toc33511483"/>
      <w:bookmarkStart w:id="13" w:name="_Toc33512691"/>
      <w:bookmarkStart w:id="14" w:name="_Toc33511484"/>
      <w:bookmarkStart w:id="15" w:name="_Toc33512692"/>
      <w:bookmarkStart w:id="16" w:name="_Toc33511485"/>
      <w:bookmarkStart w:id="17" w:name="_Toc33512693"/>
      <w:bookmarkStart w:id="18" w:name="_Toc33511486"/>
      <w:bookmarkStart w:id="19" w:name="_Toc33512694"/>
      <w:bookmarkStart w:id="20" w:name="_Toc33511487"/>
      <w:bookmarkStart w:id="21" w:name="_Toc33512695"/>
      <w:bookmarkStart w:id="22" w:name="_Toc33511488"/>
      <w:bookmarkStart w:id="23" w:name="_Toc33512696"/>
      <w:bookmarkStart w:id="24" w:name="_Toc33511489"/>
      <w:bookmarkStart w:id="25" w:name="_Toc33512697"/>
      <w:bookmarkStart w:id="26" w:name="_Toc33511490"/>
      <w:bookmarkStart w:id="27" w:name="_Toc33512698"/>
      <w:bookmarkStart w:id="28" w:name="_Toc33511491"/>
      <w:bookmarkStart w:id="29" w:name="_Toc33512699"/>
      <w:bookmarkStart w:id="30" w:name="_Toc33511492"/>
      <w:bookmarkStart w:id="31" w:name="_Toc33512700"/>
      <w:bookmarkStart w:id="32" w:name="_Toc33511497"/>
      <w:bookmarkStart w:id="33" w:name="_Toc33512705"/>
      <w:bookmarkStart w:id="34" w:name="_Toc33511509"/>
      <w:bookmarkStart w:id="35" w:name="_Toc33512717"/>
      <w:bookmarkStart w:id="36" w:name="_Toc33511510"/>
      <w:bookmarkStart w:id="37" w:name="_Toc33512718"/>
      <w:bookmarkStart w:id="38" w:name="_Toc33511511"/>
      <w:bookmarkStart w:id="39" w:name="_Toc33512719"/>
      <w:bookmarkStart w:id="40" w:name="_Toc33511512"/>
      <w:bookmarkStart w:id="41" w:name="_Toc33512720"/>
      <w:bookmarkStart w:id="42" w:name="_Toc33511606"/>
      <w:bookmarkStart w:id="43" w:name="_Toc33512814"/>
      <w:bookmarkStart w:id="44" w:name="_Toc33511607"/>
      <w:bookmarkStart w:id="45" w:name="_Toc33512815"/>
      <w:bookmarkStart w:id="46" w:name="_Toc33511608"/>
      <w:bookmarkStart w:id="47" w:name="_Toc33512816"/>
      <w:bookmarkStart w:id="48" w:name="_Toc33511609"/>
      <w:bookmarkStart w:id="49" w:name="_Toc33512817"/>
      <w:bookmarkStart w:id="50" w:name="_Toc33511610"/>
      <w:bookmarkStart w:id="51" w:name="_Toc33512818"/>
      <w:bookmarkStart w:id="52" w:name="_Toc33511611"/>
      <w:bookmarkStart w:id="53" w:name="_Toc33512819"/>
      <w:bookmarkStart w:id="54" w:name="_Toc33511612"/>
      <w:bookmarkStart w:id="55" w:name="_Toc33512820"/>
      <w:bookmarkStart w:id="56" w:name="_Toc33511613"/>
      <w:bookmarkStart w:id="57" w:name="_Toc33512821"/>
      <w:bookmarkStart w:id="58" w:name="_Toc33511614"/>
      <w:bookmarkStart w:id="59" w:name="_Toc33512822"/>
      <w:bookmarkStart w:id="60" w:name="_Toc33511647"/>
      <w:bookmarkStart w:id="61" w:name="_Toc33512855"/>
      <w:bookmarkStart w:id="62" w:name="_Toc33511648"/>
      <w:bookmarkStart w:id="63" w:name="_Toc33512856"/>
      <w:bookmarkStart w:id="64" w:name="_Toc33511649"/>
      <w:bookmarkStart w:id="65" w:name="_Toc33512857"/>
      <w:bookmarkStart w:id="66" w:name="_Toc33511650"/>
      <w:bookmarkStart w:id="67" w:name="_Toc33512858"/>
      <w:bookmarkStart w:id="68" w:name="_Toc33511651"/>
      <w:bookmarkStart w:id="69" w:name="_Toc33512859"/>
      <w:bookmarkStart w:id="70" w:name="_Toc33511655"/>
      <w:bookmarkStart w:id="71" w:name="_Toc33512863"/>
      <w:bookmarkStart w:id="72" w:name="_Toc33511709"/>
      <w:bookmarkStart w:id="73" w:name="_Toc33512917"/>
      <w:bookmarkStart w:id="74" w:name="_Toc33511710"/>
      <w:bookmarkStart w:id="75" w:name="_Toc33512918"/>
      <w:bookmarkStart w:id="76" w:name="_Toc33511714"/>
      <w:bookmarkStart w:id="77" w:name="_Toc33512922"/>
      <w:bookmarkStart w:id="78" w:name="_Toc33511768"/>
      <w:bookmarkStart w:id="79" w:name="_Toc33512976"/>
      <w:bookmarkStart w:id="80" w:name="_Toc33511769"/>
      <w:bookmarkStart w:id="81" w:name="_Toc33512977"/>
      <w:bookmarkStart w:id="82" w:name="_Toc33511770"/>
      <w:bookmarkStart w:id="83" w:name="_Toc33512978"/>
      <w:bookmarkStart w:id="84" w:name="_Toc33511771"/>
      <w:bookmarkStart w:id="85" w:name="_Toc33512979"/>
      <w:bookmarkStart w:id="86" w:name="_Toc33511772"/>
      <w:bookmarkStart w:id="87" w:name="_Toc33512980"/>
      <w:bookmarkStart w:id="88" w:name="_Toc33511773"/>
      <w:bookmarkStart w:id="89" w:name="_Toc33512981"/>
      <w:bookmarkStart w:id="90" w:name="_Toc33511774"/>
      <w:bookmarkStart w:id="91" w:name="_Toc33512982"/>
      <w:bookmarkStart w:id="92" w:name="_Toc33511775"/>
      <w:bookmarkStart w:id="93" w:name="_Toc33512983"/>
      <w:bookmarkStart w:id="94" w:name="_Toc33511776"/>
      <w:bookmarkStart w:id="95" w:name="_Toc33512984"/>
      <w:bookmarkStart w:id="96" w:name="_Toc33511777"/>
      <w:bookmarkStart w:id="97" w:name="_Toc33512985"/>
      <w:bookmarkStart w:id="98" w:name="_Toc33511861"/>
      <w:bookmarkStart w:id="99" w:name="_Toc33513069"/>
      <w:bookmarkStart w:id="100" w:name="_Toc33511862"/>
      <w:bookmarkStart w:id="101" w:name="_Toc33513070"/>
      <w:bookmarkStart w:id="102" w:name="_Toc33511863"/>
      <w:bookmarkStart w:id="103" w:name="_Toc33513071"/>
      <w:bookmarkStart w:id="104" w:name="_Toc33511864"/>
      <w:bookmarkStart w:id="105" w:name="_Toc33513072"/>
      <w:bookmarkStart w:id="106" w:name="_Toc33511865"/>
      <w:bookmarkStart w:id="107" w:name="_Toc33513073"/>
      <w:bookmarkStart w:id="108" w:name="_Toc33511866"/>
      <w:bookmarkStart w:id="109" w:name="_Toc33513074"/>
      <w:bookmarkStart w:id="110" w:name="_Toc33511867"/>
      <w:bookmarkStart w:id="111" w:name="_Toc33513075"/>
      <w:bookmarkStart w:id="112" w:name="_Toc33511868"/>
      <w:bookmarkStart w:id="113" w:name="_Toc33513076"/>
      <w:bookmarkStart w:id="114" w:name="_Toc33511869"/>
      <w:bookmarkStart w:id="115" w:name="_Toc33513077"/>
      <w:bookmarkStart w:id="116" w:name="_Ref31469832"/>
      <w:bookmarkStart w:id="117" w:name="_Toc3378199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BA1AFE">
        <w:lastRenderedPageBreak/>
        <w:t>P</w:t>
      </w:r>
      <w:r w:rsidR="004054CA">
        <w:t xml:space="preserve">roposed </w:t>
      </w:r>
      <w:bookmarkEnd w:id="116"/>
      <w:r w:rsidR="007B0000">
        <w:t>Reduction</w:t>
      </w:r>
      <w:r w:rsidR="00580D87">
        <w:t>s</w:t>
      </w:r>
      <w:r w:rsidR="007B0000">
        <w:t xml:space="preserve"> in Electric Consumption</w:t>
      </w:r>
      <w:bookmarkEnd w:id="117"/>
      <w:r w:rsidR="007B0000">
        <w:t xml:space="preserve"> </w:t>
      </w:r>
    </w:p>
    <w:p w14:paraId="72CF894E" w14:textId="63E82E94" w:rsidR="00DD1A7A" w:rsidRDefault="00DD1A7A" w:rsidP="00DD1A7A">
      <w:pPr>
        <w:pStyle w:val="Heading3"/>
        <w:numPr>
          <w:ilvl w:val="0"/>
          <w:numId w:val="15"/>
        </w:numPr>
      </w:pPr>
      <w:bookmarkStart w:id="118" w:name="_Toc33511871"/>
      <w:bookmarkStart w:id="119" w:name="_Toc33513079"/>
      <w:bookmarkStart w:id="120" w:name="_Toc33511872"/>
      <w:bookmarkStart w:id="121" w:name="_Toc33513080"/>
      <w:bookmarkStart w:id="122" w:name="_Toc33511873"/>
      <w:bookmarkStart w:id="123" w:name="_Toc33513081"/>
      <w:bookmarkStart w:id="124" w:name="_Toc33507550"/>
      <w:bookmarkStart w:id="125" w:name="_Toc33511874"/>
      <w:bookmarkStart w:id="126" w:name="_Toc33513082"/>
      <w:bookmarkStart w:id="127" w:name="_Toc33507551"/>
      <w:bookmarkStart w:id="128" w:name="_Toc33511875"/>
      <w:bookmarkStart w:id="129" w:name="_Toc33513083"/>
      <w:bookmarkStart w:id="130" w:name="_Toc33507552"/>
      <w:bookmarkStart w:id="131" w:name="_Toc33511876"/>
      <w:bookmarkStart w:id="132" w:name="_Toc33513084"/>
      <w:bookmarkStart w:id="133" w:name="_Toc33507553"/>
      <w:bookmarkStart w:id="134" w:name="_Toc33511877"/>
      <w:bookmarkStart w:id="135" w:name="_Toc33513085"/>
      <w:bookmarkStart w:id="136" w:name="_Toc33507554"/>
      <w:bookmarkStart w:id="137" w:name="_Toc33511878"/>
      <w:bookmarkStart w:id="138" w:name="_Toc33513086"/>
      <w:bookmarkStart w:id="139" w:name="_Toc33507555"/>
      <w:bookmarkStart w:id="140" w:name="_Toc33511879"/>
      <w:bookmarkStart w:id="141" w:name="_Toc33513087"/>
      <w:bookmarkStart w:id="142" w:name="_Toc33507556"/>
      <w:bookmarkStart w:id="143" w:name="_Toc33511880"/>
      <w:bookmarkStart w:id="144" w:name="_Toc33513088"/>
      <w:bookmarkStart w:id="145" w:name="_Toc33507557"/>
      <w:bookmarkStart w:id="146" w:name="_Toc33511881"/>
      <w:bookmarkStart w:id="147" w:name="_Toc33513089"/>
      <w:bookmarkStart w:id="148" w:name="_Toc33507558"/>
      <w:bookmarkStart w:id="149" w:name="_Toc33511882"/>
      <w:bookmarkStart w:id="150" w:name="_Toc33513090"/>
      <w:bookmarkStart w:id="151" w:name="_Toc33507559"/>
      <w:bookmarkStart w:id="152" w:name="_Toc33511883"/>
      <w:bookmarkStart w:id="153" w:name="_Toc33513091"/>
      <w:bookmarkStart w:id="154" w:name="_Toc33507560"/>
      <w:bookmarkStart w:id="155" w:name="_Toc33511884"/>
      <w:bookmarkStart w:id="156" w:name="_Toc33513092"/>
      <w:bookmarkStart w:id="157" w:name="_Toc33507561"/>
      <w:bookmarkStart w:id="158" w:name="_Toc33511885"/>
      <w:bookmarkStart w:id="159" w:name="_Toc33513093"/>
      <w:bookmarkStart w:id="160" w:name="_Toc33507562"/>
      <w:bookmarkStart w:id="161" w:name="_Toc33511886"/>
      <w:bookmarkStart w:id="162" w:name="_Toc33513094"/>
      <w:bookmarkStart w:id="163" w:name="_Toc33507563"/>
      <w:bookmarkStart w:id="164" w:name="_Toc33511887"/>
      <w:bookmarkStart w:id="165" w:name="_Toc33513095"/>
      <w:bookmarkStart w:id="166" w:name="_Toc33507564"/>
      <w:bookmarkStart w:id="167" w:name="_Toc33511888"/>
      <w:bookmarkStart w:id="168" w:name="_Toc33513096"/>
      <w:bookmarkStart w:id="169" w:name="_Toc33781995"/>
      <w:bookmarkStart w:id="170" w:name="_Ref31639188"/>
      <w:bookmarkStart w:id="171" w:name="_Ref31639193"/>
      <w:bookmarkStart w:id="172" w:name="_Ref31639407"/>
      <w:bookmarkStart w:id="173" w:name="_Ref31639410"/>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t xml:space="preserve">Summary of SWE’s </w:t>
      </w:r>
      <w:r w:rsidR="00C47561">
        <w:t>EEPDR Potential Study</w:t>
      </w:r>
      <w:bookmarkEnd w:id="169"/>
    </w:p>
    <w:p w14:paraId="4A97CC3F" w14:textId="3C6213DC" w:rsidR="00530912" w:rsidRDefault="00DD1A7A" w:rsidP="00C47561">
      <w:pPr>
        <w:pStyle w:val="StyleLinespacing15lines"/>
        <w:ind w:firstLine="720"/>
        <w:rPr>
          <w:szCs w:val="26"/>
        </w:rPr>
      </w:pPr>
      <w:r>
        <w:rPr>
          <w:b/>
        </w:rPr>
        <w:tab/>
      </w:r>
      <w:r>
        <w:t xml:space="preserve">The SWE </w:t>
      </w:r>
      <w:r w:rsidRPr="00151A3E">
        <w:t xml:space="preserve">performed an </w:t>
      </w:r>
      <w:r w:rsidR="00C47561">
        <w:t xml:space="preserve">EEPDR Potential </w:t>
      </w:r>
      <w:r w:rsidRPr="00151A3E">
        <w:t xml:space="preserve">Study which presented the technical, economic </w:t>
      </w:r>
      <w:r w:rsidRPr="00471689">
        <w:t xml:space="preserve">and achievable potential over ten years and program potential over five years </w:t>
      </w:r>
      <w:r w:rsidR="00C0501B">
        <w:t xml:space="preserve">beginning </w:t>
      </w:r>
      <w:r w:rsidRPr="00471689">
        <w:t>June 1, 20</w:t>
      </w:r>
      <w:r>
        <w:t>21</w:t>
      </w:r>
      <w:r w:rsidRPr="00471689">
        <w:t xml:space="preserve"> for the residential, commercial and industrial sectors.</w:t>
      </w:r>
      <w:r w:rsidRPr="00471689">
        <w:rPr>
          <w:rStyle w:val="FootnoteReference"/>
          <w:szCs w:val="26"/>
        </w:rPr>
        <w:footnoteReference w:id="10"/>
      </w:r>
      <w:r>
        <w:t xml:space="preserve">  </w:t>
      </w:r>
      <w:r w:rsidR="007B1AFC">
        <w:t xml:space="preserve">This study was released to the public on </w:t>
      </w:r>
      <w:r w:rsidR="00986FFA">
        <w:t>March 2</w:t>
      </w:r>
      <w:r w:rsidR="007B1AFC">
        <w:t xml:space="preserve">, 2020. </w:t>
      </w:r>
      <w:r w:rsidR="00C0501B">
        <w:t xml:space="preserve"> </w:t>
      </w:r>
      <w:r w:rsidR="00FA50F5">
        <w:rPr>
          <w:szCs w:val="26"/>
        </w:rPr>
        <w:t>In addition,</w:t>
      </w:r>
      <w:r w:rsidR="007B1AFC" w:rsidRPr="0063360A">
        <w:rPr>
          <w:szCs w:val="26"/>
        </w:rPr>
        <w:t xml:space="preserve"> the SWE </w:t>
      </w:r>
      <w:r w:rsidR="00770BCA">
        <w:rPr>
          <w:szCs w:val="26"/>
        </w:rPr>
        <w:t>performed</w:t>
      </w:r>
      <w:r w:rsidR="007B1AFC" w:rsidRPr="0063360A">
        <w:rPr>
          <w:szCs w:val="26"/>
        </w:rPr>
        <w:t xml:space="preserve"> baseline studies for the residential,</w:t>
      </w:r>
      <w:r w:rsidR="007B1AFC">
        <w:rPr>
          <w:rStyle w:val="FootnoteReference"/>
          <w:szCs w:val="26"/>
        </w:rPr>
        <w:footnoteReference w:id="11"/>
      </w:r>
      <w:r w:rsidR="007B1AFC" w:rsidRPr="0063360A">
        <w:rPr>
          <w:szCs w:val="26"/>
        </w:rPr>
        <w:t xml:space="preserve"> and the </w:t>
      </w:r>
      <w:r w:rsidR="007B1AFC">
        <w:rPr>
          <w:szCs w:val="26"/>
        </w:rPr>
        <w:t>non-residential</w:t>
      </w:r>
      <w:r w:rsidR="007B1AFC">
        <w:rPr>
          <w:rStyle w:val="FootnoteReference"/>
          <w:szCs w:val="26"/>
        </w:rPr>
        <w:footnoteReference w:id="12"/>
      </w:r>
      <w:r w:rsidR="007B1AFC" w:rsidRPr="0063360A">
        <w:rPr>
          <w:szCs w:val="26"/>
        </w:rPr>
        <w:t xml:space="preserve"> sector</w:t>
      </w:r>
      <w:r w:rsidR="007B1AFC">
        <w:rPr>
          <w:szCs w:val="26"/>
        </w:rPr>
        <w:t>s</w:t>
      </w:r>
      <w:r w:rsidR="00770BCA">
        <w:rPr>
          <w:szCs w:val="26"/>
        </w:rPr>
        <w:t>. which</w:t>
      </w:r>
      <w:r w:rsidR="002818BA">
        <w:rPr>
          <w:szCs w:val="26"/>
        </w:rPr>
        <w:t xml:space="preserve"> </w:t>
      </w:r>
      <w:r w:rsidR="00E5072A">
        <w:rPr>
          <w:szCs w:val="26"/>
        </w:rPr>
        <w:t>t</w:t>
      </w:r>
      <w:r w:rsidR="007B1AFC">
        <w:rPr>
          <w:szCs w:val="26"/>
        </w:rPr>
        <w:t xml:space="preserve">he Commission released </w:t>
      </w:r>
      <w:r w:rsidR="007B1AFC" w:rsidRPr="0063360A">
        <w:rPr>
          <w:szCs w:val="26"/>
        </w:rPr>
        <w:t xml:space="preserve">on </w:t>
      </w:r>
      <w:r w:rsidR="007B1AFC" w:rsidRPr="00FC2F64">
        <w:rPr>
          <w:szCs w:val="26"/>
        </w:rPr>
        <w:t>February 14, 2019</w:t>
      </w:r>
      <w:r w:rsidR="007B1AFC" w:rsidRPr="0063360A">
        <w:rPr>
          <w:szCs w:val="26"/>
        </w:rPr>
        <w:t>.</w:t>
      </w:r>
      <w:r w:rsidR="007B1AFC" w:rsidRPr="0063360A">
        <w:rPr>
          <w:rStyle w:val="FootnoteReference"/>
          <w:szCs w:val="26"/>
        </w:rPr>
        <w:footnoteReference w:id="13"/>
      </w:r>
      <w:r w:rsidR="007B1AFC" w:rsidRPr="0063360A">
        <w:rPr>
          <w:szCs w:val="26"/>
        </w:rPr>
        <w:t xml:space="preserve">  Together, the</w:t>
      </w:r>
      <w:r w:rsidR="007B1AFC">
        <w:rPr>
          <w:szCs w:val="26"/>
        </w:rPr>
        <w:t>se</w:t>
      </w:r>
      <w:r w:rsidR="007B1AFC" w:rsidRPr="0063360A">
        <w:rPr>
          <w:szCs w:val="26"/>
        </w:rPr>
        <w:t xml:space="preserve"> baseline studies represent a thorough assessment of </w:t>
      </w:r>
      <w:r w:rsidR="007B1AFC">
        <w:rPr>
          <w:szCs w:val="26"/>
        </w:rPr>
        <w:t xml:space="preserve">current </w:t>
      </w:r>
      <w:r w:rsidR="007B1AFC" w:rsidRPr="0063360A">
        <w:rPr>
          <w:szCs w:val="26"/>
        </w:rPr>
        <w:t xml:space="preserve">electricity usage and electrical energy consuming equipment </w:t>
      </w:r>
      <w:r w:rsidR="007B1AFC">
        <w:rPr>
          <w:szCs w:val="26"/>
        </w:rPr>
        <w:t xml:space="preserve">installed </w:t>
      </w:r>
      <w:r w:rsidR="007B1AFC" w:rsidRPr="0063360A">
        <w:rPr>
          <w:szCs w:val="26"/>
        </w:rPr>
        <w:t>in Pennsylvania.</w:t>
      </w:r>
      <w:r w:rsidR="007B1AFC">
        <w:rPr>
          <w:szCs w:val="26"/>
        </w:rPr>
        <w:t xml:space="preserve">  </w:t>
      </w:r>
      <w:r w:rsidR="007B1AFC" w:rsidRPr="00075F96">
        <w:rPr>
          <w:szCs w:val="26"/>
        </w:rPr>
        <w:t>The</w:t>
      </w:r>
      <w:r w:rsidR="007B1AFC">
        <w:rPr>
          <w:szCs w:val="26"/>
        </w:rPr>
        <w:t>se</w:t>
      </w:r>
      <w:r w:rsidR="007B1AFC" w:rsidRPr="00075F96">
        <w:rPr>
          <w:szCs w:val="26"/>
        </w:rPr>
        <w:t xml:space="preserve"> baseline studies formed the basis for the </w:t>
      </w:r>
      <w:r w:rsidR="00C47561">
        <w:rPr>
          <w:szCs w:val="26"/>
        </w:rPr>
        <w:t xml:space="preserve">EEPDR Potential </w:t>
      </w:r>
      <w:r w:rsidR="007B1AFC" w:rsidRPr="00075F96">
        <w:rPr>
          <w:szCs w:val="26"/>
        </w:rPr>
        <w:t xml:space="preserve">Study.  </w:t>
      </w:r>
    </w:p>
    <w:p w14:paraId="1836BD2D" w14:textId="77777777" w:rsidR="00530912" w:rsidRDefault="00530912" w:rsidP="00C47561">
      <w:pPr>
        <w:pStyle w:val="StyleLinespacing15lines"/>
        <w:ind w:firstLine="720"/>
        <w:rPr>
          <w:szCs w:val="26"/>
        </w:rPr>
      </w:pPr>
    </w:p>
    <w:p w14:paraId="6DCFBDC8" w14:textId="01E33398" w:rsidR="007B1AFC" w:rsidRPr="00C47561" w:rsidRDefault="007B1AFC" w:rsidP="00C47561">
      <w:pPr>
        <w:pStyle w:val="StyleLinespacing15lines"/>
        <w:ind w:firstLine="720"/>
      </w:pPr>
      <w:r w:rsidRPr="00075F96">
        <w:rPr>
          <w:szCs w:val="26"/>
        </w:rPr>
        <w:t xml:space="preserve">The purpose of the </w:t>
      </w:r>
      <w:r w:rsidR="00C47561">
        <w:rPr>
          <w:szCs w:val="26"/>
        </w:rPr>
        <w:t xml:space="preserve">EEPDR Potential </w:t>
      </w:r>
      <w:r w:rsidRPr="00075F96">
        <w:rPr>
          <w:szCs w:val="26"/>
        </w:rPr>
        <w:t>Study was to determine the remaining opportunities</w:t>
      </w:r>
      <w:r w:rsidRPr="00F843B4">
        <w:rPr>
          <w:szCs w:val="26"/>
        </w:rPr>
        <w:t xml:space="preserve"> for cost-effective electricity savings in the service areas of the seven EDCs that are subject to Act 129</w:t>
      </w:r>
      <w:r>
        <w:rPr>
          <w:szCs w:val="26"/>
        </w:rPr>
        <w:t>.</w:t>
      </w:r>
      <w:r w:rsidRPr="00F843B4">
        <w:rPr>
          <w:szCs w:val="26"/>
        </w:rPr>
        <w:t xml:space="preserve">  </w:t>
      </w:r>
      <w:r>
        <w:rPr>
          <w:szCs w:val="26"/>
        </w:rPr>
        <w:t xml:space="preserve">For this study, the SWE </w:t>
      </w:r>
      <w:r w:rsidRPr="00F843B4">
        <w:rPr>
          <w:szCs w:val="26"/>
        </w:rPr>
        <w:t>used the Act 129 Pennsylvania-specific cost-effectiveness criteria</w:t>
      </w:r>
      <w:r>
        <w:rPr>
          <w:szCs w:val="26"/>
        </w:rPr>
        <w:t>,</w:t>
      </w:r>
      <w:r w:rsidRPr="00F843B4">
        <w:rPr>
          <w:szCs w:val="26"/>
        </w:rPr>
        <w:t xml:space="preserve"> including the most recent EDC avoided cost projections for electricity.</w:t>
      </w:r>
      <w:r w:rsidRPr="00F843B4">
        <w:rPr>
          <w:rStyle w:val="FootnoteReference"/>
          <w:szCs w:val="26"/>
        </w:rPr>
        <w:footnoteReference w:id="14"/>
      </w:r>
      <w:r w:rsidRPr="00F843B4">
        <w:rPr>
          <w:szCs w:val="26"/>
        </w:rPr>
        <w:t xml:space="preserve">  The avoided cost projections were calculated according to the Commission’s </w:t>
      </w:r>
      <w:r>
        <w:rPr>
          <w:szCs w:val="26"/>
        </w:rPr>
        <w:t>2021 TRC T</w:t>
      </w:r>
      <w:r w:rsidRPr="00F843B4">
        <w:rPr>
          <w:szCs w:val="26"/>
        </w:rPr>
        <w:t>est</w:t>
      </w:r>
      <w:r>
        <w:rPr>
          <w:szCs w:val="26"/>
        </w:rPr>
        <w:t xml:space="preserve"> Final Order</w:t>
      </w:r>
      <w:r w:rsidRPr="00F843B4">
        <w:rPr>
          <w:szCs w:val="26"/>
        </w:rPr>
        <w:t>.</w:t>
      </w:r>
      <w:r w:rsidRPr="00F843B4">
        <w:rPr>
          <w:rStyle w:val="FootnoteReference"/>
          <w:szCs w:val="26"/>
        </w:rPr>
        <w:footnoteReference w:id="15"/>
      </w:r>
      <w:r w:rsidRPr="00F843B4">
        <w:rPr>
          <w:szCs w:val="26"/>
        </w:rPr>
        <w:t xml:space="preserve">  </w:t>
      </w:r>
      <w:r>
        <w:rPr>
          <w:szCs w:val="26"/>
        </w:rPr>
        <w:t xml:space="preserve">As part of the </w:t>
      </w:r>
      <w:r w:rsidR="00C47561">
        <w:rPr>
          <w:szCs w:val="26"/>
        </w:rPr>
        <w:t xml:space="preserve">EEPDR Potential </w:t>
      </w:r>
      <w:r>
        <w:rPr>
          <w:szCs w:val="26"/>
        </w:rPr>
        <w:t>Study, t</w:t>
      </w:r>
      <w:r w:rsidRPr="001D0C22">
        <w:rPr>
          <w:szCs w:val="26"/>
        </w:rPr>
        <w:t xml:space="preserve">he SWE </w:t>
      </w:r>
      <w:r w:rsidR="006F7898">
        <w:rPr>
          <w:szCs w:val="26"/>
        </w:rPr>
        <w:t xml:space="preserve">also </w:t>
      </w:r>
      <w:r w:rsidRPr="001D0C22">
        <w:rPr>
          <w:szCs w:val="26"/>
        </w:rPr>
        <w:t xml:space="preserve">modeled </w:t>
      </w:r>
      <w:r>
        <w:rPr>
          <w:szCs w:val="26"/>
        </w:rPr>
        <w:t>combined heat and power (</w:t>
      </w:r>
      <w:r w:rsidRPr="001D0C22">
        <w:rPr>
          <w:szCs w:val="26"/>
        </w:rPr>
        <w:t>CHP</w:t>
      </w:r>
      <w:r>
        <w:rPr>
          <w:szCs w:val="26"/>
        </w:rPr>
        <w:t>)</w:t>
      </w:r>
      <w:r w:rsidRPr="001D0C22">
        <w:rPr>
          <w:szCs w:val="26"/>
        </w:rPr>
        <w:t xml:space="preserve"> potential separately</w:t>
      </w:r>
      <w:r>
        <w:rPr>
          <w:szCs w:val="26"/>
        </w:rPr>
        <w:t xml:space="preserve"> from other EE </w:t>
      </w:r>
      <w:r w:rsidR="002C71EA">
        <w:rPr>
          <w:szCs w:val="26"/>
        </w:rPr>
        <w:t xml:space="preserve">and associated peak demand reduction potential </w:t>
      </w:r>
      <w:r w:rsidR="006F7898">
        <w:rPr>
          <w:szCs w:val="26"/>
        </w:rPr>
        <w:t>and</w:t>
      </w:r>
      <w:r w:rsidRPr="001D0C22">
        <w:rPr>
          <w:szCs w:val="26"/>
        </w:rPr>
        <w:t xml:space="preserve"> integrated </w:t>
      </w:r>
      <w:r w:rsidR="006F7898">
        <w:rPr>
          <w:szCs w:val="26"/>
        </w:rPr>
        <w:t>this</w:t>
      </w:r>
      <w:r>
        <w:rPr>
          <w:szCs w:val="26"/>
        </w:rPr>
        <w:t xml:space="preserve"> potential</w:t>
      </w:r>
      <w:r w:rsidRPr="001D0C22">
        <w:rPr>
          <w:szCs w:val="26"/>
        </w:rPr>
        <w:t xml:space="preserve"> into </w:t>
      </w:r>
      <w:r>
        <w:rPr>
          <w:szCs w:val="26"/>
        </w:rPr>
        <w:t xml:space="preserve">the final estimate of </w:t>
      </w:r>
      <w:r w:rsidR="0042725E">
        <w:rPr>
          <w:szCs w:val="26"/>
        </w:rPr>
        <w:t xml:space="preserve">total </w:t>
      </w:r>
      <w:r>
        <w:rPr>
          <w:szCs w:val="26"/>
        </w:rPr>
        <w:t xml:space="preserve">EE </w:t>
      </w:r>
      <w:r w:rsidR="002C71EA">
        <w:rPr>
          <w:szCs w:val="26"/>
        </w:rPr>
        <w:t xml:space="preserve">and associated peak demand reduction </w:t>
      </w:r>
      <w:r>
        <w:rPr>
          <w:szCs w:val="26"/>
        </w:rPr>
        <w:t xml:space="preserve">potential. </w:t>
      </w:r>
      <w:r w:rsidR="00C47561">
        <w:rPr>
          <w:szCs w:val="26"/>
        </w:rPr>
        <w:t xml:space="preserve"> </w:t>
      </w:r>
      <w:r w:rsidR="009E79D4">
        <w:t xml:space="preserve">CHP was </w:t>
      </w:r>
      <w:r w:rsidR="009E79D4">
        <w:lastRenderedPageBreak/>
        <w:t xml:space="preserve">modeled </w:t>
      </w:r>
      <w:r w:rsidR="005D0999">
        <w:t>separately</w:t>
      </w:r>
      <w:r w:rsidRPr="001D0C22">
        <w:rPr>
          <w:szCs w:val="26"/>
        </w:rPr>
        <w:t xml:space="preserve"> because CHP projects have unique attributes (for example, CHP system size, sporadic adoption, site dependency, long lead times from design to operation, etc.) that required more rigorous assessment</w:t>
      </w:r>
      <w:r>
        <w:rPr>
          <w:szCs w:val="26"/>
        </w:rPr>
        <w:t xml:space="preserve">. </w:t>
      </w:r>
    </w:p>
    <w:p w14:paraId="12087FC4" w14:textId="6B1A4436" w:rsidR="007B1AFC" w:rsidRDefault="007B1AFC" w:rsidP="00DD1A7A">
      <w:pPr>
        <w:pStyle w:val="StyleLinespacing15lines"/>
      </w:pPr>
      <w:r>
        <w:tab/>
      </w:r>
    </w:p>
    <w:p w14:paraId="44AFA77C" w14:textId="4B90E042" w:rsidR="009B68AC" w:rsidRDefault="007B1AFC" w:rsidP="007B1AFC">
      <w:pPr>
        <w:pStyle w:val="StyleLinespacing15lines"/>
        <w:ind w:firstLine="720"/>
      </w:pPr>
      <w:r>
        <w:t xml:space="preserve"> </w:t>
      </w:r>
      <w:r w:rsidR="00DD1A7A" w:rsidRPr="00471689">
        <w:t xml:space="preserve">For the residential sector, the SWE first determined the eligible equipment stock, followed by </w:t>
      </w:r>
      <w:r w:rsidR="00DD1A7A">
        <w:t>estimations of</w:t>
      </w:r>
      <w:r w:rsidR="00DD1A7A" w:rsidRPr="00471689">
        <w:t xml:space="preserve"> the </w:t>
      </w:r>
      <w:r w:rsidR="00595028">
        <w:t xml:space="preserve">available electric </w:t>
      </w:r>
      <w:r w:rsidR="00DD1A7A" w:rsidRPr="00471689">
        <w:t>savings and screen</w:t>
      </w:r>
      <w:r w:rsidR="00DD1A7A">
        <w:t>ed</w:t>
      </w:r>
      <w:r w:rsidR="00DD1A7A" w:rsidRPr="00471689">
        <w:t xml:space="preserve"> for cost</w:t>
      </w:r>
      <w:r w:rsidR="00595028">
        <w:noBreakHyphen/>
      </w:r>
      <w:r w:rsidR="00DD1A7A" w:rsidRPr="00471689">
        <w:t>effectiveness.  The SWE then summed those savings at the end-use and the service</w:t>
      </w:r>
      <w:r w:rsidR="00595028">
        <w:noBreakHyphen/>
      </w:r>
      <w:r w:rsidR="00DD1A7A" w:rsidRPr="00471689">
        <w:t>territory levels.</w:t>
      </w:r>
      <w:r w:rsidR="00DD1A7A" w:rsidRPr="00471689">
        <w:rPr>
          <w:rStyle w:val="FootnoteReference"/>
          <w:szCs w:val="26"/>
        </w:rPr>
        <w:footnoteReference w:id="16"/>
      </w:r>
      <w:r w:rsidR="00DD1A7A">
        <w:t xml:space="preserve">  </w:t>
      </w:r>
      <w:r w:rsidR="00DD1A7A" w:rsidRPr="00471689">
        <w:t xml:space="preserve">Regarding the non-residential sectors, the SWE used a similar approach to determine measure-level </w:t>
      </w:r>
      <w:r w:rsidR="00A077B8">
        <w:t xml:space="preserve">available electric </w:t>
      </w:r>
      <w:r w:rsidR="00DD1A7A" w:rsidRPr="00471689">
        <w:t xml:space="preserve">savings and costs, in addition to cost-effectiveness.  The cost-effective measure savings were then applied to all applicable shares of </w:t>
      </w:r>
      <w:r w:rsidR="00A077B8">
        <w:t>electric</w:t>
      </w:r>
      <w:r w:rsidR="00DD1A7A" w:rsidRPr="00471689">
        <w:t xml:space="preserve"> load.</w:t>
      </w:r>
      <w:r w:rsidR="00DD1A7A" w:rsidRPr="00471689">
        <w:rPr>
          <w:rStyle w:val="FootnoteReference"/>
          <w:szCs w:val="26"/>
        </w:rPr>
        <w:footnoteReference w:id="17"/>
      </w:r>
      <w:r w:rsidR="00DD1A7A">
        <w:t xml:space="preserve"> </w:t>
      </w:r>
    </w:p>
    <w:p w14:paraId="2EBBDEA0" w14:textId="77777777" w:rsidR="00DD1A7A" w:rsidRPr="00471689" w:rsidRDefault="00DD1A7A" w:rsidP="00DD1A7A">
      <w:pPr>
        <w:autoSpaceDE w:val="0"/>
        <w:autoSpaceDN w:val="0"/>
        <w:adjustRightInd w:val="0"/>
        <w:spacing w:line="360" w:lineRule="auto"/>
        <w:rPr>
          <w:sz w:val="26"/>
          <w:szCs w:val="26"/>
        </w:rPr>
      </w:pPr>
    </w:p>
    <w:p w14:paraId="11BA3239" w14:textId="228241BF" w:rsidR="009B68AC" w:rsidRDefault="00DD1A7A" w:rsidP="00DD1A7A">
      <w:pPr>
        <w:pStyle w:val="StyleLinespacing15lines"/>
      </w:pPr>
      <w:r w:rsidRPr="00471689">
        <w:tab/>
        <w:t xml:space="preserve">The SWE utilized, as a </w:t>
      </w:r>
      <w:r>
        <w:t>reference</w:t>
      </w:r>
      <w:r w:rsidRPr="00471689">
        <w:t xml:space="preserve"> from which to report savings as a percent of annual kWh sales, the forecast kWh sales for each EDC for the period June 1, 2009 through May 31, 2010.</w:t>
      </w:r>
      <w:r w:rsidRPr="00471689">
        <w:rPr>
          <w:rStyle w:val="FootnoteReference"/>
          <w:szCs w:val="26"/>
        </w:rPr>
        <w:footnoteReference w:id="18"/>
      </w:r>
      <w:r w:rsidRPr="00471689">
        <w:t xml:space="preserve"> </w:t>
      </w:r>
      <w:r>
        <w:t xml:space="preserve"> </w:t>
      </w:r>
      <w:r w:rsidRPr="00471689">
        <w:t xml:space="preserve">The </w:t>
      </w:r>
      <w:r>
        <w:t>SWE estimated</w:t>
      </w:r>
      <w:r w:rsidRPr="00471689">
        <w:t xml:space="preserve"> that the total </w:t>
      </w:r>
      <w:r>
        <w:t xml:space="preserve">incremental annual </w:t>
      </w:r>
      <w:r w:rsidRPr="00471689">
        <w:t xml:space="preserve">achievable </w:t>
      </w:r>
      <w:r w:rsidR="007D5F08">
        <w:t xml:space="preserve">electric </w:t>
      </w:r>
      <w:r>
        <w:t xml:space="preserve">savings </w:t>
      </w:r>
      <w:r w:rsidRPr="00387244">
        <w:t xml:space="preserve">potential for the seven EDCs </w:t>
      </w:r>
      <w:r>
        <w:t xml:space="preserve">from </w:t>
      </w:r>
      <w:r w:rsidRPr="00471689">
        <w:t>June 1, 20</w:t>
      </w:r>
      <w:r>
        <w:t>21</w:t>
      </w:r>
      <w:r w:rsidRPr="00471689">
        <w:t xml:space="preserve"> through May</w:t>
      </w:r>
      <w:r w:rsidR="00261BB7">
        <w:t> </w:t>
      </w:r>
      <w:r w:rsidRPr="00471689">
        <w:t xml:space="preserve">31, </w:t>
      </w:r>
      <w:r>
        <w:t>2026</w:t>
      </w:r>
      <w:r w:rsidRPr="00387244">
        <w:t xml:space="preserve"> for </w:t>
      </w:r>
      <w:r w:rsidR="008673DD">
        <w:t>consumption reductions</w:t>
      </w:r>
      <w:r w:rsidR="008673DD" w:rsidRPr="00387244">
        <w:t xml:space="preserve"> </w:t>
      </w:r>
      <w:r w:rsidRPr="00387244">
        <w:t>is 3.1</w:t>
      </w:r>
      <w:r>
        <w:t>%</w:t>
      </w:r>
      <w:r w:rsidRPr="00387244">
        <w:t xml:space="preserve"> of </w:t>
      </w:r>
      <w:r w:rsidR="008673DD">
        <w:t xml:space="preserve">the </w:t>
      </w:r>
      <w:r w:rsidRPr="00387244">
        <w:t>2009-2010 baseline annual kWh sales</w:t>
      </w:r>
      <w:r>
        <w:t xml:space="preserve"> (Act 129 Achievable in</w:t>
      </w:r>
      <w:r w:rsidR="00225AF0">
        <w:t xml:space="preserve"> Table </w:t>
      </w:r>
      <w:r w:rsidR="00E659EC">
        <w:t>2</w:t>
      </w:r>
      <w:r w:rsidR="00C96CD9">
        <w:t>)</w:t>
      </w:r>
      <w:r w:rsidRPr="00387244">
        <w:t>.</w:t>
      </w:r>
      <w:r w:rsidRPr="00387244">
        <w:rPr>
          <w:rStyle w:val="FootnoteReference"/>
          <w:szCs w:val="26"/>
        </w:rPr>
        <w:footnoteReference w:id="19"/>
      </w:r>
      <w:r w:rsidRPr="00387244">
        <w:t xml:space="preserve">  For</w:t>
      </w:r>
      <w:r w:rsidRPr="00471689">
        <w:t xml:space="preserve"> </w:t>
      </w:r>
      <w:r>
        <w:t>Act 129</w:t>
      </w:r>
      <w:r w:rsidRPr="00471689">
        <w:t xml:space="preserve"> potential, the SWE estimate</w:t>
      </w:r>
      <w:r>
        <w:t>d</w:t>
      </w:r>
      <w:r w:rsidRPr="00471689">
        <w:t xml:space="preserve"> that</w:t>
      </w:r>
      <w:r>
        <w:t>,</w:t>
      </w:r>
      <w:r w:rsidRPr="00471689">
        <w:t xml:space="preserve"> with the current annual spending cap the EDCs can achieve a combined annual </w:t>
      </w:r>
      <w:r w:rsidR="008673DD">
        <w:t>elec</w:t>
      </w:r>
      <w:r w:rsidR="00F91DD9">
        <w:t xml:space="preserve">tric </w:t>
      </w:r>
      <w:r w:rsidRPr="00471689">
        <w:t xml:space="preserve">savings equal to 0.62% </w:t>
      </w:r>
      <w:r w:rsidR="00F91DD9">
        <w:t xml:space="preserve">per year </w:t>
      </w:r>
      <w:r w:rsidRPr="00471689">
        <w:t>of</w:t>
      </w:r>
      <w:r w:rsidR="00864736">
        <w:t xml:space="preserve"> the</w:t>
      </w:r>
      <w:r w:rsidRPr="00471689">
        <w:t xml:space="preserve"> baseline 2009</w:t>
      </w:r>
      <w:r w:rsidR="00864736">
        <w:noBreakHyphen/>
      </w:r>
      <w:r w:rsidRPr="00471689">
        <w:t>2010 load, or 4,512,829</w:t>
      </w:r>
      <w:r w:rsidRPr="003666C8">
        <w:t xml:space="preserve"> MWh of incremental annual savings over a five</w:t>
      </w:r>
      <w:r w:rsidR="00864736">
        <w:noBreakHyphen/>
      </w:r>
      <w:r w:rsidRPr="003666C8">
        <w:t>year timeframe.</w:t>
      </w:r>
    </w:p>
    <w:p w14:paraId="503A6DBB" w14:textId="33C42AAD" w:rsidR="00924F1A" w:rsidRDefault="00924F1A" w:rsidP="00DD1A7A">
      <w:pPr>
        <w:pStyle w:val="StyleLinespacing15lines"/>
      </w:pPr>
    </w:p>
    <w:p w14:paraId="07A5F595" w14:textId="04CB1A97" w:rsidR="00863707" w:rsidRDefault="00863707" w:rsidP="00DD1A7A">
      <w:pPr>
        <w:pStyle w:val="StyleLinespacing15lines"/>
      </w:pPr>
    </w:p>
    <w:p w14:paraId="7EC7D4F0" w14:textId="53410355" w:rsidR="00863707" w:rsidRDefault="00863707" w:rsidP="00DD1A7A">
      <w:pPr>
        <w:pStyle w:val="StyleLinespacing15lines"/>
      </w:pPr>
    </w:p>
    <w:p w14:paraId="0029AF5F" w14:textId="77777777" w:rsidR="00863707" w:rsidRDefault="00863707" w:rsidP="00DD1A7A">
      <w:pPr>
        <w:pStyle w:val="StyleLinespacing15lines"/>
      </w:pPr>
    </w:p>
    <w:p w14:paraId="544C9BC5" w14:textId="6638F139" w:rsidR="00DD1A7A" w:rsidRPr="00471689" w:rsidRDefault="00DD1A7A" w:rsidP="00C96CD9">
      <w:pPr>
        <w:pStyle w:val="StyleLinespacing15lines"/>
        <w:jc w:val="center"/>
        <w:rPr>
          <w:szCs w:val="26"/>
        </w:rPr>
      </w:pPr>
      <w:r w:rsidRPr="006B168D">
        <w:rPr>
          <w:rStyle w:val="Style11ptBold1"/>
        </w:rPr>
        <w:lastRenderedPageBreak/>
        <w:t>Table</w:t>
      </w:r>
      <w:r w:rsidR="00E659EC">
        <w:rPr>
          <w:rStyle w:val="Style11ptBold1"/>
        </w:rPr>
        <w:t xml:space="preserve"> 2</w:t>
      </w:r>
      <w:r w:rsidRPr="006B168D">
        <w:rPr>
          <w:rStyle w:val="Style11ptBold1"/>
        </w:rPr>
        <w:t xml:space="preserve">: </w:t>
      </w:r>
      <w:r w:rsidR="00C47561">
        <w:rPr>
          <w:rStyle w:val="Style11ptBold1"/>
        </w:rPr>
        <w:t xml:space="preserve">EEPDR Potential </w:t>
      </w:r>
      <w:r w:rsidRPr="00EB6FDF">
        <w:rPr>
          <w:rStyle w:val="Style11ptBold1"/>
        </w:rPr>
        <w:t>Study Savings compared to 2009-2010 Load Forecast</w:t>
      </w:r>
    </w:p>
    <w:tbl>
      <w:tblPr>
        <w:tblW w:w="8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2370"/>
        <w:gridCol w:w="2819"/>
      </w:tblGrid>
      <w:tr w:rsidR="00DD1A7A" w:rsidRPr="00471689" w14:paraId="40B47F35" w14:textId="77777777" w:rsidTr="008E374C">
        <w:trPr>
          <w:jc w:val="center"/>
        </w:trPr>
        <w:tc>
          <w:tcPr>
            <w:tcW w:w="323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A00B899" w14:textId="77777777" w:rsidR="00DD1A7A" w:rsidRPr="00456233" w:rsidRDefault="00DD1A7A" w:rsidP="008E374C">
            <w:pPr>
              <w:keepNext/>
              <w:keepLines/>
              <w:autoSpaceDE w:val="0"/>
              <w:autoSpaceDN w:val="0"/>
              <w:adjustRightInd w:val="0"/>
              <w:spacing w:before="80" w:after="80"/>
              <w:rPr>
                <w:b/>
                <w:bCs/>
                <w:color w:val="FFFFFF" w:themeColor="background1"/>
                <w:sz w:val="26"/>
                <w:szCs w:val="26"/>
              </w:rPr>
            </w:pPr>
            <w:r w:rsidRPr="00456233">
              <w:rPr>
                <w:b/>
                <w:bCs/>
                <w:color w:val="FFFFFF" w:themeColor="background1"/>
                <w:sz w:val="26"/>
                <w:szCs w:val="26"/>
              </w:rPr>
              <w:t>Potential Study Scenario</w:t>
            </w:r>
          </w:p>
        </w:tc>
        <w:tc>
          <w:tcPr>
            <w:tcW w:w="51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8B68BDE" w14:textId="77777777" w:rsidR="00DD1A7A" w:rsidRPr="00456233" w:rsidRDefault="00DD1A7A" w:rsidP="008E374C">
            <w:pPr>
              <w:keepNext/>
              <w:keepLines/>
              <w:autoSpaceDE w:val="0"/>
              <w:autoSpaceDN w:val="0"/>
              <w:adjustRightInd w:val="0"/>
              <w:spacing w:before="80" w:after="80"/>
              <w:jc w:val="center"/>
              <w:rPr>
                <w:b/>
                <w:bCs/>
                <w:color w:val="FFFFFF" w:themeColor="background1"/>
                <w:sz w:val="26"/>
                <w:szCs w:val="26"/>
              </w:rPr>
            </w:pPr>
            <w:r w:rsidRPr="00456233">
              <w:rPr>
                <w:b/>
                <w:bCs/>
                <w:color w:val="FFFFFF" w:themeColor="background1"/>
                <w:sz w:val="26"/>
                <w:szCs w:val="26"/>
              </w:rPr>
              <w:t>2021-2026</w:t>
            </w:r>
          </w:p>
          <w:p w14:paraId="7E2085A8" w14:textId="77777777" w:rsidR="00DD1A7A" w:rsidRPr="00456233" w:rsidRDefault="00DD1A7A" w:rsidP="008E374C">
            <w:pPr>
              <w:keepNext/>
              <w:keepLines/>
              <w:autoSpaceDE w:val="0"/>
              <w:autoSpaceDN w:val="0"/>
              <w:adjustRightInd w:val="0"/>
              <w:spacing w:before="80" w:after="80"/>
              <w:jc w:val="center"/>
              <w:rPr>
                <w:b/>
                <w:bCs/>
                <w:color w:val="FFFFFF" w:themeColor="background1"/>
                <w:sz w:val="26"/>
                <w:szCs w:val="26"/>
              </w:rPr>
            </w:pPr>
            <w:r w:rsidRPr="00456233">
              <w:rPr>
                <w:b/>
                <w:bCs/>
                <w:color w:val="FFFFFF" w:themeColor="background1"/>
                <w:sz w:val="26"/>
                <w:szCs w:val="26"/>
              </w:rPr>
              <w:t>Sum of Incremental Annual Savings</w:t>
            </w:r>
          </w:p>
        </w:tc>
      </w:tr>
      <w:tr w:rsidR="00DD1A7A" w:rsidRPr="00471689" w14:paraId="6E24717A" w14:textId="77777777" w:rsidTr="008E374C">
        <w:trPr>
          <w:jc w:val="center"/>
        </w:trPr>
        <w:tc>
          <w:tcPr>
            <w:tcW w:w="323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780F3C9" w14:textId="77777777" w:rsidR="00DD1A7A" w:rsidRPr="009C26B1" w:rsidRDefault="00DD1A7A" w:rsidP="008E374C">
            <w:pPr>
              <w:keepNext/>
              <w:keepLines/>
              <w:autoSpaceDE w:val="0"/>
              <w:autoSpaceDN w:val="0"/>
              <w:adjustRightInd w:val="0"/>
              <w:spacing w:before="80" w:after="80"/>
              <w:rPr>
                <w:b/>
                <w:bCs/>
                <w:color w:val="FFFFFF" w:themeColor="background1"/>
                <w:sz w:val="26"/>
                <w:szCs w:val="26"/>
              </w:rPr>
            </w:pPr>
          </w:p>
        </w:tc>
        <w:tc>
          <w:tcPr>
            <w:tcW w:w="2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9155690" w14:textId="77777777" w:rsidR="00DD1A7A" w:rsidRPr="009C26B1" w:rsidRDefault="00DD1A7A" w:rsidP="008E374C">
            <w:pPr>
              <w:keepNext/>
              <w:keepLines/>
              <w:autoSpaceDE w:val="0"/>
              <w:autoSpaceDN w:val="0"/>
              <w:adjustRightInd w:val="0"/>
              <w:spacing w:before="80" w:after="80"/>
              <w:jc w:val="center"/>
              <w:rPr>
                <w:b/>
                <w:bCs/>
                <w:color w:val="FFFFFF" w:themeColor="background1"/>
                <w:sz w:val="26"/>
                <w:szCs w:val="26"/>
              </w:rPr>
            </w:pPr>
            <w:r w:rsidRPr="009C26B1">
              <w:rPr>
                <w:b/>
                <w:bCs/>
                <w:color w:val="FFFFFF" w:themeColor="background1"/>
                <w:sz w:val="26"/>
                <w:szCs w:val="26"/>
              </w:rPr>
              <w:t>MWh</w:t>
            </w:r>
          </w:p>
        </w:tc>
        <w:tc>
          <w:tcPr>
            <w:tcW w:w="2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2A6A569" w14:textId="77777777" w:rsidR="00DD1A7A" w:rsidRPr="009C26B1" w:rsidRDefault="00DD1A7A" w:rsidP="008E374C">
            <w:pPr>
              <w:keepNext/>
              <w:keepLines/>
              <w:autoSpaceDE w:val="0"/>
              <w:autoSpaceDN w:val="0"/>
              <w:adjustRightInd w:val="0"/>
              <w:spacing w:before="80" w:after="80"/>
              <w:jc w:val="center"/>
              <w:rPr>
                <w:b/>
                <w:bCs/>
                <w:color w:val="FFFFFF" w:themeColor="background1"/>
                <w:sz w:val="26"/>
                <w:szCs w:val="26"/>
              </w:rPr>
            </w:pPr>
            <w:r w:rsidRPr="009C26B1">
              <w:rPr>
                <w:b/>
                <w:bCs/>
                <w:color w:val="FFFFFF" w:themeColor="background1"/>
                <w:sz w:val="26"/>
                <w:szCs w:val="26"/>
              </w:rPr>
              <w:t>% of 2009-2010 load</w:t>
            </w:r>
          </w:p>
        </w:tc>
      </w:tr>
      <w:tr w:rsidR="00DD1A7A" w:rsidRPr="00471689" w14:paraId="3BEADD6C" w14:textId="77777777" w:rsidTr="008E374C">
        <w:trPr>
          <w:jc w:val="center"/>
        </w:trPr>
        <w:tc>
          <w:tcPr>
            <w:tcW w:w="3235" w:type="dxa"/>
            <w:tcBorders>
              <w:top w:val="single" w:sz="4" w:space="0" w:color="FFFFFF" w:themeColor="background1"/>
            </w:tcBorders>
            <w:shd w:val="clear" w:color="auto" w:fill="auto"/>
            <w:vAlign w:val="center"/>
          </w:tcPr>
          <w:p w14:paraId="07224857" w14:textId="77777777" w:rsidR="00DD1A7A" w:rsidRPr="00576BB0" w:rsidRDefault="00DD1A7A" w:rsidP="008E374C">
            <w:pPr>
              <w:keepNext/>
              <w:keepLines/>
              <w:autoSpaceDE w:val="0"/>
              <w:autoSpaceDN w:val="0"/>
              <w:adjustRightInd w:val="0"/>
              <w:spacing w:before="80" w:after="80"/>
              <w:rPr>
                <w:sz w:val="26"/>
                <w:szCs w:val="26"/>
              </w:rPr>
            </w:pPr>
            <w:r>
              <w:rPr>
                <w:sz w:val="26"/>
                <w:szCs w:val="26"/>
              </w:rPr>
              <w:t xml:space="preserve">Maximum </w:t>
            </w:r>
            <w:r w:rsidRPr="00576BB0">
              <w:rPr>
                <w:sz w:val="26"/>
                <w:szCs w:val="26"/>
              </w:rPr>
              <w:t xml:space="preserve">Achievable </w:t>
            </w:r>
          </w:p>
        </w:tc>
        <w:tc>
          <w:tcPr>
            <w:tcW w:w="2370" w:type="dxa"/>
            <w:tcBorders>
              <w:top w:val="single" w:sz="4" w:space="0" w:color="FFFFFF" w:themeColor="background1"/>
            </w:tcBorders>
            <w:shd w:val="clear" w:color="auto" w:fill="auto"/>
            <w:vAlign w:val="center"/>
          </w:tcPr>
          <w:p w14:paraId="493DDE30" w14:textId="77777777" w:rsidR="00DD1A7A" w:rsidRPr="00576BB0" w:rsidRDefault="00DD1A7A" w:rsidP="008E374C">
            <w:pPr>
              <w:keepNext/>
              <w:keepLines/>
              <w:autoSpaceDE w:val="0"/>
              <w:autoSpaceDN w:val="0"/>
              <w:adjustRightInd w:val="0"/>
              <w:spacing w:before="80" w:after="80"/>
              <w:jc w:val="center"/>
              <w:rPr>
                <w:sz w:val="26"/>
                <w:szCs w:val="26"/>
              </w:rPr>
            </w:pPr>
            <w:r w:rsidRPr="3792F7D5">
              <w:rPr>
                <w:sz w:val="26"/>
                <w:szCs w:val="26"/>
              </w:rPr>
              <w:t>8,898,584</w:t>
            </w:r>
          </w:p>
        </w:tc>
        <w:tc>
          <w:tcPr>
            <w:tcW w:w="2819" w:type="dxa"/>
            <w:tcBorders>
              <w:top w:val="single" w:sz="4" w:space="0" w:color="FFFFFF" w:themeColor="background1"/>
            </w:tcBorders>
            <w:shd w:val="clear" w:color="auto" w:fill="auto"/>
            <w:vAlign w:val="center"/>
          </w:tcPr>
          <w:p w14:paraId="6581B432" w14:textId="77777777" w:rsidR="00DD1A7A" w:rsidRPr="00576BB0" w:rsidRDefault="00DD1A7A" w:rsidP="008E374C">
            <w:pPr>
              <w:keepNext/>
              <w:keepLines/>
              <w:autoSpaceDE w:val="0"/>
              <w:autoSpaceDN w:val="0"/>
              <w:adjustRightInd w:val="0"/>
              <w:spacing w:before="80" w:after="80"/>
              <w:jc w:val="center"/>
              <w:rPr>
                <w:sz w:val="26"/>
                <w:szCs w:val="26"/>
              </w:rPr>
            </w:pPr>
            <w:r w:rsidRPr="3792F7D5">
              <w:rPr>
                <w:sz w:val="26"/>
                <w:szCs w:val="26"/>
              </w:rPr>
              <w:t>6.1%</w:t>
            </w:r>
          </w:p>
        </w:tc>
      </w:tr>
      <w:tr w:rsidR="00DD1A7A" w:rsidRPr="00471689" w14:paraId="21736917" w14:textId="77777777" w:rsidTr="008E374C">
        <w:trPr>
          <w:trHeight w:val="77"/>
          <w:jc w:val="center"/>
        </w:trPr>
        <w:tc>
          <w:tcPr>
            <w:tcW w:w="3235" w:type="dxa"/>
            <w:shd w:val="clear" w:color="auto" w:fill="auto"/>
            <w:vAlign w:val="center"/>
          </w:tcPr>
          <w:p w14:paraId="3C3D4A5B" w14:textId="77777777" w:rsidR="00DD1A7A" w:rsidRPr="00576BB0" w:rsidRDefault="00DD1A7A" w:rsidP="008E374C">
            <w:pPr>
              <w:keepNext/>
              <w:keepLines/>
              <w:autoSpaceDE w:val="0"/>
              <w:autoSpaceDN w:val="0"/>
              <w:adjustRightInd w:val="0"/>
              <w:spacing w:before="80" w:after="80"/>
              <w:rPr>
                <w:sz w:val="26"/>
                <w:szCs w:val="26"/>
              </w:rPr>
            </w:pPr>
            <w:r>
              <w:rPr>
                <w:sz w:val="26"/>
                <w:szCs w:val="26"/>
              </w:rPr>
              <w:t xml:space="preserve">Act 129 Achievable </w:t>
            </w:r>
          </w:p>
        </w:tc>
        <w:tc>
          <w:tcPr>
            <w:tcW w:w="2370" w:type="dxa"/>
            <w:shd w:val="clear" w:color="auto" w:fill="auto"/>
            <w:vAlign w:val="center"/>
          </w:tcPr>
          <w:p w14:paraId="165A61E6" w14:textId="77777777" w:rsidR="00DD1A7A" w:rsidRPr="00576BB0" w:rsidRDefault="00DD1A7A" w:rsidP="008E374C">
            <w:pPr>
              <w:keepNext/>
              <w:keepLines/>
              <w:autoSpaceDE w:val="0"/>
              <w:autoSpaceDN w:val="0"/>
              <w:adjustRightInd w:val="0"/>
              <w:spacing w:before="80" w:after="80"/>
              <w:jc w:val="center"/>
              <w:rPr>
                <w:sz w:val="26"/>
                <w:szCs w:val="26"/>
              </w:rPr>
            </w:pPr>
            <w:r w:rsidRPr="00C66FAA">
              <w:rPr>
                <w:sz w:val="26"/>
                <w:szCs w:val="26"/>
              </w:rPr>
              <w:t>4,512,829</w:t>
            </w:r>
          </w:p>
        </w:tc>
        <w:tc>
          <w:tcPr>
            <w:tcW w:w="2819" w:type="dxa"/>
            <w:shd w:val="clear" w:color="auto" w:fill="auto"/>
            <w:vAlign w:val="center"/>
          </w:tcPr>
          <w:p w14:paraId="246A6A0E" w14:textId="77777777" w:rsidR="00DD1A7A" w:rsidRPr="00576BB0" w:rsidRDefault="00DD1A7A" w:rsidP="008E374C">
            <w:pPr>
              <w:keepNext/>
              <w:keepLines/>
              <w:autoSpaceDE w:val="0"/>
              <w:autoSpaceDN w:val="0"/>
              <w:adjustRightInd w:val="0"/>
              <w:spacing w:before="80" w:after="80"/>
              <w:jc w:val="center"/>
              <w:rPr>
                <w:sz w:val="26"/>
                <w:szCs w:val="26"/>
              </w:rPr>
            </w:pPr>
            <w:r w:rsidRPr="3792F7D5">
              <w:rPr>
                <w:sz w:val="26"/>
                <w:szCs w:val="26"/>
              </w:rPr>
              <w:t>3.1</w:t>
            </w:r>
            <w:r w:rsidRPr="00576BB0">
              <w:rPr>
                <w:sz w:val="26"/>
                <w:szCs w:val="26"/>
              </w:rPr>
              <w:t>%</w:t>
            </w:r>
          </w:p>
        </w:tc>
      </w:tr>
    </w:tbl>
    <w:p w14:paraId="63934E33" w14:textId="77777777" w:rsidR="00DD1A7A" w:rsidRPr="00471689" w:rsidRDefault="00DD1A7A" w:rsidP="00DD1A7A">
      <w:pPr>
        <w:autoSpaceDE w:val="0"/>
        <w:autoSpaceDN w:val="0"/>
        <w:adjustRightInd w:val="0"/>
        <w:spacing w:line="360" w:lineRule="auto"/>
        <w:rPr>
          <w:sz w:val="26"/>
          <w:szCs w:val="26"/>
        </w:rPr>
      </w:pPr>
    </w:p>
    <w:p w14:paraId="7C56457F" w14:textId="54BA0E9E" w:rsidR="00DD34A3" w:rsidRDefault="00DD1A7A" w:rsidP="000B053A">
      <w:pPr>
        <w:pStyle w:val="StyleLinespacing15lines"/>
      </w:pPr>
      <w:r w:rsidRPr="00471689">
        <w:tab/>
        <w:t xml:space="preserve">The </w:t>
      </w:r>
      <w:r>
        <w:t>SWE</w:t>
      </w:r>
      <w:r w:rsidRPr="00471689">
        <w:t xml:space="preserve"> also conclude</w:t>
      </w:r>
      <w:r>
        <w:t>d</w:t>
      </w:r>
      <w:r w:rsidRPr="00471689">
        <w:t xml:space="preserve"> that continuing </w:t>
      </w:r>
      <w:r w:rsidR="00C22FEF">
        <w:t xml:space="preserve">consumption </w:t>
      </w:r>
      <w:r w:rsidR="00B052AA">
        <w:t>reduction</w:t>
      </w:r>
      <w:r w:rsidR="00C22FEF" w:rsidRPr="00471689">
        <w:t xml:space="preserve"> </w:t>
      </w:r>
      <w:r w:rsidRPr="00471689">
        <w:t>programs will continue to be cost-</w:t>
      </w:r>
      <w:r w:rsidRPr="00E554C2">
        <w:t>effective for ratepayers</w:t>
      </w:r>
      <w:r>
        <w:t xml:space="preserve">, </w:t>
      </w:r>
      <w:r w:rsidR="00771FA8">
        <w:t xml:space="preserve">as noted </w:t>
      </w:r>
      <w:r>
        <w:t xml:space="preserve">in </w:t>
      </w:r>
      <w:r w:rsidR="00225AF0">
        <w:t xml:space="preserve">the </w:t>
      </w:r>
      <w:r w:rsidR="00C47561">
        <w:t xml:space="preserve">EEPDR Potential </w:t>
      </w:r>
      <w:r>
        <w:t>Study</w:t>
      </w:r>
      <w:r w:rsidR="00771FA8">
        <w:t xml:space="preserve"> and as</w:t>
      </w:r>
      <w:r>
        <w:t xml:space="preserve"> presented in </w:t>
      </w:r>
      <w:r w:rsidR="00924F1A">
        <w:t xml:space="preserve">Table 3 </w:t>
      </w:r>
      <w:r w:rsidR="00771FA8">
        <w:t>below</w:t>
      </w:r>
      <w:r w:rsidRPr="00E554C2">
        <w:t xml:space="preserve">.  The TRC ratio statewide for the </w:t>
      </w:r>
      <w:r>
        <w:t>Act 129 P</w:t>
      </w:r>
      <w:r w:rsidRPr="00E554C2">
        <w:t>otential scenario is estimated to be 1.</w:t>
      </w:r>
      <w:r>
        <w:t>62</w:t>
      </w:r>
      <w:r w:rsidRPr="00E554C2">
        <w:t>, with net benefits of approximately $1.</w:t>
      </w:r>
      <w:r>
        <w:t>2</w:t>
      </w:r>
      <w:r w:rsidRPr="00E554C2">
        <w:t xml:space="preserve"> billion over the lifetime of measures installed during Phase I</w:t>
      </w:r>
      <w:r>
        <w:t>V</w:t>
      </w:r>
      <w:r w:rsidRPr="00E554C2">
        <w:t xml:space="preserve"> (June 1, 20</w:t>
      </w:r>
      <w:r>
        <w:t>21</w:t>
      </w:r>
      <w:r w:rsidRPr="00E554C2">
        <w:t xml:space="preserve"> through May 31, 202</w:t>
      </w:r>
      <w:r>
        <w:t>6</w:t>
      </w:r>
      <w:r w:rsidRPr="00E554C2">
        <w:t xml:space="preserve">).  The </w:t>
      </w:r>
      <w:r w:rsidR="00AF32E2">
        <w:t xml:space="preserve">estimated </w:t>
      </w:r>
      <w:r w:rsidRPr="00E554C2">
        <w:t>program acquisition</w:t>
      </w:r>
      <w:r>
        <w:t xml:space="preserve"> cost (dollars per first-y</w:t>
      </w:r>
      <w:r w:rsidRPr="00471689">
        <w:t>ear</w:t>
      </w:r>
      <w:r w:rsidR="00F70D65">
        <w:t xml:space="preserve"> </w:t>
      </w:r>
      <w:r w:rsidRPr="00471689">
        <w:t xml:space="preserve">MWh saved) </w:t>
      </w:r>
      <w:r w:rsidR="00AF32E2">
        <w:t>of $271.01 per MWh will result in Act 129 Achievable Potential savings of 4,512,829 MWh.</w:t>
      </w:r>
      <w:r w:rsidRPr="00471689">
        <w:rPr>
          <w:rStyle w:val="FootnoteReference"/>
          <w:szCs w:val="26"/>
        </w:rPr>
        <w:footnoteReference w:id="20"/>
      </w:r>
      <w:r>
        <w:t xml:space="preserve"> </w:t>
      </w:r>
    </w:p>
    <w:p w14:paraId="557E1878" w14:textId="5A397AAB" w:rsidR="000B053A" w:rsidRDefault="000B053A" w:rsidP="000B053A">
      <w:bookmarkStart w:id="174" w:name="_Ref33507063"/>
    </w:p>
    <w:p w14:paraId="6A23E3F0" w14:textId="77777777" w:rsidR="00863707" w:rsidRPr="000B053A" w:rsidRDefault="00863707" w:rsidP="000B053A"/>
    <w:p w14:paraId="187D32E3" w14:textId="6CF7E5B5" w:rsidR="00DD1A7A" w:rsidRPr="007D1895" w:rsidRDefault="00DD1A7A" w:rsidP="00C96CD9">
      <w:pPr>
        <w:pStyle w:val="Caption"/>
        <w:widowControl w:val="0"/>
        <w:jc w:val="center"/>
        <w:rPr>
          <w:b/>
          <w:i w:val="0"/>
          <w:iCs w:val="0"/>
          <w:color w:val="auto"/>
          <w:sz w:val="26"/>
          <w:szCs w:val="26"/>
        </w:rPr>
      </w:pPr>
      <w:r w:rsidRPr="007D1895">
        <w:rPr>
          <w:b/>
          <w:i w:val="0"/>
          <w:iCs w:val="0"/>
          <w:color w:val="auto"/>
          <w:sz w:val="26"/>
          <w:szCs w:val="26"/>
        </w:rPr>
        <w:t>Table</w:t>
      </w:r>
      <w:bookmarkEnd w:id="174"/>
      <w:r w:rsidR="00E659EC">
        <w:rPr>
          <w:b/>
          <w:i w:val="0"/>
          <w:iCs w:val="0"/>
          <w:color w:val="auto"/>
          <w:sz w:val="26"/>
          <w:szCs w:val="26"/>
        </w:rPr>
        <w:t xml:space="preserve"> 3</w:t>
      </w:r>
      <w:r w:rsidRPr="007D1895">
        <w:rPr>
          <w:b/>
          <w:i w:val="0"/>
          <w:iCs w:val="0"/>
          <w:color w:val="auto"/>
          <w:sz w:val="26"/>
          <w:szCs w:val="26"/>
        </w:rPr>
        <w:t>: Phase IV Energy Efficiency Potential, by EDC</w:t>
      </w:r>
    </w:p>
    <w:tbl>
      <w:tblPr>
        <w:tblpPr w:leftFromText="180" w:rightFromText="180" w:vertAnchor="text" w:tblpX="-550" w:tblpY="123"/>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1440"/>
        <w:gridCol w:w="1080"/>
        <w:gridCol w:w="990"/>
        <w:gridCol w:w="1170"/>
        <w:gridCol w:w="1165"/>
        <w:gridCol w:w="1525"/>
        <w:gridCol w:w="1080"/>
      </w:tblGrid>
      <w:tr w:rsidR="009B68AC" w:rsidRPr="000B053A" w14:paraId="76ADAFCB" w14:textId="77777777" w:rsidTr="00C96CD9">
        <w:trPr>
          <w:trHeight w:val="889"/>
        </w:trPr>
        <w:tc>
          <w:tcPr>
            <w:tcW w:w="2165" w:type="dxa"/>
            <w:shd w:val="clear" w:color="auto" w:fill="000000" w:themeFill="text1"/>
            <w:vAlign w:val="center"/>
            <w:hideMark/>
          </w:tcPr>
          <w:p w14:paraId="1615F533" w14:textId="77777777" w:rsidR="009B68AC" w:rsidRPr="00A33278" w:rsidRDefault="009B68AC" w:rsidP="009B68AC">
            <w:pPr>
              <w:pStyle w:val="TableText"/>
              <w:keepNext/>
              <w:jc w:val="center"/>
              <w:rPr>
                <w:rFonts w:ascii="Times New Roman" w:hAnsi="Times New Roman"/>
                <w:b/>
                <w:color w:val="FFFFFF" w:themeColor="background1"/>
                <w:szCs w:val="22"/>
              </w:rPr>
            </w:pPr>
            <w:r w:rsidRPr="00A33278">
              <w:rPr>
                <w:rFonts w:ascii="Times New Roman" w:hAnsi="Times New Roman"/>
                <w:b/>
                <w:color w:val="FFFFFF" w:themeColor="background1"/>
                <w:szCs w:val="22"/>
              </w:rPr>
              <w:t>EDC</w:t>
            </w:r>
          </w:p>
        </w:tc>
        <w:tc>
          <w:tcPr>
            <w:tcW w:w="1440" w:type="dxa"/>
            <w:shd w:val="clear" w:color="auto" w:fill="000000" w:themeFill="text1"/>
            <w:vAlign w:val="center"/>
            <w:hideMark/>
          </w:tcPr>
          <w:p w14:paraId="636C6AFC" w14:textId="77777777" w:rsidR="009B68AC" w:rsidRPr="00E659EC" w:rsidRDefault="009B68AC" w:rsidP="009B68AC">
            <w:pPr>
              <w:pStyle w:val="TableText"/>
              <w:keepNext/>
              <w:jc w:val="center"/>
              <w:rPr>
                <w:rFonts w:ascii="Times New Roman" w:hAnsi="Times New Roman"/>
                <w:b/>
                <w:color w:val="FFFFFF" w:themeColor="background1"/>
                <w:szCs w:val="22"/>
              </w:rPr>
            </w:pPr>
            <w:r w:rsidRPr="00E659EC">
              <w:rPr>
                <w:rFonts w:ascii="Times New Roman" w:hAnsi="Times New Roman"/>
                <w:b/>
                <w:color w:val="FFFFFF" w:themeColor="background1"/>
                <w:szCs w:val="22"/>
              </w:rPr>
              <w:t>Acquisition cost</w:t>
            </w:r>
          </w:p>
          <w:p w14:paraId="51512DFF" w14:textId="77777777" w:rsidR="009B68AC" w:rsidRPr="00924F1A" w:rsidRDefault="009B68AC" w:rsidP="009B68AC">
            <w:pPr>
              <w:pStyle w:val="TableText"/>
              <w:keepNext/>
              <w:jc w:val="center"/>
              <w:rPr>
                <w:rFonts w:ascii="Times New Roman" w:hAnsi="Times New Roman"/>
                <w:b/>
                <w:color w:val="FFFFFF" w:themeColor="background1"/>
                <w:szCs w:val="22"/>
              </w:rPr>
            </w:pPr>
            <w:r w:rsidRPr="00924F1A">
              <w:rPr>
                <w:rFonts w:ascii="Times New Roman" w:hAnsi="Times New Roman"/>
                <w:b/>
                <w:color w:val="FFFFFF" w:themeColor="background1"/>
                <w:szCs w:val="22"/>
              </w:rPr>
              <w:t>($/MWh)</w:t>
            </w:r>
          </w:p>
        </w:tc>
        <w:tc>
          <w:tcPr>
            <w:tcW w:w="1080" w:type="dxa"/>
            <w:shd w:val="clear" w:color="auto" w:fill="000000" w:themeFill="text1"/>
            <w:vAlign w:val="center"/>
            <w:hideMark/>
          </w:tcPr>
          <w:p w14:paraId="325E716B" w14:textId="77777777" w:rsidR="009B68AC" w:rsidRPr="009B68AC" w:rsidRDefault="009B68AC" w:rsidP="009B68AC">
            <w:pPr>
              <w:pStyle w:val="TableText"/>
              <w:keepNext/>
              <w:jc w:val="center"/>
              <w:rPr>
                <w:rFonts w:ascii="Times New Roman" w:hAnsi="Times New Roman"/>
                <w:b/>
                <w:color w:val="FFFFFF" w:themeColor="background1"/>
                <w:szCs w:val="22"/>
              </w:rPr>
            </w:pPr>
            <w:r w:rsidRPr="007B3630">
              <w:rPr>
                <w:rFonts w:ascii="Times New Roman" w:hAnsi="Times New Roman"/>
                <w:b/>
                <w:color w:val="FFFFFF" w:themeColor="background1"/>
                <w:szCs w:val="22"/>
              </w:rPr>
              <w:t>Budget ($MM)</w:t>
            </w:r>
          </w:p>
        </w:tc>
        <w:tc>
          <w:tcPr>
            <w:tcW w:w="990" w:type="dxa"/>
            <w:shd w:val="clear" w:color="auto" w:fill="000000" w:themeFill="text1"/>
            <w:vAlign w:val="center"/>
            <w:hideMark/>
          </w:tcPr>
          <w:p w14:paraId="6C31F148" w14:textId="77777777" w:rsidR="009B68AC" w:rsidRPr="009B68AC" w:rsidRDefault="009B68AC" w:rsidP="009B68AC">
            <w:pPr>
              <w:pStyle w:val="TableText"/>
              <w:keepNext/>
              <w:jc w:val="center"/>
              <w:rPr>
                <w:rFonts w:ascii="Times New Roman" w:hAnsi="Times New Roman"/>
                <w:b/>
                <w:color w:val="FFFFFF" w:themeColor="background1"/>
                <w:szCs w:val="22"/>
              </w:rPr>
            </w:pPr>
            <w:r w:rsidRPr="009B68AC">
              <w:rPr>
                <w:rFonts w:ascii="Times New Roman" w:hAnsi="Times New Roman"/>
                <w:b/>
                <w:color w:val="FFFFFF" w:themeColor="background1"/>
                <w:szCs w:val="22"/>
              </w:rPr>
              <w:t>TRC costs</w:t>
            </w:r>
          </w:p>
          <w:p w14:paraId="53024813" w14:textId="77777777" w:rsidR="009B68AC" w:rsidRPr="009B68AC" w:rsidRDefault="009B68AC" w:rsidP="009B68AC">
            <w:pPr>
              <w:pStyle w:val="TableText"/>
              <w:keepNext/>
              <w:jc w:val="center"/>
              <w:rPr>
                <w:rFonts w:ascii="Times New Roman" w:hAnsi="Times New Roman"/>
                <w:b/>
                <w:color w:val="FFFFFF" w:themeColor="background1"/>
                <w:szCs w:val="22"/>
              </w:rPr>
            </w:pPr>
            <w:r w:rsidRPr="009B68AC">
              <w:rPr>
                <w:rFonts w:ascii="Times New Roman" w:hAnsi="Times New Roman"/>
                <w:b/>
                <w:color w:val="FFFFFF" w:themeColor="background1"/>
                <w:szCs w:val="22"/>
              </w:rPr>
              <w:t>($MM)</w:t>
            </w:r>
          </w:p>
        </w:tc>
        <w:tc>
          <w:tcPr>
            <w:tcW w:w="1170" w:type="dxa"/>
            <w:shd w:val="clear" w:color="auto" w:fill="000000" w:themeFill="text1"/>
            <w:vAlign w:val="center"/>
            <w:hideMark/>
          </w:tcPr>
          <w:p w14:paraId="1993D08E" w14:textId="77777777" w:rsidR="009B68AC" w:rsidRPr="009B68AC" w:rsidRDefault="009B68AC" w:rsidP="009B68AC">
            <w:pPr>
              <w:pStyle w:val="TableText"/>
              <w:keepNext/>
              <w:jc w:val="center"/>
              <w:rPr>
                <w:rFonts w:ascii="Times New Roman" w:hAnsi="Times New Roman"/>
                <w:b/>
                <w:color w:val="FFFFFF" w:themeColor="background1"/>
                <w:szCs w:val="22"/>
              </w:rPr>
            </w:pPr>
            <w:r w:rsidRPr="009B68AC">
              <w:rPr>
                <w:rFonts w:ascii="Times New Roman" w:hAnsi="Times New Roman"/>
                <w:b/>
                <w:color w:val="FFFFFF" w:themeColor="background1"/>
                <w:szCs w:val="22"/>
              </w:rPr>
              <w:t>TRC benefits ($MM)</w:t>
            </w:r>
          </w:p>
        </w:tc>
        <w:tc>
          <w:tcPr>
            <w:tcW w:w="1165" w:type="dxa"/>
            <w:shd w:val="clear" w:color="auto" w:fill="000000" w:themeFill="text1"/>
            <w:vAlign w:val="center"/>
            <w:hideMark/>
          </w:tcPr>
          <w:p w14:paraId="56B48E48" w14:textId="77777777" w:rsidR="009B68AC" w:rsidRPr="009B68AC" w:rsidRDefault="009B68AC" w:rsidP="009B68AC">
            <w:pPr>
              <w:pStyle w:val="TableText"/>
              <w:keepNext/>
              <w:jc w:val="center"/>
              <w:rPr>
                <w:rFonts w:ascii="Times New Roman" w:hAnsi="Times New Roman"/>
                <w:b/>
                <w:color w:val="FFFFFF" w:themeColor="background1"/>
                <w:szCs w:val="22"/>
              </w:rPr>
            </w:pPr>
            <w:r w:rsidRPr="009B68AC">
              <w:rPr>
                <w:rFonts w:ascii="Times New Roman" w:hAnsi="Times New Roman"/>
                <w:b/>
                <w:color w:val="FFFFFF" w:themeColor="background1"/>
                <w:szCs w:val="22"/>
              </w:rPr>
              <w:t>Net TRC benefits ($MM)</w:t>
            </w:r>
          </w:p>
        </w:tc>
        <w:tc>
          <w:tcPr>
            <w:tcW w:w="1525" w:type="dxa"/>
            <w:shd w:val="clear" w:color="auto" w:fill="000000" w:themeFill="text1"/>
            <w:vAlign w:val="center"/>
            <w:hideMark/>
          </w:tcPr>
          <w:p w14:paraId="67C350EC" w14:textId="77777777" w:rsidR="009B68AC" w:rsidRPr="009B68AC" w:rsidRDefault="009B68AC" w:rsidP="009B68AC">
            <w:pPr>
              <w:pStyle w:val="TableText"/>
              <w:keepNext/>
              <w:jc w:val="center"/>
              <w:rPr>
                <w:rFonts w:ascii="Times New Roman" w:hAnsi="Times New Roman"/>
                <w:b/>
                <w:color w:val="FFFFFF" w:themeColor="background1"/>
                <w:szCs w:val="22"/>
              </w:rPr>
            </w:pPr>
            <w:r w:rsidRPr="009B68AC">
              <w:rPr>
                <w:rFonts w:ascii="Times New Roman" w:hAnsi="Times New Roman"/>
                <w:b/>
                <w:color w:val="FFFFFF" w:themeColor="background1"/>
                <w:szCs w:val="22"/>
              </w:rPr>
              <w:t>TRC</w:t>
            </w:r>
          </w:p>
          <w:p w14:paraId="4B0455BC" w14:textId="77777777" w:rsidR="009B68AC" w:rsidRPr="009B68AC" w:rsidRDefault="009B68AC" w:rsidP="009B68AC">
            <w:pPr>
              <w:pStyle w:val="TableText"/>
              <w:keepNext/>
              <w:jc w:val="center"/>
              <w:rPr>
                <w:rFonts w:ascii="Times New Roman" w:hAnsi="Times New Roman"/>
                <w:b/>
                <w:color w:val="FFFFFF" w:themeColor="background1"/>
                <w:szCs w:val="22"/>
              </w:rPr>
            </w:pPr>
            <w:r w:rsidRPr="009B68AC">
              <w:rPr>
                <w:rFonts w:ascii="Times New Roman" w:hAnsi="Times New Roman"/>
                <w:b/>
                <w:color w:val="FFFFFF" w:themeColor="background1"/>
                <w:szCs w:val="22"/>
              </w:rPr>
              <w:t>benefit -cost ratio (X:1)</w:t>
            </w:r>
          </w:p>
        </w:tc>
        <w:tc>
          <w:tcPr>
            <w:tcW w:w="1080" w:type="dxa"/>
            <w:shd w:val="clear" w:color="auto" w:fill="000000" w:themeFill="text1"/>
            <w:vAlign w:val="center"/>
            <w:hideMark/>
          </w:tcPr>
          <w:p w14:paraId="0059EBA3" w14:textId="77777777" w:rsidR="009B68AC" w:rsidRPr="009B68AC" w:rsidRDefault="009B68AC" w:rsidP="009B68AC">
            <w:pPr>
              <w:pStyle w:val="TableText"/>
              <w:keepNext/>
              <w:jc w:val="center"/>
              <w:rPr>
                <w:rFonts w:ascii="Times New Roman" w:hAnsi="Times New Roman"/>
                <w:b/>
                <w:color w:val="FFFFFF" w:themeColor="background1"/>
                <w:szCs w:val="22"/>
              </w:rPr>
            </w:pPr>
            <w:r w:rsidRPr="009B68AC">
              <w:rPr>
                <w:rFonts w:ascii="Times New Roman" w:hAnsi="Times New Roman"/>
                <w:b/>
                <w:color w:val="FFFFFF" w:themeColor="background1"/>
                <w:szCs w:val="22"/>
              </w:rPr>
              <w:t>GWh</w:t>
            </w:r>
          </w:p>
        </w:tc>
      </w:tr>
      <w:tr w:rsidR="009B68AC" w:rsidRPr="000B053A" w14:paraId="30862A87" w14:textId="77777777" w:rsidTr="00C96CD9">
        <w:trPr>
          <w:trHeight w:val="303"/>
        </w:trPr>
        <w:tc>
          <w:tcPr>
            <w:tcW w:w="2165" w:type="dxa"/>
            <w:shd w:val="clear" w:color="auto" w:fill="auto"/>
            <w:vAlign w:val="bottom"/>
            <w:hideMark/>
          </w:tcPr>
          <w:p w14:paraId="003DF1D2" w14:textId="77777777" w:rsidR="009B68AC" w:rsidRPr="00A33278" w:rsidRDefault="009B68AC" w:rsidP="009B68AC">
            <w:pPr>
              <w:pStyle w:val="TableText"/>
              <w:keepNext/>
              <w:jc w:val="center"/>
              <w:rPr>
                <w:rFonts w:ascii="Times New Roman" w:hAnsi="Times New Roman"/>
                <w:color w:val="000000"/>
                <w:szCs w:val="22"/>
              </w:rPr>
            </w:pPr>
            <w:r w:rsidRPr="00A33278">
              <w:rPr>
                <w:rFonts w:ascii="Times New Roman" w:hAnsi="Times New Roman"/>
                <w:color w:val="000000"/>
                <w:szCs w:val="22"/>
              </w:rPr>
              <w:t>PECO</w:t>
            </w:r>
          </w:p>
        </w:tc>
        <w:tc>
          <w:tcPr>
            <w:tcW w:w="1440" w:type="dxa"/>
            <w:shd w:val="clear" w:color="auto" w:fill="auto"/>
            <w:noWrap/>
            <w:vAlign w:val="center"/>
            <w:hideMark/>
          </w:tcPr>
          <w:p w14:paraId="6372C0B5" w14:textId="77777777" w:rsidR="009B68AC" w:rsidRPr="00E659EC" w:rsidRDefault="009B68AC" w:rsidP="009B68AC">
            <w:pPr>
              <w:pStyle w:val="TableText"/>
              <w:keepNext/>
              <w:jc w:val="center"/>
              <w:rPr>
                <w:rFonts w:ascii="Times New Roman" w:hAnsi="Times New Roman"/>
                <w:color w:val="000000"/>
                <w:szCs w:val="22"/>
              </w:rPr>
            </w:pPr>
            <w:r w:rsidRPr="00E659EC">
              <w:rPr>
                <w:rFonts w:ascii="Times New Roman" w:hAnsi="Times New Roman"/>
                <w:szCs w:val="22"/>
              </w:rPr>
              <w:t>$309.51</w:t>
            </w:r>
          </w:p>
        </w:tc>
        <w:tc>
          <w:tcPr>
            <w:tcW w:w="1080" w:type="dxa"/>
            <w:shd w:val="clear" w:color="auto" w:fill="auto"/>
            <w:noWrap/>
            <w:vAlign w:val="center"/>
            <w:hideMark/>
          </w:tcPr>
          <w:p w14:paraId="4457BB2B" w14:textId="77777777" w:rsidR="009B68AC" w:rsidRPr="00924F1A" w:rsidRDefault="009B68AC" w:rsidP="009B68AC">
            <w:pPr>
              <w:pStyle w:val="TableText"/>
              <w:keepNext/>
              <w:jc w:val="center"/>
              <w:rPr>
                <w:rFonts w:ascii="Times New Roman" w:hAnsi="Times New Roman"/>
                <w:color w:val="000000"/>
                <w:szCs w:val="22"/>
              </w:rPr>
            </w:pPr>
            <w:r w:rsidRPr="00924F1A">
              <w:rPr>
                <w:rFonts w:ascii="Times New Roman" w:hAnsi="Times New Roman"/>
                <w:szCs w:val="22"/>
              </w:rPr>
              <w:t>$427</w:t>
            </w:r>
          </w:p>
        </w:tc>
        <w:tc>
          <w:tcPr>
            <w:tcW w:w="990" w:type="dxa"/>
            <w:shd w:val="clear" w:color="auto" w:fill="auto"/>
            <w:noWrap/>
            <w:vAlign w:val="center"/>
            <w:hideMark/>
          </w:tcPr>
          <w:p w14:paraId="74B4398F" w14:textId="77777777" w:rsidR="009B68AC" w:rsidRPr="009B68AC" w:rsidRDefault="009B68AC" w:rsidP="009B68AC">
            <w:pPr>
              <w:pStyle w:val="TableText"/>
              <w:keepNext/>
              <w:jc w:val="center"/>
              <w:rPr>
                <w:rFonts w:ascii="Times New Roman" w:hAnsi="Times New Roman"/>
                <w:color w:val="000000"/>
                <w:szCs w:val="22"/>
              </w:rPr>
            </w:pPr>
            <w:r w:rsidRPr="007B3630">
              <w:rPr>
                <w:rFonts w:ascii="Times New Roman" w:hAnsi="Times New Roman"/>
                <w:szCs w:val="22"/>
              </w:rPr>
              <w:t>$639</w:t>
            </w:r>
          </w:p>
        </w:tc>
        <w:tc>
          <w:tcPr>
            <w:tcW w:w="1170" w:type="dxa"/>
            <w:shd w:val="clear" w:color="auto" w:fill="auto"/>
            <w:noWrap/>
            <w:vAlign w:val="center"/>
            <w:hideMark/>
          </w:tcPr>
          <w:p w14:paraId="41111417"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$1,019</w:t>
            </w:r>
          </w:p>
        </w:tc>
        <w:tc>
          <w:tcPr>
            <w:tcW w:w="1165" w:type="dxa"/>
            <w:shd w:val="clear" w:color="auto" w:fill="auto"/>
            <w:noWrap/>
            <w:vAlign w:val="center"/>
            <w:hideMark/>
          </w:tcPr>
          <w:p w14:paraId="473C9AFC"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$379</w:t>
            </w:r>
          </w:p>
        </w:tc>
        <w:tc>
          <w:tcPr>
            <w:tcW w:w="1525" w:type="dxa"/>
            <w:shd w:val="clear" w:color="auto" w:fill="auto"/>
            <w:noWrap/>
            <w:vAlign w:val="center"/>
            <w:hideMark/>
          </w:tcPr>
          <w:p w14:paraId="7B128D36"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1.59</w:t>
            </w:r>
          </w:p>
        </w:tc>
        <w:tc>
          <w:tcPr>
            <w:tcW w:w="1080" w:type="dxa"/>
            <w:shd w:val="clear" w:color="auto" w:fill="auto"/>
            <w:noWrap/>
            <w:vAlign w:val="center"/>
            <w:hideMark/>
          </w:tcPr>
          <w:p w14:paraId="11C03E64"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1,381</w:t>
            </w:r>
          </w:p>
        </w:tc>
      </w:tr>
      <w:tr w:rsidR="009B68AC" w:rsidRPr="000B053A" w14:paraId="4FFFF753" w14:textId="77777777" w:rsidTr="00C96CD9">
        <w:trPr>
          <w:trHeight w:val="303"/>
        </w:trPr>
        <w:tc>
          <w:tcPr>
            <w:tcW w:w="2165" w:type="dxa"/>
            <w:shd w:val="clear" w:color="auto" w:fill="auto"/>
            <w:vAlign w:val="bottom"/>
            <w:hideMark/>
          </w:tcPr>
          <w:p w14:paraId="261A37B7" w14:textId="77777777" w:rsidR="009B68AC" w:rsidRPr="00A33278" w:rsidRDefault="009B68AC" w:rsidP="009B68AC">
            <w:pPr>
              <w:pStyle w:val="TableText"/>
              <w:keepNext/>
              <w:jc w:val="center"/>
              <w:rPr>
                <w:rFonts w:ascii="Times New Roman" w:hAnsi="Times New Roman"/>
                <w:color w:val="000000"/>
                <w:szCs w:val="22"/>
              </w:rPr>
            </w:pPr>
            <w:r w:rsidRPr="00A33278">
              <w:rPr>
                <w:rFonts w:ascii="Times New Roman" w:hAnsi="Times New Roman"/>
                <w:color w:val="000000"/>
                <w:szCs w:val="22"/>
              </w:rPr>
              <w:t>PPL</w:t>
            </w:r>
          </w:p>
        </w:tc>
        <w:tc>
          <w:tcPr>
            <w:tcW w:w="1440" w:type="dxa"/>
            <w:shd w:val="clear" w:color="auto" w:fill="auto"/>
            <w:noWrap/>
            <w:vAlign w:val="center"/>
            <w:hideMark/>
          </w:tcPr>
          <w:p w14:paraId="56D82392" w14:textId="77777777" w:rsidR="009B68AC" w:rsidRPr="00E659EC" w:rsidRDefault="009B68AC" w:rsidP="009B68AC">
            <w:pPr>
              <w:pStyle w:val="TableText"/>
              <w:keepNext/>
              <w:jc w:val="center"/>
              <w:rPr>
                <w:rFonts w:ascii="Times New Roman" w:hAnsi="Times New Roman"/>
                <w:color w:val="000000"/>
                <w:szCs w:val="22"/>
              </w:rPr>
            </w:pPr>
            <w:r w:rsidRPr="00E659EC">
              <w:rPr>
                <w:rFonts w:ascii="Times New Roman" w:hAnsi="Times New Roman"/>
                <w:szCs w:val="22"/>
              </w:rPr>
              <w:t>$245.97</w:t>
            </w:r>
          </w:p>
        </w:tc>
        <w:tc>
          <w:tcPr>
            <w:tcW w:w="1080" w:type="dxa"/>
            <w:shd w:val="clear" w:color="auto" w:fill="auto"/>
            <w:noWrap/>
            <w:vAlign w:val="center"/>
            <w:hideMark/>
          </w:tcPr>
          <w:p w14:paraId="3CD98BCE" w14:textId="77777777" w:rsidR="009B68AC" w:rsidRPr="00924F1A" w:rsidRDefault="009B68AC" w:rsidP="009B68AC">
            <w:pPr>
              <w:pStyle w:val="TableText"/>
              <w:keepNext/>
              <w:jc w:val="center"/>
              <w:rPr>
                <w:rFonts w:ascii="Times New Roman" w:hAnsi="Times New Roman"/>
                <w:color w:val="000000"/>
                <w:szCs w:val="22"/>
              </w:rPr>
            </w:pPr>
            <w:r w:rsidRPr="00924F1A">
              <w:rPr>
                <w:rFonts w:ascii="Times New Roman" w:hAnsi="Times New Roman"/>
                <w:szCs w:val="22"/>
              </w:rPr>
              <w:t>$308</w:t>
            </w:r>
          </w:p>
        </w:tc>
        <w:tc>
          <w:tcPr>
            <w:tcW w:w="990" w:type="dxa"/>
            <w:shd w:val="clear" w:color="auto" w:fill="auto"/>
            <w:noWrap/>
            <w:vAlign w:val="center"/>
            <w:hideMark/>
          </w:tcPr>
          <w:p w14:paraId="00D529AB" w14:textId="77777777" w:rsidR="009B68AC" w:rsidRPr="009B68AC" w:rsidRDefault="009B68AC" w:rsidP="009B68AC">
            <w:pPr>
              <w:pStyle w:val="TableText"/>
              <w:keepNext/>
              <w:jc w:val="center"/>
              <w:rPr>
                <w:rFonts w:ascii="Times New Roman" w:hAnsi="Times New Roman"/>
                <w:color w:val="000000"/>
                <w:szCs w:val="22"/>
              </w:rPr>
            </w:pPr>
            <w:r w:rsidRPr="007B3630">
              <w:rPr>
                <w:rFonts w:ascii="Times New Roman" w:hAnsi="Times New Roman"/>
                <w:szCs w:val="22"/>
              </w:rPr>
              <w:t>$513</w:t>
            </w:r>
          </w:p>
        </w:tc>
        <w:tc>
          <w:tcPr>
            <w:tcW w:w="1170" w:type="dxa"/>
            <w:shd w:val="clear" w:color="auto" w:fill="auto"/>
            <w:noWrap/>
            <w:vAlign w:val="center"/>
            <w:hideMark/>
          </w:tcPr>
          <w:p w14:paraId="0CAC31B5"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$912</w:t>
            </w:r>
          </w:p>
        </w:tc>
        <w:tc>
          <w:tcPr>
            <w:tcW w:w="1165" w:type="dxa"/>
            <w:shd w:val="clear" w:color="auto" w:fill="auto"/>
            <w:noWrap/>
            <w:vAlign w:val="center"/>
            <w:hideMark/>
          </w:tcPr>
          <w:p w14:paraId="44FBA327"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$399</w:t>
            </w:r>
          </w:p>
        </w:tc>
        <w:tc>
          <w:tcPr>
            <w:tcW w:w="1525" w:type="dxa"/>
            <w:shd w:val="clear" w:color="auto" w:fill="auto"/>
            <w:noWrap/>
            <w:vAlign w:val="center"/>
            <w:hideMark/>
          </w:tcPr>
          <w:p w14:paraId="04AEEF91"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1.78</w:t>
            </w:r>
          </w:p>
        </w:tc>
        <w:tc>
          <w:tcPr>
            <w:tcW w:w="1080" w:type="dxa"/>
            <w:shd w:val="clear" w:color="auto" w:fill="auto"/>
            <w:noWrap/>
            <w:vAlign w:val="center"/>
            <w:hideMark/>
          </w:tcPr>
          <w:p w14:paraId="4629481F"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1,250</w:t>
            </w:r>
          </w:p>
        </w:tc>
      </w:tr>
      <w:tr w:rsidR="009B68AC" w:rsidRPr="000B053A" w14:paraId="036B3015" w14:textId="77777777" w:rsidTr="00C96CD9">
        <w:trPr>
          <w:trHeight w:val="303"/>
        </w:trPr>
        <w:tc>
          <w:tcPr>
            <w:tcW w:w="2165" w:type="dxa"/>
            <w:shd w:val="clear" w:color="auto" w:fill="auto"/>
            <w:vAlign w:val="bottom"/>
            <w:hideMark/>
          </w:tcPr>
          <w:p w14:paraId="29C01C39" w14:textId="77777777" w:rsidR="009B68AC" w:rsidRPr="00A33278" w:rsidRDefault="009B68AC" w:rsidP="009B68AC">
            <w:pPr>
              <w:pStyle w:val="TableText"/>
              <w:keepNext/>
              <w:jc w:val="center"/>
              <w:rPr>
                <w:rFonts w:ascii="Times New Roman" w:hAnsi="Times New Roman"/>
                <w:color w:val="000000"/>
                <w:szCs w:val="22"/>
              </w:rPr>
            </w:pPr>
            <w:r w:rsidRPr="00A33278">
              <w:rPr>
                <w:rFonts w:ascii="Times New Roman" w:hAnsi="Times New Roman"/>
                <w:color w:val="000000"/>
                <w:szCs w:val="22"/>
              </w:rPr>
              <w:t>Duquesne Light</w:t>
            </w:r>
          </w:p>
        </w:tc>
        <w:tc>
          <w:tcPr>
            <w:tcW w:w="1440" w:type="dxa"/>
            <w:shd w:val="clear" w:color="auto" w:fill="auto"/>
            <w:noWrap/>
            <w:vAlign w:val="center"/>
            <w:hideMark/>
          </w:tcPr>
          <w:p w14:paraId="4A076DDB" w14:textId="77777777" w:rsidR="009B68AC" w:rsidRPr="00E659EC" w:rsidRDefault="009B68AC" w:rsidP="009B68AC">
            <w:pPr>
              <w:pStyle w:val="TableText"/>
              <w:keepNext/>
              <w:jc w:val="center"/>
              <w:rPr>
                <w:rFonts w:ascii="Times New Roman" w:hAnsi="Times New Roman"/>
                <w:color w:val="000000"/>
                <w:szCs w:val="22"/>
              </w:rPr>
            </w:pPr>
            <w:r w:rsidRPr="00E659EC">
              <w:rPr>
                <w:rFonts w:ascii="Times New Roman" w:hAnsi="Times New Roman"/>
                <w:szCs w:val="22"/>
              </w:rPr>
              <w:t>$281.57</w:t>
            </w:r>
          </w:p>
        </w:tc>
        <w:tc>
          <w:tcPr>
            <w:tcW w:w="1080" w:type="dxa"/>
            <w:shd w:val="clear" w:color="auto" w:fill="auto"/>
            <w:noWrap/>
            <w:vAlign w:val="center"/>
            <w:hideMark/>
          </w:tcPr>
          <w:p w14:paraId="1A0E3869" w14:textId="77777777" w:rsidR="009B68AC" w:rsidRPr="00924F1A" w:rsidRDefault="009B68AC" w:rsidP="009B68AC">
            <w:pPr>
              <w:pStyle w:val="TableText"/>
              <w:keepNext/>
              <w:jc w:val="center"/>
              <w:rPr>
                <w:rFonts w:ascii="Times New Roman" w:hAnsi="Times New Roman"/>
                <w:color w:val="000000"/>
                <w:szCs w:val="22"/>
              </w:rPr>
            </w:pPr>
            <w:r w:rsidRPr="00924F1A">
              <w:rPr>
                <w:rFonts w:ascii="Times New Roman" w:hAnsi="Times New Roman"/>
                <w:szCs w:val="22"/>
              </w:rPr>
              <w:t>$98</w:t>
            </w:r>
          </w:p>
        </w:tc>
        <w:tc>
          <w:tcPr>
            <w:tcW w:w="990" w:type="dxa"/>
            <w:shd w:val="clear" w:color="auto" w:fill="auto"/>
            <w:noWrap/>
            <w:vAlign w:val="center"/>
            <w:hideMark/>
          </w:tcPr>
          <w:p w14:paraId="2E96E36C" w14:textId="77777777" w:rsidR="009B68AC" w:rsidRPr="009B68AC" w:rsidRDefault="009B68AC" w:rsidP="009B68AC">
            <w:pPr>
              <w:pStyle w:val="TableText"/>
              <w:keepNext/>
              <w:jc w:val="center"/>
              <w:rPr>
                <w:rFonts w:ascii="Times New Roman" w:hAnsi="Times New Roman"/>
                <w:color w:val="000000"/>
                <w:szCs w:val="22"/>
              </w:rPr>
            </w:pPr>
            <w:r w:rsidRPr="007B3630">
              <w:rPr>
                <w:rFonts w:ascii="Times New Roman" w:hAnsi="Times New Roman"/>
                <w:szCs w:val="22"/>
              </w:rPr>
              <w:t>$137</w:t>
            </w:r>
          </w:p>
        </w:tc>
        <w:tc>
          <w:tcPr>
            <w:tcW w:w="1170" w:type="dxa"/>
            <w:shd w:val="clear" w:color="auto" w:fill="auto"/>
            <w:noWrap/>
            <w:vAlign w:val="center"/>
            <w:hideMark/>
          </w:tcPr>
          <w:p w14:paraId="6D9F6074"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$197</w:t>
            </w:r>
          </w:p>
        </w:tc>
        <w:tc>
          <w:tcPr>
            <w:tcW w:w="1165" w:type="dxa"/>
            <w:shd w:val="clear" w:color="auto" w:fill="auto"/>
            <w:noWrap/>
            <w:vAlign w:val="center"/>
            <w:hideMark/>
          </w:tcPr>
          <w:p w14:paraId="16442127"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$60</w:t>
            </w:r>
          </w:p>
        </w:tc>
        <w:tc>
          <w:tcPr>
            <w:tcW w:w="1525" w:type="dxa"/>
            <w:shd w:val="clear" w:color="auto" w:fill="auto"/>
            <w:noWrap/>
            <w:vAlign w:val="center"/>
            <w:hideMark/>
          </w:tcPr>
          <w:p w14:paraId="4EB894EE"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1.44</w:t>
            </w:r>
          </w:p>
        </w:tc>
        <w:tc>
          <w:tcPr>
            <w:tcW w:w="1080" w:type="dxa"/>
            <w:shd w:val="clear" w:color="auto" w:fill="auto"/>
            <w:noWrap/>
            <w:vAlign w:val="center"/>
            <w:hideMark/>
          </w:tcPr>
          <w:p w14:paraId="1A365E68"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347</w:t>
            </w:r>
          </w:p>
        </w:tc>
      </w:tr>
      <w:tr w:rsidR="009B68AC" w:rsidRPr="000B053A" w14:paraId="5D3E9F2C" w14:textId="77777777" w:rsidTr="00C96CD9">
        <w:trPr>
          <w:trHeight w:val="303"/>
        </w:trPr>
        <w:tc>
          <w:tcPr>
            <w:tcW w:w="2165" w:type="dxa"/>
            <w:shd w:val="clear" w:color="auto" w:fill="auto"/>
            <w:vAlign w:val="bottom"/>
            <w:hideMark/>
          </w:tcPr>
          <w:p w14:paraId="422038EC" w14:textId="77777777" w:rsidR="009B68AC" w:rsidRPr="00A33278" w:rsidRDefault="009B68AC" w:rsidP="009B68AC">
            <w:pPr>
              <w:pStyle w:val="TableText"/>
              <w:keepNext/>
              <w:jc w:val="center"/>
              <w:rPr>
                <w:rFonts w:ascii="Times New Roman" w:hAnsi="Times New Roman"/>
                <w:color w:val="000000"/>
                <w:szCs w:val="22"/>
              </w:rPr>
            </w:pPr>
            <w:r w:rsidRPr="00A33278">
              <w:rPr>
                <w:rFonts w:ascii="Times New Roman" w:hAnsi="Times New Roman"/>
                <w:color w:val="000000"/>
                <w:szCs w:val="22"/>
              </w:rPr>
              <w:t>FE: Met-Ed</w:t>
            </w:r>
          </w:p>
        </w:tc>
        <w:tc>
          <w:tcPr>
            <w:tcW w:w="1440" w:type="dxa"/>
            <w:shd w:val="clear" w:color="auto" w:fill="auto"/>
            <w:noWrap/>
            <w:vAlign w:val="center"/>
            <w:hideMark/>
          </w:tcPr>
          <w:p w14:paraId="69347E6A" w14:textId="77777777" w:rsidR="009B68AC" w:rsidRPr="00E659EC" w:rsidRDefault="009B68AC" w:rsidP="009B68AC">
            <w:pPr>
              <w:pStyle w:val="TableText"/>
              <w:keepNext/>
              <w:jc w:val="center"/>
              <w:rPr>
                <w:rFonts w:ascii="Times New Roman" w:hAnsi="Times New Roman"/>
                <w:color w:val="000000"/>
                <w:szCs w:val="22"/>
              </w:rPr>
            </w:pPr>
            <w:r w:rsidRPr="00E659EC">
              <w:rPr>
                <w:rFonts w:ascii="Times New Roman" w:hAnsi="Times New Roman"/>
                <w:szCs w:val="22"/>
              </w:rPr>
              <w:t>$268.42</w:t>
            </w:r>
          </w:p>
        </w:tc>
        <w:tc>
          <w:tcPr>
            <w:tcW w:w="1080" w:type="dxa"/>
            <w:shd w:val="clear" w:color="auto" w:fill="auto"/>
            <w:noWrap/>
            <w:vAlign w:val="center"/>
            <w:hideMark/>
          </w:tcPr>
          <w:p w14:paraId="1DE289B1" w14:textId="77777777" w:rsidR="009B68AC" w:rsidRPr="00924F1A" w:rsidRDefault="009B68AC" w:rsidP="009B68AC">
            <w:pPr>
              <w:pStyle w:val="TableText"/>
              <w:keepNext/>
              <w:jc w:val="center"/>
              <w:rPr>
                <w:rFonts w:ascii="Times New Roman" w:hAnsi="Times New Roman"/>
                <w:color w:val="000000"/>
                <w:szCs w:val="22"/>
              </w:rPr>
            </w:pPr>
            <w:r w:rsidRPr="00924F1A">
              <w:rPr>
                <w:rFonts w:ascii="Times New Roman" w:hAnsi="Times New Roman"/>
                <w:szCs w:val="22"/>
              </w:rPr>
              <w:t>$124</w:t>
            </w:r>
          </w:p>
        </w:tc>
        <w:tc>
          <w:tcPr>
            <w:tcW w:w="990" w:type="dxa"/>
            <w:shd w:val="clear" w:color="auto" w:fill="auto"/>
            <w:noWrap/>
            <w:vAlign w:val="center"/>
            <w:hideMark/>
          </w:tcPr>
          <w:p w14:paraId="16C91555" w14:textId="77777777" w:rsidR="009B68AC" w:rsidRPr="009B68AC" w:rsidRDefault="009B68AC" w:rsidP="009B68AC">
            <w:pPr>
              <w:pStyle w:val="TableText"/>
              <w:keepNext/>
              <w:jc w:val="center"/>
              <w:rPr>
                <w:rFonts w:ascii="Times New Roman" w:hAnsi="Times New Roman"/>
                <w:color w:val="000000"/>
                <w:szCs w:val="22"/>
              </w:rPr>
            </w:pPr>
            <w:r w:rsidRPr="007B3630">
              <w:rPr>
                <w:rFonts w:ascii="Times New Roman" w:hAnsi="Times New Roman"/>
                <w:szCs w:val="22"/>
              </w:rPr>
              <w:t>$190</w:t>
            </w:r>
          </w:p>
        </w:tc>
        <w:tc>
          <w:tcPr>
            <w:tcW w:w="1170" w:type="dxa"/>
            <w:shd w:val="clear" w:color="auto" w:fill="auto"/>
            <w:noWrap/>
            <w:vAlign w:val="center"/>
            <w:hideMark/>
          </w:tcPr>
          <w:p w14:paraId="3B44230A"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$301</w:t>
            </w:r>
          </w:p>
        </w:tc>
        <w:tc>
          <w:tcPr>
            <w:tcW w:w="1165" w:type="dxa"/>
            <w:shd w:val="clear" w:color="auto" w:fill="auto"/>
            <w:noWrap/>
            <w:vAlign w:val="center"/>
            <w:hideMark/>
          </w:tcPr>
          <w:p w14:paraId="40010336"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$110</w:t>
            </w:r>
          </w:p>
        </w:tc>
        <w:tc>
          <w:tcPr>
            <w:tcW w:w="1525" w:type="dxa"/>
            <w:shd w:val="clear" w:color="auto" w:fill="auto"/>
            <w:noWrap/>
            <w:vAlign w:val="center"/>
            <w:hideMark/>
          </w:tcPr>
          <w:p w14:paraId="01E4FA86"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1.58</w:t>
            </w:r>
          </w:p>
        </w:tc>
        <w:tc>
          <w:tcPr>
            <w:tcW w:w="1080" w:type="dxa"/>
            <w:shd w:val="clear" w:color="auto" w:fill="auto"/>
            <w:noWrap/>
            <w:vAlign w:val="center"/>
            <w:hideMark/>
          </w:tcPr>
          <w:p w14:paraId="486B9A3B"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463</w:t>
            </w:r>
          </w:p>
        </w:tc>
      </w:tr>
      <w:tr w:rsidR="009B68AC" w:rsidRPr="000B053A" w14:paraId="090AE648" w14:textId="77777777" w:rsidTr="00C96CD9">
        <w:trPr>
          <w:trHeight w:val="303"/>
        </w:trPr>
        <w:tc>
          <w:tcPr>
            <w:tcW w:w="2165" w:type="dxa"/>
            <w:shd w:val="clear" w:color="auto" w:fill="auto"/>
            <w:vAlign w:val="bottom"/>
            <w:hideMark/>
          </w:tcPr>
          <w:p w14:paraId="466D46E2" w14:textId="77777777" w:rsidR="009B68AC" w:rsidRPr="00A33278" w:rsidRDefault="009B68AC" w:rsidP="009B68AC">
            <w:pPr>
              <w:pStyle w:val="TableText"/>
              <w:keepNext/>
              <w:jc w:val="center"/>
              <w:rPr>
                <w:rFonts w:ascii="Times New Roman" w:hAnsi="Times New Roman"/>
                <w:color w:val="000000"/>
                <w:szCs w:val="22"/>
              </w:rPr>
            </w:pPr>
            <w:r w:rsidRPr="00A33278">
              <w:rPr>
                <w:rFonts w:ascii="Times New Roman" w:hAnsi="Times New Roman"/>
                <w:color w:val="000000"/>
                <w:szCs w:val="22"/>
              </w:rPr>
              <w:t>FE: Penelec</w:t>
            </w:r>
          </w:p>
        </w:tc>
        <w:tc>
          <w:tcPr>
            <w:tcW w:w="1440" w:type="dxa"/>
            <w:shd w:val="clear" w:color="auto" w:fill="auto"/>
            <w:noWrap/>
            <w:vAlign w:val="center"/>
            <w:hideMark/>
          </w:tcPr>
          <w:p w14:paraId="69451528" w14:textId="77777777" w:rsidR="009B68AC" w:rsidRPr="00E659EC" w:rsidRDefault="009B68AC" w:rsidP="009B68AC">
            <w:pPr>
              <w:pStyle w:val="TableText"/>
              <w:keepNext/>
              <w:jc w:val="center"/>
              <w:rPr>
                <w:rFonts w:ascii="Times New Roman" w:hAnsi="Times New Roman"/>
                <w:color w:val="000000"/>
                <w:szCs w:val="22"/>
              </w:rPr>
            </w:pPr>
            <w:r w:rsidRPr="00E659EC">
              <w:rPr>
                <w:rFonts w:ascii="Times New Roman" w:hAnsi="Times New Roman"/>
                <w:szCs w:val="22"/>
              </w:rPr>
              <w:t>$262.46</w:t>
            </w:r>
          </w:p>
        </w:tc>
        <w:tc>
          <w:tcPr>
            <w:tcW w:w="1080" w:type="dxa"/>
            <w:shd w:val="clear" w:color="auto" w:fill="auto"/>
            <w:noWrap/>
            <w:vAlign w:val="center"/>
            <w:hideMark/>
          </w:tcPr>
          <w:p w14:paraId="1A497D32" w14:textId="77777777" w:rsidR="009B68AC" w:rsidRPr="00924F1A" w:rsidRDefault="009B68AC" w:rsidP="009B68AC">
            <w:pPr>
              <w:pStyle w:val="TableText"/>
              <w:keepNext/>
              <w:jc w:val="center"/>
              <w:rPr>
                <w:rFonts w:ascii="Times New Roman" w:hAnsi="Times New Roman"/>
                <w:color w:val="000000"/>
                <w:szCs w:val="22"/>
              </w:rPr>
            </w:pPr>
            <w:r w:rsidRPr="00924F1A">
              <w:rPr>
                <w:rFonts w:ascii="Times New Roman" w:hAnsi="Times New Roman"/>
                <w:szCs w:val="22"/>
              </w:rPr>
              <w:t>$115</w:t>
            </w:r>
          </w:p>
        </w:tc>
        <w:tc>
          <w:tcPr>
            <w:tcW w:w="990" w:type="dxa"/>
            <w:shd w:val="clear" w:color="auto" w:fill="auto"/>
            <w:noWrap/>
            <w:vAlign w:val="center"/>
            <w:hideMark/>
          </w:tcPr>
          <w:p w14:paraId="10549C97" w14:textId="77777777" w:rsidR="009B68AC" w:rsidRPr="009B68AC" w:rsidRDefault="009B68AC" w:rsidP="009B68AC">
            <w:pPr>
              <w:pStyle w:val="TableText"/>
              <w:keepNext/>
              <w:jc w:val="center"/>
              <w:rPr>
                <w:rFonts w:ascii="Times New Roman" w:hAnsi="Times New Roman"/>
                <w:color w:val="000000"/>
                <w:szCs w:val="22"/>
              </w:rPr>
            </w:pPr>
            <w:r w:rsidRPr="007B3630">
              <w:rPr>
                <w:rFonts w:ascii="Times New Roman" w:hAnsi="Times New Roman"/>
                <w:szCs w:val="22"/>
              </w:rPr>
              <w:t>$188</w:t>
            </w:r>
          </w:p>
        </w:tc>
        <w:tc>
          <w:tcPr>
            <w:tcW w:w="1170" w:type="dxa"/>
            <w:shd w:val="clear" w:color="auto" w:fill="auto"/>
            <w:noWrap/>
            <w:vAlign w:val="center"/>
            <w:hideMark/>
          </w:tcPr>
          <w:p w14:paraId="190813E4"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$303</w:t>
            </w:r>
          </w:p>
        </w:tc>
        <w:tc>
          <w:tcPr>
            <w:tcW w:w="1165" w:type="dxa"/>
            <w:shd w:val="clear" w:color="auto" w:fill="auto"/>
            <w:noWrap/>
            <w:vAlign w:val="center"/>
            <w:hideMark/>
          </w:tcPr>
          <w:p w14:paraId="65EFCCCB"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$115</w:t>
            </w:r>
          </w:p>
        </w:tc>
        <w:tc>
          <w:tcPr>
            <w:tcW w:w="1525" w:type="dxa"/>
            <w:shd w:val="clear" w:color="auto" w:fill="auto"/>
            <w:noWrap/>
            <w:vAlign w:val="center"/>
            <w:hideMark/>
          </w:tcPr>
          <w:p w14:paraId="3B908613"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1.61</w:t>
            </w:r>
          </w:p>
        </w:tc>
        <w:tc>
          <w:tcPr>
            <w:tcW w:w="1080" w:type="dxa"/>
            <w:shd w:val="clear" w:color="auto" w:fill="auto"/>
            <w:noWrap/>
            <w:vAlign w:val="center"/>
            <w:hideMark/>
          </w:tcPr>
          <w:p w14:paraId="32746A2F"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438</w:t>
            </w:r>
          </w:p>
        </w:tc>
      </w:tr>
      <w:tr w:rsidR="009B68AC" w:rsidRPr="000B053A" w14:paraId="158D149C" w14:textId="77777777" w:rsidTr="00C96CD9">
        <w:trPr>
          <w:trHeight w:val="303"/>
        </w:trPr>
        <w:tc>
          <w:tcPr>
            <w:tcW w:w="2165" w:type="dxa"/>
            <w:shd w:val="clear" w:color="auto" w:fill="auto"/>
            <w:vAlign w:val="bottom"/>
            <w:hideMark/>
          </w:tcPr>
          <w:p w14:paraId="023108DD" w14:textId="77777777" w:rsidR="009B68AC" w:rsidRPr="00A33278" w:rsidRDefault="009B68AC" w:rsidP="009B68AC">
            <w:pPr>
              <w:pStyle w:val="TableText"/>
              <w:keepNext/>
              <w:jc w:val="center"/>
              <w:rPr>
                <w:rFonts w:ascii="Times New Roman" w:hAnsi="Times New Roman"/>
                <w:color w:val="000000"/>
                <w:szCs w:val="22"/>
              </w:rPr>
            </w:pPr>
            <w:r w:rsidRPr="00A33278">
              <w:rPr>
                <w:rFonts w:ascii="Times New Roman" w:hAnsi="Times New Roman"/>
                <w:color w:val="000000"/>
                <w:szCs w:val="22"/>
              </w:rPr>
              <w:t>FE: Penn Power</w:t>
            </w:r>
          </w:p>
        </w:tc>
        <w:tc>
          <w:tcPr>
            <w:tcW w:w="1440" w:type="dxa"/>
            <w:shd w:val="clear" w:color="auto" w:fill="auto"/>
            <w:noWrap/>
            <w:vAlign w:val="center"/>
            <w:hideMark/>
          </w:tcPr>
          <w:p w14:paraId="2E2DBC4F" w14:textId="77777777" w:rsidR="009B68AC" w:rsidRPr="00E659EC" w:rsidRDefault="009B68AC" w:rsidP="009B68AC">
            <w:pPr>
              <w:pStyle w:val="TableText"/>
              <w:keepNext/>
              <w:jc w:val="center"/>
              <w:rPr>
                <w:rFonts w:ascii="Times New Roman" w:hAnsi="Times New Roman"/>
                <w:color w:val="000000"/>
                <w:szCs w:val="22"/>
              </w:rPr>
            </w:pPr>
            <w:r w:rsidRPr="00E659EC">
              <w:rPr>
                <w:rFonts w:ascii="Times New Roman" w:hAnsi="Times New Roman"/>
                <w:szCs w:val="22"/>
              </w:rPr>
              <w:t>$258.31</w:t>
            </w:r>
          </w:p>
        </w:tc>
        <w:tc>
          <w:tcPr>
            <w:tcW w:w="1080" w:type="dxa"/>
            <w:shd w:val="clear" w:color="auto" w:fill="auto"/>
            <w:noWrap/>
            <w:vAlign w:val="center"/>
            <w:hideMark/>
          </w:tcPr>
          <w:p w14:paraId="2B9DFB1E" w14:textId="77777777" w:rsidR="009B68AC" w:rsidRPr="00924F1A" w:rsidRDefault="009B68AC" w:rsidP="009B68AC">
            <w:pPr>
              <w:pStyle w:val="TableText"/>
              <w:keepNext/>
              <w:jc w:val="center"/>
              <w:rPr>
                <w:rFonts w:ascii="Times New Roman" w:hAnsi="Times New Roman"/>
                <w:color w:val="000000"/>
                <w:szCs w:val="22"/>
              </w:rPr>
            </w:pPr>
            <w:r w:rsidRPr="00924F1A">
              <w:rPr>
                <w:rFonts w:ascii="Times New Roman" w:hAnsi="Times New Roman"/>
                <w:szCs w:val="22"/>
              </w:rPr>
              <w:t>$33</w:t>
            </w:r>
          </w:p>
        </w:tc>
        <w:tc>
          <w:tcPr>
            <w:tcW w:w="990" w:type="dxa"/>
            <w:shd w:val="clear" w:color="auto" w:fill="auto"/>
            <w:noWrap/>
            <w:vAlign w:val="center"/>
            <w:hideMark/>
          </w:tcPr>
          <w:p w14:paraId="66B78543" w14:textId="77777777" w:rsidR="009B68AC" w:rsidRPr="009B68AC" w:rsidRDefault="009B68AC" w:rsidP="009B68AC">
            <w:pPr>
              <w:pStyle w:val="TableText"/>
              <w:keepNext/>
              <w:jc w:val="center"/>
              <w:rPr>
                <w:rFonts w:ascii="Times New Roman" w:hAnsi="Times New Roman"/>
                <w:color w:val="000000"/>
                <w:szCs w:val="22"/>
              </w:rPr>
            </w:pPr>
            <w:r w:rsidRPr="007B3630">
              <w:rPr>
                <w:rFonts w:ascii="Times New Roman" w:hAnsi="Times New Roman"/>
                <w:szCs w:val="22"/>
              </w:rPr>
              <w:t>$46</w:t>
            </w:r>
          </w:p>
        </w:tc>
        <w:tc>
          <w:tcPr>
            <w:tcW w:w="1170" w:type="dxa"/>
            <w:shd w:val="clear" w:color="auto" w:fill="auto"/>
            <w:noWrap/>
            <w:vAlign w:val="center"/>
            <w:hideMark/>
          </w:tcPr>
          <w:p w14:paraId="2980539A"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$65</w:t>
            </w:r>
          </w:p>
        </w:tc>
        <w:tc>
          <w:tcPr>
            <w:tcW w:w="1165" w:type="dxa"/>
            <w:shd w:val="clear" w:color="auto" w:fill="auto"/>
            <w:noWrap/>
            <w:vAlign w:val="center"/>
            <w:hideMark/>
          </w:tcPr>
          <w:p w14:paraId="3B1402E1"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$19</w:t>
            </w:r>
          </w:p>
        </w:tc>
        <w:tc>
          <w:tcPr>
            <w:tcW w:w="1525" w:type="dxa"/>
            <w:shd w:val="clear" w:color="auto" w:fill="auto"/>
            <w:noWrap/>
            <w:vAlign w:val="center"/>
            <w:hideMark/>
          </w:tcPr>
          <w:p w14:paraId="09BF339B"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1.42</w:t>
            </w:r>
          </w:p>
        </w:tc>
        <w:tc>
          <w:tcPr>
            <w:tcW w:w="1080" w:type="dxa"/>
            <w:shd w:val="clear" w:color="auto" w:fill="auto"/>
            <w:noWrap/>
            <w:vAlign w:val="center"/>
            <w:hideMark/>
          </w:tcPr>
          <w:p w14:paraId="072B67D3"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129</w:t>
            </w:r>
          </w:p>
        </w:tc>
      </w:tr>
      <w:tr w:rsidR="009B68AC" w:rsidRPr="000B053A" w14:paraId="7B1D2121" w14:textId="77777777" w:rsidTr="00C96CD9">
        <w:trPr>
          <w:trHeight w:val="303"/>
        </w:trPr>
        <w:tc>
          <w:tcPr>
            <w:tcW w:w="2165" w:type="dxa"/>
            <w:shd w:val="clear" w:color="auto" w:fill="auto"/>
            <w:vAlign w:val="bottom"/>
            <w:hideMark/>
          </w:tcPr>
          <w:p w14:paraId="605C5872" w14:textId="77777777" w:rsidR="009B68AC" w:rsidRPr="00A33278" w:rsidRDefault="009B68AC" w:rsidP="009B68AC">
            <w:pPr>
              <w:pStyle w:val="TableText"/>
              <w:keepNext/>
              <w:jc w:val="center"/>
              <w:rPr>
                <w:rFonts w:ascii="Times New Roman" w:hAnsi="Times New Roman"/>
                <w:color w:val="000000"/>
                <w:szCs w:val="22"/>
              </w:rPr>
            </w:pPr>
            <w:r w:rsidRPr="00A33278">
              <w:rPr>
                <w:rFonts w:ascii="Times New Roman" w:hAnsi="Times New Roman"/>
                <w:color w:val="000000"/>
                <w:szCs w:val="22"/>
              </w:rPr>
              <w:t>FE: West Penn Power</w:t>
            </w:r>
          </w:p>
        </w:tc>
        <w:tc>
          <w:tcPr>
            <w:tcW w:w="1440" w:type="dxa"/>
            <w:shd w:val="clear" w:color="auto" w:fill="auto"/>
            <w:noWrap/>
            <w:vAlign w:val="center"/>
            <w:hideMark/>
          </w:tcPr>
          <w:p w14:paraId="51B9FAF5" w14:textId="77777777" w:rsidR="009B68AC" w:rsidRPr="00E659EC" w:rsidRDefault="009B68AC" w:rsidP="009B68AC">
            <w:pPr>
              <w:pStyle w:val="TableText"/>
              <w:keepNext/>
              <w:jc w:val="center"/>
              <w:rPr>
                <w:rFonts w:ascii="Times New Roman" w:hAnsi="Times New Roman"/>
                <w:color w:val="000000"/>
                <w:szCs w:val="22"/>
              </w:rPr>
            </w:pPr>
            <w:r w:rsidRPr="00E659EC">
              <w:rPr>
                <w:rFonts w:ascii="Times New Roman" w:hAnsi="Times New Roman"/>
                <w:szCs w:val="22"/>
              </w:rPr>
              <w:t>$233.32</w:t>
            </w:r>
          </w:p>
        </w:tc>
        <w:tc>
          <w:tcPr>
            <w:tcW w:w="1080" w:type="dxa"/>
            <w:shd w:val="clear" w:color="auto" w:fill="auto"/>
            <w:noWrap/>
            <w:vAlign w:val="center"/>
            <w:hideMark/>
          </w:tcPr>
          <w:p w14:paraId="66DD7845" w14:textId="77777777" w:rsidR="009B68AC" w:rsidRPr="00924F1A" w:rsidRDefault="009B68AC" w:rsidP="009B68AC">
            <w:pPr>
              <w:pStyle w:val="TableText"/>
              <w:keepNext/>
              <w:jc w:val="center"/>
              <w:rPr>
                <w:rFonts w:ascii="Times New Roman" w:hAnsi="Times New Roman"/>
                <w:color w:val="000000"/>
                <w:szCs w:val="22"/>
              </w:rPr>
            </w:pPr>
            <w:r w:rsidRPr="00924F1A">
              <w:rPr>
                <w:rFonts w:ascii="Times New Roman" w:hAnsi="Times New Roman"/>
                <w:szCs w:val="22"/>
              </w:rPr>
              <w:t>$118</w:t>
            </w:r>
          </w:p>
        </w:tc>
        <w:tc>
          <w:tcPr>
            <w:tcW w:w="990" w:type="dxa"/>
            <w:shd w:val="clear" w:color="auto" w:fill="auto"/>
            <w:noWrap/>
            <w:vAlign w:val="center"/>
            <w:hideMark/>
          </w:tcPr>
          <w:p w14:paraId="595BE527" w14:textId="77777777" w:rsidR="009B68AC" w:rsidRPr="009B68AC" w:rsidRDefault="009B68AC" w:rsidP="009B68AC">
            <w:pPr>
              <w:pStyle w:val="TableText"/>
              <w:keepNext/>
              <w:jc w:val="center"/>
              <w:rPr>
                <w:rFonts w:ascii="Times New Roman" w:hAnsi="Times New Roman"/>
                <w:color w:val="000000"/>
                <w:szCs w:val="22"/>
              </w:rPr>
            </w:pPr>
            <w:r w:rsidRPr="007B3630">
              <w:rPr>
                <w:rFonts w:ascii="Times New Roman" w:hAnsi="Times New Roman"/>
                <w:szCs w:val="22"/>
              </w:rPr>
              <w:t>$180</w:t>
            </w:r>
          </w:p>
        </w:tc>
        <w:tc>
          <w:tcPr>
            <w:tcW w:w="1170" w:type="dxa"/>
            <w:shd w:val="clear" w:color="auto" w:fill="auto"/>
            <w:noWrap/>
            <w:vAlign w:val="center"/>
            <w:hideMark/>
          </w:tcPr>
          <w:p w14:paraId="3572ED33"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$277</w:t>
            </w:r>
          </w:p>
        </w:tc>
        <w:tc>
          <w:tcPr>
            <w:tcW w:w="1165" w:type="dxa"/>
            <w:shd w:val="clear" w:color="auto" w:fill="auto"/>
            <w:noWrap/>
            <w:vAlign w:val="center"/>
            <w:hideMark/>
          </w:tcPr>
          <w:p w14:paraId="150283D0"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$97</w:t>
            </w:r>
          </w:p>
        </w:tc>
        <w:tc>
          <w:tcPr>
            <w:tcW w:w="1525" w:type="dxa"/>
            <w:shd w:val="clear" w:color="auto" w:fill="auto"/>
            <w:noWrap/>
            <w:vAlign w:val="center"/>
            <w:hideMark/>
          </w:tcPr>
          <w:p w14:paraId="1C878494"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1.54</w:t>
            </w:r>
          </w:p>
        </w:tc>
        <w:tc>
          <w:tcPr>
            <w:tcW w:w="1080" w:type="dxa"/>
            <w:shd w:val="clear" w:color="auto" w:fill="auto"/>
            <w:noWrap/>
            <w:vAlign w:val="center"/>
            <w:hideMark/>
          </w:tcPr>
          <w:p w14:paraId="15F5D638" w14:textId="77777777" w:rsidR="009B68AC" w:rsidRPr="009B68AC" w:rsidRDefault="009B68AC" w:rsidP="009B68AC">
            <w:pPr>
              <w:pStyle w:val="TableText"/>
              <w:keepNext/>
              <w:jc w:val="center"/>
              <w:rPr>
                <w:rFonts w:ascii="Times New Roman" w:hAnsi="Times New Roman"/>
                <w:color w:val="000000"/>
                <w:szCs w:val="22"/>
              </w:rPr>
            </w:pPr>
            <w:r w:rsidRPr="009B68AC">
              <w:rPr>
                <w:rFonts w:ascii="Times New Roman" w:hAnsi="Times New Roman"/>
                <w:szCs w:val="22"/>
              </w:rPr>
              <w:t>505</w:t>
            </w:r>
          </w:p>
        </w:tc>
      </w:tr>
      <w:tr w:rsidR="009B68AC" w:rsidRPr="000B053A" w14:paraId="4B27E95A" w14:textId="77777777" w:rsidTr="00C96CD9">
        <w:trPr>
          <w:trHeight w:val="303"/>
        </w:trPr>
        <w:tc>
          <w:tcPr>
            <w:tcW w:w="2165" w:type="dxa"/>
            <w:shd w:val="clear" w:color="auto" w:fill="auto"/>
            <w:vAlign w:val="bottom"/>
            <w:hideMark/>
          </w:tcPr>
          <w:p w14:paraId="278CE873" w14:textId="335222B0" w:rsidR="009B68AC" w:rsidRPr="00A33278" w:rsidRDefault="009B68AC" w:rsidP="009B68AC">
            <w:pPr>
              <w:pStyle w:val="TableText"/>
              <w:keepNext/>
              <w:jc w:val="center"/>
              <w:rPr>
                <w:rFonts w:ascii="Times New Roman" w:hAnsi="Times New Roman"/>
                <w:b/>
                <w:color w:val="000000"/>
                <w:szCs w:val="22"/>
              </w:rPr>
            </w:pPr>
            <w:r w:rsidRPr="00A33278">
              <w:rPr>
                <w:rFonts w:ascii="Times New Roman" w:hAnsi="Times New Roman"/>
                <w:b/>
                <w:color w:val="000000"/>
                <w:szCs w:val="22"/>
              </w:rPr>
              <w:t>Statewide</w:t>
            </w:r>
          </w:p>
        </w:tc>
        <w:tc>
          <w:tcPr>
            <w:tcW w:w="1440" w:type="dxa"/>
            <w:shd w:val="clear" w:color="auto" w:fill="auto"/>
            <w:noWrap/>
            <w:vAlign w:val="center"/>
            <w:hideMark/>
          </w:tcPr>
          <w:p w14:paraId="63BE482F" w14:textId="77777777" w:rsidR="009B68AC" w:rsidRPr="00E659EC" w:rsidRDefault="009B68AC" w:rsidP="009B68AC">
            <w:pPr>
              <w:pStyle w:val="TableText"/>
              <w:keepNext/>
              <w:jc w:val="center"/>
              <w:rPr>
                <w:rFonts w:ascii="Times New Roman" w:hAnsi="Times New Roman"/>
                <w:b/>
                <w:color w:val="000000"/>
                <w:szCs w:val="22"/>
              </w:rPr>
            </w:pPr>
            <w:r w:rsidRPr="00E659EC">
              <w:rPr>
                <w:rFonts w:ascii="Times New Roman" w:hAnsi="Times New Roman"/>
                <w:b/>
                <w:szCs w:val="22"/>
              </w:rPr>
              <w:t>$271.01</w:t>
            </w:r>
          </w:p>
        </w:tc>
        <w:tc>
          <w:tcPr>
            <w:tcW w:w="1080" w:type="dxa"/>
            <w:shd w:val="clear" w:color="auto" w:fill="auto"/>
            <w:noWrap/>
            <w:vAlign w:val="center"/>
            <w:hideMark/>
          </w:tcPr>
          <w:p w14:paraId="15E42D0F" w14:textId="77777777" w:rsidR="009B68AC" w:rsidRPr="00924F1A" w:rsidRDefault="009B68AC" w:rsidP="009B68AC">
            <w:pPr>
              <w:pStyle w:val="TableText"/>
              <w:keepNext/>
              <w:jc w:val="center"/>
              <w:rPr>
                <w:rFonts w:ascii="Times New Roman" w:hAnsi="Times New Roman"/>
                <w:b/>
                <w:color w:val="000000"/>
                <w:szCs w:val="22"/>
              </w:rPr>
            </w:pPr>
            <w:r w:rsidRPr="00924F1A">
              <w:rPr>
                <w:rFonts w:ascii="Times New Roman" w:hAnsi="Times New Roman"/>
                <w:b/>
                <w:szCs w:val="22"/>
              </w:rPr>
              <w:t>$1,223</w:t>
            </w:r>
          </w:p>
        </w:tc>
        <w:tc>
          <w:tcPr>
            <w:tcW w:w="990" w:type="dxa"/>
            <w:shd w:val="clear" w:color="auto" w:fill="auto"/>
            <w:noWrap/>
            <w:vAlign w:val="center"/>
            <w:hideMark/>
          </w:tcPr>
          <w:p w14:paraId="6DA16732" w14:textId="13A6008B" w:rsidR="009B68AC" w:rsidRPr="009B68AC" w:rsidRDefault="009B68AC" w:rsidP="009B68AC">
            <w:pPr>
              <w:pStyle w:val="TableText"/>
              <w:keepNext/>
              <w:jc w:val="center"/>
              <w:rPr>
                <w:rFonts w:ascii="Times New Roman" w:hAnsi="Times New Roman"/>
                <w:b/>
                <w:color w:val="000000"/>
                <w:szCs w:val="22"/>
              </w:rPr>
            </w:pPr>
            <w:r w:rsidRPr="007B3630">
              <w:rPr>
                <w:rFonts w:ascii="Times New Roman" w:hAnsi="Times New Roman"/>
                <w:b/>
                <w:szCs w:val="22"/>
              </w:rPr>
              <w:t>$1,</w:t>
            </w:r>
            <w:r w:rsidR="000260B6" w:rsidRPr="007B3630">
              <w:rPr>
                <w:rFonts w:ascii="Times New Roman" w:hAnsi="Times New Roman"/>
                <w:b/>
                <w:szCs w:val="22"/>
              </w:rPr>
              <w:t>89</w:t>
            </w:r>
            <w:r w:rsidR="000260B6">
              <w:rPr>
                <w:rFonts w:ascii="Times New Roman" w:hAnsi="Times New Roman"/>
                <w:b/>
                <w:szCs w:val="22"/>
              </w:rPr>
              <w:t>4</w:t>
            </w:r>
          </w:p>
        </w:tc>
        <w:tc>
          <w:tcPr>
            <w:tcW w:w="1170" w:type="dxa"/>
            <w:shd w:val="clear" w:color="auto" w:fill="auto"/>
            <w:noWrap/>
            <w:vAlign w:val="center"/>
            <w:hideMark/>
          </w:tcPr>
          <w:p w14:paraId="6400E5B1" w14:textId="77777777" w:rsidR="009B68AC" w:rsidRPr="009B68AC" w:rsidRDefault="009B68AC" w:rsidP="009B68AC">
            <w:pPr>
              <w:pStyle w:val="TableText"/>
              <w:keepNext/>
              <w:jc w:val="center"/>
              <w:rPr>
                <w:rFonts w:ascii="Times New Roman" w:hAnsi="Times New Roman"/>
                <w:b/>
                <w:color w:val="000000"/>
                <w:szCs w:val="22"/>
              </w:rPr>
            </w:pPr>
            <w:r w:rsidRPr="009B68AC">
              <w:rPr>
                <w:rFonts w:ascii="Times New Roman" w:hAnsi="Times New Roman"/>
                <w:b/>
                <w:szCs w:val="22"/>
              </w:rPr>
              <w:t>$3,073</w:t>
            </w:r>
          </w:p>
        </w:tc>
        <w:tc>
          <w:tcPr>
            <w:tcW w:w="1165" w:type="dxa"/>
            <w:shd w:val="clear" w:color="auto" w:fill="auto"/>
            <w:noWrap/>
            <w:vAlign w:val="center"/>
            <w:hideMark/>
          </w:tcPr>
          <w:p w14:paraId="1178B34F" w14:textId="626FA172" w:rsidR="009B68AC" w:rsidRPr="009B68AC" w:rsidRDefault="009B68AC" w:rsidP="009B68AC">
            <w:pPr>
              <w:pStyle w:val="TableText"/>
              <w:keepNext/>
              <w:jc w:val="center"/>
              <w:rPr>
                <w:rFonts w:ascii="Times New Roman" w:hAnsi="Times New Roman"/>
                <w:b/>
                <w:color w:val="000000"/>
                <w:szCs w:val="22"/>
              </w:rPr>
            </w:pPr>
            <w:r w:rsidRPr="009B68AC">
              <w:rPr>
                <w:rFonts w:ascii="Times New Roman" w:hAnsi="Times New Roman"/>
                <w:b/>
                <w:szCs w:val="22"/>
              </w:rPr>
              <w:t>$1,</w:t>
            </w:r>
            <w:r w:rsidR="00523F8B" w:rsidRPr="009B68AC">
              <w:rPr>
                <w:rFonts w:ascii="Times New Roman" w:hAnsi="Times New Roman"/>
                <w:b/>
                <w:szCs w:val="22"/>
              </w:rPr>
              <w:t>17</w:t>
            </w:r>
            <w:r w:rsidR="00523F8B">
              <w:rPr>
                <w:rFonts w:ascii="Times New Roman" w:hAnsi="Times New Roman"/>
                <w:b/>
                <w:szCs w:val="22"/>
              </w:rPr>
              <w:t>9</w:t>
            </w:r>
          </w:p>
        </w:tc>
        <w:tc>
          <w:tcPr>
            <w:tcW w:w="1525" w:type="dxa"/>
            <w:shd w:val="clear" w:color="auto" w:fill="auto"/>
            <w:noWrap/>
            <w:vAlign w:val="center"/>
            <w:hideMark/>
          </w:tcPr>
          <w:p w14:paraId="5E83A8C7" w14:textId="77777777" w:rsidR="009B68AC" w:rsidRPr="009B68AC" w:rsidRDefault="009B68AC" w:rsidP="009B68AC">
            <w:pPr>
              <w:pStyle w:val="TableText"/>
              <w:keepNext/>
              <w:jc w:val="center"/>
              <w:rPr>
                <w:rFonts w:ascii="Times New Roman" w:hAnsi="Times New Roman"/>
                <w:b/>
                <w:color w:val="000000"/>
                <w:szCs w:val="22"/>
              </w:rPr>
            </w:pPr>
            <w:r w:rsidRPr="009B68AC">
              <w:rPr>
                <w:rFonts w:ascii="Times New Roman" w:hAnsi="Times New Roman"/>
                <w:b/>
                <w:szCs w:val="22"/>
              </w:rPr>
              <w:t>1.62</w:t>
            </w:r>
          </w:p>
        </w:tc>
        <w:tc>
          <w:tcPr>
            <w:tcW w:w="1080" w:type="dxa"/>
            <w:shd w:val="clear" w:color="auto" w:fill="auto"/>
            <w:noWrap/>
            <w:vAlign w:val="center"/>
            <w:hideMark/>
          </w:tcPr>
          <w:p w14:paraId="7BEEB447" w14:textId="77777777" w:rsidR="009B68AC" w:rsidRPr="009B68AC" w:rsidRDefault="009B68AC" w:rsidP="009B68AC">
            <w:pPr>
              <w:pStyle w:val="TableText"/>
              <w:keepNext/>
              <w:jc w:val="center"/>
              <w:rPr>
                <w:rFonts w:ascii="Times New Roman" w:hAnsi="Times New Roman"/>
                <w:b/>
                <w:color w:val="000000"/>
                <w:szCs w:val="22"/>
              </w:rPr>
            </w:pPr>
            <w:r w:rsidRPr="009B68AC">
              <w:rPr>
                <w:rFonts w:ascii="Times New Roman" w:hAnsi="Times New Roman"/>
                <w:b/>
                <w:szCs w:val="22"/>
              </w:rPr>
              <w:t>4,513</w:t>
            </w:r>
          </w:p>
        </w:tc>
      </w:tr>
    </w:tbl>
    <w:p w14:paraId="457B8040" w14:textId="10A0A10B" w:rsidR="00887D06" w:rsidRPr="000B053A" w:rsidRDefault="00924F1A" w:rsidP="00C96CD9">
      <w:pPr>
        <w:keepNext/>
        <w:tabs>
          <w:tab w:val="left" w:pos="204"/>
        </w:tabs>
        <w:autoSpaceDE w:val="0"/>
        <w:autoSpaceDN w:val="0"/>
        <w:adjustRightInd w:val="0"/>
        <w:spacing w:line="360" w:lineRule="auto"/>
        <w:ind w:left="-540"/>
        <w:rPr>
          <w:sz w:val="22"/>
          <w:szCs w:val="22"/>
        </w:rPr>
      </w:pPr>
      <w:r>
        <w:rPr>
          <w:sz w:val="22"/>
          <w:szCs w:val="22"/>
        </w:rPr>
        <w:t>*</w:t>
      </w:r>
      <w:r w:rsidR="0003224F" w:rsidRPr="000B053A">
        <w:rPr>
          <w:sz w:val="22"/>
          <w:szCs w:val="22"/>
        </w:rPr>
        <w:t>Statewide values in this table may not sum due to rounding</w:t>
      </w:r>
    </w:p>
    <w:p w14:paraId="29C4FFDE" w14:textId="77777777" w:rsidR="0003224F" w:rsidRDefault="0003224F" w:rsidP="006735B2">
      <w:pPr>
        <w:tabs>
          <w:tab w:val="left" w:pos="204"/>
        </w:tabs>
        <w:autoSpaceDE w:val="0"/>
        <w:autoSpaceDN w:val="0"/>
        <w:adjustRightInd w:val="0"/>
        <w:spacing w:line="360" w:lineRule="auto"/>
        <w:ind w:firstLine="720"/>
        <w:rPr>
          <w:sz w:val="26"/>
          <w:szCs w:val="26"/>
        </w:rPr>
      </w:pPr>
    </w:p>
    <w:p w14:paraId="68687FF2" w14:textId="7DEC530A" w:rsidR="006735B2" w:rsidRDefault="006735B2" w:rsidP="006735B2">
      <w:pPr>
        <w:tabs>
          <w:tab w:val="left" w:pos="204"/>
        </w:tabs>
        <w:autoSpaceDE w:val="0"/>
        <w:autoSpaceDN w:val="0"/>
        <w:adjustRightInd w:val="0"/>
        <w:spacing w:line="360" w:lineRule="auto"/>
        <w:ind w:firstLine="720"/>
        <w:rPr>
          <w:sz w:val="26"/>
          <w:szCs w:val="26"/>
        </w:rPr>
      </w:pPr>
      <w:r w:rsidRPr="00F843B4">
        <w:rPr>
          <w:sz w:val="26"/>
          <w:szCs w:val="26"/>
        </w:rPr>
        <w:lastRenderedPageBreak/>
        <w:t xml:space="preserve">Of interest in setting </w:t>
      </w:r>
      <w:r>
        <w:rPr>
          <w:sz w:val="26"/>
          <w:szCs w:val="26"/>
        </w:rPr>
        <w:t xml:space="preserve">the </w:t>
      </w:r>
      <w:r w:rsidRPr="00F843B4">
        <w:rPr>
          <w:sz w:val="26"/>
          <w:szCs w:val="26"/>
        </w:rPr>
        <w:t>Phase I</w:t>
      </w:r>
      <w:r>
        <w:rPr>
          <w:sz w:val="26"/>
          <w:szCs w:val="26"/>
        </w:rPr>
        <w:t>V</w:t>
      </w:r>
      <w:r w:rsidRPr="00F843B4">
        <w:rPr>
          <w:sz w:val="26"/>
          <w:szCs w:val="26"/>
        </w:rPr>
        <w:t xml:space="preserve"> consumption reduction targets are the program </w:t>
      </w:r>
      <w:r w:rsidRPr="00FA5AA8">
        <w:rPr>
          <w:sz w:val="26"/>
          <w:szCs w:val="26"/>
        </w:rPr>
        <w:t xml:space="preserve">potential estimates that refer to the efficiency potential possible given specific program funding constraints.  The </w:t>
      </w:r>
      <w:r>
        <w:rPr>
          <w:sz w:val="26"/>
          <w:szCs w:val="26"/>
        </w:rPr>
        <w:t xml:space="preserve">Act 129 </w:t>
      </w:r>
      <w:r w:rsidRPr="00FA5AA8">
        <w:rPr>
          <w:sz w:val="26"/>
          <w:szCs w:val="26"/>
        </w:rPr>
        <w:t xml:space="preserve">program potential contained in the </w:t>
      </w:r>
      <w:r w:rsidR="00C47561">
        <w:rPr>
          <w:sz w:val="26"/>
          <w:szCs w:val="26"/>
        </w:rPr>
        <w:t xml:space="preserve">EEPDR Potential </w:t>
      </w:r>
      <w:r w:rsidRPr="00FA5AA8">
        <w:rPr>
          <w:sz w:val="26"/>
          <w:szCs w:val="26"/>
        </w:rPr>
        <w:t xml:space="preserve">Study considered an annual spending ceiling that limits the annual program spending to 2% of </w:t>
      </w:r>
      <w:r>
        <w:rPr>
          <w:sz w:val="26"/>
          <w:szCs w:val="26"/>
        </w:rPr>
        <w:t xml:space="preserve">each EDC’s </w:t>
      </w:r>
      <w:r w:rsidRPr="00FA5AA8">
        <w:rPr>
          <w:sz w:val="26"/>
          <w:szCs w:val="26"/>
        </w:rPr>
        <w:t>2006 annual</w:t>
      </w:r>
      <w:r>
        <w:rPr>
          <w:sz w:val="26"/>
          <w:szCs w:val="26"/>
        </w:rPr>
        <w:t xml:space="preserve"> </w:t>
      </w:r>
      <w:r w:rsidRPr="00FA5AA8">
        <w:rPr>
          <w:sz w:val="26"/>
          <w:szCs w:val="26"/>
        </w:rPr>
        <w:t>revenue.</w:t>
      </w:r>
      <w:r>
        <w:rPr>
          <w:sz w:val="26"/>
          <w:szCs w:val="26"/>
        </w:rPr>
        <w:t xml:space="preserve"> </w:t>
      </w:r>
      <w:r w:rsidR="004D1944">
        <w:rPr>
          <w:sz w:val="26"/>
          <w:szCs w:val="26"/>
        </w:rPr>
        <w:t xml:space="preserve"> </w:t>
      </w:r>
      <w:r w:rsidRPr="00C8142E">
        <w:rPr>
          <w:sz w:val="26"/>
          <w:szCs w:val="26"/>
        </w:rPr>
        <w:t>Act 129 states that “The total cost of any plan required under this section shall not exceed 2% of the electric distribution company’s revenue as of December 31, 2006.”  66 Pa. C.S. § 2806.1(g).  Each EDC’s annual spending limit used by the SWE are as follows:</w:t>
      </w:r>
      <w:r w:rsidRPr="00FA5AA8">
        <w:rPr>
          <w:sz w:val="26"/>
          <w:szCs w:val="26"/>
        </w:rPr>
        <w:t xml:space="preserve"> </w:t>
      </w:r>
    </w:p>
    <w:p w14:paraId="6E3A9334" w14:textId="77777777" w:rsidR="00863707" w:rsidRPr="00FD5068" w:rsidRDefault="00863707" w:rsidP="006735B2">
      <w:pPr>
        <w:tabs>
          <w:tab w:val="left" w:pos="204"/>
        </w:tabs>
        <w:autoSpaceDE w:val="0"/>
        <w:autoSpaceDN w:val="0"/>
        <w:adjustRightInd w:val="0"/>
        <w:spacing w:line="360" w:lineRule="auto"/>
        <w:ind w:firstLine="720"/>
        <w:rPr>
          <w:sz w:val="26"/>
          <w:szCs w:val="26"/>
        </w:rPr>
      </w:pPr>
    </w:p>
    <w:p w14:paraId="2A9ED570" w14:textId="7D344D5B" w:rsidR="006735B2" w:rsidRDefault="006735B2" w:rsidP="006735B2">
      <w:pPr>
        <w:keepNext/>
        <w:tabs>
          <w:tab w:val="left" w:pos="204"/>
        </w:tabs>
        <w:autoSpaceDE w:val="0"/>
        <w:autoSpaceDN w:val="0"/>
        <w:adjustRightInd w:val="0"/>
        <w:spacing w:line="360" w:lineRule="auto"/>
        <w:jc w:val="center"/>
        <w:rPr>
          <w:sz w:val="26"/>
          <w:szCs w:val="26"/>
        </w:rPr>
      </w:pPr>
      <w:r w:rsidRPr="00EB6FDF">
        <w:rPr>
          <w:rStyle w:val="Style11ptBold1"/>
        </w:rPr>
        <w:t xml:space="preserve">Table </w:t>
      </w:r>
      <w:r w:rsidR="00E659EC">
        <w:rPr>
          <w:rStyle w:val="Style11ptBold1"/>
        </w:rPr>
        <w:t>4</w:t>
      </w:r>
      <w:r w:rsidRPr="00EB6FDF">
        <w:rPr>
          <w:rStyle w:val="Style11ptBold1"/>
        </w:rPr>
        <w:t>: EDC’s Act 129 Annual Budget</w:t>
      </w:r>
    </w:p>
    <w:tbl>
      <w:tblPr>
        <w:tblStyle w:val="TableGrid"/>
        <w:tblW w:w="0" w:type="auto"/>
        <w:jc w:val="center"/>
        <w:tblLook w:val="04A0" w:firstRow="1" w:lastRow="0" w:firstColumn="1" w:lastColumn="0" w:noHBand="0" w:noVBand="1"/>
      </w:tblPr>
      <w:tblGrid>
        <w:gridCol w:w="2506"/>
        <w:gridCol w:w="2709"/>
      </w:tblGrid>
      <w:tr w:rsidR="006735B2" w14:paraId="130E4E65" w14:textId="77777777" w:rsidTr="00C96CD9">
        <w:trPr>
          <w:jc w:val="center"/>
        </w:trPr>
        <w:tc>
          <w:tcPr>
            <w:tcW w:w="0" w:type="auto"/>
            <w:tcBorders>
              <w:right w:val="single" w:sz="4" w:space="0" w:color="FFFFFF" w:themeColor="background1"/>
            </w:tcBorders>
            <w:shd w:val="clear" w:color="auto" w:fill="000000" w:themeFill="text1"/>
            <w:vAlign w:val="center"/>
          </w:tcPr>
          <w:p w14:paraId="2A6EEF4C" w14:textId="77777777" w:rsidR="006735B2" w:rsidRPr="00B70F0A" w:rsidRDefault="006735B2" w:rsidP="00C96CD9">
            <w:pPr>
              <w:keepNext/>
              <w:tabs>
                <w:tab w:val="left" w:pos="204"/>
              </w:tabs>
              <w:autoSpaceDE w:val="0"/>
              <w:autoSpaceDN w:val="0"/>
              <w:adjustRightInd w:val="0"/>
              <w:spacing w:line="360" w:lineRule="auto"/>
              <w:jc w:val="center"/>
              <w:rPr>
                <w:color w:val="FFFFFF" w:themeColor="background1"/>
                <w:sz w:val="26"/>
                <w:szCs w:val="26"/>
              </w:rPr>
            </w:pPr>
            <w:r w:rsidRPr="00B70F0A">
              <w:rPr>
                <w:rFonts w:eastAsia="Calibri"/>
                <w:b/>
                <w:color w:val="FFFFFF" w:themeColor="background1"/>
                <w:sz w:val="26"/>
                <w:szCs w:val="26"/>
              </w:rPr>
              <w:t>EDC</w:t>
            </w:r>
          </w:p>
        </w:tc>
        <w:tc>
          <w:tcPr>
            <w:tcW w:w="2709" w:type="dxa"/>
            <w:tcBorders>
              <w:left w:val="single" w:sz="4" w:space="0" w:color="FFFFFF" w:themeColor="background1"/>
            </w:tcBorders>
            <w:shd w:val="clear" w:color="auto" w:fill="000000" w:themeFill="text1"/>
            <w:vAlign w:val="center"/>
          </w:tcPr>
          <w:p w14:paraId="7CDF06A1" w14:textId="77777777" w:rsidR="006735B2" w:rsidRPr="00B70F0A" w:rsidRDefault="006735B2" w:rsidP="00C96CD9">
            <w:pPr>
              <w:keepNext/>
              <w:tabs>
                <w:tab w:val="left" w:pos="204"/>
              </w:tabs>
              <w:autoSpaceDE w:val="0"/>
              <w:autoSpaceDN w:val="0"/>
              <w:adjustRightInd w:val="0"/>
              <w:spacing w:line="360" w:lineRule="auto"/>
              <w:jc w:val="center"/>
              <w:rPr>
                <w:color w:val="FFFFFF" w:themeColor="background1"/>
                <w:sz w:val="26"/>
                <w:szCs w:val="26"/>
              </w:rPr>
            </w:pPr>
            <w:r w:rsidRPr="00B70F0A">
              <w:rPr>
                <w:rFonts w:eastAsia="Calibri"/>
                <w:b/>
                <w:color w:val="FFFFFF" w:themeColor="background1"/>
                <w:sz w:val="26"/>
                <w:szCs w:val="26"/>
              </w:rPr>
              <w:t>Annual Budget</w:t>
            </w:r>
          </w:p>
        </w:tc>
      </w:tr>
      <w:tr w:rsidR="006735B2" w14:paraId="6BE73622" w14:textId="77777777" w:rsidTr="00C96CD9">
        <w:trPr>
          <w:jc w:val="center"/>
        </w:trPr>
        <w:tc>
          <w:tcPr>
            <w:tcW w:w="0" w:type="auto"/>
            <w:vAlign w:val="center"/>
          </w:tcPr>
          <w:p w14:paraId="26E22E91" w14:textId="77777777" w:rsidR="006735B2" w:rsidRDefault="006735B2" w:rsidP="00C96CD9">
            <w:pPr>
              <w:keepNext/>
              <w:tabs>
                <w:tab w:val="left" w:pos="204"/>
              </w:tabs>
              <w:autoSpaceDE w:val="0"/>
              <w:autoSpaceDN w:val="0"/>
              <w:adjustRightInd w:val="0"/>
              <w:spacing w:line="360" w:lineRule="auto"/>
              <w:rPr>
                <w:sz w:val="26"/>
                <w:szCs w:val="26"/>
              </w:rPr>
            </w:pPr>
            <w:r w:rsidRPr="00B70F0A">
              <w:rPr>
                <w:rFonts w:eastAsia="Calibri"/>
                <w:sz w:val="26"/>
                <w:szCs w:val="26"/>
              </w:rPr>
              <w:t>Duquesne Light</w:t>
            </w:r>
          </w:p>
        </w:tc>
        <w:tc>
          <w:tcPr>
            <w:tcW w:w="2709" w:type="dxa"/>
            <w:vAlign w:val="center"/>
          </w:tcPr>
          <w:p w14:paraId="4E213B27" w14:textId="77777777" w:rsidR="006735B2" w:rsidRDefault="006735B2" w:rsidP="00C96CD9">
            <w:pPr>
              <w:keepNext/>
              <w:tabs>
                <w:tab w:val="left" w:pos="204"/>
              </w:tabs>
              <w:autoSpaceDE w:val="0"/>
              <w:autoSpaceDN w:val="0"/>
              <w:adjustRightInd w:val="0"/>
              <w:spacing w:line="360" w:lineRule="auto"/>
              <w:jc w:val="center"/>
              <w:rPr>
                <w:sz w:val="26"/>
                <w:szCs w:val="26"/>
              </w:rPr>
            </w:pPr>
            <w:r w:rsidRPr="00B70F0A">
              <w:rPr>
                <w:rFonts w:eastAsia="Calibri"/>
                <w:sz w:val="26"/>
                <w:szCs w:val="26"/>
              </w:rPr>
              <w:t>$19,545,952</w:t>
            </w:r>
          </w:p>
        </w:tc>
      </w:tr>
      <w:tr w:rsidR="006735B2" w14:paraId="7230C9D1" w14:textId="77777777" w:rsidTr="00C96CD9">
        <w:trPr>
          <w:jc w:val="center"/>
        </w:trPr>
        <w:tc>
          <w:tcPr>
            <w:tcW w:w="0" w:type="auto"/>
            <w:vAlign w:val="center"/>
          </w:tcPr>
          <w:p w14:paraId="2014B6EE" w14:textId="77777777" w:rsidR="006735B2" w:rsidRPr="00B70F0A" w:rsidRDefault="006735B2" w:rsidP="00C96CD9">
            <w:pPr>
              <w:keepNext/>
              <w:tabs>
                <w:tab w:val="left" w:pos="204"/>
              </w:tabs>
              <w:autoSpaceDE w:val="0"/>
              <w:autoSpaceDN w:val="0"/>
              <w:adjustRightInd w:val="0"/>
              <w:spacing w:line="360" w:lineRule="auto"/>
              <w:rPr>
                <w:rFonts w:eastAsia="Calibri"/>
                <w:sz w:val="26"/>
                <w:szCs w:val="26"/>
              </w:rPr>
            </w:pPr>
            <w:r w:rsidRPr="00B70F0A">
              <w:rPr>
                <w:rFonts w:eastAsia="Calibri"/>
                <w:sz w:val="26"/>
                <w:szCs w:val="26"/>
              </w:rPr>
              <w:t>PECO</w:t>
            </w:r>
          </w:p>
        </w:tc>
        <w:tc>
          <w:tcPr>
            <w:tcW w:w="2709" w:type="dxa"/>
            <w:vAlign w:val="center"/>
          </w:tcPr>
          <w:p w14:paraId="55BA969C" w14:textId="77777777" w:rsidR="006735B2" w:rsidRPr="00B70F0A" w:rsidRDefault="006735B2" w:rsidP="00C96CD9">
            <w:pPr>
              <w:keepNext/>
              <w:tabs>
                <w:tab w:val="left" w:pos="204"/>
              </w:tabs>
              <w:autoSpaceDE w:val="0"/>
              <w:autoSpaceDN w:val="0"/>
              <w:adjustRightInd w:val="0"/>
              <w:spacing w:line="360" w:lineRule="auto"/>
              <w:jc w:val="center"/>
              <w:rPr>
                <w:rFonts w:eastAsia="Calibri"/>
                <w:sz w:val="26"/>
                <w:szCs w:val="26"/>
              </w:rPr>
            </w:pPr>
            <w:r w:rsidRPr="00B70F0A">
              <w:rPr>
                <w:rFonts w:eastAsia="Calibri"/>
                <w:sz w:val="26"/>
                <w:szCs w:val="26"/>
              </w:rPr>
              <w:t>$85,477,166</w:t>
            </w:r>
          </w:p>
        </w:tc>
      </w:tr>
      <w:tr w:rsidR="006735B2" w14:paraId="531F6CDE" w14:textId="77777777" w:rsidTr="00C96CD9">
        <w:trPr>
          <w:jc w:val="center"/>
        </w:trPr>
        <w:tc>
          <w:tcPr>
            <w:tcW w:w="0" w:type="auto"/>
            <w:vAlign w:val="center"/>
          </w:tcPr>
          <w:p w14:paraId="54BB4D63" w14:textId="77777777" w:rsidR="006735B2" w:rsidRPr="00B70F0A" w:rsidRDefault="006735B2" w:rsidP="00C96CD9">
            <w:pPr>
              <w:keepNext/>
              <w:tabs>
                <w:tab w:val="left" w:pos="204"/>
              </w:tabs>
              <w:autoSpaceDE w:val="0"/>
              <w:autoSpaceDN w:val="0"/>
              <w:adjustRightInd w:val="0"/>
              <w:spacing w:line="360" w:lineRule="auto"/>
              <w:rPr>
                <w:rFonts w:eastAsia="Calibri"/>
                <w:sz w:val="26"/>
                <w:szCs w:val="26"/>
              </w:rPr>
            </w:pPr>
            <w:r w:rsidRPr="00B70F0A">
              <w:rPr>
                <w:rFonts w:eastAsia="Calibri"/>
                <w:sz w:val="26"/>
                <w:szCs w:val="26"/>
              </w:rPr>
              <w:t>PPL</w:t>
            </w:r>
          </w:p>
        </w:tc>
        <w:tc>
          <w:tcPr>
            <w:tcW w:w="2709" w:type="dxa"/>
            <w:vAlign w:val="center"/>
          </w:tcPr>
          <w:p w14:paraId="3094AF8C" w14:textId="77777777" w:rsidR="006735B2" w:rsidRPr="00B70F0A" w:rsidRDefault="006735B2" w:rsidP="00C96CD9">
            <w:pPr>
              <w:keepNext/>
              <w:tabs>
                <w:tab w:val="left" w:pos="204"/>
              </w:tabs>
              <w:autoSpaceDE w:val="0"/>
              <w:autoSpaceDN w:val="0"/>
              <w:adjustRightInd w:val="0"/>
              <w:spacing w:line="360" w:lineRule="auto"/>
              <w:jc w:val="center"/>
              <w:rPr>
                <w:rFonts w:eastAsia="Calibri"/>
                <w:sz w:val="26"/>
                <w:szCs w:val="26"/>
              </w:rPr>
            </w:pPr>
            <w:r w:rsidRPr="00B70F0A">
              <w:rPr>
                <w:rFonts w:eastAsia="Calibri"/>
                <w:sz w:val="26"/>
                <w:szCs w:val="26"/>
              </w:rPr>
              <w:t>$61,501,376</w:t>
            </w:r>
          </w:p>
        </w:tc>
      </w:tr>
      <w:tr w:rsidR="006735B2" w14:paraId="3EE8B83D" w14:textId="77777777" w:rsidTr="00C96CD9">
        <w:trPr>
          <w:jc w:val="center"/>
        </w:trPr>
        <w:tc>
          <w:tcPr>
            <w:tcW w:w="0" w:type="auto"/>
            <w:vAlign w:val="center"/>
          </w:tcPr>
          <w:p w14:paraId="77A066C6" w14:textId="77777777" w:rsidR="006735B2" w:rsidRDefault="006735B2" w:rsidP="00C96CD9">
            <w:pPr>
              <w:keepNext/>
              <w:tabs>
                <w:tab w:val="left" w:pos="204"/>
              </w:tabs>
              <w:autoSpaceDE w:val="0"/>
              <w:autoSpaceDN w:val="0"/>
              <w:adjustRightInd w:val="0"/>
              <w:spacing w:line="360" w:lineRule="auto"/>
              <w:rPr>
                <w:sz w:val="26"/>
                <w:szCs w:val="26"/>
              </w:rPr>
            </w:pPr>
            <w:r w:rsidRPr="00C867AF">
              <w:rPr>
                <w:sz w:val="26"/>
                <w:szCs w:val="26"/>
              </w:rPr>
              <w:t xml:space="preserve">FE: </w:t>
            </w:r>
            <w:r w:rsidRPr="00C867AF">
              <w:rPr>
                <w:rFonts w:eastAsia="Calibri"/>
                <w:sz w:val="26"/>
                <w:szCs w:val="26"/>
              </w:rPr>
              <w:t>Met-Ed</w:t>
            </w:r>
          </w:p>
        </w:tc>
        <w:tc>
          <w:tcPr>
            <w:tcW w:w="2709" w:type="dxa"/>
            <w:vAlign w:val="center"/>
          </w:tcPr>
          <w:p w14:paraId="5F93A9DF" w14:textId="77777777" w:rsidR="006735B2" w:rsidRDefault="006735B2" w:rsidP="00C96CD9">
            <w:pPr>
              <w:keepNext/>
              <w:tabs>
                <w:tab w:val="left" w:pos="204"/>
              </w:tabs>
              <w:autoSpaceDE w:val="0"/>
              <w:autoSpaceDN w:val="0"/>
              <w:adjustRightInd w:val="0"/>
              <w:spacing w:line="360" w:lineRule="auto"/>
              <w:jc w:val="center"/>
              <w:rPr>
                <w:sz w:val="26"/>
                <w:szCs w:val="26"/>
              </w:rPr>
            </w:pPr>
            <w:r w:rsidRPr="00B70F0A">
              <w:rPr>
                <w:rFonts w:eastAsia="Calibri"/>
                <w:sz w:val="26"/>
                <w:szCs w:val="26"/>
              </w:rPr>
              <w:t>$24,866,894</w:t>
            </w:r>
          </w:p>
        </w:tc>
      </w:tr>
      <w:tr w:rsidR="006735B2" w14:paraId="055503CB" w14:textId="77777777" w:rsidTr="00C96CD9">
        <w:trPr>
          <w:jc w:val="center"/>
        </w:trPr>
        <w:tc>
          <w:tcPr>
            <w:tcW w:w="0" w:type="auto"/>
            <w:vAlign w:val="center"/>
          </w:tcPr>
          <w:p w14:paraId="00F0C90A" w14:textId="77777777" w:rsidR="006735B2" w:rsidRDefault="006735B2" w:rsidP="00C96CD9">
            <w:pPr>
              <w:keepNext/>
              <w:tabs>
                <w:tab w:val="left" w:pos="204"/>
              </w:tabs>
              <w:autoSpaceDE w:val="0"/>
              <w:autoSpaceDN w:val="0"/>
              <w:adjustRightInd w:val="0"/>
              <w:spacing w:line="360" w:lineRule="auto"/>
              <w:rPr>
                <w:sz w:val="26"/>
                <w:szCs w:val="26"/>
              </w:rPr>
            </w:pPr>
            <w:r w:rsidRPr="00C867AF">
              <w:rPr>
                <w:sz w:val="26"/>
                <w:szCs w:val="26"/>
              </w:rPr>
              <w:t xml:space="preserve">FE: </w:t>
            </w:r>
            <w:r w:rsidRPr="00C867AF">
              <w:rPr>
                <w:rFonts w:eastAsia="Calibri"/>
                <w:sz w:val="26"/>
                <w:szCs w:val="26"/>
              </w:rPr>
              <w:t>Penelec</w:t>
            </w:r>
          </w:p>
        </w:tc>
        <w:tc>
          <w:tcPr>
            <w:tcW w:w="2709" w:type="dxa"/>
            <w:vAlign w:val="center"/>
          </w:tcPr>
          <w:p w14:paraId="305D460C" w14:textId="77777777" w:rsidR="006735B2" w:rsidRDefault="006735B2" w:rsidP="00C96CD9">
            <w:pPr>
              <w:keepNext/>
              <w:tabs>
                <w:tab w:val="left" w:pos="204"/>
              </w:tabs>
              <w:autoSpaceDE w:val="0"/>
              <w:autoSpaceDN w:val="0"/>
              <w:adjustRightInd w:val="0"/>
              <w:spacing w:line="360" w:lineRule="auto"/>
              <w:jc w:val="center"/>
              <w:rPr>
                <w:sz w:val="26"/>
                <w:szCs w:val="26"/>
              </w:rPr>
            </w:pPr>
            <w:r w:rsidRPr="00B70F0A">
              <w:rPr>
                <w:rFonts w:eastAsia="Calibri"/>
                <w:sz w:val="26"/>
                <w:szCs w:val="26"/>
              </w:rPr>
              <w:t>$22,974,742</w:t>
            </w:r>
          </w:p>
        </w:tc>
      </w:tr>
      <w:tr w:rsidR="006735B2" w14:paraId="3F975A68" w14:textId="77777777" w:rsidTr="00C96CD9">
        <w:trPr>
          <w:jc w:val="center"/>
        </w:trPr>
        <w:tc>
          <w:tcPr>
            <w:tcW w:w="0" w:type="auto"/>
            <w:vAlign w:val="center"/>
          </w:tcPr>
          <w:p w14:paraId="297F4206" w14:textId="77777777" w:rsidR="006735B2" w:rsidRDefault="006735B2" w:rsidP="00C96CD9">
            <w:pPr>
              <w:keepNext/>
              <w:tabs>
                <w:tab w:val="left" w:pos="204"/>
              </w:tabs>
              <w:autoSpaceDE w:val="0"/>
              <w:autoSpaceDN w:val="0"/>
              <w:adjustRightInd w:val="0"/>
              <w:spacing w:line="360" w:lineRule="auto"/>
              <w:rPr>
                <w:sz w:val="26"/>
                <w:szCs w:val="26"/>
              </w:rPr>
            </w:pPr>
            <w:r w:rsidRPr="00C867AF">
              <w:rPr>
                <w:sz w:val="26"/>
                <w:szCs w:val="26"/>
              </w:rPr>
              <w:t xml:space="preserve">FE: </w:t>
            </w:r>
            <w:r w:rsidRPr="00C867AF">
              <w:rPr>
                <w:rFonts w:eastAsia="Calibri"/>
                <w:sz w:val="26"/>
                <w:szCs w:val="26"/>
              </w:rPr>
              <w:t>Penn Power</w:t>
            </w:r>
          </w:p>
        </w:tc>
        <w:tc>
          <w:tcPr>
            <w:tcW w:w="2709" w:type="dxa"/>
            <w:vAlign w:val="center"/>
          </w:tcPr>
          <w:p w14:paraId="1214B603" w14:textId="77777777" w:rsidR="006735B2" w:rsidRDefault="006735B2" w:rsidP="00C96CD9">
            <w:pPr>
              <w:keepNext/>
              <w:tabs>
                <w:tab w:val="left" w:pos="204"/>
              </w:tabs>
              <w:autoSpaceDE w:val="0"/>
              <w:autoSpaceDN w:val="0"/>
              <w:adjustRightInd w:val="0"/>
              <w:spacing w:line="360" w:lineRule="auto"/>
              <w:jc w:val="center"/>
              <w:rPr>
                <w:sz w:val="26"/>
                <w:szCs w:val="26"/>
              </w:rPr>
            </w:pPr>
            <w:r w:rsidRPr="00B70F0A">
              <w:rPr>
                <w:rFonts w:eastAsia="Calibri"/>
                <w:sz w:val="26"/>
                <w:szCs w:val="26"/>
              </w:rPr>
              <w:t>$6,659,789</w:t>
            </w:r>
          </w:p>
        </w:tc>
      </w:tr>
      <w:tr w:rsidR="006735B2" w14:paraId="1299BD9B" w14:textId="77777777" w:rsidTr="00C96CD9">
        <w:trPr>
          <w:jc w:val="center"/>
        </w:trPr>
        <w:tc>
          <w:tcPr>
            <w:tcW w:w="0" w:type="auto"/>
            <w:vAlign w:val="center"/>
          </w:tcPr>
          <w:p w14:paraId="2C742AA7" w14:textId="77777777" w:rsidR="006735B2" w:rsidRDefault="006735B2" w:rsidP="00C96CD9">
            <w:pPr>
              <w:keepNext/>
              <w:tabs>
                <w:tab w:val="left" w:pos="204"/>
              </w:tabs>
              <w:autoSpaceDE w:val="0"/>
              <w:autoSpaceDN w:val="0"/>
              <w:adjustRightInd w:val="0"/>
              <w:spacing w:line="360" w:lineRule="auto"/>
              <w:rPr>
                <w:sz w:val="26"/>
                <w:szCs w:val="26"/>
              </w:rPr>
            </w:pPr>
            <w:r w:rsidRPr="00C867AF">
              <w:rPr>
                <w:sz w:val="26"/>
                <w:szCs w:val="26"/>
              </w:rPr>
              <w:t xml:space="preserve">FE: </w:t>
            </w:r>
            <w:r w:rsidRPr="00C867AF">
              <w:rPr>
                <w:rFonts w:eastAsia="Calibri"/>
                <w:sz w:val="26"/>
                <w:szCs w:val="26"/>
              </w:rPr>
              <w:t>West Penn Power</w:t>
            </w:r>
          </w:p>
        </w:tc>
        <w:tc>
          <w:tcPr>
            <w:tcW w:w="2709" w:type="dxa"/>
            <w:vAlign w:val="center"/>
          </w:tcPr>
          <w:p w14:paraId="7F9502CF" w14:textId="77777777" w:rsidR="006735B2" w:rsidRDefault="006735B2" w:rsidP="00C96CD9">
            <w:pPr>
              <w:keepNext/>
              <w:tabs>
                <w:tab w:val="left" w:pos="204"/>
              </w:tabs>
              <w:autoSpaceDE w:val="0"/>
              <w:autoSpaceDN w:val="0"/>
              <w:adjustRightInd w:val="0"/>
              <w:spacing w:line="360" w:lineRule="auto"/>
              <w:jc w:val="center"/>
              <w:rPr>
                <w:sz w:val="26"/>
                <w:szCs w:val="26"/>
              </w:rPr>
            </w:pPr>
            <w:r w:rsidRPr="00B70F0A">
              <w:rPr>
                <w:rFonts w:eastAsia="Calibri"/>
                <w:sz w:val="26"/>
                <w:szCs w:val="26"/>
              </w:rPr>
              <w:t>$23,562,602</w:t>
            </w:r>
          </w:p>
        </w:tc>
      </w:tr>
    </w:tbl>
    <w:p w14:paraId="2F0BA745" w14:textId="77777777" w:rsidR="006735B2" w:rsidRDefault="006735B2" w:rsidP="006735B2">
      <w:pPr>
        <w:tabs>
          <w:tab w:val="left" w:pos="204"/>
        </w:tabs>
        <w:autoSpaceDE w:val="0"/>
        <w:autoSpaceDN w:val="0"/>
        <w:adjustRightInd w:val="0"/>
        <w:spacing w:line="360" w:lineRule="auto"/>
        <w:ind w:firstLine="720"/>
        <w:rPr>
          <w:sz w:val="26"/>
          <w:szCs w:val="26"/>
        </w:rPr>
      </w:pPr>
    </w:p>
    <w:p w14:paraId="6D1CD23D" w14:textId="1ED88EF2" w:rsidR="006735B2" w:rsidRPr="00D429C8" w:rsidRDefault="006735B2" w:rsidP="006735B2">
      <w:pPr>
        <w:tabs>
          <w:tab w:val="left" w:pos="204"/>
        </w:tabs>
        <w:autoSpaceDE w:val="0"/>
        <w:autoSpaceDN w:val="0"/>
        <w:adjustRightInd w:val="0"/>
        <w:spacing w:line="360" w:lineRule="auto"/>
        <w:ind w:firstLine="720"/>
        <w:rPr>
          <w:sz w:val="26"/>
          <w:szCs w:val="26"/>
        </w:rPr>
      </w:pPr>
      <w:r>
        <w:rPr>
          <w:sz w:val="26"/>
          <w:szCs w:val="26"/>
        </w:rPr>
        <w:t>T</w:t>
      </w:r>
      <w:r w:rsidRPr="00D429C8">
        <w:rPr>
          <w:sz w:val="26"/>
          <w:szCs w:val="26"/>
        </w:rPr>
        <w:t xml:space="preserve">he </w:t>
      </w:r>
      <w:r>
        <w:rPr>
          <w:sz w:val="26"/>
          <w:szCs w:val="26"/>
        </w:rPr>
        <w:t xml:space="preserve">reference annual consumption values utilized for the </w:t>
      </w:r>
      <w:r w:rsidR="00C47561">
        <w:rPr>
          <w:sz w:val="26"/>
          <w:szCs w:val="26"/>
        </w:rPr>
        <w:t xml:space="preserve">EEPDR Potential </w:t>
      </w:r>
      <w:r>
        <w:rPr>
          <w:sz w:val="26"/>
          <w:szCs w:val="26"/>
        </w:rPr>
        <w:t>Study to express</w:t>
      </w:r>
      <w:r w:rsidRPr="00D429C8">
        <w:rPr>
          <w:sz w:val="26"/>
          <w:szCs w:val="26"/>
        </w:rPr>
        <w:t xml:space="preserve"> </w:t>
      </w:r>
      <w:r>
        <w:rPr>
          <w:sz w:val="26"/>
          <w:szCs w:val="26"/>
        </w:rPr>
        <w:t>incremental savings are the forecast kWh sales for each EDC for the period of June 1, 2009 through May 31, 2010</w:t>
      </w:r>
      <w:r w:rsidR="004D1944">
        <w:rPr>
          <w:sz w:val="26"/>
          <w:szCs w:val="26"/>
        </w:rPr>
        <w:t>,</w:t>
      </w:r>
      <w:r>
        <w:rPr>
          <w:sz w:val="26"/>
          <w:szCs w:val="26"/>
        </w:rPr>
        <w:t xml:space="preserve"> which are the same forecasts utilized in the first three phases of the EE&amp;C Program.</w:t>
      </w:r>
      <w:r>
        <w:rPr>
          <w:rStyle w:val="FootnoteReference"/>
          <w:sz w:val="26"/>
          <w:szCs w:val="26"/>
        </w:rPr>
        <w:footnoteReference w:id="21"/>
      </w:r>
      <w:r>
        <w:rPr>
          <w:sz w:val="26"/>
          <w:szCs w:val="26"/>
        </w:rPr>
        <w:t xml:space="preserve"> </w:t>
      </w:r>
    </w:p>
    <w:p w14:paraId="2B30BB32" w14:textId="77777777" w:rsidR="00DD1A7A" w:rsidRDefault="00DD1A7A" w:rsidP="00DD1A7A">
      <w:pPr>
        <w:keepNext/>
        <w:tabs>
          <w:tab w:val="left" w:pos="204"/>
        </w:tabs>
        <w:autoSpaceDE w:val="0"/>
        <w:autoSpaceDN w:val="0"/>
        <w:adjustRightInd w:val="0"/>
        <w:spacing w:line="360" w:lineRule="auto"/>
        <w:rPr>
          <w:b/>
          <w:bCs/>
          <w:sz w:val="22"/>
          <w:szCs w:val="22"/>
        </w:rPr>
      </w:pPr>
    </w:p>
    <w:p w14:paraId="1302AE6A" w14:textId="222F76D2" w:rsidR="00BC3AC0" w:rsidRPr="00576BB0" w:rsidRDefault="00BC3AC0" w:rsidP="00E212C9">
      <w:pPr>
        <w:pStyle w:val="Heading3"/>
      </w:pPr>
      <w:bookmarkStart w:id="175" w:name="_Ref33512538"/>
      <w:bookmarkStart w:id="176" w:name="_Toc33781996"/>
      <w:r w:rsidRPr="0091351A">
        <w:t>Proposed</w:t>
      </w:r>
      <w:r w:rsidRPr="00576BB0">
        <w:t xml:space="preserve"> Reductions in Consumption</w:t>
      </w:r>
      <w:bookmarkEnd w:id="170"/>
      <w:bookmarkEnd w:id="171"/>
      <w:bookmarkEnd w:id="172"/>
      <w:bookmarkEnd w:id="173"/>
      <w:bookmarkEnd w:id="175"/>
      <w:bookmarkEnd w:id="176"/>
    </w:p>
    <w:p w14:paraId="68E9D6EC" w14:textId="23F5840E" w:rsidR="00BC3AC0" w:rsidRDefault="00BC3AC0" w:rsidP="00EB6FDF">
      <w:pPr>
        <w:pStyle w:val="StyleLinespacing15lines"/>
      </w:pPr>
      <w:r w:rsidRPr="00576BB0">
        <w:tab/>
        <w:t xml:space="preserve">As previously noted, the SWE determined in its </w:t>
      </w:r>
      <w:r w:rsidR="00C47561">
        <w:t xml:space="preserve">EEPDR Potential </w:t>
      </w:r>
      <w:r w:rsidRPr="00576BB0">
        <w:t>Study that electric consumption reduction programs</w:t>
      </w:r>
      <w:r>
        <w:t xml:space="preserve"> will continue to be cost-effective</w:t>
      </w:r>
      <w:r w:rsidRPr="00D429C8">
        <w:t>.</w:t>
      </w:r>
      <w:r>
        <w:rPr>
          <w:rStyle w:val="FootnoteReference"/>
          <w:szCs w:val="26"/>
        </w:rPr>
        <w:footnoteReference w:id="22"/>
      </w:r>
      <w:r>
        <w:t xml:space="preserve">  Based on </w:t>
      </w:r>
      <w:r>
        <w:lastRenderedPageBreak/>
        <w:t>the SWE’s determination, we believe</w:t>
      </w:r>
      <w:r w:rsidRPr="00D429C8">
        <w:t xml:space="preserve"> that the benefits of a Phase I</w:t>
      </w:r>
      <w:r>
        <w:t>V</w:t>
      </w:r>
      <w:r w:rsidRPr="00D429C8">
        <w:t xml:space="preserve"> </w:t>
      </w:r>
      <w:r>
        <w:t xml:space="preserve">EE&amp;C </w:t>
      </w:r>
      <w:r w:rsidRPr="00D429C8">
        <w:t xml:space="preserve">program will exceed the costs </w:t>
      </w:r>
      <w:r>
        <w:t xml:space="preserve">of such a program </w:t>
      </w:r>
      <w:r w:rsidRPr="00D429C8">
        <w:t>and therefore</w:t>
      </w:r>
      <w:r w:rsidR="00C71AFB">
        <w:t>,</w:t>
      </w:r>
      <w:r w:rsidRPr="00D429C8">
        <w:t xml:space="preserve"> propose additional required incremental reductions in consumption for another </w:t>
      </w:r>
      <w:r w:rsidR="00C71AFB">
        <w:t>five years</w:t>
      </w:r>
      <w:r>
        <w:t>.  Below we outline our proposals regarding consumption reduction requirements.</w:t>
      </w:r>
    </w:p>
    <w:p w14:paraId="6DE70156" w14:textId="77777777" w:rsidR="00BC3AC0" w:rsidRDefault="00BC3AC0" w:rsidP="00BC3AC0">
      <w:pPr>
        <w:tabs>
          <w:tab w:val="left" w:pos="-1440"/>
        </w:tabs>
        <w:autoSpaceDE w:val="0"/>
        <w:autoSpaceDN w:val="0"/>
        <w:adjustRightInd w:val="0"/>
        <w:spacing w:line="360" w:lineRule="auto"/>
        <w:rPr>
          <w:sz w:val="26"/>
          <w:szCs w:val="26"/>
        </w:rPr>
      </w:pPr>
    </w:p>
    <w:p w14:paraId="48AF25FE" w14:textId="77777777" w:rsidR="00BC3AC0" w:rsidRPr="00D429C8" w:rsidRDefault="00BC3AC0" w:rsidP="00BC3AC0">
      <w:pPr>
        <w:pStyle w:val="Heading4"/>
      </w:pPr>
      <w:r w:rsidRPr="00D429C8">
        <w:t>Baseline for Targets</w:t>
      </w:r>
    </w:p>
    <w:p w14:paraId="26657D8D" w14:textId="42A27D42" w:rsidR="004967E7" w:rsidRDefault="000F411C" w:rsidP="0003224F">
      <w:pPr>
        <w:pStyle w:val="StyleLinespacing15lines"/>
        <w:ind w:firstLine="720"/>
      </w:pPr>
      <w:r>
        <w:t>Previously</w:t>
      </w:r>
      <w:r w:rsidR="00BC3AC0">
        <w:t>, the</w:t>
      </w:r>
      <w:r w:rsidR="00BC3AC0" w:rsidRPr="00D429C8">
        <w:t xml:space="preserve"> Commission adopt</w:t>
      </w:r>
      <w:r w:rsidR="00BC3AC0">
        <w:t>ed</w:t>
      </w:r>
      <w:r w:rsidR="00BC3AC0" w:rsidRPr="00D429C8">
        <w:t xml:space="preserve"> the </w:t>
      </w:r>
      <w:r w:rsidR="00BC3AC0">
        <w:t>June 1, 2009 through May 31, 2010 expected sales forecast a</w:t>
      </w:r>
      <w:r w:rsidR="00BC3AC0" w:rsidRPr="00D429C8">
        <w:t xml:space="preserve">s the </w:t>
      </w:r>
      <w:r w:rsidR="00BC3AC0">
        <w:t>reference consumption values against which to express</w:t>
      </w:r>
      <w:r w:rsidR="00BC3AC0" w:rsidRPr="00D429C8">
        <w:t xml:space="preserve"> </w:t>
      </w:r>
      <w:r w:rsidR="00BC3AC0">
        <w:t>incremental savings for each EDC and the EE&amp;C program as a whole.</w:t>
      </w:r>
      <w:r w:rsidR="00BC3AC0">
        <w:rPr>
          <w:rStyle w:val="FootnoteReference"/>
          <w:szCs w:val="26"/>
        </w:rPr>
        <w:footnoteReference w:id="23"/>
      </w:r>
      <w:r w:rsidR="00BC3AC0" w:rsidRPr="00D429C8">
        <w:t xml:space="preserve">  </w:t>
      </w:r>
      <w:r w:rsidR="00BC3AC0">
        <w:t xml:space="preserve">Although somewhat dated at this point, the SWE maintained this same baseline when expressing Phase IV reductions on a percentage basis in the </w:t>
      </w:r>
      <w:r w:rsidR="00C47561">
        <w:t xml:space="preserve">EEPDR Potential </w:t>
      </w:r>
      <w:r w:rsidR="00BC3AC0">
        <w:t>Study.  This convention allows for an “apples-to-apples” comparison with targets</w:t>
      </w:r>
      <w:r w:rsidR="00F1402D">
        <w:t>, on a percentage basis,</w:t>
      </w:r>
      <w:r w:rsidR="00BC3AC0">
        <w:t xml:space="preserve"> from prior phases of Act 129.  The Commission proposes to continue to use the forecast MWh sales for each EDC for the period June 1, 2009 through May 31, 2010, as the consumption baseline from which to express incremental savings in Phase IV. </w:t>
      </w:r>
      <w:r w:rsidR="00F175E0">
        <w:t xml:space="preserve"> </w:t>
      </w:r>
      <w:r w:rsidR="00C96CD9">
        <w:t>Table</w:t>
      </w:r>
      <w:r w:rsidR="007405B9">
        <w:t> </w:t>
      </w:r>
      <w:r w:rsidR="00C96CD9">
        <w:t xml:space="preserve">5 </w:t>
      </w:r>
      <w:r w:rsidR="00BC3AC0">
        <w:t xml:space="preserve">shows the baselines sales values for each EDC and statewide. </w:t>
      </w:r>
    </w:p>
    <w:p w14:paraId="284503DC" w14:textId="77777777" w:rsidR="0003224F" w:rsidRPr="0003224F" w:rsidRDefault="0003224F" w:rsidP="0003224F">
      <w:pPr>
        <w:pStyle w:val="StyleLinespacing15lines"/>
        <w:ind w:firstLine="720"/>
      </w:pPr>
    </w:p>
    <w:p w14:paraId="0800E146" w14:textId="2D5B786A" w:rsidR="004967E7" w:rsidRPr="00EB6FDF" w:rsidRDefault="004967E7" w:rsidP="000F45BB">
      <w:pPr>
        <w:pStyle w:val="Caption"/>
        <w:keepNext/>
        <w:jc w:val="center"/>
        <w:rPr>
          <w:sz w:val="26"/>
          <w:szCs w:val="26"/>
        </w:rPr>
      </w:pPr>
      <w:bookmarkStart w:id="177" w:name="_Ref32318623"/>
      <w:r w:rsidRPr="00EB6FDF">
        <w:rPr>
          <w:b/>
          <w:bCs/>
          <w:i w:val="0"/>
          <w:iCs w:val="0"/>
          <w:color w:val="auto"/>
          <w:sz w:val="26"/>
          <w:szCs w:val="26"/>
        </w:rPr>
        <w:t xml:space="preserve">Table </w:t>
      </w:r>
      <w:bookmarkEnd w:id="177"/>
      <w:r w:rsidR="00E659EC">
        <w:rPr>
          <w:b/>
          <w:bCs/>
          <w:i w:val="0"/>
          <w:iCs w:val="0"/>
          <w:color w:val="auto"/>
          <w:sz w:val="26"/>
          <w:szCs w:val="26"/>
        </w:rPr>
        <w:t>5</w:t>
      </w:r>
      <w:r w:rsidRPr="00EB6FDF">
        <w:rPr>
          <w:b/>
          <w:bCs/>
          <w:i w:val="0"/>
          <w:iCs w:val="0"/>
          <w:color w:val="auto"/>
          <w:sz w:val="26"/>
          <w:szCs w:val="26"/>
        </w:rPr>
        <w:t>: Baseline Sales Forecast by EDC from June 1, 2009 to May 31, 2010</w:t>
      </w:r>
    </w:p>
    <w:tbl>
      <w:tblPr>
        <w:tblStyle w:val="List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970"/>
      </w:tblGrid>
      <w:tr w:rsidR="00BC3AC0" w14:paraId="7FDF35FD" w14:textId="77777777" w:rsidTr="0003224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965" w:type="dxa"/>
            <w:tcBorders>
              <w:right w:val="single" w:sz="4" w:space="0" w:color="FFFFFF" w:themeColor="background1"/>
            </w:tcBorders>
            <w:vAlign w:val="center"/>
          </w:tcPr>
          <w:p w14:paraId="275B06F9" w14:textId="77777777" w:rsidR="00BC3AC0" w:rsidRPr="0003224F" w:rsidRDefault="00BC3AC0" w:rsidP="0003224F">
            <w:pPr>
              <w:tabs>
                <w:tab w:val="left" w:pos="204"/>
              </w:tabs>
              <w:autoSpaceDE w:val="0"/>
              <w:autoSpaceDN w:val="0"/>
              <w:adjustRightInd w:val="0"/>
              <w:spacing w:line="360" w:lineRule="auto"/>
            </w:pPr>
            <w:r w:rsidRPr="0003224F">
              <w:t>EDC</w:t>
            </w:r>
          </w:p>
        </w:tc>
        <w:tc>
          <w:tcPr>
            <w:tcW w:w="2970" w:type="dxa"/>
            <w:tcBorders>
              <w:left w:val="single" w:sz="4" w:space="0" w:color="FFFFFF" w:themeColor="background1"/>
            </w:tcBorders>
            <w:vAlign w:val="center"/>
          </w:tcPr>
          <w:p w14:paraId="6A274717" w14:textId="77777777" w:rsidR="00BC3AC0" w:rsidRPr="0003224F" w:rsidRDefault="00BC3AC0" w:rsidP="003D03F9">
            <w:pPr>
              <w:tabs>
                <w:tab w:val="left" w:pos="204"/>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pPr>
            <w:r w:rsidRPr="0003224F">
              <w:t>MWh</w:t>
            </w:r>
          </w:p>
        </w:tc>
      </w:tr>
      <w:tr w:rsidR="00FE5160" w14:paraId="616562C8" w14:textId="77777777" w:rsidTr="0003224F">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312715AF" w14:textId="52EDC5DC" w:rsidR="00FE5160" w:rsidRPr="0003224F" w:rsidRDefault="00FE5160" w:rsidP="0003224F">
            <w:pPr>
              <w:tabs>
                <w:tab w:val="left" w:pos="204"/>
              </w:tabs>
              <w:autoSpaceDE w:val="0"/>
              <w:autoSpaceDN w:val="0"/>
              <w:adjustRightInd w:val="0"/>
              <w:spacing w:line="360" w:lineRule="auto"/>
              <w:rPr>
                <w:b w:val="0"/>
                <w:bCs w:val="0"/>
              </w:rPr>
            </w:pPr>
            <w:r w:rsidRPr="0003224F">
              <w:rPr>
                <w:b w:val="0"/>
                <w:bCs w:val="0"/>
              </w:rPr>
              <w:t>Duquesne Light</w:t>
            </w:r>
          </w:p>
        </w:tc>
        <w:tc>
          <w:tcPr>
            <w:tcW w:w="2970" w:type="dxa"/>
            <w:vAlign w:val="center"/>
          </w:tcPr>
          <w:p w14:paraId="4377AE45" w14:textId="6AD5DA6C" w:rsidR="00FE5160" w:rsidRPr="0003224F" w:rsidRDefault="00FE5160" w:rsidP="0003224F">
            <w:pPr>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03224F">
              <w:t>14,085,512</w:t>
            </w:r>
          </w:p>
        </w:tc>
      </w:tr>
      <w:tr w:rsidR="005D3434" w14:paraId="7AE9B203" w14:textId="77777777" w:rsidTr="0003224F">
        <w:trPr>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1671D87E" w14:textId="1CBFFC8D" w:rsidR="005D3434" w:rsidRPr="0003224F" w:rsidRDefault="005D3434" w:rsidP="005D3434">
            <w:pPr>
              <w:tabs>
                <w:tab w:val="left" w:pos="204"/>
              </w:tabs>
              <w:autoSpaceDE w:val="0"/>
              <w:autoSpaceDN w:val="0"/>
              <w:adjustRightInd w:val="0"/>
              <w:spacing w:line="360" w:lineRule="auto"/>
            </w:pPr>
            <w:r w:rsidRPr="0003224F">
              <w:rPr>
                <w:b w:val="0"/>
              </w:rPr>
              <w:t>PECO</w:t>
            </w:r>
          </w:p>
        </w:tc>
        <w:tc>
          <w:tcPr>
            <w:tcW w:w="2970" w:type="dxa"/>
            <w:vAlign w:val="center"/>
          </w:tcPr>
          <w:p w14:paraId="288B1678" w14:textId="0C4869B1" w:rsidR="005D3434" w:rsidRPr="0003224F" w:rsidRDefault="005D3434" w:rsidP="005D3434">
            <w:pPr>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03224F">
              <w:t>39,386,000</w:t>
            </w:r>
          </w:p>
        </w:tc>
      </w:tr>
      <w:tr w:rsidR="005D3434" w14:paraId="716042FA" w14:textId="77777777" w:rsidTr="000322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098B8B12" w14:textId="77777777" w:rsidR="005D3434" w:rsidRPr="0003224F" w:rsidRDefault="005D3434" w:rsidP="005D3434">
            <w:pPr>
              <w:tabs>
                <w:tab w:val="left" w:pos="204"/>
              </w:tabs>
              <w:autoSpaceDE w:val="0"/>
              <w:autoSpaceDN w:val="0"/>
              <w:adjustRightInd w:val="0"/>
              <w:spacing w:line="360" w:lineRule="auto"/>
              <w:rPr>
                <w:b w:val="0"/>
                <w:bCs w:val="0"/>
              </w:rPr>
            </w:pPr>
            <w:r w:rsidRPr="0003224F">
              <w:rPr>
                <w:b w:val="0"/>
                <w:bCs w:val="0"/>
              </w:rPr>
              <w:t>PPL</w:t>
            </w:r>
          </w:p>
        </w:tc>
        <w:tc>
          <w:tcPr>
            <w:tcW w:w="2970" w:type="dxa"/>
            <w:vAlign w:val="center"/>
          </w:tcPr>
          <w:p w14:paraId="4962E10B" w14:textId="77777777" w:rsidR="005D3434" w:rsidRPr="0003224F" w:rsidRDefault="005D3434" w:rsidP="005D3434">
            <w:pPr>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03224F">
              <w:t>38,214,368</w:t>
            </w:r>
          </w:p>
        </w:tc>
      </w:tr>
      <w:tr w:rsidR="005D3434" w14:paraId="7F7D45AD" w14:textId="77777777" w:rsidTr="0003224F">
        <w:trPr>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1DA50FAB" w14:textId="77777777" w:rsidR="005D3434" w:rsidRPr="0003224F" w:rsidRDefault="005D3434" w:rsidP="005D3434">
            <w:pPr>
              <w:tabs>
                <w:tab w:val="left" w:pos="204"/>
              </w:tabs>
              <w:autoSpaceDE w:val="0"/>
              <w:autoSpaceDN w:val="0"/>
              <w:adjustRightInd w:val="0"/>
              <w:spacing w:line="360" w:lineRule="auto"/>
              <w:rPr>
                <w:b w:val="0"/>
                <w:bCs w:val="0"/>
              </w:rPr>
            </w:pPr>
            <w:r w:rsidRPr="0003224F">
              <w:rPr>
                <w:b w:val="0"/>
                <w:bCs w:val="0"/>
              </w:rPr>
              <w:t>FE: Met-Ed</w:t>
            </w:r>
          </w:p>
        </w:tc>
        <w:tc>
          <w:tcPr>
            <w:tcW w:w="2970" w:type="dxa"/>
            <w:vAlign w:val="center"/>
          </w:tcPr>
          <w:p w14:paraId="6056DD86" w14:textId="77777777" w:rsidR="005D3434" w:rsidRPr="0003224F" w:rsidRDefault="005D3434" w:rsidP="005D3434">
            <w:pPr>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03224F">
              <w:t>14,865,036</w:t>
            </w:r>
          </w:p>
        </w:tc>
      </w:tr>
      <w:tr w:rsidR="005D3434" w14:paraId="14F84F65" w14:textId="77777777" w:rsidTr="000322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03E7028D" w14:textId="77777777" w:rsidR="005D3434" w:rsidRPr="0003224F" w:rsidRDefault="005D3434" w:rsidP="005D3434">
            <w:pPr>
              <w:tabs>
                <w:tab w:val="left" w:pos="204"/>
              </w:tabs>
              <w:autoSpaceDE w:val="0"/>
              <w:autoSpaceDN w:val="0"/>
              <w:adjustRightInd w:val="0"/>
              <w:spacing w:line="360" w:lineRule="auto"/>
              <w:rPr>
                <w:b w:val="0"/>
                <w:bCs w:val="0"/>
              </w:rPr>
            </w:pPr>
            <w:r w:rsidRPr="0003224F">
              <w:rPr>
                <w:b w:val="0"/>
                <w:bCs w:val="0"/>
              </w:rPr>
              <w:t>FE: Penelec</w:t>
            </w:r>
          </w:p>
        </w:tc>
        <w:tc>
          <w:tcPr>
            <w:tcW w:w="2970" w:type="dxa"/>
            <w:vAlign w:val="center"/>
          </w:tcPr>
          <w:p w14:paraId="505982B6" w14:textId="77777777" w:rsidR="005D3434" w:rsidRPr="0003224F" w:rsidRDefault="005D3434" w:rsidP="005D3434">
            <w:pPr>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03224F">
              <w:t>14,399,289</w:t>
            </w:r>
          </w:p>
        </w:tc>
      </w:tr>
      <w:tr w:rsidR="005D3434" w14:paraId="153538CC" w14:textId="77777777" w:rsidTr="0003224F">
        <w:trPr>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150A8FEA" w14:textId="77777777" w:rsidR="005D3434" w:rsidRPr="0003224F" w:rsidRDefault="005D3434" w:rsidP="005D3434">
            <w:pPr>
              <w:tabs>
                <w:tab w:val="left" w:pos="204"/>
              </w:tabs>
              <w:autoSpaceDE w:val="0"/>
              <w:autoSpaceDN w:val="0"/>
              <w:adjustRightInd w:val="0"/>
              <w:spacing w:line="360" w:lineRule="auto"/>
              <w:rPr>
                <w:b w:val="0"/>
                <w:bCs w:val="0"/>
              </w:rPr>
            </w:pPr>
            <w:r w:rsidRPr="0003224F">
              <w:rPr>
                <w:b w:val="0"/>
                <w:bCs w:val="0"/>
              </w:rPr>
              <w:t>FE: Penn Power</w:t>
            </w:r>
          </w:p>
        </w:tc>
        <w:tc>
          <w:tcPr>
            <w:tcW w:w="2970" w:type="dxa"/>
            <w:vAlign w:val="center"/>
          </w:tcPr>
          <w:p w14:paraId="513FBCA7" w14:textId="77777777" w:rsidR="005D3434" w:rsidRPr="0003224F" w:rsidRDefault="005D3434" w:rsidP="005D3434">
            <w:pPr>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03224F">
              <w:t>4,772,937</w:t>
            </w:r>
          </w:p>
        </w:tc>
      </w:tr>
      <w:tr w:rsidR="005D3434" w14:paraId="2F060B65" w14:textId="77777777" w:rsidTr="000322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35D0B3B1" w14:textId="77777777" w:rsidR="005D3434" w:rsidRPr="0003224F" w:rsidRDefault="005D3434" w:rsidP="005D3434">
            <w:pPr>
              <w:tabs>
                <w:tab w:val="left" w:pos="204"/>
              </w:tabs>
              <w:autoSpaceDE w:val="0"/>
              <w:autoSpaceDN w:val="0"/>
              <w:adjustRightInd w:val="0"/>
              <w:spacing w:line="360" w:lineRule="auto"/>
              <w:rPr>
                <w:b w:val="0"/>
                <w:bCs w:val="0"/>
              </w:rPr>
            </w:pPr>
            <w:r w:rsidRPr="0003224F">
              <w:rPr>
                <w:b w:val="0"/>
                <w:bCs w:val="0"/>
              </w:rPr>
              <w:t>FE: West Penn Power</w:t>
            </w:r>
          </w:p>
        </w:tc>
        <w:tc>
          <w:tcPr>
            <w:tcW w:w="2970" w:type="dxa"/>
            <w:vAlign w:val="center"/>
          </w:tcPr>
          <w:p w14:paraId="228A4F04" w14:textId="77777777" w:rsidR="005D3434" w:rsidRPr="0003224F" w:rsidRDefault="005D3434" w:rsidP="005D3434">
            <w:pPr>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03224F">
              <w:t>20,938,650</w:t>
            </w:r>
          </w:p>
        </w:tc>
      </w:tr>
      <w:tr w:rsidR="005D3434" w14:paraId="03031A47" w14:textId="77777777" w:rsidTr="0003224F">
        <w:trPr>
          <w:jc w:val="center"/>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15EFEB59" w14:textId="77777777" w:rsidR="005D3434" w:rsidRPr="0003224F" w:rsidRDefault="005D3434" w:rsidP="005D3434">
            <w:pPr>
              <w:tabs>
                <w:tab w:val="left" w:pos="204"/>
              </w:tabs>
              <w:autoSpaceDE w:val="0"/>
              <w:autoSpaceDN w:val="0"/>
              <w:adjustRightInd w:val="0"/>
              <w:spacing w:line="360" w:lineRule="auto"/>
            </w:pPr>
            <w:r w:rsidRPr="0003224F">
              <w:t>Statewide</w:t>
            </w:r>
          </w:p>
        </w:tc>
        <w:tc>
          <w:tcPr>
            <w:tcW w:w="2970" w:type="dxa"/>
            <w:vAlign w:val="center"/>
          </w:tcPr>
          <w:p w14:paraId="30247E04" w14:textId="77777777" w:rsidR="005D3434" w:rsidRPr="0003224F" w:rsidRDefault="005D3434" w:rsidP="005D3434">
            <w:pPr>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rPr>
            </w:pPr>
            <w:r w:rsidRPr="0003224F">
              <w:rPr>
                <w:b/>
                <w:bCs/>
              </w:rPr>
              <w:t>146,661,792</w:t>
            </w:r>
          </w:p>
        </w:tc>
      </w:tr>
    </w:tbl>
    <w:p w14:paraId="5167551F" w14:textId="2B1DAD59" w:rsidR="00BC3AC0" w:rsidRPr="00D429C8" w:rsidRDefault="00E47DB2" w:rsidP="00C821DF">
      <w:pPr>
        <w:pStyle w:val="Heading4"/>
        <w:spacing w:before="480"/>
      </w:pPr>
      <w:r>
        <w:lastRenderedPageBreak/>
        <w:t xml:space="preserve">Proposed </w:t>
      </w:r>
      <w:r w:rsidR="00BA658D">
        <w:t xml:space="preserve">Consumption </w:t>
      </w:r>
      <w:r w:rsidR="00BC3AC0" w:rsidRPr="00D429C8">
        <w:t>Reduction Targets</w:t>
      </w:r>
    </w:p>
    <w:p w14:paraId="22A8909C" w14:textId="2B39B804" w:rsidR="00F77759" w:rsidRDefault="00BC3AC0" w:rsidP="3792F7D5">
      <w:pPr>
        <w:tabs>
          <w:tab w:val="left" w:pos="204"/>
        </w:tabs>
        <w:autoSpaceDE w:val="0"/>
        <w:autoSpaceDN w:val="0"/>
        <w:adjustRightInd w:val="0"/>
        <w:spacing w:line="360" w:lineRule="auto"/>
        <w:ind w:firstLine="720"/>
        <w:rPr>
          <w:sz w:val="26"/>
          <w:szCs w:val="26"/>
        </w:rPr>
      </w:pPr>
      <w:r w:rsidRPr="00154D8F">
        <w:rPr>
          <w:sz w:val="26"/>
          <w:szCs w:val="26"/>
        </w:rPr>
        <w:t>Regarding the consumption reduction targets, the Commission proposes to adopt a five-year consumption reduction requirement for each EDC for Phase IV that is based on the 2009</w:t>
      </w:r>
      <w:r w:rsidR="00D7542D">
        <w:rPr>
          <w:sz w:val="26"/>
          <w:szCs w:val="26"/>
        </w:rPr>
        <w:noBreakHyphen/>
      </w:r>
      <w:r w:rsidRPr="00154D8F">
        <w:rPr>
          <w:sz w:val="26"/>
          <w:szCs w:val="26"/>
        </w:rPr>
        <w:t xml:space="preserve">2010 energy forecasts previously discussed.  </w:t>
      </w:r>
      <w:r w:rsidR="0E317134" w:rsidRPr="001717D6">
        <w:rPr>
          <w:sz w:val="26"/>
          <w:szCs w:val="26"/>
        </w:rPr>
        <w:t xml:space="preserve">We propose to adopt the five-year consumption reduction requirements as </w:t>
      </w:r>
      <w:r w:rsidR="0E317134">
        <w:rPr>
          <w:sz w:val="26"/>
          <w:szCs w:val="26"/>
        </w:rPr>
        <w:t>presented in</w:t>
      </w:r>
      <w:r w:rsidR="00F85AB7">
        <w:rPr>
          <w:sz w:val="26"/>
          <w:szCs w:val="26"/>
        </w:rPr>
        <w:t xml:space="preserve"> </w:t>
      </w:r>
      <w:r w:rsidR="00CE396C" w:rsidRPr="001C4984">
        <w:rPr>
          <w:sz w:val="26"/>
          <w:szCs w:val="26"/>
        </w:rPr>
        <w:fldChar w:fldCharType="begin"/>
      </w:r>
      <w:r w:rsidR="00CE396C" w:rsidRPr="001C4984">
        <w:rPr>
          <w:sz w:val="26"/>
          <w:szCs w:val="26"/>
        </w:rPr>
        <w:instrText xml:space="preserve"> REF _Ref32318785 \h  \* MERGEFORMAT </w:instrText>
      </w:r>
      <w:r w:rsidR="00CE396C" w:rsidRPr="001C4984">
        <w:rPr>
          <w:sz w:val="26"/>
          <w:szCs w:val="26"/>
        </w:rPr>
      </w:r>
      <w:r w:rsidR="00CE396C" w:rsidRPr="001C4984">
        <w:rPr>
          <w:sz w:val="26"/>
          <w:szCs w:val="26"/>
        </w:rPr>
        <w:fldChar w:fldCharType="separate"/>
      </w:r>
      <w:r w:rsidR="00BB1E55" w:rsidRPr="00BB1E55">
        <w:rPr>
          <w:sz w:val="26"/>
          <w:szCs w:val="26"/>
        </w:rPr>
        <w:t xml:space="preserve">Table </w:t>
      </w:r>
      <w:r w:rsidR="00CE396C" w:rsidRPr="001C4984">
        <w:rPr>
          <w:sz w:val="26"/>
          <w:szCs w:val="26"/>
        </w:rPr>
        <w:fldChar w:fldCharType="end"/>
      </w:r>
      <w:r w:rsidR="00E659EC">
        <w:rPr>
          <w:sz w:val="26"/>
          <w:szCs w:val="26"/>
        </w:rPr>
        <w:t>6</w:t>
      </w:r>
      <w:r w:rsidR="00CE396C">
        <w:rPr>
          <w:sz w:val="26"/>
          <w:szCs w:val="26"/>
        </w:rPr>
        <w:t xml:space="preserve"> </w:t>
      </w:r>
      <w:r w:rsidR="0E317134" w:rsidRPr="001717D6">
        <w:rPr>
          <w:sz w:val="26"/>
          <w:szCs w:val="26"/>
        </w:rPr>
        <w:t>below</w:t>
      </w:r>
      <w:r w:rsidR="4AA611B4">
        <w:rPr>
          <w:sz w:val="26"/>
          <w:szCs w:val="26"/>
        </w:rPr>
        <w:t xml:space="preserve"> and reported in the </w:t>
      </w:r>
      <w:r w:rsidR="00C47561">
        <w:rPr>
          <w:sz w:val="26"/>
          <w:szCs w:val="26"/>
        </w:rPr>
        <w:t xml:space="preserve">EEPDR Potential </w:t>
      </w:r>
      <w:r w:rsidR="58F55CB3">
        <w:rPr>
          <w:sz w:val="26"/>
          <w:szCs w:val="26"/>
        </w:rPr>
        <w:t>Study</w:t>
      </w:r>
      <w:r w:rsidR="006464A9">
        <w:rPr>
          <w:sz w:val="26"/>
          <w:szCs w:val="26"/>
        </w:rPr>
        <w:t>.</w:t>
      </w:r>
      <w:r w:rsidR="00AC5274">
        <w:rPr>
          <w:rStyle w:val="FootnoteReference"/>
          <w:sz w:val="26"/>
          <w:szCs w:val="26"/>
        </w:rPr>
        <w:footnoteReference w:id="24"/>
      </w:r>
      <w:r w:rsidR="006464A9">
        <w:rPr>
          <w:sz w:val="26"/>
          <w:szCs w:val="26"/>
        </w:rPr>
        <w:t xml:space="preserve"> </w:t>
      </w:r>
      <w:r w:rsidR="00D7542D">
        <w:rPr>
          <w:sz w:val="26"/>
          <w:szCs w:val="26"/>
        </w:rPr>
        <w:t xml:space="preserve"> </w:t>
      </w:r>
      <w:r w:rsidR="006464A9">
        <w:rPr>
          <w:sz w:val="26"/>
          <w:szCs w:val="26"/>
        </w:rPr>
        <w:t xml:space="preserve">We note that </w:t>
      </w:r>
      <w:r w:rsidR="007D68C8">
        <w:rPr>
          <w:sz w:val="26"/>
          <w:szCs w:val="26"/>
        </w:rPr>
        <w:t>these electric</w:t>
      </w:r>
      <w:r w:rsidR="006464A9" w:rsidRPr="006464A9">
        <w:rPr>
          <w:sz w:val="26"/>
          <w:szCs w:val="26"/>
        </w:rPr>
        <w:t xml:space="preserve"> energy consumption reduction targets are </w:t>
      </w:r>
      <w:r w:rsidR="007D68C8">
        <w:rPr>
          <w:sz w:val="26"/>
          <w:szCs w:val="26"/>
        </w:rPr>
        <w:t xml:space="preserve">measured </w:t>
      </w:r>
      <w:r w:rsidR="006464A9" w:rsidRPr="006464A9">
        <w:rPr>
          <w:sz w:val="26"/>
          <w:szCs w:val="26"/>
        </w:rPr>
        <w:t xml:space="preserve">at the retail level. </w:t>
      </w:r>
      <w:r w:rsidR="00D7542D">
        <w:rPr>
          <w:sz w:val="26"/>
          <w:szCs w:val="26"/>
        </w:rPr>
        <w:t xml:space="preserve"> </w:t>
      </w:r>
      <w:r w:rsidR="006464A9" w:rsidRPr="006464A9">
        <w:rPr>
          <w:sz w:val="26"/>
          <w:szCs w:val="26"/>
        </w:rPr>
        <w:t xml:space="preserve">The energy savings </w:t>
      </w:r>
      <w:r w:rsidR="007D68C8">
        <w:rPr>
          <w:sz w:val="26"/>
          <w:szCs w:val="26"/>
        </w:rPr>
        <w:t xml:space="preserve">are to be </w:t>
      </w:r>
      <w:r w:rsidR="006464A9" w:rsidRPr="006464A9">
        <w:rPr>
          <w:sz w:val="26"/>
          <w:szCs w:val="26"/>
        </w:rPr>
        <w:t xml:space="preserve">reported to the Commission at the customer meter level without application of any line loss factor. </w:t>
      </w:r>
      <w:r w:rsidR="009F5206">
        <w:rPr>
          <w:sz w:val="26"/>
          <w:szCs w:val="26"/>
        </w:rPr>
        <w:t xml:space="preserve"> As in Phase III, the Commission proposes that </w:t>
      </w:r>
      <w:r w:rsidR="009F5206" w:rsidRPr="002B5152">
        <w:rPr>
          <w:sz w:val="26"/>
          <w:szCs w:val="26"/>
        </w:rPr>
        <w:t xml:space="preserve">EE goals be measured using </w:t>
      </w:r>
      <w:r w:rsidR="009F5206">
        <w:rPr>
          <w:sz w:val="26"/>
          <w:szCs w:val="26"/>
        </w:rPr>
        <w:t xml:space="preserve">the sum of </w:t>
      </w:r>
      <w:r w:rsidR="009F5206" w:rsidRPr="002B5152">
        <w:rPr>
          <w:sz w:val="26"/>
          <w:szCs w:val="26"/>
        </w:rPr>
        <w:t xml:space="preserve">incremental </w:t>
      </w:r>
      <w:r w:rsidR="009F5206">
        <w:rPr>
          <w:sz w:val="26"/>
          <w:szCs w:val="26"/>
        </w:rPr>
        <w:t xml:space="preserve">annual </w:t>
      </w:r>
      <w:r w:rsidR="009F5206" w:rsidRPr="002B5152">
        <w:rPr>
          <w:sz w:val="26"/>
          <w:szCs w:val="26"/>
        </w:rPr>
        <w:t>savings</w:t>
      </w:r>
      <w:r w:rsidR="009F5206">
        <w:rPr>
          <w:sz w:val="26"/>
          <w:szCs w:val="26"/>
        </w:rPr>
        <w:t xml:space="preserve">. </w:t>
      </w:r>
    </w:p>
    <w:p w14:paraId="27CDB757" w14:textId="62E48F3E" w:rsidR="65B4018D" w:rsidRDefault="65B4018D" w:rsidP="65B4018D">
      <w:pPr>
        <w:spacing w:line="360" w:lineRule="auto"/>
        <w:ind w:firstLine="720"/>
        <w:rPr>
          <w:sz w:val="26"/>
          <w:szCs w:val="26"/>
        </w:rPr>
      </w:pPr>
    </w:p>
    <w:p w14:paraId="134C6672" w14:textId="5526BD70" w:rsidR="00CE396C" w:rsidRPr="001C4984" w:rsidRDefault="00CE396C" w:rsidP="000F45BB">
      <w:pPr>
        <w:pStyle w:val="Caption"/>
        <w:keepNext/>
        <w:jc w:val="center"/>
        <w:rPr>
          <w:b/>
          <w:bCs/>
          <w:sz w:val="26"/>
          <w:szCs w:val="26"/>
        </w:rPr>
      </w:pPr>
      <w:bookmarkStart w:id="178" w:name="_Ref32318785"/>
      <w:r w:rsidRPr="001C4984">
        <w:rPr>
          <w:b/>
          <w:bCs/>
          <w:i w:val="0"/>
          <w:iCs w:val="0"/>
          <w:color w:val="auto"/>
          <w:sz w:val="26"/>
          <w:szCs w:val="26"/>
        </w:rPr>
        <w:t xml:space="preserve">Table </w:t>
      </w:r>
      <w:bookmarkEnd w:id="178"/>
      <w:r w:rsidR="00E659EC">
        <w:rPr>
          <w:b/>
          <w:bCs/>
          <w:i w:val="0"/>
          <w:iCs w:val="0"/>
          <w:color w:val="auto"/>
          <w:sz w:val="26"/>
          <w:szCs w:val="26"/>
        </w:rPr>
        <w:t>6</w:t>
      </w:r>
      <w:r w:rsidRPr="001C4984">
        <w:rPr>
          <w:b/>
          <w:bCs/>
          <w:i w:val="0"/>
          <w:iCs w:val="0"/>
          <w:color w:val="auto"/>
          <w:sz w:val="26"/>
          <w:szCs w:val="26"/>
        </w:rPr>
        <w:t>: Proposed Consumption Reduction Targets</w:t>
      </w:r>
    </w:p>
    <w:tbl>
      <w:tblPr>
        <w:tblStyle w:val="ListTable3"/>
        <w:tblW w:w="5000" w:type="pct"/>
        <w:tblLayout w:type="fixed"/>
        <w:tblLook w:val="04A0" w:firstRow="1" w:lastRow="0" w:firstColumn="1" w:lastColumn="0" w:noHBand="0" w:noVBand="1"/>
      </w:tblPr>
      <w:tblGrid>
        <w:gridCol w:w="1870"/>
        <w:gridCol w:w="1870"/>
        <w:gridCol w:w="1870"/>
        <w:gridCol w:w="1870"/>
        <w:gridCol w:w="1870"/>
      </w:tblGrid>
      <w:tr w:rsidR="00920FB1" w:rsidRPr="00C60AB1" w14:paraId="391644AD" w14:textId="48C56CC0" w:rsidTr="00D22E90">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000"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31B2C50" w14:textId="77777777" w:rsidR="00F14D98" w:rsidRPr="00154D8F" w:rsidRDefault="00F14D98">
            <w:pPr>
              <w:keepNext/>
              <w:spacing w:before="80" w:after="80"/>
              <w:jc w:val="center"/>
              <w:rPr>
                <w:bCs w:val="0"/>
              </w:rPr>
            </w:pPr>
            <w:r w:rsidRPr="00154D8F">
              <w:br w:type="page"/>
              <w:t>EDC</w:t>
            </w:r>
          </w:p>
        </w:tc>
        <w:tc>
          <w:tcPr>
            <w:tcW w:w="1000"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47FA75E" w14:textId="10E03FE0" w:rsidR="00F14D98" w:rsidRPr="00154D8F" w:rsidRDefault="00920FB1">
            <w:pPr>
              <w:keepNext/>
              <w:spacing w:before="80" w:after="80"/>
              <w:ind w:right="342"/>
              <w:jc w:val="center"/>
              <w:cnfStyle w:val="100000000000" w:firstRow="1" w:lastRow="0" w:firstColumn="0" w:lastColumn="0" w:oddVBand="0" w:evenVBand="0" w:oddHBand="0" w:evenHBand="0" w:firstRowFirstColumn="0" w:firstRowLastColumn="0" w:lastRowFirstColumn="0" w:lastRowLastColumn="0"/>
            </w:pPr>
            <w:r>
              <w:t xml:space="preserve">Acquisition Cost </w:t>
            </w:r>
            <w:r w:rsidR="00F14D98" w:rsidRPr="00154D8F">
              <w:t>($/MWh)</w:t>
            </w:r>
          </w:p>
        </w:tc>
        <w:tc>
          <w:tcPr>
            <w:tcW w:w="1000"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044A4BA" w14:textId="3912476C" w:rsidR="00F14D98" w:rsidRPr="00154D8F" w:rsidRDefault="00F14D98">
            <w:pPr>
              <w:keepNext/>
              <w:spacing w:before="80" w:after="80"/>
              <w:jc w:val="center"/>
              <w:cnfStyle w:val="100000000000" w:firstRow="1" w:lastRow="0" w:firstColumn="0" w:lastColumn="0" w:oddVBand="0" w:evenVBand="0" w:oddHBand="0" w:evenHBand="0" w:firstRowFirstColumn="0" w:firstRowLastColumn="0" w:lastRowFirstColumn="0" w:lastRowLastColumn="0"/>
            </w:pPr>
            <w:r w:rsidRPr="00154D8F">
              <w:t>Budget</w:t>
            </w:r>
          </w:p>
        </w:tc>
        <w:tc>
          <w:tcPr>
            <w:tcW w:w="1000"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37D7051" w14:textId="2A1B7730" w:rsidR="00F14D98" w:rsidRPr="00154D8F" w:rsidRDefault="009F161D">
            <w:pPr>
              <w:keepNext/>
              <w:spacing w:before="80" w:after="80"/>
              <w:jc w:val="center"/>
              <w:cnfStyle w:val="100000000000" w:firstRow="1" w:lastRow="0" w:firstColumn="0" w:lastColumn="0" w:oddVBand="0" w:evenVBand="0" w:oddHBand="0" w:evenHBand="0" w:firstRowFirstColumn="0" w:firstRowLastColumn="0" w:lastRowFirstColumn="0" w:lastRowLastColumn="0"/>
            </w:pPr>
            <w:r>
              <w:t>Phase IV</w:t>
            </w:r>
            <w:r w:rsidR="00F14D98" w:rsidRPr="00154D8F">
              <w:t xml:space="preserve"> Potential (MWh)</w:t>
            </w:r>
          </w:p>
        </w:tc>
        <w:tc>
          <w:tcPr>
            <w:tcW w:w="1000"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8E9D8E4" w14:textId="0308C8F5" w:rsidR="00F14D98" w:rsidRPr="00154D8F" w:rsidRDefault="00F14D98">
            <w:pPr>
              <w:keepNext/>
              <w:spacing w:before="80" w:after="80"/>
              <w:jc w:val="center"/>
              <w:cnfStyle w:val="100000000000" w:firstRow="1" w:lastRow="0" w:firstColumn="0" w:lastColumn="0" w:oddVBand="0" w:evenVBand="0" w:oddHBand="0" w:evenHBand="0" w:firstRowFirstColumn="0" w:firstRowLastColumn="0" w:lastRowFirstColumn="0" w:lastRowLastColumn="0"/>
            </w:pPr>
            <w:r w:rsidRPr="00154D8F">
              <w:t>Percent of 2009-2010 Reference Load</w:t>
            </w:r>
          </w:p>
        </w:tc>
      </w:tr>
      <w:tr w:rsidR="00920FB1" w:rsidRPr="00C60AB1" w14:paraId="3F237990" w14:textId="61063640" w:rsidTr="00D22E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left w:val="single" w:sz="4" w:space="0" w:color="auto"/>
              <w:bottom w:val="single" w:sz="4" w:space="0" w:color="auto"/>
              <w:right w:val="single" w:sz="4" w:space="0" w:color="auto"/>
            </w:tcBorders>
            <w:vAlign w:val="center"/>
          </w:tcPr>
          <w:p w14:paraId="26558135" w14:textId="1EA5942A" w:rsidR="00F77CAA" w:rsidRPr="00887D06" w:rsidRDefault="00F77CAA">
            <w:pPr>
              <w:keepNext/>
              <w:spacing w:before="80" w:after="80"/>
              <w:rPr>
                <w:b w:val="0"/>
                <w:bCs w:val="0"/>
                <w:sz w:val="22"/>
                <w:szCs w:val="22"/>
              </w:rPr>
            </w:pPr>
            <w:r w:rsidRPr="00887D06">
              <w:rPr>
                <w:b w:val="0"/>
                <w:bCs w:val="0"/>
                <w:sz w:val="22"/>
                <w:szCs w:val="22"/>
              </w:rPr>
              <w:t>Duquesne Light</w:t>
            </w:r>
          </w:p>
        </w:tc>
        <w:tc>
          <w:tcPr>
            <w:tcW w:w="1000" w:type="pct"/>
            <w:tcBorders>
              <w:top w:val="single" w:sz="4" w:space="0" w:color="auto"/>
              <w:left w:val="single" w:sz="4" w:space="0" w:color="auto"/>
              <w:bottom w:val="single" w:sz="4" w:space="0" w:color="auto"/>
              <w:right w:val="single" w:sz="4" w:space="0" w:color="auto"/>
            </w:tcBorders>
            <w:vAlign w:val="center"/>
          </w:tcPr>
          <w:p w14:paraId="394A985C" w14:textId="7D72D32E" w:rsidR="00F77CAA" w:rsidRPr="00154D8F" w:rsidRDefault="00F77CAA">
            <w:pPr>
              <w:keepNext/>
              <w:spacing w:before="80" w:after="80"/>
              <w:ind w:right="342"/>
              <w:jc w:val="center"/>
              <w:cnfStyle w:val="000000100000" w:firstRow="0" w:lastRow="0" w:firstColumn="0" w:lastColumn="0" w:oddVBand="0" w:evenVBand="0" w:oddHBand="1" w:evenHBand="0" w:firstRowFirstColumn="0" w:firstRowLastColumn="0" w:lastRowFirstColumn="0" w:lastRowLastColumn="0"/>
              <w:rPr>
                <w:sz w:val="22"/>
                <w:szCs w:val="22"/>
              </w:rPr>
            </w:pPr>
            <w:r w:rsidRPr="00154D8F">
              <w:rPr>
                <w:sz w:val="22"/>
                <w:szCs w:val="22"/>
              </w:rPr>
              <w:t>$281.57</w:t>
            </w:r>
          </w:p>
        </w:tc>
        <w:tc>
          <w:tcPr>
            <w:tcW w:w="1000" w:type="pct"/>
            <w:tcBorders>
              <w:top w:val="single" w:sz="4" w:space="0" w:color="auto"/>
              <w:left w:val="single" w:sz="4" w:space="0" w:color="auto"/>
              <w:bottom w:val="single" w:sz="4" w:space="0" w:color="auto"/>
              <w:right w:val="single" w:sz="4" w:space="0" w:color="auto"/>
            </w:tcBorders>
            <w:vAlign w:val="center"/>
          </w:tcPr>
          <w:p w14:paraId="7DC3CD8C" w14:textId="174480ED" w:rsidR="00F77CAA" w:rsidRPr="00154D8F" w:rsidRDefault="00F77CAA">
            <w:pPr>
              <w:keepNext/>
              <w:spacing w:before="80" w:after="80"/>
              <w:jc w:val="center"/>
              <w:cnfStyle w:val="000000100000" w:firstRow="0" w:lastRow="0" w:firstColumn="0" w:lastColumn="0" w:oddVBand="0" w:evenVBand="0" w:oddHBand="1" w:evenHBand="0" w:firstRowFirstColumn="0" w:firstRowLastColumn="0" w:lastRowFirstColumn="0" w:lastRowLastColumn="0"/>
              <w:rPr>
                <w:sz w:val="22"/>
                <w:szCs w:val="22"/>
                <w:highlight w:val="yellow"/>
              </w:rPr>
            </w:pPr>
            <w:r w:rsidRPr="00154D8F">
              <w:rPr>
                <w:sz w:val="22"/>
                <w:szCs w:val="22"/>
              </w:rPr>
              <w:t>$97,729,760</w:t>
            </w:r>
          </w:p>
        </w:tc>
        <w:tc>
          <w:tcPr>
            <w:tcW w:w="1000" w:type="pct"/>
            <w:tcBorders>
              <w:top w:val="single" w:sz="4" w:space="0" w:color="auto"/>
              <w:left w:val="single" w:sz="4" w:space="0" w:color="auto"/>
              <w:bottom w:val="single" w:sz="4" w:space="0" w:color="auto"/>
              <w:right w:val="single" w:sz="4" w:space="0" w:color="auto"/>
            </w:tcBorders>
            <w:vAlign w:val="center"/>
          </w:tcPr>
          <w:p w14:paraId="4705B5C8" w14:textId="7E8BCC5E" w:rsidR="00F77CAA" w:rsidRPr="00154D8F" w:rsidRDefault="00F77CAA">
            <w:pPr>
              <w:keepNext/>
              <w:spacing w:before="80" w:after="80"/>
              <w:jc w:val="center"/>
              <w:cnfStyle w:val="000000100000" w:firstRow="0" w:lastRow="0" w:firstColumn="0" w:lastColumn="0" w:oddVBand="0" w:evenVBand="0" w:oddHBand="1" w:evenHBand="0" w:firstRowFirstColumn="0" w:firstRowLastColumn="0" w:lastRowFirstColumn="0" w:lastRowLastColumn="0"/>
              <w:rPr>
                <w:sz w:val="22"/>
                <w:szCs w:val="22"/>
                <w:highlight w:val="yellow"/>
              </w:rPr>
            </w:pPr>
            <w:r w:rsidRPr="00154D8F">
              <w:rPr>
                <w:color w:val="000000"/>
                <w:sz w:val="22"/>
                <w:szCs w:val="22"/>
              </w:rPr>
              <w:t>347,084</w:t>
            </w:r>
          </w:p>
        </w:tc>
        <w:tc>
          <w:tcPr>
            <w:tcW w:w="1000" w:type="pct"/>
            <w:tcBorders>
              <w:top w:val="single" w:sz="4" w:space="0" w:color="auto"/>
              <w:left w:val="single" w:sz="4" w:space="0" w:color="auto"/>
              <w:bottom w:val="single" w:sz="4" w:space="0" w:color="auto"/>
              <w:right w:val="single" w:sz="4" w:space="0" w:color="auto"/>
            </w:tcBorders>
            <w:vAlign w:val="center"/>
          </w:tcPr>
          <w:p w14:paraId="465C0CB1" w14:textId="371E9B56" w:rsidR="00F77CAA" w:rsidRPr="00154D8F" w:rsidRDefault="00F77CAA">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54D8F">
              <w:rPr>
                <w:sz w:val="22"/>
                <w:szCs w:val="22"/>
              </w:rPr>
              <w:t>2.5%</w:t>
            </w:r>
          </w:p>
        </w:tc>
      </w:tr>
      <w:tr w:rsidR="005D3434" w:rsidRPr="00C60AB1" w14:paraId="7B25C04D" w14:textId="77777777" w:rsidTr="00D22E90">
        <w:trPr>
          <w:trHeight w:val="315"/>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left w:val="single" w:sz="4" w:space="0" w:color="auto"/>
              <w:bottom w:val="single" w:sz="4" w:space="0" w:color="auto"/>
              <w:right w:val="single" w:sz="4" w:space="0" w:color="auto"/>
            </w:tcBorders>
            <w:vAlign w:val="center"/>
          </w:tcPr>
          <w:p w14:paraId="5CD84AD9" w14:textId="49804057" w:rsidR="005D3434" w:rsidRPr="00887D06" w:rsidRDefault="005D3434" w:rsidP="005D3434">
            <w:pPr>
              <w:keepNext/>
              <w:spacing w:before="80" w:after="80"/>
              <w:rPr>
                <w:sz w:val="22"/>
                <w:szCs w:val="22"/>
              </w:rPr>
            </w:pPr>
            <w:r w:rsidRPr="00887D06">
              <w:rPr>
                <w:b w:val="0"/>
                <w:bCs w:val="0"/>
                <w:sz w:val="22"/>
                <w:szCs w:val="22"/>
              </w:rPr>
              <w:t>PECO</w:t>
            </w:r>
          </w:p>
        </w:tc>
        <w:tc>
          <w:tcPr>
            <w:tcW w:w="1000" w:type="pct"/>
            <w:tcBorders>
              <w:top w:val="single" w:sz="4" w:space="0" w:color="auto"/>
              <w:left w:val="single" w:sz="4" w:space="0" w:color="auto"/>
              <w:bottom w:val="single" w:sz="4" w:space="0" w:color="auto"/>
              <w:right w:val="single" w:sz="4" w:space="0" w:color="auto"/>
            </w:tcBorders>
            <w:vAlign w:val="center"/>
          </w:tcPr>
          <w:p w14:paraId="70BC4B15" w14:textId="58312278" w:rsidR="005D3434" w:rsidRPr="00154D8F" w:rsidRDefault="005D3434" w:rsidP="005D3434">
            <w:pPr>
              <w:keepNext/>
              <w:spacing w:before="80" w:after="80"/>
              <w:ind w:right="342"/>
              <w:jc w:val="center"/>
              <w:cnfStyle w:val="000000000000" w:firstRow="0" w:lastRow="0" w:firstColumn="0" w:lastColumn="0" w:oddVBand="0" w:evenVBand="0" w:oddHBand="0" w:evenHBand="0" w:firstRowFirstColumn="0" w:firstRowLastColumn="0" w:lastRowFirstColumn="0" w:lastRowLastColumn="0"/>
              <w:rPr>
                <w:sz w:val="22"/>
                <w:szCs w:val="22"/>
              </w:rPr>
            </w:pPr>
            <w:r w:rsidRPr="00154D8F">
              <w:rPr>
                <w:sz w:val="22"/>
                <w:szCs w:val="22"/>
              </w:rPr>
              <w:t>$309.51</w:t>
            </w:r>
          </w:p>
        </w:tc>
        <w:tc>
          <w:tcPr>
            <w:tcW w:w="1000" w:type="pct"/>
            <w:tcBorders>
              <w:top w:val="single" w:sz="4" w:space="0" w:color="auto"/>
              <w:left w:val="single" w:sz="4" w:space="0" w:color="auto"/>
              <w:bottom w:val="single" w:sz="4" w:space="0" w:color="auto"/>
              <w:right w:val="single" w:sz="4" w:space="0" w:color="auto"/>
            </w:tcBorders>
            <w:vAlign w:val="center"/>
          </w:tcPr>
          <w:p w14:paraId="0299662F" w14:textId="70043FC4" w:rsidR="005D3434" w:rsidRPr="00154D8F" w:rsidRDefault="005D3434" w:rsidP="005D3434">
            <w:pPr>
              <w:keepNext/>
              <w:spacing w:before="80" w:after="80"/>
              <w:jc w:val="center"/>
              <w:cnfStyle w:val="000000000000" w:firstRow="0" w:lastRow="0" w:firstColumn="0" w:lastColumn="0" w:oddVBand="0" w:evenVBand="0" w:oddHBand="0" w:evenHBand="0" w:firstRowFirstColumn="0" w:firstRowLastColumn="0" w:lastRowFirstColumn="0" w:lastRowLastColumn="0"/>
              <w:rPr>
                <w:sz w:val="22"/>
                <w:szCs w:val="22"/>
              </w:rPr>
            </w:pPr>
            <w:r w:rsidRPr="00154D8F">
              <w:rPr>
                <w:sz w:val="22"/>
                <w:szCs w:val="22"/>
              </w:rPr>
              <w:t>$427,385,830</w:t>
            </w:r>
          </w:p>
        </w:tc>
        <w:tc>
          <w:tcPr>
            <w:tcW w:w="1000" w:type="pct"/>
            <w:tcBorders>
              <w:top w:val="single" w:sz="4" w:space="0" w:color="auto"/>
              <w:left w:val="single" w:sz="4" w:space="0" w:color="auto"/>
              <w:bottom w:val="single" w:sz="4" w:space="0" w:color="auto"/>
              <w:right w:val="single" w:sz="4" w:space="0" w:color="auto"/>
            </w:tcBorders>
            <w:vAlign w:val="center"/>
          </w:tcPr>
          <w:p w14:paraId="51F1CECC" w14:textId="6E0F2ACD" w:rsidR="005D3434" w:rsidRPr="00154D8F" w:rsidRDefault="005D3434" w:rsidP="005D3434">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54D8F">
              <w:rPr>
                <w:color w:val="000000"/>
                <w:sz w:val="22"/>
                <w:szCs w:val="22"/>
              </w:rPr>
              <w:t>1,380,837</w:t>
            </w:r>
          </w:p>
        </w:tc>
        <w:tc>
          <w:tcPr>
            <w:tcW w:w="1000" w:type="pct"/>
            <w:tcBorders>
              <w:top w:val="single" w:sz="4" w:space="0" w:color="auto"/>
              <w:left w:val="single" w:sz="4" w:space="0" w:color="auto"/>
              <w:bottom w:val="single" w:sz="4" w:space="0" w:color="auto"/>
              <w:right w:val="single" w:sz="4" w:space="0" w:color="auto"/>
            </w:tcBorders>
            <w:vAlign w:val="center"/>
          </w:tcPr>
          <w:p w14:paraId="44974B04" w14:textId="56E9EA31" w:rsidR="005D3434" w:rsidRPr="00154D8F" w:rsidRDefault="005D3434" w:rsidP="005D3434">
            <w:pPr>
              <w:keepNext/>
              <w:spacing w:before="80" w:after="80"/>
              <w:jc w:val="center"/>
              <w:cnfStyle w:val="000000000000" w:firstRow="0" w:lastRow="0" w:firstColumn="0" w:lastColumn="0" w:oddVBand="0" w:evenVBand="0" w:oddHBand="0" w:evenHBand="0" w:firstRowFirstColumn="0" w:firstRowLastColumn="0" w:lastRowFirstColumn="0" w:lastRowLastColumn="0"/>
              <w:rPr>
                <w:sz w:val="22"/>
                <w:szCs w:val="22"/>
              </w:rPr>
            </w:pPr>
            <w:r w:rsidRPr="00154D8F">
              <w:rPr>
                <w:sz w:val="22"/>
                <w:szCs w:val="22"/>
              </w:rPr>
              <w:t>3.5%</w:t>
            </w:r>
          </w:p>
        </w:tc>
      </w:tr>
      <w:tr w:rsidR="005D3434" w:rsidRPr="00C60AB1" w14:paraId="185C7CF5" w14:textId="3C2E7890" w:rsidTr="00D22E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left w:val="single" w:sz="4" w:space="0" w:color="auto"/>
              <w:bottom w:val="single" w:sz="4" w:space="0" w:color="auto"/>
              <w:right w:val="single" w:sz="4" w:space="0" w:color="auto"/>
            </w:tcBorders>
            <w:vAlign w:val="center"/>
          </w:tcPr>
          <w:p w14:paraId="4EFB66AC" w14:textId="77777777" w:rsidR="005D3434" w:rsidRPr="00887D06" w:rsidRDefault="005D3434" w:rsidP="005D3434">
            <w:pPr>
              <w:keepNext/>
              <w:spacing w:before="80" w:after="80"/>
              <w:rPr>
                <w:b w:val="0"/>
                <w:bCs w:val="0"/>
                <w:sz w:val="22"/>
                <w:szCs w:val="22"/>
              </w:rPr>
            </w:pPr>
            <w:r w:rsidRPr="00887D06">
              <w:rPr>
                <w:b w:val="0"/>
                <w:bCs w:val="0"/>
                <w:sz w:val="22"/>
                <w:szCs w:val="22"/>
              </w:rPr>
              <w:t>PPL</w:t>
            </w:r>
          </w:p>
        </w:tc>
        <w:tc>
          <w:tcPr>
            <w:tcW w:w="1000" w:type="pct"/>
            <w:tcBorders>
              <w:top w:val="single" w:sz="4" w:space="0" w:color="auto"/>
              <w:left w:val="single" w:sz="4" w:space="0" w:color="auto"/>
              <w:bottom w:val="single" w:sz="4" w:space="0" w:color="auto"/>
              <w:right w:val="single" w:sz="4" w:space="0" w:color="auto"/>
            </w:tcBorders>
            <w:vAlign w:val="center"/>
          </w:tcPr>
          <w:p w14:paraId="1D9EBAC4" w14:textId="79C552A0" w:rsidR="005D3434" w:rsidRPr="00154D8F" w:rsidRDefault="005D3434" w:rsidP="005D3434">
            <w:pPr>
              <w:keepNext/>
              <w:spacing w:before="80" w:after="80"/>
              <w:ind w:right="342"/>
              <w:jc w:val="center"/>
              <w:cnfStyle w:val="000000100000" w:firstRow="0" w:lastRow="0" w:firstColumn="0" w:lastColumn="0" w:oddVBand="0" w:evenVBand="0" w:oddHBand="1" w:evenHBand="0" w:firstRowFirstColumn="0" w:firstRowLastColumn="0" w:lastRowFirstColumn="0" w:lastRowLastColumn="0"/>
              <w:rPr>
                <w:sz w:val="22"/>
                <w:szCs w:val="22"/>
              </w:rPr>
            </w:pPr>
            <w:r w:rsidRPr="00154D8F">
              <w:rPr>
                <w:sz w:val="22"/>
                <w:szCs w:val="22"/>
              </w:rPr>
              <w:t>$245.97</w:t>
            </w:r>
          </w:p>
        </w:tc>
        <w:tc>
          <w:tcPr>
            <w:tcW w:w="1000" w:type="pct"/>
            <w:tcBorders>
              <w:top w:val="single" w:sz="4" w:space="0" w:color="auto"/>
              <w:left w:val="single" w:sz="4" w:space="0" w:color="auto"/>
              <w:bottom w:val="single" w:sz="4" w:space="0" w:color="auto"/>
              <w:right w:val="single" w:sz="4" w:space="0" w:color="auto"/>
            </w:tcBorders>
            <w:vAlign w:val="center"/>
          </w:tcPr>
          <w:p w14:paraId="6D6FA25B" w14:textId="2311C99F" w:rsidR="005D3434" w:rsidRPr="00154D8F" w:rsidRDefault="005D3434" w:rsidP="005D3434">
            <w:pPr>
              <w:keepNext/>
              <w:spacing w:before="80" w:after="80"/>
              <w:jc w:val="center"/>
              <w:cnfStyle w:val="000000100000" w:firstRow="0" w:lastRow="0" w:firstColumn="0" w:lastColumn="0" w:oddVBand="0" w:evenVBand="0" w:oddHBand="1" w:evenHBand="0" w:firstRowFirstColumn="0" w:firstRowLastColumn="0" w:lastRowFirstColumn="0" w:lastRowLastColumn="0"/>
              <w:rPr>
                <w:sz w:val="22"/>
                <w:szCs w:val="22"/>
                <w:highlight w:val="yellow"/>
              </w:rPr>
            </w:pPr>
            <w:r w:rsidRPr="00154D8F">
              <w:rPr>
                <w:sz w:val="22"/>
                <w:szCs w:val="22"/>
              </w:rPr>
              <w:t>$307,506,880</w:t>
            </w:r>
          </w:p>
        </w:tc>
        <w:tc>
          <w:tcPr>
            <w:tcW w:w="1000" w:type="pct"/>
            <w:tcBorders>
              <w:top w:val="single" w:sz="4" w:space="0" w:color="auto"/>
              <w:left w:val="single" w:sz="4" w:space="0" w:color="auto"/>
              <w:bottom w:val="single" w:sz="4" w:space="0" w:color="auto"/>
              <w:right w:val="single" w:sz="4" w:space="0" w:color="auto"/>
            </w:tcBorders>
            <w:vAlign w:val="center"/>
          </w:tcPr>
          <w:p w14:paraId="6968A135" w14:textId="5E9BB297" w:rsidR="005D3434" w:rsidRPr="00154D8F" w:rsidRDefault="005D3434" w:rsidP="005D3434">
            <w:pPr>
              <w:keepNext/>
              <w:spacing w:before="80" w:after="80"/>
              <w:jc w:val="center"/>
              <w:cnfStyle w:val="000000100000" w:firstRow="0" w:lastRow="0" w:firstColumn="0" w:lastColumn="0" w:oddVBand="0" w:evenVBand="0" w:oddHBand="1" w:evenHBand="0" w:firstRowFirstColumn="0" w:firstRowLastColumn="0" w:lastRowFirstColumn="0" w:lastRowLastColumn="0"/>
              <w:rPr>
                <w:sz w:val="22"/>
                <w:szCs w:val="22"/>
                <w:highlight w:val="yellow"/>
              </w:rPr>
            </w:pPr>
            <w:r w:rsidRPr="00154D8F">
              <w:rPr>
                <w:color w:val="000000"/>
                <w:sz w:val="22"/>
                <w:szCs w:val="22"/>
              </w:rPr>
              <w:t>1,250,157</w:t>
            </w:r>
          </w:p>
        </w:tc>
        <w:tc>
          <w:tcPr>
            <w:tcW w:w="1000" w:type="pct"/>
            <w:tcBorders>
              <w:top w:val="single" w:sz="4" w:space="0" w:color="auto"/>
              <w:left w:val="single" w:sz="4" w:space="0" w:color="auto"/>
              <w:bottom w:val="single" w:sz="4" w:space="0" w:color="auto"/>
              <w:right w:val="single" w:sz="4" w:space="0" w:color="auto"/>
            </w:tcBorders>
            <w:vAlign w:val="center"/>
          </w:tcPr>
          <w:p w14:paraId="5DD3F5AA" w14:textId="2C39FB00" w:rsidR="005D3434" w:rsidRPr="00154D8F" w:rsidRDefault="005D3434" w:rsidP="005D3434">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54D8F">
              <w:rPr>
                <w:sz w:val="22"/>
                <w:szCs w:val="22"/>
              </w:rPr>
              <w:t>3.3%</w:t>
            </w:r>
          </w:p>
        </w:tc>
      </w:tr>
      <w:tr w:rsidR="005D3434" w:rsidRPr="00C60AB1" w14:paraId="7CC8A374" w14:textId="4B421C86" w:rsidTr="00D22E90">
        <w:trPr>
          <w:trHeight w:val="315"/>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left w:val="single" w:sz="4" w:space="0" w:color="auto"/>
              <w:bottom w:val="single" w:sz="4" w:space="0" w:color="auto"/>
              <w:right w:val="single" w:sz="4" w:space="0" w:color="auto"/>
            </w:tcBorders>
            <w:vAlign w:val="center"/>
          </w:tcPr>
          <w:p w14:paraId="16ED552F" w14:textId="77777777" w:rsidR="005D3434" w:rsidRPr="00887D06" w:rsidRDefault="005D3434" w:rsidP="005D3434">
            <w:pPr>
              <w:keepNext/>
              <w:spacing w:before="80" w:after="80"/>
              <w:rPr>
                <w:b w:val="0"/>
                <w:bCs w:val="0"/>
                <w:sz w:val="22"/>
                <w:szCs w:val="22"/>
              </w:rPr>
            </w:pPr>
            <w:r w:rsidRPr="00887D06">
              <w:rPr>
                <w:b w:val="0"/>
                <w:bCs w:val="0"/>
                <w:sz w:val="22"/>
                <w:szCs w:val="22"/>
              </w:rPr>
              <w:t>FE: Met-</w:t>
            </w:r>
            <w:r w:rsidRPr="00887D06" w:rsidDel="00EC2C30">
              <w:rPr>
                <w:b w:val="0"/>
                <w:bCs w:val="0"/>
                <w:sz w:val="22"/>
                <w:szCs w:val="22"/>
              </w:rPr>
              <w:t>Ed</w:t>
            </w:r>
          </w:p>
        </w:tc>
        <w:tc>
          <w:tcPr>
            <w:tcW w:w="1000" w:type="pct"/>
            <w:tcBorders>
              <w:top w:val="single" w:sz="4" w:space="0" w:color="auto"/>
              <w:left w:val="single" w:sz="4" w:space="0" w:color="auto"/>
              <w:bottom w:val="single" w:sz="4" w:space="0" w:color="auto"/>
              <w:right w:val="single" w:sz="4" w:space="0" w:color="auto"/>
            </w:tcBorders>
            <w:vAlign w:val="center"/>
          </w:tcPr>
          <w:p w14:paraId="29E9B7FA" w14:textId="6AF66974" w:rsidR="005D3434" w:rsidRPr="00154D8F" w:rsidRDefault="005D3434" w:rsidP="005D3434">
            <w:pPr>
              <w:keepNext/>
              <w:spacing w:before="80" w:after="80"/>
              <w:ind w:right="342"/>
              <w:jc w:val="center"/>
              <w:cnfStyle w:val="000000000000" w:firstRow="0" w:lastRow="0" w:firstColumn="0" w:lastColumn="0" w:oddVBand="0" w:evenVBand="0" w:oddHBand="0" w:evenHBand="0" w:firstRowFirstColumn="0" w:firstRowLastColumn="0" w:lastRowFirstColumn="0" w:lastRowLastColumn="0"/>
              <w:rPr>
                <w:sz w:val="22"/>
                <w:szCs w:val="22"/>
              </w:rPr>
            </w:pPr>
            <w:r w:rsidRPr="00154D8F">
              <w:rPr>
                <w:sz w:val="22"/>
                <w:szCs w:val="22"/>
              </w:rPr>
              <w:t>$268.42</w:t>
            </w:r>
          </w:p>
        </w:tc>
        <w:tc>
          <w:tcPr>
            <w:tcW w:w="1000" w:type="pct"/>
            <w:tcBorders>
              <w:top w:val="single" w:sz="4" w:space="0" w:color="auto"/>
              <w:left w:val="single" w:sz="4" w:space="0" w:color="auto"/>
              <w:bottom w:val="single" w:sz="4" w:space="0" w:color="auto"/>
              <w:right w:val="single" w:sz="4" w:space="0" w:color="auto"/>
            </w:tcBorders>
            <w:vAlign w:val="center"/>
          </w:tcPr>
          <w:p w14:paraId="0643CBBD" w14:textId="26883985" w:rsidR="005D3434" w:rsidRPr="00154D8F" w:rsidRDefault="005D3434" w:rsidP="005D3434">
            <w:pPr>
              <w:keepNext/>
              <w:spacing w:before="80" w:after="80"/>
              <w:jc w:val="center"/>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154D8F">
              <w:rPr>
                <w:sz w:val="22"/>
                <w:szCs w:val="22"/>
              </w:rPr>
              <w:t>$124,334,470</w:t>
            </w:r>
          </w:p>
        </w:tc>
        <w:tc>
          <w:tcPr>
            <w:tcW w:w="1000" w:type="pct"/>
            <w:tcBorders>
              <w:top w:val="single" w:sz="4" w:space="0" w:color="auto"/>
              <w:left w:val="single" w:sz="4" w:space="0" w:color="auto"/>
              <w:bottom w:val="single" w:sz="4" w:space="0" w:color="auto"/>
              <w:right w:val="single" w:sz="4" w:space="0" w:color="auto"/>
            </w:tcBorders>
            <w:vAlign w:val="center"/>
          </w:tcPr>
          <w:p w14:paraId="56AE009D" w14:textId="4450EC84" w:rsidR="005D3434" w:rsidRPr="00154D8F" w:rsidRDefault="005D3434" w:rsidP="005D3434">
            <w:pPr>
              <w:keepNext/>
              <w:spacing w:before="80" w:after="80"/>
              <w:jc w:val="center"/>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154D8F">
              <w:rPr>
                <w:color w:val="000000"/>
                <w:sz w:val="22"/>
                <w:szCs w:val="22"/>
              </w:rPr>
              <w:t>463,215</w:t>
            </w:r>
          </w:p>
        </w:tc>
        <w:tc>
          <w:tcPr>
            <w:tcW w:w="1000" w:type="pct"/>
            <w:tcBorders>
              <w:top w:val="single" w:sz="4" w:space="0" w:color="auto"/>
              <w:left w:val="single" w:sz="4" w:space="0" w:color="auto"/>
              <w:bottom w:val="single" w:sz="4" w:space="0" w:color="auto"/>
              <w:right w:val="single" w:sz="4" w:space="0" w:color="auto"/>
            </w:tcBorders>
            <w:vAlign w:val="center"/>
          </w:tcPr>
          <w:p w14:paraId="424D0F6E" w14:textId="20483B4B" w:rsidR="005D3434" w:rsidRPr="00154D8F" w:rsidRDefault="005D3434" w:rsidP="005D3434">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54D8F">
              <w:rPr>
                <w:sz w:val="22"/>
                <w:szCs w:val="22"/>
              </w:rPr>
              <w:t>3.1%</w:t>
            </w:r>
          </w:p>
        </w:tc>
      </w:tr>
      <w:tr w:rsidR="005D3434" w:rsidRPr="00C60AB1" w14:paraId="0A76B536" w14:textId="0DE74A31" w:rsidTr="00D22E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left w:val="single" w:sz="4" w:space="0" w:color="auto"/>
              <w:bottom w:val="single" w:sz="4" w:space="0" w:color="auto"/>
              <w:right w:val="single" w:sz="4" w:space="0" w:color="auto"/>
            </w:tcBorders>
            <w:vAlign w:val="center"/>
            <w:hideMark/>
          </w:tcPr>
          <w:p w14:paraId="38338E41" w14:textId="77777777" w:rsidR="005D3434" w:rsidRPr="00887D06" w:rsidRDefault="005D3434" w:rsidP="005D3434">
            <w:pPr>
              <w:keepNext/>
              <w:spacing w:before="80" w:after="80"/>
              <w:rPr>
                <w:b w:val="0"/>
                <w:bCs w:val="0"/>
                <w:sz w:val="22"/>
                <w:szCs w:val="22"/>
              </w:rPr>
            </w:pPr>
            <w:r w:rsidRPr="00887D06">
              <w:rPr>
                <w:b w:val="0"/>
                <w:bCs w:val="0"/>
                <w:sz w:val="22"/>
                <w:szCs w:val="22"/>
              </w:rPr>
              <w:t>FE: Penelec</w:t>
            </w:r>
          </w:p>
        </w:tc>
        <w:tc>
          <w:tcPr>
            <w:tcW w:w="1000" w:type="pct"/>
            <w:tcBorders>
              <w:top w:val="single" w:sz="4" w:space="0" w:color="auto"/>
              <w:left w:val="single" w:sz="4" w:space="0" w:color="auto"/>
              <w:bottom w:val="single" w:sz="4" w:space="0" w:color="auto"/>
              <w:right w:val="single" w:sz="4" w:space="0" w:color="auto"/>
            </w:tcBorders>
            <w:vAlign w:val="center"/>
          </w:tcPr>
          <w:p w14:paraId="2CE529DB" w14:textId="0A3865DB" w:rsidR="005D3434" w:rsidRPr="00154D8F" w:rsidRDefault="005D3434" w:rsidP="005D3434">
            <w:pPr>
              <w:keepNext/>
              <w:spacing w:before="80" w:after="80"/>
              <w:ind w:right="342"/>
              <w:jc w:val="center"/>
              <w:cnfStyle w:val="000000100000" w:firstRow="0" w:lastRow="0" w:firstColumn="0" w:lastColumn="0" w:oddVBand="0" w:evenVBand="0" w:oddHBand="1" w:evenHBand="0" w:firstRowFirstColumn="0" w:firstRowLastColumn="0" w:lastRowFirstColumn="0" w:lastRowLastColumn="0"/>
              <w:rPr>
                <w:sz w:val="22"/>
                <w:szCs w:val="22"/>
              </w:rPr>
            </w:pPr>
            <w:r w:rsidRPr="00154D8F">
              <w:rPr>
                <w:sz w:val="22"/>
                <w:szCs w:val="22"/>
              </w:rPr>
              <w:t>$262.46</w:t>
            </w:r>
          </w:p>
        </w:tc>
        <w:tc>
          <w:tcPr>
            <w:tcW w:w="1000" w:type="pct"/>
            <w:tcBorders>
              <w:top w:val="single" w:sz="4" w:space="0" w:color="auto"/>
              <w:left w:val="single" w:sz="4" w:space="0" w:color="auto"/>
              <w:bottom w:val="single" w:sz="4" w:space="0" w:color="auto"/>
              <w:right w:val="single" w:sz="4" w:space="0" w:color="auto"/>
            </w:tcBorders>
            <w:vAlign w:val="center"/>
          </w:tcPr>
          <w:p w14:paraId="6E839305" w14:textId="73A5A24B" w:rsidR="005D3434" w:rsidRPr="00154D8F" w:rsidRDefault="005D3434" w:rsidP="005D3434">
            <w:pPr>
              <w:keepNext/>
              <w:spacing w:before="80" w:after="80"/>
              <w:jc w:val="center"/>
              <w:cnfStyle w:val="000000100000" w:firstRow="0" w:lastRow="0" w:firstColumn="0" w:lastColumn="0" w:oddVBand="0" w:evenVBand="0" w:oddHBand="1" w:evenHBand="0" w:firstRowFirstColumn="0" w:firstRowLastColumn="0" w:lastRowFirstColumn="0" w:lastRowLastColumn="0"/>
              <w:rPr>
                <w:sz w:val="22"/>
                <w:szCs w:val="22"/>
                <w:highlight w:val="yellow"/>
              </w:rPr>
            </w:pPr>
            <w:r w:rsidRPr="00154D8F">
              <w:rPr>
                <w:sz w:val="22"/>
                <w:szCs w:val="22"/>
              </w:rPr>
              <w:t>$114,873,710</w:t>
            </w:r>
          </w:p>
        </w:tc>
        <w:tc>
          <w:tcPr>
            <w:tcW w:w="1000" w:type="pct"/>
            <w:tcBorders>
              <w:top w:val="single" w:sz="4" w:space="0" w:color="auto"/>
              <w:left w:val="single" w:sz="4" w:space="0" w:color="auto"/>
              <w:bottom w:val="single" w:sz="4" w:space="0" w:color="auto"/>
              <w:right w:val="single" w:sz="4" w:space="0" w:color="auto"/>
            </w:tcBorders>
            <w:vAlign w:val="center"/>
          </w:tcPr>
          <w:p w14:paraId="5C4F4EFA" w14:textId="6F8E63B5" w:rsidR="005D3434" w:rsidRPr="00154D8F" w:rsidRDefault="005D3434" w:rsidP="005D3434">
            <w:pPr>
              <w:keepNext/>
              <w:spacing w:before="80" w:after="80"/>
              <w:jc w:val="center"/>
              <w:cnfStyle w:val="000000100000" w:firstRow="0" w:lastRow="0" w:firstColumn="0" w:lastColumn="0" w:oddVBand="0" w:evenVBand="0" w:oddHBand="1" w:evenHBand="0" w:firstRowFirstColumn="0" w:firstRowLastColumn="0" w:lastRowFirstColumn="0" w:lastRowLastColumn="0"/>
              <w:rPr>
                <w:sz w:val="22"/>
                <w:szCs w:val="22"/>
                <w:highlight w:val="yellow"/>
              </w:rPr>
            </w:pPr>
            <w:r w:rsidRPr="00154D8F">
              <w:rPr>
                <w:color w:val="000000"/>
                <w:sz w:val="22"/>
                <w:szCs w:val="22"/>
              </w:rPr>
              <w:t>437,676</w:t>
            </w:r>
          </w:p>
        </w:tc>
        <w:tc>
          <w:tcPr>
            <w:tcW w:w="1000" w:type="pct"/>
            <w:tcBorders>
              <w:top w:val="single" w:sz="4" w:space="0" w:color="auto"/>
              <w:left w:val="single" w:sz="4" w:space="0" w:color="auto"/>
              <w:bottom w:val="single" w:sz="4" w:space="0" w:color="auto"/>
              <w:right w:val="single" w:sz="4" w:space="0" w:color="auto"/>
            </w:tcBorders>
            <w:vAlign w:val="center"/>
          </w:tcPr>
          <w:p w14:paraId="7D15F5AA" w14:textId="0E1771C8" w:rsidR="005D3434" w:rsidRPr="00154D8F" w:rsidRDefault="005D3434" w:rsidP="005D3434">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54D8F">
              <w:rPr>
                <w:sz w:val="22"/>
                <w:szCs w:val="22"/>
              </w:rPr>
              <w:t>3.0%</w:t>
            </w:r>
          </w:p>
        </w:tc>
      </w:tr>
      <w:tr w:rsidR="005D3434" w:rsidRPr="00C60AB1" w14:paraId="18DB26BB" w14:textId="24CD80E2" w:rsidTr="00D22E90">
        <w:trPr>
          <w:trHeight w:val="315"/>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left w:val="single" w:sz="4" w:space="0" w:color="auto"/>
              <w:bottom w:val="single" w:sz="4" w:space="0" w:color="auto"/>
              <w:right w:val="single" w:sz="4" w:space="0" w:color="auto"/>
            </w:tcBorders>
            <w:vAlign w:val="center"/>
            <w:hideMark/>
          </w:tcPr>
          <w:p w14:paraId="07129490" w14:textId="77777777" w:rsidR="005D3434" w:rsidRPr="00887D06" w:rsidRDefault="005D3434" w:rsidP="005D3434">
            <w:pPr>
              <w:keepNext/>
              <w:spacing w:before="80" w:after="80"/>
              <w:rPr>
                <w:b w:val="0"/>
                <w:bCs w:val="0"/>
                <w:sz w:val="22"/>
                <w:szCs w:val="22"/>
              </w:rPr>
            </w:pPr>
            <w:r w:rsidRPr="00887D06">
              <w:rPr>
                <w:b w:val="0"/>
                <w:bCs w:val="0"/>
                <w:sz w:val="22"/>
                <w:szCs w:val="22"/>
              </w:rPr>
              <w:t>FE: Penn Power</w:t>
            </w:r>
          </w:p>
        </w:tc>
        <w:tc>
          <w:tcPr>
            <w:tcW w:w="1000" w:type="pct"/>
            <w:tcBorders>
              <w:top w:val="single" w:sz="4" w:space="0" w:color="auto"/>
              <w:left w:val="single" w:sz="4" w:space="0" w:color="auto"/>
              <w:bottom w:val="single" w:sz="4" w:space="0" w:color="auto"/>
              <w:right w:val="single" w:sz="4" w:space="0" w:color="auto"/>
            </w:tcBorders>
            <w:vAlign w:val="center"/>
          </w:tcPr>
          <w:p w14:paraId="6EDA17C6" w14:textId="30A82673" w:rsidR="005D3434" w:rsidRPr="00154D8F" w:rsidRDefault="005D3434" w:rsidP="005D3434">
            <w:pPr>
              <w:keepNext/>
              <w:spacing w:before="80" w:after="80"/>
              <w:ind w:right="342"/>
              <w:jc w:val="center"/>
              <w:cnfStyle w:val="000000000000" w:firstRow="0" w:lastRow="0" w:firstColumn="0" w:lastColumn="0" w:oddVBand="0" w:evenVBand="0" w:oddHBand="0" w:evenHBand="0" w:firstRowFirstColumn="0" w:firstRowLastColumn="0" w:lastRowFirstColumn="0" w:lastRowLastColumn="0"/>
              <w:rPr>
                <w:sz w:val="22"/>
                <w:szCs w:val="22"/>
              </w:rPr>
            </w:pPr>
            <w:r w:rsidRPr="00154D8F">
              <w:rPr>
                <w:sz w:val="22"/>
                <w:szCs w:val="22"/>
              </w:rPr>
              <w:t>$258.31</w:t>
            </w:r>
          </w:p>
        </w:tc>
        <w:tc>
          <w:tcPr>
            <w:tcW w:w="1000" w:type="pct"/>
            <w:tcBorders>
              <w:top w:val="single" w:sz="4" w:space="0" w:color="auto"/>
              <w:left w:val="single" w:sz="4" w:space="0" w:color="auto"/>
              <w:bottom w:val="single" w:sz="4" w:space="0" w:color="auto"/>
              <w:right w:val="single" w:sz="4" w:space="0" w:color="auto"/>
            </w:tcBorders>
            <w:vAlign w:val="center"/>
          </w:tcPr>
          <w:p w14:paraId="3FCF015D" w14:textId="47D6BD0A" w:rsidR="005D3434" w:rsidRPr="00154D8F" w:rsidRDefault="005D3434" w:rsidP="005D3434">
            <w:pPr>
              <w:keepNext/>
              <w:spacing w:before="80" w:after="80"/>
              <w:jc w:val="center"/>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154D8F">
              <w:rPr>
                <w:sz w:val="22"/>
                <w:szCs w:val="22"/>
              </w:rPr>
              <w:t>$33,298,945</w:t>
            </w:r>
          </w:p>
        </w:tc>
        <w:tc>
          <w:tcPr>
            <w:tcW w:w="1000" w:type="pct"/>
            <w:tcBorders>
              <w:top w:val="single" w:sz="4" w:space="0" w:color="auto"/>
              <w:left w:val="single" w:sz="4" w:space="0" w:color="auto"/>
              <w:bottom w:val="single" w:sz="4" w:space="0" w:color="auto"/>
              <w:right w:val="single" w:sz="4" w:space="0" w:color="auto"/>
            </w:tcBorders>
            <w:vAlign w:val="center"/>
          </w:tcPr>
          <w:p w14:paraId="23C73C18" w14:textId="44941C34" w:rsidR="005D3434" w:rsidRPr="00154D8F" w:rsidRDefault="005D3434" w:rsidP="005D3434">
            <w:pPr>
              <w:keepNext/>
              <w:spacing w:before="80" w:after="80"/>
              <w:jc w:val="center"/>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154D8F">
              <w:rPr>
                <w:color w:val="000000"/>
                <w:sz w:val="22"/>
                <w:szCs w:val="22"/>
              </w:rPr>
              <w:t>128,909</w:t>
            </w:r>
          </w:p>
        </w:tc>
        <w:tc>
          <w:tcPr>
            <w:tcW w:w="1000" w:type="pct"/>
            <w:tcBorders>
              <w:top w:val="single" w:sz="4" w:space="0" w:color="auto"/>
              <w:left w:val="single" w:sz="4" w:space="0" w:color="auto"/>
              <w:bottom w:val="single" w:sz="4" w:space="0" w:color="auto"/>
              <w:right w:val="single" w:sz="4" w:space="0" w:color="auto"/>
            </w:tcBorders>
            <w:vAlign w:val="center"/>
          </w:tcPr>
          <w:p w14:paraId="7AD61BEA" w14:textId="3474CEB6" w:rsidR="005D3434" w:rsidRPr="00154D8F" w:rsidRDefault="005D3434" w:rsidP="005D3434">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54D8F">
              <w:rPr>
                <w:sz w:val="22"/>
                <w:szCs w:val="22"/>
              </w:rPr>
              <w:t>2.7%</w:t>
            </w:r>
          </w:p>
        </w:tc>
      </w:tr>
      <w:tr w:rsidR="005D3434" w:rsidRPr="00C60AB1" w14:paraId="5E91BE6C" w14:textId="2E366F7A" w:rsidTr="00D22E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left w:val="single" w:sz="4" w:space="0" w:color="auto"/>
              <w:bottom w:val="single" w:sz="4" w:space="0" w:color="auto"/>
              <w:right w:val="single" w:sz="4" w:space="0" w:color="auto"/>
            </w:tcBorders>
            <w:vAlign w:val="center"/>
          </w:tcPr>
          <w:p w14:paraId="2A69A36F" w14:textId="77777777" w:rsidR="005D3434" w:rsidRPr="00887D06" w:rsidRDefault="005D3434" w:rsidP="005D3434">
            <w:pPr>
              <w:keepNext/>
              <w:spacing w:before="80" w:after="80"/>
              <w:rPr>
                <w:b w:val="0"/>
                <w:bCs w:val="0"/>
                <w:sz w:val="22"/>
                <w:szCs w:val="22"/>
              </w:rPr>
            </w:pPr>
            <w:r w:rsidRPr="00887D06">
              <w:rPr>
                <w:b w:val="0"/>
                <w:bCs w:val="0"/>
                <w:sz w:val="22"/>
                <w:szCs w:val="22"/>
              </w:rPr>
              <w:t>FE: West Penn Power</w:t>
            </w:r>
          </w:p>
        </w:tc>
        <w:tc>
          <w:tcPr>
            <w:tcW w:w="1000" w:type="pct"/>
            <w:tcBorders>
              <w:top w:val="single" w:sz="4" w:space="0" w:color="auto"/>
              <w:left w:val="single" w:sz="4" w:space="0" w:color="auto"/>
              <w:bottom w:val="single" w:sz="4" w:space="0" w:color="auto"/>
              <w:right w:val="single" w:sz="4" w:space="0" w:color="auto"/>
            </w:tcBorders>
            <w:vAlign w:val="center"/>
          </w:tcPr>
          <w:p w14:paraId="31AFA873" w14:textId="3DD7E3D7" w:rsidR="005D3434" w:rsidRPr="00154D8F" w:rsidRDefault="005D3434" w:rsidP="005D3434">
            <w:pPr>
              <w:keepNext/>
              <w:spacing w:before="80" w:after="80"/>
              <w:ind w:right="342"/>
              <w:jc w:val="center"/>
              <w:cnfStyle w:val="000000100000" w:firstRow="0" w:lastRow="0" w:firstColumn="0" w:lastColumn="0" w:oddVBand="0" w:evenVBand="0" w:oddHBand="1" w:evenHBand="0" w:firstRowFirstColumn="0" w:firstRowLastColumn="0" w:lastRowFirstColumn="0" w:lastRowLastColumn="0"/>
              <w:rPr>
                <w:sz w:val="22"/>
                <w:szCs w:val="22"/>
              </w:rPr>
            </w:pPr>
            <w:r w:rsidRPr="00154D8F">
              <w:rPr>
                <w:sz w:val="22"/>
                <w:szCs w:val="22"/>
              </w:rPr>
              <w:t>$233.32</w:t>
            </w:r>
          </w:p>
        </w:tc>
        <w:tc>
          <w:tcPr>
            <w:tcW w:w="1000" w:type="pct"/>
            <w:tcBorders>
              <w:top w:val="single" w:sz="4" w:space="0" w:color="auto"/>
              <w:left w:val="single" w:sz="4" w:space="0" w:color="auto"/>
              <w:bottom w:val="single" w:sz="4" w:space="0" w:color="auto"/>
              <w:right w:val="single" w:sz="4" w:space="0" w:color="auto"/>
            </w:tcBorders>
            <w:vAlign w:val="center"/>
          </w:tcPr>
          <w:p w14:paraId="3ADE166D" w14:textId="5B7C36EE" w:rsidR="005D3434" w:rsidRPr="00154D8F" w:rsidRDefault="005D3434" w:rsidP="005D3434">
            <w:pPr>
              <w:keepNext/>
              <w:spacing w:before="80" w:after="80"/>
              <w:jc w:val="center"/>
              <w:cnfStyle w:val="000000100000" w:firstRow="0" w:lastRow="0" w:firstColumn="0" w:lastColumn="0" w:oddVBand="0" w:evenVBand="0" w:oddHBand="1" w:evenHBand="0" w:firstRowFirstColumn="0" w:firstRowLastColumn="0" w:lastRowFirstColumn="0" w:lastRowLastColumn="0"/>
              <w:rPr>
                <w:sz w:val="22"/>
                <w:szCs w:val="22"/>
                <w:highlight w:val="yellow"/>
              </w:rPr>
            </w:pPr>
            <w:r w:rsidRPr="00154D8F">
              <w:rPr>
                <w:sz w:val="22"/>
                <w:szCs w:val="22"/>
              </w:rPr>
              <w:t>$117,813,010</w:t>
            </w:r>
          </w:p>
        </w:tc>
        <w:tc>
          <w:tcPr>
            <w:tcW w:w="1000" w:type="pct"/>
            <w:tcBorders>
              <w:top w:val="single" w:sz="4" w:space="0" w:color="auto"/>
              <w:left w:val="single" w:sz="4" w:space="0" w:color="auto"/>
              <w:bottom w:val="single" w:sz="4" w:space="0" w:color="auto"/>
              <w:right w:val="single" w:sz="4" w:space="0" w:color="auto"/>
            </w:tcBorders>
            <w:vAlign w:val="center"/>
          </w:tcPr>
          <w:p w14:paraId="2B797535" w14:textId="010ABDB4" w:rsidR="005D3434" w:rsidRPr="00154D8F" w:rsidRDefault="005D3434" w:rsidP="005D3434">
            <w:pPr>
              <w:keepNext/>
              <w:spacing w:before="80" w:after="80"/>
              <w:jc w:val="center"/>
              <w:cnfStyle w:val="000000100000" w:firstRow="0" w:lastRow="0" w:firstColumn="0" w:lastColumn="0" w:oddVBand="0" w:evenVBand="0" w:oddHBand="1" w:evenHBand="0" w:firstRowFirstColumn="0" w:firstRowLastColumn="0" w:lastRowFirstColumn="0" w:lastRowLastColumn="0"/>
              <w:rPr>
                <w:sz w:val="22"/>
                <w:szCs w:val="22"/>
                <w:highlight w:val="yellow"/>
              </w:rPr>
            </w:pPr>
            <w:r w:rsidRPr="00154D8F">
              <w:rPr>
                <w:color w:val="000000"/>
                <w:sz w:val="22"/>
                <w:szCs w:val="22"/>
              </w:rPr>
              <w:t>504,951</w:t>
            </w:r>
          </w:p>
        </w:tc>
        <w:tc>
          <w:tcPr>
            <w:tcW w:w="1000" w:type="pct"/>
            <w:tcBorders>
              <w:top w:val="single" w:sz="4" w:space="0" w:color="auto"/>
              <w:left w:val="single" w:sz="4" w:space="0" w:color="auto"/>
              <w:bottom w:val="single" w:sz="4" w:space="0" w:color="auto"/>
              <w:right w:val="single" w:sz="4" w:space="0" w:color="auto"/>
            </w:tcBorders>
            <w:vAlign w:val="center"/>
          </w:tcPr>
          <w:p w14:paraId="795F6472" w14:textId="002AF9C8" w:rsidR="005D3434" w:rsidRPr="00154D8F" w:rsidRDefault="005D3434" w:rsidP="005D3434">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54D8F">
              <w:rPr>
                <w:sz w:val="22"/>
                <w:szCs w:val="22"/>
              </w:rPr>
              <w:t>2.4%</w:t>
            </w:r>
          </w:p>
        </w:tc>
      </w:tr>
      <w:tr w:rsidR="005D3434" w:rsidRPr="00C60AB1" w14:paraId="370C5C1F" w14:textId="65E6900D" w:rsidTr="00D22E90">
        <w:trPr>
          <w:trHeight w:val="315"/>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auto"/>
              <w:left w:val="single" w:sz="4" w:space="0" w:color="auto"/>
              <w:bottom w:val="single" w:sz="4" w:space="0" w:color="auto"/>
              <w:right w:val="single" w:sz="4" w:space="0" w:color="auto"/>
            </w:tcBorders>
            <w:vAlign w:val="center"/>
            <w:hideMark/>
          </w:tcPr>
          <w:p w14:paraId="18432C4C" w14:textId="77777777" w:rsidR="005D3434" w:rsidRPr="00154D8F" w:rsidRDefault="005D3434" w:rsidP="005D3434">
            <w:pPr>
              <w:keepNext/>
              <w:spacing w:before="80" w:after="80"/>
              <w:jc w:val="center"/>
              <w:rPr>
                <w:sz w:val="22"/>
                <w:szCs w:val="22"/>
              </w:rPr>
            </w:pPr>
            <w:r w:rsidRPr="00154D8F">
              <w:rPr>
                <w:sz w:val="22"/>
                <w:szCs w:val="22"/>
              </w:rPr>
              <w:t>Statewide</w:t>
            </w:r>
          </w:p>
        </w:tc>
        <w:tc>
          <w:tcPr>
            <w:tcW w:w="1000" w:type="pct"/>
            <w:tcBorders>
              <w:top w:val="single" w:sz="4" w:space="0" w:color="auto"/>
              <w:left w:val="single" w:sz="4" w:space="0" w:color="auto"/>
              <w:bottom w:val="single" w:sz="4" w:space="0" w:color="auto"/>
              <w:right w:val="single" w:sz="4" w:space="0" w:color="auto"/>
            </w:tcBorders>
            <w:vAlign w:val="center"/>
          </w:tcPr>
          <w:p w14:paraId="64072B23" w14:textId="1E4C95AF" w:rsidR="005D3434" w:rsidRPr="00154D8F" w:rsidRDefault="005D3434" w:rsidP="005D3434">
            <w:pPr>
              <w:keepNext/>
              <w:spacing w:before="80" w:after="80"/>
              <w:ind w:right="342"/>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154D8F">
              <w:rPr>
                <w:b/>
                <w:sz w:val="22"/>
                <w:szCs w:val="22"/>
              </w:rPr>
              <w:t>$271.01</w:t>
            </w:r>
          </w:p>
        </w:tc>
        <w:tc>
          <w:tcPr>
            <w:tcW w:w="1000" w:type="pct"/>
            <w:tcBorders>
              <w:top w:val="single" w:sz="4" w:space="0" w:color="auto"/>
              <w:left w:val="single" w:sz="4" w:space="0" w:color="auto"/>
              <w:bottom w:val="single" w:sz="4" w:space="0" w:color="auto"/>
              <w:right w:val="single" w:sz="4" w:space="0" w:color="auto"/>
            </w:tcBorders>
            <w:vAlign w:val="center"/>
          </w:tcPr>
          <w:p w14:paraId="020EBB28" w14:textId="7F60EA20" w:rsidR="005D3434" w:rsidRPr="00154D8F" w:rsidRDefault="005D3434" w:rsidP="005D3434">
            <w:pPr>
              <w:keepNext/>
              <w:spacing w:before="80" w:after="80"/>
              <w:jc w:val="center"/>
              <w:cnfStyle w:val="000000000000" w:firstRow="0" w:lastRow="0" w:firstColumn="0" w:lastColumn="0" w:oddVBand="0" w:evenVBand="0" w:oddHBand="0" w:evenHBand="0" w:firstRowFirstColumn="0" w:firstRowLastColumn="0" w:lastRowFirstColumn="0" w:lastRowLastColumn="0"/>
              <w:rPr>
                <w:b/>
                <w:sz w:val="22"/>
                <w:szCs w:val="22"/>
                <w:highlight w:val="yellow"/>
              </w:rPr>
            </w:pPr>
            <w:r w:rsidRPr="00154D8F">
              <w:rPr>
                <w:b/>
                <w:sz w:val="22"/>
                <w:szCs w:val="22"/>
              </w:rPr>
              <w:t>$1,222,942,605</w:t>
            </w:r>
          </w:p>
        </w:tc>
        <w:tc>
          <w:tcPr>
            <w:tcW w:w="1000" w:type="pct"/>
            <w:tcBorders>
              <w:top w:val="single" w:sz="4" w:space="0" w:color="auto"/>
              <w:left w:val="single" w:sz="4" w:space="0" w:color="auto"/>
              <w:bottom w:val="single" w:sz="4" w:space="0" w:color="auto"/>
              <w:right w:val="single" w:sz="4" w:space="0" w:color="auto"/>
            </w:tcBorders>
            <w:vAlign w:val="center"/>
          </w:tcPr>
          <w:p w14:paraId="36BBFB34" w14:textId="141C4875" w:rsidR="005D3434" w:rsidRPr="00154D8F" w:rsidRDefault="005D3434" w:rsidP="005D3434">
            <w:pPr>
              <w:keepNext/>
              <w:spacing w:before="80" w:after="80"/>
              <w:jc w:val="center"/>
              <w:cnfStyle w:val="000000000000" w:firstRow="0" w:lastRow="0" w:firstColumn="0" w:lastColumn="0" w:oddVBand="0" w:evenVBand="0" w:oddHBand="0" w:evenHBand="0" w:firstRowFirstColumn="0" w:firstRowLastColumn="0" w:lastRowFirstColumn="0" w:lastRowLastColumn="0"/>
              <w:rPr>
                <w:b/>
                <w:sz w:val="22"/>
                <w:szCs w:val="22"/>
                <w:highlight w:val="yellow"/>
              </w:rPr>
            </w:pPr>
            <w:r w:rsidRPr="00154D8F">
              <w:rPr>
                <w:b/>
                <w:bCs/>
                <w:color w:val="000000"/>
                <w:sz w:val="22"/>
                <w:szCs w:val="22"/>
              </w:rPr>
              <w:t>4,512,829</w:t>
            </w:r>
          </w:p>
        </w:tc>
        <w:tc>
          <w:tcPr>
            <w:tcW w:w="1000" w:type="pct"/>
            <w:tcBorders>
              <w:top w:val="single" w:sz="4" w:space="0" w:color="auto"/>
              <w:left w:val="single" w:sz="4" w:space="0" w:color="auto"/>
              <w:bottom w:val="single" w:sz="4" w:space="0" w:color="auto"/>
              <w:right w:val="single" w:sz="4" w:space="0" w:color="auto"/>
            </w:tcBorders>
            <w:vAlign w:val="center"/>
          </w:tcPr>
          <w:p w14:paraId="593142C6" w14:textId="0BBD2315" w:rsidR="005D3434" w:rsidRPr="00154D8F" w:rsidRDefault="005D3434" w:rsidP="005D3434">
            <w:pPr>
              <w:keepNext/>
              <w:spacing w:before="80" w:after="80"/>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154D8F">
              <w:rPr>
                <w:b/>
                <w:bCs/>
                <w:sz w:val="22"/>
                <w:szCs w:val="22"/>
              </w:rPr>
              <w:t>3.1%</w:t>
            </w:r>
          </w:p>
        </w:tc>
      </w:tr>
    </w:tbl>
    <w:p w14:paraId="7036E219" w14:textId="77777777" w:rsidR="008B189B" w:rsidRDefault="008B189B" w:rsidP="00FD2B97">
      <w:pPr>
        <w:pStyle w:val="p3"/>
        <w:widowControl/>
        <w:spacing w:line="360" w:lineRule="auto"/>
        <w:rPr>
          <w:szCs w:val="26"/>
        </w:rPr>
      </w:pPr>
      <w:r>
        <w:rPr>
          <w:szCs w:val="26"/>
        </w:rPr>
        <w:t xml:space="preserve">        </w:t>
      </w:r>
    </w:p>
    <w:p w14:paraId="0B889BD9" w14:textId="7A2266BF" w:rsidR="00BC3AC0" w:rsidRDefault="00BC3AC0" w:rsidP="00BC3AC0">
      <w:pPr>
        <w:pStyle w:val="Heading4"/>
      </w:pPr>
      <w:r>
        <w:t>Annual Consumption Reduction</w:t>
      </w:r>
      <w:r w:rsidR="00474A9B">
        <w:t xml:space="preserve"> Target</w:t>
      </w:r>
      <w:r>
        <w:t>s</w:t>
      </w:r>
    </w:p>
    <w:p w14:paraId="12CF91A7" w14:textId="5043FC9D" w:rsidR="00BC3AC0" w:rsidRDefault="001665F8" w:rsidP="00115A34">
      <w:pPr>
        <w:autoSpaceDE w:val="0"/>
        <w:autoSpaceDN w:val="0"/>
        <w:adjustRightInd w:val="0"/>
        <w:spacing w:line="360" w:lineRule="auto"/>
        <w:ind w:firstLine="720"/>
        <w:rPr>
          <w:sz w:val="26"/>
          <w:szCs w:val="26"/>
        </w:rPr>
      </w:pPr>
      <w:r>
        <w:rPr>
          <w:sz w:val="26"/>
          <w:szCs w:val="26"/>
        </w:rPr>
        <w:t>The Commission</w:t>
      </w:r>
      <w:r w:rsidR="00BC3AC0">
        <w:rPr>
          <w:sz w:val="26"/>
          <w:szCs w:val="26"/>
        </w:rPr>
        <w:t xml:space="preserve"> propose</w:t>
      </w:r>
      <w:r>
        <w:rPr>
          <w:sz w:val="26"/>
          <w:szCs w:val="26"/>
        </w:rPr>
        <w:t>s</w:t>
      </w:r>
      <w:r w:rsidR="00BC3AC0">
        <w:rPr>
          <w:sz w:val="26"/>
          <w:szCs w:val="26"/>
        </w:rPr>
        <w:t xml:space="preserve"> that the EDCs design their EE&amp;C Plans to achieve at least 15 percent of their consumption reduction target in each program year.  We believe 15 percent is a reasonable goal in the designing of the EE&amp;C Plans.  As in </w:t>
      </w:r>
      <w:r w:rsidR="00635D01">
        <w:rPr>
          <w:sz w:val="26"/>
          <w:szCs w:val="26"/>
        </w:rPr>
        <w:t xml:space="preserve">previous </w:t>
      </w:r>
      <w:r w:rsidR="00BC3AC0">
        <w:rPr>
          <w:sz w:val="26"/>
          <w:szCs w:val="26"/>
        </w:rPr>
        <w:lastRenderedPageBreak/>
        <w:t>Phase</w:t>
      </w:r>
      <w:r w:rsidR="004A1797">
        <w:rPr>
          <w:sz w:val="26"/>
          <w:szCs w:val="26"/>
        </w:rPr>
        <w:t>s</w:t>
      </w:r>
      <w:r w:rsidR="00BC3AC0">
        <w:rPr>
          <w:sz w:val="26"/>
          <w:szCs w:val="26"/>
        </w:rPr>
        <w:t xml:space="preserve">, we propose that this requirement be limited to the Commission’s review and approval of the EE&amp;C Plans and not be a target that would subject the EDCs to the penalty provisions prescribed under </w:t>
      </w:r>
      <w:r w:rsidR="004B25D1">
        <w:rPr>
          <w:sz w:val="26"/>
          <w:szCs w:val="26"/>
        </w:rPr>
        <w:t xml:space="preserve">section 2806.1 of the Act, </w:t>
      </w:r>
      <w:r w:rsidR="00BC3AC0">
        <w:rPr>
          <w:sz w:val="26"/>
          <w:szCs w:val="26"/>
        </w:rPr>
        <w:t xml:space="preserve">66 Pa. C.S. § 2806.1(f).   </w:t>
      </w:r>
    </w:p>
    <w:p w14:paraId="40136186" w14:textId="77777777" w:rsidR="00BC3AC0" w:rsidRDefault="00BC3AC0" w:rsidP="00BC3AC0">
      <w:pPr>
        <w:autoSpaceDE w:val="0"/>
        <w:autoSpaceDN w:val="0"/>
        <w:adjustRightInd w:val="0"/>
        <w:spacing w:line="360" w:lineRule="auto"/>
        <w:ind w:firstLine="720"/>
        <w:rPr>
          <w:sz w:val="26"/>
          <w:szCs w:val="26"/>
        </w:rPr>
      </w:pPr>
    </w:p>
    <w:p w14:paraId="429131D0" w14:textId="77777777" w:rsidR="00BC3AC0" w:rsidRDefault="00BC3AC0" w:rsidP="00BC3AC0">
      <w:pPr>
        <w:pStyle w:val="Heading4"/>
      </w:pPr>
      <w:r>
        <w:t>Comprehensive Programs</w:t>
      </w:r>
    </w:p>
    <w:p w14:paraId="5730D420" w14:textId="3C099E3B" w:rsidR="00BC3AC0" w:rsidRDefault="00BC3AC0" w:rsidP="00BE5404">
      <w:pPr>
        <w:autoSpaceDE w:val="0"/>
        <w:autoSpaceDN w:val="0"/>
        <w:adjustRightInd w:val="0"/>
        <w:spacing w:line="360" w:lineRule="auto"/>
        <w:ind w:firstLine="720"/>
        <w:rPr>
          <w:sz w:val="26"/>
          <w:szCs w:val="26"/>
        </w:rPr>
      </w:pPr>
      <w:r>
        <w:rPr>
          <w:sz w:val="26"/>
          <w:szCs w:val="26"/>
        </w:rPr>
        <w:t>As in Phase III, the Commission believes more comprehensive programs are beneficial to electric customers</w:t>
      </w:r>
      <w:r w:rsidR="008D6E76">
        <w:rPr>
          <w:sz w:val="26"/>
          <w:szCs w:val="26"/>
        </w:rPr>
        <w:t>,</w:t>
      </w:r>
      <w:r w:rsidR="00F6034A">
        <w:rPr>
          <w:sz w:val="26"/>
          <w:szCs w:val="26"/>
        </w:rPr>
        <w:t xml:space="preserve"> therefore</w:t>
      </w:r>
      <w:r w:rsidR="00835623">
        <w:rPr>
          <w:sz w:val="26"/>
          <w:szCs w:val="26"/>
        </w:rPr>
        <w:t xml:space="preserve">, for Phase IV, </w:t>
      </w:r>
      <w:r w:rsidR="00AD56F8">
        <w:rPr>
          <w:sz w:val="26"/>
          <w:szCs w:val="26"/>
        </w:rPr>
        <w:t>the</w:t>
      </w:r>
      <w:r>
        <w:rPr>
          <w:sz w:val="26"/>
          <w:szCs w:val="26"/>
        </w:rPr>
        <w:t xml:space="preserve"> EDCs should consider implementing </w:t>
      </w:r>
      <w:r w:rsidR="0040074F">
        <w:rPr>
          <w:sz w:val="26"/>
          <w:szCs w:val="26"/>
        </w:rPr>
        <w:t>a comprehensive mix of measures</w:t>
      </w:r>
      <w:r>
        <w:rPr>
          <w:sz w:val="26"/>
          <w:szCs w:val="26"/>
        </w:rPr>
        <w:t xml:space="preserve">.  </w:t>
      </w:r>
      <w:r w:rsidR="004446AC">
        <w:rPr>
          <w:sz w:val="26"/>
          <w:szCs w:val="26"/>
        </w:rPr>
        <w:t>W</w:t>
      </w:r>
      <w:r>
        <w:rPr>
          <w:sz w:val="26"/>
          <w:szCs w:val="26"/>
        </w:rPr>
        <w:t xml:space="preserve">e propose that </w:t>
      </w:r>
      <w:r w:rsidR="00F7205C">
        <w:rPr>
          <w:sz w:val="26"/>
          <w:szCs w:val="26"/>
        </w:rPr>
        <w:t>each</w:t>
      </w:r>
      <w:r>
        <w:rPr>
          <w:sz w:val="26"/>
          <w:szCs w:val="26"/>
        </w:rPr>
        <w:t xml:space="preserve"> EDC</w:t>
      </w:r>
      <w:r w:rsidR="00F7205C">
        <w:rPr>
          <w:sz w:val="26"/>
          <w:szCs w:val="26"/>
        </w:rPr>
        <w:t>’</w:t>
      </w:r>
      <w:r w:rsidDel="004D4FA1">
        <w:rPr>
          <w:sz w:val="26"/>
          <w:szCs w:val="26"/>
        </w:rPr>
        <w:t>s</w:t>
      </w:r>
      <w:r>
        <w:rPr>
          <w:sz w:val="26"/>
          <w:szCs w:val="26"/>
        </w:rPr>
        <w:t xml:space="preserve"> EE&amp;C Plan </w:t>
      </w:r>
      <w:r w:rsidR="00573269">
        <w:rPr>
          <w:sz w:val="26"/>
          <w:szCs w:val="26"/>
        </w:rPr>
        <w:t>include</w:t>
      </w:r>
      <w:r>
        <w:rPr>
          <w:sz w:val="26"/>
          <w:szCs w:val="26"/>
        </w:rPr>
        <w:t xml:space="preserve"> at least one comprehensive program for residential and at least one comprehensive program for non-residential customer classes.  The EDCs should work with stakeholders to determine what these programs should include</w:t>
      </w:r>
      <w:r w:rsidR="009770E0">
        <w:rPr>
          <w:sz w:val="26"/>
          <w:szCs w:val="26"/>
        </w:rPr>
        <w:t>,</w:t>
      </w:r>
      <w:r>
        <w:rPr>
          <w:sz w:val="26"/>
          <w:szCs w:val="26"/>
        </w:rPr>
        <w:t xml:space="preserve"> based on the unique attributes of each service territory.  Additionally, we note that, while cost-effectiveness is always a priority, an individual program does not have to be cost-effective in order to be implemented</w:t>
      </w:r>
      <w:r w:rsidR="00CD47A8">
        <w:rPr>
          <w:sz w:val="26"/>
          <w:szCs w:val="26"/>
        </w:rPr>
        <w:t xml:space="preserve">, provided the </w:t>
      </w:r>
      <w:r w:rsidR="00FA26EC">
        <w:rPr>
          <w:sz w:val="26"/>
          <w:szCs w:val="26"/>
        </w:rPr>
        <w:t>EE&amp;C Plan as a whole is cost</w:t>
      </w:r>
      <w:r w:rsidR="00FA26EC">
        <w:rPr>
          <w:sz w:val="26"/>
          <w:szCs w:val="26"/>
        </w:rPr>
        <w:noBreakHyphen/>
        <w:t>effective</w:t>
      </w:r>
      <w:r>
        <w:rPr>
          <w:sz w:val="26"/>
          <w:szCs w:val="26"/>
        </w:rPr>
        <w:t xml:space="preserve">.  We believe it </w:t>
      </w:r>
      <w:r w:rsidR="0078784F">
        <w:rPr>
          <w:sz w:val="26"/>
          <w:szCs w:val="26"/>
        </w:rPr>
        <w:t>to be</w:t>
      </w:r>
      <w:r>
        <w:rPr>
          <w:sz w:val="26"/>
          <w:szCs w:val="26"/>
        </w:rPr>
        <w:t xml:space="preserve"> beneficial for the EDCs to utilize the </w:t>
      </w:r>
      <w:r w:rsidRPr="00CD4B40">
        <w:rPr>
          <w:sz w:val="26"/>
          <w:szCs w:val="26"/>
        </w:rPr>
        <w:t xml:space="preserve">knowledge gained from </w:t>
      </w:r>
      <w:r w:rsidR="0078784F">
        <w:rPr>
          <w:sz w:val="26"/>
          <w:szCs w:val="26"/>
        </w:rPr>
        <w:t xml:space="preserve">implementing </w:t>
      </w:r>
      <w:r w:rsidRPr="00A30580">
        <w:rPr>
          <w:sz w:val="26"/>
          <w:szCs w:val="26"/>
        </w:rPr>
        <w:t xml:space="preserve">a comprehensive </w:t>
      </w:r>
      <w:r w:rsidR="007C66CB">
        <w:rPr>
          <w:sz w:val="26"/>
          <w:szCs w:val="26"/>
        </w:rPr>
        <w:t>program</w:t>
      </w:r>
      <w:r w:rsidRPr="00A30580">
        <w:rPr>
          <w:sz w:val="26"/>
          <w:szCs w:val="26"/>
        </w:rPr>
        <w:t xml:space="preserve"> in Phase I</w:t>
      </w:r>
      <w:r>
        <w:rPr>
          <w:sz w:val="26"/>
          <w:szCs w:val="26"/>
        </w:rPr>
        <w:t>I</w:t>
      </w:r>
      <w:r w:rsidRPr="00A30580">
        <w:rPr>
          <w:sz w:val="26"/>
          <w:szCs w:val="26"/>
        </w:rPr>
        <w:t>I</w:t>
      </w:r>
      <w:r>
        <w:rPr>
          <w:sz w:val="26"/>
          <w:szCs w:val="26"/>
        </w:rPr>
        <w:t>,</w:t>
      </w:r>
      <w:r w:rsidRPr="00A30580">
        <w:rPr>
          <w:rStyle w:val="FootnoteReference"/>
          <w:sz w:val="26"/>
          <w:szCs w:val="26"/>
        </w:rPr>
        <w:footnoteReference w:id="25"/>
      </w:r>
      <w:r w:rsidRPr="00A30580">
        <w:rPr>
          <w:sz w:val="26"/>
          <w:szCs w:val="26"/>
        </w:rPr>
        <w:t xml:space="preserve"> as well as </w:t>
      </w:r>
      <w:r w:rsidR="00054B76">
        <w:rPr>
          <w:sz w:val="26"/>
          <w:szCs w:val="26"/>
        </w:rPr>
        <w:t>feedback</w:t>
      </w:r>
      <w:r w:rsidRPr="00A30580">
        <w:rPr>
          <w:sz w:val="26"/>
          <w:szCs w:val="26"/>
        </w:rPr>
        <w:t xml:space="preserve"> provided by interested stakeholders, to determine what measures should be incorporated into Phase I</w:t>
      </w:r>
      <w:r w:rsidR="006F241C">
        <w:rPr>
          <w:sz w:val="26"/>
          <w:szCs w:val="26"/>
        </w:rPr>
        <w:t>V</w:t>
      </w:r>
      <w:r w:rsidRPr="00A30580">
        <w:rPr>
          <w:sz w:val="26"/>
          <w:szCs w:val="26"/>
        </w:rPr>
        <w:t xml:space="preserve"> comprehensive programs.</w:t>
      </w:r>
      <w:r>
        <w:rPr>
          <w:sz w:val="26"/>
          <w:szCs w:val="26"/>
        </w:rPr>
        <w:t xml:space="preserve">   </w:t>
      </w:r>
    </w:p>
    <w:p w14:paraId="0746A81E" w14:textId="77777777" w:rsidR="00BC3AC0" w:rsidRPr="00A30580" w:rsidRDefault="00BC3AC0" w:rsidP="00BC3AC0">
      <w:pPr>
        <w:autoSpaceDE w:val="0"/>
        <w:autoSpaceDN w:val="0"/>
        <w:adjustRightInd w:val="0"/>
        <w:spacing w:line="360" w:lineRule="auto"/>
        <w:ind w:firstLine="720"/>
        <w:rPr>
          <w:b/>
          <w:sz w:val="26"/>
          <w:szCs w:val="26"/>
        </w:rPr>
      </w:pPr>
    </w:p>
    <w:p w14:paraId="38B971E1" w14:textId="49639810" w:rsidR="00F05943" w:rsidRPr="00A30580" w:rsidRDefault="001D3AC4" w:rsidP="0009548F">
      <w:pPr>
        <w:pStyle w:val="Heading3"/>
      </w:pPr>
      <w:bookmarkStart w:id="179" w:name="_Toc33507566"/>
      <w:bookmarkStart w:id="180" w:name="_Toc33511891"/>
      <w:bookmarkStart w:id="181" w:name="_Toc33513099"/>
      <w:bookmarkStart w:id="182" w:name="_Toc33507567"/>
      <w:bookmarkStart w:id="183" w:name="_Toc33511892"/>
      <w:bookmarkStart w:id="184" w:name="_Toc33513100"/>
      <w:bookmarkStart w:id="185" w:name="_Toc33507568"/>
      <w:bookmarkStart w:id="186" w:name="_Toc33511893"/>
      <w:bookmarkStart w:id="187" w:name="_Toc33513101"/>
      <w:bookmarkStart w:id="188" w:name="_Toc33507569"/>
      <w:bookmarkStart w:id="189" w:name="_Toc33511894"/>
      <w:bookmarkStart w:id="190" w:name="_Toc33513102"/>
      <w:bookmarkStart w:id="191" w:name="_Toc33507570"/>
      <w:bookmarkStart w:id="192" w:name="_Toc33511895"/>
      <w:bookmarkStart w:id="193" w:name="_Toc33513103"/>
      <w:bookmarkStart w:id="194" w:name="_Toc33507571"/>
      <w:bookmarkStart w:id="195" w:name="_Toc33511896"/>
      <w:bookmarkStart w:id="196" w:name="_Toc33513104"/>
      <w:bookmarkStart w:id="197" w:name="_Toc33507602"/>
      <w:bookmarkStart w:id="198" w:name="_Toc33511927"/>
      <w:bookmarkStart w:id="199" w:name="_Toc33513135"/>
      <w:bookmarkStart w:id="200" w:name="_Toc33507603"/>
      <w:bookmarkStart w:id="201" w:name="_Toc33511928"/>
      <w:bookmarkStart w:id="202" w:name="_Toc33513136"/>
      <w:bookmarkStart w:id="203" w:name="_Toc33507604"/>
      <w:bookmarkStart w:id="204" w:name="_Toc33511929"/>
      <w:bookmarkStart w:id="205" w:name="_Toc33513137"/>
      <w:bookmarkStart w:id="206" w:name="_Toc33507605"/>
      <w:bookmarkStart w:id="207" w:name="_Toc33511930"/>
      <w:bookmarkStart w:id="208" w:name="_Toc33513138"/>
      <w:bookmarkStart w:id="209" w:name="_Toc33507606"/>
      <w:bookmarkStart w:id="210" w:name="_Toc33511931"/>
      <w:bookmarkStart w:id="211" w:name="_Toc33513139"/>
      <w:bookmarkStart w:id="212" w:name="_Toc33507607"/>
      <w:bookmarkStart w:id="213" w:name="_Toc33511932"/>
      <w:bookmarkStart w:id="214" w:name="_Toc33513140"/>
      <w:bookmarkStart w:id="215" w:name="_Toc33507635"/>
      <w:bookmarkStart w:id="216" w:name="_Toc33511960"/>
      <w:bookmarkStart w:id="217" w:name="_Toc33513168"/>
      <w:bookmarkStart w:id="218" w:name="_Toc33507636"/>
      <w:bookmarkStart w:id="219" w:name="_Toc33511961"/>
      <w:bookmarkStart w:id="220" w:name="_Toc33513169"/>
      <w:bookmarkStart w:id="221" w:name="_Toc33507637"/>
      <w:bookmarkStart w:id="222" w:name="_Toc33511962"/>
      <w:bookmarkStart w:id="223" w:name="_Toc33513170"/>
      <w:bookmarkStart w:id="224" w:name="_Toc33507638"/>
      <w:bookmarkStart w:id="225" w:name="_Toc33511963"/>
      <w:bookmarkStart w:id="226" w:name="_Toc33513171"/>
      <w:bookmarkStart w:id="227" w:name="_Toc33507639"/>
      <w:bookmarkStart w:id="228" w:name="_Toc33511964"/>
      <w:bookmarkStart w:id="229" w:name="_Toc33513172"/>
      <w:bookmarkStart w:id="230" w:name="_Toc33507676"/>
      <w:bookmarkStart w:id="231" w:name="_Toc33512001"/>
      <w:bookmarkStart w:id="232" w:name="_Toc33513209"/>
      <w:bookmarkStart w:id="233" w:name="_Toc33507677"/>
      <w:bookmarkStart w:id="234" w:name="_Toc33512002"/>
      <w:bookmarkStart w:id="235" w:name="_Toc33513210"/>
      <w:bookmarkStart w:id="236" w:name="_Toc33507678"/>
      <w:bookmarkStart w:id="237" w:name="_Toc33512003"/>
      <w:bookmarkStart w:id="238" w:name="_Toc33513211"/>
      <w:bookmarkStart w:id="239" w:name="_Toc33507679"/>
      <w:bookmarkStart w:id="240" w:name="_Toc33512004"/>
      <w:bookmarkStart w:id="241" w:name="_Toc33513212"/>
      <w:bookmarkStart w:id="242" w:name="_Toc33507680"/>
      <w:bookmarkStart w:id="243" w:name="_Toc33512005"/>
      <w:bookmarkStart w:id="244" w:name="_Toc33513213"/>
      <w:bookmarkStart w:id="245" w:name="_Toc33507681"/>
      <w:bookmarkStart w:id="246" w:name="_Toc33512006"/>
      <w:bookmarkStart w:id="247" w:name="_Toc33513214"/>
      <w:bookmarkStart w:id="248" w:name="_Toc33507682"/>
      <w:bookmarkStart w:id="249" w:name="_Toc33512007"/>
      <w:bookmarkStart w:id="250" w:name="_Toc33513215"/>
      <w:bookmarkStart w:id="251" w:name="_Toc33507683"/>
      <w:bookmarkStart w:id="252" w:name="_Toc33512008"/>
      <w:bookmarkStart w:id="253" w:name="_Toc33513216"/>
      <w:bookmarkStart w:id="254" w:name="_Toc33507684"/>
      <w:bookmarkStart w:id="255" w:name="_Toc33512009"/>
      <w:bookmarkStart w:id="256" w:name="_Toc33513217"/>
      <w:bookmarkStart w:id="257" w:name="_Toc33507685"/>
      <w:bookmarkStart w:id="258" w:name="_Toc33512010"/>
      <w:bookmarkStart w:id="259" w:name="_Toc33513218"/>
      <w:bookmarkStart w:id="260" w:name="_Toc33507686"/>
      <w:bookmarkStart w:id="261" w:name="_Toc33512011"/>
      <w:bookmarkStart w:id="262" w:name="_Toc33513219"/>
      <w:bookmarkStart w:id="263" w:name="_Toc33507687"/>
      <w:bookmarkStart w:id="264" w:name="_Toc33512012"/>
      <w:bookmarkStart w:id="265" w:name="_Toc33513220"/>
      <w:bookmarkStart w:id="266" w:name="_Toc33507688"/>
      <w:bookmarkStart w:id="267" w:name="_Toc33512013"/>
      <w:bookmarkStart w:id="268" w:name="_Toc33513221"/>
      <w:bookmarkStart w:id="269" w:name="_Toc33507689"/>
      <w:bookmarkStart w:id="270" w:name="_Toc33512014"/>
      <w:bookmarkStart w:id="271" w:name="_Toc33513222"/>
      <w:bookmarkStart w:id="272" w:name="_Toc33507690"/>
      <w:bookmarkStart w:id="273" w:name="_Toc33512015"/>
      <w:bookmarkStart w:id="274" w:name="_Toc33513223"/>
      <w:bookmarkStart w:id="275" w:name="_Toc33781997"/>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A30580">
        <w:t xml:space="preserve">Prescription of Low-Income </w:t>
      </w:r>
      <w:r w:rsidR="00A05E03">
        <w:t xml:space="preserve">Measures and </w:t>
      </w:r>
      <w:r w:rsidRPr="00A30580">
        <w:t>Carve-Out</w:t>
      </w:r>
      <w:bookmarkEnd w:id="275"/>
    </w:p>
    <w:p w14:paraId="6129D4FD" w14:textId="722EECD2" w:rsidR="000E2557" w:rsidRDefault="00D922E7" w:rsidP="000E2557">
      <w:pPr>
        <w:spacing w:line="360" w:lineRule="auto"/>
        <w:ind w:firstLine="720"/>
        <w:rPr>
          <w:sz w:val="26"/>
          <w:szCs w:val="26"/>
        </w:rPr>
      </w:pPr>
      <w:r w:rsidRPr="00A30580">
        <w:rPr>
          <w:sz w:val="26"/>
          <w:szCs w:val="26"/>
        </w:rPr>
        <w:t xml:space="preserve">In </w:t>
      </w:r>
      <w:r w:rsidR="00010370">
        <w:rPr>
          <w:sz w:val="26"/>
          <w:szCs w:val="26"/>
        </w:rPr>
        <w:t xml:space="preserve">all prior phases </w:t>
      </w:r>
      <w:r w:rsidR="005E6A8A">
        <w:rPr>
          <w:sz w:val="26"/>
          <w:szCs w:val="26"/>
        </w:rPr>
        <w:t xml:space="preserve">of </w:t>
      </w:r>
      <w:r w:rsidRPr="00A30580">
        <w:rPr>
          <w:sz w:val="26"/>
          <w:szCs w:val="26"/>
        </w:rPr>
        <w:t xml:space="preserve"> Act 129 </w:t>
      </w:r>
      <w:r w:rsidR="005E6A8A">
        <w:rPr>
          <w:sz w:val="26"/>
          <w:szCs w:val="26"/>
        </w:rPr>
        <w:t xml:space="preserve">the Commission </w:t>
      </w:r>
      <w:r w:rsidRPr="00A30580">
        <w:rPr>
          <w:sz w:val="26"/>
          <w:szCs w:val="26"/>
        </w:rPr>
        <w:t>required</w:t>
      </w:r>
      <w:r w:rsidRPr="00CD4B40">
        <w:rPr>
          <w:sz w:val="26"/>
          <w:szCs w:val="26"/>
        </w:rPr>
        <w:t xml:space="preserve"> each EE&amp;C Plan to include specific measures for households at or below 150% of the Federal Poverty</w:t>
      </w:r>
      <w:r w:rsidRPr="00B205B4">
        <w:rPr>
          <w:sz w:val="26"/>
          <w:szCs w:val="26"/>
        </w:rPr>
        <w:t xml:space="preserve"> </w:t>
      </w:r>
      <w:r>
        <w:rPr>
          <w:sz w:val="26"/>
          <w:szCs w:val="26"/>
        </w:rPr>
        <w:t>I</w:t>
      </w:r>
      <w:r w:rsidRPr="00B205B4">
        <w:rPr>
          <w:sz w:val="26"/>
          <w:szCs w:val="26"/>
        </w:rPr>
        <w:t xml:space="preserve">ncome </w:t>
      </w:r>
      <w:r>
        <w:rPr>
          <w:sz w:val="26"/>
          <w:szCs w:val="26"/>
        </w:rPr>
        <w:t>G</w:t>
      </w:r>
      <w:r w:rsidRPr="00B205B4">
        <w:rPr>
          <w:sz w:val="26"/>
          <w:szCs w:val="26"/>
        </w:rPr>
        <w:t>uidelines (FPIG)</w:t>
      </w:r>
      <w:r w:rsidR="00E56702">
        <w:rPr>
          <w:sz w:val="26"/>
          <w:szCs w:val="26"/>
        </w:rPr>
        <w:t xml:space="preserve"> and further established </w:t>
      </w:r>
      <w:r w:rsidR="002240F6">
        <w:rPr>
          <w:sz w:val="26"/>
          <w:szCs w:val="26"/>
        </w:rPr>
        <w:t>a minimum percentage for such measures that must be offered</w:t>
      </w:r>
      <w:r w:rsidRPr="00B205B4">
        <w:rPr>
          <w:sz w:val="26"/>
          <w:szCs w:val="26"/>
        </w:rPr>
        <w:t>, in proportion to that sector’s share of the total energy usage in the EDC’s service territory.</w:t>
      </w:r>
      <w:r w:rsidRPr="00B205B4">
        <w:rPr>
          <w:rStyle w:val="FootnoteReference"/>
          <w:sz w:val="26"/>
          <w:szCs w:val="26"/>
        </w:rPr>
        <w:footnoteReference w:id="26"/>
      </w:r>
      <w:r w:rsidR="00822DE1">
        <w:rPr>
          <w:sz w:val="26"/>
          <w:szCs w:val="26"/>
        </w:rPr>
        <w:t xml:space="preserve">  Additionally, </w:t>
      </w:r>
      <w:r w:rsidR="001D6F76">
        <w:rPr>
          <w:sz w:val="26"/>
          <w:szCs w:val="26"/>
        </w:rPr>
        <w:t>in</w:t>
      </w:r>
      <w:r w:rsidR="00734778">
        <w:rPr>
          <w:sz w:val="26"/>
          <w:szCs w:val="26"/>
        </w:rPr>
        <w:t xml:space="preserve"> </w:t>
      </w:r>
      <w:r w:rsidRPr="00B205B4">
        <w:rPr>
          <w:sz w:val="26"/>
          <w:szCs w:val="26"/>
        </w:rPr>
        <w:t>Phase</w:t>
      </w:r>
      <w:r w:rsidR="002872A5">
        <w:rPr>
          <w:sz w:val="26"/>
          <w:szCs w:val="26"/>
        </w:rPr>
        <w:t>s</w:t>
      </w:r>
      <w:r w:rsidRPr="00B205B4">
        <w:rPr>
          <w:sz w:val="26"/>
          <w:szCs w:val="26"/>
        </w:rPr>
        <w:t xml:space="preserve"> II </w:t>
      </w:r>
      <w:r w:rsidR="00CE53EA">
        <w:rPr>
          <w:sz w:val="26"/>
          <w:szCs w:val="26"/>
        </w:rPr>
        <w:t xml:space="preserve">and III </w:t>
      </w:r>
      <w:r w:rsidRPr="00B205B4">
        <w:rPr>
          <w:sz w:val="26"/>
          <w:szCs w:val="26"/>
        </w:rPr>
        <w:t>of the EE&amp;C Program, the Commission added requirement</w:t>
      </w:r>
      <w:r w:rsidR="00483CDB">
        <w:rPr>
          <w:sz w:val="26"/>
          <w:szCs w:val="26"/>
        </w:rPr>
        <w:t>s</w:t>
      </w:r>
      <w:r w:rsidRPr="00B205B4">
        <w:rPr>
          <w:sz w:val="26"/>
          <w:szCs w:val="26"/>
        </w:rPr>
        <w:t xml:space="preserve"> that the EDCs obtain minimum </w:t>
      </w:r>
      <w:r w:rsidR="00447C23">
        <w:rPr>
          <w:sz w:val="26"/>
          <w:szCs w:val="26"/>
        </w:rPr>
        <w:lastRenderedPageBreak/>
        <w:t xml:space="preserve">percentages </w:t>
      </w:r>
      <w:r w:rsidRPr="00B205B4">
        <w:rPr>
          <w:sz w:val="26"/>
          <w:szCs w:val="26"/>
        </w:rPr>
        <w:t>of consumption reductions from the low-income sector.</w:t>
      </w:r>
      <w:r w:rsidRPr="00B205B4">
        <w:rPr>
          <w:rStyle w:val="FootnoteReference"/>
          <w:sz w:val="26"/>
          <w:szCs w:val="26"/>
        </w:rPr>
        <w:footnoteReference w:id="27"/>
      </w:r>
      <w:r w:rsidRPr="00B205B4">
        <w:rPr>
          <w:sz w:val="26"/>
          <w:szCs w:val="26"/>
        </w:rPr>
        <w:t xml:space="preserve">  The Commission permitted the EDCs to include savings from qualifying low-income customer participation in non-low-income programs and from multifamily housing, up to the percentage of customers living in the multifamily housing with incomes at or below 150% of the FPIG, towards the</w:t>
      </w:r>
      <w:r w:rsidR="00E472A8">
        <w:rPr>
          <w:sz w:val="26"/>
          <w:szCs w:val="26"/>
        </w:rPr>
        <w:t>se carve</w:t>
      </w:r>
      <w:r w:rsidR="00C625B3">
        <w:rPr>
          <w:sz w:val="26"/>
          <w:szCs w:val="26"/>
        </w:rPr>
        <w:t>-</w:t>
      </w:r>
      <w:r w:rsidR="00E472A8">
        <w:rPr>
          <w:sz w:val="26"/>
          <w:szCs w:val="26"/>
        </w:rPr>
        <w:t>out goals</w:t>
      </w:r>
      <w:r w:rsidR="006B27A5" w:rsidRPr="00B205B4" w:rsidDel="006B27A5">
        <w:rPr>
          <w:sz w:val="26"/>
          <w:szCs w:val="26"/>
        </w:rPr>
        <w:t xml:space="preserve"> </w:t>
      </w:r>
      <w:r w:rsidR="001D5D43">
        <w:rPr>
          <w:sz w:val="26"/>
          <w:szCs w:val="26"/>
        </w:rPr>
        <w:t>and clarified that s</w:t>
      </w:r>
      <w:r w:rsidR="001D5D43" w:rsidRPr="000E2557">
        <w:rPr>
          <w:sz w:val="26"/>
          <w:szCs w:val="26"/>
        </w:rPr>
        <w:t xml:space="preserve">avings from non-low-income programs, such as general residential programs, </w:t>
      </w:r>
      <w:r w:rsidR="001D5D43">
        <w:rPr>
          <w:sz w:val="26"/>
          <w:szCs w:val="26"/>
        </w:rPr>
        <w:t>would</w:t>
      </w:r>
      <w:r w:rsidR="001D5D43" w:rsidRPr="000E2557">
        <w:rPr>
          <w:sz w:val="26"/>
          <w:szCs w:val="26"/>
        </w:rPr>
        <w:t xml:space="preserve"> not be counted for compliance</w:t>
      </w:r>
      <w:r w:rsidRPr="00B205B4">
        <w:rPr>
          <w:sz w:val="26"/>
          <w:szCs w:val="26"/>
        </w:rPr>
        <w:t>.</w:t>
      </w:r>
      <w:r w:rsidRPr="00B205B4">
        <w:rPr>
          <w:rStyle w:val="FootnoteReference"/>
          <w:sz w:val="26"/>
          <w:szCs w:val="26"/>
        </w:rPr>
        <w:footnoteReference w:id="28"/>
      </w:r>
      <w:r w:rsidR="000E2557">
        <w:rPr>
          <w:sz w:val="26"/>
          <w:szCs w:val="26"/>
        </w:rPr>
        <w:t xml:space="preserve"> </w:t>
      </w:r>
    </w:p>
    <w:p w14:paraId="0470E5D8" w14:textId="77777777" w:rsidR="00B30A22" w:rsidRDefault="00B30A22" w:rsidP="0009548F">
      <w:pPr>
        <w:spacing w:line="360" w:lineRule="auto"/>
        <w:rPr>
          <w:sz w:val="26"/>
          <w:szCs w:val="26"/>
        </w:rPr>
      </w:pPr>
    </w:p>
    <w:p w14:paraId="727C3164" w14:textId="1312D794" w:rsidR="00D922E7" w:rsidRDefault="00D922E7" w:rsidP="00B91EE6">
      <w:pPr>
        <w:pStyle w:val="Heading4"/>
        <w:spacing w:line="240" w:lineRule="auto"/>
      </w:pPr>
      <w:r w:rsidRPr="00B07AC7">
        <w:t xml:space="preserve">Summary of SWE’s </w:t>
      </w:r>
      <w:r w:rsidR="00C47561">
        <w:t xml:space="preserve">EEPDR Potential </w:t>
      </w:r>
      <w:r w:rsidRPr="00B07AC7">
        <w:t>Study</w:t>
      </w:r>
      <w:r w:rsidR="001350AF">
        <w:t xml:space="preserve"> Finding</w:t>
      </w:r>
      <w:r w:rsidR="00105231">
        <w:t>s</w:t>
      </w:r>
      <w:r w:rsidR="001350AF">
        <w:t xml:space="preserve"> Regarding Low-Income Potential</w:t>
      </w:r>
    </w:p>
    <w:p w14:paraId="217FB66D" w14:textId="59D4F92C" w:rsidR="00D922E7" w:rsidRDefault="00D922E7" w:rsidP="00BE5404">
      <w:pPr>
        <w:spacing w:before="200" w:line="360" w:lineRule="auto"/>
        <w:ind w:firstLine="720"/>
        <w:rPr>
          <w:sz w:val="26"/>
          <w:szCs w:val="26"/>
        </w:rPr>
      </w:pPr>
      <w:r>
        <w:rPr>
          <w:sz w:val="26"/>
          <w:szCs w:val="26"/>
        </w:rPr>
        <w:t xml:space="preserve">As part of the </w:t>
      </w:r>
      <w:r w:rsidR="00C47561">
        <w:rPr>
          <w:sz w:val="26"/>
          <w:szCs w:val="26"/>
        </w:rPr>
        <w:t xml:space="preserve">EEPDR Potential </w:t>
      </w:r>
      <w:r w:rsidR="00B31B68">
        <w:rPr>
          <w:sz w:val="26"/>
          <w:szCs w:val="26"/>
        </w:rPr>
        <w:t>S</w:t>
      </w:r>
      <w:r>
        <w:rPr>
          <w:sz w:val="26"/>
          <w:szCs w:val="26"/>
        </w:rPr>
        <w:t xml:space="preserve">tudy, the Commission directed the SWE to determine if the low-income sector could realize cost-effective consumption savings, and the extent of those possible MWh savings within the residential sector. </w:t>
      </w:r>
      <w:r w:rsidR="000465C9">
        <w:rPr>
          <w:sz w:val="26"/>
          <w:szCs w:val="26"/>
        </w:rPr>
        <w:t xml:space="preserve"> </w:t>
      </w:r>
      <w:r w:rsidR="00CF7B13" w:rsidRPr="00CF7B13">
        <w:rPr>
          <w:sz w:val="26"/>
          <w:szCs w:val="26"/>
        </w:rPr>
        <w:t xml:space="preserve">The </w:t>
      </w:r>
      <w:r w:rsidR="00C47561">
        <w:rPr>
          <w:sz w:val="26"/>
          <w:szCs w:val="26"/>
        </w:rPr>
        <w:t xml:space="preserve">EEPDR Potential </w:t>
      </w:r>
      <w:r w:rsidR="008A5482">
        <w:rPr>
          <w:sz w:val="26"/>
          <w:szCs w:val="26"/>
        </w:rPr>
        <w:t xml:space="preserve">Study </w:t>
      </w:r>
      <w:r w:rsidR="00CF7B13" w:rsidRPr="00CF7B13">
        <w:rPr>
          <w:sz w:val="26"/>
          <w:szCs w:val="26"/>
        </w:rPr>
        <w:t xml:space="preserve">modeled a low-income spending carve-out consistent with historical EDC </w:t>
      </w:r>
      <w:r w:rsidR="00DC71D7">
        <w:rPr>
          <w:sz w:val="26"/>
          <w:szCs w:val="26"/>
        </w:rPr>
        <w:t xml:space="preserve">Act 129 spending </w:t>
      </w:r>
      <w:r w:rsidR="00CF7B13" w:rsidRPr="00CF7B13">
        <w:rPr>
          <w:sz w:val="26"/>
          <w:szCs w:val="26"/>
        </w:rPr>
        <w:t>levels in the low-income sector: approximately 13</w:t>
      </w:r>
      <w:r w:rsidR="0042439F">
        <w:rPr>
          <w:sz w:val="26"/>
          <w:szCs w:val="26"/>
        </w:rPr>
        <w:t xml:space="preserve">% </w:t>
      </w:r>
      <w:r w:rsidR="00CF7B13" w:rsidRPr="00CF7B13">
        <w:rPr>
          <w:sz w:val="26"/>
          <w:szCs w:val="26"/>
        </w:rPr>
        <w:t>of EE</w:t>
      </w:r>
      <w:r w:rsidR="00C60246">
        <w:rPr>
          <w:sz w:val="26"/>
          <w:szCs w:val="26"/>
        </w:rPr>
        <w:t xml:space="preserve">PDR </w:t>
      </w:r>
      <w:r w:rsidR="00CF7B13" w:rsidRPr="00CF7B13">
        <w:rPr>
          <w:sz w:val="26"/>
          <w:szCs w:val="26"/>
        </w:rPr>
        <w:t>budgets</w:t>
      </w:r>
      <w:r w:rsidR="00980FA3">
        <w:rPr>
          <w:sz w:val="26"/>
          <w:szCs w:val="26"/>
        </w:rPr>
        <w:t xml:space="preserve">. </w:t>
      </w:r>
      <w:r w:rsidR="00C32C3C">
        <w:rPr>
          <w:sz w:val="26"/>
          <w:szCs w:val="26"/>
        </w:rPr>
        <w:t xml:space="preserve"> </w:t>
      </w:r>
      <w:r w:rsidR="00980FA3">
        <w:rPr>
          <w:sz w:val="26"/>
          <w:szCs w:val="26"/>
        </w:rPr>
        <w:t xml:space="preserve">The SWE determined that low-income customers at or below 150% </w:t>
      </w:r>
      <w:r w:rsidR="0063718C">
        <w:rPr>
          <w:sz w:val="26"/>
          <w:szCs w:val="26"/>
        </w:rPr>
        <w:t xml:space="preserve">of the </w:t>
      </w:r>
      <w:r w:rsidR="00980FA3">
        <w:rPr>
          <w:sz w:val="26"/>
          <w:szCs w:val="26"/>
        </w:rPr>
        <w:t xml:space="preserve">FPIG could achieve approximately </w:t>
      </w:r>
      <w:r w:rsidR="4250D41A">
        <w:rPr>
          <w:sz w:val="26"/>
          <w:szCs w:val="26"/>
        </w:rPr>
        <w:t>6.5</w:t>
      </w:r>
      <w:r w:rsidR="00980FA3">
        <w:rPr>
          <w:sz w:val="26"/>
          <w:szCs w:val="26"/>
        </w:rPr>
        <w:t>%</w:t>
      </w:r>
      <w:r w:rsidR="00980FA3" w:rsidRPr="00C32C3C">
        <w:rPr>
          <w:sz w:val="26"/>
          <w:szCs w:val="26"/>
        </w:rPr>
        <w:t xml:space="preserve"> of </w:t>
      </w:r>
      <w:r w:rsidR="000D073E">
        <w:rPr>
          <w:sz w:val="26"/>
          <w:szCs w:val="26"/>
        </w:rPr>
        <w:t xml:space="preserve">statewide </w:t>
      </w:r>
      <w:r w:rsidR="00980FA3" w:rsidRPr="00C32C3C">
        <w:rPr>
          <w:sz w:val="26"/>
          <w:szCs w:val="26"/>
        </w:rPr>
        <w:t>portfolio savings</w:t>
      </w:r>
      <w:r w:rsidR="005914C6">
        <w:rPr>
          <w:sz w:val="26"/>
          <w:szCs w:val="26"/>
        </w:rPr>
        <w:t xml:space="preserve"> </w:t>
      </w:r>
      <w:r w:rsidR="00980FA3">
        <w:rPr>
          <w:sz w:val="26"/>
          <w:szCs w:val="26"/>
        </w:rPr>
        <w:t xml:space="preserve">when </w:t>
      </w:r>
      <w:r w:rsidR="00D04AFD">
        <w:rPr>
          <w:sz w:val="26"/>
          <w:szCs w:val="26"/>
        </w:rPr>
        <w:t>12.7% of EE</w:t>
      </w:r>
      <w:r w:rsidR="00C60246">
        <w:rPr>
          <w:sz w:val="26"/>
          <w:szCs w:val="26"/>
        </w:rPr>
        <w:t>PDR</w:t>
      </w:r>
      <w:r w:rsidR="00D04AFD">
        <w:rPr>
          <w:sz w:val="26"/>
          <w:szCs w:val="26"/>
        </w:rPr>
        <w:t xml:space="preserve"> budgets are allocated to</w:t>
      </w:r>
      <w:r w:rsidR="0042439F">
        <w:rPr>
          <w:sz w:val="26"/>
          <w:szCs w:val="26"/>
        </w:rPr>
        <w:t xml:space="preserve"> specific low-income programs</w:t>
      </w:r>
      <w:r w:rsidR="00980FA3" w:rsidRPr="00CF7B13">
        <w:rPr>
          <w:sz w:val="26"/>
          <w:szCs w:val="26"/>
        </w:rPr>
        <w:t>.</w:t>
      </w:r>
      <w:r w:rsidR="002E5BFD" w:rsidRPr="002E5BFD">
        <w:rPr>
          <w:rStyle w:val="FootnoteReference"/>
          <w:sz w:val="26"/>
          <w:szCs w:val="26"/>
        </w:rPr>
        <w:footnoteReference w:id="29"/>
      </w:r>
      <w:r w:rsidRPr="002E5BFD">
        <w:rPr>
          <w:sz w:val="26"/>
          <w:szCs w:val="26"/>
        </w:rPr>
        <w:t xml:space="preserve">  </w:t>
      </w:r>
      <w:r w:rsidR="00EA7EA0">
        <w:rPr>
          <w:sz w:val="26"/>
          <w:szCs w:val="26"/>
        </w:rPr>
        <w:t>The</w:t>
      </w:r>
      <w:r w:rsidR="0076258F">
        <w:rPr>
          <w:sz w:val="26"/>
          <w:szCs w:val="26"/>
        </w:rPr>
        <w:t xml:space="preserve"> low-income potential varies by EDC, from a low of 5.8% </w:t>
      </w:r>
      <w:r w:rsidR="00395FA7">
        <w:rPr>
          <w:sz w:val="26"/>
          <w:szCs w:val="26"/>
        </w:rPr>
        <w:t xml:space="preserve">for </w:t>
      </w:r>
      <w:r w:rsidR="0076258F">
        <w:rPr>
          <w:sz w:val="26"/>
          <w:szCs w:val="26"/>
        </w:rPr>
        <w:t xml:space="preserve">PECO to a high of </w:t>
      </w:r>
      <w:r w:rsidR="00077CF4">
        <w:rPr>
          <w:sz w:val="26"/>
          <w:szCs w:val="26"/>
        </w:rPr>
        <w:t xml:space="preserve">9.4% </w:t>
      </w:r>
      <w:r w:rsidR="00395FA7">
        <w:rPr>
          <w:sz w:val="26"/>
          <w:szCs w:val="26"/>
        </w:rPr>
        <w:t xml:space="preserve">for </w:t>
      </w:r>
      <w:r w:rsidR="00077CF4">
        <w:rPr>
          <w:sz w:val="26"/>
          <w:szCs w:val="26"/>
        </w:rPr>
        <w:t xml:space="preserve">Penn Power. </w:t>
      </w:r>
    </w:p>
    <w:p w14:paraId="3B86390F" w14:textId="77777777" w:rsidR="00D922E7" w:rsidRDefault="00D922E7" w:rsidP="0009548F">
      <w:pPr>
        <w:spacing w:line="360" w:lineRule="auto"/>
        <w:rPr>
          <w:sz w:val="26"/>
          <w:szCs w:val="26"/>
        </w:rPr>
      </w:pPr>
    </w:p>
    <w:p w14:paraId="2747B68A" w14:textId="77777777" w:rsidR="00D922E7" w:rsidRDefault="00C93BD1" w:rsidP="004D3955">
      <w:pPr>
        <w:pStyle w:val="Heading4"/>
      </w:pPr>
      <w:r>
        <w:t>Commission P</w:t>
      </w:r>
      <w:r w:rsidR="00D922E7">
        <w:t>roposal</w:t>
      </w:r>
    </w:p>
    <w:p w14:paraId="65E90823" w14:textId="5C64E62E" w:rsidR="00070179" w:rsidRDefault="002923EA" w:rsidP="00BE5404">
      <w:pPr>
        <w:pStyle w:val="StyleLinespacing15lines"/>
        <w:ind w:firstLine="720"/>
      </w:pPr>
      <w:r>
        <w:t xml:space="preserve">For Phase IV, </w:t>
      </w:r>
      <w:r w:rsidR="006714DA">
        <w:t xml:space="preserve">as in all prior phases of Act 129, </w:t>
      </w:r>
      <w:r>
        <w:t>the</w:t>
      </w:r>
      <w:r w:rsidR="00070179" w:rsidRPr="00D429C8">
        <w:t xml:space="preserve"> Commission proposes</w:t>
      </w:r>
      <w:r w:rsidR="00070179">
        <w:t xml:space="preserve"> </w:t>
      </w:r>
      <w:r w:rsidR="009C63A9">
        <w:t xml:space="preserve">that </w:t>
      </w:r>
      <w:r w:rsidR="00070179" w:rsidRPr="00CD4B40">
        <w:t xml:space="preserve">each </w:t>
      </w:r>
      <w:r w:rsidR="006714DA">
        <w:t xml:space="preserve">EDC </w:t>
      </w:r>
      <w:r w:rsidR="00070179" w:rsidRPr="00CD4B40">
        <w:t xml:space="preserve">EE&amp;C Plan include specific </w:t>
      </w:r>
      <w:r w:rsidR="006714DA">
        <w:t xml:space="preserve">energy efficiency </w:t>
      </w:r>
      <w:r w:rsidR="00070179" w:rsidRPr="00CD4B40">
        <w:t xml:space="preserve">measures for households at or below 150% of the </w:t>
      </w:r>
      <w:r w:rsidR="00070179" w:rsidRPr="00B205B4">
        <w:t>FPIG</w:t>
      </w:r>
      <w:r w:rsidR="006714DA">
        <w:t xml:space="preserve">, in proportion to that sector’s share of the total energy usage in the </w:t>
      </w:r>
      <w:r w:rsidR="006714DA">
        <w:lastRenderedPageBreak/>
        <w:t xml:space="preserve">EDC’s service territory.  </w:t>
      </w:r>
      <w:r w:rsidR="006714DA">
        <w:rPr>
          <w:i/>
          <w:iCs/>
        </w:rPr>
        <w:t xml:space="preserve">See </w:t>
      </w:r>
      <w:r w:rsidR="006714DA">
        <w:rPr>
          <w:szCs w:val="26"/>
        </w:rPr>
        <w:t>66 Pa. C.S. § 2806.1(b)(1)(i)(G).</w:t>
      </w:r>
      <w:r w:rsidR="000A33AF">
        <w:rPr>
          <w:rStyle w:val="FootnoteReference"/>
          <w:szCs w:val="26"/>
        </w:rPr>
        <w:footnoteReference w:id="30"/>
      </w:r>
      <w:r w:rsidR="006714DA">
        <w:rPr>
          <w:szCs w:val="26"/>
        </w:rPr>
        <w:t xml:space="preserve">  </w:t>
      </w:r>
      <w:r w:rsidR="000A33AF">
        <w:rPr>
          <w:szCs w:val="26"/>
        </w:rPr>
        <w:t xml:space="preserve">As shown in Table 7 below, </w:t>
      </w:r>
      <w:r w:rsidR="006714DA">
        <w:rPr>
          <w:szCs w:val="26"/>
        </w:rPr>
        <w:t xml:space="preserve">we </w:t>
      </w:r>
      <w:r w:rsidR="000A33AF">
        <w:rPr>
          <w:szCs w:val="26"/>
        </w:rPr>
        <w:t>propose for Phase IV that</w:t>
      </w:r>
      <w:r w:rsidR="006714DA">
        <w:rPr>
          <w:szCs w:val="26"/>
        </w:rPr>
        <w:t xml:space="preserve"> the EDCs </w:t>
      </w:r>
      <w:r w:rsidR="000A33AF">
        <w:rPr>
          <w:szCs w:val="26"/>
        </w:rPr>
        <w:t>p</w:t>
      </w:r>
      <w:r w:rsidR="006714DA">
        <w:rPr>
          <w:szCs w:val="26"/>
        </w:rPr>
        <w:t>rovide a proportionate number of measures equivalent to the low-income sector’s share of usage as previously required in Phase</w:t>
      </w:r>
      <w:r w:rsidR="000A33AF">
        <w:rPr>
          <w:szCs w:val="26"/>
        </w:rPr>
        <w:t>s</w:t>
      </w:r>
      <w:r w:rsidR="006714DA">
        <w:rPr>
          <w:szCs w:val="26"/>
        </w:rPr>
        <w:t xml:space="preserve"> II and </w:t>
      </w:r>
      <w:r w:rsidR="000A33AF">
        <w:rPr>
          <w:szCs w:val="26"/>
        </w:rPr>
        <w:t>III of the program.</w:t>
      </w:r>
      <w:r w:rsidR="000A33AF">
        <w:rPr>
          <w:rStyle w:val="FootnoteReference"/>
          <w:szCs w:val="26"/>
        </w:rPr>
        <w:footnoteReference w:id="31"/>
      </w:r>
      <w:r w:rsidR="000A33AF">
        <w:rPr>
          <w:szCs w:val="26"/>
        </w:rPr>
        <w:t xml:space="preserve"> </w:t>
      </w:r>
      <w:r w:rsidR="006714DA">
        <w:rPr>
          <w:szCs w:val="26"/>
        </w:rPr>
        <w:t xml:space="preserve">   </w:t>
      </w:r>
      <w:r w:rsidR="006714DA">
        <w:t xml:space="preserve"> </w:t>
      </w:r>
    </w:p>
    <w:p w14:paraId="360F7263" w14:textId="77777777" w:rsidR="00AC21E6" w:rsidRDefault="00AC21E6" w:rsidP="00120D2E">
      <w:pPr>
        <w:spacing w:line="360" w:lineRule="auto"/>
        <w:rPr>
          <w:sz w:val="26"/>
          <w:szCs w:val="26"/>
        </w:rPr>
      </w:pPr>
    </w:p>
    <w:p w14:paraId="4E3061D9" w14:textId="77777777" w:rsidR="002D5D0F" w:rsidRPr="001C4984" w:rsidRDefault="002D5D0F" w:rsidP="002D5D0F">
      <w:pPr>
        <w:pStyle w:val="Caption"/>
        <w:keepNext/>
        <w:jc w:val="center"/>
        <w:rPr>
          <w:b/>
          <w:bCs/>
          <w:sz w:val="26"/>
          <w:szCs w:val="26"/>
        </w:rPr>
      </w:pPr>
      <w:r w:rsidRPr="001C4984">
        <w:rPr>
          <w:b/>
          <w:bCs/>
          <w:i w:val="0"/>
          <w:iCs w:val="0"/>
          <w:color w:val="auto"/>
          <w:sz w:val="26"/>
          <w:szCs w:val="26"/>
        </w:rPr>
        <w:t>Table</w:t>
      </w:r>
      <w:r>
        <w:rPr>
          <w:b/>
          <w:bCs/>
          <w:i w:val="0"/>
          <w:iCs w:val="0"/>
          <w:color w:val="auto"/>
          <w:sz w:val="26"/>
          <w:szCs w:val="26"/>
        </w:rPr>
        <w:t xml:space="preserve"> 7</w:t>
      </w:r>
      <w:r w:rsidRPr="001C4984">
        <w:rPr>
          <w:b/>
          <w:bCs/>
          <w:i w:val="0"/>
          <w:iCs w:val="0"/>
          <w:color w:val="auto"/>
          <w:sz w:val="26"/>
          <w:szCs w:val="26"/>
        </w:rPr>
        <w:t>: Proposed Phase IV Low-Income Savings Targets</w:t>
      </w:r>
    </w:p>
    <w:tbl>
      <w:tblPr>
        <w:tblStyle w:val="ListTable3"/>
        <w:tblW w:w="5000" w:type="pct"/>
        <w:jc w:val="center"/>
        <w:tblLook w:val="04A0" w:firstRow="1" w:lastRow="0" w:firstColumn="1" w:lastColumn="0" w:noHBand="0" w:noVBand="1"/>
      </w:tblPr>
      <w:tblGrid>
        <w:gridCol w:w="2515"/>
        <w:gridCol w:w="2433"/>
        <w:gridCol w:w="2152"/>
        <w:gridCol w:w="2250"/>
      </w:tblGrid>
      <w:tr w:rsidR="002D5D0F" w:rsidRPr="00C60AB1" w14:paraId="423D48DC" w14:textId="77777777" w:rsidTr="00B91EE6">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1345" w:type="pct"/>
            <w:tcBorders>
              <w:bottom w:val="single" w:sz="4" w:space="0" w:color="auto"/>
            </w:tcBorders>
            <w:vAlign w:val="center"/>
          </w:tcPr>
          <w:p w14:paraId="31269BD2" w14:textId="77777777" w:rsidR="002D5D0F" w:rsidRPr="00C60AB1" w:rsidRDefault="002D5D0F" w:rsidP="00B91EE6">
            <w:pPr>
              <w:keepNext/>
              <w:spacing w:before="80" w:after="80"/>
              <w:jc w:val="center"/>
              <w:rPr>
                <w:bCs w:val="0"/>
                <w:sz w:val="26"/>
                <w:szCs w:val="26"/>
              </w:rPr>
            </w:pPr>
            <w:r>
              <w:rPr>
                <w:sz w:val="26"/>
                <w:szCs w:val="26"/>
              </w:rPr>
              <w:br w:type="page"/>
            </w:r>
            <w:r w:rsidRPr="00391D08">
              <w:rPr>
                <w:sz w:val="26"/>
                <w:szCs w:val="26"/>
              </w:rPr>
              <w:t>EDC</w:t>
            </w:r>
          </w:p>
        </w:tc>
        <w:tc>
          <w:tcPr>
            <w:tcW w:w="1301" w:type="pct"/>
            <w:tcBorders>
              <w:bottom w:val="single" w:sz="4" w:space="0" w:color="auto"/>
            </w:tcBorders>
            <w:vAlign w:val="center"/>
          </w:tcPr>
          <w:p w14:paraId="3134A6E6" w14:textId="77777777" w:rsidR="002D5D0F" w:rsidRPr="00C60AB1" w:rsidRDefault="002D5D0F" w:rsidP="00B91EE6">
            <w:pPr>
              <w:keepNext/>
              <w:spacing w:before="80" w:after="80"/>
              <w:ind w:left="257" w:right="342"/>
              <w:jc w:val="center"/>
              <w:cnfStyle w:val="100000000000" w:firstRow="1" w:lastRow="0" w:firstColumn="0" w:lastColumn="0" w:oddVBand="0" w:evenVBand="0" w:oddHBand="0" w:evenHBand="0" w:firstRowFirstColumn="0" w:firstRowLastColumn="0" w:lastRowFirstColumn="0" w:lastRowLastColumn="0"/>
              <w:rPr>
                <w:sz w:val="26"/>
                <w:szCs w:val="26"/>
              </w:rPr>
            </w:pPr>
            <w:r w:rsidRPr="00391D08">
              <w:rPr>
                <w:sz w:val="26"/>
                <w:szCs w:val="26"/>
              </w:rPr>
              <w:t>Proportionate Number of Measures</w:t>
            </w:r>
          </w:p>
        </w:tc>
        <w:tc>
          <w:tcPr>
            <w:tcW w:w="1151" w:type="pct"/>
            <w:tcBorders>
              <w:bottom w:val="single" w:sz="4" w:space="0" w:color="auto"/>
            </w:tcBorders>
            <w:vAlign w:val="center"/>
          </w:tcPr>
          <w:p w14:paraId="4BF396B4" w14:textId="77777777" w:rsidR="002D5D0F" w:rsidRPr="00C60AB1" w:rsidRDefault="002D5D0F" w:rsidP="00B91EE6">
            <w:pPr>
              <w:keepNext/>
              <w:spacing w:before="80" w:after="80"/>
              <w:jc w:val="center"/>
              <w:cnfStyle w:val="100000000000" w:firstRow="1" w:lastRow="0" w:firstColumn="0" w:lastColumn="0" w:oddVBand="0" w:evenVBand="0" w:oddHBand="0" w:evenHBand="0" w:firstRowFirstColumn="0" w:firstRowLastColumn="0" w:lastRowFirstColumn="0" w:lastRowLastColumn="0"/>
              <w:rPr>
                <w:sz w:val="26"/>
                <w:szCs w:val="26"/>
              </w:rPr>
            </w:pPr>
            <w:r w:rsidRPr="00391D08">
              <w:rPr>
                <w:sz w:val="26"/>
                <w:szCs w:val="26"/>
              </w:rPr>
              <w:t>2021-2026 Potential Savings (MWh)</w:t>
            </w:r>
          </w:p>
        </w:tc>
        <w:tc>
          <w:tcPr>
            <w:tcW w:w="1203" w:type="pct"/>
            <w:tcBorders>
              <w:bottom w:val="single" w:sz="4" w:space="0" w:color="auto"/>
            </w:tcBorders>
            <w:vAlign w:val="center"/>
          </w:tcPr>
          <w:p w14:paraId="5AE9465D" w14:textId="77777777" w:rsidR="002D5D0F" w:rsidRPr="00C60AB1" w:rsidRDefault="002D5D0F" w:rsidP="00B91EE6">
            <w:pPr>
              <w:keepNext/>
              <w:spacing w:before="80" w:after="80"/>
              <w:jc w:val="center"/>
              <w:cnfStyle w:val="100000000000" w:firstRow="1" w:lastRow="0" w:firstColumn="0" w:lastColumn="0" w:oddVBand="0" w:evenVBand="0" w:oddHBand="0" w:evenHBand="0" w:firstRowFirstColumn="0" w:firstRowLastColumn="0" w:lastRowFirstColumn="0" w:lastRowLastColumn="0"/>
              <w:rPr>
                <w:sz w:val="26"/>
                <w:szCs w:val="26"/>
              </w:rPr>
            </w:pPr>
            <w:r w:rsidRPr="00391D08">
              <w:rPr>
                <w:sz w:val="26"/>
                <w:szCs w:val="26"/>
              </w:rPr>
              <w:t>Low-Income Savings Target (MWh)</w:t>
            </w:r>
          </w:p>
        </w:tc>
      </w:tr>
      <w:tr w:rsidR="002D5D0F" w:rsidRPr="00C60AB1" w14:paraId="1F82109D" w14:textId="77777777" w:rsidTr="00B91EE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tcPr>
          <w:p w14:paraId="4420E90D" w14:textId="77777777" w:rsidR="002D5D0F" w:rsidRPr="00391D08" w:rsidRDefault="002D5D0F" w:rsidP="00B91EE6">
            <w:pPr>
              <w:keepNext/>
              <w:spacing w:before="80" w:after="80"/>
              <w:rPr>
                <w:b w:val="0"/>
                <w:sz w:val="26"/>
                <w:szCs w:val="26"/>
              </w:rPr>
            </w:pPr>
            <w:r w:rsidRPr="00391D08">
              <w:rPr>
                <w:b w:val="0"/>
                <w:sz w:val="26"/>
                <w:szCs w:val="26"/>
              </w:rPr>
              <w:t>Duquesne Light</w:t>
            </w:r>
          </w:p>
        </w:tc>
        <w:tc>
          <w:tcPr>
            <w:tcW w:w="1301" w:type="pct"/>
            <w:tcBorders>
              <w:top w:val="single" w:sz="4" w:space="0" w:color="auto"/>
              <w:left w:val="single" w:sz="4" w:space="0" w:color="auto"/>
              <w:bottom w:val="single" w:sz="4" w:space="0" w:color="auto"/>
              <w:right w:val="single" w:sz="4" w:space="0" w:color="auto"/>
            </w:tcBorders>
          </w:tcPr>
          <w:p w14:paraId="3D997C5A" w14:textId="4CD3689F" w:rsidR="002D5D0F" w:rsidRPr="00C60AB1" w:rsidRDefault="002D5D0F" w:rsidP="00B91EE6">
            <w:pPr>
              <w:keepNext/>
              <w:spacing w:before="80" w:after="80"/>
              <w:ind w:right="342"/>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 xml:space="preserve"> 8.40</w:t>
            </w:r>
          </w:p>
        </w:tc>
        <w:tc>
          <w:tcPr>
            <w:tcW w:w="1151" w:type="pct"/>
            <w:tcBorders>
              <w:top w:val="single" w:sz="4" w:space="0" w:color="auto"/>
              <w:left w:val="single" w:sz="4" w:space="0" w:color="auto"/>
              <w:bottom w:val="single" w:sz="4" w:space="0" w:color="auto"/>
              <w:right w:val="single" w:sz="4" w:space="0" w:color="auto"/>
            </w:tcBorders>
          </w:tcPr>
          <w:p w14:paraId="4444605D" w14:textId="77777777" w:rsidR="002D5D0F" w:rsidRPr="00EA7EA0" w:rsidRDefault="002D5D0F" w:rsidP="00B91EE6">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C66FAA">
              <w:rPr>
                <w:color w:val="000000"/>
                <w:sz w:val="26"/>
                <w:szCs w:val="26"/>
              </w:rPr>
              <w:t>347,084</w:t>
            </w:r>
          </w:p>
        </w:tc>
        <w:tc>
          <w:tcPr>
            <w:tcW w:w="1203" w:type="pct"/>
            <w:tcBorders>
              <w:top w:val="single" w:sz="4" w:space="0" w:color="auto"/>
              <w:left w:val="single" w:sz="4" w:space="0" w:color="auto"/>
              <w:bottom w:val="single" w:sz="4" w:space="0" w:color="auto"/>
              <w:right w:val="single" w:sz="4" w:space="0" w:color="auto"/>
            </w:tcBorders>
            <w:vAlign w:val="center"/>
          </w:tcPr>
          <w:p w14:paraId="0E319732" w14:textId="77777777" w:rsidR="002D5D0F" w:rsidRPr="001C4177" w:rsidRDefault="002D5D0F" w:rsidP="00B91EE6">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1C4177">
              <w:rPr>
                <w:color w:val="000000"/>
                <w:sz w:val="26"/>
                <w:szCs w:val="26"/>
              </w:rPr>
              <w:t>20,131</w:t>
            </w:r>
          </w:p>
        </w:tc>
      </w:tr>
      <w:tr w:rsidR="002D5D0F" w:rsidRPr="00C60AB1" w14:paraId="42ADF2E0" w14:textId="77777777" w:rsidTr="00B91EE6">
        <w:trPr>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tcPr>
          <w:p w14:paraId="5BC41A65" w14:textId="77777777" w:rsidR="002D5D0F" w:rsidRPr="00391D08" w:rsidRDefault="002D5D0F" w:rsidP="00B91EE6">
            <w:pPr>
              <w:keepNext/>
              <w:spacing w:before="80" w:after="80"/>
              <w:rPr>
                <w:sz w:val="26"/>
                <w:szCs w:val="26"/>
              </w:rPr>
            </w:pPr>
            <w:r w:rsidRPr="00391D08">
              <w:rPr>
                <w:b w:val="0"/>
                <w:sz w:val="26"/>
                <w:szCs w:val="26"/>
              </w:rPr>
              <w:t>PECO</w:t>
            </w:r>
          </w:p>
        </w:tc>
        <w:tc>
          <w:tcPr>
            <w:tcW w:w="1301" w:type="pct"/>
            <w:tcBorders>
              <w:top w:val="single" w:sz="4" w:space="0" w:color="auto"/>
              <w:left w:val="single" w:sz="4" w:space="0" w:color="auto"/>
              <w:bottom w:val="single" w:sz="4" w:space="0" w:color="auto"/>
              <w:right w:val="single" w:sz="4" w:space="0" w:color="auto"/>
            </w:tcBorders>
          </w:tcPr>
          <w:p w14:paraId="0D3579D9" w14:textId="656186E8" w:rsidR="002D5D0F" w:rsidRDefault="002D5D0F" w:rsidP="00B91EE6">
            <w:pPr>
              <w:keepNext/>
              <w:spacing w:before="80" w:after="80"/>
              <w:ind w:right="342"/>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 xml:space="preserve"> 8.80</w:t>
            </w:r>
          </w:p>
        </w:tc>
        <w:tc>
          <w:tcPr>
            <w:tcW w:w="1151" w:type="pct"/>
            <w:tcBorders>
              <w:top w:val="single" w:sz="4" w:space="0" w:color="auto"/>
              <w:left w:val="single" w:sz="4" w:space="0" w:color="auto"/>
              <w:bottom w:val="single" w:sz="4" w:space="0" w:color="auto"/>
              <w:right w:val="single" w:sz="4" w:space="0" w:color="auto"/>
            </w:tcBorders>
          </w:tcPr>
          <w:p w14:paraId="5790358C" w14:textId="77777777" w:rsidR="002D5D0F" w:rsidRPr="00C66FAA" w:rsidRDefault="002D5D0F" w:rsidP="00B91EE6">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6"/>
                <w:szCs w:val="26"/>
              </w:rPr>
            </w:pPr>
            <w:r w:rsidRPr="00C66FAA">
              <w:rPr>
                <w:color w:val="000000"/>
                <w:sz w:val="26"/>
                <w:szCs w:val="26"/>
              </w:rPr>
              <w:t>1,380,837</w:t>
            </w:r>
          </w:p>
        </w:tc>
        <w:tc>
          <w:tcPr>
            <w:tcW w:w="1203" w:type="pct"/>
            <w:tcBorders>
              <w:top w:val="single" w:sz="4" w:space="0" w:color="auto"/>
              <w:left w:val="single" w:sz="4" w:space="0" w:color="auto"/>
              <w:bottom w:val="single" w:sz="4" w:space="0" w:color="auto"/>
              <w:right w:val="single" w:sz="4" w:space="0" w:color="auto"/>
            </w:tcBorders>
            <w:vAlign w:val="center"/>
          </w:tcPr>
          <w:p w14:paraId="52633325" w14:textId="77777777" w:rsidR="002D5D0F" w:rsidRPr="001C4177" w:rsidRDefault="002D5D0F" w:rsidP="00B91EE6">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6"/>
                <w:szCs w:val="26"/>
              </w:rPr>
            </w:pPr>
            <w:r w:rsidRPr="001C4177">
              <w:rPr>
                <w:color w:val="000000"/>
                <w:sz w:val="26"/>
                <w:szCs w:val="26"/>
              </w:rPr>
              <w:t>80,</w:t>
            </w:r>
            <w:r>
              <w:rPr>
                <w:color w:val="000000"/>
                <w:sz w:val="26"/>
                <w:szCs w:val="26"/>
              </w:rPr>
              <w:t>089</w:t>
            </w:r>
          </w:p>
        </w:tc>
      </w:tr>
      <w:tr w:rsidR="002D5D0F" w:rsidRPr="00C60AB1" w14:paraId="15FB936E" w14:textId="77777777" w:rsidTr="00B91EE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tcPr>
          <w:p w14:paraId="264B4C73" w14:textId="77777777" w:rsidR="002D5D0F" w:rsidRPr="00391D08" w:rsidRDefault="002D5D0F" w:rsidP="00B91EE6">
            <w:pPr>
              <w:keepNext/>
              <w:spacing w:before="80" w:after="80"/>
              <w:rPr>
                <w:b w:val="0"/>
                <w:sz w:val="26"/>
                <w:szCs w:val="26"/>
              </w:rPr>
            </w:pPr>
            <w:r w:rsidRPr="00391D08">
              <w:rPr>
                <w:b w:val="0"/>
                <w:sz w:val="26"/>
                <w:szCs w:val="26"/>
              </w:rPr>
              <w:t>PPL</w:t>
            </w:r>
          </w:p>
        </w:tc>
        <w:tc>
          <w:tcPr>
            <w:tcW w:w="1301" w:type="pct"/>
            <w:tcBorders>
              <w:top w:val="single" w:sz="4" w:space="0" w:color="auto"/>
              <w:left w:val="single" w:sz="4" w:space="0" w:color="auto"/>
              <w:bottom w:val="single" w:sz="4" w:space="0" w:color="auto"/>
              <w:right w:val="single" w:sz="4" w:space="0" w:color="auto"/>
            </w:tcBorders>
          </w:tcPr>
          <w:p w14:paraId="31C09FC9" w14:textId="698168BE" w:rsidR="002D5D0F" w:rsidRPr="00C60AB1" w:rsidRDefault="002D5D0F" w:rsidP="00B91EE6">
            <w:pPr>
              <w:keepNext/>
              <w:spacing w:before="80" w:after="80"/>
              <w:ind w:right="342"/>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 xml:space="preserve"> 9.95</w:t>
            </w:r>
          </w:p>
        </w:tc>
        <w:tc>
          <w:tcPr>
            <w:tcW w:w="1151" w:type="pct"/>
            <w:tcBorders>
              <w:top w:val="single" w:sz="4" w:space="0" w:color="auto"/>
              <w:left w:val="single" w:sz="4" w:space="0" w:color="auto"/>
              <w:bottom w:val="single" w:sz="4" w:space="0" w:color="auto"/>
              <w:right w:val="single" w:sz="4" w:space="0" w:color="auto"/>
            </w:tcBorders>
          </w:tcPr>
          <w:p w14:paraId="45BEAADA" w14:textId="77777777" w:rsidR="002D5D0F" w:rsidRPr="00EA7EA0" w:rsidRDefault="002D5D0F" w:rsidP="00B91EE6">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C66FAA">
              <w:rPr>
                <w:color w:val="000000"/>
                <w:sz w:val="26"/>
                <w:szCs w:val="26"/>
              </w:rPr>
              <w:t>1,250,157</w:t>
            </w:r>
          </w:p>
        </w:tc>
        <w:tc>
          <w:tcPr>
            <w:tcW w:w="1203" w:type="pct"/>
            <w:tcBorders>
              <w:top w:val="single" w:sz="4" w:space="0" w:color="auto"/>
              <w:left w:val="single" w:sz="4" w:space="0" w:color="auto"/>
              <w:bottom w:val="single" w:sz="4" w:space="0" w:color="auto"/>
              <w:right w:val="single" w:sz="4" w:space="0" w:color="auto"/>
            </w:tcBorders>
            <w:vAlign w:val="center"/>
          </w:tcPr>
          <w:p w14:paraId="3EAD35F3" w14:textId="77777777" w:rsidR="002D5D0F" w:rsidRPr="001C4177" w:rsidRDefault="002D5D0F" w:rsidP="00B91EE6">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1C4177">
              <w:rPr>
                <w:color w:val="000000"/>
                <w:sz w:val="26"/>
                <w:szCs w:val="26"/>
              </w:rPr>
              <w:t>72,509</w:t>
            </w:r>
          </w:p>
        </w:tc>
      </w:tr>
      <w:tr w:rsidR="002D5D0F" w:rsidRPr="00C60AB1" w14:paraId="09AB04C8" w14:textId="77777777" w:rsidTr="00B91EE6">
        <w:trPr>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tcPr>
          <w:p w14:paraId="6F53A8DE" w14:textId="77777777" w:rsidR="002D5D0F" w:rsidRPr="00391D08" w:rsidRDefault="002D5D0F" w:rsidP="00B91EE6">
            <w:pPr>
              <w:keepNext/>
              <w:spacing w:before="80" w:after="80"/>
              <w:rPr>
                <w:b w:val="0"/>
                <w:sz w:val="26"/>
                <w:szCs w:val="26"/>
              </w:rPr>
            </w:pPr>
            <w:r w:rsidRPr="00781EC0">
              <w:rPr>
                <w:b w:val="0"/>
                <w:sz w:val="26"/>
                <w:szCs w:val="26"/>
              </w:rPr>
              <w:t>FE: Met-</w:t>
            </w:r>
            <w:r w:rsidRPr="00781EC0" w:rsidDel="00EC2C30">
              <w:rPr>
                <w:b w:val="0"/>
                <w:sz w:val="26"/>
                <w:szCs w:val="26"/>
              </w:rPr>
              <w:t>Ed</w:t>
            </w:r>
          </w:p>
        </w:tc>
        <w:tc>
          <w:tcPr>
            <w:tcW w:w="1301" w:type="pct"/>
            <w:tcBorders>
              <w:top w:val="single" w:sz="4" w:space="0" w:color="auto"/>
              <w:left w:val="single" w:sz="4" w:space="0" w:color="auto"/>
              <w:bottom w:val="single" w:sz="4" w:space="0" w:color="auto"/>
              <w:right w:val="single" w:sz="4" w:space="0" w:color="auto"/>
            </w:tcBorders>
          </w:tcPr>
          <w:p w14:paraId="7782388B" w14:textId="249C2188" w:rsidR="002D5D0F" w:rsidRPr="00C60AB1" w:rsidRDefault="002D5D0F" w:rsidP="00B91EE6">
            <w:pPr>
              <w:keepNext/>
              <w:spacing w:before="80" w:after="80"/>
              <w:ind w:right="342"/>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 xml:space="preserve"> 8.79</w:t>
            </w:r>
          </w:p>
        </w:tc>
        <w:tc>
          <w:tcPr>
            <w:tcW w:w="1151" w:type="pct"/>
            <w:tcBorders>
              <w:top w:val="single" w:sz="4" w:space="0" w:color="auto"/>
              <w:left w:val="single" w:sz="4" w:space="0" w:color="auto"/>
              <w:bottom w:val="single" w:sz="4" w:space="0" w:color="auto"/>
              <w:right w:val="single" w:sz="4" w:space="0" w:color="auto"/>
            </w:tcBorders>
          </w:tcPr>
          <w:p w14:paraId="59C01BEA" w14:textId="77777777" w:rsidR="002D5D0F" w:rsidRPr="00EA7EA0" w:rsidRDefault="002D5D0F" w:rsidP="00B91EE6">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C66FAA">
              <w:rPr>
                <w:color w:val="000000"/>
                <w:sz w:val="26"/>
                <w:szCs w:val="26"/>
              </w:rPr>
              <w:t>463,215</w:t>
            </w:r>
          </w:p>
        </w:tc>
        <w:tc>
          <w:tcPr>
            <w:tcW w:w="1203" w:type="pct"/>
            <w:tcBorders>
              <w:top w:val="single" w:sz="4" w:space="0" w:color="auto"/>
              <w:left w:val="single" w:sz="4" w:space="0" w:color="auto"/>
              <w:bottom w:val="single" w:sz="4" w:space="0" w:color="auto"/>
              <w:right w:val="single" w:sz="4" w:space="0" w:color="auto"/>
            </w:tcBorders>
            <w:vAlign w:val="center"/>
          </w:tcPr>
          <w:p w14:paraId="39FBBDBE" w14:textId="77777777" w:rsidR="002D5D0F" w:rsidRPr="001C4177" w:rsidRDefault="002D5D0F" w:rsidP="00B91EE6">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1C4177">
              <w:rPr>
                <w:color w:val="000000"/>
                <w:sz w:val="26"/>
                <w:szCs w:val="26"/>
              </w:rPr>
              <w:t>26,866</w:t>
            </w:r>
          </w:p>
        </w:tc>
      </w:tr>
      <w:tr w:rsidR="002D5D0F" w:rsidRPr="00C60AB1" w14:paraId="5815C29E" w14:textId="77777777" w:rsidTr="00B91EE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hideMark/>
          </w:tcPr>
          <w:p w14:paraId="00E32F92" w14:textId="77777777" w:rsidR="002D5D0F" w:rsidRPr="00391D08" w:rsidRDefault="002D5D0F" w:rsidP="00B91EE6">
            <w:pPr>
              <w:keepNext/>
              <w:spacing w:before="80" w:after="80"/>
              <w:rPr>
                <w:b w:val="0"/>
                <w:sz w:val="26"/>
                <w:szCs w:val="26"/>
              </w:rPr>
            </w:pPr>
            <w:r w:rsidRPr="00781EC0">
              <w:rPr>
                <w:b w:val="0"/>
                <w:sz w:val="26"/>
                <w:szCs w:val="26"/>
              </w:rPr>
              <w:t>FE: Penelec</w:t>
            </w:r>
          </w:p>
        </w:tc>
        <w:tc>
          <w:tcPr>
            <w:tcW w:w="1301" w:type="pct"/>
            <w:tcBorders>
              <w:top w:val="single" w:sz="4" w:space="0" w:color="auto"/>
              <w:left w:val="single" w:sz="4" w:space="0" w:color="auto"/>
              <w:bottom w:val="single" w:sz="4" w:space="0" w:color="auto"/>
              <w:right w:val="single" w:sz="4" w:space="0" w:color="auto"/>
            </w:tcBorders>
          </w:tcPr>
          <w:p w14:paraId="26A4AF62" w14:textId="77777777" w:rsidR="002D5D0F" w:rsidRPr="00C60AB1" w:rsidRDefault="002D5D0F" w:rsidP="00B91EE6">
            <w:pPr>
              <w:keepNext/>
              <w:spacing w:before="80" w:after="80"/>
              <w:ind w:right="342"/>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10.23</w:t>
            </w:r>
          </w:p>
        </w:tc>
        <w:tc>
          <w:tcPr>
            <w:tcW w:w="1151" w:type="pct"/>
            <w:tcBorders>
              <w:top w:val="single" w:sz="4" w:space="0" w:color="auto"/>
              <w:left w:val="single" w:sz="4" w:space="0" w:color="auto"/>
              <w:bottom w:val="single" w:sz="4" w:space="0" w:color="auto"/>
              <w:right w:val="single" w:sz="4" w:space="0" w:color="auto"/>
            </w:tcBorders>
          </w:tcPr>
          <w:p w14:paraId="16E9170D" w14:textId="77777777" w:rsidR="002D5D0F" w:rsidRPr="00EA7EA0" w:rsidRDefault="002D5D0F" w:rsidP="00B91EE6">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C66FAA">
              <w:rPr>
                <w:color w:val="000000"/>
                <w:sz w:val="26"/>
                <w:szCs w:val="26"/>
              </w:rPr>
              <w:t>437,676</w:t>
            </w:r>
          </w:p>
        </w:tc>
        <w:tc>
          <w:tcPr>
            <w:tcW w:w="1203" w:type="pct"/>
            <w:tcBorders>
              <w:top w:val="single" w:sz="4" w:space="0" w:color="auto"/>
              <w:left w:val="single" w:sz="4" w:space="0" w:color="auto"/>
              <w:bottom w:val="single" w:sz="4" w:space="0" w:color="auto"/>
              <w:right w:val="single" w:sz="4" w:space="0" w:color="auto"/>
            </w:tcBorders>
            <w:vAlign w:val="center"/>
          </w:tcPr>
          <w:p w14:paraId="0726018A" w14:textId="77777777" w:rsidR="002D5D0F" w:rsidRPr="001C4177" w:rsidRDefault="002D5D0F" w:rsidP="00B91EE6">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1C4177">
              <w:rPr>
                <w:color w:val="000000"/>
                <w:sz w:val="26"/>
                <w:szCs w:val="26"/>
              </w:rPr>
              <w:t>25,385</w:t>
            </w:r>
          </w:p>
        </w:tc>
      </w:tr>
      <w:tr w:rsidR="002D5D0F" w:rsidRPr="00C60AB1" w14:paraId="6B38CED1" w14:textId="77777777" w:rsidTr="00B91EE6">
        <w:trPr>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hideMark/>
          </w:tcPr>
          <w:p w14:paraId="55D8016C" w14:textId="77777777" w:rsidR="002D5D0F" w:rsidRPr="00391D08" w:rsidRDefault="002D5D0F" w:rsidP="00B91EE6">
            <w:pPr>
              <w:keepNext/>
              <w:spacing w:before="80" w:after="80"/>
              <w:rPr>
                <w:b w:val="0"/>
                <w:sz w:val="26"/>
                <w:szCs w:val="26"/>
              </w:rPr>
            </w:pPr>
            <w:r w:rsidRPr="00781EC0">
              <w:rPr>
                <w:b w:val="0"/>
                <w:sz w:val="26"/>
                <w:szCs w:val="26"/>
              </w:rPr>
              <w:t>FE: Penn Power</w:t>
            </w:r>
          </w:p>
        </w:tc>
        <w:tc>
          <w:tcPr>
            <w:tcW w:w="1301" w:type="pct"/>
            <w:tcBorders>
              <w:top w:val="single" w:sz="4" w:space="0" w:color="auto"/>
              <w:left w:val="single" w:sz="4" w:space="0" w:color="auto"/>
              <w:bottom w:val="single" w:sz="4" w:space="0" w:color="auto"/>
              <w:right w:val="single" w:sz="4" w:space="0" w:color="auto"/>
            </w:tcBorders>
          </w:tcPr>
          <w:p w14:paraId="5ABB8278" w14:textId="77777777" w:rsidR="002D5D0F" w:rsidRPr="00C60AB1" w:rsidRDefault="002D5D0F" w:rsidP="00B91EE6">
            <w:pPr>
              <w:keepNext/>
              <w:spacing w:before="80" w:after="80"/>
              <w:ind w:right="342"/>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10.64</w:t>
            </w:r>
          </w:p>
        </w:tc>
        <w:tc>
          <w:tcPr>
            <w:tcW w:w="1151" w:type="pct"/>
            <w:tcBorders>
              <w:top w:val="single" w:sz="4" w:space="0" w:color="auto"/>
              <w:left w:val="single" w:sz="4" w:space="0" w:color="auto"/>
              <w:bottom w:val="single" w:sz="4" w:space="0" w:color="auto"/>
              <w:right w:val="single" w:sz="4" w:space="0" w:color="auto"/>
            </w:tcBorders>
          </w:tcPr>
          <w:p w14:paraId="6689278F" w14:textId="77777777" w:rsidR="002D5D0F" w:rsidRPr="00EA7EA0" w:rsidRDefault="002D5D0F" w:rsidP="00B91EE6">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C66FAA">
              <w:rPr>
                <w:color w:val="000000"/>
                <w:sz w:val="26"/>
                <w:szCs w:val="26"/>
              </w:rPr>
              <w:t>128,909</w:t>
            </w:r>
          </w:p>
        </w:tc>
        <w:tc>
          <w:tcPr>
            <w:tcW w:w="1203" w:type="pct"/>
            <w:tcBorders>
              <w:top w:val="single" w:sz="4" w:space="0" w:color="auto"/>
              <w:left w:val="single" w:sz="4" w:space="0" w:color="auto"/>
              <w:bottom w:val="single" w:sz="4" w:space="0" w:color="auto"/>
              <w:right w:val="single" w:sz="4" w:space="0" w:color="auto"/>
            </w:tcBorders>
            <w:vAlign w:val="center"/>
          </w:tcPr>
          <w:p w14:paraId="36BF7D5B" w14:textId="77777777" w:rsidR="002D5D0F" w:rsidRPr="001C4177" w:rsidRDefault="002D5D0F" w:rsidP="00B91EE6">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1C4177">
              <w:rPr>
                <w:color w:val="000000"/>
                <w:sz w:val="26"/>
                <w:szCs w:val="26"/>
              </w:rPr>
              <w:t>7,477</w:t>
            </w:r>
          </w:p>
        </w:tc>
      </w:tr>
      <w:tr w:rsidR="002D5D0F" w:rsidRPr="00C60AB1" w14:paraId="6C083E0B" w14:textId="77777777" w:rsidTr="00B91EE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tcPr>
          <w:p w14:paraId="7D63220E" w14:textId="77777777" w:rsidR="002D5D0F" w:rsidRPr="00391D08" w:rsidRDefault="002D5D0F" w:rsidP="00B91EE6">
            <w:pPr>
              <w:keepNext/>
              <w:spacing w:before="80" w:after="80"/>
              <w:rPr>
                <w:b w:val="0"/>
                <w:sz w:val="26"/>
                <w:szCs w:val="26"/>
              </w:rPr>
            </w:pPr>
            <w:r w:rsidRPr="00781EC0">
              <w:rPr>
                <w:b w:val="0"/>
                <w:sz w:val="26"/>
                <w:szCs w:val="26"/>
              </w:rPr>
              <w:t>FE: West Penn Power</w:t>
            </w:r>
          </w:p>
        </w:tc>
        <w:tc>
          <w:tcPr>
            <w:tcW w:w="1301" w:type="pct"/>
            <w:tcBorders>
              <w:top w:val="single" w:sz="4" w:space="0" w:color="auto"/>
              <w:left w:val="single" w:sz="4" w:space="0" w:color="auto"/>
              <w:bottom w:val="single" w:sz="4" w:space="0" w:color="auto"/>
              <w:right w:val="single" w:sz="4" w:space="0" w:color="auto"/>
            </w:tcBorders>
          </w:tcPr>
          <w:p w14:paraId="5F1E7649" w14:textId="14BF3673" w:rsidR="002D5D0F" w:rsidRPr="00C60AB1" w:rsidRDefault="002D5D0F" w:rsidP="00B91EE6">
            <w:pPr>
              <w:keepNext/>
              <w:spacing w:before="80" w:after="80"/>
              <w:ind w:right="342"/>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 xml:space="preserve"> 8.79</w:t>
            </w:r>
          </w:p>
        </w:tc>
        <w:tc>
          <w:tcPr>
            <w:tcW w:w="1151" w:type="pct"/>
            <w:tcBorders>
              <w:top w:val="single" w:sz="4" w:space="0" w:color="auto"/>
              <w:left w:val="single" w:sz="4" w:space="0" w:color="auto"/>
              <w:bottom w:val="single" w:sz="4" w:space="0" w:color="auto"/>
              <w:right w:val="single" w:sz="4" w:space="0" w:color="auto"/>
            </w:tcBorders>
          </w:tcPr>
          <w:p w14:paraId="2EACAA75" w14:textId="77777777" w:rsidR="002D5D0F" w:rsidRPr="00EA7EA0" w:rsidRDefault="002D5D0F" w:rsidP="00B91EE6">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C66FAA">
              <w:rPr>
                <w:color w:val="000000"/>
                <w:sz w:val="26"/>
                <w:szCs w:val="26"/>
              </w:rPr>
              <w:t>504,951</w:t>
            </w:r>
          </w:p>
        </w:tc>
        <w:tc>
          <w:tcPr>
            <w:tcW w:w="1203" w:type="pct"/>
            <w:tcBorders>
              <w:top w:val="single" w:sz="4" w:space="0" w:color="auto"/>
              <w:left w:val="single" w:sz="4" w:space="0" w:color="auto"/>
              <w:bottom w:val="single" w:sz="4" w:space="0" w:color="auto"/>
              <w:right w:val="single" w:sz="4" w:space="0" w:color="auto"/>
            </w:tcBorders>
          </w:tcPr>
          <w:p w14:paraId="31141F79" w14:textId="77777777" w:rsidR="002D5D0F" w:rsidRPr="001C4177" w:rsidRDefault="002D5D0F" w:rsidP="00B91EE6">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1C4177">
              <w:rPr>
                <w:color w:val="000000"/>
                <w:sz w:val="26"/>
                <w:szCs w:val="26"/>
              </w:rPr>
              <w:t>29,287</w:t>
            </w:r>
          </w:p>
        </w:tc>
      </w:tr>
      <w:tr w:rsidR="002D5D0F" w:rsidRPr="00C60AB1" w14:paraId="15C54ACD" w14:textId="77777777" w:rsidTr="00B91EE6">
        <w:trPr>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hideMark/>
          </w:tcPr>
          <w:p w14:paraId="13412B14" w14:textId="77777777" w:rsidR="002D5D0F" w:rsidRPr="00077CF4" w:rsidRDefault="002D5D0F" w:rsidP="00B91EE6">
            <w:pPr>
              <w:keepNext/>
              <w:spacing w:before="80" w:after="80"/>
              <w:rPr>
                <w:sz w:val="26"/>
                <w:szCs w:val="26"/>
              </w:rPr>
            </w:pPr>
            <w:r w:rsidRPr="00077CF4">
              <w:rPr>
                <w:sz w:val="26"/>
                <w:szCs w:val="26"/>
              </w:rPr>
              <w:t>Statewide</w:t>
            </w:r>
          </w:p>
        </w:tc>
        <w:tc>
          <w:tcPr>
            <w:tcW w:w="1301" w:type="pct"/>
            <w:tcBorders>
              <w:top w:val="single" w:sz="4" w:space="0" w:color="auto"/>
              <w:left w:val="single" w:sz="4" w:space="0" w:color="auto"/>
              <w:bottom w:val="single" w:sz="4" w:space="0" w:color="auto"/>
              <w:right w:val="single" w:sz="4" w:space="0" w:color="auto"/>
            </w:tcBorders>
          </w:tcPr>
          <w:p w14:paraId="461E5424" w14:textId="77777777" w:rsidR="002D5D0F" w:rsidRPr="00077CF4" w:rsidRDefault="002D5D0F" w:rsidP="00B91EE6">
            <w:pPr>
              <w:keepNext/>
              <w:spacing w:before="80" w:after="80"/>
              <w:ind w:right="342"/>
              <w:jc w:val="center"/>
              <w:cnfStyle w:val="000000000000" w:firstRow="0" w:lastRow="0" w:firstColumn="0" w:lastColumn="0" w:oddVBand="0" w:evenVBand="0" w:oddHBand="0" w:evenHBand="0" w:firstRowFirstColumn="0" w:firstRowLastColumn="0" w:lastRowFirstColumn="0" w:lastRowLastColumn="0"/>
              <w:rPr>
                <w:b/>
                <w:sz w:val="26"/>
                <w:szCs w:val="26"/>
              </w:rPr>
            </w:pPr>
          </w:p>
        </w:tc>
        <w:tc>
          <w:tcPr>
            <w:tcW w:w="1151" w:type="pct"/>
            <w:tcBorders>
              <w:top w:val="single" w:sz="4" w:space="0" w:color="auto"/>
              <w:left w:val="single" w:sz="4" w:space="0" w:color="auto"/>
              <w:bottom w:val="single" w:sz="4" w:space="0" w:color="auto"/>
              <w:right w:val="single" w:sz="4" w:space="0" w:color="auto"/>
            </w:tcBorders>
          </w:tcPr>
          <w:p w14:paraId="148EB38F" w14:textId="77777777" w:rsidR="002D5D0F" w:rsidRPr="00EA7EA0" w:rsidRDefault="002D5D0F" w:rsidP="00B91EE6">
            <w:pPr>
              <w:keepNext/>
              <w:spacing w:before="80" w:after="80"/>
              <w:jc w:val="center"/>
              <w:cnfStyle w:val="000000000000" w:firstRow="0" w:lastRow="0" w:firstColumn="0" w:lastColumn="0" w:oddVBand="0" w:evenVBand="0" w:oddHBand="0" w:evenHBand="0" w:firstRowFirstColumn="0" w:firstRowLastColumn="0" w:lastRowFirstColumn="0" w:lastRowLastColumn="0"/>
              <w:rPr>
                <w:b/>
                <w:sz w:val="26"/>
                <w:szCs w:val="26"/>
                <w:highlight w:val="yellow"/>
              </w:rPr>
            </w:pPr>
            <w:r w:rsidRPr="00C66FAA">
              <w:rPr>
                <w:b/>
                <w:bCs/>
                <w:color w:val="000000"/>
                <w:sz w:val="26"/>
                <w:szCs w:val="26"/>
              </w:rPr>
              <w:t>4,512,829</w:t>
            </w:r>
          </w:p>
        </w:tc>
        <w:tc>
          <w:tcPr>
            <w:tcW w:w="1203" w:type="pct"/>
            <w:tcBorders>
              <w:top w:val="single" w:sz="4" w:space="0" w:color="auto"/>
              <w:left w:val="single" w:sz="4" w:space="0" w:color="auto"/>
              <w:bottom w:val="single" w:sz="4" w:space="0" w:color="auto"/>
              <w:right w:val="single" w:sz="4" w:space="0" w:color="auto"/>
            </w:tcBorders>
            <w:vAlign w:val="center"/>
          </w:tcPr>
          <w:p w14:paraId="418B3D8E" w14:textId="77777777" w:rsidR="002D5D0F" w:rsidRPr="001C4177" w:rsidRDefault="002D5D0F" w:rsidP="00B91EE6">
            <w:pPr>
              <w:keepNext/>
              <w:spacing w:before="80" w:after="80"/>
              <w:jc w:val="center"/>
              <w:cnfStyle w:val="000000000000" w:firstRow="0" w:lastRow="0" w:firstColumn="0" w:lastColumn="0" w:oddVBand="0" w:evenVBand="0" w:oddHBand="0" w:evenHBand="0" w:firstRowFirstColumn="0" w:firstRowLastColumn="0" w:lastRowFirstColumn="0" w:lastRowLastColumn="0"/>
              <w:rPr>
                <w:b/>
                <w:sz w:val="26"/>
                <w:szCs w:val="26"/>
                <w:highlight w:val="yellow"/>
              </w:rPr>
            </w:pPr>
            <w:r w:rsidRPr="001C4177">
              <w:rPr>
                <w:b/>
                <w:bCs/>
                <w:color w:val="000000"/>
                <w:sz w:val="26"/>
                <w:szCs w:val="26"/>
              </w:rPr>
              <w:t>261,</w:t>
            </w:r>
            <w:r>
              <w:rPr>
                <w:b/>
                <w:bCs/>
                <w:color w:val="000000"/>
                <w:sz w:val="26"/>
                <w:szCs w:val="26"/>
              </w:rPr>
              <w:t>744</w:t>
            </w:r>
          </w:p>
        </w:tc>
      </w:tr>
    </w:tbl>
    <w:p w14:paraId="29A04DE0" w14:textId="77777777" w:rsidR="00343D2B" w:rsidRDefault="00343D2B" w:rsidP="00120D2E">
      <w:pPr>
        <w:spacing w:line="360" w:lineRule="auto"/>
        <w:rPr>
          <w:sz w:val="26"/>
          <w:szCs w:val="26"/>
        </w:rPr>
      </w:pPr>
    </w:p>
    <w:p w14:paraId="78F8FC23" w14:textId="124247DD" w:rsidR="009B3E2D" w:rsidRDefault="00D922E7" w:rsidP="00EB6FDF">
      <w:pPr>
        <w:pStyle w:val="StyleLinespacing15lines"/>
      </w:pPr>
      <w:r>
        <w:tab/>
      </w:r>
      <w:r w:rsidR="0063718C">
        <w:t>Furthermore, a</w:t>
      </w:r>
      <w:r>
        <w:t xml:space="preserve">fter review of the </w:t>
      </w:r>
      <w:r w:rsidR="00C47561">
        <w:t xml:space="preserve">EEPDR Potential </w:t>
      </w:r>
      <w:r w:rsidR="00AE6E4A">
        <w:t>Study</w:t>
      </w:r>
      <w:r w:rsidR="003F23DD">
        <w:t xml:space="preserve"> results</w:t>
      </w:r>
      <w:r w:rsidR="001F4375">
        <w:t>,</w:t>
      </w:r>
      <w:r>
        <w:t xml:space="preserve"> the Commission  propos</w:t>
      </w:r>
      <w:r w:rsidR="0063718C">
        <w:t>es</w:t>
      </w:r>
      <w:r>
        <w:t xml:space="preserve"> to require each EDC </w:t>
      </w:r>
      <w:r w:rsidR="0063718C">
        <w:t xml:space="preserve">to </w:t>
      </w:r>
      <w:r>
        <w:t>obtain a minimum of 5.</w:t>
      </w:r>
      <w:r w:rsidR="006346D6">
        <w:t>8</w:t>
      </w:r>
      <w:r>
        <w:t xml:space="preserve">% of </w:t>
      </w:r>
      <w:r w:rsidR="0063718C">
        <w:t>its</w:t>
      </w:r>
      <w:r>
        <w:t xml:space="preserve"> total consumption </w:t>
      </w:r>
      <w:r w:rsidR="00742B06">
        <w:t>reduction</w:t>
      </w:r>
      <w:r>
        <w:t xml:space="preserve"> target from the low-</w:t>
      </w:r>
      <w:r w:rsidRPr="00B82A71">
        <w:t>income sector</w:t>
      </w:r>
      <w:r w:rsidR="00AA5B56">
        <w:t xml:space="preserve"> as outlined in </w:t>
      </w:r>
      <w:r w:rsidR="002D5D0F">
        <w:t>Table 7 above</w:t>
      </w:r>
      <w:r w:rsidR="005434D1">
        <w:t xml:space="preserve"> from </w:t>
      </w:r>
      <w:r w:rsidR="005434D1" w:rsidRPr="000E2557">
        <w:t>programs solely directed at low-income customers or low-income-verified participants in multifamily housing programs</w:t>
      </w:r>
      <w:r w:rsidR="005434D1">
        <w:t xml:space="preserve">. </w:t>
      </w:r>
      <w:r w:rsidR="00D1551C">
        <w:t xml:space="preserve"> </w:t>
      </w:r>
      <w:r w:rsidR="005434D1" w:rsidRPr="000E2557">
        <w:t>Savings from non-low-income</w:t>
      </w:r>
      <w:r w:rsidR="00AA448A">
        <w:t xml:space="preserve"> </w:t>
      </w:r>
      <w:r w:rsidR="005434D1" w:rsidRPr="000E2557">
        <w:t xml:space="preserve">programs, such as general residential programs, </w:t>
      </w:r>
      <w:r w:rsidR="005434D1">
        <w:t>would</w:t>
      </w:r>
      <w:r w:rsidR="005434D1" w:rsidRPr="000E2557">
        <w:t xml:space="preserve"> not be counted </w:t>
      </w:r>
      <w:r w:rsidR="00D1551C">
        <w:t>toward</w:t>
      </w:r>
      <w:r w:rsidR="003919A0">
        <w:t xml:space="preserve"> these targets</w:t>
      </w:r>
      <w:r w:rsidRPr="00B82A71">
        <w:t>.</w:t>
      </w:r>
      <w:r w:rsidR="00AA5B56">
        <w:rPr>
          <w:rStyle w:val="FootnoteReference"/>
          <w:szCs w:val="26"/>
        </w:rPr>
        <w:footnoteReference w:id="32"/>
      </w:r>
      <w:r w:rsidRPr="00B82A71">
        <w:t xml:space="preserve"> </w:t>
      </w:r>
    </w:p>
    <w:p w14:paraId="6013F7CB" w14:textId="77777777" w:rsidR="001255C5" w:rsidRDefault="001255C5" w:rsidP="00AA448A">
      <w:pPr>
        <w:spacing w:line="360" w:lineRule="auto"/>
        <w:ind w:firstLine="720"/>
        <w:rPr>
          <w:sz w:val="26"/>
          <w:szCs w:val="26"/>
        </w:rPr>
      </w:pPr>
    </w:p>
    <w:p w14:paraId="35118889" w14:textId="1D725D2C" w:rsidR="005434D1" w:rsidRDefault="00262321" w:rsidP="00AA448A">
      <w:pPr>
        <w:spacing w:line="360" w:lineRule="auto"/>
        <w:ind w:firstLine="720"/>
        <w:rPr>
          <w:sz w:val="26"/>
          <w:szCs w:val="26"/>
        </w:rPr>
      </w:pPr>
      <w:r>
        <w:rPr>
          <w:sz w:val="26"/>
          <w:szCs w:val="26"/>
        </w:rPr>
        <w:lastRenderedPageBreak/>
        <w:t xml:space="preserve">In addition, the Commission </w:t>
      </w:r>
      <w:r w:rsidRPr="00262321">
        <w:rPr>
          <w:sz w:val="26"/>
          <w:szCs w:val="26"/>
        </w:rPr>
        <w:t xml:space="preserve">invites stakeholders to propose a different approach that </w:t>
      </w:r>
      <w:r w:rsidR="009B3E2D">
        <w:rPr>
          <w:sz w:val="26"/>
          <w:szCs w:val="26"/>
        </w:rPr>
        <w:t>would</w:t>
      </w:r>
      <w:r w:rsidRPr="00262321">
        <w:rPr>
          <w:sz w:val="26"/>
          <w:szCs w:val="26"/>
        </w:rPr>
        <w:t xml:space="preserve"> harmonize the management and spending of Act 129 low-income funds with </w:t>
      </w:r>
      <w:r w:rsidR="009B3E2D">
        <w:rPr>
          <w:sz w:val="26"/>
          <w:szCs w:val="26"/>
        </w:rPr>
        <w:t xml:space="preserve">Low Income Usage Reduction Program </w:t>
      </w:r>
      <w:r w:rsidR="003919A0" w:rsidRPr="00262321">
        <w:rPr>
          <w:sz w:val="26"/>
          <w:szCs w:val="26"/>
        </w:rPr>
        <w:t>fund</w:t>
      </w:r>
      <w:r w:rsidR="003919A0">
        <w:rPr>
          <w:sz w:val="26"/>
          <w:szCs w:val="26"/>
        </w:rPr>
        <w:t xml:space="preserve">s </w:t>
      </w:r>
      <w:r w:rsidR="00105AD7">
        <w:rPr>
          <w:sz w:val="26"/>
          <w:szCs w:val="26"/>
        </w:rPr>
        <w:t xml:space="preserve">that is also </w:t>
      </w:r>
      <w:r w:rsidR="009B3E2D">
        <w:rPr>
          <w:sz w:val="26"/>
          <w:szCs w:val="26"/>
        </w:rPr>
        <w:t xml:space="preserve">overseen by the </w:t>
      </w:r>
      <w:r w:rsidRPr="00262321">
        <w:rPr>
          <w:sz w:val="26"/>
          <w:szCs w:val="26"/>
        </w:rPr>
        <w:t>Commission</w:t>
      </w:r>
      <w:r w:rsidR="0064585C">
        <w:rPr>
          <w:sz w:val="26"/>
          <w:szCs w:val="26"/>
        </w:rPr>
        <w:t>.</w:t>
      </w:r>
      <w:r w:rsidRPr="00262321">
        <w:rPr>
          <w:sz w:val="26"/>
          <w:szCs w:val="26"/>
        </w:rPr>
        <w:t xml:space="preserve">    </w:t>
      </w:r>
      <w:r w:rsidR="00D922E7" w:rsidRPr="00B82A71">
        <w:rPr>
          <w:sz w:val="26"/>
          <w:szCs w:val="26"/>
        </w:rPr>
        <w:t xml:space="preserve"> </w:t>
      </w:r>
      <w:r w:rsidR="009B3E2D">
        <w:rPr>
          <w:sz w:val="26"/>
          <w:szCs w:val="26"/>
        </w:rPr>
        <w:t xml:space="preserve"> </w:t>
      </w:r>
    </w:p>
    <w:p w14:paraId="1BD82D1B" w14:textId="66DF5D24" w:rsidR="00DE484B" w:rsidRDefault="001D3AC4" w:rsidP="00E86859">
      <w:pPr>
        <w:pStyle w:val="p3"/>
        <w:widowControl/>
        <w:spacing w:line="360" w:lineRule="auto"/>
        <w:rPr>
          <w:szCs w:val="26"/>
        </w:rPr>
      </w:pPr>
      <w:r>
        <w:rPr>
          <w:szCs w:val="26"/>
        </w:rPr>
        <w:t xml:space="preserve">       </w:t>
      </w:r>
    </w:p>
    <w:p w14:paraId="4F4718E2" w14:textId="22052E35" w:rsidR="00CB7D77" w:rsidRDefault="0082320C" w:rsidP="0009548F">
      <w:pPr>
        <w:pStyle w:val="p3"/>
        <w:widowControl/>
        <w:spacing w:line="360" w:lineRule="auto"/>
        <w:ind w:firstLine="720"/>
        <w:rPr>
          <w:szCs w:val="26"/>
        </w:rPr>
      </w:pPr>
      <w:r>
        <w:rPr>
          <w:szCs w:val="26"/>
        </w:rPr>
        <w:t>As adopted in Phase</w:t>
      </w:r>
      <w:r w:rsidR="004F28DC">
        <w:rPr>
          <w:szCs w:val="26"/>
        </w:rPr>
        <w:t>s</w:t>
      </w:r>
      <w:r>
        <w:rPr>
          <w:szCs w:val="26"/>
        </w:rPr>
        <w:t xml:space="preserve"> II</w:t>
      </w:r>
      <w:r w:rsidR="004F28DC">
        <w:rPr>
          <w:szCs w:val="26"/>
        </w:rPr>
        <w:t xml:space="preserve"> and III</w:t>
      </w:r>
      <w:r>
        <w:rPr>
          <w:szCs w:val="26"/>
        </w:rPr>
        <w:t xml:space="preserve">, </w:t>
      </w:r>
      <w:r w:rsidR="00EA7361">
        <w:rPr>
          <w:szCs w:val="26"/>
        </w:rPr>
        <w:t>EDCs that fail to meet this proposed Phase I</w:t>
      </w:r>
      <w:r w:rsidR="004F28DC">
        <w:rPr>
          <w:szCs w:val="26"/>
        </w:rPr>
        <w:t>V</w:t>
      </w:r>
      <w:r w:rsidR="00EA7361">
        <w:rPr>
          <w:szCs w:val="26"/>
        </w:rPr>
        <w:t xml:space="preserve"> low-income carve-out, will not be subject to the penalties prescribed under subsection 2806.1(f) of the Act, 66 Pa. C.S. § 2806.1(f).  They will, however, be subject to the penalties prescribed under Chapter 33 of the Public Utility Code, 66 Pa. C.S. § 3301(a).</w:t>
      </w:r>
    </w:p>
    <w:p w14:paraId="75927927" w14:textId="77777777" w:rsidR="00CB7D77" w:rsidRPr="00FA5D5C" w:rsidRDefault="00CB7D77" w:rsidP="0009548F">
      <w:pPr>
        <w:pStyle w:val="p3"/>
        <w:widowControl/>
        <w:spacing w:line="360" w:lineRule="auto"/>
        <w:ind w:firstLine="720"/>
        <w:rPr>
          <w:szCs w:val="26"/>
        </w:rPr>
      </w:pPr>
    </w:p>
    <w:p w14:paraId="0F3ED252" w14:textId="0E7B12CF" w:rsidR="00CB0C7A" w:rsidRDefault="00D519D6" w:rsidP="004D3955">
      <w:pPr>
        <w:pStyle w:val="Heading3"/>
      </w:pPr>
      <w:bookmarkStart w:id="276" w:name="_Toc33781998"/>
      <w:r w:rsidRPr="00105231">
        <w:t xml:space="preserve">Carve-Out for Government, </w:t>
      </w:r>
      <w:r w:rsidR="008D5C2C">
        <w:t>Nonprofit</w:t>
      </w:r>
      <w:r w:rsidRPr="00105231">
        <w:t xml:space="preserve"> and </w:t>
      </w:r>
      <w:r w:rsidR="00B21052">
        <w:t>Institutional</w:t>
      </w:r>
      <w:r w:rsidRPr="00105231">
        <w:t xml:space="preserve"> Entities</w:t>
      </w:r>
      <w:bookmarkEnd w:id="276"/>
    </w:p>
    <w:p w14:paraId="78173EB8" w14:textId="237E3491" w:rsidR="00105231" w:rsidRDefault="00105231" w:rsidP="0009548F">
      <w:pPr>
        <w:pStyle w:val="p3"/>
        <w:widowControl/>
        <w:tabs>
          <w:tab w:val="clear" w:pos="204"/>
          <w:tab w:val="left" w:pos="-2070"/>
        </w:tabs>
        <w:spacing w:line="360" w:lineRule="auto"/>
        <w:rPr>
          <w:szCs w:val="26"/>
        </w:rPr>
      </w:pPr>
      <w:r>
        <w:rPr>
          <w:szCs w:val="26"/>
        </w:rPr>
        <w:tab/>
      </w:r>
      <w:r w:rsidRPr="3792F7D5">
        <w:t xml:space="preserve">Act 129 required </w:t>
      </w:r>
      <w:r w:rsidR="00682E19">
        <w:t xml:space="preserve">in its initial phase of implementation </w:t>
      </w:r>
      <w:r w:rsidRPr="3792F7D5">
        <w:t xml:space="preserve">that EE&amp;C Plans obtain a minimum of ten percent (10%) of all consumption and peak demand reduction requirements from units of the federal, state and local governments, including municipalities, </w:t>
      </w:r>
      <w:r w:rsidR="008611F7">
        <w:t xml:space="preserve">nonprofit entities and institutions, including </w:t>
      </w:r>
      <w:r w:rsidRPr="3792F7D5">
        <w:t>school districts</w:t>
      </w:r>
      <w:r w:rsidR="008611F7">
        <w:t xml:space="preserve"> and</w:t>
      </w:r>
      <w:r w:rsidRPr="3792F7D5">
        <w:t xml:space="preserve"> institutions of higher education (</w:t>
      </w:r>
      <w:r w:rsidR="00AB0AD8">
        <w:t>GNI</w:t>
      </w:r>
      <w:r w:rsidR="00AB0AD8" w:rsidRPr="3792F7D5" w:rsidDel="00AB0AD8">
        <w:t xml:space="preserve"> </w:t>
      </w:r>
      <w:r w:rsidRPr="3792F7D5">
        <w:t>carve-out).  66 Pa. C.S. § 2806.1(b)(1)(i)(B).</w:t>
      </w:r>
      <w:r w:rsidR="003545A4">
        <w:rPr>
          <w:szCs w:val="26"/>
        </w:rPr>
        <w:t xml:space="preserve"> </w:t>
      </w:r>
      <w:r w:rsidR="00A6623D">
        <w:rPr>
          <w:szCs w:val="26"/>
        </w:rPr>
        <w:t xml:space="preserve"> </w:t>
      </w:r>
      <w:r w:rsidR="0054297E">
        <w:rPr>
          <w:szCs w:val="26"/>
        </w:rPr>
        <w:t xml:space="preserve">No such </w:t>
      </w:r>
      <w:r w:rsidR="00EF50C5">
        <w:rPr>
          <w:szCs w:val="26"/>
        </w:rPr>
        <w:t>stipulation is required for subsequent phases of implementation.</w:t>
      </w:r>
      <w:r w:rsidR="0054297E">
        <w:rPr>
          <w:szCs w:val="26"/>
        </w:rPr>
        <w:t xml:space="preserve"> </w:t>
      </w:r>
      <w:r w:rsidR="00EF50C5">
        <w:rPr>
          <w:szCs w:val="26"/>
        </w:rPr>
        <w:t xml:space="preserve"> </w:t>
      </w:r>
      <w:r w:rsidR="00BC597D">
        <w:rPr>
          <w:szCs w:val="26"/>
        </w:rPr>
        <w:t>F</w:t>
      </w:r>
      <w:r w:rsidR="003545A4">
        <w:t xml:space="preserve">or Phase II, the Commission prescribed a similar requirement for the EE&amp;C </w:t>
      </w:r>
      <w:r w:rsidR="00BC597D">
        <w:t>Program</w:t>
      </w:r>
      <w:r w:rsidR="003545A4">
        <w:t>.</w:t>
      </w:r>
      <w:r w:rsidR="003545A4">
        <w:rPr>
          <w:rStyle w:val="FootnoteReference"/>
        </w:rPr>
        <w:footnoteReference w:id="33"/>
      </w:r>
      <w:r w:rsidR="003545A4">
        <w:t xml:space="preserve"> </w:t>
      </w:r>
    </w:p>
    <w:p w14:paraId="3A7CFC07" w14:textId="77777777" w:rsidR="00E90513" w:rsidRDefault="00E90513" w:rsidP="0009548F">
      <w:pPr>
        <w:pStyle w:val="p3"/>
        <w:widowControl/>
        <w:tabs>
          <w:tab w:val="clear" w:pos="204"/>
          <w:tab w:val="left" w:pos="-2070"/>
        </w:tabs>
        <w:spacing w:line="360" w:lineRule="auto"/>
        <w:rPr>
          <w:szCs w:val="26"/>
        </w:rPr>
      </w:pPr>
    </w:p>
    <w:p w14:paraId="09639CE1" w14:textId="0D48A35B" w:rsidR="00FE3E83" w:rsidRDefault="00CC16E9" w:rsidP="00FE3E83">
      <w:pPr>
        <w:pStyle w:val="p3"/>
        <w:widowControl/>
        <w:tabs>
          <w:tab w:val="clear" w:pos="204"/>
          <w:tab w:val="left" w:pos="-2070"/>
        </w:tabs>
        <w:spacing w:line="360" w:lineRule="auto"/>
      </w:pPr>
      <w:r>
        <w:rPr>
          <w:szCs w:val="26"/>
        </w:rPr>
        <w:tab/>
      </w:r>
      <w:r w:rsidRPr="3792F7D5">
        <w:t xml:space="preserve">In Phase III, the Commission required that each EDC must obtain at least 3.5% of all consumption reduction requirements from </w:t>
      </w:r>
      <w:r w:rsidR="00360AE0">
        <w:t>GNI</w:t>
      </w:r>
      <w:r w:rsidRPr="3792F7D5">
        <w:t xml:space="preserve"> entities</w:t>
      </w:r>
      <w:r w:rsidR="00E90513">
        <w:rPr>
          <w:szCs w:val="26"/>
        </w:rPr>
        <w:t>.</w:t>
      </w:r>
      <w:r w:rsidR="00E90513" w:rsidRPr="3792F7D5">
        <w:rPr>
          <w:rStyle w:val="FootnoteReference"/>
        </w:rPr>
        <w:footnoteReference w:id="34"/>
      </w:r>
      <w:r w:rsidR="00F2063A" w:rsidRPr="3792F7D5">
        <w:t xml:space="preserve"> </w:t>
      </w:r>
      <w:r w:rsidR="00EB06B7">
        <w:t xml:space="preserve"> </w:t>
      </w:r>
      <w:r w:rsidR="00F2063A" w:rsidRPr="3792F7D5">
        <w:t xml:space="preserve">The Commission </w:t>
      </w:r>
      <w:r w:rsidR="00E85667" w:rsidRPr="3792F7D5">
        <w:t xml:space="preserve">notes that through </w:t>
      </w:r>
      <w:r w:rsidR="00C85635">
        <w:t>p</w:t>
      </w:r>
      <w:r w:rsidR="0064585C">
        <w:t xml:space="preserve">rogram </w:t>
      </w:r>
      <w:r w:rsidR="00C85635">
        <w:t>y</w:t>
      </w:r>
      <w:r w:rsidR="0064585C">
        <w:t>ear (</w:t>
      </w:r>
      <w:r w:rsidR="00E1324E">
        <w:t>PY</w:t>
      </w:r>
      <w:r w:rsidR="0064585C">
        <w:t>)</w:t>
      </w:r>
      <w:r w:rsidR="00E1324E">
        <w:t xml:space="preserve"> 10, </w:t>
      </w:r>
      <w:r w:rsidR="00E85667" w:rsidRPr="3792F7D5">
        <w:t xml:space="preserve">the third year of </w:t>
      </w:r>
      <w:r w:rsidR="00EB06B7">
        <w:t>the current</w:t>
      </w:r>
      <w:r w:rsidR="00EB06B7" w:rsidRPr="3792F7D5">
        <w:t xml:space="preserve"> </w:t>
      </w:r>
      <w:r w:rsidR="00E85667" w:rsidRPr="3792F7D5">
        <w:t xml:space="preserve">five-year </w:t>
      </w:r>
      <w:r w:rsidR="00B43279">
        <w:t>p</w:t>
      </w:r>
      <w:r w:rsidR="00E85667" w:rsidRPr="3792F7D5">
        <w:t xml:space="preserve">hase, each EDC has met </w:t>
      </w:r>
      <w:r w:rsidR="003071F6">
        <w:t>its</w:t>
      </w:r>
      <w:r w:rsidR="00E85667" w:rsidRPr="3792F7D5">
        <w:t xml:space="preserve"> </w:t>
      </w:r>
      <w:r w:rsidR="009A4C37">
        <w:t>GNI</w:t>
      </w:r>
      <w:r w:rsidR="009A4C37" w:rsidRPr="3792F7D5" w:rsidDel="009A4C37">
        <w:t xml:space="preserve"> </w:t>
      </w:r>
      <w:r w:rsidR="00EF7230" w:rsidRPr="3792F7D5">
        <w:t>target</w:t>
      </w:r>
      <w:r w:rsidR="00412165" w:rsidRPr="3792F7D5">
        <w:t xml:space="preserve"> and statewide compliance is at 1</w:t>
      </w:r>
      <w:r w:rsidR="003071F6">
        <w:t>86</w:t>
      </w:r>
      <w:r w:rsidR="00412165" w:rsidRPr="3792F7D5">
        <w:t>% of the Phase III target</w:t>
      </w:r>
      <w:r w:rsidR="00E1324E">
        <w:t xml:space="preserve"> </w:t>
      </w:r>
      <w:r w:rsidR="00206905">
        <w:t>(Table</w:t>
      </w:r>
      <w:r w:rsidR="00DF1E77">
        <w:t> </w:t>
      </w:r>
      <w:r w:rsidR="002D5D0F">
        <w:t>8</w:t>
      </w:r>
      <w:r w:rsidR="00E1324E">
        <w:t>)</w:t>
      </w:r>
      <w:r w:rsidR="00EF7230">
        <w:rPr>
          <w:szCs w:val="26"/>
        </w:rPr>
        <w:t>.</w:t>
      </w:r>
      <w:r w:rsidR="003071F6" w:rsidRPr="0257A387">
        <w:t xml:space="preserve"> </w:t>
      </w:r>
      <w:r w:rsidR="00EB06B7">
        <w:t xml:space="preserve"> </w:t>
      </w:r>
      <w:r w:rsidR="003071F6" w:rsidRPr="0257A387">
        <w:t xml:space="preserve">Statewide, the </w:t>
      </w:r>
      <w:r w:rsidR="00B70BB5" w:rsidRPr="0257A387">
        <w:t>GNI</w:t>
      </w:r>
      <w:r w:rsidR="00B70BB5" w:rsidRPr="3792F7D5" w:rsidDel="00B70BB5">
        <w:t xml:space="preserve"> </w:t>
      </w:r>
      <w:r w:rsidR="00E1324E">
        <w:t xml:space="preserve">sector </w:t>
      </w:r>
      <w:r w:rsidR="003071F6">
        <w:t xml:space="preserve">represents 9% of </w:t>
      </w:r>
      <w:r w:rsidR="00D34125">
        <w:t xml:space="preserve">total </w:t>
      </w:r>
      <w:r w:rsidR="003071F6">
        <w:t xml:space="preserve">verified savings </w:t>
      </w:r>
      <w:r w:rsidR="00E1324E">
        <w:t xml:space="preserve">through PY10. </w:t>
      </w:r>
    </w:p>
    <w:p w14:paraId="0C0DCF36" w14:textId="77777777" w:rsidR="00507057" w:rsidRDefault="00507057" w:rsidP="00FE3E83">
      <w:pPr>
        <w:pStyle w:val="p3"/>
        <w:widowControl/>
        <w:tabs>
          <w:tab w:val="clear" w:pos="204"/>
          <w:tab w:val="left" w:pos="-2070"/>
        </w:tabs>
        <w:spacing w:line="360" w:lineRule="auto"/>
        <w:rPr>
          <w:szCs w:val="26"/>
        </w:rPr>
      </w:pPr>
    </w:p>
    <w:p w14:paraId="20ACFB88" w14:textId="7732E379" w:rsidR="00507057" w:rsidRPr="001C4984" w:rsidRDefault="00507057" w:rsidP="000F45BB">
      <w:pPr>
        <w:pStyle w:val="Caption"/>
        <w:keepNext/>
        <w:jc w:val="center"/>
        <w:rPr>
          <w:sz w:val="26"/>
          <w:szCs w:val="26"/>
        </w:rPr>
      </w:pPr>
      <w:bookmarkStart w:id="277" w:name="_Ref31635678"/>
      <w:r w:rsidRPr="001C4984">
        <w:rPr>
          <w:b/>
          <w:bCs/>
          <w:i w:val="0"/>
          <w:iCs w:val="0"/>
          <w:color w:val="auto"/>
          <w:sz w:val="26"/>
          <w:szCs w:val="26"/>
        </w:rPr>
        <w:lastRenderedPageBreak/>
        <w:t xml:space="preserve">Table </w:t>
      </w:r>
      <w:bookmarkEnd w:id="277"/>
      <w:r w:rsidR="002D5D0F">
        <w:rPr>
          <w:b/>
          <w:bCs/>
          <w:i w:val="0"/>
          <w:iCs w:val="0"/>
          <w:color w:val="auto"/>
          <w:sz w:val="26"/>
          <w:szCs w:val="26"/>
        </w:rPr>
        <w:t>8</w:t>
      </w:r>
      <w:r w:rsidRPr="001C4984">
        <w:rPr>
          <w:b/>
          <w:bCs/>
          <w:i w:val="0"/>
          <w:iCs w:val="0"/>
          <w:color w:val="auto"/>
          <w:sz w:val="26"/>
          <w:szCs w:val="26"/>
        </w:rPr>
        <w:t>: P</w:t>
      </w:r>
      <w:r w:rsidR="00C9483C" w:rsidRPr="001C4984">
        <w:rPr>
          <w:b/>
          <w:bCs/>
          <w:i w:val="0"/>
          <w:iCs w:val="0"/>
          <w:color w:val="auto"/>
          <w:sz w:val="26"/>
          <w:szCs w:val="26"/>
        </w:rPr>
        <w:t xml:space="preserve">hase III </w:t>
      </w:r>
      <w:r w:rsidRPr="001C4984">
        <w:rPr>
          <w:b/>
          <w:bCs/>
          <w:i w:val="0"/>
          <w:iCs w:val="0"/>
          <w:color w:val="auto"/>
          <w:sz w:val="26"/>
          <w:szCs w:val="26"/>
        </w:rPr>
        <w:t>G</w:t>
      </w:r>
      <w:r w:rsidR="00080E55" w:rsidRPr="001C4984">
        <w:rPr>
          <w:b/>
          <w:bCs/>
          <w:i w:val="0"/>
          <w:iCs w:val="0"/>
          <w:color w:val="auto"/>
          <w:sz w:val="26"/>
          <w:szCs w:val="26"/>
        </w:rPr>
        <w:t>NI</w:t>
      </w:r>
      <w:r w:rsidR="00080E55" w:rsidRPr="001C4984" w:rsidDel="00080E55">
        <w:rPr>
          <w:b/>
          <w:bCs/>
          <w:i w:val="0"/>
          <w:iCs w:val="0"/>
          <w:color w:val="auto"/>
          <w:sz w:val="26"/>
          <w:szCs w:val="26"/>
        </w:rPr>
        <w:t xml:space="preserve"> </w:t>
      </w:r>
      <w:r w:rsidR="00C9483C" w:rsidRPr="001C4984">
        <w:rPr>
          <w:b/>
          <w:bCs/>
          <w:i w:val="0"/>
          <w:iCs w:val="0"/>
          <w:color w:val="auto"/>
          <w:sz w:val="26"/>
          <w:szCs w:val="26"/>
        </w:rPr>
        <w:t xml:space="preserve">Verified Savings, </w:t>
      </w:r>
      <w:r w:rsidR="009F0668" w:rsidRPr="001C4984">
        <w:rPr>
          <w:b/>
          <w:bCs/>
          <w:i w:val="0"/>
          <w:iCs w:val="0"/>
          <w:color w:val="auto"/>
          <w:sz w:val="26"/>
          <w:szCs w:val="26"/>
        </w:rPr>
        <w:t>through PY10</w:t>
      </w:r>
    </w:p>
    <w:tbl>
      <w:tblPr>
        <w:tblStyle w:val="ListTable3"/>
        <w:tblW w:w="5000" w:type="pct"/>
        <w:jc w:val="center"/>
        <w:tblLook w:val="04A0" w:firstRow="1" w:lastRow="0" w:firstColumn="1" w:lastColumn="0" w:noHBand="0" w:noVBand="1"/>
      </w:tblPr>
      <w:tblGrid>
        <w:gridCol w:w="2516"/>
        <w:gridCol w:w="1350"/>
        <w:gridCol w:w="1722"/>
        <w:gridCol w:w="1939"/>
        <w:gridCol w:w="1823"/>
      </w:tblGrid>
      <w:tr w:rsidR="000E2EF2" w:rsidRPr="00C60AB1" w14:paraId="638EB568" w14:textId="5E126512" w:rsidTr="0068248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1345" w:type="pct"/>
            <w:tcBorders>
              <w:top w:val="single" w:sz="4" w:space="0" w:color="000000" w:themeColor="text1"/>
              <w:bottom w:val="single" w:sz="4" w:space="0" w:color="auto"/>
              <w:right w:val="single" w:sz="4" w:space="0" w:color="FFFFFF" w:themeColor="background1"/>
            </w:tcBorders>
            <w:vAlign w:val="center"/>
          </w:tcPr>
          <w:p w14:paraId="273A5737" w14:textId="77777777" w:rsidR="000E2EF2" w:rsidRPr="001A5F77" w:rsidRDefault="000E2EF2" w:rsidP="00B5537E">
            <w:pPr>
              <w:keepNext/>
              <w:spacing w:before="80" w:after="80"/>
              <w:jc w:val="center"/>
              <w:rPr>
                <w:sz w:val="26"/>
                <w:szCs w:val="26"/>
              </w:rPr>
            </w:pPr>
            <w:r w:rsidRPr="00CF1091">
              <w:rPr>
                <w:sz w:val="26"/>
                <w:szCs w:val="26"/>
              </w:rPr>
              <w:br w:type="page"/>
              <w:t>EDC</w:t>
            </w:r>
          </w:p>
        </w:tc>
        <w:tc>
          <w:tcPr>
            <w:tcW w:w="722" w:type="pct"/>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0430A569" w14:textId="2C92C683" w:rsidR="000E2EF2" w:rsidRPr="00C46407" w:rsidRDefault="000E2EF2" w:rsidP="00B5537E">
            <w:pPr>
              <w:keepNext/>
              <w:spacing w:before="80" w:after="80"/>
              <w:jc w:val="center"/>
              <w:cnfStyle w:val="100000000000" w:firstRow="1" w:lastRow="0" w:firstColumn="0" w:lastColumn="0" w:oddVBand="0" w:evenVBand="0" w:oddHBand="0" w:evenHBand="0" w:firstRowFirstColumn="0" w:firstRowLastColumn="0" w:lastRowFirstColumn="0" w:lastRowLastColumn="0"/>
              <w:rPr>
                <w:sz w:val="26"/>
                <w:szCs w:val="26"/>
              </w:rPr>
            </w:pPr>
            <w:r w:rsidRPr="00CF1091">
              <w:rPr>
                <w:sz w:val="26"/>
                <w:szCs w:val="26"/>
              </w:rPr>
              <w:t xml:space="preserve">Phase III </w:t>
            </w:r>
            <w:r w:rsidRPr="00DE0A82">
              <w:rPr>
                <w:rStyle w:val="Style11ptBold1"/>
                <w:b/>
              </w:rPr>
              <w:t>G</w:t>
            </w:r>
            <w:r w:rsidR="00080E55" w:rsidRPr="00DE0A82">
              <w:rPr>
                <w:rStyle w:val="Style11ptBold1"/>
                <w:b/>
              </w:rPr>
              <w:t>NI</w:t>
            </w:r>
            <w:r w:rsidRPr="00CF1091">
              <w:rPr>
                <w:i/>
                <w:sz w:val="22"/>
                <w:szCs w:val="22"/>
              </w:rPr>
              <w:t xml:space="preserve"> </w:t>
            </w:r>
            <w:r w:rsidRPr="00DE0A82">
              <w:rPr>
                <w:rStyle w:val="Style11ptBold1"/>
                <w:b/>
              </w:rPr>
              <w:t xml:space="preserve">Target </w:t>
            </w:r>
            <w:r w:rsidRPr="00CF1091">
              <w:rPr>
                <w:sz w:val="26"/>
                <w:szCs w:val="26"/>
              </w:rPr>
              <w:t>(</w:t>
            </w:r>
            <w:r w:rsidRPr="00C46407">
              <w:rPr>
                <w:sz w:val="26"/>
                <w:szCs w:val="26"/>
              </w:rPr>
              <w:t>MWh)</w:t>
            </w:r>
          </w:p>
        </w:tc>
        <w:tc>
          <w:tcPr>
            <w:tcW w:w="921" w:type="pct"/>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59466B1C" w14:textId="3F251653" w:rsidR="000E2EF2" w:rsidRPr="00C46407" w:rsidRDefault="000E2EF2" w:rsidP="00B5537E">
            <w:pPr>
              <w:keepNext/>
              <w:spacing w:before="80" w:after="80"/>
              <w:jc w:val="center"/>
              <w:cnfStyle w:val="100000000000" w:firstRow="1" w:lastRow="0" w:firstColumn="0" w:lastColumn="0" w:oddVBand="0" w:evenVBand="0" w:oddHBand="0" w:evenHBand="0" w:firstRowFirstColumn="0" w:firstRowLastColumn="0" w:lastRowFirstColumn="0" w:lastRowLastColumn="0"/>
              <w:rPr>
                <w:sz w:val="26"/>
                <w:szCs w:val="26"/>
              </w:rPr>
            </w:pPr>
            <w:r w:rsidRPr="00DE0A82">
              <w:rPr>
                <w:rStyle w:val="Style11ptBold1"/>
                <w:b/>
              </w:rPr>
              <w:t>G</w:t>
            </w:r>
            <w:r w:rsidR="00080E55" w:rsidRPr="00DE0A82">
              <w:rPr>
                <w:rStyle w:val="Style11ptBold1"/>
                <w:b/>
              </w:rPr>
              <w:t>NI</w:t>
            </w:r>
            <w:r w:rsidRPr="00DE0A82">
              <w:rPr>
                <w:rStyle w:val="Style11ptBold1"/>
                <w:b/>
              </w:rPr>
              <w:t xml:space="preserve"> Verified Savings</w:t>
            </w:r>
            <w:r w:rsidR="00FC54AA" w:rsidRPr="00DE0A82">
              <w:rPr>
                <w:rStyle w:val="Style11ptBold1"/>
                <w:b/>
              </w:rPr>
              <w:t>,</w:t>
            </w:r>
            <w:r w:rsidRPr="00DE0A82">
              <w:rPr>
                <w:rStyle w:val="Style11ptBold1"/>
                <w:b/>
              </w:rPr>
              <w:t xml:space="preserve"> Phase III to Date </w:t>
            </w:r>
            <w:r w:rsidRPr="00CF1091">
              <w:rPr>
                <w:sz w:val="26"/>
                <w:szCs w:val="26"/>
              </w:rPr>
              <w:t>(</w:t>
            </w:r>
            <w:r w:rsidRPr="00C46407">
              <w:rPr>
                <w:sz w:val="26"/>
                <w:szCs w:val="26"/>
              </w:rPr>
              <w:t>MWh)</w:t>
            </w:r>
          </w:p>
        </w:tc>
        <w:tc>
          <w:tcPr>
            <w:tcW w:w="1037" w:type="pct"/>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7D87F353" w14:textId="0CD650D7" w:rsidR="000E2EF2" w:rsidRPr="0050132D" w:rsidRDefault="000E2EF2" w:rsidP="0017226F">
            <w:pPr>
              <w:keepNext/>
              <w:spacing w:before="80" w:after="80"/>
              <w:jc w:val="center"/>
              <w:cnfStyle w:val="100000000000" w:firstRow="1" w:lastRow="0" w:firstColumn="0" w:lastColumn="0" w:oddVBand="0" w:evenVBand="0" w:oddHBand="0" w:evenHBand="0" w:firstRowFirstColumn="0" w:firstRowLastColumn="0" w:lastRowFirstColumn="0" w:lastRowLastColumn="0"/>
              <w:rPr>
                <w:rStyle w:val="Style11ptBold1"/>
                <w:b/>
              </w:rPr>
            </w:pPr>
            <w:r w:rsidRPr="00DE0A82">
              <w:rPr>
                <w:rStyle w:val="Style11ptBold1"/>
                <w:b/>
              </w:rPr>
              <w:t>% of G</w:t>
            </w:r>
            <w:r w:rsidR="00080E55" w:rsidRPr="00DE0A82">
              <w:rPr>
                <w:rStyle w:val="Style11ptBold1"/>
                <w:b/>
              </w:rPr>
              <w:t>NI</w:t>
            </w:r>
            <w:r w:rsidRPr="00DE0A82">
              <w:rPr>
                <w:rStyle w:val="Style11ptBold1"/>
                <w:b/>
              </w:rPr>
              <w:t xml:space="preserve"> Phase III Target Achieved</w:t>
            </w:r>
          </w:p>
        </w:tc>
        <w:tc>
          <w:tcPr>
            <w:tcW w:w="975" w:type="pct"/>
            <w:tcBorders>
              <w:top w:val="single" w:sz="4" w:space="0" w:color="000000" w:themeColor="text1"/>
              <w:left w:val="single" w:sz="4" w:space="0" w:color="FFFFFF" w:themeColor="background1"/>
              <w:bottom w:val="single" w:sz="4" w:space="0" w:color="auto"/>
            </w:tcBorders>
            <w:vAlign w:val="center"/>
          </w:tcPr>
          <w:p w14:paraId="02BC4DB7" w14:textId="14E7F4B1" w:rsidR="000E2EF2" w:rsidRPr="0050132D" w:rsidRDefault="000E2EF2" w:rsidP="0017226F">
            <w:pPr>
              <w:keepNext/>
              <w:spacing w:before="80" w:after="80"/>
              <w:jc w:val="center"/>
              <w:cnfStyle w:val="100000000000" w:firstRow="1" w:lastRow="0" w:firstColumn="0" w:lastColumn="0" w:oddVBand="0" w:evenVBand="0" w:oddHBand="0" w:evenHBand="0" w:firstRowFirstColumn="0" w:firstRowLastColumn="0" w:lastRowFirstColumn="0" w:lastRowLastColumn="0"/>
              <w:rPr>
                <w:rStyle w:val="Style11ptBold1"/>
                <w:b/>
              </w:rPr>
            </w:pPr>
            <w:r w:rsidRPr="00DE0A82">
              <w:rPr>
                <w:rStyle w:val="Style11ptBold1"/>
                <w:b/>
              </w:rPr>
              <w:t>G</w:t>
            </w:r>
            <w:r w:rsidR="00080E55" w:rsidRPr="00DE0A82">
              <w:rPr>
                <w:rStyle w:val="Style11ptBold1"/>
                <w:b/>
              </w:rPr>
              <w:t>NI</w:t>
            </w:r>
            <w:r w:rsidRPr="00DE0A82">
              <w:rPr>
                <w:rStyle w:val="Style11ptBold1"/>
                <w:b/>
              </w:rPr>
              <w:t xml:space="preserve">, % of </w:t>
            </w:r>
            <w:r w:rsidR="00D34125" w:rsidRPr="00DE0A82">
              <w:rPr>
                <w:rStyle w:val="Style11ptBold1"/>
                <w:b/>
              </w:rPr>
              <w:t>Total</w:t>
            </w:r>
            <w:r w:rsidR="0017226F" w:rsidRPr="00DE0A82">
              <w:rPr>
                <w:rStyle w:val="Style11ptBold1"/>
                <w:b/>
              </w:rPr>
              <w:t xml:space="preserve"> Phase III</w:t>
            </w:r>
            <w:r w:rsidRPr="00DE0A82">
              <w:rPr>
                <w:rStyle w:val="Style11ptBold1"/>
                <w:b/>
              </w:rPr>
              <w:t xml:space="preserve"> Verified Savings</w:t>
            </w:r>
          </w:p>
        </w:tc>
      </w:tr>
      <w:tr w:rsidR="00F61B28" w:rsidRPr="00C60AB1" w14:paraId="3E3A940D" w14:textId="65BD99B0" w:rsidTr="0068248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tcPr>
          <w:p w14:paraId="74D2332A" w14:textId="73D8C8D6" w:rsidR="00F61B28" w:rsidRPr="00391D08" w:rsidRDefault="00F61B28" w:rsidP="00F61B28">
            <w:pPr>
              <w:keepNext/>
              <w:spacing w:before="80" w:after="80"/>
              <w:rPr>
                <w:b w:val="0"/>
                <w:sz w:val="26"/>
                <w:szCs w:val="26"/>
              </w:rPr>
            </w:pPr>
            <w:r w:rsidRPr="00391D08">
              <w:rPr>
                <w:b w:val="0"/>
                <w:sz w:val="26"/>
                <w:szCs w:val="26"/>
              </w:rPr>
              <w:t>Duquesne Light</w:t>
            </w:r>
          </w:p>
        </w:tc>
        <w:tc>
          <w:tcPr>
            <w:tcW w:w="722" w:type="pct"/>
            <w:tcBorders>
              <w:top w:val="single" w:sz="4" w:space="0" w:color="auto"/>
              <w:left w:val="single" w:sz="4" w:space="0" w:color="auto"/>
              <w:bottom w:val="single" w:sz="4" w:space="0" w:color="auto"/>
              <w:right w:val="single" w:sz="4" w:space="0" w:color="auto"/>
            </w:tcBorders>
          </w:tcPr>
          <w:p w14:paraId="3F01D109" w14:textId="6180A6DA" w:rsidR="00F61B28" w:rsidRPr="00EA7EA0" w:rsidRDefault="00F61B28" w:rsidP="00F61B28">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68248A">
              <w:rPr>
                <w:sz w:val="26"/>
                <w:szCs w:val="26"/>
              </w:rPr>
              <w:t>15,432</w:t>
            </w:r>
          </w:p>
        </w:tc>
        <w:tc>
          <w:tcPr>
            <w:tcW w:w="921" w:type="pct"/>
            <w:tcBorders>
              <w:top w:val="single" w:sz="4" w:space="0" w:color="auto"/>
              <w:left w:val="single" w:sz="4" w:space="0" w:color="auto"/>
              <w:bottom w:val="single" w:sz="4" w:space="0" w:color="auto"/>
              <w:right w:val="single" w:sz="4" w:space="0" w:color="auto"/>
            </w:tcBorders>
          </w:tcPr>
          <w:p w14:paraId="43BD2CFF" w14:textId="22470B04" w:rsidR="00F61B28" w:rsidRPr="001C4177" w:rsidRDefault="00F61B28" w:rsidP="00F61B28">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68248A">
              <w:rPr>
                <w:sz w:val="26"/>
                <w:szCs w:val="26"/>
              </w:rPr>
              <w:t>24,847</w:t>
            </w:r>
          </w:p>
        </w:tc>
        <w:tc>
          <w:tcPr>
            <w:tcW w:w="1037" w:type="pct"/>
            <w:tcBorders>
              <w:top w:val="single" w:sz="4" w:space="0" w:color="auto"/>
              <w:left w:val="single" w:sz="4" w:space="0" w:color="auto"/>
              <w:bottom w:val="single" w:sz="4" w:space="0" w:color="auto"/>
              <w:right w:val="single" w:sz="4" w:space="0" w:color="auto"/>
            </w:tcBorders>
            <w:vAlign w:val="center"/>
          </w:tcPr>
          <w:p w14:paraId="4B740D99" w14:textId="7DF6AFCE" w:rsidR="00F61B28" w:rsidRPr="001C4177" w:rsidRDefault="00F61B28" w:rsidP="00F61B28">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68248A">
              <w:rPr>
                <w:sz w:val="26"/>
                <w:szCs w:val="26"/>
              </w:rPr>
              <w:t>161%</w:t>
            </w:r>
          </w:p>
        </w:tc>
        <w:tc>
          <w:tcPr>
            <w:tcW w:w="975" w:type="pct"/>
            <w:tcBorders>
              <w:top w:val="single" w:sz="4" w:space="0" w:color="auto"/>
              <w:left w:val="single" w:sz="4" w:space="0" w:color="auto"/>
              <w:bottom w:val="single" w:sz="4" w:space="0" w:color="auto"/>
              <w:right w:val="single" w:sz="4" w:space="0" w:color="auto"/>
            </w:tcBorders>
            <w:vAlign w:val="center"/>
          </w:tcPr>
          <w:p w14:paraId="35BDF4A5" w14:textId="13FD9B2E" w:rsidR="00F61B28" w:rsidRPr="0068248A" w:rsidRDefault="00F61B28" w:rsidP="00F61B28">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rPr>
            </w:pPr>
            <w:r w:rsidRPr="0068248A">
              <w:rPr>
                <w:sz w:val="26"/>
                <w:szCs w:val="26"/>
              </w:rPr>
              <w:t>9%</w:t>
            </w:r>
          </w:p>
        </w:tc>
      </w:tr>
      <w:tr w:rsidR="00532287" w:rsidRPr="00C60AB1" w14:paraId="583C8133" w14:textId="77777777" w:rsidTr="0068248A">
        <w:trPr>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tcPr>
          <w:p w14:paraId="12C93863" w14:textId="38B832A8" w:rsidR="00532287" w:rsidRPr="00391D08" w:rsidRDefault="00532287" w:rsidP="00532287">
            <w:pPr>
              <w:keepNext/>
              <w:spacing w:before="80" w:after="80"/>
              <w:rPr>
                <w:sz w:val="26"/>
                <w:szCs w:val="26"/>
              </w:rPr>
            </w:pPr>
            <w:r w:rsidRPr="00391D08">
              <w:rPr>
                <w:b w:val="0"/>
                <w:sz w:val="26"/>
                <w:szCs w:val="26"/>
              </w:rPr>
              <w:t>PECO</w:t>
            </w:r>
          </w:p>
        </w:tc>
        <w:tc>
          <w:tcPr>
            <w:tcW w:w="722" w:type="pct"/>
            <w:tcBorders>
              <w:top w:val="single" w:sz="4" w:space="0" w:color="auto"/>
              <w:left w:val="single" w:sz="4" w:space="0" w:color="auto"/>
              <w:bottom w:val="single" w:sz="4" w:space="0" w:color="auto"/>
              <w:right w:val="single" w:sz="4" w:space="0" w:color="auto"/>
            </w:tcBorders>
          </w:tcPr>
          <w:p w14:paraId="4C84D826" w14:textId="0D7C2197" w:rsidR="00532287" w:rsidRPr="0068248A"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rPr>
            </w:pPr>
            <w:r w:rsidRPr="0068248A">
              <w:rPr>
                <w:sz w:val="26"/>
                <w:szCs w:val="26"/>
              </w:rPr>
              <w:t>68,693</w:t>
            </w:r>
          </w:p>
        </w:tc>
        <w:tc>
          <w:tcPr>
            <w:tcW w:w="921" w:type="pct"/>
            <w:tcBorders>
              <w:top w:val="single" w:sz="4" w:space="0" w:color="auto"/>
              <w:left w:val="single" w:sz="4" w:space="0" w:color="auto"/>
              <w:bottom w:val="single" w:sz="4" w:space="0" w:color="auto"/>
              <w:right w:val="single" w:sz="4" w:space="0" w:color="auto"/>
            </w:tcBorders>
          </w:tcPr>
          <w:p w14:paraId="1F650DC3" w14:textId="6E214710" w:rsidR="00532287" w:rsidRPr="0068248A"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rPr>
            </w:pPr>
            <w:r w:rsidRPr="0068248A">
              <w:rPr>
                <w:sz w:val="26"/>
                <w:szCs w:val="26"/>
              </w:rPr>
              <w:t>94,260</w:t>
            </w:r>
          </w:p>
        </w:tc>
        <w:tc>
          <w:tcPr>
            <w:tcW w:w="1037" w:type="pct"/>
            <w:tcBorders>
              <w:top w:val="single" w:sz="4" w:space="0" w:color="auto"/>
              <w:left w:val="single" w:sz="4" w:space="0" w:color="auto"/>
              <w:bottom w:val="single" w:sz="4" w:space="0" w:color="auto"/>
              <w:right w:val="single" w:sz="4" w:space="0" w:color="auto"/>
            </w:tcBorders>
            <w:vAlign w:val="center"/>
          </w:tcPr>
          <w:p w14:paraId="02CDB129" w14:textId="0DB02D46" w:rsidR="00532287" w:rsidRPr="0068248A"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rPr>
            </w:pPr>
            <w:r w:rsidRPr="0068248A">
              <w:rPr>
                <w:sz w:val="26"/>
                <w:szCs w:val="26"/>
              </w:rPr>
              <w:t>137%</w:t>
            </w:r>
          </w:p>
        </w:tc>
        <w:tc>
          <w:tcPr>
            <w:tcW w:w="975" w:type="pct"/>
            <w:tcBorders>
              <w:top w:val="single" w:sz="4" w:space="0" w:color="auto"/>
              <w:left w:val="single" w:sz="4" w:space="0" w:color="auto"/>
              <w:bottom w:val="single" w:sz="4" w:space="0" w:color="auto"/>
              <w:right w:val="single" w:sz="4" w:space="0" w:color="auto"/>
            </w:tcBorders>
            <w:vAlign w:val="center"/>
          </w:tcPr>
          <w:p w14:paraId="281211AA" w14:textId="3AC57EAB" w:rsidR="00532287" w:rsidRPr="0068248A"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rPr>
            </w:pPr>
            <w:r w:rsidRPr="0068248A">
              <w:rPr>
                <w:sz w:val="26"/>
                <w:szCs w:val="26"/>
              </w:rPr>
              <w:t>9%</w:t>
            </w:r>
          </w:p>
        </w:tc>
      </w:tr>
      <w:tr w:rsidR="00532287" w:rsidRPr="00C60AB1" w14:paraId="3DE4A27A" w14:textId="6F025F32" w:rsidTr="0068248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tcPr>
          <w:p w14:paraId="684E9F05" w14:textId="77777777" w:rsidR="00532287" w:rsidRPr="00391D08" w:rsidRDefault="00532287" w:rsidP="00532287">
            <w:pPr>
              <w:keepNext/>
              <w:spacing w:before="80" w:after="80"/>
              <w:rPr>
                <w:b w:val="0"/>
                <w:sz w:val="26"/>
                <w:szCs w:val="26"/>
              </w:rPr>
            </w:pPr>
            <w:r w:rsidRPr="00391D08">
              <w:rPr>
                <w:b w:val="0"/>
                <w:sz w:val="26"/>
                <w:szCs w:val="26"/>
              </w:rPr>
              <w:t>PPL</w:t>
            </w:r>
          </w:p>
        </w:tc>
        <w:tc>
          <w:tcPr>
            <w:tcW w:w="722" w:type="pct"/>
            <w:tcBorders>
              <w:top w:val="single" w:sz="4" w:space="0" w:color="auto"/>
              <w:left w:val="single" w:sz="4" w:space="0" w:color="auto"/>
              <w:bottom w:val="single" w:sz="4" w:space="0" w:color="auto"/>
              <w:right w:val="single" w:sz="4" w:space="0" w:color="auto"/>
            </w:tcBorders>
          </w:tcPr>
          <w:p w14:paraId="2B377D07" w14:textId="37AD93F6" w:rsidR="00532287" w:rsidRPr="00EA7EA0"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68248A">
              <w:rPr>
                <w:sz w:val="26"/>
                <w:szCs w:val="26"/>
              </w:rPr>
              <w:t>50,507</w:t>
            </w:r>
          </w:p>
        </w:tc>
        <w:tc>
          <w:tcPr>
            <w:tcW w:w="921" w:type="pct"/>
            <w:tcBorders>
              <w:top w:val="single" w:sz="4" w:space="0" w:color="auto"/>
              <w:left w:val="single" w:sz="4" w:space="0" w:color="auto"/>
              <w:bottom w:val="single" w:sz="4" w:space="0" w:color="auto"/>
              <w:right w:val="single" w:sz="4" w:space="0" w:color="auto"/>
            </w:tcBorders>
          </w:tcPr>
          <w:p w14:paraId="0AC432D6" w14:textId="19087EE4" w:rsidR="00532287" w:rsidRPr="001C4177"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68248A">
              <w:rPr>
                <w:sz w:val="26"/>
                <w:szCs w:val="26"/>
              </w:rPr>
              <w:t>116,748</w:t>
            </w:r>
          </w:p>
        </w:tc>
        <w:tc>
          <w:tcPr>
            <w:tcW w:w="1037" w:type="pct"/>
            <w:tcBorders>
              <w:top w:val="single" w:sz="4" w:space="0" w:color="auto"/>
              <w:left w:val="single" w:sz="4" w:space="0" w:color="auto"/>
              <w:bottom w:val="single" w:sz="4" w:space="0" w:color="auto"/>
              <w:right w:val="single" w:sz="4" w:space="0" w:color="auto"/>
            </w:tcBorders>
            <w:vAlign w:val="center"/>
          </w:tcPr>
          <w:p w14:paraId="23DF058C" w14:textId="7A751070" w:rsidR="00532287" w:rsidRPr="001C4177"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68248A">
              <w:rPr>
                <w:sz w:val="26"/>
                <w:szCs w:val="26"/>
              </w:rPr>
              <w:t>231%</w:t>
            </w:r>
          </w:p>
        </w:tc>
        <w:tc>
          <w:tcPr>
            <w:tcW w:w="975" w:type="pct"/>
            <w:tcBorders>
              <w:top w:val="single" w:sz="4" w:space="0" w:color="auto"/>
              <w:left w:val="single" w:sz="4" w:space="0" w:color="auto"/>
              <w:bottom w:val="single" w:sz="4" w:space="0" w:color="auto"/>
              <w:right w:val="single" w:sz="4" w:space="0" w:color="auto"/>
            </w:tcBorders>
            <w:vAlign w:val="center"/>
          </w:tcPr>
          <w:p w14:paraId="490AE44B" w14:textId="228C8736" w:rsidR="00532287" w:rsidRPr="0068248A"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rPr>
            </w:pPr>
            <w:r w:rsidRPr="0068248A">
              <w:rPr>
                <w:sz w:val="26"/>
                <w:szCs w:val="26"/>
              </w:rPr>
              <w:t>10%</w:t>
            </w:r>
          </w:p>
        </w:tc>
      </w:tr>
      <w:tr w:rsidR="00532287" w:rsidRPr="00C60AB1" w14:paraId="10F4D779" w14:textId="3195F61C" w:rsidTr="0068248A">
        <w:trPr>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tcPr>
          <w:p w14:paraId="0B4B6017" w14:textId="77777777" w:rsidR="00532287" w:rsidRPr="00391D08" w:rsidRDefault="00532287" w:rsidP="00532287">
            <w:pPr>
              <w:keepNext/>
              <w:spacing w:before="80" w:after="80"/>
              <w:rPr>
                <w:b w:val="0"/>
                <w:sz w:val="26"/>
                <w:szCs w:val="26"/>
              </w:rPr>
            </w:pPr>
            <w:r w:rsidRPr="0068248A">
              <w:rPr>
                <w:b w:val="0"/>
                <w:sz w:val="26"/>
                <w:szCs w:val="26"/>
              </w:rPr>
              <w:t>FE: Met-</w:t>
            </w:r>
            <w:r w:rsidRPr="0068248A" w:rsidDel="00EC2C30">
              <w:rPr>
                <w:b w:val="0"/>
                <w:sz w:val="26"/>
                <w:szCs w:val="26"/>
              </w:rPr>
              <w:t>Ed</w:t>
            </w:r>
          </w:p>
        </w:tc>
        <w:tc>
          <w:tcPr>
            <w:tcW w:w="722" w:type="pct"/>
            <w:tcBorders>
              <w:top w:val="single" w:sz="4" w:space="0" w:color="auto"/>
              <w:left w:val="single" w:sz="4" w:space="0" w:color="auto"/>
              <w:bottom w:val="single" w:sz="4" w:space="0" w:color="auto"/>
              <w:right w:val="single" w:sz="4" w:space="0" w:color="auto"/>
            </w:tcBorders>
          </w:tcPr>
          <w:p w14:paraId="65B1F68B" w14:textId="2F440FB5" w:rsidR="00532287" w:rsidRPr="00EA7EA0"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68248A">
              <w:rPr>
                <w:sz w:val="26"/>
                <w:szCs w:val="26"/>
              </w:rPr>
              <w:t>20,977</w:t>
            </w:r>
          </w:p>
        </w:tc>
        <w:tc>
          <w:tcPr>
            <w:tcW w:w="921" w:type="pct"/>
            <w:tcBorders>
              <w:top w:val="single" w:sz="4" w:space="0" w:color="auto"/>
              <w:left w:val="single" w:sz="4" w:space="0" w:color="auto"/>
              <w:bottom w:val="single" w:sz="4" w:space="0" w:color="auto"/>
              <w:right w:val="single" w:sz="4" w:space="0" w:color="auto"/>
            </w:tcBorders>
          </w:tcPr>
          <w:p w14:paraId="774C286E" w14:textId="4D34D652" w:rsidR="00532287" w:rsidRPr="001C4177"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68248A">
              <w:rPr>
                <w:sz w:val="26"/>
                <w:szCs w:val="26"/>
              </w:rPr>
              <w:t>22,082</w:t>
            </w:r>
          </w:p>
        </w:tc>
        <w:tc>
          <w:tcPr>
            <w:tcW w:w="1037" w:type="pct"/>
            <w:tcBorders>
              <w:top w:val="single" w:sz="4" w:space="0" w:color="auto"/>
              <w:left w:val="single" w:sz="4" w:space="0" w:color="auto"/>
              <w:bottom w:val="single" w:sz="4" w:space="0" w:color="auto"/>
              <w:right w:val="single" w:sz="4" w:space="0" w:color="auto"/>
            </w:tcBorders>
            <w:vAlign w:val="center"/>
          </w:tcPr>
          <w:p w14:paraId="3FB8006B" w14:textId="3DABC716" w:rsidR="00532287" w:rsidRPr="001C4177"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6"/>
                <w:szCs w:val="26"/>
              </w:rPr>
            </w:pPr>
            <w:r w:rsidRPr="0068248A">
              <w:rPr>
                <w:sz w:val="26"/>
                <w:szCs w:val="26"/>
              </w:rPr>
              <w:t>105%</w:t>
            </w:r>
          </w:p>
        </w:tc>
        <w:tc>
          <w:tcPr>
            <w:tcW w:w="975" w:type="pct"/>
            <w:tcBorders>
              <w:top w:val="single" w:sz="4" w:space="0" w:color="auto"/>
              <w:left w:val="single" w:sz="4" w:space="0" w:color="auto"/>
              <w:bottom w:val="single" w:sz="4" w:space="0" w:color="auto"/>
              <w:right w:val="single" w:sz="4" w:space="0" w:color="auto"/>
            </w:tcBorders>
            <w:vAlign w:val="center"/>
          </w:tcPr>
          <w:p w14:paraId="610F53E8" w14:textId="21C3DCC1" w:rsidR="00532287" w:rsidRPr="0068248A"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rPr>
            </w:pPr>
            <w:r w:rsidRPr="0068248A">
              <w:rPr>
                <w:sz w:val="26"/>
                <w:szCs w:val="26"/>
              </w:rPr>
              <w:t>4%</w:t>
            </w:r>
          </w:p>
        </w:tc>
      </w:tr>
      <w:tr w:rsidR="00532287" w:rsidRPr="00C60AB1" w14:paraId="48584B9B" w14:textId="7DD539D7" w:rsidTr="0068248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hideMark/>
          </w:tcPr>
          <w:p w14:paraId="1BFB0531" w14:textId="77777777" w:rsidR="00532287" w:rsidRPr="00391D08" w:rsidRDefault="00532287" w:rsidP="00532287">
            <w:pPr>
              <w:keepNext/>
              <w:spacing w:before="80" w:after="80"/>
              <w:rPr>
                <w:b w:val="0"/>
                <w:sz w:val="26"/>
                <w:szCs w:val="26"/>
              </w:rPr>
            </w:pPr>
            <w:r w:rsidRPr="0068248A">
              <w:rPr>
                <w:b w:val="0"/>
                <w:sz w:val="26"/>
                <w:szCs w:val="26"/>
              </w:rPr>
              <w:t>FE: Penelec</w:t>
            </w:r>
          </w:p>
        </w:tc>
        <w:tc>
          <w:tcPr>
            <w:tcW w:w="722" w:type="pct"/>
            <w:tcBorders>
              <w:top w:val="single" w:sz="4" w:space="0" w:color="auto"/>
              <w:left w:val="single" w:sz="4" w:space="0" w:color="auto"/>
              <w:bottom w:val="single" w:sz="4" w:space="0" w:color="auto"/>
              <w:right w:val="single" w:sz="4" w:space="0" w:color="auto"/>
            </w:tcBorders>
          </w:tcPr>
          <w:p w14:paraId="0802E02D" w14:textId="705360BB" w:rsidR="00532287" w:rsidRPr="00EA7EA0"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68248A">
              <w:rPr>
                <w:sz w:val="26"/>
                <w:szCs w:val="26"/>
              </w:rPr>
              <w:t>19,816</w:t>
            </w:r>
          </w:p>
        </w:tc>
        <w:tc>
          <w:tcPr>
            <w:tcW w:w="921" w:type="pct"/>
            <w:tcBorders>
              <w:top w:val="single" w:sz="4" w:space="0" w:color="auto"/>
              <w:left w:val="single" w:sz="4" w:space="0" w:color="auto"/>
              <w:bottom w:val="single" w:sz="4" w:space="0" w:color="auto"/>
              <w:right w:val="single" w:sz="4" w:space="0" w:color="auto"/>
            </w:tcBorders>
          </w:tcPr>
          <w:p w14:paraId="715EDABD" w14:textId="7A0C627C" w:rsidR="00532287" w:rsidRPr="001C4177"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68248A">
              <w:rPr>
                <w:sz w:val="26"/>
                <w:szCs w:val="26"/>
              </w:rPr>
              <w:t>43,945</w:t>
            </w:r>
          </w:p>
        </w:tc>
        <w:tc>
          <w:tcPr>
            <w:tcW w:w="1037" w:type="pct"/>
            <w:tcBorders>
              <w:top w:val="single" w:sz="4" w:space="0" w:color="auto"/>
              <w:left w:val="single" w:sz="4" w:space="0" w:color="auto"/>
              <w:bottom w:val="single" w:sz="4" w:space="0" w:color="auto"/>
              <w:right w:val="single" w:sz="4" w:space="0" w:color="auto"/>
            </w:tcBorders>
            <w:vAlign w:val="center"/>
          </w:tcPr>
          <w:p w14:paraId="5EFA6DEF" w14:textId="0D2CE33A" w:rsidR="00532287" w:rsidRPr="001C4177"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68248A">
              <w:rPr>
                <w:sz w:val="26"/>
                <w:szCs w:val="26"/>
              </w:rPr>
              <w:t>222%</w:t>
            </w:r>
          </w:p>
        </w:tc>
        <w:tc>
          <w:tcPr>
            <w:tcW w:w="975" w:type="pct"/>
            <w:tcBorders>
              <w:top w:val="single" w:sz="4" w:space="0" w:color="auto"/>
              <w:left w:val="single" w:sz="4" w:space="0" w:color="auto"/>
              <w:bottom w:val="single" w:sz="4" w:space="0" w:color="auto"/>
              <w:right w:val="single" w:sz="4" w:space="0" w:color="auto"/>
            </w:tcBorders>
            <w:vAlign w:val="center"/>
          </w:tcPr>
          <w:p w14:paraId="7818E24B" w14:textId="71F897E0" w:rsidR="00532287" w:rsidRPr="0068248A"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rPr>
            </w:pPr>
            <w:r w:rsidRPr="0068248A">
              <w:rPr>
                <w:sz w:val="26"/>
                <w:szCs w:val="26"/>
              </w:rPr>
              <w:t>9%</w:t>
            </w:r>
          </w:p>
        </w:tc>
      </w:tr>
      <w:tr w:rsidR="00532287" w:rsidRPr="00C60AB1" w14:paraId="38ED8F5D" w14:textId="442CD34A" w:rsidTr="0068248A">
        <w:trPr>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hideMark/>
          </w:tcPr>
          <w:p w14:paraId="7E5954B8" w14:textId="77777777" w:rsidR="00532287" w:rsidRPr="00391D08" w:rsidRDefault="00532287" w:rsidP="00532287">
            <w:pPr>
              <w:keepNext/>
              <w:spacing w:before="80" w:after="80"/>
              <w:rPr>
                <w:b w:val="0"/>
                <w:sz w:val="26"/>
                <w:szCs w:val="26"/>
              </w:rPr>
            </w:pPr>
            <w:r w:rsidRPr="0068248A">
              <w:rPr>
                <w:b w:val="0"/>
                <w:sz w:val="26"/>
                <w:szCs w:val="26"/>
              </w:rPr>
              <w:t>FE: Penn Power</w:t>
            </w:r>
          </w:p>
        </w:tc>
        <w:tc>
          <w:tcPr>
            <w:tcW w:w="722" w:type="pct"/>
            <w:tcBorders>
              <w:top w:val="single" w:sz="4" w:space="0" w:color="auto"/>
              <w:left w:val="single" w:sz="4" w:space="0" w:color="auto"/>
              <w:bottom w:val="single" w:sz="4" w:space="0" w:color="auto"/>
              <w:right w:val="single" w:sz="4" w:space="0" w:color="auto"/>
            </w:tcBorders>
          </w:tcPr>
          <w:p w14:paraId="441407C3" w14:textId="6BC6E5FB" w:rsidR="00532287" w:rsidRPr="00EA7EA0"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68248A">
              <w:rPr>
                <w:sz w:val="26"/>
                <w:szCs w:val="26"/>
              </w:rPr>
              <w:t>5,508</w:t>
            </w:r>
          </w:p>
        </w:tc>
        <w:tc>
          <w:tcPr>
            <w:tcW w:w="921" w:type="pct"/>
            <w:tcBorders>
              <w:top w:val="single" w:sz="4" w:space="0" w:color="auto"/>
              <w:left w:val="single" w:sz="4" w:space="0" w:color="auto"/>
              <w:bottom w:val="single" w:sz="4" w:space="0" w:color="auto"/>
              <w:right w:val="single" w:sz="4" w:space="0" w:color="auto"/>
            </w:tcBorders>
          </w:tcPr>
          <w:p w14:paraId="4F7A937D" w14:textId="38A71FB1" w:rsidR="00532287" w:rsidRPr="001C4177"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68248A">
              <w:rPr>
                <w:sz w:val="26"/>
                <w:szCs w:val="26"/>
              </w:rPr>
              <w:t>8,288</w:t>
            </w:r>
          </w:p>
        </w:tc>
        <w:tc>
          <w:tcPr>
            <w:tcW w:w="1037" w:type="pct"/>
            <w:tcBorders>
              <w:top w:val="single" w:sz="4" w:space="0" w:color="auto"/>
              <w:left w:val="single" w:sz="4" w:space="0" w:color="auto"/>
              <w:bottom w:val="single" w:sz="4" w:space="0" w:color="auto"/>
              <w:right w:val="single" w:sz="4" w:space="0" w:color="auto"/>
            </w:tcBorders>
            <w:vAlign w:val="center"/>
          </w:tcPr>
          <w:p w14:paraId="2C78FF79" w14:textId="7691BE29" w:rsidR="00532287" w:rsidRPr="001C4177"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6"/>
                <w:szCs w:val="26"/>
              </w:rPr>
            </w:pPr>
            <w:r w:rsidRPr="0068248A">
              <w:rPr>
                <w:sz w:val="26"/>
                <w:szCs w:val="26"/>
              </w:rPr>
              <w:t>150%</w:t>
            </w:r>
          </w:p>
        </w:tc>
        <w:tc>
          <w:tcPr>
            <w:tcW w:w="975" w:type="pct"/>
            <w:tcBorders>
              <w:top w:val="single" w:sz="4" w:space="0" w:color="auto"/>
              <w:left w:val="single" w:sz="4" w:space="0" w:color="auto"/>
              <w:bottom w:val="single" w:sz="4" w:space="0" w:color="auto"/>
              <w:right w:val="single" w:sz="4" w:space="0" w:color="auto"/>
            </w:tcBorders>
            <w:vAlign w:val="center"/>
          </w:tcPr>
          <w:p w14:paraId="06B29AA6" w14:textId="68E75C51" w:rsidR="00532287" w:rsidRPr="0068248A"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rPr>
            </w:pPr>
            <w:r w:rsidRPr="0068248A">
              <w:rPr>
                <w:sz w:val="26"/>
                <w:szCs w:val="26"/>
              </w:rPr>
              <w:t>5%</w:t>
            </w:r>
          </w:p>
        </w:tc>
      </w:tr>
      <w:tr w:rsidR="00532287" w:rsidRPr="00C60AB1" w14:paraId="0A53F124" w14:textId="384DF21F" w:rsidTr="0068248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tcPr>
          <w:p w14:paraId="0CA1A46D" w14:textId="77777777" w:rsidR="00532287" w:rsidRPr="00391D08" w:rsidRDefault="00532287" w:rsidP="00532287">
            <w:pPr>
              <w:keepNext/>
              <w:spacing w:before="80" w:after="80"/>
              <w:rPr>
                <w:b w:val="0"/>
                <w:sz w:val="26"/>
                <w:szCs w:val="26"/>
              </w:rPr>
            </w:pPr>
            <w:r w:rsidRPr="0068248A">
              <w:rPr>
                <w:b w:val="0"/>
                <w:sz w:val="26"/>
                <w:szCs w:val="26"/>
              </w:rPr>
              <w:t>FE: West Penn Power</w:t>
            </w:r>
          </w:p>
        </w:tc>
        <w:tc>
          <w:tcPr>
            <w:tcW w:w="722" w:type="pct"/>
            <w:tcBorders>
              <w:top w:val="single" w:sz="4" w:space="0" w:color="auto"/>
              <w:left w:val="single" w:sz="4" w:space="0" w:color="auto"/>
              <w:bottom w:val="single" w:sz="4" w:space="0" w:color="auto"/>
              <w:right w:val="single" w:sz="4" w:space="0" w:color="auto"/>
            </w:tcBorders>
            <w:vAlign w:val="center"/>
          </w:tcPr>
          <w:p w14:paraId="302DA192" w14:textId="4BF1585F" w:rsidR="00532287" w:rsidRPr="00EA7EA0"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68248A">
              <w:rPr>
                <w:sz w:val="26"/>
                <w:szCs w:val="26"/>
              </w:rPr>
              <w:t>18,935</w:t>
            </w:r>
          </w:p>
        </w:tc>
        <w:tc>
          <w:tcPr>
            <w:tcW w:w="921" w:type="pct"/>
            <w:tcBorders>
              <w:top w:val="single" w:sz="4" w:space="0" w:color="auto"/>
              <w:left w:val="single" w:sz="4" w:space="0" w:color="auto"/>
              <w:bottom w:val="single" w:sz="4" w:space="0" w:color="auto"/>
              <w:right w:val="single" w:sz="4" w:space="0" w:color="auto"/>
            </w:tcBorders>
          </w:tcPr>
          <w:p w14:paraId="619C2BD0" w14:textId="4DAF19C7" w:rsidR="00532287" w:rsidRPr="001C4177"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68248A">
              <w:rPr>
                <w:sz w:val="26"/>
                <w:szCs w:val="26"/>
              </w:rPr>
              <w:t>62,465</w:t>
            </w:r>
          </w:p>
        </w:tc>
        <w:tc>
          <w:tcPr>
            <w:tcW w:w="1037" w:type="pct"/>
            <w:tcBorders>
              <w:top w:val="single" w:sz="4" w:space="0" w:color="auto"/>
              <w:left w:val="single" w:sz="4" w:space="0" w:color="auto"/>
              <w:bottom w:val="single" w:sz="4" w:space="0" w:color="auto"/>
              <w:right w:val="single" w:sz="4" w:space="0" w:color="auto"/>
            </w:tcBorders>
            <w:vAlign w:val="center"/>
          </w:tcPr>
          <w:p w14:paraId="3F49B93B" w14:textId="3C583E61" w:rsidR="00532287" w:rsidRPr="001C4177"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68248A">
              <w:rPr>
                <w:sz w:val="26"/>
                <w:szCs w:val="26"/>
              </w:rPr>
              <w:t>330%</w:t>
            </w:r>
          </w:p>
        </w:tc>
        <w:tc>
          <w:tcPr>
            <w:tcW w:w="975" w:type="pct"/>
            <w:tcBorders>
              <w:top w:val="single" w:sz="4" w:space="0" w:color="auto"/>
              <w:left w:val="single" w:sz="4" w:space="0" w:color="auto"/>
              <w:bottom w:val="single" w:sz="4" w:space="0" w:color="auto"/>
              <w:right w:val="single" w:sz="4" w:space="0" w:color="auto"/>
            </w:tcBorders>
            <w:vAlign w:val="center"/>
          </w:tcPr>
          <w:p w14:paraId="214E6B20" w14:textId="0ECD77A8" w:rsidR="00532287" w:rsidRPr="0068248A"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rPr>
            </w:pPr>
            <w:r w:rsidRPr="0068248A">
              <w:rPr>
                <w:sz w:val="26"/>
                <w:szCs w:val="26"/>
              </w:rPr>
              <w:t>13%</w:t>
            </w:r>
          </w:p>
        </w:tc>
      </w:tr>
      <w:tr w:rsidR="00532287" w:rsidRPr="00C60AB1" w14:paraId="55A3713E" w14:textId="704C0E94" w:rsidTr="0068248A">
        <w:trPr>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hideMark/>
          </w:tcPr>
          <w:p w14:paraId="5156AA59" w14:textId="77777777" w:rsidR="00532287" w:rsidRPr="00077CF4" w:rsidRDefault="00532287" w:rsidP="00532287">
            <w:pPr>
              <w:keepNext/>
              <w:spacing w:before="80" w:after="80"/>
              <w:rPr>
                <w:sz w:val="26"/>
                <w:szCs w:val="26"/>
              </w:rPr>
            </w:pPr>
            <w:r w:rsidRPr="00077CF4">
              <w:rPr>
                <w:sz w:val="26"/>
                <w:szCs w:val="26"/>
              </w:rPr>
              <w:t>Statewide</w:t>
            </w:r>
          </w:p>
        </w:tc>
        <w:tc>
          <w:tcPr>
            <w:tcW w:w="722" w:type="pct"/>
            <w:tcBorders>
              <w:top w:val="single" w:sz="4" w:space="0" w:color="auto"/>
              <w:left w:val="single" w:sz="4" w:space="0" w:color="auto"/>
              <w:bottom w:val="single" w:sz="4" w:space="0" w:color="auto"/>
              <w:right w:val="single" w:sz="4" w:space="0" w:color="auto"/>
            </w:tcBorders>
          </w:tcPr>
          <w:p w14:paraId="04D201FC" w14:textId="6FBF8376" w:rsidR="00532287" w:rsidRPr="00504BB8"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b/>
                <w:bCs/>
                <w:sz w:val="26"/>
                <w:szCs w:val="26"/>
                <w:highlight w:val="yellow"/>
              </w:rPr>
            </w:pPr>
            <w:r w:rsidRPr="0068248A">
              <w:rPr>
                <w:b/>
                <w:sz w:val="26"/>
                <w:szCs w:val="26"/>
              </w:rPr>
              <w:t>199,868</w:t>
            </w:r>
          </w:p>
        </w:tc>
        <w:tc>
          <w:tcPr>
            <w:tcW w:w="921" w:type="pct"/>
            <w:tcBorders>
              <w:top w:val="single" w:sz="4" w:space="0" w:color="auto"/>
              <w:left w:val="single" w:sz="4" w:space="0" w:color="auto"/>
              <w:bottom w:val="single" w:sz="4" w:space="0" w:color="auto"/>
              <w:right w:val="single" w:sz="4" w:space="0" w:color="auto"/>
            </w:tcBorders>
          </w:tcPr>
          <w:p w14:paraId="07A2D85F" w14:textId="39ED4851" w:rsidR="00532287" w:rsidRPr="006E79EF"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b/>
                <w:bCs/>
                <w:sz w:val="26"/>
                <w:szCs w:val="26"/>
                <w:highlight w:val="yellow"/>
              </w:rPr>
            </w:pPr>
            <w:r w:rsidRPr="0068248A">
              <w:rPr>
                <w:b/>
                <w:sz w:val="26"/>
                <w:szCs w:val="26"/>
              </w:rPr>
              <w:t>372,635</w:t>
            </w:r>
          </w:p>
        </w:tc>
        <w:tc>
          <w:tcPr>
            <w:tcW w:w="1037" w:type="pct"/>
            <w:tcBorders>
              <w:top w:val="single" w:sz="4" w:space="0" w:color="auto"/>
              <w:left w:val="single" w:sz="4" w:space="0" w:color="auto"/>
              <w:bottom w:val="single" w:sz="4" w:space="0" w:color="auto"/>
              <w:right w:val="single" w:sz="4" w:space="0" w:color="auto"/>
            </w:tcBorders>
            <w:vAlign w:val="center"/>
          </w:tcPr>
          <w:p w14:paraId="0D53745B" w14:textId="4DE8D441" w:rsidR="00532287" w:rsidRPr="00C10853"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b/>
                <w:bCs/>
                <w:color w:val="000000"/>
                <w:sz w:val="26"/>
                <w:szCs w:val="26"/>
              </w:rPr>
            </w:pPr>
            <w:r w:rsidRPr="0068248A">
              <w:rPr>
                <w:b/>
                <w:sz w:val="26"/>
                <w:szCs w:val="26"/>
              </w:rPr>
              <w:t>186%</w:t>
            </w:r>
          </w:p>
        </w:tc>
        <w:tc>
          <w:tcPr>
            <w:tcW w:w="975" w:type="pct"/>
            <w:tcBorders>
              <w:top w:val="single" w:sz="4" w:space="0" w:color="auto"/>
              <w:left w:val="single" w:sz="4" w:space="0" w:color="auto"/>
              <w:bottom w:val="single" w:sz="4" w:space="0" w:color="auto"/>
              <w:right w:val="single" w:sz="4" w:space="0" w:color="auto"/>
            </w:tcBorders>
            <w:vAlign w:val="center"/>
          </w:tcPr>
          <w:p w14:paraId="30D849F7" w14:textId="7B740E8B" w:rsidR="00532287" w:rsidRPr="0068248A"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b/>
                <w:sz w:val="26"/>
                <w:szCs w:val="26"/>
              </w:rPr>
            </w:pPr>
            <w:r w:rsidRPr="0068248A">
              <w:rPr>
                <w:b/>
                <w:sz w:val="26"/>
                <w:szCs w:val="26"/>
              </w:rPr>
              <w:t>9%</w:t>
            </w:r>
          </w:p>
        </w:tc>
      </w:tr>
    </w:tbl>
    <w:p w14:paraId="45DDF0D9" w14:textId="390204CE" w:rsidR="00924F1A" w:rsidRDefault="00507057" w:rsidP="00206905">
      <w:pPr>
        <w:pStyle w:val="p3"/>
        <w:widowControl/>
        <w:spacing w:line="360" w:lineRule="auto"/>
        <w:ind w:firstLine="720"/>
      </w:pPr>
      <w:r>
        <w:rPr>
          <w:szCs w:val="26"/>
        </w:rPr>
        <w:t xml:space="preserve">      </w:t>
      </w:r>
    </w:p>
    <w:p w14:paraId="2CE57B3B" w14:textId="77777777" w:rsidR="00924F1A" w:rsidRDefault="00924F1A" w:rsidP="00571D9F"/>
    <w:p w14:paraId="1BC76502" w14:textId="7CBBE680" w:rsidR="00105231" w:rsidRDefault="00105231" w:rsidP="00B91EE6">
      <w:pPr>
        <w:pStyle w:val="Heading4"/>
        <w:spacing w:line="240" w:lineRule="auto"/>
      </w:pPr>
      <w:r w:rsidRPr="00B07AC7">
        <w:t xml:space="preserve">Summary of SWE’s </w:t>
      </w:r>
      <w:r w:rsidR="00C47561">
        <w:t xml:space="preserve">EEPDR Potential </w:t>
      </w:r>
      <w:r w:rsidRPr="00B07AC7">
        <w:t>Study</w:t>
      </w:r>
      <w:r>
        <w:t xml:space="preserve"> Findings Regarding Government/</w:t>
      </w:r>
      <w:r w:rsidR="00EE6D16" w:rsidDel="00EE6D16">
        <w:t xml:space="preserve"> </w:t>
      </w:r>
      <w:r>
        <w:t>Nonprofit</w:t>
      </w:r>
      <w:r w:rsidR="00EE6D16">
        <w:t>/Institutional</w:t>
      </w:r>
      <w:r>
        <w:t xml:space="preserve"> Potential</w:t>
      </w:r>
    </w:p>
    <w:p w14:paraId="4B7AB386" w14:textId="764D9B2E" w:rsidR="00B71DD4" w:rsidRDefault="00105231" w:rsidP="006C5855">
      <w:pPr>
        <w:spacing w:before="200" w:line="360" w:lineRule="auto"/>
        <w:ind w:firstLine="720"/>
        <w:rPr>
          <w:sz w:val="26"/>
          <w:szCs w:val="26"/>
        </w:rPr>
      </w:pPr>
      <w:r>
        <w:rPr>
          <w:sz w:val="26"/>
          <w:szCs w:val="26"/>
        </w:rPr>
        <w:t xml:space="preserve">As part of the </w:t>
      </w:r>
      <w:r w:rsidR="00C47561">
        <w:rPr>
          <w:sz w:val="26"/>
          <w:szCs w:val="26"/>
        </w:rPr>
        <w:t xml:space="preserve">EEPDR Potential </w:t>
      </w:r>
      <w:r>
        <w:rPr>
          <w:sz w:val="26"/>
          <w:szCs w:val="26"/>
        </w:rPr>
        <w:t>Study, the Commission directed the SWE to determine if the</w:t>
      </w:r>
      <w:r w:rsidR="009A3975">
        <w:rPr>
          <w:sz w:val="26"/>
          <w:szCs w:val="26"/>
        </w:rPr>
        <w:t xml:space="preserve"> G</w:t>
      </w:r>
      <w:r w:rsidR="00EE6D16">
        <w:rPr>
          <w:sz w:val="26"/>
          <w:szCs w:val="26"/>
        </w:rPr>
        <w:t>NI</w:t>
      </w:r>
      <w:r w:rsidR="009A3975">
        <w:rPr>
          <w:sz w:val="26"/>
          <w:szCs w:val="26"/>
        </w:rPr>
        <w:t xml:space="preserve"> </w:t>
      </w:r>
      <w:r>
        <w:rPr>
          <w:sz w:val="26"/>
          <w:szCs w:val="26"/>
        </w:rPr>
        <w:t>sector could realize cos</w:t>
      </w:r>
      <w:r w:rsidR="009A3975">
        <w:rPr>
          <w:sz w:val="26"/>
          <w:szCs w:val="26"/>
        </w:rPr>
        <w:t>t-effective consumption savings</w:t>
      </w:r>
      <w:r>
        <w:rPr>
          <w:sz w:val="26"/>
          <w:szCs w:val="26"/>
        </w:rPr>
        <w:t xml:space="preserve"> and the extent of those possible MWh savings.  </w:t>
      </w:r>
      <w:r w:rsidR="009A3975">
        <w:rPr>
          <w:sz w:val="26"/>
          <w:szCs w:val="26"/>
        </w:rPr>
        <w:t>The SWE determined that various market segments should be analyzed to determine G</w:t>
      </w:r>
      <w:r w:rsidR="00EE6D16">
        <w:rPr>
          <w:sz w:val="26"/>
          <w:szCs w:val="26"/>
        </w:rPr>
        <w:t>NI</w:t>
      </w:r>
      <w:r w:rsidR="009A3975">
        <w:rPr>
          <w:sz w:val="26"/>
          <w:szCs w:val="26"/>
        </w:rPr>
        <w:t xml:space="preserve"> potential.  These segments include education</w:t>
      </w:r>
      <w:r w:rsidR="00F0000C" w:rsidRPr="00F0000C">
        <w:rPr>
          <w:sz w:val="26"/>
          <w:szCs w:val="26"/>
        </w:rPr>
        <w:t xml:space="preserve"> – college/university, health – hospital, and institutional/public service </w:t>
      </w:r>
      <w:r w:rsidR="000553A3">
        <w:rPr>
          <w:sz w:val="26"/>
          <w:szCs w:val="26"/>
        </w:rPr>
        <w:t xml:space="preserve">building types for </w:t>
      </w:r>
      <w:r w:rsidR="00F0000C" w:rsidRPr="00F0000C">
        <w:rPr>
          <w:sz w:val="26"/>
          <w:szCs w:val="26"/>
        </w:rPr>
        <w:t xml:space="preserve">both </w:t>
      </w:r>
      <w:r w:rsidR="00EB06B7">
        <w:rPr>
          <w:sz w:val="26"/>
          <w:szCs w:val="26"/>
        </w:rPr>
        <w:t>l</w:t>
      </w:r>
      <w:r w:rsidR="00EB06B7" w:rsidRPr="00F0000C">
        <w:rPr>
          <w:sz w:val="26"/>
          <w:szCs w:val="26"/>
        </w:rPr>
        <w:t xml:space="preserve">arge </w:t>
      </w:r>
      <w:r w:rsidR="00F0000C" w:rsidRPr="00F0000C">
        <w:rPr>
          <w:sz w:val="26"/>
          <w:szCs w:val="26"/>
        </w:rPr>
        <w:t xml:space="preserve">and </w:t>
      </w:r>
      <w:r w:rsidR="00EB06B7">
        <w:rPr>
          <w:sz w:val="26"/>
          <w:szCs w:val="26"/>
        </w:rPr>
        <w:t>s</w:t>
      </w:r>
      <w:r w:rsidR="00EB06B7" w:rsidRPr="00F0000C">
        <w:rPr>
          <w:sz w:val="26"/>
          <w:szCs w:val="26"/>
        </w:rPr>
        <w:t>mall</w:t>
      </w:r>
      <w:r w:rsidR="00EB06B7">
        <w:rPr>
          <w:sz w:val="26"/>
          <w:szCs w:val="26"/>
        </w:rPr>
        <w:t xml:space="preserve"> commercial </w:t>
      </w:r>
      <w:r w:rsidR="002C71EA">
        <w:rPr>
          <w:sz w:val="26"/>
          <w:szCs w:val="26"/>
        </w:rPr>
        <w:t xml:space="preserve">and </w:t>
      </w:r>
      <w:r w:rsidR="00EB06B7">
        <w:rPr>
          <w:sz w:val="26"/>
          <w:szCs w:val="26"/>
        </w:rPr>
        <w:t>industrial</w:t>
      </w:r>
      <w:r w:rsidR="00EB06B7" w:rsidRPr="00F0000C">
        <w:rPr>
          <w:sz w:val="26"/>
          <w:szCs w:val="26"/>
        </w:rPr>
        <w:t xml:space="preserve"> </w:t>
      </w:r>
      <w:r w:rsidR="002C71EA">
        <w:rPr>
          <w:sz w:val="26"/>
          <w:szCs w:val="26"/>
        </w:rPr>
        <w:t>(</w:t>
      </w:r>
      <w:r w:rsidR="00F0000C" w:rsidRPr="00F0000C">
        <w:rPr>
          <w:sz w:val="26"/>
          <w:szCs w:val="26"/>
        </w:rPr>
        <w:t>C&amp;I</w:t>
      </w:r>
      <w:r w:rsidR="002C71EA">
        <w:rPr>
          <w:sz w:val="26"/>
          <w:szCs w:val="26"/>
        </w:rPr>
        <w:t>)</w:t>
      </w:r>
      <w:r w:rsidR="000553A3">
        <w:rPr>
          <w:sz w:val="26"/>
          <w:szCs w:val="26"/>
        </w:rPr>
        <w:t xml:space="preserve"> sectors.</w:t>
      </w:r>
      <w:r w:rsidR="00B71DD4">
        <w:rPr>
          <w:sz w:val="26"/>
          <w:szCs w:val="26"/>
        </w:rPr>
        <w:t xml:space="preserve">  </w:t>
      </w:r>
      <w:r w:rsidR="00B71DD4" w:rsidRPr="00FE0C37">
        <w:rPr>
          <w:sz w:val="26"/>
          <w:szCs w:val="26"/>
        </w:rPr>
        <w:t>The SWE estimate</w:t>
      </w:r>
      <w:r w:rsidR="00A81738">
        <w:rPr>
          <w:sz w:val="26"/>
          <w:szCs w:val="26"/>
        </w:rPr>
        <w:t>d</w:t>
      </w:r>
      <w:r w:rsidR="00B71DD4" w:rsidRPr="00FE0C37">
        <w:rPr>
          <w:sz w:val="26"/>
          <w:szCs w:val="26"/>
        </w:rPr>
        <w:t xml:space="preserve"> that there is approximately </w:t>
      </w:r>
      <w:r w:rsidR="00F2063A">
        <w:rPr>
          <w:sz w:val="26"/>
          <w:szCs w:val="26"/>
        </w:rPr>
        <w:t>691,100</w:t>
      </w:r>
      <w:r w:rsidR="00FE0C37" w:rsidRPr="00FE0C37">
        <w:rPr>
          <w:sz w:val="26"/>
          <w:szCs w:val="26"/>
        </w:rPr>
        <w:t xml:space="preserve"> </w:t>
      </w:r>
      <w:r w:rsidR="00B71DD4" w:rsidRPr="00FE0C37">
        <w:rPr>
          <w:sz w:val="26"/>
          <w:szCs w:val="26"/>
        </w:rPr>
        <w:t xml:space="preserve">MWh of program </w:t>
      </w:r>
      <w:r w:rsidR="00CD4B40" w:rsidRPr="00FE0C37">
        <w:rPr>
          <w:sz w:val="26"/>
          <w:szCs w:val="26"/>
        </w:rPr>
        <w:t>potential for the G</w:t>
      </w:r>
      <w:r w:rsidR="00882C53">
        <w:rPr>
          <w:sz w:val="26"/>
          <w:szCs w:val="26"/>
        </w:rPr>
        <w:t>NI</w:t>
      </w:r>
      <w:r w:rsidR="00CD4B40" w:rsidRPr="00FE0C37">
        <w:rPr>
          <w:sz w:val="26"/>
          <w:szCs w:val="26"/>
        </w:rPr>
        <w:t xml:space="preserve"> sector</w:t>
      </w:r>
      <w:r w:rsidR="00BF46AE">
        <w:rPr>
          <w:sz w:val="26"/>
          <w:szCs w:val="26"/>
        </w:rPr>
        <w:t xml:space="preserve">, which represents </w:t>
      </w:r>
      <w:r w:rsidR="00AF0E74">
        <w:rPr>
          <w:sz w:val="26"/>
          <w:szCs w:val="26"/>
        </w:rPr>
        <w:t>16% of all program potential</w:t>
      </w:r>
      <w:r w:rsidR="00B71DD4" w:rsidRPr="00FE0C37">
        <w:rPr>
          <w:sz w:val="26"/>
          <w:szCs w:val="26"/>
        </w:rPr>
        <w:t>.</w:t>
      </w:r>
      <w:r w:rsidR="00FE0C37">
        <w:rPr>
          <w:rStyle w:val="FootnoteReference"/>
          <w:sz w:val="26"/>
          <w:szCs w:val="26"/>
        </w:rPr>
        <w:footnoteReference w:id="35"/>
      </w:r>
      <w:r w:rsidR="00B71DD4">
        <w:rPr>
          <w:sz w:val="26"/>
          <w:szCs w:val="26"/>
        </w:rPr>
        <w:t xml:space="preserve">  </w:t>
      </w:r>
      <w:r w:rsidR="00571D9F">
        <w:rPr>
          <w:sz w:val="26"/>
          <w:szCs w:val="26"/>
        </w:rPr>
        <w:t>T</w:t>
      </w:r>
      <w:r w:rsidR="00571D9F" w:rsidRPr="00FE0C37">
        <w:rPr>
          <w:sz w:val="26"/>
          <w:szCs w:val="26"/>
        </w:rPr>
        <w:t>he G</w:t>
      </w:r>
      <w:r w:rsidR="00E11C83">
        <w:rPr>
          <w:sz w:val="26"/>
          <w:szCs w:val="26"/>
        </w:rPr>
        <w:t>NI</w:t>
      </w:r>
      <w:r w:rsidR="00571D9F">
        <w:rPr>
          <w:sz w:val="26"/>
          <w:szCs w:val="26"/>
        </w:rPr>
        <w:t xml:space="preserve"> potential by EDC can be seen in </w:t>
      </w:r>
      <w:r w:rsidR="00E2782D">
        <w:rPr>
          <w:sz w:val="26"/>
          <w:szCs w:val="26"/>
        </w:rPr>
        <w:t>T</w:t>
      </w:r>
      <w:r w:rsidR="00571D9F">
        <w:rPr>
          <w:sz w:val="26"/>
          <w:szCs w:val="26"/>
        </w:rPr>
        <w:t xml:space="preserve">able </w:t>
      </w:r>
      <w:r w:rsidR="002D5D0F">
        <w:rPr>
          <w:sz w:val="26"/>
          <w:szCs w:val="26"/>
        </w:rPr>
        <w:t>9</w:t>
      </w:r>
      <w:r w:rsidR="00EB06B7">
        <w:rPr>
          <w:sz w:val="26"/>
          <w:szCs w:val="26"/>
        </w:rPr>
        <w:t xml:space="preserve"> </w:t>
      </w:r>
      <w:r w:rsidR="00571D9F">
        <w:rPr>
          <w:sz w:val="26"/>
          <w:szCs w:val="26"/>
        </w:rPr>
        <w:t xml:space="preserve">below. </w:t>
      </w:r>
    </w:p>
    <w:p w14:paraId="7E5F39C6" w14:textId="77777777" w:rsidR="00C821DF" w:rsidRDefault="00C821DF" w:rsidP="00C821DF">
      <w:pPr>
        <w:spacing w:line="360" w:lineRule="auto"/>
        <w:ind w:firstLine="720"/>
        <w:rPr>
          <w:sz w:val="26"/>
          <w:szCs w:val="26"/>
        </w:rPr>
      </w:pPr>
    </w:p>
    <w:p w14:paraId="60DBE902" w14:textId="1A47283A" w:rsidR="003C3101" w:rsidRPr="001C4984" w:rsidRDefault="003C3101" w:rsidP="000F45BB">
      <w:pPr>
        <w:pStyle w:val="Caption"/>
        <w:keepNext/>
        <w:jc w:val="center"/>
        <w:rPr>
          <w:sz w:val="26"/>
          <w:szCs w:val="26"/>
        </w:rPr>
      </w:pPr>
      <w:r w:rsidRPr="001C4984">
        <w:rPr>
          <w:b/>
          <w:bCs/>
          <w:i w:val="0"/>
          <w:iCs w:val="0"/>
          <w:color w:val="auto"/>
          <w:sz w:val="26"/>
          <w:szCs w:val="26"/>
        </w:rPr>
        <w:lastRenderedPageBreak/>
        <w:t>Tabl</w:t>
      </w:r>
      <w:r w:rsidR="00206905">
        <w:rPr>
          <w:b/>
          <w:bCs/>
          <w:i w:val="0"/>
          <w:iCs w:val="0"/>
          <w:color w:val="auto"/>
          <w:sz w:val="26"/>
          <w:szCs w:val="26"/>
        </w:rPr>
        <w:t xml:space="preserve">e </w:t>
      </w:r>
      <w:r w:rsidR="002D5D0F">
        <w:rPr>
          <w:b/>
          <w:bCs/>
          <w:i w:val="0"/>
          <w:iCs w:val="0"/>
          <w:color w:val="auto"/>
          <w:sz w:val="26"/>
          <w:szCs w:val="26"/>
        </w:rPr>
        <w:t>9</w:t>
      </w:r>
      <w:r w:rsidR="00A33278">
        <w:rPr>
          <w:b/>
          <w:bCs/>
          <w:i w:val="0"/>
          <w:iCs w:val="0"/>
          <w:color w:val="auto"/>
          <w:sz w:val="26"/>
          <w:szCs w:val="26"/>
        </w:rPr>
        <w:t>:</w:t>
      </w:r>
      <w:r w:rsidRPr="001C4984">
        <w:rPr>
          <w:b/>
          <w:bCs/>
          <w:i w:val="0"/>
          <w:iCs w:val="0"/>
          <w:color w:val="auto"/>
          <w:sz w:val="26"/>
          <w:szCs w:val="26"/>
        </w:rPr>
        <w:t xml:space="preserve"> Program Potential, G</w:t>
      </w:r>
      <w:r w:rsidR="00E11C83" w:rsidRPr="001C4984">
        <w:rPr>
          <w:b/>
          <w:bCs/>
          <w:i w:val="0"/>
          <w:iCs w:val="0"/>
          <w:color w:val="auto"/>
          <w:sz w:val="26"/>
          <w:szCs w:val="26"/>
        </w:rPr>
        <w:t>NI</w:t>
      </w:r>
    </w:p>
    <w:tbl>
      <w:tblPr>
        <w:tblStyle w:val="ListTable3"/>
        <w:tblW w:w="5000" w:type="pct"/>
        <w:jc w:val="center"/>
        <w:tblLook w:val="04A0" w:firstRow="1" w:lastRow="0" w:firstColumn="1" w:lastColumn="0" w:noHBand="0" w:noVBand="1"/>
      </w:tblPr>
      <w:tblGrid>
        <w:gridCol w:w="2516"/>
        <w:gridCol w:w="2172"/>
        <w:gridCol w:w="2298"/>
        <w:gridCol w:w="2364"/>
      </w:tblGrid>
      <w:tr w:rsidR="00504BB8" w:rsidRPr="00C60AB1" w14:paraId="61B5CB4F" w14:textId="53BB1F81" w:rsidTr="000C27E6">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1345" w:type="pct"/>
            <w:tcBorders>
              <w:top w:val="single" w:sz="4" w:space="0" w:color="000000" w:themeColor="text1"/>
              <w:bottom w:val="single" w:sz="4" w:space="0" w:color="auto"/>
              <w:right w:val="single" w:sz="4" w:space="0" w:color="FFFFFF" w:themeColor="background1"/>
            </w:tcBorders>
            <w:vAlign w:val="center"/>
          </w:tcPr>
          <w:p w14:paraId="6F86CF16" w14:textId="77777777" w:rsidR="00504BB8" w:rsidRPr="001A5F77" w:rsidRDefault="00504BB8" w:rsidP="00B5537E">
            <w:pPr>
              <w:keepNext/>
              <w:spacing w:before="80" w:after="80"/>
              <w:jc w:val="center"/>
              <w:rPr>
                <w:sz w:val="26"/>
                <w:szCs w:val="26"/>
              </w:rPr>
            </w:pPr>
            <w:r w:rsidRPr="00054EC5">
              <w:rPr>
                <w:sz w:val="26"/>
                <w:szCs w:val="26"/>
              </w:rPr>
              <w:br w:type="page"/>
              <w:t>EDC</w:t>
            </w:r>
          </w:p>
        </w:tc>
        <w:tc>
          <w:tcPr>
            <w:tcW w:w="1161" w:type="pct"/>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6010DFA8" w14:textId="74FD0F72" w:rsidR="00504BB8" w:rsidRPr="00054EC5" w:rsidRDefault="00504BB8" w:rsidP="00B5537E">
            <w:pPr>
              <w:keepNext/>
              <w:spacing w:before="80" w:after="80"/>
              <w:jc w:val="center"/>
              <w:cnfStyle w:val="100000000000" w:firstRow="1" w:lastRow="0" w:firstColumn="0" w:lastColumn="0" w:oddVBand="0" w:evenVBand="0" w:oddHBand="0" w:evenHBand="0" w:firstRowFirstColumn="0" w:firstRowLastColumn="0" w:lastRowFirstColumn="0" w:lastRowLastColumn="0"/>
              <w:rPr>
                <w:sz w:val="26"/>
                <w:szCs w:val="26"/>
              </w:rPr>
            </w:pPr>
            <w:r w:rsidRPr="00054EC5">
              <w:rPr>
                <w:sz w:val="26"/>
                <w:szCs w:val="26"/>
              </w:rPr>
              <w:t xml:space="preserve">2021-2026 Program </w:t>
            </w:r>
            <w:r w:rsidR="00302285" w:rsidRPr="00054EC5">
              <w:rPr>
                <w:sz w:val="26"/>
                <w:szCs w:val="26"/>
              </w:rPr>
              <w:t>Potential (</w:t>
            </w:r>
            <w:r w:rsidRPr="00054EC5">
              <w:rPr>
                <w:sz w:val="26"/>
                <w:szCs w:val="26"/>
              </w:rPr>
              <w:t>GWh)</w:t>
            </w:r>
          </w:p>
        </w:tc>
        <w:tc>
          <w:tcPr>
            <w:tcW w:w="1229" w:type="pct"/>
            <w:tcBorders>
              <w:top w:val="single" w:sz="4" w:space="0" w:color="000000" w:themeColor="text1"/>
              <w:left w:val="single" w:sz="4" w:space="0" w:color="FFFFFF" w:themeColor="background1"/>
              <w:bottom w:val="single" w:sz="4" w:space="0" w:color="auto"/>
              <w:right w:val="single" w:sz="4" w:space="0" w:color="FFFFFF" w:themeColor="background1"/>
            </w:tcBorders>
            <w:vAlign w:val="center"/>
          </w:tcPr>
          <w:p w14:paraId="026116D6" w14:textId="2052AD34" w:rsidR="00504BB8" w:rsidRPr="000C27E6" w:rsidRDefault="00980434" w:rsidP="00B5537E">
            <w:pPr>
              <w:keepNext/>
              <w:spacing w:before="80" w:after="80"/>
              <w:jc w:val="center"/>
              <w:cnfStyle w:val="100000000000" w:firstRow="1" w:lastRow="0" w:firstColumn="0" w:lastColumn="0" w:oddVBand="0" w:evenVBand="0" w:oddHBand="0" w:evenHBand="0" w:firstRowFirstColumn="0" w:firstRowLastColumn="0" w:lastRowFirstColumn="0" w:lastRowLastColumn="0"/>
              <w:rPr>
                <w:b w:val="0"/>
                <w:sz w:val="26"/>
                <w:szCs w:val="26"/>
              </w:rPr>
            </w:pPr>
            <w:r w:rsidRPr="000C27E6">
              <w:rPr>
                <w:rStyle w:val="Style11ptBold1"/>
                <w:b/>
                <w:szCs w:val="26"/>
              </w:rPr>
              <w:t>G</w:t>
            </w:r>
            <w:r w:rsidR="00E11C83" w:rsidRPr="000C27E6">
              <w:rPr>
                <w:rStyle w:val="Style11ptBold1"/>
                <w:b/>
                <w:szCs w:val="26"/>
              </w:rPr>
              <w:t>NI</w:t>
            </w:r>
            <w:r w:rsidRPr="000C27E6">
              <w:rPr>
                <w:b w:val="0"/>
                <w:i/>
                <w:sz w:val="26"/>
                <w:szCs w:val="26"/>
              </w:rPr>
              <w:t xml:space="preserve"> </w:t>
            </w:r>
            <w:r w:rsidRPr="000C27E6">
              <w:rPr>
                <w:rStyle w:val="Style11ptBold1"/>
                <w:b/>
                <w:szCs w:val="26"/>
              </w:rPr>
              <w:t xml:space="preserve">Program Potential </w:t>
            </w:r>
            <w:r w:rsidR="00504BB8" w:rsidRPr="00391D08">
              <w:rPr>
                <w:sz w:val="26"/>
                <w:szCs w:val="26"/>
              </w:rPr>
              <w:t>(</w:t>
            </w:r>
            <w:r>
              <w:rPr>
                <w:sz w:val="26"/>
                <w:szCs w:val="26"/>
              </w:rPr>
              <w:t>G</w:t>
            </w:r>
            <w:r w:rsidR="00504BB8" w:rsidRPr="00391D08">
              <w:rPr>
                <w:sz w:val="26"/>
                <w:szCs w:val="26"/>
              </w:rPr>
              <w:t>Wh)</w:t>
            </w:r>
          </w:p>
        </w:tc>
        <w:tc>
          <w:tcPr>
            <w:tcW w:w="1264" w:type="pct"/>
            <w:tcBorders>
              <w:top w:val="single" w:sz="4" w:space="0" w:color="000000" w:themeColor="text1"/>
              <w:left w:val="single" w:sz="4" w:space="0" w:color="FFFFFF" w:themeColor="background1"/>
              <w:bottom w:val="single" w:sz="4" w:space="0" w:color="auto"/>
            </w:tcBorders>
          </w:tcPr>
          <w:p w14:paraId="4CB4857C" w14:textId="1ECB702C" w:rsidR="00504BB8" w:rsidRPr="000C27E6" w:rsidRDefault="00980434" w:rsidP="00B5537E">
            <w:pPr>
              <w:keepNext/>
              <w:spacing w:before="80" w:after="80"/>
              <w:jc w:val="center"/>
              <w:cnfStyle w:val="100000000000" w:firstRow="1" w:lastRow="0" w:firstColumn="0" w:lastColumn="0" w:oddVBand="0" w:evenVBand="0" w:oddHBand="0" w:evenHBand="0" w:firstRowFirstColumn="0" w:firstRowLastColumn="0" w:lastRowFirstColumn="0" w:lastRowLastColumn="0"/>
              <w:rPr>
                <w:b w:val="0"/>
                <w:sz w:val="26"/>
                <w:szCs w:val="26"/>
              </w:rPr>
            </w:pPr>
            <w:r w:rsidRPr="000C27E6">
              <w:rPr>
                <w:rStyle w:val="Style11ptBold1"/>
                <w:b/>
                <w:szCs w:val="26"/>
              </w:rPr>
              <w:t>G</w:t>
            </w:r>
            <w:r w:rsidR="00E11C83" w:rsidRPr="000C27E6">
              <w:rPr>
                <w:rStyle w:val="Style11ptBold1"/>
                <w:b/>
                <w:szCs w:val="26"/>
              </w:rPr>
              <w:t>NI</w:t>
            </w:r>
            <w:r w:rsidRPr="000C27E6">
              <w:rPr>
                <w:b w:val="0"/>
                <w:i/>
                <w:sz w:val="26"/>
                <w:szCs w:val="26"/>
              </w:rPr>
              <w:t xml:space="preserve"> </w:t>
            </w:r>
            <w:r w:rsidRPr="000C27E6">
              <w:rPr>
                <w:rStyle w:val="Style11ptBold1"/>
                <w:b/>
                <w:szCs w:val="26"/>
              </w:rPr>
              <w:t>Program Potential, % of Portfolio Progr</w:t>
            </w:r>
            <w:r w:rsidR="006D39B5" w:rsidRPr="000C27E6">
              <w:rPr>
                <w:rStyle w:val="Style11ptBold1"/>
                <w:b/>
                <w:szCs w:val="26"/>
              </w:rPr>
              <w:t xml:space="preserve">am Potential </w:t>
            </w:r>
          </w:p>
        </w:tc>
      </w:tr>
      <w:tr w:rsidR="00F61B28" w:rsidRPr="00C60AB1" w14:paraId="35B74EFF" w14:textId="5C96C9A5" w:rsidTr="000C27E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tcPr>
          <w:p w14:paraId="16457F0E" w14:textId="18321A67" w:rsidR="00F61B28" w:rsidRPr="00391D08" w:rsidRDefault="00F61B28" w:rsidP="00F61B28">
            <w:pPr>
              <w:keepNext/>
              <w:spacing w:before="80" w:after="80"/>
              <w:rPr>
                <w:b w:val="0"/>
                <w:sz w:val="26"/>
                <w:szCs w:val="26"/>
              </w:rPr>
            </w:pPr>
            <w:r w:rsidRPr="00391D08">
              <w:rPr>
                <w:b w:val="0"/>
                <w:sz w:val="26"/>
                <w:szCs w:val="26"/>
              </w:rPr>
              <w:t>Duquesne Light</w:t>
            </w:r>
          </w:p>
        </w:tc>
        <w:tc>
          <w:tcPr>
            <w:tcW w:w="1161" w:type="pct"/>
            <w:tcBorders>
              <w:top w:val="single" w:sz="4" w:space="0" w:color="auto"/>
              <w:left w:val="single" w:sz="4" w:space="0" w:color="auto"/>
              <w:bottom w:val="single" w:sz="4" w:space="0" w:color="auto"/>
              <w:right w:val="single" w:sz="4" w:space="0" w:color="auto"/>
            </w:tcBorders>
          </w:tcPr>
          <w:p w14:paraId="2E0A19E4" w14:textId="0809982E" w:rsidR="00F61B28" w:rsidRPr="00EA7EA0" w:rsidRDefault="00F61B28" w:rsidP="00F61B28">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0C27E6">
              <w:rPr>
                <w:sz w:val="26"/>
                <w:szCs w:val="26"/>
              </w:rPr>
              <w:t>339.8</w:t>
            </w:r>
          </w:p>
        </w:tc>
        <w:tc>
          <w:tcPr>
            <w:tcW w:w="1229" w:type="pct"/>
            <w:tcBorders>
              <w:top w:val="single" w:sz="4" w:space="0" w:color="auto"/>
              <w:left w:val="single" w:sz="4" w:space="0" w:color="auto"/>
              <w:bottom w:val="single" w:sz="4" w:space="0" w:color="auto"/>
              <w:right w:val="single" w:sz="4" w:space="0" w:color="auto"/>
            </w:tcBorders>
          </w:tcPr>
          <w:p w14:paraId="54900FB4" w14:textId="27B62546" w:rsidR="00F61B28" w:rsidRPr="001C4177" w:rsidRDefault="00F61B28" w:rsidP="00F61B28">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0C27E6">
              <w:rPr>
                <w:sz w:val="26"/>
                <w:szCs w:val="26"/>
              </w:rPr>
              <w:t>70.1</w:t>
            </w:r>
          </w:p>
        </w:tc>
        <w:tc>
          <w:tcPr>
            <w:tcW w:w="1264" w:type="pct"/>
            <w:tcBorders>
              <w:top w:val="single" w:sz="4" w:space="0" w:color="auto"/>
              <w:left w:val="single" w:sz="4" w:space="0" w:color="auto"/>
              <w:bottom w:val="single" w:sz="4" w:space="0" w:color="auto"/>
              <w:right w:val="single" w:sz="4" w:space="0" w:color="auto"/>
            </w:tcBorders>
          </w:tcPr>
          <w:p w14:paraId="1FC2A811" w14:textId="28EA321B" w:rsidR="00F61B28" w:rsidRPr="001C4177" w:rsidRDefault="00F61B28" w:rsidP="00F61B28">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0C27E6">
              <w:rPr>
                <w:sz w:val="26"/>
                <w:szCs w:val="26"/>
              </w:rPr>
              <w:t>20.6%</w:t>
            </w:r>
          </w:p>
        </w:tc>
      </w:tr>
      <w:tr w:rsidR="00532287" w:rsidRPr="00C60AB1" w14:paraId="21B90CCB" w14:textId="77777777" w:rsidTr="000C27E6">
        <w:trPr>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tcPr>
          <w:p w14:paraId="43CB4041" w14:textId="36B65274" w:rsidR="00532287" w:rsidRPr="00391D08" w:rsidRDefault="00532287" w:rsidP="00532287">
            <w:pPr>
              <w:keepNext/>
              <w:spacing w:before="80" w:after="80"/>
              <w:rPr>
                <w:sz w:val="26"/>
                <w:szCs w:val="26"/>
              </w:rPr>
            </w:pPr>
            <w:r w:rsidRPr="00391D08">
              <w:rPr>
                <w:b w:val="0"/>
                <w:sz w:val="26"/>
                <w:szCs w:val="26"/>
              </w:rPr>
              <w:t>PECO</w:t>
            </w:r>
          </w:p>
        </w:tc>
        <w:tc>
          <w:tcPr>
            <w:tcW w:w="1161" w:type="pct"/>
            <w:tcBorders>
              <w:top w:val="single" w:sz="4" w:space="0" w:color="auto"/>
              <w:left w:val="single" w:sz="4" w:space="0" w:color="auto"/>
              <w:bottom w:val="single" w:sz="4" w:space="0" w:color="auto"/>
              <w:right w:val="single" w:sz="4" w:space="0" w:color="auto"/>
            </w:tcBorders>
          </w:tcPr>
          <w:p w14:paraId="676CD008" w14:textId="0B860409" w:rsidR="00532287" w:rsidRPr="000C27E6"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rPr>
            </w:pPr>
            <w:r w:rsidRPr="000C27E6">
              <w:rPr>
                <w:sz w:val="26"/>
                <w:szCs w:val="26"/>
              </w:rPr>
              <w:t>1,330.1</w:t>
            </w:r>
          </w:p>
        </w:tc>
        <w:tc>
          <w:tcPr>
            <w:tcW w:w="1229" w:type="pct"/>
            <w:tcBorders>
              <w:top w:val="single" w:sz="4" w:space="0" w:color="auto"/>
              <w:left w:val="single" w:sz="4" w:space="0" w:color="auto"/>
              <w:bottom w:val="single" w:sz="4" w:space="0" w:color="auto"/>
              <w:right w:val="single" w:sz="4" w:space="0" w:color="auto"/>
            </w:tcBorders>
          </w:tcPr>
          <w:p w14:paraId="5475BB9D" w14:textId="2F558338" w:rsidR="00532287" w:rsidRPr="000C27E6"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rPr>
            </w:pPr>
            <w:r w:rsidRPr="000C27E6">
              <w:rPr>
                <w:sz w:val="26"/>
                <w:szCs w:val="26"/>
              </w:rPr>
              <w:t>259.2</w:t>
            </w:r>
          </w:p>
        </w:tc>
        <w:tc>
          <w:tcPr>
            <w:tcW w:w="1264" w:type="pct"/>
            <w:tcBorders>
              <w:top w:val="single" w:sz="4" w:space="0" w:color="auto"/>
              <w:left w:val="single" w:sz="4" w:space="0" w:color="auto"/>
              <w:bottom w:val="single" w:sz="4" w:space="0" w:color="auto"/>
              <w:right w:val="single" w:sz="4" w:space="0" w:color="auto"/>
            </w:tcBorders>
          </w:tcPr>
          <w:p w14:paraId="43AB67C7" w14:textId="7E97CCCA" w:rsidR="00532287" w:rsidRPr="000C27E6"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rPr>
            </w:pPr>
            <w:r w:rsidRPr="000C27E6">
              <w:rPr>
                <w:sz w:val="26"/>
                <w:szCs w:val="26"/>
              </w:rPr>
              <w:t>19.5%</w:t>
            </w:r>
          </w:p>
        </w:tc>
      </w:tr>
      <w:tr w:rsidR="00532287" w:rsidRPr="00C60AB1" w14:paraId="7D71E1AD" w14:textId="69FE60DE" w:rsidTr="000C27E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tcPr>
          <w:p w14:paraId="545E67F9" w14:textId="77777777" w:rsidR="00532287" w:rsidRPr="00391D08" w:rsidRDefault="00532287" w:rsidP="00532287">
            <w:pPr>
              <w:keepNext/>
              <w:spacing w:before="80" w:after="80"/>
              <w:rPr>
                <w:b w:val="0"/>
                <w:sz w:val="26"/>
                <w:szCs w:val="26"/>
              </w:rPr>
            </w:pPr>
            <w:r w:rsidRPr="00391D08">
              <w:rPr>
                <w:b w:val="0"/>
                <w:sz w:val="26"/>
                <w:szCs w:val="26"/>
              </w:rPr>
              <w:t>PPL</w:t>
            </w:r>
          </w:p>
        </w:tc>
        <w:tc>
          <w:tcPr>
            <w:tcW w:w="1161" w:type="pct"/>
            <w:tcBorders>
              <w:top w:val="single" w:sz="4" w:space="0" w:color="auto"/>
              <w:left w:val="single" w:sz="4" w:space="0" w:color="auto"/>
              <w:bottom w:val="single" w:sz="4" w:space="0" w:color="auto"/>
              <w:right w:val="single" w:sz="4" w:space="0" w:color="auto"/>
            </w:tcBorders>
          </w:tcPr>
          <w:p w14:paraId="3A215A7A" w14:textId="7F2D4A42" w:rsidR="00532287" w:rsidRPr="00EA7EA0"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0C27E6">
              <w:rPr>
                <w:sz w:val="26"/>
                <w:szCs w:val="26"/>
              </w:rPr>
              <w:t>1,214.0</w:t>
            </w:r>
          </w:p>
        </w:tc>
        <w:tc>
          <w:tcPr>
            <w:tcW w:w="1229" w:type="pct"/>
            <w:tcBorders>
              <w:top w:val="single" w:sz="4" w:space="0" w:color="auto"/>
              <w:left w:val="single" w:sz="4" w:space="0" w:color="auto"/>
              <w:bottom w:val="single" w:sz="4" w:space="0" w:color="auto"/>
              <w:right w:val="single" w:sz="4" w:space="0" w:color="auto"/>
            </w:tcBorders>
          </w:tcPr>
          <w:p w14:paraId="2C98D00A" w14:textId="27EB5692" w:rsidR="00532287" w:rsidRPr="001C4177"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0C27E6">
              <w:rPr>
                <w:sz w:val="26"/>
                <w:szCs w:val="26"/>
              </w:rPr>
              <w:t>159.6</w:t>
            </w:r>
          </w:p>
        </w:tc>
        <w:tc>
          <w:tcPr>
            <w:tcW w:w="1264" w:type="pct"/>
            <w:tcBorders>
              <w:top w:val="single" w:sz="4" w:space="0" w:color="auto"/>
              <w:left w:val="single" w:sz="4" w:space="0" w:color="auto"/>
              <w:bottom w:val="single" w:sz="4" w:space="0" w:color="auto"/>
              <w:right w:val="single" w:sz="4" w:space="0" w:color="auto"/>
            </w:tcBorders>
          </w:tcPr>
          <w:p w14:paraId="5ED72141" w14:textId="26A2E262" w:rsidR="00532287" w:rsidRPr="001C4177"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0C27E6">
              <w:rPr>
                <w:sz w:val="26"/>
                <w:szCs w:val="26"/>
              </w:rPr>
              <w:t>13.1%</w:t>
            </w:r>
          </w:p>
        </w:tc>
      </w:tr>
      <w:tr w:rsidR="00532287" w:rsidRPr="00C60AB1" w14:paraId="53B26B4B" w14:textId="50A5E47F" w:rsidTr="000C27E6">
        <w:trPr>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tcPr>
          <w:p w14:paraId="3E55C3BD" w14:textId="77777777" w:rsidR="00532287" w:rsidRPr="00391D08" w:rsidRDefault="00532287" w:rsidP="00532287">
            <w:pPr>
              <w:keepNext/>
              <w:spacing w:before="80" w:after="80"/>
              <w:rPr>
                <w:b w:val="0"/>
                <w:sz w:val="26"/>
                <w:szCs w:val="26"/>
              </w:rPr>
            </w:pPr>
            <w:r w:rsidRPr="000C27E6">
              <w:rPr>
                <w:b w:val="0"/>
                <w:sz w:val="26"/>
                <w:szCs w:val="26"/>
              </w:rPr>
              <w:t>FE: Met-</w:t>
            </w:r>
            <w:r w:rsidRPr="000C27E6" w:rsidDel="00EC2C30">
              <w:rPr>
                <w:b w:val="0"/>
                <w:sz w:val="26"/>
                <w:szCs w:val="26"/>
              </w:rPr>
              <w:t>Ed</w:t>
            </w:r>
          </w:p>
        </w:tc>
        <w:tc>
          <w:tcPr>
            <w:tcW w:w="1161" w:type="pct"/>
            <w:tcBorders>
              <w:top w:val="single" w:sz="4" w:space="0" w:color="auto"/>
              <w:left w:val="single" w:sz="4" w:space="0" w:color="auto"/>
              <w:bottom w:val="single" w:sz="4" w:space="0" w:color="auto"/>
              <w:right w:val="single" w:sz="4" w:space="0" w:color="auto"/>
            </w:tcBorders>
          </w:tcPr>
          <w:p w14:paraId="5229D6DB" w14:textId="06456516" w:rsidR="00532287" w:rsidRPr="00EA7EA0"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0C27E6">
              <w:rPr>
                <w:sz w:val="26"/>
                <w:szCs w:val="26"/>
              </w:rPr>
              <w:t>451.1</w:t>
            </w:r>
          </w:p>
        </w:tc>
        <w:tc>
          <w:tcPr>
            <w:tcW w:w="1229" w:type="pct"/>
            <w:tcBorders>
              <w:top w:val="single" w:sz="4" w:space="0" w:color="auto"/>
              <w:left w:val="single" w:sz="4" w:space="0" w:color="auto"/>
              <w:bottom w:val="single" w:sz="4" w:space="0" w:color="auto"/>
              <w:right w:val="single" w:sz="4" w:space="0" w:color="auto"/>
            </w:tcBorders>
          </w:tcPr>
          <w:p w14:paraId="2A24753D" w14:textId="660F4D52" w:rsidR="00532287" w:rsidRPr="001C4177"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0C27E6">
              <w:rPr>
                <w:sz w:val="26"/>
                <w:szCs w:val="26"/>
              </w:rPr>
              <w:t>50.5</w:t>
            </w:r>
          </w:p>
        </w:tc>
        <w:tc>
          <w:tcPr>
            <w:tcW w:w="1264" w:type="pct"/>
            <w:tcBorders>
              <w:top w:val="single" w:sz="4" w:space="0" w:color="auto"/>
              <w:left w:val="single" w:sz="4" w:space="0" w:color="auto"/>
              <w:bottom w:val="single" w:sz="4" w:space="0" w:color="auto"/>
              <w:right w:val="single" w:sz="4" w:space="0" w:color="auto"/>
            </w:tcBorders>
          </w:tcPr>
          <w:p w14:paraId="073BCDE2" w14:textId="3AD3CA08" w:rsidR="00532287" w:rsidRPr="001C4177"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6"/>
                <w:szCs w:val="26"/>
              </w:rPr>
            </w:pPr>
            <w:r w:rsidRPr="000C27E6">
              <w:rPr>
                <w:sz w:val="26"/>
                <w:szCs w:val="26"/>
              </w:rPr>
              <w:t>11.2%</w:t>
            </w:r>
          </w:p>
        </w:tc>
      </w:tr>
      <w:tr w:rsidR="00532287" w:rsidRPr="00C60AB1" w14:paraId="3C5D9F65" w14:textId="71A90A2A" w:rsidTr="000C27E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hideMark/>
          </w:tcPr>
          <w:p w14:paraId="7ECAF6AE" w14:textId="77777777" w:rsidR="00532287" w:rsidRPr="00391D08" w:rsidRDefault="00532287" w:rsidP="00532287">
            <w:pPr>
              <w:keepNext/>
              <w:spacing w:before="80" w:after="80"/>
              <w:rPr>
                <w:b w:val="0"/>
                <w:sz w:val="26"/>
                <w:szCs w:val="26"/>
              </w:rPr>
            </w:pPr>
            <w:r w:rsidRPr="000C27E6">
              <w:rPr>
                <w:b w:val="0"/>
                <w:sz w:val="26"/>
                <w:szCs w:val="26"/>
              </w:rPr>
              <w:t>FE: Penelec</w:t>
            </w:r>
          </w:p>
        </w:tc>
        <w:tc>
          <w:tcPr>
            <w:tcW w:w="1161" w:type="pct"/>
            <w:tcBorders>
              <w:top w:val="single" w:sz="4" w:space="0" w:color="auto"/>
              <w:left w:val="single" w:sz="4" w:space="0" w:color="auto"/>
              <w:bottom w:val="single" w:sz="4" w:space="0" w:color="auto"/>
              <w:right w:val="single" w:sz="4" w:space="0" w:color="auto"/>
            </w:tcBorders>
          </w:tcPr>
          <w:p w14:paraId="357B516C" w14:textId="525742F5" w:rsidR="00532287" w:rsidRPr="00EA7EA0"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0C27E6">
              <w:rPr>
                <w:sz w:val="26"/>
                <w:szCs w:val="26"/>
              </w:rPr>
              <w:t>423</w:t>
            </w:r>
          </w:p>
        </w:tc>
        <w:tc>
          <w:tcPr>
            <w:tcW w:w="1229" w:type="pct"/>
            <w:tcBorders>
              <w:top w:val="single" w:sz="4" w:space="0" w:color="auto"/>
              <w:left w:val="single" w:sz="4" w:space="0" w:color="auto"/>
              <w:bottom w:val="single" w:sz="4" w:space="0" w:color="auto"/>
              <w:right w:val="single" w:sz="4" w:space="0" w:color="auto"/>
            </w:tcBorders>
          </w:tcPr>
          <w:p w14:paraId="56EF7B64" w14:textId="113DC82E" w:rsidR="00532287" w:rsidRPr="001C4177"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0C27E6">
              <w:rPr>
                <w:sz w:val="26"/>
                <w:szCs w:val="26"/>
              </w:rPr>
              <w:t>74.7</w:t>
            </w:r>
          </w:p>
        </w:tc>
        <w:tc>
          <w:tcPr>
            <w:tcW w:w="1264" w:type="pct"/>
            <w:tcBorders>
              <w:top w:val="single" w:sz="4" w:space="0" w:color="auto"/>
              <w:left w:val="single" w:sz="4" w:space="0" w:color="auto"/>
              <w:bottom w:val="single" w:sz="4" w:space="0" w:color="auto"/>
              <w:right w:val="single" w:sz="4" w:space="0" w:color="auto"/>
            </w:tcBorders>
          </w:tcPr>
          <w:p w14:paraId="7CF7D481" w14:textId="69FA6620" w:rsidR="00532287" w:rsidRPr="001C4177"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0C27E6">
              <w:rPr>
                <w:sz w:val="26"/>
                <w:szCs w:val="26"/>
              </w:rPr>
              <w:t>17.7%</w:t>
            </w:r>
          </w:p>
        </w:tc>
      </w:tr>
      <w:tr w:rsidR="00532287" w:rsidRPr="00C60AB1" w14:paraId="460BB4F5" w14:textId="4B166F09" w:rsidTr="000C27E6">
        <w:trPr>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hideMark/>
          </w:tcPr>
          <w:p w14:paraId="6EB8A707" w14:textId="77777777" w:rsidR="00532287" w:rsidRPr="00391D08" w:rsidRDefault="00532287" w:rsidP="00532287">
            <w:pPr>
              <w:keepNext/>
              <w:spacing w:before="80" w:after="80"/>
              <w:rPr>
                <w:b w:val="0"/>
                <w:sz w:val="26"/>
                <w:szCs w:val="26"/>
              </w:rPr>
            </w:pPr>
            <w:r w:rsidRPr="000C27E6">
              <w:rPr>
                <w:b w:val="0"/>
                <w:sz w:val="26"/>
                <w:szCs w:val="26"/>
              </w:rPr>
              <w:t>FE: Penn Power</w:t>
            </w:r>
          </w:p>
        </w:tc>
        <w:tc>
          <w:tcPr>
            <w:tcW w:w="1161" w:type="pct"/>
            <w:tcBorders>
              <w:top w:val="single" w:sz="4" w:space="0" w:color="auto"/>
              <w:left w:val="single" w:sz="4" w:space="0" w:color="auto"/>
              <w:bottom w:val="single" w:sz="4" w:space="0" w:color="auto"/>
              <w:right w:val="single" w:sz="4" w:space="0" w:color="auto"/>
            </w:tcBorders>
          </w:tcPr>
          <w:p w14:paraId="5CD1147B" w14:textId="2627A506" w:rsidR="00532287" w:rsidRPr="00EA7EA0"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0C27E6">
              <w:rPr>
                <w:sz w:val="26"/>
                <w:szCs w:val="26"/>
              </w:rPr>
              <w:t>125.3</w:t>
            </w:r>
          </w:p>
        </w:tc>
        <w:tc>
          <w:tcPr>
            <w:tcW w:w="1229" w:type="pct"/>
            <w:tcBorders>
              <w:top w:val="single" w:sz="4" w:space="0" w:color="auto"/>
              <w:left w:val="single" w:sz="4" w:space="0" w:color="auto"/>
              <w:bottom w:val="single" w:sz="4" w:space="0" w:color="auto"/>
              <w:right w:val="single" w:sz="4" w:space="0" w:color="auto"/>
            </w:tcBorders>
          </w:tcPr>
          <w:p w14:paraId="5C0BA6D2" w14:textId="6D6BB31A" w:rsidR="00532287" w:rsidRPr="001C4177"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sidRPr="000C27E6">
              <w:rPr>
                <w:sz w:val="26"/>
                <w:szCs w:val="26"/>
              </w:rPr>
              <w:t>12</w:t>
            </w:r>
            <w:r w:rsidR="00F738AF">
              <w:rPr>
                <w:sz w:val="26"/>
                <w:szCs w:val="26"/>
              </w:rPr>
              <w:t>.0</w:t>
            </w:r>
          </w:p>
        </w:tc>
        <w:tc>
          <w:tcPr>
            <w:tcW w:w="1264" w:type="pct"/>
            <w:tcBorders>
              <w:top w:val="single" w:sz="4" w:space="0" w:color="auto"/>
              <w:left w:val="single" w:sz="4" w:space="0" w:color="auto"/>
              <w:bottom w:val="single" w:sz="4" w:space="0" w:color="auto"/>
              <w:right w:val="single" w:sz="4" w:space="0" w:color="auto"/>
            </w:tcBorders>
          </w:tcPr>
          <w:p w14:paraId="36AE8A75" w14:textId="462CD5EE" w:rsidR="00532287" w:rsidRPr="001C4177"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color w:val="000000"/>
                <w:sz w:val="26"/>
                <w:szCs w:val="26"/>
              </w:rPr>
            </w:pPr>
            <w:r w:rsidRPr="000C27E6">
              <w:rPr>
                <w:sz w:val="26"/>
                <w:szCs w:val="26"/>
              </w:rPr>
              <w:t>9.6%</w:t>
            </w:r>
          </w:p>
        </w:tc>
      </w:tr>
      <w:tr w:rsidR="00532287" w:rsidRPr="00C60AB1" w14:paraId="1632178C" w14:textId="58B9E5E8" w:rsidTr="000C27E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tcPr>
          <w:p w14:paraId="4A29FFB5" w14:textId="77777777" w:rsidR="00532287" w:rsidRPr="00391D08" w:rsidRDefault="00532287" w:rsidP="00532287">
            <w:pPr>
              <w:keepNext/>
              <w:spacing w:before="80" w:after="80"/>
              <w:rPr>
                <w:b w:val="0"/>
                <w:sz w:val="26"/>
                <w:szCs w:val="26"/>
              </w:rPr>
            </w:pPr>
            <w:r w:rsidRPr="000C27E6">
              <w:rPr>
                <w:b w:val="0"/>
                <w:sz w:val="26"/>
                <w:szCs w:val="26"/>
              </w:rPr>
              <w:t>FE: West Penn Power</w:t>
            </w:r>
          </w:p>
        </w:tc>
        <w:tc>
          <w:tcPr>
            <w:tcW w:w="1161" w:type="pct"/>
            <w:tcBorders>
              <w:top w:val="single" w:sz="4" w:space="0" w:color="auto"/>
              <w:left w:val="single" w:sz="4" w:space="0" w:color="auto"/>
              <w:bottom w:val="single" w:sz="4" w:space="0" w:color="auto"/>
              <w:right w:val="single" w:sz="4" w:space="0" w:color="auto"/>
            </w:tcBorders>
          </w:tcPr>
          <w:p w14:paraId="65933C9D" w14:textId="4C9AF437" w:rsidR="00532287" w:rsidRPr="00EA7EA0"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0C27E6">
              <w:rPr>
                <w:sz w:val="26"/>
                <w:szCs w:val="26"/>
              </w:rPr>
              <w:t>492</w:t>
            </w:r>
          </w:p>
        </w:tc>
        <w:tc>
          <w:tcPr>
            <w:tcW w:w="1229" w:type="pct"/>
            <w:tcBorders>
              <w:top w:val="single" w:sz="4" w:space="0" w:color="auto"/>
              <w:left w:val="single" w:sz="4" w:space="0" w:color="auto"/>
              <w:bottom w:val="single" w:sz="4" w:space="0" w:color="auto"/>
              <w:right w:val="single" w:sz="4" w:space="0" w:color="auto"/>
            </w:tcBorders>
          </w:tcPr>
          <w:p w14:paraId="5C893138" w14:textId="7D312026" w:rsidR="00532287" w:rsidRPr="001C4177"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sidRPr="000C27E6">
              <w:rPr>
                <w:sz w:val="26"/>
                <w:szCs w:val="26"/>
              </w:rPr>
              <w:t>65.1</w:t>
            </w:r>
          </w:p>
        </w:tc>
        <w:tc>
          <w:tcPr>
            <w:tcW w:w="1264" w:type="pct"/>
            <w:tcBorders>
              <w:top w:val="single" w:sz="4" w:space="0" w:color="auto"/>
              <w:left w:val="single" w:sz="4" w:space="0" w:color="auto"/>
              <w:bottom w:val="single" w:sz="4" w:space="0" w:color="auto"/>
              <w:right w:val="single" w:sz="4" w:space="0" w:color="auto"/>
            </w:tcBorders>
          </w:tcPr>
          <w:p w14:paraId="6EB5DAF5" w14:textId="4117F26A" w:rsidR="00532287" w:rsidRPr="001C4177" w:rsidRDefault="00532287" w:rsidP="00532287">
            <w:pPr>
              <w:keepNext/>
              <w:spacing w:before="80" w:after="80"/>
              <w:jc w:val="center"/>
              <w:cnfStyle w:val="000000100000" w:firstRow="0" w:lastRow="0" w:firstColumn="0" w:lastColumn="0" w:oddVBand="0" w:evenVBand="0" w:oddHBand="1" w:evenHBand="0" w:firstRowFirstColumn="0" w:firstRowLastColumn="0" w:lastRowFirstColumn="0" w:lastRowLastColumn="0"/>
              <w:rPr>
                <w:color w:val="000000"/>
                <w:sz w:val="26"/>
                <w:szCs w:val="26"/>
              </w:rPr>
            </w:pPr>
            <w:r w:rsidRPr="000C27E6">
              <w:rPr>
                <w:sz w:val="26"/>
                <w:szCs w:val="26"/>
              </w:rPr>
              <w:t>13.2%</w:t>
            </w:r>
          </w:p>
        </w:tc>
      </w:tr>
      <w:tr w:rsidR="00532287" w:rsidRPr="00C60AB1" w14:paraId="5CC1F314" w14:textId="3D30FF3E" w:rsidTr="000C27E6">
        <w:trPr>
          <w:trHeight w:val="315"/>
          <w:jc w:val="center"/>
        </w:trPr>
        <w:tc>
          <w:tcPr>
            <w:cnfStyle w:val="001000000000" w:firstRow="0" w:lastRow="0" w:firstColumn="1" w:lastColumn="0" w:oddVBand="0" w:evenVBand="0" w:oddHBand="0" w:evenHBand="0" w:firstRowFirstColumn="0" w:firstRowLastColumn="0" w:lastRowFirstColumn="0" w:lastRowLastColumn="0"/>
            <w:tcW w:w="1345" w:type="pct"/>
            <w:tcBorders>
              <w:top w:val="single" w:sz="4" w:space="0" w:color="auto"/>
              <w:left w:val="single" w:sz="4" w:space="0" w:color="auto"/>
              <w:bottom w:val="single" w:sz="4" w:space="0" w:color="auto"/>
              <w:right w:val="single" w:sz="4" w:space="0" w:color="auto"/>
            </w:tcBorders>
            <w:hideMark/>
          </w:tcPr>
          <w:p w14:paraId="1ABE2669" w14:textId="77777777" w:rsidR="00532287" w:rsidRPr="00077CF4" w:rsidRDefault="00532287" w:rsidP="00532287">
            <w:pPr>
              <w:keepNext/>
              <w:spacing w:before="80" w:after="80"/>
              <w:rPr>
                <w:sz w:val="26"/>
                <w:szCs w:val="26"/>
              </w:rPr>
            </w:pPr>
            <w:r w:rsidRPr="00077CF4">
              <w:rPr>
                <w:sz w:val="26"/>
                <w:szCs w:val="26"/>
              </w:rPr>
              <w:t>Statewide</w:t>
            </w:r>
          </w:p>
        </w:tc>
        <w:tc>
          <w:tcPr>
            <w:tcW w:w="1161" w:type="pct"/>
            <w:tcBorders>
              <w:top w:val="single" w:sz="4" w:space="0" w:color="auto"/>
              <w:left w:val="single" w:sz="4" w:space="0" w:color="auto"/>
              <w:bottom w:val="single" w:sz="4" w:space="0" w:color="auto"/>
              <w:right w:val="single" w:sz="4" w:space="0" w:color="auto"/>
            </w:tcBorders>
          </w:tcPr>
          <w:p w14:paraId="69D0DCF9" w14:textId="2B40F6A2" w:rsidR="00532287" w:rsidRPr="00504BB8"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b/>
                <w:bCs/>
                <w:sz w:val="26"/>
                <w:szCs w:val="26"/>
                <w:highlight w:val="yellow"/>
              </w:rPr>
            </w:pPr>
            <w:r w:rsidRPr="000C27E6">
              <w:rPr>
                <w:b/>
                <w:sz w:val="26"/>
                <w:szCs w:val="26"/>
              </w:rPr>
              <w:t>4,375.40</w:t>
            </w:r>
          </w:p>
        </w:tc>
        <w:tc>
          <w:tcPr>
            <w:tcW w:w="1229" w:type="pct"/>
            <w:tcBorders>
              <w:top w:val="single" w:sz="4" w:space="0" w:color="auto"/>
              <w:left w:val="single" w:sz="4" w:space="0" w:color="auto"/>
              <w:bottom w:val="single" w:sz="4" w:space="0" w:color="auto"/>
              <w:right w:val="single" w:sz="4" w:space="0" w:color="auto"/>
            </w:tcBorders>
          </w:tcPr>
          <w:p w14:paraId="0CBA28F5" w14:textId="247F0A9E" w:rsidR="00532287" w:rsidRPr="00980434"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b/>
                <w:bCs/>
                <w:sz w:val="26"/>
                <w:szCs w:val="26"/>
                <w:highlight w:val="yellow"/>
              </w:rPr>
            </w:pPr>
            <w:r w:rsidRPr="000C27E6">
              <w:rPr>
                <w:b/>
                <w:sz w:val="26"/>
                <w:szCs w:val="26"/>
              </w:rPr>
              <w:t>691.1</w:t>
            </w:r>
          </w:p>
        </w:tc>
        <w:tc>
          <w:tcPr>
            <w:tcW w:w="1264" w:type="pct"/>
            <w:tcBorders>
              <w:top w:val="single" w:sz="4" w:space="0" w:color="auto"/>
              <w:left w:val="single" w:sz="4" w:space="0" w:color="auto"/>
              <w:bottom w:val="single" w:sz="4" w:space="0" w:color="auto"/>
              <w:right w:val="single" w:sz="4" w:space="0" w:color="auto"/>
            </w:tcBorders>
          </w:tcPr>
          <w:p w14:paraId="1BBCCC4F" w14:textId="4EBB9603" w:rsidR="00532287" w:rsidRPr="006D39B5" w:rsidRDefault="00532287" w:rsidP="00532287">
            <w:pPr>
              <w:keepNext/>
              <w:spacing w:before="80" w:after="80"/>
              <w:jc w:val="center"/>
              <w:cnfStyle w:val="000000000000" w:firstRow="0" w:lastRow="0" w:firstColumn="0" w:lastColumn="0" w:oddVBand="0" w:evenVBand="0" w:oddHBand="0" w:evenHBand="0" w:firstRowFirstColumn="0" w:firstRowLastColumn="0" w:lastRowFirstColumn="0" w:lastRowLastColumn="0"/>
              <w:rPr>
                <w:b/>
                <w:bCs/>
                <w:color w:val="000000"/>
                <w:sz w:val="26"/>
                <w:szCs w:val="26"/>
              </w:rPr>
            </w:pPr>
            <w:r w:rsidRPr="000C27E6">
              <w:rPr>
                <w:b/>
                <w:sz w:val="26"/>
                <w:szCs w:val="26"/>
              </w:rPr>
              <w:t>15.8%</w:t>
            </w:r>
          </w:p>
        </w:tc>
      </w:tr>
    </w:tbl>
    <w:p w14:paraId="3D46058E" w14:textId="5FAEC058" w:rsidR="00105231" w:rsidRDefault="003C3101" w:rsidP="00206905">
      <w:pPr>
        <w:pStyle w:val="p3"/>
        <w:widowControl/>
        <w:spacing w:line="360" w:lineRule="auto"/>
        <w:ind w:firstLine="720"/>
        <w:rPr>
          <w:szCs w:val="26"/>
        </w:rPr>
      </w:pPr>
      <w:r>
        <w:rPr>
          <w:szCs w:val="26"/>
        </w:rPr>
        <w:t xml:space="preserve">      </w:t>
      </w:r>
      <w:r w:rsidR="00105231">
        <w:rPr>
          <w:szCs w:val="26"/>
        </w:rPr>
        <w:tab/>
      </w:r>
    </w:p>
    <w:p w14:paraId="424FE550" w14:textId="77777777" w:rsidR="00105231" w:rsidRPr="00F81760" w:rsidRDefault="00105231" w:rsidP="00652645">
      <w:pPr>
        <w:pStyle w:val="Heading4"/>
      </w:pPr>
      <w:r>
        <w:t>Commission Proposal</w:t>
      </w:r>
    </w:p>
    <w:p w14:paraId="61D3787B" w14:textId="10EBC437" w:rsidR="00FE3E83" w:rsidRPr="00FE3E83" w:rsidRDefault="00412165" w:rsidP="006C5855">
      <w:pPr>
        <w:pStyle w:val="p3"/>
        <w:widowControl/>
        <w:tabs>
          <w:tab w:val="clear" w:pos="204"/>
          <w:tab w:val="left" w:pos="-2070"/>
        </w:tabs>
        <w:spacing w:line="360" w:lineRule="auto"/>
        <w:ind w:firstLine="720"/>
      </w:pPr>
      <w:r w:rsidRPr="25EC1187">
        <w:t xml:space="preserve">The </w:t>
      </w:r>
      <w:r w:rsidR="009B5B04" w:rsidRPr="25EC1187">
        <w:t xml:space="preserve">Commission </w:t>
      </w:r>
      <w:r w:rsidR="00A62171" w:rsidRPr="25EC1187">
        <w:t xml:space="preserve">proposes </w:t>
      </w:r>
      <w:r w:rsidR="0059134C">
        <w:t>no</w:t>
      </w:r>
      <w:r w:rsidR="00A62171" w:rsidRPr="25EC1187">
        <w:t xml:space="preserve"> specific carve-out for the G</w:t>
      </w:r>
      <w:r w:rsidR="00347736">
        <w:t>NI</w:t>
      </w:r>
      <w:r w:rsidR="00A62171" w:rsidRPr="25EC1187">
        <w:t xml:space="preserve"> sector </w:t>
      </w:r>
      <w:r w:rsidR="0059134C">
        <w:t xml:space="preserve">for Phase IV of Act 129.  </w:t>
      </w:r>
      <w:r w:rsidR="00740FE8">
        <w:t>The results of the</w:t>
      </w:r>
      <w:r w:rsidR="0059134C">
        <w:t xml:space="preserve"> </w:t>
      </w:r>
      <w:r w:rsidR="00C47561">
        <w:t xml:space="preserve">EEPDR Potential </w:t>
      </w:r>
      <w:r w:rsidR="00740FE8">
        <w:t>Study</w:t>
      </w:r>
      <w:r w:rsidR="0059134C">
        <w:t xml:space="preserve"> indicate that </w:t>
      </w:r>
      <w:r w:rsidR="00740FE8">
        <w:t xml:space="preserve">the </w:t>
      </w:r>
      <w:r w:rsidR="0059134C">
        <w:t>G</w:t>
      </w:r>
      <w:r w:rsidR="00347736">
        <w:t>NI</w:t>
      </w:r>
      <w:r w:rsidR="0059134C">
        <w:t xml:space="preserve"> </w:t>
      </w:r>
      <w:r w:rsidR="002A6126">
        <w:t xml:space="preserve">sector </w:t>
      </w:r>
      <w:r w:rsidR="00A62171" w:rsidRPr="25EC1187">
        <w:t xml:space="preserve">is </w:t>
      </w:r>
      <w:r w:rsidR="00740FE8">
        <w:t>expected to produce a significant share</w:t>
      </w:r>
      <w:r w:rsidR="002A6126">
        <w:t xml:space="preserve"> in</w:t>
      </w:r>
      <w:r w:rsidR="00740FE8">
        <w:t xml:space="preserve"> Phase IV consumption reductions at a comparable acquisition cost to the broader </w:t>
      </w:r>
      <w:r w:rsidR="00456C81">
        <w:t xml:space="preserve">small and large </w:t>
      </w:r>
      <w:r w:rsidR="00740FE8">
        <w:t>C&amp;I customer classes without a specific compliance target.  Unlike the low-income sector, which would likely be underserved without a carve-out, we aver that the G</w:t>
      </w:r>
      <w:r w:rsidR="00095201">
        <w:t>NI</w:t>
      </w:r>
      <w:r w:rsidR="00A62171" w:rsidRPr="25EC1187">
        <w:t xml:space="preserve"> sector </w:t>
      </w:r>
      <w:r w:rsidR="3C48B865" w:rsidRPr="25EC1187">
        <w:t>can be</w:t>
      </w:r>
      <w:r w:rsidR="00A62171" w:rsidRPr="25EC1187">
        <w:t xml:space="preserve"> </w:t>
      </w:r>
      <w:r w:rsidR="007E2C29" w:rsidRPr="25EC1187">
        <w:t xml:space="preserve">adequately served by </w:t>
      </w:r>
      <w:r w:rsidR="00B76AD4">
        <w:t xml:space="preserve">measures offered to other </w:t>
      </w:r>
      <w:r w:rsidR="007E2C29" w:rsidRPr="25EC1187">
        <w:t xml:space="preserve">non-residential </w:t>
      </w:r>
      <w:r w:rsidR="000B2C69">
        <w:t>customers</w:t>
      </w:r>
      <w:r w:rsidR="0059134C">
        <w:t>.</w:t>
      </w:r>
      <w:r w:rsidR="007E2C29" w:rsidRPr="25EC1187">
        <w:t xml:space="preserve">  However, the Commission </w:t>
      </w:r>
      <w:r w:rsidR="00E56AD6" w:rsidRPr="25EC1187">
        <w:t>proposes that the EDCs report savings achieved for the G</w:t>
      </w:r>
      <w:r w:rsidR="00AF4542">
        <w:t>NI</w:t>
      </w:r>
      <w:r w:rsidR="00E56AD6" w:rsidRPr="25EC1187">
        <w:t xml:space="preserve"> sector in Phase IV and that the EDCs’ EE&amp;C plans highlight </w:t>
      </w:r>
      <w:r w:rsidR="000E3AD1" w:rsidRPr="25EC1187">
        <w:t>h</w:t>
      </w:r>
      <w:r w:rsidR="00E56AD6" w:rsidRPr="25EC1187">
        <w:t>ow the G</w:t>
      </w:r>
      <w:r w:rsidR="00AF4542">
        <w:t>NI</w:t>
      </w:r>
      <w:r w:rsidR="00E56AD6" w:rsidRPr="25EC1187">
        <w:t xml:space="preserve"> sector will be served</w:t>
      </w:r>
      <w:r w:rsidR="004E16AE">
        <w:t xml:space="preserve">. </w:t>
      </w:r>
    </w:p>
    <w:p w14:paraId="63153874" w14:textId="77777777" w:rsidR="00310E23" w:rsidRDefault="00310E23" w:rsidP="004E16AE">
      <w:pPr>
        <w:pStyle w:val="p3"/>
        <w:widowControl/>
        <w:tabs>
          <w:tab w:val="clear" w:pos="204"/>
          <w:tab w:val="left" w:pos="-2070"/>
        </w:tabs>
        <w:spacing w:line="360" w:lineRule="auto"/>
      </w:pPr>
    </w:p>
    <w:p w14:paraId="339CCB91" w14:textId="1C9D2FDF" w:rsidR="00310E23" w:rsidRDefault="00310E23" w:rsidP="00B91EE6">
      <w:pPr>
        <w:pStyle w:val="p3"/>
        <w:widowControl/>
        <w:tabs>
          <w:tab w:val="clear" w:pos="204"/>
          <w:tab w:val="left" w:pos="-2070"/>
        </w:tabs>
        <w:spacing w:line="360" w:lineRule="auto"/>
        <w:ind w:firstLine="720"/>
      </w:pPr>
      <w:r>
        <w:t xml:space="preserve">Our proposal </w:t>
      </w:r>
      <w:r w:rsidR="00652454">
        <w:t>not</w:t>
      </w:r>
      <w:r>
        <w:t xml:space="preserve"> </w:t>
      </w:r>
      <w:r w:rsidR="008F0AC2">
        <w:t>to</w:t>
      </w:r>
      <w:r>
        <w:t xml:space="preserve"> establish a G</w:t>
      </w:r>
      <w:r w:rsidR="005830E1">
        <w:t>NI</w:t>
      </w:r>
      <w:r>
        <w:t xml:space="preserve"> carve-out for Phase IV was informed, in part, by </w:t>
      </w:r>
      <w:r w:rsidR="00652454">
        <w:t xml:space="preserve">Willingness to Pay and Procurement Policy </w:t>
      </w:r>
      <w:r w:rsidR="00B20B8F">
        <w:t xml:space="preserve">findings from </w:t>
      </w:r>
      <w:r>
        <w:t xml:space="preserve">the </w:t>
      </w:r>
      <w:r w:rsidR="00B20B8F">
        <w:t xml:space="preserve">2018 Non-Residential </w:t>
      </w:r>
      <w:r w:rsidR="00B20B8F">
        <w:lastRenderedPageBreak/>
        <w:t>Baseline Study.</w:t>
      </w:r>
      <w:r w:rsidR="00B20B8F">
        <w:rPr>
          <w:rStyle w:val="FootnoteReference"/>
        </w:rPr>
        <w:footnoteReference w:id="36"/>
      </w:r>
      <w:r w:rsidR="00652454">
        <w:t xml:space="preserve"> </w:t>
      </w:r>
      <w:r w:rsidR="000B2C69">
        <w:t xml:space="preserve"> </w:t>
      </w:r>
      <w:r w:rsidR="00652454">
        <w:t xml:space="preserve">While conducting site visits at C&amp;I facilities, the SWE asked participating organizations </w:t>
      </w:r>
      <w:r w:rsidR="000B2C69">
        <w:t xml:space="preserve">the following </w:t>
      </w:r>
      <w:r w:rsidR="00652454">
        <w:t xml:space="preserve">five questions regarding equipment purchasing policies and Act 129 program </w:t>
      </w:r>
      <w:r w:rsidR="00F514D6">
        <w:t>awareness</w:t>
      </w:r>
      <w:r w:rsidR="00B23594">
        <w:t>:</w:t>
      </w:r>
      <w:r w:rsidR="00F514D6">
        <w:t xml:space="preserve"> </w:t>
      </w:r>
    </w:p>
    <w:p w14:paraId="08F6246E" w14:textId="77777777" w:rsidR="00F514D6" w:rsidRDefault="00F514D6" w:rsidP="00B91EE6">
      <w:pPr>
        <w:pStyle w:val="p3"/>
        <w:widowControl/>
        <w:tabs>
          <w:tab w:val="clear" w:pos="204"/>
          <w:tab w:val="left" w:pos="-2070"/>
        </w:tabs>
        <w:spacing w:line="360" w:lineRule="auto"/>
        <w:ind w:firstLine="720"/>
      </w:pPr>
    </w:p>
    <w:p w14:paraId="229D0C48" w14:textId="5FEBFDD8" w:rsidR="00B91EE6" w:rsidRDefault="00EE4C28" w:rsidP="00B91EE6">
      <w:pPr>
        <w:pStyle w:val="p3"/>
        <w:numPr>
          <w:ilvl w:val="0"/>
          <w:numId w:val="21"/>
        </w:numPr>
        <w:tabs>
          <w:tab w:val="left" w:pos="-2070"/>
        </w:tabs>
        <w:spacing w:line="360" w:lineRule="auto"/>
        <w:ind w:left="720" w:right="720" w:firstLine="0"/>
      </w:pPr>
      <w:r>
        <w:t>Does your company have any procurement policies or guidelines to purchase high-efficiency options when they are available and would provide a lower life cycle cost?</w:t>
      </w:r>
    </w:p>
    <w:p w14:paraId="070BF7FC" w14:textId="5B984C15" w:rsidR="00B91EE6" w:rsidRDefault="00EE4C28" w:rsidP="00B91EE6">
      <w:pPr>
        <w:pStyle w:val="p3"/>
        <w:numPr>
          <w:ilvl w:val="0"/>
          <w:numId w:val="21"/>
        </w:numPr>
        <w:tabs>
          <w:tab w:val="left" w:pos="-2070"/>
        </w:tabs>
        <w:spacing w:line="360" w:lineRule="auto"/>
        <w:ind w:left="720" w:right="720" w:firstLine="0"/>
      </w:pPr>
      <w:r>
        <w:t>Do you do capital planning for major equipment replacements and proactively replace equipment when it is toward the end of its useful life (as opposed to waiting until something fails to replace it)?</w:t>
      </w:r>
    </w:p>
    <w:p w14:paraId="279E74DF" w14:textId="236B60F2" w:rsidR="00B91EE6" w:rsidRDefault="00EE4C28" w:rsidP="00B91EE6">
      <w:pPr>
        <w:pStyle w:val="p3"/>
        <w:numPr>
          <w:ilvl w:val="0"/>
          <w:numId w:val="21"/>
        </w:numPr>
        <w:tabs>
          <w:tab w:val="left" w:pos="-2070"/>
        </w:tabs>
        <w:spacing w:line="360" w:lineRule="auto"/>
        <w:ind w:left="720" w:right="720" w:firstLine="0"/>
      </w:pPr>
      <w:r>
        <w:t>For significant energy-using equipment purchases, does your company routinely analyze the different efficiency and cost options to assess life cycle costs?</w:t>
      </w:r>
    </w:p>
    <w:p w14:paraId="7A0D7CCA" w14:textId="4B07A76C" w:rsidR="00B91EE6" w:rsidRDefault="00EE4C28" w:rsidP="00B91EE6">
      <w:pPr>
        <w:pStyle w:val="p3"/>
        <w:numPr>
          <w:ilvl w:val="0"/>
          <w:numId w:val="21"/>
        </w:numPr>
        <w:tabs>
          <w:tab w:val="left" w:pos="-2070"/>
        </w:tabs>
        <w:spacing w:line="360" w:lineRule="auto"/>
        <w:ind w:left="720" w:right="720" w:firstLine="0"/>
      </w:pPr>
      <w:r>
        <w:t>Are you aware of your utility's energy</w:t>
      </w:r>
      <w:r w:rsidR="00EA0A03">
        <w:t xml:space="preserve"> </w:t>
      </w:r>
      <w:r>
        <w:t>efficiency rebate program?</w:t>
      </w:r>
    </w:p>
    <w:p w14:paraId="65EA03FB" w14:textId="226E65E8" w:rsidR="00F514D6" w:rsidRDefault="00EE4C28" w:rsidP="00B91EE6">
      <w:pPr>
        <w:pStyle w:val="p3"/>
        <w:widowControl/>
        <w:numPr>
          <w:ilvl w:val="0"/>
          <w:numId w:val="21"/>
        </w:numPr>
        <w:tabs>
          <w:tab w:val="clear" w:pos="204"/>
          <w:tab w:val="left" w:pos="-2070"/>
        </w:tabs>
        <w:spacing w:line="360" w:lineRule="auto"/>
        <w:ind w:left="720" w:right="720" w:firstLine="0"/>
      </w:pPr>
      <w:r>
        <w:t xml:space="preserve">Have you participated in the program before? </w:t>
      </w:r>
      <w:r>
        <w:cr/>
      </w:r>
    </w:p>
    <w:p w14:paraId="463E439C" w14:textId="23C06A88" w:rsidR="006C0F20" w:rsidRDefault="00206905" w:rsidP="00B91EE6">
      <w:pPr>
        <w:pStyle w:val="p3"/>
        <w:widowControl/>
        <w:tabs>
          <w:tab w:val="clear" w:pos="204"/>
          <w:tab w:val="left" w:pos="-2070"/>
        </w:tabs>
        <w:spacing w:line="360" w:lineRule="auto"/>
      </w:pPr>
      <w:r>
        <w:rPr>
          <w:bCs/>
          <w:szCs w:val="26"/>
        </w:rPr>
        <w:t>Table 1</w:t>
      </w:r>
      <w:r w:rsidR="002D5D0F">
        <w:rPr>
          <w:bCs/>
          <w:szCs w:val="26"/>
        </w:rPr>
        <w:t>0</w:t>
      </w:r>
      <w:r>
        <w:rPr>
          <w:bCs/>
          <w:szCs w:val="26"/>
        </w:rPr>
        <w:t xml:space="preserve"> </w:t>
      </w:r>
      <w:r w:rsidR="002D4998">
        <w:t>shows the percent of re</w:t>
      </w:r>
      <w:r w:rsidR="001C08CE">
        <w:t xml:space="preserve">spondents who answered “Yes” by segment.  </w:t>
      </w:r>
      <w:r w:rsidR="003A7B48">
        <w:t>The response pattern</w:t>
      </w:r>
      <w:r w:rsidR="009645BD">
        <w:t xml:space="preserve">s for questions </w:t>
      </w:r>
      <w:r w:rsidR="00BF288D">
        <w:t>1 through 3</w:t>
      </w:r>
      <w:r w:rsidR="003A7B48">
        <w:t xml:space="preserve"> </w:t>
      </w:r>
      <w:r w:rsidR="00804047">
        <w:t>indicate that</w:t>
      </w:r>
      <w:r w:rsidR="003A7B48">
        <w:t xml:space="preserve"> </w:t>
      </w:r>
      <w:r w:rsidR="00160BE7">
        <w:t xml:space="preserve">segments </w:t>
      </w:r>
      <w:r w:rsidR="00804047">
        <w:t>corresponding</w:t>
      </w:r>
      <w:r w:rsidR="00160BE7">
        <w:t xml:space="preserve"> to the G</w:t>
      </w:r>
      <w:r w:rsidR="00E60E84">
        <w:t>NI</w:t>
      </w:r>
      <w:r w:rsidR="00160BE7">
        <w:t xml:space="preserve"> sector </w:t>
      </w:r>
      <w:r w:rsidR="003D4F6E">
        <w:t>(Education, Health, Institutional</w:t>
      </w:r>
      <w:r w:rsidR="003A7B48">
        <w:t xml:space="preserve">/Public Service) </w:t>
      </w:r>
      <w:r w:rsidR="00804047">
        <w:t xml:space="preserve">are </w:t>
      </w:r>
      <w:r w:rsidR="002B0106">
        <w:t xml:space="preserve">just as likely to plan for and consider </w:t>
      </w:r>
      <w:r w:rsidR="00DC699C">
        <w:t xml:space="preserve">energy efficient upgrades as </w:t>
      </w:r>
      <w:r w:rsidR="008B7549">
        <w:t xml:space="preserve">other non-residential customers.  </w:t>
      </w:r>
      <w:r w:rsidR="00286BB2">
        <w:t>The G</w:t>
      </w:r>
      <w:r w:rsidR="00087AF4">
        <w:t>NI</w:t>
      </w:r>
      <w:r w:rsidR="00286BB2">
        <w:t xml:space="preserve"> segments also show similar levels of Act 129 program awareness and historic participation.  </w:t>
      </w:r>
      <w:r w:rsidR="00804047">
        <w:t xml:space="preserve"> </w:t>
      </w:r>
      <w:r w:rsidR="000B2C69">
        <w:rPr>
          <w:szCs w:val="26"/>
        </w:rPr>
        <w:t xml:space="preserve">The Commission’s proposal was also informed by the performance of the </w:t>
      </w:r>
      <w:r w:rsidR="000B2C69" w:rsidRPr="3792F7D5">
        <w:t>G</w:t>
      </w:r>
      <w:r w:rsidR="000B2C69">
        <w:t>NI sector in Phase III.  To date,</w:t>
      </w:r>
      <w:r w:rsidR="000B2C69">
        <w:rPr>
          <w:szCs w:val="26"/>
        </w:rPr>
        <w:t xml:space="preserve"> the </w:t>
      </w:r>
      <w:r w:rsidR="000B2C69" w:rsidRPr="3792F7D5">
        <w:t>G</w:t>
      </w:r>
      <w:r w:rsidR="000B2C69">
        <w:t xml:space="preserve">NI sector represents 9% of total verified savings statewide (see Table </w:t>
      </w:r>
      <w:r w:rsidR="004451AB">
        <w:t>8</w:t>
      </w:r>
      <w:r w:rsidR="000B2C69">
        <w:t>).</w:t>
      </w:r>
    </w:p>
    <w:p w14:paraId="1C5CB914" w14:textId="2D88F61B" w:rsidR="000B2C69" w:rsidRDefault="000B2C69" w:rsidP="00E2782D">
      <w:pPr>
        <w:pStyle w:val="p3"/>
        <w:widowControl/>
        <w:tabs>
          <w:tab w:val="clear" w:pos="204"/>
          <w:tab w:val="left" w:pos="-2070"/>
        </w:tabs>
        <w:spacing w:line="360" w:lineRule="auto"/>
      </w:pPr>
    </w:p>
    <w:p w14:paraId="7A5640B9" w14:textId="59FDEE05" w:rsidR="00E86859" w:rsidRDefault="00E86859" w:rsidP="00E2782D">
      <w:pPr>
        <w:pStyle w:val="p3"/>
        <w:widowControl/>
        <w:tabs>
          <w:tab w:val="clear" w:pos="204"/>
          <w:tab w:val="left" w:pos="-2070"/>
        </w:tabs>
        <w:spacing w:line="360" w:lineRule="auto"/>
      </w:pPr>
    </w:p>
    <w:p w14:paraId="7DA1168C" w14:textId="27EAE5CF" w:rsidR="00E86859" w:rsidRDefault="00E86859" w:rsidP="00E2782D">
      <w:pPr>
        <w:pStyle w:val="p3"/>
        <w:widowControl/>
        <w:tabs>
          <w:tab w:val="clear" w:pos="204"/>
          <w:tab w:val="left" w:pos="-2070"/>
        </w:tabs>
        <w:spacing w:line="360" w:lineRule="auto"/>
      </w:pPr>
    </w:p>
    <w:p w14:paraId="35B8398A" w14:textId="27C3996E" w:rsidR="002D4998" w:rsidRPr="00F70D65" w:rsidRDefault="009645BD" w:rsidP="00F70D65">
      <w:pPr>
        <w:pStyle w:val="p3"/>
        <w:widowControl/>
        <w:tabs>
          <w:tab w:val="clear" w:pos="204"/>
          <w:tab w:val="left" w:pos="-2070"/>
        </w:tabs>
        <w:spacing w:line="360" w:lineRule="auto"/>
        <w:ind w:firstLine="720"/>
        <w:rPr>
          <w:b/>
          <w:bCs/>
          <w:szCs w:val="26"/>
        </w:rPr>
      </w:pPr>
      <w:r>
        <w:lastRenderedPageBreak/>
        <w:t xml:space="preserve"> </w:t>
      </w:r>
      <w:r w:rsidR="00160BE7">
        <w:t xml:space="preserve"> </w:t>
      </w:r>
      <w:bookmarkStart w:id="278" w:name="_Ref31613051"/>
      <w:r w:rsidR="002D4998" w:rsidRPr="00F70D65">
        <w:rPr>
          <w:b/>
          <w:bCs/>
          <w:szCs w:val="26"/>
        </w:rPr>
        <w:t>Table</w:t>
      </w:r>
      <w:bookmarkEnd w:id="278"/>
      <w:r w:rsidR="00206905" w:rsidRPr="00F70D65">
        <w:rPr>
          <w:b/>
          <w:bCs/>
          <w:szCs w:val="26"/>
        </w:rPr>
        <w:t xml:space="preserve"> 1</w:t>
      </w:r>
      <w:r w:rsidR="004451AB">
        <w:rPr>
          <w:b/>
          <w:bCs/>
          <w:szCs w:val="26"/>
        </w:rPr>
        <w:t>0</w:t>
      </w:r>
      <w:r w:rsidR="002D4998" w:rsidRPr="00F70D65">
        <w:rPr>
          <w:b/>
          <w:bCs/>
          <w:szCs w:val="26"/>
        </w:rPr>
        <w:t>: Mean Procurement and Program Awareness Response Rates</w:t>
      </w:r>
    </w:p>
    <w:tbl>
      <w:tblPr>
        <w:tblStyle w:val="List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55"/>
        <w:gridCol w:w="973"/>
        <w:gridCol w:w="1357"/>
        <w:gridCol w:w="932"/>
        <w:gridCol w:w="1131"/>
      </w:tblGrid>
      <w:tr w:rsidR="00E83C2F" w:rsidRPr="00E83C2F" w14:paraId="060E3092" w14:textId="77777777" w:rsidTr="00EF443C">
        <w:trPr>
          <w:cnfStyle w:val="100000000000" w:firstRow="1" w:lastRow="0" w:firstColumn="0" w:lastColumn="0" w:oddVBand="0" w:evenVBand="0" w:oddHBand="0" w:evenHBand="0" w:firstRowFirstColumn="0" w:firstRowLastColumn="0" w:lastRowFirstColumn="0" w:lastRowLastColumn="0"/>
          <w:trHeight w:val="144"/>
          <w:jc w:val="center"/>
        </w:trPr>
        <w:tc>
          <w:tcPr>
            <w:cnfStyle w:val="001000000100" w:firstRow="0" w:lastRow="0" w:firstColumn="1" w:lastColumn="0" w:oddVBand="0" w:evenVBand="0" w:oddHBand="0" w:evenHBand="0" w:firstRowFirstColumn="1" w:firstRowLastColumn="0" w:lastRowFirstColumn="0" w:lastRowLastColumn="0"/>
            <w:tcW w:w="3420" w:type="dxa"/>
            <w:tcBorders>
              <w:right w:val="single" w:sz="4" w:space="0" w:color="FFFFFF" w:themeColor="background1"/>
            </w:tcBorders>
            <w:noWrap/>
            <w:vAlign w:val="center"/>
            <w:hideMark/>
          </w:tcPr>
          <w:p w14:paraId="23812029" w14:textId="77777777" w:rsidR="00E83C2F" w:rsidRPr="00633175" w:rsidRDefault="00E83C2F" w:rsidP="00160BE7">
            <w:pPr>
              <w:keepNext/>
              <w:jc w:val="center"/>
              <w:rPr>
                <w:rFonts w:eastAsiaTheme="minorEastAsia"/>
                <w:sz w:val="22"/>
                <w:szCs w:val="22"/>
              </w:rPr>
            </w:pPr>
            <w:r w:rsidRPr="00633175">
              <w:rPr>
                <w:rFonts w:eastAsiaTheme="minorEastAsia"/>
                <w:sz w:val="22"/>
                <w:szCs w:val="22"/>
              </w:rPr>
              <w:t>Segment</w:t>
            </w:r>
          </w:p>
        </w:tc>
        <w:tc>
          <w:tcPr>
            <w:tcW w:w="1563" w:type="dxa"/>
            <w:tcBorders>
              <w:left w:val="single" w:sz="4" w:space="0" w:color="FFFFFF" w:themeColor="background1"/>
              <w:right w:val="single" w:sz="4" w:space="0" w:color="FFFFFF" w:themeColor="background1"/>
            </w:tcBorders>
            <w:noWrap/>
            <w:vAlign w:val="center"/>
            <w:hideMark/>
          </w:tcPr>
          <w:p w14:paraId="2BBB97EB" w14:textId="77777777" w:rsidR="00E83C2F" w:rsidRPr="00633175" w:rsidRDefault="00E83C2F" w:rsidP="00160BE7">
            <w:pPr>
              <w:keepNext/>
              <w:jc w:val="center"/>
              <w:cnfStyle w:val="100000000000" w:firstRow="1"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Q1: Procurement</w:t>
            </w:r>
          </w:p>
        </w:tc>
        <w:tc>
          <w:tcPr>
            <w:tcW w:w="977" w:type="dxa"/>
            <w:tcBorders>
              <w:left w:val="single" w:sz="4" w:space="0" w:color="FFFFFF" w:themeColor="background1"/>
              <w:right w:val="single" w:sz="4" w:space="0" w:color="FFFFFF" w:themeColor="background1"/>
            </w:tcBorders>
            <w:noWrap/>
            <w:vAlign w:val="center"/>
            <w:hideMark/>
          </w:tcPr>
          <w:p w14:paraId="56BFCFBC" w14:textId="77777777" w:rsidR="00E83C2F" w:rsidRPr="00633175" w:rsidRDefault="00E83C2F" w:rsidP="00160BE7">
            <w:pPr>
              <w:keepNext/>
              <w:jc w:val="center"/>
              <w:cnfStyle w:val="100000000000" w:firstRow="1"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Q2: Capital</w:t>
            </w:r>
          </w:p>
        </w:tc>
        <w:tc>
          <w:tcPr>
            <w:tcW w:w="1364" w:type="dxa"/>
            <w:tcBorders>
              <w:left w:val="single" w:sz="4" w:space="0" w:color="FFFFFF" w:themeColor="background1"/>
              <w:right w:val="single" w:sz="4" w:space="0" w:color="FFFFFF" w:themeColor="background1"/>
            </w:tcBorders>
            <w:noWrap/>
            <w:vAlign w:val="center"/>
            <w:hideMark/>
          </w:tcPr>
          <w:p w14:paraId="17915670" w14:textId="77777777" w:rsidR="00E83C2F" w:rsidRPr="00633175" w:rsidRDefault="00E83C2F" w:rsidP="00160BE7">
            <w:pPr>
              <w:keepNext/>
              <w:jc w:val="center"/>
              <w:cnfStyle w:val="100000000000" w:firstRow="1"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Q3: Equipment Purchase</w:t>
            </w:r>
          </w:p>
        </w:tc>
        <w:tc>
          <w:tcPr>
            <w:tcW w:w="936" w:type="dxa"/>
            <w:tcBorders>
              <w:left w:val="single" w:sz="4" w:space="0" w:color="FFFFFF" w:themeColor="background1"/>
              <w:right w:val="single" w:sz="4" w:space="0" w:color="FFFFFF" w:themeColor="background1"/>
            </w:tcBorders>
            <w:noWrap/>
            <w:vAlign w:val="center"/>
            <w:hideMark/>
          </w:tcPr>
          <w:p w14:paraId="3DADB2D2" w14:textId="77777777" w:rsidR="00E83C2F" w:rsidRPr="00633175" w:rsidRDefault="00E83C2F" w:rsidP="00160BE7">
            <w:pPr>
              <w:keepNext/>
              <w:jc w:val="center"/>
              <w:cnfStyle w:val="100000000000" w:firstRow="1"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Q4: Rebate Aware</w:t>
            </w:r>
          </w:p>
        </w:tc>
        <w:tc>
          <w:tcPr>
            <w:tcW w:w="1136" w:type="dxa"/>
            <w:tcBorders>
              <w:left w:val="single" w:sz="4" w:space="0" w:color="FFFFFF" w:themeColor="background1"/>
            </w:tcBorders>
            <w:noWrap/>
            <w:vAlign w:val="center"/>
            <w:hideMark/>
          </w:tcPr>
          <w:p w14:paraId="4BB1FB9A" w14:textId="77777777" w:rsidR="00E83C2F" w:rsidRPr="00633175" w:rsidRDefault="00E83C2F" w:rsidP="00160BE7">
            <w:pPr>
              <w:keepNext/>
              <w:jc w:val="center"/>
              <w:cnfStyle w:val="100000000000" w:firstRow="1"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Q5: Program Before</w:t>
            </w:r>
          </w:p>
        </w:tc>
      </w:tr>
      <w:tr w:rsidR="00E83C2F" w:rsidRPr="00E83C2F" w14:paraId="31AAA456" w14:textId="77777777" w:rsidTr="00BE61A9">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6969FA8C" w14:textId="77777777" w:rsidR="00E83C2F" w:rsidRPr="00633175" w:rsidRDefault="00E83C2F" w:rsidP="00160BE7">
            <w:pPr>
              <w:keepNext/>
              <w:rPr>
                <w:rFonts w:eastAsiaTheme="minorEastAsia"/>
                <w:b w:val="0"/>
                <w:sz w:val="22"/>
                <w:szCs w:val="22"/>
              </w:rPr>
            </w:pPr>
            <w:r w:rsidRPr="00633175">
              <w:rPr>
                <w:rFonts w:eastAsiaTheme="minorEastAsia"/>
                <w:b w:val="0"/>
                <w:sz w:val="22"/>
                <w:szCs w:val="22"/>
              </w:rPr>
              <w:t>Education (n=33)</w:t>
            </w:r>
          </w:p>
        </w:tc>
        <w:tc>
          <w:tcPr>
            <w:tcW w:w="1563" w:type="dxa"/>
            <w:noWrap/>
            <w:vAlign w:val="center"/>
            <w:hideMark/>
          </w:tcPr>
          <w:p w14:paraId="21BDBED4"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18%</w:t>
            </w:r>
          </w:p>
        </w:tc>
        <w:tc>
          <w:tcPr>
            <w:tcW w:w="977" w:type="dxa"/>
            <w:noWrap/>
            <w:vAlign w:val="center"/>
            <w:hideMark/>
          </w:tcPr>
          <w:p w14:paraId="074E890F"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58%</w:t>
            </w:r>
          </w:p>
        </w:tc>
        <w:tc>
          <w:tcPr>
            <w:tcW w:w="1364" w:type="dxa"/>
            <w:noWrap/>
            <w:vAlign w:val="center"/>
            <w:hideMark/>
          </w:tcPr>
          <w:p w14:paraId="6AECC735"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83%</w:t>
            </w:r>
          </w:p>
        </w:tc>
        <w:tc>
          <w:tcPr>
            <w:tcW w:w="936" w:type="dxa"/>
            <w:noWrap/>
            <w:vAlign w:val="center"/>
            <w:hideMark/>
          </w:tcPr>
          <w:p w14:paraId="18A33664"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66%</w:t>
            </w:r>
          </w:p>
        </w:tc>
        <w:tc>
          <w:tcPr>
            <w:tcW w:w="1136" w:type="dxa"/>
            <w:noWrap/>
            <w:vAlign w:val="center"/>
            <w:hideMark/>
          </w:tcPr>
          <w:p w14:paraId="486A50CD"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40%</w:t>
            </w:r>
          </w:p>
        </w:tc>
      </w:tr>
      <w:tr w:rsidR="00E83C2F" w:rsidRPr="00E83C2F" w14:paraId="543D1E9E" w14:textId="77777777" w:rsidTr="00BE61A9">
        <w:trPr>
          <w:trHeight w:val="29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7A6F453D" w14:textId="77777777" w:rsidR="00E83C2F" w:rsidRPr="00633175" w:rsidRDefault="00E83C2F" w:rsidP="00160BE7">
            <w:pPr>
              <w:keepNext/>
              <w:rPr>
                <w:rFonts w:eastAsiaTheme="minorEastAsia"/>
                <w:b w:val="0"/>
                <w:sz w:val="22"/>
                <w:szCs w:val="22"/>
              </w:rPr>
            </w:pPr>
            <w:r w:rsidRPr="00633175">
              <w:rPr>
                <w:rFonts w:eastAsiaTheme="minorEastAsia"/>
                <w:b w:val="0"/>
                <w:sz w:val="22"/>
                <w:szCs w:val="22"/>
              </w:rPr>
              <w:t>Grocery (n=19)</w:t>
            </w:r>
          </w:p>
        </w:tc>
        <w:tc>
          <w:tcPr>
            <w:tcW w:w="1563" w:type="dxa"/>
            <w:noWrap/>
            <w:vAlign w:val="center"/>
            <w:hideMark/>
          </w:tcPr>
          <w:p w14:paraId="19C038BD"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14%</w:t>
            </w:r>
          </w:p>
        </w:tc>
        <w:tc>
          <w:tcPr>
            <w:tcW w:w="977" w:type="dxa"/>
            <w:noWrap/>
            <w:vAlign w:val="center"/>
            <w:hideMark/>
          </w:tcPr>
          <w:p w14:paraId="7E4D5CA2"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25%</w:t>
            </w:r>
          </w:p>
        </w:tc>
        <w:tc>
          <w:tcPr>
            <w:tcW w:w="1364" w:type="dxa"/>
            <w:noWrap/>
            <w:vAlign w:val="center"/>
            <w:hideMark/>
          </w:tcPr>
          <w:p w14:paraId="78E7B8F8"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61%</w:t>
            </w:r>
          </w:p>
        </w:tc>
        <w:tc>
          <w:tcPr>
            <w:tcW w:w="936" w:type="dxa"/>
            <w:noWrap/>
            <w:vAlign w:val="center"/>
            <w:hideMark/>
          </w:tcPr>
          <w:p w14:paraId="6CB007B0"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58%</w:t>
            </w:r>
          </w:p>
        </w:tc>
        <w:tc>
          <w:tcPr>
            <w:tcW w:w="1136" w:type="dxa"/>
            <w:noWrap/>
            <w:vAlign w:val="center"/>
            <w:hideMark/>
          </w:tcPr>
          <w:p w14:paraId="3823E60C"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29%</w:t>
            </w:r>
          </w:p>
        </w:tc>
      </w:tr>
      <w:tr w:rsidR="00E83C2F" w:rsidRPr="00E83C2F" w14:paraId="7B168FE7" w14:textId="77777777" w:rsidTr="00BE61A9">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47CC7F72" w14:textId="77777777" w:rsidR="00E83C2F" w:rsidRPr="00633175" w:rsidRDefault="00E83C2F" w:rsidP="00160BE7">
            <w:pPr>
              <w:keepNext/>
              <w:rPr>
                <w:rFonts w:eastAsiaTheme="minorEastAsia"/>
                <w:b w:val="0"/>
                <w:sz w:val="22"/>
                <w:szCs w:val="22"/>
              </w:rPr>
            </w:pPr>
            <w:r w:rsidRPr="00633175">
              <w:rPr>
                <w:rFonts w:eastAsiaTheme="minorEastAsia"/>
                <w:b w:val="0"/>
                <w:sz w:val="22"/>
                <w:szCs w:val="22"/>
              </w:rPr>
              <w:t>Health (n=36)</w:t>
            </w:r>
          </w:p>
        </w:tc>
        <w:tc>
          <w:tcPr>
            <w:tcW w:w="1563" w:type="dxa"/>
            <w:noWrap/>
            <w:vAlign w:val="center"/>
            <w:hideMark/>
          </w:tcPr>
          <w:p w14:paraId="0B420F69"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16%</w:t>
            </w:r>
          </w:p>
        </w:tc>
        <w:tc>
          <w:tcPr>
            <w:tcW w:w="977" w:type="dxa"/>
            <w:noWrap/>
            <w:vAlign w:val="center"/>
            <w:hideMark/>
          </w:tcPr>
          <w:p w14:paraId="0055DE34"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42%</w:t>
            </w:r>
          </w:p>
        </w:tc>
        <w:tc>
          <w:tcPr>
            <w:tcW w:w="1364" w:type="dxa"/>
            <w:noWrap/>
            <w:vAlign w:val="center"/>
            <w:hideMark/>
          </w:tcPr>
          <w:p w14:paraId="793A2710"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54%</w:t>
            </w:r>
          </w:p>
        </w:tc>
        <w:tc>
          <w:tcPr>
            <w:tcW w:w="936" w:type="dxa"/>
            <w:noWrap/>
            <w:vAlign w:val="center"/>
            <w:hideMark/>
          </w:tcPr>
          <w:p w14:paraId="46F9772A"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52%</w:t>
            </w:r>
          </w:p>
        </w:tc>
        <w:tc>
          <w:tcPr>
            <w:tcW w:w="1136" w:type="dxa"/>
            <w:noWrap/>
            <w:vAlign w:val="center"/>
            <w:hideMark/>
          </w:tcPr>
          <w:p w14:paraId="6B5D7320"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41%</w:t>
            </w:r>
          </w:p>
        </w:tc>
      </w:tr>
      <w:tr w:rsidR="00E83C2F" w:rsidRPr="00E83C2F" w14:paraId="211C8FB5" w14:textId="77777777" w:rsidTr="00BE61A9">
        <w:trPr>
          <w:trHeight w:val="29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2B9B85BC" w14:textId="508C6C9E" w:rsidR="00E83C2F" w:rsidRPr="00633175" w:rsidRDefault="00E83C2F" w:rsidP="00160BE7">
            <w:pPr>
              <w:keepNext/>
              <w:rPr>
                <w:rFonts w:eastAsiaTheme="minorEastAsia"/>
                <w:b w:val="0"/>
                <w:sz w:val="22"/>
                <w:szCs w:val="22"/>
              </w:rPr>
            </w:pPr>
            <w:r w:rsidRPr="00633175">
              <w:rPr>
                <w:rFonts w:eastAsiaTheme="minorEastAsia"/>
                <w:b w:val="0"/>
                <w:sz w:val="22"/>
                <w:szCs w:val="22"/>
              </w:rPr>
              <w:t>Industrial Manufacturing (n=75)</w:t>
            </w:r>
          </w:p>
        </w:tc>
        <w:tc>
          <w:tcPr>
            <w:tcW w:w="1563" w:type="dxa"/>
            <w:noWrap/>
            <w:vAlign w:val="center"/>
            <w:hideMark/>
          </w:tcPr>
          <w:p w14:paraId="086637AB"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29%</w:t>
            </w:r>
          </w:p>
        </w:tc>
        <w:tc>
          <w:tcPr>
            <w:tcW w:w="977" w:type="dxa"/>
            <w:noWrap/>
            <w:vAlign w:val="center"/>
            <w:hideMark/>
          </w:tcPr>
          <w:p w14:paraId="547261B4"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28%</w:t>
            </w:r>
          </w:p>
        </w:tc>
        <w:tc>
          <w:tcPr>
            <w:tcW w:w="1364" w:type="dxa"/>
            <w:noWrap/>
            <w:vAlign w:val="center"/>
            <w:hideMark/>
          </w:tcPr>
          <w:p w14:paraId="431B1447"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56%</w:t>
            </w:r>
          </w:p>
        </w:tc>
        <w:tc>
          <w:tcPr>
            <w:tcW w:w="936" w:type="dxa"/>
            <w:noWrap/>
            <w:vAlign w:val="center"/>
            <w:hideMark/>
          </w:tcPr>
          <w:p w14:paraId="00E5B220"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46%</w:t>
            </w:r>
          </w:p>
        </w:tc>
        <w:tc>
          <w:tcPr>
            <w:tcW w:w="1136" w:type="dxa"/>
            <w:noWrap/>
            <w:vAlign w:val="center"/>
            <w:hideMark/>
          </w:tcPr>
          <w:p w14:paraId="06EF304C"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19%</w:t>
            </w:r>
          </w:p>
        </w:tc>
      </w:tr>
      <w:tr w:rsidR="00E83C2F" w:rsidRPr="00E83C2F" w14:paraId="71A28664" w14:textId="77777777" w:rsidTr="00BE61A9">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5FC1C54B" w14:textId="77777777" w:rsidR="00E83C2F" w:rsidRPr="00633175" w:rsidRDefault="00E83C2F" w:rsidP="00160BE7">
            <w:pPr>
              <w:keepNext/>
              <w:rPr>
                <w:rFonts w:eastAsiaTheme="minorEastAsia"/>
                <w:b w:val="0"/>
                <w:sz w:val="22"/>
                <w:szCs w:val="22"/>
              </w:rPr>
            </w:pPr>
            <w:r w:rsidRPr="00633175">
              <w:rPr>
                <w:rFonts w:eastAsiaTheme="minorEastAsia"/>
                <w:b w:val="0"/>
                <w:sz w:val="22"/>
                <w:szCs w:val="22"/>
              </w:rPr>
              <w:t>Institutional/ Public Service (n=41)</w:t>
            </w:r>
          </w:p>
        </w:tc>
        <w:tc>
          <w:tcPr>
            <w:tcW w:w="1563" w:type="dxa"/>
            <w:noWrap/>
            <w:vAlign w:val="center"/>
            <w:hideMark/>
          </w:tcPr>
          <w:p w14:paraId="27BAA8B9"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38%</w:t>
            </w:r>
          </w:p>
        </w:tc>
        <w:tc>
          <w:tcPr>
            <w:tcW w:w="977" w:type="dxa"/>
            <w:noWrap/>
            <w:vAlign w:val="center"/>
            <w:hideMark/>
          </w:tcPr>
          <w:p w14:paraId="3EE79487"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50%</w:t>
            </w:r>
          </w:p>
        </w:tc>
        <w:tc>
          <w:tcPr>
            <w:tcW w:w="1364" w:type="dxa"/>
            <w:noWrap/>
            <w:vAlign w:val="center"/>
            <w:hideMark/>
          </w:tcPr>
          <w:p w14:paraId="5539D848"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58%</w:t>
            </w:r>
          </w:p>
        </w:tc>
        <w:tc>
          <w:tcPr>
            <w:tcW w:w="936" w:type="dxa"/>
            <w:noWrap/>
            <w:vAlign w:val="center"/>
            <w:hideMark/>
          </w:tcPr>
          <w:p w14:paraId="272B28CF"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48%</w:t>
            </w:r>
          </w:p>
        </w:tc>
        <w:tc>
          <w:tcPr>
            <w:tcW w:w="1136" w:type="dxa"/>
            <w:noWrap/>
            <w:vAlign w:val="center"/>
            <w:hideMark/>
          </w:tcPr>
          <w:p w14:paraId="3DC96132"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20%</w:t>
            </w:r>
          </w:p>
        </w:tc>
      </w:tr>
      <w:tr w:rsidR="00E83C2F" w:rsidRPr="00E83C2F" w14:paraId="11BB6EA4" w14:textId="77777777" w:rsidTr="00BE61A9">
        <w:trPr>
          <w:trHeight w:val="29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030A9242" w14:textId="77777777" w:rsidR="00E83C2F" w:rsidRPr="00633175" w:rsidRDefault="00E83C2F" w:rsidP="00160BE7">
            <w:pPr>
              <w:keepNext/>
              <w:rPr>
                <w:rFonts w:eastAsiaTheme="minorEastAsia"/>
                <w:b w:val="0"/>
                <w:sz w:val="22"/>
                <w:szCs w:val="22"/>
              </w:rPr>
            </w:pPr>
            <w:r w:rsidRPr="00633175">
              <w:rPr>
                <w:rFonts w:eastAsiaTheme="minorEastAsia"/>
                <w:b w:val="0"/>
                <w:sz w:val="22"/>
                <w:szCs w:val="22"/>
              </w:rPr>
              <w:t>Lodging (n=20)</w:t>
            </w:r>
          </w:p>
        </w:tc>
        <w:tc>
          <w:tcPr>
            <w:tcW w:w="1563" w:type="dxa"/>
            <w:noWrap/>
            <w:vAlign w:val="center"/>
            <w:hideMark/>
          </w:tcPr>
          <w:p w14:paraId="47999F0E"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69%</w:t>
            </w:r>
          </w:p>
        </w:tc>
        <w:tc>
          <w:tcPr>
            <w:tcW w:w="977" w:type="dxa"/>
            <w:noWrap/>
            <w:vAlign w:val="center"/>
            <w:hideMark/>
          </w:tcPr>
          <w:p w14:paraId="6B77B4F3"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35%</w:t>
            </w:r>
          </w:p>
        </w:tc>
        <w:tc>
          <w:tcPr>
            <w:tcW w:w="1364" w:type="dxa"/>
            <w:noWrap/>
            <w:vAlign w:val="center"/>
            <w:hideMark/>
          </w:tcPr>
          <w:p w14:paraId="6A65CF74"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83%</w:t>
            </w:r>
          </w:p>
        </w:tc>
        <w:tc>
          <w:tcPr>
            <w:tcW w:w="936" w:type="dxa"/>
            <w:noWrap/>
            <w:vAlign w:val="center"/>
            <w:hideMark/>
          </w:tcPr>
          <w:p w14:paraId="5ED474AC"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60%</w:t>
            </w:r>
          </w:p>
        </w:tc>
        <w:tc>
          <w:tcPr>
            <w:tcW w:w="1136" w:type="dxa"/>
            <w:noWrap/>
            <w:vAlign w:val="center"/>
            <w:hideMark/>
          </w:tcPr>
          <w:p w14:paraId="178CDB08"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31%</w:t>
            </w:r>
          </w:p>
        </w:tc>
      </w:tr>
      <w:tr w:rsidR="00E83C2F" w:rsidRPr="00E83C2F" w14:paraId="2707415E" w14:textId="77777777" w:rsidTr="00BE61A9">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5E904DE9" w14:textId="77777777" w:rsidR="00E83C2F" w:rsidRPr="00633175" w:rsidRDefault="00E83C2F" w:rsidP="00160BE7">
            <w:pPr>
              <w:keepNext/>
              <w:rPr>
                <w:rFonts w:eastAsiaTheme="minorEastAsia"/>
                <w:b w:val="0"/>
                <w:sz w:val="22"/>
                <w:szCs w:val="22"/>
              </w:rPr>
            </w:pPr>
            <w:r w:rsidRPr="00633175">
              <w:rPr>
                <w:rFonts w:eastAsiaTheme="minorEastAsia"/>
                <w:b w:val="0"/>
                <w:sz w:val="22"/>
                <w:szCs w:val="22"/>
              </w:rPr>
              <w:t>Miscellaneous/Other (n=54)</w:t>
            </w:r>
          </w:p>
        </w:tc>
        <w:tc>
          <w:tcPr>
            <w:tcW w:w="1563" w:type="dxa"/>
            <w:noWrap/>
            <w:vAlign w:val="center"/>
            <w:hideMark/>
          </w:tcPr>
          <w:p w14:paraId="6109D6A8"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28%</w:t>
            </w:r>
          </w:p>
        </w:tc>
        <w:tc>
          <w:tcPr>
            <w:tcW w:w="977" w:type="dxa"/>
            <w:noWrap/>
            <w:vAlign w:val="center"/>
            <w:hideMark/>
          </w:tcPr>
          <w:p w14:paraId="517CE444"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24%</w:t>
            </w:r>
          </w:p>
        </w:tc>
        <w:tc>
          <w:tcPr>
            <w:tcW w:w="1364" w:type="dxa"/>
            <w:noWrap/>
            <w:vAlign w:val="center"/>
            <w:hideMark/>
          </w:tcPr>
          <w:p w14:paraId="3F4DDA7F"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38%</w:t>
            </w:r>
          </w:p>
        </w:tc>
        <w:tc>
          <w:tcPr>
            <w:tcW w:w="936" w:type="dxa"/>
            <w:noWrap/>
            <w:vAlign w:val="center"/>
            <w:hideMark/>
          </w:tcPr>
          <w:p w14:paraId="28C41327"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19%</w:t>
            </w:r>
          </w:p>
        </w:tc>
        <w:tc>
          <w:tcPr>
            <w:tcW w:w="1136" w:type="dxa"/>
            <w:noWrap/>
            <w:vAlign w:val="center"/>
            <w:hideMark/>
          </w:tcPr>
          <w:p w14:paraId="051F90EB"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9%</w:t>
            </w:r>
          </w:p>
        </w:tc>
      </w:tr>
      <w:tr w:rsidR="00E83C2F" w:rsidRPr="00E83C2F" w14:paraId="7BD10CB8" w14:textId="77777777" w:rsidTr="00BE61A9">
        <w:trPr>
          <w:trHeight w:val="29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5C637D40" w14:textId="77777777" w:rsidR="00E83C2F" w:rsidRPr="00633175" w:rsidRDefault="00E83C2F" w:rsidP="00160BE7">
            <w:pPr>
              <w:keepNext/>
              <w:rPr>
                <w:rFonts w:eastAsiaTheme="minorEastAsia"/>
                <w:b w:val="0"/>
                <w:sz w:val="22"/>
                <w:szCs w:val="22"/>
              </w:rPr>
            </w:pPr>
            <w:r w:rsidRPr="00633175">
              <w:rPr>
                <w:rFonts w:eastAsiaTheme="minorEastAsia"/>
                <w:b w:val="0"/>
                <w:sz w:val="22"/>
                <w:szCs w:val="22"/>
              </w:rPr>
              <w:t>Office (n=50)</w:t>
            </w:r>
          </w:p>
        </w:tc>
        <w:tc>
          <w:tcPr>
            <w:tcW w:w="1563" w:type="dxa"/>
            <w:noWrap/>
            <w:vAlign w:val="center"/>
            <w:hideMark/>
          </w:tcPr>
          <w:p w14:paraId="6FC8F2BD"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18%</w:t>
            </w:r>
          </w:p>
        </w:tc>
        <w:tc>
          <w:tcPr>
            <w:tcW w:w="977" w:type="dxa"/>
            <w:noWrap/>
            <w:vAlign w:val="center"/>
            <w:hideMark/>
          </w:tcPr>
          <w:p w14:paraId="0B152B7C"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31%</w:t>
            </w:r>
          </w:p>
        </w:tc>
        <w:tc>
          <w:tcPr>
            <w:tcW w:w="1364" w:type="dxa"/>
            <w:noWrap/>
            <w:vAlign w:val="center"/>
            <w:hideMark/>
          </w:tcPr>
          <w:p w14:paraId="4631DA09"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36%</w:t>
            </w:r>
          </w:p>
        </w:tc>
        <w:tc>
          <w:tcPr>
            <w:tcW w:w="936" w:type="dxa"/>
            <w:noWrap/>
            <w:vAlign w:val="center"/>
            <w:hideMark/>
          </w:tcPr>
          <w:p w14:paraId="018668A2"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39%</w:t>
            </w:r>
          </w:p>
        </w:tc>
        <w:tc>
          <w:tcPr>
            <w:tcW w:w="1136" w:type="dxa"/>
            <w:noWrap/>
            <w:vAlign w:val="center"/>
            <w:hideMark/>
          </w:tcPr>
          <w:p w14:paraId="1C68CEC5"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26%</w:t>
            </w:r>
          </w:p>
        </w:tc>
      </w:tr>
      <w:tr w:rsidR="00E83C2F" w:rsidRPr="00E83C2F" w14:paraId="77781A2A" w14:textId="77777777" w:rsidTr="00BE61A9">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1DE1DA2E" w14:textId="77777777" w:rsidR="00E83C2F" w:rsidRPr="00633175" w:rsidRDefault="00E83C2F" w:rsidP="00160BE7">
            <w:pPr>
              <w:keepNext/>
              <w:rPr>
                <w:rFonts w:eastAsiaTheme="minorEastAsia"/>
                <w:b w:val="0"/>
                <w:sz w:val="22"/>
                <w:szCs w:val="22"/>
              </w:rPr>
            </w:pPr>
            <w:r w:rsidRPr="00633175">
              <w:rPr>
                <w:rFonts w:eastAsiaTheme="minorEastAsia"/>
                <w:b w:val="0"/>
                <w:sz w:val="22"/>
                <w:szCs w:val="22"/>
              </w:rPr>
              <w:t>Religious (n=5)</w:t>
            </w:r>
          </w:p>
        </w:tc>
        <w:tc>
          <w:tcPr>
            <w:tcW w:w="1563" w:type="dxa"/>
            <w:noWrap/>
            <w:vAlign w:val="center"/>
            <w:hideMark/>
          </w:tcPr>
          <w:p w14:paraId="7C7BE528"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45%</w:t>
            </w:r>
          </w:p>
        </w:tc>
        <w:tc>
          <w:tcPr>
            <w:tcW w:w="977" w:type="dxa"/>
            <w:noWrap/>
            <w:vAlign w:val="center"/>
            <w:hideMark/>
          </w:tcPr>
          <w:p w14:paraId="3813368E"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23%</w:t>
            </w:r>
          </w:p>
        </w:tc>
        <w:tc>
          <w:tcPr>
            <w:tcW w:w="1364" w:type="dxa"/>
            <w:noWrap/>
            <w:vAlign w:val="center"/>
            <w:hideMark/>
          </w:tcPr>
          <w:p w14:paraId="5420A559"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92%</w:t>
            </w:r>
          </w:p>
        </w:tc>
        <w:tc>
          <w:tcPr>
            <w:tcW w:w="936" w:type="dxa"/>
            <w:noWrap/>
            <w:vAlign w:val="center"/>
            <w:hideMark/>
          </w:tcPr>
          <w:p w14:paraId="03743747"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47%</w:t>
            </w:r>
          </w:p>
        </w:tc>
        <w:tc>
          <w:tcPr>
            <w:tcW w:w="1136" w:type="dxa"/>
            <w:noWrap/>
            <w:vAlign w:val="center"/>
            <w:hideMark/>
          </w:tcPr>
          <w:p w14:paraId="1C796082"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0%</w:t>
            </w:r>
          </w:p>
        </w:tc>
      </w:tr>
      <w:tr w:rsidR="00E83C2F" w:rsidRPr="00E83C2F" w14:paraId="7460D412" w14:textId="77777777" w:rsidTr="00BE61A9">
        <w:trPr>
          <w:trHeight w:val="29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5590AD46" w14:textId="77777777" w:rsidR="00E83C2F" w:rsidRPr="00633175" w:rsidRDefault="00E83C2F" w:rsidP="00160BE7">
            <w:pPr>
              <w:keepNext/>
              <w:rPr>
                <w:rFonts w:eastAsiaTheme="minorEastAsia"/>
                <w:b w:val="0"/>
                <w:sz w:val="22"/>
                <w:szCs w:val="22"/>
              </w:rPr>
            </w:pPr>
            <w:r w:rsidRPr="00633175">
              <w:rPr>
                <w:rFonts w:eastAsiaTheme="minorEastAsia"/>
                <w:b w:val="0"/>
                <w:sz w:val="22"/>
                <w:szCs w:val="22"/>
              </w:rPr>
              <w:t>Restaurant (n=58)</w:t>
            </w:r>
          </w:p>
        </w:tc>
        <w:tc>
          <w:tcPr>
            <w:tcW w:w="1563" w:type="dxa"/>
            <w:noWrap/>
            <w:vAlign w:val="center"/>
            <w:hideMark/>
          </w:tcPr>
          <w:p w14:paraId="2A54458D"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30%</w:t>
            </w:r>
          </w:p>
        </w:tc>
        <w:tc>
          <w:tcPr>
            <w:tcW w:w="977" w:type="dxa"/>
            <w:noWrap/>
            <w:vAlign w:val="center"/>
            <w:hideMark/>
          </w:tcPr>
          <w:p w14:paraId="7DFCF402"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27%</w:t>
            </w:r>
          </w:p>
        </w:tc>
        <w:tc>
          <w:tcPr>
            <w:tcW w:w="1364" w:type="dxa"/>
            <w:noWrap/>
            <w:vAlign w:val="center"/>
            <w:hideMark/>
          </w:tcPr>
          <w:p w14:paraId="6C29DCFF"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48%</w:t>
            </w:r>
          </w:p>
        </w:tc>
        <w:tc>
          <w:tcPr>
            <w:tcW w:w="936" w:type="dxa"/>
            <w:noWrap/>
            <w:vAlign w:val="center"/>
            <w:hideMark/>
          </w:tcPr>
          <w:p w14:paraId="1D100E9C"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47%</w:t>
            </w:r>
          </w:p>
        </w:tc>
        <w:tc>
          <w:tcPr>
            <w:tcW w:w="1136" w:type="dxa"/>
            <w:noWrap/>
            <w:vAlign w:val="center"/>
            <w:hideMark/>
          </w:tcPr>
          <w:p w14:paraId="0C0D46C6"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15%</w:t>
            </w:r>
          </w:p>
        </w:tc>
      </w:tr>
      <w:tr w:rsidR="00E83C2F" w:rsidRPr="00E83C2F" w14:paraId="021D8001" w14:textId="77777777" w:rsidTr="00BE61A9">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41B4B4F1" w14:textId="77777777" w:rsidR="00E83C2F" w:rsidRPr="00633175" w:rsidRDefault="00E83C2F" w:rsidP="00160BE7">
            <w:pPr>
              <w:keepNext/>
              <w:rPr>
                <w:rFonts w:eastAsiaTheme="minorEastAsia"/>
                <w:b w:val="0"/>
                <w:sz w:val="22"/>
                <w:szCs w:val="22"/>
              </w:rPr>
            </w:pPr>
            <w:r w:rsidRPr="00633175">
              <w:rPr>
                <w:rFonts w:eastAsiaTheme="minorEastAsia"/>
                <w:b w:val="0"/>
                <w:sz w:val="22"/>
                <w:szCs w:val="22"/>
              </w:rPr>
              <w:t>Retail (n=52)</w:t>
            </w:r>
          </w:p>
        </w:tc>
        <w:tc>
          <w:tcPr>
            <w:tcW w:w="1563" w:type="dxa"/>
            <w:noWrap/>
            <w:vAlign w:val="center"/>
            <w:hideMark/>
          </w:tcPr>
          <w:p w14:paraId="4C8E6BE0"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28%</w:t>
            </w:r>
          </w:p>
        </w:tc>
        <w:tc>
          <w:tcPr>
            <w:tcW w:w="977" w:type="dxa"/>
            <w:noWrap/>
            <w:vAlign w:val="center"/>
            <w:hideMark/>
          </w:tcPr>
          <w:p w14:paraId="0ECD408D"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27%</w:t>
            </w:r>
          </w:p>
        </w:tc>
        <w:tc>
          <w:tcPr>
            <w:tcW w:w="1364" w:type="dxa"/>
            <w:noWrap/>
            <w:vAlign w:val="center"/>
            <w:hideMark/>
          </w:tcPr>
          <w:p w14:paraId="73322255"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40%</w:t>
            </w:r>
          </w:p>
        </w:tc>
        <w:tc>
          <w:tcPr>
            <w:tcW w:w="936" w:type="dxa"/>
            <w:noWrap/>
            <w:vAlign w:val="center"/>
            <w:hideMark/>
          </w:tcPr>
          <w:p w14:paraId="655C1129"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21%</w:t>
            </w:r>
          </w:p>
        </w:tc>
        <w:tc>
          <w:tcPr>
            <w:tcW w:w="1136" w:type="dxa"/>
            <w:noWrap/>
            <w:vAlign w:val="center"/>
            <w:hideMark/>
          </w:tcPr>
          <w:p w14:paraId="180B3C85" w14:textId="77777777" w:rsidR="00E83C2F" w:rsidRPr="00633175" w:rsidRDefault="00E83C2F" w:rsidP="00160BE7">
            <w:pPr>
              <w:keepNext/>
              <w:jc w:val="cente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633175">
              <w:rPr>
                <w:rFonts w:eastAsiaTheme="minorEastAsia"/>
                <w:sz w:val="22"/>
                <w:szCs w:val="22"/>
              </w:rPr>
              <w:t>9%</w:t>
            </w:r>
          </w:p>
        </w:tc>
      </w:tr>
      <w:tr w:rsidR="00E83C2F" w:rsidRPr="00E83C2F" w14:paraId="39F1B6F4" w14:textId="77777777" w:rsidTr="00BE61A9">
        <w:trPr>
          <w:trHeight w:val="29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40C456FE" w14:textId="77777777" w:rsidR="00E83C2F" w:rsidRPr="00633175" w:rsidRDefault="00E83C2F" w:rsidP="00160BE7">
            <w:pPr>
              <w:keepNext/>
              <w:rPr>
                <w:rFonts w:eastAsiaTheme="minorEastAsia"/>
                <w:b w:val="0"/>
                <w:sz w:val="22"/>
                <w:szCs w:val="22"/>
              </w:rPr>
            </w:pPr>
            <w:r w:rsidRPr="00633175">
              <w:rPr>
                <w:rFonts w:eastAsiaTheme="minorEastAsia"/>
                <w:b w:val="0"/>
                <w:sz w:val="22"/>
                <w:szCs w:val="22"/>
              </w:rPr>
              <w:t>Warehouse (n=38)</w:t>
            </w:r>
          </w:p>
        </w:tc>
        <w:tc>
          <w:tcPr>
            <w:tcW w:w="1563" w:type="dxa"/>
            <w:noWrap/>
            <w:vAlign w:val="center"/>
            <w:hideMark/>
          </w:tcPr>
          <w:p w14:paraId="474A23B2"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29%</w:t>
            </w:r>
          </w:p>
        </w:tc>
        <w:tc>
          <w:tcPr>
            <w:tcW w:w="977" w:type="dxa"/>
            <w:noWrap/>
            <w:vAlign w:val="center"/>
            <w:hideMark/>
          </w:tcPr>
          <w:p w14:paraId="024830D8"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25%</w:t>
            </w:r>
          </w:p>
        </w:tc>
        <w:tc>
          <w:tcPr>
            <w:tcW w:w="1364" w:type="dxa"/>
            <w:noWrap/>
            <w:vAlign w:val="center"/>
            <w:hideMark/>
          </w:tcPr>
          <w:p w14:paraId="26868565"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41%</w:t>
            </w:r>
          </w:p>
        </w:tc>
        <w:tc>
          <w:tcPr>
            <w:tcW w:w="936" w:type="dxa"/>
            <w:noWrap/>
            <w:vAlign w:val="center"/>
            <w:hideMark/>
          </w:tcPr>
          <w:p w14:paraId="11B82CA4"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75%</w:t>
            </w:r>
          </w:p>
        </w:tc>
        <w:tc>
          <w:tcPr>
            <w:tcW w:w="1136" w:type="dxa"/>
            <w:noWrap/>
            <w:vAlign w:val="center"/>
            <w:hideMark/>
          </w:tcPr>
          <w:p w14:paraId="61955BDA" w14:textId="77777777" w:rsidR="00E83C2F" w:rsidRPr="00633175" w:rsidRDefault="00E83C2F" w:rsidP="00160BE7">
            <w:pPr>
              <w:keepNext/>
              <w:jc w:val="center"/>
              <w:cnfStyle w:val="000000000000" w:firstRow="0" w:lastRow="0" w:firstColumn="0" w:lastColumn="0" w:oddVBand="0" w:evenVBand="0" w:oddHBand="0" w:evenHBand="0" w:firstRowFirstColumn="0" w:firstRowLastColumn="0" w:lastRowFirstColumn="0" w:lastRowLastColumn="0"/>
              <w:rPr>
                <w:rFonts w:eastAsiaTheme="minorEastAsia"/>
                <w:sz w:val="22"/>
                <w:szCs w:val="22"/>
              </w:rPr>
            </w:pPr>
            <w:r w:rsidRPr="00633175">
              <w:rPr>
                <w:rFonts w:eastAsiaTheme="minorEastAsia"/>
                <w:sz w:val="22"/>
                <w:szCs w:val="22"/>
              </w:rPr>
              <w:t>13%</w:t>
            </w:r>
          </w:p>
        </w:tc>
      </w:tr>
    </w:tbl>
    <w:p w14:paraId="11F0D89B" w14:textId="77777777" w:rsidR="00155DC8" w:rsidRDefault="00155DC8" w:rsidP="00E83C2F">
      <w:pPr>
        <w:pStyle w:val="p3"/>
        <w:widowControl/>
        <w:spacing w:line="360" w:lineRule="auto"/>
        <w:rPr>
          <w:szCs w:val="26"/>
        </w:rPr>
      </w:pPr>
    </w:p>
    <w:p w14:paraId="5FB2754B" w14:textId="77777777" w:rsidR="00155DC8" w:rsidRDefault="00155DC8" w:rsidP="004D3955">
      <w:pPr>
        <w:pStyle w:val="Heading3"/>
      </w:pPr>
      <w:bookmarkStart w:id="279" w:name="_Ref31640494"/>
      <w:bookmarkStart w:id="280" w:name="_Ref31640499"/>
      <w:bookmarkStart w:id="281" w:name="_Toc33781999"/>
      <w:r>
        <w:t>Accumul</w:t>
      </w:r>
      <w:r w:rsidR="00BD210E">
        <w:t xml:space="preserve">ating </w:t>
      </w:r>
      <w:r>
        <w:t>Savings in Excess of Reduction Requirements</w:t>
      </w:r>
      <w:bookmarkEnd w:id="279"/>
      <w:bookmarkEnd w:id="280"/>
      <w:bookmarkEnd w:id="281"/>
    </w:p>
    <w:p w14:paraId="599B6C2D" w14:textId="4AB917EC" w:rsidR="00617D6D" w:rsidRDefault="00B47336" w:rsidP="0009548F">
      <w:pPr>
        <w:pStyle w:val="p3"/>
        <w:tabs>
          <w:tab w:val="clear" w:pos="204"/>
          <w:tab w:val="left" w:pos="-2070"/>
        </w:tabs>
        <w:spacing w:line="360" w:lineRule="auto"/>
        <w:rPr>
          <w:szCs w:val="26"/>
        </w:rPr>
      </w:pPr>
      <w:r w:rsidRPr="3792F7D5">
        <w:t>In its Phase II Implementation Order, t</w:t>
      </w:r>
      <w:r w:rsidR="00E26016" w:rsidRPr="3792F7D5">
        <w:t>he Commission recognize</w:t>
      </w:r>
      <w:r w:rsidRPr="3792F7D5">
        <w:t xml:space="preserve">d </w:t>
      </w:r>
      <w:r w:rsidR="003C2D1F" w:rsidRPr="3792F7D5">
        <w:t xml:space="preserve">that </w:t>
      </w:r>
      <w:r w:rsidRPr="3792F7D5">
        <w:t xml:space="preserve">many of the EDCs may achieve their </w:t>
      </w:r>
      <w:r w:rsidR="003C2D1F" w:rsidRPr="3792F7D5">
        <w:t xml:space="preserve">Phase I </w:t>
      </w:r>
      <w:r w:rsidRPr="3792F7D5">
        <w:t xml:space="preserve">consumption reduction </w:t>
      </w:r>
      <w:r w:rsidR="00E26016" w:rsidRPr="3792F7D5">
        <w:t>t</w:t>
      </w:r>
      <w:r w:rsidRPr="3792F7D5">
        <w:t>argets before the end of Phase I</w:t>
      </w:r>
      <w:r w:rsidR="00E26016" w:rsidRPr="00804546">
        <w:rPr>
          <w:szCs w:val="26"/>
        </w:rPr>
        <w:t>.</w:t>
      </w:r>
      <w:r w:rsidRPr="3792F7D5">
        <w:t xml:space="preserve">  We recognized that a smooth transition between phases was of paramount importance and would help minimize both customer confusion and transition costs.</w:t>
      </w:r>
      <w:r w:rsidR="00E26016" w:rsidRPr="00804546">
        <w:rPr>
          <w:szCs w:val="26"/>
        </w:rPr>
        <w:t xml:space="preserve">  </w:t>
      </w:r>
      <w:r w:rsidRPr="3792F7D5">
        <w:t>T</w:t>
      </w:r>
      <w:r w:rsidR="00E26016" w:rsidRPr="3792F7D5">
        <w:t>herefore, the Commission allow</w:t>
      </w:r>
      <w:r w:rsidRPr="3792F7D5">
        <w:t>ed</w:t>
      </w:r>
      <w:r w:rsidR="00E26016" w:rsidRPr="00804546">
        <w:rPr>
          <w:szCs w:val="26"/>
        </w:rPr>
        <w:t xml:space="preserve"> </w:t>
      </w:r>
      <w:r w:rsidRPr="3792F7D5">
        <w:t>those EDCs that ha</w:t>
      </w:r>
      <w:r w:rsidR="00786CEB">
        <w:t>d</w:t>
      </w:r>
      <w:r w:rsidRPr="3792F7D5">
        <w:t xml:space="preserve"> achieved their Phase I consumption reduction target before the end of the phase to continue their programs and credit all of those savings above the target towards their Phase II targets, so long as those EDCs still had Phase I funds available.  We clarified that any savings in excess of the target should, in Phase II, be applied at the particular customer sector level.</w:t>
      </w:r>
      <w:r w:rsidRPr="3792F7D5">
        <w:rPr>
          <w:rStyle w:val="FootnoteReference"/>
        </w:rPr>
        <w:footnoteReference w:id="37"/>
      </w:r>
      <w:r w:rsidR="00466A41">
        <w:t xml:space="preserve"> </w:t>
      </w:r>
      <w:r w:rsidR="002956B1">
        <w:t xml:space="preserve"> </w:t>
      </w:r>
      <w:r w:rsidR="7F73F73C" w:rsidRPr="3792F7D5">
        <w:t>I</w:t>
      </w:r>
      <w:r w:rsidR="73FF380E" w:rsidRPr="3792F7D5">
        <w:t>n</w:t>
      </w:r>
      <w:r w:rsidR="003C2D1F" w:rsidRPr="3792F7D5">
        <w:t xml:space="preserve"> our Phase II </w:t>
      </w:r>
      <w:r w:rsidR="006B0228">
        <w:t xml:space="preserve">and III </w:t>
      </w:r>
      <w:r w:rsidR="003C2D1F" w:rsidRPr="3792F7D5">
        <w:t>Implementation Order</w:t>
      </w:r>
      <w:r w:rsidR="006B0228">
        <w:t>s</w:t>
      </w:r>
      <w:r w:rsidR="003C2D1F" w:rsidRPr="3792F7D5">
        <w:t xml:space="preserve">, we </w:t>
      </w:r>
      <w:r w:rsidR="003653E9">
        <w:t xml:space="preserve">again </w:t>
      </w:r>
      <w:r w:rsidR="003C2D1F" w:rsidRPr="3792F7D5">
        <w:t xml:space="preserve">directed the EDCs to continue their programs through the end of </w:t>
      </w:r>
      <w:r w:rsidR="006B0228">
        <w:t xml:space="preserve">each </w:t>
      </w:r>
      <w:r w:rsidR="0057724F">
        <w:t>phase</w:t>
      </w:r>
      <w:r w:rsidR="003C2D1F" w:rsidRPr="3792F7D5">
        <w:t xml:space="preserve"> even if they attain their consumption reduction targets, so long as they still had funds available.</w:t>
      </w:r>
      <w:r w:rsidR="003C2D1F" w:rsidRPr="3792F7D5">
        <w:rPr>
          <w:rStyle w:val="FootnoteReference"/>
        </w:rPr>
        <w:footnoteReference w:id="38"/>
      </w:r>
      <w:r w:rsidR="003C2D1F">
        <w:rPr>
          <w:szCs w:val="26"/>
        </w:rPr>
        <w:t xml:space="preserve">  </w:t>
      </w:r>
    </w:p>
    <w:p w14:paraId="0A26A8DA" w14:textId="77777777" w:rsidR="00CB7D77" w:rsidRDefault="00CB7D77" w:rsidP="0009548F">
      <w:pPr>
        <w:pStyle w:val="p3"/>
        <w:tabs>
          <w:tab w:val="clear" w:pos="204"/>
          <w:tab w:val="left" w:pos="-2070"/>
        </w:tabs>
        <w:spacing w:line="360" w:lineRule="auto"/>
        <w:rPr>
          <w:szCs w:val="26"/>
        </w:rPr>
      </w:pPr>
    </w:p>
    <w:p w14:paraId="7CDB58FA" w14:textId="374A8251" w:rsidR="004E6EC5" w:rsidRDefault="00D21E62" w:rsidP="00617D6D">
      <w:pPr>
        <w:pStyle w:val="p3"/>
        <w:widowControl/>
        <w:tabs>
          <w:tab w:val="clear" w:pos="204"/>
          <w:tab w:val="left" w:pos="-2520"/>
        </w:tabs>
        <w:spacing w:line="360" w:lineRule="auto"/>
        <w:rPr>
          <w:szCs w:val="26"/>
        </w:rPr>
      </w:pPr>
      <w:r>
        <w:rPr>
          <w:szCs w:val="26"/>
        </w:rPr>
        <w:lastRenderedPageBreak/>
        <w:tab/>
        <w:t xml:space="preserve">For Phase IV, </w:t>
      </w:r>
      <w:r w:rsidR="00617D6D" w:rsidRPr="001E15BE">
        <w:rPr>
          <w:szCs w:val="26"/>
        </w:rPr>
        <w:t xml:space="preserve">we propose that the EDCs be allowed to </w:t>
      </w:r>
      <w:r w:rsidR="00710D2A">
        <w:rPr>
          <w:szCs w:val="26"/>
        </w:rPr>
        <w:t xml:space="preserve">count </w:t>
      </w:r>
      <w:r w:rsidR="00617D6D">
        <w:rPr>
          <w:szCs w:val="26"/>
        </w:rPr>
        <w:t>only</w:t>
      </w:r>
      <w:r w:rsidR="00617D6D" w:rsidRPr="001E15BE">
        <w:rPr>
          <w:szCs w:val="26"/>
        </w:rPr>
        <w:t xml:space="preserve"> those savings attained in Phase I</w:t>
      </w:r>
      <w:r>
        <w:rPr>
          <w:szCs w:val="26"/>
        </w:rPr>
        <w:t>I</w:t>
      </w:r>
      <w:r w:rsidR="00617D6D" w:rsidRPr="001E15BE">
        <w:rPr>
          <w:szCs w:val="26"/>
        </w:rPr>
        <w:t xml:space="preserve">I in excess of their targets for application towards </w:t>
      </w:r>
      <w:r w:rsidR="00B666DE">
        <w:rPr>
          <w:szCs w:val="26"/>
        </w:rPr>
        <w:t xml:space="preserve">their </w:t>
      </w:r>
      <w:r w:rsidR="00617D6D" w:rsidRPr="001E15BE">
        <w:rPr>
          <w:szCs w:val="26"/>
        </w:rPr>
        <w:t>Phase I</w:t>
      </w:r>
      <w:r>
        <w:rPr>
          <w:szCs w:val="26"/>
        </w:rPr>
        <w:t>V</w:t>
      </w:r>
      <w:r w:rsidR="00617D6D" w:rsidRPr="001E15BE">
        <w:rPr>
          <w:szCs w:val="26"/>
        </w:rPr>
        <w:t xml:space="preserve"> targets</w:t>
      </w:r>
      <w:r w:rsidR="00617D6D">
        <w:rPr>
          <w:szCs w:val="26"/>
        </w:rPr>
        <w:t xml:space="preserve">. </w:t>
      </w:r>
      <w:r w:rsidR="00617D6D" w:rsidRPr="001E15BE">
        <w:rPr>
          <w:szCs w:val="26"/>
        </w:rPr>
        <w:t xml:space="preserve"> </w:t>
      </w:r>
      <w:r w:rsidR="00617D6D">
        <w:rPr>
          <w:szCs w:val="26"/>
        </w:rPr>
        <w:t>T</w:t>
      </w:r>
      <w:r w:rsidR="00617D6D" w:rsidRPr="001E15BE">
        <w:rPr>
          <w:szCs w:val="26"/>
        </w:rPr>
        <w:t>hese carryover savings may only be savings actually attained in Phase I</w:t>
      </w:r>
      <w:r>
        <w:rPr>
          <w:szCs w:val="26"/>
        </w:rPr>
        <w:t>I</w:t>
      </w:r>
      <w:r w:rsidR="00617D6D" w:rsidRPr="001E15BE">
        <w:rPr>
          <w:szCs w:val="26"/>
        </w:rPr>
        <w:t xml:space="preserve">I.  For example, </w:t>
      </w:r>
      <w:r w:rsidR="00617D6D">
        <w:rPr>
          <w:szCs w:val="26"/>
        </w:rPr>
        <w:t xml:space="preserve">assume </w:t>
      </w:r>
      <w:r w:rsidR="00617D6D" w:rsidRPr="001E15BE">
        <w:rPr>
          <w:szCs w:val="26"/>
        </w:rPr>
        <w:t>an EDC has a Phase I</w:t>
      </w:r>
      <w:r>
        <w:rPr>
          <w:szCs w:val="26"/>
        </w:rPr>
        <w:t>I</w:t>
      </w:r>
      <w:r w:rsidR="00617D6D" w:rsidRPr="001E15BE">
        <w:rPr>
          <w:szCs w:val="26"/>
        </w:rPr>
        <w:t>I target of 1,000 MWh</w:t>
      </w:r>
      <w:r w:rsidR="00617D6D">
        <w:rPr>
          <w:szCs w:val="26"/>
        </w:rPr>
        <w:t xml:space="preserve"> and</w:t>
      </w:r>
      <w:r w:rsidR="00617D6D" w:rsidRPr="001E15BE">
        <w:rPr>
          <w:szCs w:val="26"/>
        </w:rPr>
        <w:t xml:space="preserve"> has 100 MWh of carryover savings from Phase I</w:t>
      </w:r>
      <w:r>
        <w:rPr>
          <w:szCs w:val="26"/>
        </w:rPr>
        <w:t>I</w:t>
      </w:r>
      <w:r w:rsidR="00617D6D" w:rsidRPr="001E15BE">
        <w:rPr>
          <w:szCs w:val="26"/>
        </w:rPr>
        <w:t>.  In order to have carryover into Phase I</w:t>
      </w:r>
      <w:r w:rsidR="0063141B">
        <w:rPr>
          <w:szCs w:val="26"/>
        </w:rPr>
        <w:t>V</w:t>
      </w:r>
      <w:r w:rsidR="00617D6D" w:rsidRPr="001E15BE">
        <w:rPr>
          <w:szCs w:val="26"/>
        </w:rPr>
        <w:t>, the EDC must attain over 1,000 MWh in Phase I</w:t>
      </w:r>
      <w:r w:rsidR="0063141B">
        <w:rPr>
          <w:szCs w:val="26"/>
        </w:rPr>
        <w:t>I</w:t>
      </w:r>
      <w:r w:rsidR="00617D6D" w:rsidRPr="001E15BE">
        <w:rPr>
          <w:szCs w:val="26"/>
        </w:rPr>
        <w:t>I al</w:t>
      </w:r>
      <w:r w:rsidR="00617D6D">
        <w:rPr>
          <w:szCs w:val="26"/>
        </w:rPr>
        <w:t>one, not including the 100 MWh of P</w:t>
      </w:r>
      <w:r w:rsidR="00617D6D" w:rsidRPr="001E15BE">
        <w:rPr>
          <w:szCs w:val="26"/>
        </w:rPr>
        <w:t xml:space="preserve">hase </w:t>
      </w:r>
      <w:r w:rsidR="0063141B">
        <w:rPr>
          <w:szCs w:val="26"/>
        </w:rPr>
        <w:t>I</w:t>
      </w:r>
      <w:r w:rsidR="00617D6D" w:rsidRPr="001E15BE">
        <w:rPr>
          <w:szCs w:val="26"/>
        </w:rPr>
        <w:t>I carryover.  We believe</w:t>
      </w:r>
      <w:r w:rsidR="00617D6D">
        <w:rPr>
          <w:szCs w:val="26"/>
        </w:rPr>
        <w:t xml:space="preserve"> that</w:t>
      </w:r>
      <w:r w:rsidR="00617D6D" w:rsidRPr="001E15BE">
        <w:rPr>
          <w:szCs w:val="26"/>
        </w:rPr>
        <w:t xml:space="preserve"> this approach will encourage EDCs to continue the full implementation of programs </w:t>
      </w:r>
      <w:r w:rsidR="00617D6D">
        <w:rPr>
          <w:szCs w:val="26"/>
        </w:rPr>
        <w:t xml:space="preserve">and </w:t>
      </w:r>
      <w:r w:rsidR="00617D6D" w:rsidRPr="001E15BE">
        <w:rPr>
          <w:szCs w:val="26"/>
        </w:rPr>
        <w:t>not allow programs to “go dark</w:t>
      </w:r>
      <w:r w:rsidR="00617D6D">
        <w:rPr>
          <w:szCs w:val="26"/>
        </w:rPr>
        <w:t>,</w:t>
      </w:r>
      <w:r w:rsidR="00617D6D" w:rsidRPr="001E15BE">
        <w:rPr>
          <w:szCs w:val="26"/>
        </w:rPr>
        <w:t>”</w:t>
      </w:r>
      <w:r w:rsidR="00617D6D">
        <w:rPr>
          <w:szCs w:val="26"/>
        </w:rPr>
        <w:t xml:space="preserve"> </w:t>
      </w:r>
      <w:r w:rsidR="00617D6D" w:rsidRPr="001E15BE">
        <w:rPr>
          <w:szCs w:val="26"/>
        </w:rPr>
        <w:t>without reaching a scenario where target attainment is achieved solely through multiple phase carryover savings.</w:t>
      </w:r>
      <w:r w:rsidR="00A778A4">
        <w:rPr>
          <w:szCs w:val="26"/>
        </w:rPr>
        <w:t xml:space="preserve">  Regarding</w:t>
      </w:r>
      <w:r w:rsidR="004E6EC5">
        <w:rPr>
          <w:szCs w:val="26"/>
        </w:rPr>
        <w:t xml:space="preserve"> to the low-income carve</w:t>
      </w:r>
      <w:r w:rsidR="00CA3749">
        <w:rPr>
          <w:szCs w:val="26"/>
        </w:rPr>
        <w:t>-</w:t>
      </w:r>
      <w:r w:rsidR="004E6EC5">
        <w:rPr>
          <w:szCs w:val="26"/>
        </w:rPr>
        <w:t>out</w:t>
      </w:r>
      <w:r w:rsidR="00A54776">
        <w:rPr>
          <w:szCs w:val="26"/>
        </w:rPr>
        <w:t xml:space="preserve"> savings carryover</w:t>
      </w:r>
      <w:r w:rsidR="004E6EC5">
        <w:rPr>
          <w:szCs w:val="26"/>
        </w:rPr>
        <w:t xml:space="preserve">, the Commission proposes that the </w:t>
      </w:r>
      <w:r w:rsidR="004E6EC5" w:rsidRPr="001E15BE">
        <w:rPr>
          <w:szCs w:val="26"/>
        </w:rPr>
        <w:t xml:space="preserve">EDCs be allowed to </w:t>
      </w:r>
      <w:r w:rsidR="001D4909">
        <w:rPr>
          <w:szCs w:val="26"/>
        </w:rPr>
        <w:t xml:space="preserve">carryover </w:t>
      </w:r>
      <w:r w:rsidR="005146DB">
        <w:rPr>
          <w:szCs w:val="26"/>
        </w:rPr>
        <w:t>low-income</w:t>
      </w:r>
      <w:r w:rsidR="001D4909">
        <w:rPr>
          <w:szCs w:val="26"/>
        </w:rPr>
        <w:t xml:space="preserve"> carve</w:t>
      </w:r>
      <w:r w:rsidR="006D16CF">
        <w:rPr>
          <w:szCs w:val="26"/>
        </w:rPr>
        <w:t>-</w:t>
      </w:r>
      <w:r w:rsidR="001D4909">
        <w:rPr>
          <w:szCs w:val="26"/>
        </w:rPr>
        <w:t>out savings only if they</w:t>
      </w:r>
      <w:r w:rsidR="00351DEC">
        <w:rPr>
          <w:szCs w:val="26"/>
        </w:rPr>
        <w:t xml:space="preserve"> have carryover savings for the entire portfolio of programs in Phase III and if they have </w:t>
      </w:r>
      <w:r w:rsidR="005146DB">
        <w:rPr>
          <w:szCs w:val="26"/>
        </w:rPr>
        <w:t xml:space="preserve">low-income </w:t>
      </w:r>
      <w:r w:rsidR="00351DEC">
        <w:rPr>
          <w:szCs w:val="26"/>
        </w:rPr>
        <w:t>carve</w:t>
      </w:r>
      <w:r w:rsidR="00661415">
        <w:rPr>
          <w:szCs w:val="26"/>
        </w:rPr>
        <w:t>-</w:t>
      </w:r>
      <w:r w:rsidR="00351DEC">
        <w:rPr>
          <w:szCs w:val="26"/>
        </w:rPr>
        <w:t xml:space="preserve">out </w:t>
      </w:r>
      <w:r w:rsidR="004E6EC5" w:rsidRPr="001E15BE">
        <w:rPr>
          <w:szCs w:val="26"/>
        </w:rPr>
        <w:t>savings attained in Phase I</w:t>
      </w:r>
      <w:r w:rsidR="004E6EC5">
        <w:rPr>
          <w:szCs w:val="26"/>
        </w:rPr>
        <w:t>I</w:t>
      </w:r>
      <w:r w:rsidR="004E6EC5" w:rsidRPr="001E15BE">
        <w:rPr>
          <w:szCs w:val="26"/>
        </w:rPr>
        <w:t xml:space="preserve">I in excess of their </w:t>
      </w:r>
      <w:r w:rsidR="00116F4A">
        <w:rPr>
          <w:szCs w:val="26"/>
        </w:rPr>
        <w:t>Phase III</w:t>
      </w:r>
      <w:r w:rsidR="004E6EC5" w:rsidRPr="001E15BE">
        <w:rPr>
          <w:szCs w:val="26"/>
        </w:rPr>
        <w:t xml:space="preserve"> </w:t>
      </w:r>
      <w:r w:rsidR="00FD600A">
        <w:rPr>
          <w:szCs w:val="26"/>
        </w:rPr>
        <w:t xml:space="preserve">carve-out </w:t>
      </w:r>
      <w:r w:rsidR="004E6EC5" w:rsidRPr="001E15BE">
        <w:rPr>
          <w:szCs w:val="26"/>
        </w:rPr>
        <w:t>targets for application towards Phase I</w:t>
      </w:r>
      <w:r w:rsidR="004E6EC5">
        <w:rPr>
          <w:szCs w:val="26"/>
        </w:rPr>
        <w:t>V</w:t>
      </w:r>
      <w:r w:rsidR="004E6EC5" w:rsidRPr="001E15BE">
        <w:rPr>
          <w:szCs w:val="26"/>
        </w:rPr>
        <w:t xml:space="preserve"> targets</w:t>
      </w:r>
      <w:r w:rsidR="004E6EC5">
        <w:rPr>
          <w:szCs w:val="26"/>
        </w:rPr>
        <w:t xml:space="preserve">. </w:t>
      </w:r>
      <w:r w:rsidR="004E6EC5" w:rsidRPr="001E15BE">
        <w:rPr>
          <w:szCs w:val="26"/>
        </w:rPr>
        <w:t xml:space="preserve"> </w:t>
      </w:r>
    </w:p>
    <w:p w14:paraId="101D2FFD" w14:textId="77777777" w:rsidR="00617D6D" w:rsidRDefault="00617D6D" w:rsidP="0009548F">
      <w:pPr>
        <w:pStyle w:val="p3"/>
        <w:tabs>
          <w:tab w:val="clear" w:pos="204"/>
          <w:tab w:val="left" w:pos="-2070"/>
        </w:tabs>
        <w:spacing w:line="360" w:lineRule="auto"/>
        <w:rPr>
          <w:szCs w:val="26"/>
        </w:rPr>
      </w:pPr>
    </w:p>
    <w:p w14:paraId="3C36E20B" w14:textId="77777777" w:rsidR="005D1086" w:rsidRDefault="005D1086" w:rsidP="004D3955">
      <w:pPr>
        <w:pStyle w:val="Heading3"/>
      </w:pPr>
      <w:bookmarkStart w:id="282" w:name="_Toc30603606"/>
      <w:bookmarkStart w:id="283" w:name="_Toc30603607"/>
      <w:bookmarkStart w:id="284" w:name="_Toc30603608"/>
      <w:bookmarkStart w:id="285" w:name="_Toc30603609"/>
      <w:bookmarkStart w:id="286" w:name="_Toc30603610"/>
      <w:bookmarkStart w:id="287" w:name="_Toc30603611"/>
      <w:bookmarkStart w:id="288" w:name="_Toc30603612"/>
      <w:bookmarkStart w:id="289" w:name="_Toc30603613"/>
      <w:bookmarkStart w:id="290" w:name="_Toc30603614"/>
      <w:bookmarkStart w:id="291" w:name="_Toc30603615"/>
      <w:bookmarkStart w:id="292" w:name="_Toc30603616"/>
      <w:bookmarkStart w:id="293" w:name="_Toc30603617"/>
      <w:bookmarkStart w:id="294" w:name="_Toc30603618"/>
      <w:bookmarkStart w:id="295" w:name="_Toc30603619"/>
      <w:bookmarkStart w:id="296" w:name="_Toc30603620"/>
      <w:bookmarkStart w:id="297" w:name="_Toc30603621"/>
      <w:bookmarkStart w:id="298" w:name="_Toc30603622"/>
      <w:bookmarkStart w:id="299" w:name="_Toc30603623"/>
      <w:bookmarkStart w:id="300" w:name="_Toc30603624"/>
      <w:bookmarkStart w:id="301" w:name="_Toc30603625"/>
      <w:bookmarkStart w:id="302" w:name="_Toc30603626"/>
      <w:bookmarkStart w:id="303" w:name="_Toc30603627"/>
      <w:bookmarkStart w:id="304" w:name="_Toc30603628"/>
      <w:bookmarkStart w:id="305" w:name="_Toc30603629"/>
      <w:bookmarkStart w:id="306" w:name="_Toc33782000"/>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t>Process to Challenge Reduction Requirements</w:t>
      </w:r>
      <w:bookmarkEnd w:id="306"/>
    </w:p>
    <w:p w14:paraId="208A8DD9" w14:textId="0FA39ADD" w:rsidR="005D1086" w:rsidRPr="00206905" w:rsidRDefault="005D1086" w:rsidP="00206905">
      <w:pPr>
        <w:pStyle w:val="p3"/>
        <w:widowControl/>
        <w:tabs>
          <w:tab w:val="clear" w:pos="204"/>
          <w:tab w:val="left" w:pos="-2520"/>
        </w:tabs>
        <w:spacing w:line="360" w:lineRule="auto"/>
        <w:ind w:firstLine="720"/>
      </w:pPr>
      <w:r w:rsidRPr="3792F7D5">
        <w:t>In Phase II, the Commission set forth a process through which each EDC could challenge the consumption reduction requirements initially adopted by the Commission.</w:t>
      </w:r>
      <w:r w:rsidRPr="3792F7D5">
        <w:rPr>
          <w:rStyle w:val="FootnoteReference"/>
        </w:rPr>
        <w:footnoteReference w:id="39"/>
      </w:r>
      <w:r w:rsidRPr="3792F7D5">
        <w:t xml:space="preserve">  </w:t>
      </w:r>
      <w:r w:rsidR="00206905">
        <w:t>In</w:t>
      </w:r>
      <w:r w:rsidRPr="3792F7D5">
        <w:t xml:space="preserve"> Phase III, the Commission </w:t>
      </w:r>
      <w:r w:rsidR="1267A7D7" w:rsidRPr="3792F7D5">
        <w:t>propose</w:t>
      </w:r>
      <w:r w:rsidR="09FD582F" w:rsidRPr="3792F7D5">
        <w:t>d</w:t>
      </w:r>
      <w:r w:rsidRPr="3792F7D5">
        <w:t xml:space="preserve"> the same challenge process for both the consumption and peak demand reduction requirements.</w:t>
      </w:r>
      <w:r w:rsidR="00211306" w:rsidRPr="3792F7D5">
        <w:rPr>
          <w:rStyle w:val="FootnoteReference"/>
        </w:rPr>
        <w:footnoteReference w:id="40"/>
      </w:r>
      <w:r w:rsidR="00211306" w:rsidRPr="3792F7D5">
        <w:t xml:space="preserve"> </w:t>
      </w:r>
      <w:r w:rsidR="00206905">
        <w:t xml:space="preserve"> As in the previous phase</w:t>
      </w:r>
      <w:r w:rsidR="00A778A4">
        <w:t>s</w:t>
      </w:r>
      <w:r w:rsidR="00206905">
        <w:t xml:space="preserve">, </w:t>
      </w:r>
      <w:r w:rsidR="00211306" w:rsidRPr="3792F7D5">
        <w:t>the Commission propose</w:t>
      </w:r>
      <w:r w:rsidR="000B2DEF">
        <w:t>s</w:t>
      </w:r>
      <w:r w:rsidR="00211306" w:rsidRPr="3792F7D5">
        <w:t xml:space="preserve"> the same challenge process for both the consumption and peak demand reduction requirements</w:t>
      </w:r>
      <w:r w:rsidR="00206905">
        <w:t xml:space="preserve"> for Phase IV of Act 129</w:t>
      </w:r>
      <w:r w:rsidR="00211306" w:rsidRPr="3792F7D5">
        <w:t xml:space="preserve">. </w:t>
      </w:r>
    </w:p>
    <w:p w14:paraId="7E708D1A" w14:textId="77777777" w:rsidR="005D1086" w:rsidRDefault="005D1086" w:rsidP="0009548F">
      <w:pPr>
        <w:pStyle w:val="p3"/>
        <w:widowControl/>
        <w:tabs>
          <w:tab w:val="clear" w:pos="204"/>
          <w:tab w:val="left" w:pos="-2520"/>
        </w:tabs>
        <w:spacing w:line="360" w:lineRule="auto"/>
        <w:ind w:firstLine="720"/>
        <w:rPr>
          <w:szCs w:val="26"/>
        </w:rPr>
      </w:pPr>
    </w:p>
    <w:p w14:paraId="3EE22564" w14:textId="5028AB7F" w:rsidR="005D1086" w:rsidRDefault="005D1086" w:rsidP="0009548F">
      <w:pPr>
        <w:pStyle w:val="p3"/>
        <w:widowControl/>
        <w:tabs>
          <w:tab w:val="clear" w:pos="204"/>
          <w:tab w:val="left" w:pos="-2520"/>
        </w:tabs>
        <w:spacing w:line="360" w:lineRule="auto"/>
        <w:ind w:firstLine="720"/>
        <w:rPr>
          <w:szCs w:val="26"/>
        </w:rPr>
      </w:pPr>
      <w:r>
        <w:rPr>
          <w:szCs w:val="26"/>
        </w:rPr>
        <w:t xml:space="preserve">Specifically, in adopting the </w:t>
      </w:r>
      <w:r w:rsidR="000B2DEF">
        <w:rPr>
          <w:szCs w:val="26"/>
        </w:rPr>
        <w:t>F</w:t>
      </w:r>
      <w:r>
        <w:rPr>
          <w:szCs w:val="26"/>
        </w:rPr>
        <w:t xml:space="preserve">inal </w:t>
      </w:r>
      <w:r w:rsidR="000B2DEF">
        <w:rPr>
          <w:szCs w:val="26"/>
        </w:rPr>
        <w:t>I</w:t>
      </w:r>
      <w:r>
        <w:rPr>
          <w:szCs w:val="26"/>
        </w:rPr>
        <w:t xml:space="preserve">mplementation </w:t>
      </w:r>
      <w:r w:rsidR="000B2DEF">
        <w:rPr>
          <w:szCs w:val="26"/>
        </w:rPr>
        <w:t>O</w:t>
      </w:r>
      <w:r>
        <w:rPr>
          <w:szCs w:val="26"/>
        </w:rPr>
        <w:t xml:space="preserve">rder, the Commission will tentatively adopt the consumption and peak demand reduction requirements for each EDC.  These consumption and peak demand reduction requirements will become final for </w:t>
      </w:r>
      <w:r>
        <w:rPr>
          <w:szCs w:val="26"/>
        </w:rPr>
        <w:lastRenderedPageBreak/>
        <w:t xml:space="preserve">any EDC that does not petition the Commission for an evidentiary hearing </w:t>
      </w:r>
      <w:r w:rsidR="002A1557">
        <w:rPr>
          <w:szCs w:val="26"/>
        </w:rPr>
        <w:t xml:space="preserve">within 15 days of the entry of the </w:t>
      </w:r>
      <w:r w:rsidR="000B2DEF">
        <w:rPr>
          <w:szCs w:val="26"/>
        </w:rPr>
        <w:t>F</w:t>
      </w:r>
      <w:r w:rsidR="002A1557">
        <w:rPr>
          <w:szCs w:val="26"/>
        </w:rPr>
        <w:t xml:space="preserve">inal </w:t>
      </w:r>
      <w:r w:rsidR="000B2DEF">
        <w:rPr>
          <w:szCs w:val="26"/>
        </w:rPr>
        <w:t>I</w:t>
      </w:r>
      <w:r w:rsidR="002A1557">
        <w:rPr>
          <w:szCs w:val="26"/>
        </w:rPr>
        <w:t xml:space="preserve">mplementation </w:t>
      </w:r>
      <w:r w:rsidR="000B2DEF">
        <w:rPr>
          <w:szCs w:val="26"/>
        </w:rPr>
        <w:t>O</w:t>
      </w:r>
      <w:r w:rsidR="002A1557">
        <w:rPr>
          <w:szCs w:val="26"/>
        </w:rPr>
        <w:t>rder</w:t>
      </w:r>
      <w:r w:rsidR="006D6D04">
        <w:rPr>
          <w:szCs w:val="26"/>
        </w:rPr>
        <w:t>.</w:t>
      </w:r>
    </w:p>
    <w:p w14:paraId="61CCDDEE" w14:textId="77777777" w:rsidR="006E167D" w:rsidRDefault="006E167D" w:rsidP="0009548F">
      <w:pPr>
        <w:spacing w:line="360" w:lineRule="auto"/>
        <w:ind w:firstLine="720"/>
        <w:rPr>
          <w:sz w:val="26"/>
          <w:szCs w:val="26"/>
        </w:rPr>
      </w:pPr>
    </w:p>
    <w:p w14:paraId="04C14C6B" w14:textId="725296A5" w:rsidR="006D6D04" w:rsidRDefault="006D6D04" w:rsidP="0009548F">
      <w:pPr>
        <w:spacing w:line="360" w:lineRule="auto"/>
        <w:ind w:firstLine="720"/>
        <w:rPr>
          <w:sz w:val="26"/>
          <w:szCs w:val="26"/>
        </w:rPr>
      </w:pPr>
      <w:r>
        <w:rPr>
          <w:sz w:val="26"/>
          <w:szCs w:val="26"/>
        </w:rPr>
        <w:t xml:space="preserve">If an EDC desires to contest the facts the Commission relied upon in adopting the consumption and peak demand reduction requirements contained in the </w:t>
      </w:r>
      <w:r w:rsidR="00DB2499">
        <w:rPr>
          <w:sz w:val="26"/>
          <w:szCs w:val="26"/>
        </w:rPr>
        <w:t>F</w:t>
      </w:r>
      <w:r>
        <w:rPr>
          <w:sz w:val="26"/>
          <w:szCs w:val="26"/>
        </w:rPr>
        <w:t xml:space="preserve">inal </w:t>
      </w:r>
      <w:r w:rsidR="00DB2499">
        <w:rPr>
          <w:sz w:val="26"/>
          <w:szCs w:val="26"/>
        </w:rPr>
        <w:t>I</w:t>
      </w:r>
      <w:r>
        <w:rPr>
          <w:sz w:val="26"/>
          <w:szCs w:val="26"/>
        </w:rPr>
        <w:t xml:space="preserve">mplementation </w:t>
      </w:r>
      <w:r w:rsidR="00DB2499">
        <w:rPr>
          <w:sz w:val="26"/>
          <w:szCs w:val="26"/>
        </w:rPr>
        <w:t>O</w:t>
      </w:r>
      <w:r>
        <w:rPr>
          <w:sz w:val="26"/>
          <w:szCs w:val="26"/>
        </w:rPr>
        <w:t xml:space="preserve">rder, it has </w:t>
      </w:r>
      <w:r w:rsidR="002A1557">
        <w:rPr>
          <w:sz w:val="26"/>
          <w:szCs w:val="26"/>
        </w:rPr>
        <w:t xml:space="preserve">15 days from the entry of the </w:t>
      </w:r>
      <w:r w:rsidR="00C17797">
        <w:rPr>
          <w:sz w:val="26"/>
          <w:szCs w:val="26"/>
        </w:rPr>
        <w:t>F</w:t>
      </w:r>
      <w:r w:rsidR="002A1557">
        <w:rPr>
          <w:sz w:val="26"/>
          <w:szCs w:val="26"/>
        </w:rPr>
        <w:t xml:space="preserve">inal </w:t>
      </w:r>
      <w:r w:rsidR="00C17797">
        <w:rPr>
          <w:sz w:val="26"/>
          <w:szCs w:val="26"/>
        </w:rPr>
        <w:t>I</w:t>
      </w:r>
      <w:r w:rsidR="002A1557">
        <w:rPr>
          <w:sz w:val="26"/>
          <w:szCs w:val="26"/>
        </w:rPr>
        <w:t xml:space="preserve">mplementation </w:t>
      </w:r>
      <w:r w:rsidR="00C17797">
        <w:rPr>
          <w:sz w:val="26"/>
          <w:szCs w:val="26"/>
        </w:rPr>
        <w:t>O</w:t>
      </w:r>
      <w:r w:rsidR="002A1557">
        <w:rPr>
          <w:sz w:val="26"/>
          <w:szCs w:val="26"/>
        </w:rPr>
        <w:t>rder</w:t>
      </w:r>
      <w:r>
        <w:rPr>
          <w:sz w:val="26"/>
          <w:szCs w:val="26"/>
        </w:rPr>
        <w:t xml:space="preserve">, to file a </w:t>
      </w:r>
      <w:r w:rsidR="00A901B4">
        <w:rPr>
          <w:sz w:val="26"/>
          <w:szCs w:val="26"/>
        </w:rPr>
        <w:t>P</w:t>
      </w:r>
      <w:r>
        <w:rPr>
          <w:sz w:val="26"/>
          <w:szCs w:val="26"/>
        </w:rPr>
        <w:t xml:space="preserve">etition requesting an evidentiary hearing on its specific consumption and peak demand reduction requirements.  The EDC contesting the consumption </w:t>
      </w:r>
      <w:r w:rsidR="006A40E5">
        <w:rPr>
          <w:sz w:val="26"/>
          <w:szCs w:val="26"/>
        </w:rPr>
        <w:t xml:space="preserve">and peak demand </w:t>
      </w:r>
      <w:r>
        <w:rPr>
          <w:sz w:val="26"/>
          <w:szCs w:val="26"/>
        </w:rPr>
        <w:t>reduction requirement</w:t>
      </w:r>
      <w:r w:rsidR="002347E9">
        <w:rPr>
          <w:sz w:val="26"/>
          <w:szCs w:val="26"/>
        </w:rPr>
        <w:t>s</w:t>
      </w:r>
      <w:r>
        <w:rPr>
          <w:sz w:val="26"/>
          <w:szCs w:val="26"/>
        </w:rPr>
        <w:t xml:space="preserve"> shall have the burden of proof in accordance with 66 Pa. C.S.</w:t>
      </w:r>
      <w:r w:rsidR="00C64885">
        <w:rPr>
          <w:sz w:val="26"/>
          <w:szCs w:val="26"/>
        </w:rPr>
        <w:t> </w:t>
      </w:r>
      <w:r>
        <w:rPr>
          <w:sz w:val="26"/>
          <w:szCs w:val="26"/>
        </w:rPr>
        <w:t xml:space="preserve">§332(a).  The scope of any such proceeding will be narrow and limited to the consumption and peak demand reduction requirement issues.  If an EDC does not file a </w:t>
      </w:r>
      <w:r w:rsidR="003A3779">
        <w:rPr>
          <w:sz w:val="26"/>
          <w:szCs w:val="26"/>
        </w:rPr>
        <w:t>P</w:t>
      </w:r>
      <w:r>
        <w:rPr>
          <w:sz w:val="26"/>
          <w:szCs w:val="26"/>
        </w:rPr>
        <w:t xml:space="preserve">etition </w:t>
      </w:r>
      <w:r w:rsidR="002A1557">
        <w:rPr>
          <w:sz w:val="26"/>
          <w:szCs w:val="26"/>
        </w:rPr>
        <w:t xml:space="preserve">within 15 days of the entry of the </w:t>
      </w:r>
      <w:r w:rsidR="00CE3704">
        <w:rPr>
          <w:sz w:val="26"/>
          <w:szCs w:val="26"/>
        </w:rPr>
        <w:t>F</w:t>
      </w:r>
      <w:r w:rsidR="002A1557">
        <w:rPr>
          <w:sz w:val="26"/>
          <w:szCs w:val="26"/>
        </w:rPr>
        <w:t xml:space="preserve">inal </w:t>
      </w:r>
      <w:r w:rsidR="00CE3704">
        <w:rPr>
          <w:sz w:val="26"/>
          <w:szCs w:val="26"/>
        </w:rPr>
        <w:t>I</w:t>
      </w:r>
      <w:r w:rsidR="002A1557">
        <w:rPr>
          <w:sz w:val="26"/>
          <w:szCs w:val="26"/>
        </w:rPr>
        <w:t xml:space="preserve">mplementation </w:t>
      </w:r>
      <w:r w:rsidR="00CE3704">
        <w:rPr>
          <w:sz w:val="26"/>
          <w:szCs w:val="26"/>
        </w:rPr>
        <w:t>O</w:t>
      </w:r>
      <w:r w:rsidR="002A1557">
        <w:rPr>
          <w:sz w:val="26"/>
          <w:szCs w:val="26"/>
        </w:rPr>
        <w:t>rder</w:t>
      </w:r>
      <w:r>
        <w:rPr>
          <w:sz w:val="26"/>
          <w:szCs w:val="26"/>
        </w:rPr>
        <w:t xml:space="preserve">, it will have been deemed to have accepted the facts and will be bound by the consumption </w:t>
      </w:r>
      <w:r w:rsidR="002A1557">
        <w:rPr>
          <w:sz w:val="26"/>
          <w:szCs w:val="26"/>
        </w:rPr>
        <w:t xml:space="preserve">and peak demand </w:t>
      </w:r>
      <w:r>
        <w:rPr>
          <w:sz w:val="26"/>
          <w:szCs w:val="26"/>
        </w:rPr>
        <w:t>reduction requirement</w:t>
      </w:r>
      <w:r w:rsidR="002A1557">
        <w:rPr>
          <w:sz w:val="26"/>
          <w:szCs w:val="26"/>
        </w:rPr>
        <w:t>s</w:t>
      </w:r>
      <w:r>
        <w:rPr>
          <w:sz w:val="26"/>
          <w:szCs w:val="26"/>
        </w:rPr>
        <w:t xml:space="preserve"> contained in </w:t>
      </w:r>
      <w:r w:rsidR="002A1557">
        <w:rPr>
          <w:sz w:val="26"/>
          <w:szCs w:val="26"/>
        </w:rPr>
        <w:t>that order</w:t>
      </w:r>
      <w:r>
        <w:rPr>
          <w:sz w:val="26"/>
          <w:szCs w:val="26"/>
        </w:rPr>
        <w:t xml:space="preserve"> for that EDC as there would be no remaining disputed facts.  </w:t>
      </w:r>
    </w:p>
    <w:p w14:paraId="069D453E" w14:textId="77777777" w:rsidR="006D6D04" w:rsidRDefault="006D6D04" w:rsidP="0009548F">
      <w:pPr>
        <w:spacing w:line="360" w:lineRule="auto"/>
        <w:ind w:firstLine="720"/>
        <w:rPr>
          <w:sz w:val="26"/>
          <w:szCs w:val="26"/>
        </w:rPr>
      </w:pPr>
    </w:p>
    <w:p w14:paraId="5A7620FB" w14:textId="00DA6401" w:rsidR="006D6D04" w:rsidRDefault="006D6D04" w:rsidP="0009548F">
      <w:pPr>
        <w:spacing w:line="360" w:lineRule="auto"/>
        <w:ind w:firstLine="720"/>
        <w:rPr>
          <w:sz w:val="26"/>
          <w:szCs w:val="26"/>
        </w:rPr>
      </w:pPr>
      <w:r w:rsidRPr="003A3779">
        <w:rPr>
          <w:sz w:val="26"/>
          <w:szCs w:val="26"/>
        </w:rPr>
        <w:t xml:space="preserve">If an EDC files a Petition </w:t>
      </w:r>
      <w:r w:rsidR="002A1557" w:rsidRPr="00EE3BA4">
        <w:rPr>
          <w:sz w:val="26"/>
          <w:szCs w:val="26"/>
        </w:rPr>
        <w:t xml:space="preserve">within 15 days of the entry of the </w:t>
      </w:r>
      <w:r w:rsidR="003A3779">
        <w:rPr>
          <w:sz w:val="26"/>
          <w:szCs w:val="26"/>
        </w:rPr>
        <w:t>F</w:t>
      </w:r>
      <w:r w:rsidR="002A1557" w:rsidRPr="00EE3BA4">
        <w:rPr>
          <w:sz w:val="26"/>
          <w:szCs w:val="26"/>
        </w:rPr>
        <w:t xml:space="preserve">inal </w:t>
      </w:r>
      <w:r w:rsidR="003A3779">
        <w:rPr>
          <w:sz w:val="26"/>
          <w:szCs w:val="26"/>
        </w:rPr>
        <w:t>I</w:t>
      </w:r>
      <w:r w:rsidR="002A1557" w:rsidRPr="00EE3BA4">
        <w:rPr>
          <w:sz w:val="26"/>
          <w:szCs w:val="26"/>
        </w:rPr>
        <w:t xml:space="preserve">mplementation </w:t>
      </w:r>
      <w:r w:rsidR="003A3779">
        <w:rPr>
          <w:sz w:val="26"/>
          <w:szCs w:val="26"/>
        </w:rPr>
        <w:t>O</w:t>
      </w:r>
      <w:r w:rsidR="002A1557" w:rsidRPr="00EE3BA4">
        <w:rPr>
          <w:sz w:val="26"/>
          <w:szCs w:val="26"/>
        </w:rPr>
        <w:t>rder</w:t>
      </w:r>
      <w:r w:rsidRPr="003A3779">
        <w:rPr>
          <w:sz w:val="26"/>
          <w:szCs w:val="26"/>
        </w:rPr>
        <w:t>, the matter will be assigned to the Office of Administrative Law Judge for expedited</w:t>
      </w:r>
      <w:r>
        <w:rPr>
          <w:sz w:val="26"/>
          <w:szCs w:val="26"/>
        </w:rPr>
        <w:t xml:space="preserve"> hearings with certification of the record to the Commission by </w:t>
      </w:r>
      <w:r w:rsidR="002A1557">
        <w:rPr>
          <w:sz w:val="26"/>
          <w:szCs w:val="26"/>
        </w:rPr>
        <w:t>October</w:t>
      </w:r>
      <w:r>
        <w:rPr>
          <w:sz w:val="26"/>
          <w:szCs w:val="26"/>
        </w:rPr>
        <w:t xml:space="preserve"> 2</w:t>
      </w:r>
      <w:r w:rsidR="002A1557">
        <w:rPr>
          <w:sz w:val="26"/>
          <w:szCs w:val="26"/>
        </w:rPr>
        <w:t>3</w:t>
      </w:r>
      <w:r>
        <w:rPr>
          <w:sz w:val="26"/>
          <w:szCs w:val="26"/>
        </w:rPr>
        <w:t xml:space="preserve">, </w:t>
      </w:r>
      <w:r w:rsidR="00B60011">
        <w:rPr>
          <w:sz w:val="26"/>
          <w:szCs w:val="26"/>
        </w:rPr>
        <w:t>2020</w:t>
      </w:r>
      <w:r>
        <w:rPr>
          <w:sz w:val="26"/>
          <w:szCs w:val="26"/>
        </w:rPr>
        <w:t xml:space="preserve">.  Petitions for intervention must be filed within 10 days of an EDC filing a </w:t>
      </w:r>
      <w:r w:rsidR="00E33E36">
        <w:rPr>
          <w:sz w:val="26"/>
          <w:szCs w:val="26"/>
        </w:rPr>
        <w:t xml:space="preserve">hearing </w:t>
      </w:r>
      <w:r>
        <w:rPr>
          <w:sz w:val="26"/>
          <w:szCs w:val="26"/>
        </w:rPr>
        <w:t xml:space="preserve">request.  </w:t>
      </w:r>
    </w:p>
    <w:p w14:paraId="00DC25A3" w14:textId="77777777" w:rsidR="006D6D04" w:rsidRDefault="006D6D04" w:rsidP="0009548F">
      <w:pPr>
        <w:spacing w:line="360" w:lineRule="auto"/>
        <w:ind w:firstLine="720"/>
        <w:rPr>
          <w:sz w:val="26"/>
          <w:szCs w:val="26"/>
        </w:rPr>
      </w:pPr>
    </w:p>
    <w:p w14:paraId="189C99A3" w14:textId="638EAE8B" w:rsidR="006D6D04" w:rsidRDefault="006D6D04" w:rsidP="0009548F">
      <w:pPr>
        <w:spacing w:line="360" w:lineRule="auto"/>
        <w:ind w:firstLine="720"/>
        <w:rPr>
          <w:sz w:val="26"/>
          <w:szCs w:val="26"/>
        </w:rPr>
      </w:pPr>
      <w:r>
        <w:rPr>
          <w:sz w:val="26"/>
          <w:szCs w:val="26"/>
        </w:rPr>
        <w:t xml:space="preserve">At such hearings, the EDC will have the opportunity to present evidence and argument as to its reasonable consumption </w:t>
      </w:r>
      <w:r w:rsidR="002A1557">
        <w:rPr>
          <w:sz w:val="26"/>
          <w:szCs w:val="26"/>
        </w:rPr>
        <w:t xml:space="preserve">and peak demand </w:t>
      </w:r>
      <w:r>
        <w:rPr>
          <w:sz w:val="26"/>
          <w:szCs w:val="26"/>
        </w:rPr>
        <w:t xml:space="preserve">reduction </w:t>
      </w:r>
      <w:r w:rsidR="002A1557">
        <w:rPr>
          <w:sz w:val="26"/>
          <w:szCs w:val="26"/>
        </w:rPr>
        <w:t>requirements</w:t>
      </w:r>
      <w:r>
        <w:rPr>
          <w:sz w:val="26"/>
          <w:szCs w:val="26"/>
        </w:rPr>
        <w:t xml:space="preserve"> for Phase </w:t>
      </w:r>
      <w:r w:rsidR="0064299C">
        <w:rPr>
          <w:sz w:val="26"/>
          <w:szCs w:val="26"/>
        </w:rPr>
        <w:t>IV</w:t>
      </w:r>
      <w:r>
        <w:rPr>
          <w:sz w:val="26"/>
          <w:szCs w:val="26"/>
        </w:rPr>
        <w:t xml:space="preserve">.  While the Commission will not entertain petitions from other parties, any other party may intervene in the EDC-requested hearing and present evidence.  Given the narrow scope of the proceeding and time constraints, we believe it is appropriate to have certification of the record rather than issuing a recommended decision.  As part of this </w:t>
      </w:r>
      <w:r>
        <w:rPr>
          <w:sz w:val="26"/>
          <w:szCs w:val="26"/>
        </w:rPr>
        <w:lastRenderedPageBreak/>
        <w:t xml:space="preserve">process, the parties will have the opportunity to file main and reply briefs directly to the Commission rather than filing exceptions to a recommended decision.  </w:t>
      </w:r>
    </w:p>
    <w:p w14:paraId="4ABEB744" w14:textId="77777777" w:rsidR="006D6D04" w:rsidRDefault="006D6D04" w:rsidP="0009548F">
      <w:pPr>
        <w:spacing w:line="360" w:lineRule="auto"/>
        <w:ind w:firstLine="720"/>
        <w:rPr>
          <w:sz w:val="26"/>
          <w:szCs w:val="26"/>
        </w:rPr>
      </w:pPr>
    </w:p>
    <w:p w14:paraId="118981C3" w14:textId="7701B556" w:rsidR="006D6D04" w:rsidRDefault="006D6D04" w:rsidP="0009548F">
      <w:pPr>
        <w:spacing w:line="360" w:lineRule="auto"/>
        <w:ind w:firstLine="720"/>
        <w:rPr>
          <w:sz w:val="26"/>
          <w:szCs w:val="26"/>
        </w:rPr>
      </w:pPr>
      <w:r>
        <w:rPr>
          <w:sz w:val="26"/>
          <w:szCs w:val="26"/>
        </w:rPr>
        <w:t>Furthermore</w:t>
      </w:r>
      <w:r w:rsidR="004D3955">
        <w:rPr>
          <w:sz w:val="26"/>
          <w:szCs w:val="26"/>
        </w:rPr>
        <w:t>,</w:t>
      </w:r>
      <w:r>
        <w:rPr>
          <w:sz w:val="26"/>
          <w:szCs w:val="26"/>
        </w:rPr>
        <w:t xml:space="preserve"> we direct the use of administrative counsel from the Commission’s </w:t>
      </w:r>
      <w:r w:rsidR="002A1557">
        <w:rPr>
          <w:sz w:val="26"/>
          <w:szCs w:val="26"/>
        </w:rPr>
        <w:t>L</w:t>
      </w:r>
      <w:r>
        <w:rPr>
          <w:sz w:val="26"/>
          <w:szCs w:val="26"/>
        </w:rPr>
        <w:t xml:space="preserve">aw </w:t>
      </w:r>
      <w:r w:rsidR="002A1557">
        <w:rPr>
          <w:sz w:val="26"/>
          <w:szCs w:val="26"/>
        </w:rPr>
        <w:t>B</w:t>
      </w:r>
      <w:r>
        <w:rPr>
          <w:sz w:val="26"/>
          <w:szCs w:val="26"/>
        </w:rPr>
        <w:t xml:space="preserve">ureau to represent the SWE in </w:t>
      </w:r>
      <w:r w:rsidR="00E33E36">
        <w:rPr>
          <w:sz w:val="26"/>
          <w:szCs w:val="26"/>
        </w:rPr>
        <w:t>the</w:t>
      </w:r>
      <w:r>
        <w:rPr>
          <w:sz w:val="26"/>
          <w:szCs w:val="26"/>
        </w:rPr>
        <w:t xml:space="preserve"> proceedings, to introduce relevant SWE studies into the record, and to assist the SWE in discovery matters.  The Commission believes this expedited process is reasonable and necessary to complete all litigation, including that of the EE&amp;C plan filing</w:t>
      </w:r>
      <w:r w:rsidR="00E33E36">
        <w:rPr>
          <w:sz w:val="26"/>
          <w:szCs w:val="26"/>
        </w:rPr>
        <w:t>s</w:t>
      </w:r>
      <w:r>
        <w:rPr>
          <w:sz w:val="26"/>
          <w:szCs w:val="26"/>
        </w:rPr>
        <w:t xml:space="preserve"> before June 1, </w:t>
      </w:r>
      <w:r w:rsidR="0064299C">
        <w:rPr>
          <w:sz w:val="26"/>
          <w:szCs w:val="26"/>
        </w:rPr>
        <w:t>2021</w:t>
      </w:r>
      <w:r>
        <w:rPr>
          <w:sz w:val="26"/>
          <w:szCs w:val="26"/>
        </w:rPr>
        <w:t xml:space="preserve">, when Phase </w:t>
      </w:r>
      <w:r w:rsidR="007C2C51">
        <w:rPr>
          <w:sz w:val="26"/>
          <w:szCs w:val="26"/>
        </w:rPr>
        <w:t>I</w:t>
      </w:r>
      <w:r w:rsidR="0064299C">
        <w:rPr>
          <w:sz w:val="26"/>
          <w:szCs w:val="26"/>
        </w:rPr>
        <w:t>V</w:t>
      </w:r>
      <w:r>
        <w:rPr>
          <w:sz w:val="26"/>
          <w:szCs w:val="26"/>
        </w:rPr>
        <w:t xml:space="preserve"> </w:t>
      </w:r>
      <w:r w:rsidR="007C2C51">
        <w:rPr>
          <w:sz w:val="26"/>
          <w:szCs w:val="26"/>
        </w:rPr>
        <w:t xml:space="preserve">is to </w:t>
      </w:r>
      <w:r>
        <w:rPr>
          <w:sz w:val="26"/>
          <w:szCs w:val="26"/>
        </w:rPr>
        <w:t>begin.</w:t>
      </w:r>
    </w:p>
    <w:p w14:paraId="6343CDBC" w14:textId="77777777" w:rsidR="00FB00A6" w:rsidRDefault="00FB00A6" w:rsidP="0009548F">
      <w:pPr>
        <w:spacing w:line="360" w:lineRule="auto"/>
        <w:ind w:firstLine="720"/>
        <w:rPr>
          <w:sz w:val="26"/>
          <w:szCs w:val="26"/>
        </w:rPr>
      </w:pPr>
    </w:p>
    <w:p w14:paraId="313DFFFC" w14:textId="77777777" w:rsidR="00EE263C" w:rsidRDefault="00EE263C" w:rsidP="00D63D5E">
      <w:pPr>
        <w:pStyle w:val="Heading3"/>
      </w:pPr>
      <w:bookmarkStart w:id="307" w:name="_Ref33512055"/>
      <w:bookmarkStart w:id="308" w:name="_Toc33782001"/>
      <w:r w:rsidRPr="00DD1373">
        <w:t>Measuring</w:t>
      </w:r>
      <w:r>
        <w:t xml:space="preserve"> Annual Consumption Reductions</w:t>
      </w:r>
      <w:bookmarkEnd w:id="307"/>
      <w:bookmarkEnd w:id="308"/>
    </w:p>
    <w:p w14:paraId="32923AB1" w14:textId="77777777" w:rsidR="00EE263C" w:rsidRDefault="00EE263C" w:rsidP="00EE263C">
      <w:pPr>
        <w:pStyle w:val="p3"/>
        <w:widowControl/>
        <w:tabs>
          <w:tab w:val="clear" w:pos="204"/>
        </w:tabs>
        <w:spacing w:line="360" w:lineRule="auto"/>
        <w:rPr>
          <w:szCs w:val="26"/>
        </w:rPr>
      </w:pPr>
      <w:r w:rsidRPr="00235CED">
        <w:rPr>
          <w:szCs w:val="26"/>
        </w:rPr>
        <w:tab/>
        <w:t xml:space="preserve">Consumption </w:t>
      </w:r>
      <w:r>
        <w:rPr>
          <w:szCs w:val="26"/>
        </w:rPr>
        <w:t xml:space="preserve">reduction for Phase IV </w:t>
      </w:r>
      <w:r w:rsidRPr="00235CED">
        <w:rPr>
          <w:szCs w:val="26"/>
        </w:rPr>
        <w:t>is addressed at 66 Pa. C.S. § 2806.1(c)</w:t>
      </w:r>
      <w:r>
        <w:rPr>
          <w:szCs w:val="26"/>
        </w:rPr>
        <w:t>(3)</w:t>
      </w:r>
      <w:r w:rsidRPr="00235CED">
        <w:rPr>
          <w:szCs w:val="26"/>
        </w:rPr>
        <w:t xml:space="preserve">, which requires </w:t>
      </w:r>
      <w:r>
        <w:rPr>
          <w:szCs w:val="26"/>
        </w:rPr>
        <w:t>that by November 30, 2013, and every five years thereafter, the Commission must adopt additional required incremental reductions in consumption, if the Commission determines that the benefits of the EE&amp;C Program exceed its costs.  For Phase IV of Act 129, the Commission proposes to adopt the five</w:t>
      </w:r>
      <w:r w:rsidRPr="00D429C8">
        <w:rPr>
          <w:szCs w:val="26"/>
        </w:rPr>
        <w:t xml:space="preserve">-year </w:t>
      </w:r>
      <w:r>
        <w:rPr>
          <w:szCs w:val="26"/>
        </w:rPr>
        <w:t xml:space="preserve">energy consumption reduction requirements outlined previously in this Tentative Order.  </w:t>
      </w:r>
    </w:p>
    <w:p w14:paraId="2EE27178" w14:textId="77777777" w:rsidR="00EE263C" w:rsidRDefault="00EE263C" w:rsidP="00EE263C">
      <w:pPr>
        <w:pStyle w:val="p3"/>
        <w:widowControl/>
        <w:tabs>
          <w:tab w:val="clear" w:pos="204"/>
        </w:tabs>
        <w:spacing w:line="360" w:lineRule="auto"/>
        <w:rPr>
          <w:szCs w:val="26"/>
        </w:rPr>
      </w:pPr>
      <w:r>
        <w:rPr>
          <w:szCs w:val="26"/>
        </w:rPr>
        <w:tab/>
      </w:r>
    </w:p>
    <w:p w14:paraId="4027C1EA" w14:textId="5453F915" w:rsidR="00EE263C" w:rsidRDefault="00EE263C" w:rsidP="00EE263C">
      <w:pPr>
        <w:pStyle w:val="p3"/>
        <w:widowControl/>
        <w:tabs>
          <w:tab w:val="clear" w:pos="204"/>
        </w:tabs>
        <w:spacing w:line="360" w:lineRule="auto"/>
      </w:pPr>
      <w:r>
        <w:rPr>
          <w:szCs w:val="26"/>
        </w:rPr>
        <w:tab/>
      </w:r>
      <w:r w:rsidRPr="3792F7D5">
        <w:t>As in Phase</w:t>
      </w:r>
      <w:r>
        <w:t>s</w:t>
      </w:r>
      <w:r w:rsidRPr="3792F7D5">
        <w:t xml:space="preserve"> II and III, the Commission proposes </w:t>
      </w:r>
      <w:r>
        <w:t xml:space="preserve">for Phase IV to continue </w:t>
      </w:r>
      <w:r w:rsidRPr="3792F7D5">
        <w:t xml:space="preserve">the use of the </w:t>
      </w:r>
      <w:r>
        <w:t>same</w:t>
      </w:r>
      <w:r w:rsidRPr="3792F7D5">
        <w:t xml:space="preserve"> savings approach.</w:t>
      </w:r>
      <w:r w:rsidRPr="3792F7D5">
        <w:rPr>
          <w:rStyle w:val="FootnoteReference"/>
        </w:rPr>
        <w:footnoteReference w:id="41"/>
      </w:r>
      <w:r>
        <w:rPr>
          <w:szCs w:val="26"/>
        </w:rPr>
        <w:t xml:space="preserve">  </w:t>
      </w:r>
      <w:r w:rsidRPr="3792F7D5">
        <w:t xml:space="preserve">This approach develops estimates of the weather-normalized annual energy savings that can be expected over the course of a measure’s expected useful life, absent any dual baseline considerations.  This proposal is based on the fact that the results of specific conservation measures </w:t>
      </w:r>
      <w:r>
        <w:t>are</w:t>
      </w:r>
      <w:r w:rsidRPr="3792F7D5">
        <w:t xml:space="preserve"> determined by using the deemed or partially</w:t>
      </w:r>
      <w:r>
        <w:t xml:space="preserve"> </w:t>
      </w:r>
      <w:r w:rsidRPr="3792F7D5">
        <w:t xml:space="preserve">deemed approaches outlined in the </w:t>
      </w:r>
      <w:r>
        <w:t xml:space="preserve">2021 </w:t>
      </w:r>
      <w:r w:rsidRPr="3792F7D5">
        <w:t xml:space="preserve">TRM, which uses calculations derived from studies or measurement methods that already account for extraordinary weather or loads.  Regarding custom measures not included in the </w:t>
      </w:r>
      <w:r>
        <w:t xml:space="preserve">2021 </w:t>
      </w:r>
      <w:r w:rsidRPr="3792F7D5">
        <w:t xml:space="preserve">TRM, the Commission proposes </w:t>
      </w:r>
      <w:r>
        <w:t>for Phase IV of Act 129</w:t>
      </w:r>
      <w:r w:rsidRPr="3792F7D5">
        <w:t xml:space="preserve"> that EDC evaluation contractors continue to estimate weather-normalized annual energy savings that </w:t>
      </w:r>
      <w:r w:rsidR="00F16653" w:rsidRPr="3792F7D5">
        <w:t>consider,</w:t>
      </w:r>
      <w:r>
        <w:rPr>
          <w:szCs w:val="26"/>
        </w:rPr>
        <w:t xml:space="preserve"> </w:t>
      </w:r>
      <w:r w:rsidRPr="3792F7D5">
        <w:t>and control</w:t>
      </w:r>
      <w:r w:rsidR="00F16653">
        <w:t xml:space="preserve"> </w:t>
      </w:r>
      <w:r w:rsidR="00F16653">
        <w:lastRenderedPageBreak/>
        <w:t>for,</w:t>
      </w:r>
      <w:r w:rsidRPr="3792F7D5">
        <w:t xml:space="preserve"> extraordinary weather conditions observed during the measurement and verification period</w:t>
      </w:r>
      <w:r w:rsidRPr="00B1003B">
        <w:rPr>
          <w:szCs w:val="26"/>
        </w:rPr>
        <w:t>.</w:t>
      </w:r>
      <w:r>
        <w:rPr>
          <w:szCs w:val="26"/>
        </w:rPr>
        <w:t xml:space="preserve">  </w:t>
      </w:r>
      <w:r w:rsidRPr="3792F7D5">
        <w:t xml:space="preserve">The Commission continues to believe that this approach negates the need to weather-normalize </w:t>
      </w:r>
      <w:r>
        <w:t>the consumption reduction requirements</w:t>
      </w:r>
      <w:r w:rsidRPr="3792F7D5">
        <w:t xml:space="preserve"> or determine what qualifies as extraordinary load.  </w:t>
      </w:r>
    </w:p>
    <w:p w14:paraId="2AF4091D" w14:textId="659CD420" w:rsidR="0058211B" w:rsidRDefault="0058211B" w:rsidP="00EE263C">
      <w:pPr>
        <w:pStyle w:val="p3"/>
        <w:widowControl/>
        <w:tabs>
          <w:tab w:val="clear" w:pos="204"/>
        </w:tabs>
        <w:spacing w:line="360" w:lineRule="auto"/>
        <w:rPr>
          <w:szCs w:val="26"/>
        </w:rPr>
      </w:pPr>
    </w:p>
    <w:p w14:paraId="3800EF98" w14:textId="365E400F" w:rsidR="006B168D" w:rsidRPr="00576BB0" w:rsidRDefault="006B168D" w:rsidP="00A27588">
      <w:pPr>
        <w:pStyle w:val="Heading2"/>
      </w:pPr>
      <w:bookmarkStart w:id="309" w:name="_Toc33782002"/>
      <w:r w:rsidRPr="00576BB0">
        <w:t>Proposed Reductions in Peak Demand</w:t>
      </w:r>
      <w:bookmarkEnd w:id="309"/>
    </w:p>
    <w:p w14:paraId="16F47988" w14:textId="59CA9440" w:rsidR="006B168D" w:rsidRDefault="006B168D" w:rsidP="00482FAF">
      <w:pPr>
        <w:pStyle w:val="StyleLinespacing15lines"/>
      </w:pPr>
      <w:r w:rsidRPr="00576BB0">
        <w:tab/>
        <w:t>Act 129 required</w:t>
      </w:r>
      <w:r w:rsidRPr="00762D63">
        <w:t xml:space="preserve"> the Commission to, by November 30, 2013, compare the</w:t>
      </w:r>
      <w:r>
        <w:t xml:space="preserve"> total costs of the EDCs’ EE&amp;C P</w:t>
      </w:r>
      <w:r w:rsidRPr="00762D63">
        <w:t xml:space="preserve">lans to the total savings in energy and capacity costs to retail customers or other costs as determined by the Commission.  If the Commission determined that the benefits of the plans exceeded the costs, the Act required the Commission to set additional incremental requirements for reduction in peak demand for the 100 hours of greatest demand, or an alternative reduction approach approved by the Commission.  Any such reductions in peak demand must be measured from the EDC’s peak demand for the period from June 1, 2011 through May 31, 2012.  </w:t>
      </w:r>
      <w:r w:rsidRPr="00762D63">
        <w:rPr>
          <w:i/>
        </w:rPr>
        <w:t xml:space="preserve">See </w:t>
      </w:r>
      <w:r w:rsidRPr="00762D63">
        <w:t>66 Pa. C.S.</w:t>
      </w:r>
      <w:r w:rsidR="00BC73B8">
        <w:t> </w:t>
      </w:r>
      <w:r w:rsidRPr="00762D63">
        <w:t>§</w:t>
      </w:r>
      <w:r>
        <w:t> </w:t>
      </w:r>
      <w:r w:rsidRPr="00762D63">
        <w:t xml:space="preserve">2806.1(d)(2).  </w:t>
      </w:r>
    </w:p>
    <w:p w14:paraId="1BCCF3B1" w14:textId="77777777" w:rsidR="00890383" w:rsidRDefault="00890383" w:rsidP="00482FAF">
      <w:pPr>
        <w:pStyle w:val="StyleLinespacing15lines"/>
      </w:pPr>
    </w:p>
    <w:p w14:paraId="191FA157" w14:textId="3FC1B30F" w:rsidR="00DD1A7A" w:rsidRDefault="00DD1A7A" w:rsidP="00D63D5E">
      <w:pPr>
        <w:pStyle w:val="Heading3"/>
        <w:numPr>
          <w:ilvl w:val="0"/>
          <w:numId w:val="28"/>
        </w:numPr>
      </w:pPr>
      <w:bookmarkStart w:id="310" w:name="_Toc33782003"/>
      <w:bookmarkStart w:id="311" w:name="_Ref33467082"/>
      <w:r>
        <w:t xml:space="preserve">Summary of SWE’s </w:t>
      </w:r>
      <w:r w:rsidR="003B32B3">
        <w:t xml:space="preserve">DDR Potential </w:t>
      </w:r>
      <w:r>
        <w:t>Study</w:t>
      </w:r>
      <w:bookmarkEnd w:id="310"/>
    </w:p>
    <w:p w14:paraId="6D7D4A0A" w14:textId="4ABAAF84" w:rsidR="00DD1A7A" w:rsidRDefault="00DD1A7A" w:rsidP="00DD1A7A">
      <w:pPr>
        <w:pStyle w:val="StyleLinespacing15lines"/>
      </w:pPr>
      <w:r>
        <w:rPr>
          <w:b/>
        </w:rPr>
        <w:tab/>
      </w:r>
      <w:r w:rsidR="00A44AF5" w:rsidRPr="00A44AF5">
        <w:rPr>
          <w:bCs/>
        </w:rPr>
        <w:t>T</w:t>
      </w:r>
      <w:r w:rsidRPr="005D70D0">
        <w:t>he SWE perform</w:t>
      </w:r>
      <w:r w:rsidR="00A44AF5">
        <w:t>ed</w:t>
      </w:r>
      <w:r w:rsidRPr="005D70D0">
        <w:t xml:space="preserve"> a </w:t>
      </w:r>
      <w:r w:rsidR="003B32B3">
        <w:t xml:space="preserve">DDR Potential </w:t>
      </w:r>
      <w:r>
        <w:t>S</w:t>
      </w:r>
      <w:r w:rsidRPr="005D70D0">
        <w:t xml:space="preserve">tudy to determine whether cost-effective potential exists for </w:t>
      </w:r>
      <w:r>
        <w:t xml:space="preserve">Act 129 </w:t>
      </w:r>
      <w:r w:rsidR="00C60246">
        <w:t>D</w:t>
      </w:r>
      <w:r>
        <w:t>DR</w:t>
      </w:r>
      <w:r w:rsidRPr="005D70D0">
        <w:t xml:space="preserve"> programs.  The purpose of the </w:t>
      </w:r>
      <w:r w:rsidR="003B32B3">
        <w:t>DDR</w:t>
      </w:r>
      <w:r w:rsidR="00C60246">
        <w:t xml:space="preserve"> </w:t>
      </w:r>
      <w:r w:rsidR="003B32B3">
        <w:t xml:space="preserve">Potential </w:t>
      </w:r>
      <w:r w:rsidRPr="005D70D0">
        <w:t>Study was to determine the amount of cost-effective</w:t>
      </w:r>
      <w:r w:rsidR="003E44A7">
        <w:t xml:space="preserve"> </w:t>
      </w:r>
      <w:r w:rsidR="00C60246">
        <w:t>D</w:t>
      </w:r>
      <w:r w:rsidRPr="005D70D0">
        <w:t xml:space="preserve">DR potential available in each of the seven EDCs’ service territories.  The Commission directed the SWE </w:t>
      </w:r>
      <w:r>
        <w:t xml:space="preserve">to examine the design of Act 129 programs and how the peak demand reductions achieved might be recognized in the wholesale markets operated by PJM.  The </w:t>
      </w:r>
      <w:r w:rsidR="00C60246">
        <w:t>D</w:t>
      </w:r>
      <w:r>
        <w:t>DR programs implemented in Phase III of Act 129 operated independently of PJM using a day-ahead load forecast trigger</w:t>
      </w:r>
      <w:r>
        <w:rPr>
          <w:rStyle w:val="FootnoteReference"/>
          <w:szCs w:val="26"/>
        </w:rPr>
        <w:footnoteReference w:id="42"/>
      </w:r>
      <w:r>
        <w:t xml:space="preserve"> to determine which days</w:t>
      </w:r>
      <w:r w:rsidR="003E44A7">
        <w:t xml:space="preserve"> </w:t>
      </w:r>
      <w:r>
        <w:t xml:space="preserve">DR events would be called.  However, customers with DR commitments in PJM’s capacity market were also allowed to participate in Phase III </w:t>
      </w:r>
      <w:r w:rsidR="00C60246">
        <w:t>D</w:t>
      </w:r>
      <w:r>
        <w:t xml:space="preserve">DR programs and were compensated from both programs for taking the same singular </w:t>
      </w:r>
      <w:r>
        <w:lastRenderedPageBreak/>
        <w:t xml:space="preserve">action.  The underlying premise of the Phase III design was that the reduced peak loads achieved by Act 129 </w:t>
      </w:r>
      <w:r w:rsidR="00C60246">
        <w:t>D</w:t>
      </w:r>
      <w:r>
        <w:t xml:space="preserve">DR programs would reduce PJM’s peak load forecasts for the zones served by </w:t>
      </w:r>
      <w:r w:rsidR="00662E7C">
        <w:t xml:space="preserve">the </w:t>
      </w:r>
      <w:r>
        <w:t xml:space="preserve">EDCs.  In turn, this reduced summer peak load forecast would reduce the resource requirements and the amount of generation capacity procured on behalf of the Pennsylvania ratepayers.  </w:t>
      </w:r>
    </w:p>
    <w:p w14:paraId="7A8E4DC0" w14:textId="77777777" w:rsidR="00DD1A7A" w:rsidRDefault="00DD1A7A" w:rsidP="00DD1A7A">
      <w:pPr>
        <w:spacing w:line="360" w:lineRule="auto"/>
        <w:rPr>
          <w:sz w:val="26"/>
          <w:szCs w:val="26"/>
        </w:rPr>
      </w:pPr>
    </w:p>
    <w:p w14:paraId="4049C326" w14:textId="063A3C7B" w:rsidR="00DD1A7A" w:rsidRDefault="00DD1A7A" w:rsidP="00DD1A7A">
      <w:pPr>
        <w:spacing w:line="360" w:lineRule="auto"/>
        <w:ind w:firstLine="720"/>
        <w:rPr>
          <w:sz w:val="26"/>
          <w:szCs w:val="26"/>
        </w:rPr>
      </w:pPr>
      <w:r>
        <w:rPr>
          <w:sz w:val="26"/>
          <w:szCs w:val="26"/>
        </w:rPr>
        <w:t xml:space="preserve">While the Phase III design is theoretically sound with respect to the mechanisms by which forward planning and capacity procurement occur at the wholesale level, quantifying and valuing the capacity impacts of Phase III Act 129 </w:t>
      </w:r>
      <w:r w:rsidR="00C60246">
        <w:rPr>
          <w:sz w:val="26"/>
          <w:szCs w:val="26"/>
        </w:rPr>
        <w:t>D</w:t>
      </w:r>
      <w:r>
        <w:rPr>
          <w:sz w:val="26"/>
          <w:szCs w:val="26"/>
        </w:rPr>
        <w:t xml:space="preserve">DR programs has been challenging and </w:t>
      </w:r>
      <w:r w:rsidR="00FF096C">
        <w:rPr>
          <w:sz w:val="26"/>
          <w:szCs w:val="26"/>
        </w:rPr>
        <w:t xml:space="preserve">requires </w:t>
      </w:r>
      <w:r>
        <w:rPr>
          <w:sz w:val="26"/>
          <w:szCs w:val="26"/>
        </w:rPr>
        <w:t xml:space="preserve">several assumptions.  </w:t>
      </w:r>
      <w:r w:rsidRPr="00474FB1">
        <w:rPr>
          <w:sz w:val="26"/>
          <w:szCs w:val="26"/>
        </w:rPr>
        <w:t xml:space="preserve">For </w:t>
      </w:r>
      <w:r>
        <w:rPr>
          <w:sz w:val="26"/>
          <w:szCs w:val="26"/>
        </w:rPr>
        <w:t xml:space="preserve">the Phase IV </w:t>
      </w:r>
      <w:r w:rsidR="003B32B3">
        <w:rPr>
          <w:sz w:val="26"/>
          <w:szCs w:val="26"/>
        </w:rPr>
        <w:t xml:space="preserve">DDR Potential </w:t>
      </w:r>
      <w:r>
        <w:rPr>
          <w:sz w:val="26"/>
          <w:szCs w:val="26"/>
        </w:rPr>
        <w:t>Study</w:t>
      </w:r>
      <w:r w:rsidRPr="00474FB1">
        <w:rPr>
          <w:sz w:val="26"/>
          <w:szCs w:val="26"/>
        </w:rPr>
        <w:t xml:space="preserve">, the SWE elected to model a more coordinated Act 129 </w:t>
      </w:r>
      <w:r w:rsidR="00C60246">
        <w:rPr>
          <w:sz w:val="26"/>
          <w:szCs w:val="26"/>
        </w:rPr>
        <w:t>D</w:t>
      </w:r>
      <w:r w:rsidRPr="00474FB1">
        <w:rPr>
          <w:sz w:val="26"/>
          <w:szCs w:val="26"/>
        </w:rPr>
        <w:t>DR program design that leverages the Peak Shaving Adjustment (PSA) mechanism</w:t>
      </w:r>
      <w:r>
        <w:rPr>
          <w:sz w:val="26"/>
          <w:szCs w:val="26"/>
        </w:rPr>
        <w:t>,</w:t>
      </w:r>
      <w:r>
        <w:rPr>
          <w:rStyle w:val="FootnoteReference"/>
          <w:sz w:val="26"/>
          <w:szCs w:val="26"/>
        </w:rPr>
        <w:footnoteReference w:id="43"/>
      </w:r>
      <w:r w:rsidRPr="00474FB1">
        <w:rPr>
          <w:sz w:val="26"/>
          <w:szCs w:val="26"/>
        </w:rPr>
        <w:t xml:space="preserve"> developed by PJM in 2019.</w:t>
      </w:r>
      <w:r w:rsidR="00FF096C">
        <w:rPr>
          <w:sz w:val="26"/>
          <w:szCs w:val="26"/>
        </w:rPr>
        <w:t xml:space="preserve"> </w:t>
      </w:r>
      <w:r w:rsidRPr="00474FB1">
        <w:rPr>
          <w:sz w:val="26"/>
          <w:szCs w:val="26"/>
        </w:rPr>
        <w:t xml:space="preserve"> This change provides a clear mechanism for Act 129 </w:t>
      </w:r>
      <w:r w:rsidR="00C60246">
        <w:rPr>
          <w:sz w:val="26"/>
          <w:szCs w:val="26"/>
        </w:rPr>
        <w:t>D</w:t>
      </w:r>
      <w:r w:rsidRPr="00474FB1">
        <w:rPr>
          <w:sz w:val="26"/>
          <w:szCs w:val="26"/>
        </w:rPr>
        <w:t>DR to be recognized a</w:t>
      </w:r>
      <w:r>
        <w:rPr>
          <w:sz w:val="26"/>
          <w:szCs w:val="26"/>
        </w:rPr>
        <w:t>t the wholesale level</w:t>
      </w:r>
      <w:r w:rsidRPr="00474FB1">
        <w:rPr>
          <w:sz w:val="26"/>
          <w:szCs w:val="26"/>
        </w:rPr>
        <w:t xml:space="preserve">, but drastically reduces Act 129 </w:t>
      </w:r>
      <w:r w:rsidR="00C60246">
        <w:rPr>
          <w:sz w:val="26"/>
          <w:szCs w:val="26"/>
        </w:rPr>
        <w:t>D</w:t>
      </w:r>
      <w:r w:rsidRPr="00474FB1">
        <w:rPr>
          <w:sz w:val="26"/>
          <w:szCs w:val="26"/>
        </w:rPr>
        <w:t xml:space="preserve">DR potential from the </w:t>
      </w:r>
      <w:r w:rsidR="00FF096C">
        <w:rPr>
          <w:sz w:val="26"/>
          <w:szCs w:val="26"/>
        </w:rPr>
        <w:t>l</w:t>
      </w:r>
      <w:r w:rsidR="00FF096C" w:rsidRPr="00474FB1">
        <w:rPr>
          <w:sz w:val="26"/>
          <w:szCs w:val="26"/>
        </w:rPr>
        <w:t xml:space="preserve">arge </w:t>
      </w:r>
      <w:r w:rsidR="00285CD3">
        <w:rPr>
          <w:sz w:val="26"/>
          <w:szCs w:val="26"/>
        </w:rPr>
        <w:t>C&amp;I</w:t>
      </w:r>
      <w:r w:rsidRPr="00474FB1">
        <w:rPr>
          <w:sz w:val="26"/>
          <w:szCs w:val="26"/>
        </w:rPr>
        <w:t xml:space="preserve"> customer class because it effectively prohibits dual participation in Act 129 </w:t>
      </w:r>
      <w:r w:rsidR="00C60246">
        <w:rPr>
          <w:sz w:val="26"/>
          <w:szCs w:val="26"/>
        </w:rPr>
        <w:t>D</w:t>
      </w:r>
      <w:r w:rsidRPr="00474FB1">
        <w:rPr>
          <w:sz w:val="26"/>
          <w:szCs w:val="26"/>
        </w:rPr>
        <w:t>DR and PJM’s capacity market.</w:t>
      </w:r>
    </w:p>
    <w:p w14:paraId="68D06125" w14:textId="77777777" w:rsidR="00DD1A7A" w:rsidRDefault="00DD1A7A" w:rsidP="00DD1A7A">
      <w:pPr>
        <w:spacing w:line="360" w:lineRule="auto"/>
        <w:ind w:firstLine="720"/>
        <w:rPr>
          <w:sz w:val="26"/>
          <w:szCs w:val="26"/>
        </w:rPr>
      </w:pPr>
    </w:p>
    <w:p w14:paraId="4E79B17A" w14:textId="15E1E961" w:rsidR="00E2782D" w:rsidRDefault="00DD1A7A" w:rsidP="00DD1A7A">
      <w:pPr>
        <w:spacing w:line="360" w:lineRule="auto"/>
        <w:ind w:firstLine="720"/>
        <w:rPr>
          <w:sz w:val="26"/>
          <w:szCs w:val="26"/>
        </w:rPr>
      </w:pPr>
      <w:r>
        <w:rPr>
          <w:sz w:val="26"/>
          <w:szCs w:val="26"/>
        </w:rPr>
        <w:t xml:space="preserve">The </w:t>
      </w:r>
      <w:r w:rsidR="003B32B3">
        <w:rPr>
          <w:sz w:val="26"/>
          <w:szCs w:val="26"/>
        </w:rPr>
        <w:t xml:space="preserve">DDR Potential </w:t>
      </w:r>
      <w:r>
        <w:rPr>
          <w:sz w:val="26"/>
          <w:szCs w:val="26"/>
        </w:rPr>
        <w:t>Study included simulations to determine recommended values for each of the required PSA parameters.  Act 129 peak shaving events were assumed to occur from 3pm to 6pm for the months of June through September on days when the real</w:t>
      </w:r>
      <w:r w:rsidR="00285CD3">
        <w:rPr>
          <w:sz w:val="26"/>
          <w:szCs w:val="26"/>
        </w:rPr>
        <w:noBreakHyphen/>
      </w:r>
      <w:r>
        <w:rPr>
          <w:sz w:val="26"/>
          <w:szCs w:val="26"/>
        </w:rPr>
        <w:t>time temperature humidity index (THI) reached the values shown in</w:t>
      </w:r>
      <w:r w:rsidR="00A44AF5">
        <w:rPr>
          <w:sz w:val="26"/>
          <w:szCs w:val="26"/>
        </w:rPr>
        <w:t xml:space="preserve"> Table 1</w:t>
      </w:r>
      <w:r w:rsidR="004451AB">
        <w:rPr>
          <w:sz w:val="26"/>
          <w:szCs w:val="26"/>
        </w:rPr>
        <w:t>1</w:t>
      </w:r>
      <w:r>
        <w:rPr>
          <w:sz w:val="26"/>
          <w:szCs w:val="26"/>
        </w:rPr>
        <w:t>.</w:t>
      </w:r>
      <w:r>
        <w:rPr>
          <w:rStyle w:val="FootnoteReference"/>
          <w:sz w:val="26"/>
          <w:szCs w:val="26"/>
        </w:rPr>
        <w:footnoteReference w:id="44"/>
      </w:r>
      <w:r>
        <w:rPr>
          <w:sz w:val="26"/>
          <w:szCs w:val="26"/>
        </w:rPr>
        <w:t xml:space="preserve">  These recommended THI thresholds </w:t>
      </w:r>
      <w:r w:rsidR="00C373A6">
        <w:rPr>
          <w:sz w:val="26"/>
          <w:szCs w:val="26"/>
        </w:rPr>
        <w:t>are</w:t>
      </w:r>
      <w:r w:rsidR="00285CD3">
        <w:rPr>
          <w:sz w:val="26"/>
          <w:szCs w:val="26"/>
        </w:rPr>
        <w:t xml:space="preserve"> </w:t>
      </w:r>
      <w:r>
        <w:rPr>
          <w:sz w:val="26"/>
          <w:szCs w:val="26"/>
        </w:rPr>
        <w:t>expected to result in 20-25 hours of peak shaving per summer, on average, based on an analysis of the last twenty years of weather.</w:t>
      </w:r>
    </w:p>
    <w:p w14:paraId="2EE08B9D" w14:textId="75BB581A" w:rsidR="00DD1A7A" w:rsidRDefault="00DD1A7A" w:rsidP="00DD1A7A">
      <w:pPr>
        <w:spacing w:line="360" w:lineRule="auto"/>
        <w:ind w:firstLine="720"/>
        <w:rPr>
          <w:sz w:val="26"/>
          <w:szCs w:val="26"/>
        </w:rPr>
      </w:pPr>
    </w:p>
    <w:p w14:paraId="2F2FE18C" w14:textId="77777777" w:rsidR="008A5BF0" w:rsidRPr="00787CF6" w:rsidRDefault="008A5BF0" w:rsidP="00DD1A7A">
      <w:pPr>
        <w:spacing w:line="360" w:lineRule="auto"/>
        <w:ind w:firstLine="720"/>
        <w:rPr>
          <w:sz w:val="26"/>
          <w:szCs w:val="26"/>
        </w:rPr>
      </w:pPr>
    </w:p>
    <w:p w14:paraId="7758CCC4" w14:textId="16C2EE9B" w:rsidR="00DD1A7A" w:rsidRPr="009D45DB" w:rsidRDefault="00DD1A7A" w:rsidP="00C60246">
      <w:pPr>
        <w:pStyle w:val="Caption"/>
        <w:keepNext/>
        <w:jc w:val="center"/>
        <w:rPr>
          <w:b/>
          <w:bCs/>
          <w:i w:val="0"/>
          <w:iCs w:val="0"/>
          <w:color w:val="auto"/>
          <w:sz w:val="26"/>
          <w:szCs w:val="26"/>
        </w:rPr>
      </w:pPr>
      <w:bookmarkStart w:id="312" w:name="_Ref33507285"/>
      <w:r w:rsidRPr="009D45DB">
        <w:rPr>
          <w:b/>
          <w:bCs/>
          <w:i w:val="0"/>
          <w:iCs w:val="0"/>
          <w:color w:val="auto"/>
          <w:sz w:val="26"/>
          <w:szCs w:val="26"/>
        </w:rPr>
        <w:lastRenderedPageBreak/>
        <w:t>Table</w:t>
      </w:r>
      <w:bookmarkEnd w:id="312"/>
      <w:r w:rsidR="00A44AF5">
        <w:rPr>
          <w:b/>
          <w:bCs/>
          <w:i w:val="0"/>
          <w:iCs w:val="0"/>
          <w:color w:val="auto"/>
          <w:sz w:val="26"/>
          <w:szCs w:val="26"/>
        </w:rPr>
        <w:t xml:space="preserve"> 1</w:t>
      </w:r>
      <w:r w:rsidR="004451AB">
        <w:rPr>
          <w:b/>
          <w:bCs/>
          <w:i w:val="0"/>
          <w:iCs w:val="0"/>
          <w:color w:val="auto"/>
          <w:sz w:val="26"/>
          <w:szCs w:val="26"/>
        </w:rPr>
        <w:t>1</w:t>
      </w:r>
      <w:r w:rsidRPr="009D45DB">
        <w:rPr>
          <w:b/>
          <w:bCs/>
          <w:i w:val="0"/>
          <w:iCs w:val="0"/>
          <w:color w:val="auto"/>
          <w:sz w:val="26"/>
          <w:szCs w:val="26"/>
        </w:rPr>
        <w:t xml:space="preserve">: Optimal THI for Recommended </w:t>
      </w:r>
      <w:r w:rsidR="00C60246">
        <w:rPr>
          <w:b/>
          <w:bCs/>
          <w:i w:val="0"/>
          <w:iCs w:val="0"/>
          <w:color w:val="auto"/>
          <w:sz w:val="26"/>
          <w:szCs w:val="26"/>
        </w:rPr>
        <w:t>D</w:t>
      </w:r>
      <w:r w:rsidRPr="009D45DB">
        <w:rPr>
          <w:b/>
          <w:bCs/>
          <w:i w:val="0"/>
          <w:iCs w:val="0"/>
          <w:color w:val="auto"/>
          <w:sz w:val="26"/>
          <w:szCs w:val="26"/>
        </w:rPr>
        <w:t>DR Program Design, by Zone</w:t>
      </w:r>
    </w:p>
    <w:tbl>
      <w:tblPr>
        <w:tblStyle w:val="DS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599"/>
        <w:gridCol w:w="1795"/>
      </w:tblGrid>
      <w:tr w:rsidR="00DD1A7A" w:rsidRPr="00630668" w14:paraId="1206175F" w14:textId="77777777" w:rsidTr="008E374C">
        <w:trPr>
          <w:cnfStyle w:val="100000000000" w:firstRow="1" w:lastRow="0" w:firstColumn="0" w:lastColumn="0" w:oddVBand="0" w:evenVBand="0" w:oddHBand="0" w:evenHBand="0" w:firstRowFirstColumn="0" w:firstRowLastColumn="0" w:lastRowFirstColumn="0" w:lastRowLastColumn="0"/>
          <w:trHeight w:val="369"/>
          <w:jc w:val="center"/>
        </w:trPr>
        <w:tc>
          <w:tcPr>
            <w:tcW w:w="2091" w:type="dxa"/>
            <w:tcBorders>
              <w:top w:val="nil"/>
              <w:left w:val="nil"/>
              <w:bottom w:val="nil"/>
              <w:right w:val="single" w:sz="4" w:space="0" w:color="FFFFFF" w:themeColor="background1"/>
            </w:tcBorders>
            <w:shd w:val="clear" w:color="auto" w:fill="000000" w:themeFill="text1"/>
            <w:noWrap/>
            <w:hideMark/>
          </w:tcPr>
          <w:p w14:paraId="24B46707" w14:textId="77777777" w:rsidR="00DD1A7A" w:rsidRPr="009A5B03" w:rsidRDefault="00DD1A7A" w:rsidP="008E374C">
            <w:pPr>
              <w:jc w:val="center"/>
              <w:rPr>
                <w:rFonts w:ascii="Times New Roman" w:eastAsia="Times New Roman" w:hAnsi="Times New Roman" w:cs="Times New Roman"/>
                <w:b/>
                <w:sz w:val="26"/>
                <w:szCs w:val="26"/>
              </w:rPr>
            </w:pPr>
            <w:r w:rsidRPr="009A5B03">
              <w:rPr>
                <w:rFonts w:ascii="Times New Roman" w:eastAsia="Times New Roman" w:hAnsi="Times New Roman" w:cs="Times New Roman"/>
                <w:b/>
                <w:sz w:val="26"/>
                <w:szCs w:val="26"/>
              </w:rPr>
              <w:t>EDC</w:t>
            </w:r>
          </w:p>
        </w:tc>
        <w:tc>
          <w:tcPr>
            <w:tcW w:w="1599" w:type="dxa"/>
            <w:tcBorders>
              <w:top w:val="nil"/>
              <w:left w:val="single" w:sz="4" w:space="0" w:color="FFFFFF" w:themeColor="background1"/>
              <w:bottom w:val="nil"/>
              <w:right w:val="single" w:sz="4" w:space="0" w:color="FFFFFF" w:themeColor="background1"/>
            </w:tcBorders>
            <w:shd w:val="clear" w:color="auto" w:fill="000000" w:themeFill="text1"/>
          </w:tcPr>
          <w:p w14:paraId="37E139B5" w14:textId="77777777" w:rsidR="00DD1A7A" w:rsidRPr="009A5B03" w:rsidRDefault="00DD1A7A" w:rsidP="008E374C">
            <w:pPr>
              <w:jc w:val="center"/>
              <w:rPr>
                <w:rFonts w:ascii="Times New Roman" w:eastAsia="Times New Roman" w:hAnsi="Times New Roman" w:cs="Times New Roman"/>
                <w:b/>
                <w:sz w:val="26"/>
                <w:szCs w:val="26"/>
              </w:rPr>
            </w:pPr>
            <w:r w:rsidRPr="009A5B03">
              <w:rPr>
                <w:rFonts w:ascii="Times New Roman" w:eastAsia="Times New Roman" w:hAnsi="Times New Roman" w:cs="Times New Roman"/>
                <w:b/>
                <w:sz w:val="26"/>
                <w:szCs w:val="26"/>
              </w:rPr>
              <w:t>PJM Zone</w:t>
            </w:r>
          </w:p>
        </w:tc>
        <w:tc>
          <w:tcPr>
            <w:tcW w:w="1795" w:type="dxa"/>
            <w:tcBorders>
              <w:top w:val="nil"/>
              <w:left w:val="single" w:sz="4" w:space="0" w:color="FFFFFF" w:themeColor="background1"/>
              <w:bottom w:val="nil"/>
              <w:right w:val="nil"/>
            </w:tcBorders>
            <w:shd w:val="clear" w:color="auto" w:fill="000000" w:themeFill="text1"/>
          </w:tcPr>
          <w:p w14:paraId="566F9724" w14:textId="77777777" w:rsidR="00DD1A7A" w:rsidRPr="009A5B03" w:rsidRDefault="00DD1A7A" w:rsidP="008E374C">
            <w:pPr>
              <w:jc w:val="center"/>
              <w:rPr>
                <w:rFonts w:ascii="Times New Roman" w:eastAsia="Times New Roman" w:hAnsi="Times New Roman" w:cs="Times New Roman"/>
                <w:b/>
                <w:sz w:val="26"/>
                <w:szCs w:val="26"/>
              </w:rPr>
            </w:pPr>
            <w:r w:rsidRPr="009A5B03">
              <w:rPr>
                <w:rFonts w:ascii="Times New Roman" w:eastAsia="Times New Roman" w:hAnsi="Times New Roman" w:cs="Times New Roman"/>
                <w:b/>
                <w:sz w:val="26"/>
                <w:szCs w:val="26"/>
              </w:rPr>
              <w:t>THI Threshold</w:t>
            </w:r>
          </w:p>
        </w:tc>
      </w:tr>
      <w:tr w:rsidR="00532287" w:rsidRPr="00630668" w14:paraId="44C1B241" w14:textId="77777777" w:rsidTr="008E374C">
        <w:trPr>
          <w:trHeight w:val="300"/>
          <w:jc w:val="center"/>
        </w:trPr>
        <w:tc>
          <w:tcPr>
            <w:tcW w:w="2091" w:type="dxa"/>
            <w:tcBorders>
              <w:top w:val="nil"/>
            </w:tcBorders>
            <w:noWrap/>
          </w:tcPr>
          <w:p w14:paraId="3B57F70D" w14:textId="765EE6BB" w:rsidR="00532287" w:rsidRPr="00630668" w:rsidRDefault="00532287" w:rsidP="00532287">
            <w:pPr>
              <w:rPr>
                <w:color w:val="000000"/>
                <w:sz w:val="26"/>
                <w:szCs w:val="26"/>
              </w:rPr>
            </w:pPr>
            <w:r w:rsidRPr="00630668">
              <w:rPr>
                <w:rFonts w:ascii="Times New Roman" w:eastAsia="Times New Roman" w:hAnsi="Times New Roman" w:cs="Times New Roman"/>
                <w:color w:val="000000"/>
                <w:sz w:val="26"/>
                <w:szCs w:val="26"/>
              </w:rPr>
              <w:t>Duquesne Light</w:t>
            </w:r>
          </w:p>
        </w:tc>
        <w:tc>
          <w:tcPr>
            <w:tcW w:w="1599" w:type="dxa"/>
            <w:tcBorders>
              <w:top w:val="nil"/>
            </w:tcBorders>
            <w:vAlign w:val="center"/>
          </w:tcPr>
          <w:p w14:paraId="38AD6F5C" w14:textId="31C68C0B" w:rsidR="00532287" w:rsidRPr="00630668" w:rsidRDefault="00532287" w:rsidP="00532287">
            <w:pPr>
              <w:jc w:val="center"/>
              <w:rPr>
                <w:color w:val="000000"/>
                <w:sz w:val="26"/>
                <w:szCs w:val="26"/>
              </w:rPr>
            </w:pPr>
            <w:r w:rsidRPr="00630668">
              <w:rPr>
                <w:rFonts w:ascii="Times New Roman" w:eastAsia="Times New Roman" w:hAnsi="Times New Roman" w:cs="Times New Roman"/>
                <w:color w:val="000000"/>
                <w:sz w:val="26"/>
                <w:szCs w:val="26"/>
              </w:rPr>
              <w:t>DUQ</w:t>
            </w:r>
          </w:p>
        </w:tc>
        <w:tc>
          <w:tcPr>
            <w:tcW w:w="1795" w:type="dxa"/>
            <w:tcBorders>
              <w:top w:val="nil"/>
            </w:tcBorders>
            <w:vAlign w:val="center"/>
          </w:tcPr>
          <w:p w14:paraId="7095FAC1" w14:textId="28F7626E" w:rsidR="00532287" w:rsidRPr="00630668" w:rsidRDefault="00532287" w:rsidP="00532287">
            <w:pPr>
              <w:jc w:val="center"/>
              <w:rPr>
                <w:color w:val="000000"/>
                <w:sz w:val="26"/>
                <w:szCs w:val="26"/>
              </w:rPr>
            </w:pPr>
            <w:r w:rsidRPr="00630668">
              <w:rPr>
                <w:rFonts w:ascii="Times New Roman" w:eastAsia="Times New Roman" w:hAnsi="Times New Roman" w:cs="Times New Roman"/>
                <w:color w:val="000000"/>
                <w:sz w:val="26"/>
                <w:szCs w:val="26"/>
              </w:rPr>
              <w:t>80.0</w:t>
            </w:r>
          </w:p>
        </w:tc>
      </w:tr>
      <w:tr w:rsidR="00532287" w:rsidRPr="00630668" w14:paraId="25406A02" w14:textId="77777777" w:rsidTr="008E374C">
        <w:trPr>
          <w:trHeight w:val="300"/>
          <w:jc w:val="center"/>
        </w:trPr>
        <w:tc>
          <w:tcPr>
            <w:tcW w:w="2091" w:type="dxa"/>
            <w:tcBorders>
              <w:top w:val="nil"/>
            </w:tcBorders>
            <w:noWrap/>
            <w:hideMark/>
          </w:tcPr>
          <w:p w14:paraId="0EBB6271" w14:textId="77777777" w:rsidR="00532287" w:rsidRPr="00630668" w:rsidRDefault="00532287" w:rsidP="00532287">
            <w:pPr>
              <w:rPr>
                <w:rFonts w:ascii="Times New Roman" w:eastAsia="Times New Roman" w:hAnsi="Times New Roman" w:cs="Times New Roman"/>
                <w:color w:val="000000"/>
                <w:sz w:val="26"/>
                <w:szCs w:val="26"/>
              </w:rPr>
            </w:pPr>
            <w:r w:rsidRPr="00630668">
              <w:rPr>
                <w:rFonts w:ascii="Times New Roman" w:eastAsia="Times New Roman" w:hAnsi="Times New Roman" w:cs="Times New Roman"/>
                <w:color w:val="000000"/>
                <w:sz w:val="26"/>
                <w:szCs w:val="26"/>
              </w:rPr>
              <w:t>PECO</w:t>
            </w:r>
          </w:p>
        </w:tc>
        <w:tc>
          <w:tcPr>
            <w:tcW w:w="1599" w:type="dxa"/>
            <w:tcBorders>
              <w:top w:val="nil"/>
            </w:tcBorders>
            <w:vAlign w:val="center"/>
          </w:tcPr>
          <w:p w14:paraId="45BC551A" w14:textId="77777777" w:rsidR="00532287" w:rsidRPr="00630668" w:rsidRDefault="00532287" w:rsidP="00532287">
            <w:pPr>
              <w:jc w:val="center"/>
              <w:rPr>
                <w:rFonts w:ascii="Times New Roman" w:eastAsia="Times New Roman" w:hAnsi="Times New Roman" w:cs="Times New Roman"/>
                <w:color w:val="000000"/>
                <w:sz w:val="26"/>
                <w:szCs w:val="26"/>
              </w:rPr>
            </w:pPr>
            <w:r w:rsidRPr="00630668">
              <w:rPr>
                <w:rFonts w:ascii="Times New Roman" w:eastAsia="Times New Roman" w:hAnsi="Times New Roman" w:cs="Times New Roman"/>
                <w:color w:val="000000"/>
                <w:sz w:val="26"/>
                <w:szCs w:val="26"/>
              </w:rPr>
              <w:t>PECO</w:t>
            </w:r>
          </w:p>
        </w:tc>
        <w:tc>
          <w:tcPr>
            <w:tcW w:w="1795" w:type="dxa"/>
            <w:tcBorders>
              <w:top w:val="nil"/>
            </w:tcBorders>
            <w:vAlign w:val="center"/>
          </w:tcPr>
          <w:p w14:paraId="6519AE4B" w14:textId="77777777" w:rsidR="00532287" w:rsidRPr="00630668" w:rsidRDefault="00532287" w:rsidP="00532287">
            <w:pPr>
              <w:jc w:val="center"/>
              <w:rPr>
                <w:rFonts w:ascii="Times New Roman" w:eastAsia="Times New Roman" w:hAnsi="Times New Roman" w:cs="Times New Roman"/>
                <w:color w:val="000000"/>
                <w:sz w:val="26"/>
                <w:szCs w:val="26"/>
              </w:rPr>
            </w:pPr>
            <w:r w:rsidRPr="00630668">
              <w:rPr>
                <w:rFonts w:ascii="Times New Roman" w:eastAsia="Times New Roman" w:hAnsi="Times New Roman" w:cs="Times New Roman"/>
                <w:color w:val="000000"/>
                <w:sz w:val="26"/>
                <w:szCs w:val="26"/>
              </w:rPr>
              <w:t>82.5</w:t>
            </w:r>
          </w:p>
        </w:tc>
      </w:tr>
      <w:tr w:rsidR="00532287" w:rsidRPr="00630668" w14:paraId="251BD418" w14:textId="77777777" w:rsidTr="008E374C">
        <w:trPr>
          <w:trHeight w:val="300"/>
          <w:jc w:val="center"/>
        </w:trPr>
        <w:tc>
          <w:tcPr>
            <w:tcW w:w="2091" w:type="dxa"/>
            <w:noWrap/>
            <w:hideMark/>
          </w:tcPr>
          <w:p w14:paraId="332FA4BF" w14:textId="77777777" w:rsidR="00532287" w:rsidRPr="00630668" w:rsidRDefault="00532287" w:rsidP="00532287">
            <w:pPr>
              <w:rPr>
                <w:rFonts w:ascii="Times New Roman" w:eastAsia="Times New Roman" w:hAnsi="Times New Roman" w:cs="Times New Roman"/>
                <w:color w:val="000000"/>
                <w:sz w:val="26"/>
                <w:szCs w:val="26"/>
              </w:rPr>
            </w:pPr>
            <w:r w:rsidRPr="00630668">
              <w:rPr>
                <w:rFonts w:ascii="Times New Roman" w:eastAsia="Times New Roman" w:hAnsi="Times New Roman" w:cs="Times New Roman"/>
                <w:color w:val="000000"/>
                <w:sz w:val="26"/>
                <w:szCs w:val="26"/>
              </w:rPr>
              <w:t>PPL</w:t>
            </w:r>
          </w:p>
        </w:tc>
        <w:tc>
          <w:tcPr>
            <w:tcW w:w="1599" w:type="dxa"/>
            <w:vAlign w:val="center"/>
          </w:tcPr>
          <w:p w14:paraId="45CFFAF1" w14:textId="77777777" w:rsidR="00532287" w:rsidRPr="00630668" w:rsidRDefault="00532287" w:rsidP="00532287">
            <w:pPr>
              <w:jc w:val="center"/>
              <w:rPr>
                <w:rFonts w:ascii="Times New Roman" w:eastAsia="Times New Roman" w:hAnsi="Times New Roman" w:cs="Times New Roman"/>
                <w:color w:val="000000"/>
                <w:sz w:val="26"/>
                <w:szCs w:val="26"/>
              </w:rPr>
            </w:pPr>
            <w:r w:rsidRPr="00630668">
              <w:rPr>
                <w:rFonts w:ascii="Times New Roman" w:eastAsia="Times New Roman" w:hAnsi="Times New Roman" w:cs="Times New Roman"/>
                <w:color w:val="000000"/>
                <w:sz w:val="26"/>
                <w:szCs w:val="26"/>
              </w:rPr>
              <w:t>PPL</w:t>
            </w:r>
          </w:p>
        </w:tc>
        <w:tc>
          <w:tcPr>
            <w:tcW w:w="1795" w:type="dxa"/>
            <w:vAlign w:val="center"/>
          </w:tcPr>
          <w:p w14:paraId="56DADB4C" w14:textId="77777777" w:rsidR="00532287" w:rsidRPr="00630668" w:rsidRDefault="00532287" w:rsidP="00532287">
            <w:pPr>
              <w:jc w:val="center"/>
              <w:rPr>
                <w:rFonts w:ascii="Times New Roman" w:eastAsia="Times New Roman" w:hAnsi="Times New Roman" w:cs="Times New Roman"/>
                <w:color w:val="000000"/>
                <w:sz w:val="26"/>
                <w:szCs w:val="26"/>
              </w:rPr>
            </w:pPr>
            <w:r w:rsidRPr="00630668">
              <w:rPr>
                <w:rFonts w:ascii="Times New Roman" w:eastAsia="Times New Roman" w:hAnsi="Times New Roman" w:cs="Times New Roman"/>
                <w:color w:val="000000"/>
                <w:sz w:val="26"/>
                <w:szCs w:val="26"/>
              </w:rPr>
              <w:t>81.0</w:t>
            </w:r>
          </w:p>
        </w:tc>
      </w:tr>
      <w:tr w:rsidR="00532287" w:rsidRPr="00630668" w14:paraId="72524054" w14:textId="77777777" w:rsidTr="008E374C">
        <w:trPr>
          <w:trHeight w:val="300"/>
          <w:jc w:val="center"/>
        </w:trPr>
        <w:tc>
          <w:tcPr>
            <w:tcW w:w="2091" w:type="dxa"/>
            <w:noWrap/>
            <w:hideMark/>
          </w:tcPr>
          <w:p w14:paraId="24255801" w14:textId="77777777" w:rsidR="00532287" w:rsidRPr="00630668" w:rsidRDefault="00532287" w:rsidP="00532287">
            <w:pPr>
              <w:rPr>
                <w:rFonts w:ascii="Times New Roman" w:eastAsia="Times New Roman" w:hAnsi="Times New Roman" w:cs="Times New Roman"/>
                <w:color w:val="000000"/>
                <w:sz w:val="26"/>
                <w:szCs w:val="26"/>
              </w:rPr>
            </w:pPr>
            <w:r w:rsidRPr="00630668">
              <w:rPr>
                <w:rFonts w:ascii="Times New Roman" w:eastAsia="Times New Roman" w:hAnsi="Times New Roman" w:cs="Times New Roman"/>
                <w:color w:val="000000"/>
                <w:sz w:val="26"/>
                <w:szCs w:val="26"/>
              </w:rPr>
              <w:t>FE: Met-Ed</w:t>
            </w:r>
          </w:p>
        </w:tc>
        <w:tc>
          <w:tcPr>
            <w:tcW w:w="1599" w:type="dxa"/>
            <w:vAlign w:val="center"/>
          </w:tcPr>
          <w:p w14:paraId="47ADDF1A" w14:textId="77777777" w:rsidR="00532287" w:rsidRPr="00630668" w:rsidRDefault="00532287" w:rsidP="00532287">
            <w:pPr>
              <w:jc w:val="center"/>
              <w:rPr>
                <w:rFonts w:ascii="Times New Roman" w:eastAsia="Times New Roman" w:hAnsi="Times New Roman" w:cs="Times New Roman"/>
                <w:color w:val="000000"/>
                <w:sz w:val="26"/>
                <w:szCs w:val="26"/>
              </w:rPr>
            </w:pPr>
            <w:r w:rsidRPr="00630668">
              <w:rPr>
                <w:rFonts w:ascii="Times New Roman" w:eastAsia="Times New Roman" w:hAnsi="Times New Roman" w:cs="Times New Roman"/>
                <w:color w:val="000000"/>
                <w:sz w:val="26"/>
                <w:szCs w:val="26"/>
              </w:rPr>
              <w:t>METED</w:t>
            </w:r>
          </w:p>
        </w:tc>
        <w:tc>
          <w:tcPr>
            <w:tcW w:w="1795" w:type="dxa"/>
            <w:vAlign w:val="center"/>
          </w:tcPr>
          <w:p w14:paraId="7454BFE2" w14:textId="77777777" w:rsidR="00532287" w:rsidRPr="00630668" w:rsidRDefault="00532287" w:rsidP="00532287">
            <w:pPr>
              <w:jc w:val="center"/>
              <w:rPr>
                <w:rFonts w:ascii="Times New Roman" w:eastAsia="Times New Roman" w:hAnsi="Times New Roman" w:cs="Times New Roman"/>
                <w:color w:val="000000"/>
                <w:sz w:val="26"/>
                <w:szCs w:val="26"/>
              </w:rPr>
            </w:pPr>
            <w:r w:rsidRPr="00630668">
              <w:rPr>
                <w:rFonts w:ascii="Times New Roman" w:eastAsia="Times New Roman" w:hAnsi="Times New Roman" w:cs="Times New Roman"/>
                <w:color w:val="000000"/>
                <w:sz w:val="26"/>
                <w:szCs w:val="26"/>
              </w:rPr>
              <w:t>82.0</w:t>
            </w:r>
          </w:p>
        </w:tc>
      </w:tr>
      <w:tr w:rsidR="00532287" w:rsidRPr="00630668" w14:paraId="4D361C07" w14:textId="77777777" w:rsidTr="008E374C">
        <w:trPr>
          <w:trHeight w:val="300"/>
          <w:jc w:val="center"/>
        </w:trPr>
        <w:tc>
          <w:tcPr>
            <w:tcW w:w="2091" w:type="dxa"/>
            <w:noWrap/>
            <w:hideMark/>
          </w:tcPr>
          <w:p w14:paraId="587AC0D6" w14:textId="77777777" w:rsidR="00532287" w:rsidRPr="00630668" w:rsidRDefault="00532287" w:rsidP="00532287">
            <w:pPr>
              <w:rPr>
                <w:rFonts w:ascii="Times New Roman" w:eastAsia="Times New Roman" w:hAnsi="Times New Roman" w:cs="Times New Roman"/>
                <w:color w:val="000000"/>
                <w:sz w:val="26"/>
                <w:szCs w:val="26"/>
              </w:rPr>
            </w:pPr>
            <w:r w:rsidRPr="00630668">
              <w:rPr>
                <w:rFonts w:ascii="Times New Roman" w:eastAsia="Times New Roman" w:hAnsi="Times New Roman" w:cs="Times New Roman"/>
                <w:color w:val="000000"/>
                <w:sz w:val="26"/>
                <w:szCs w:val="26"/>
              </w:rPr>
              <w:t>FE: Penelec</w:t>
            </w:r>
          </w:p>
        </w:tc>
        <w:tc>
          <w:tcPr>
            <w:tcW w:w="1599" w:type="dxa"/>
            <w:vAlign w:val="center"/>
          </w:tcPr>
          <w:p w14:paraId="7844C85A" w14:textId="77777777" w:rsidR="00532287" w:rsidRPr="00630668" w:rsidRDefault="00532287" w:rsidP="00532287">
            <w:pPr>
              <w:jc w:val="center"/>
              <w:rPr>
                <w:rFonts w:ascii="Times New Roman" w:eastAsia="Times New Roman" w:hAnsi="Times New Roman" w:cs="Times New Roman"/>
                <w:color w:val="000000"/>
                <w:sz w:val="26"/>
                <w:szCs w:val="26"/>
              </w:rPr>
            </w:pPr>
            <w:r w:rsidRPr="00630668">
              <w:rPr>
                <w:rFonts w:ascii="Times New Roman" w:eastAsia="Times New Roman" w:hAnsi="Times New Roman" w:cs="Times New Roman"/>
                <w:color w:val="000000"/>
                <w:sz w:val="26"/>
                <w:szCs w:val="26"/>
              </w:rPr>
              <w:t>PN</w:t>
            </w:r>
          </w:p>
        </w:tc>
        <w:tc>
          <w:tcPr>
            <w:tcW w:w="1795" w:type="dxa"/>
            <w:vAlign w:val="center"/>
          </w:tcPr>
          <w:p w14:paraId="01C71325" w14:textId="77777777" w:rsidR="00532287" w:rsidRPr="00630668" w:rsidRDefault="00532287" w:rsidP="00532287">
            <w:pPr>
              <w:jc w:val="center"/>
              <w:rPr>
                <w:rFonts w:ascii="Times New Roman" w:eastAsia="Times New Roman" w:hAnsi="Times New Roman" w:cs="Times New Roman"/>
                <w:color w:val="000000"/>
                <w:sz w:val="26"/>
                <w:szCs w:val="26"/>
              </w:rPr>
            </w:pPr>
            <w:r w:rsidRPr="00630668">
              <w:rPr>
                <w:rFonts w:ascii="Times New Roman" w:eastAsia="Times New Roman" w:hAnsi="Times New Roman" w:cs="Times New Roman"/>
                <w:color w:val="000000"/>
                <w:sz w:val="26"/>
                <w:szCs w:val="26"/>
              </w:rPr>
              <w:t>79.5</w:t>
            </w:r>
          </w:p>
        </w:tc>
      </w:tr>
      <w:tr w:rsidR="00532287" w:rsidRPr="00630668" w14:paraId="012CC05C" w14:textId="77777777" w:rsidTr="008E374C">
        <w:trPr>
          <w:trHeight w:val="300"/>
          <w:jc w:val="center"/>
        </w:trPr>
        <w:tc>
          <w:tcPr>
            <w:tcW w:w="2091" w:type="dxa"/>
            <w:noWrap/>
            <w:hideMark/>
          </w:tcPr>
          <w:p w14:paraId="2FDE0B1E" w14:textId="77777777" w:rsidR="00532287" w:rsidRPr="00630668" w:rsidRDefault="00532287" w:rsidP="00532287">
            <w:pPr>
              <w:rPr>
                <w:rFonts w:ascii="Times New Roman" w:eastAsia="Times New Roman" w:hAnsi="Times New Roman" w:cs="Times New Roman"/>
                <w:color w:val="000000"/>
                <w:sz w:val="26"/>
                <w:szCs w:val="26"/>
              </w:rPr>
            </w:pPr>
            <w:r w:rsidRPr="00630668">
              <w:rPr>
                <w:rFonts w:ascii="Times New Roman" w:eastAsia="Times New Roman" w:hAnsi="Times New Roman" w:cs="Times New Roman"/>
                <w:color w:val="000000"/>
                <w:sz w:val="26"/>
                <w:szCs w:val="26"/>
              </w:rPr>
              <w:t>FE: Penn Power</w:t>
            </w:r>
          </w:p>
        </w:tc>
        <w:tc>
          <w:tcPr>
            <w:tcW w:w="1599" w:type="dxa"/>
            <w:vAlign w:val="center"/>
          </w:tcPr>
          <w:p w14:paraId="745D4ED1" w14:textId="77777777" w:rsidR="00532287" w:rsidRPr="00630668" w:rsidRDefault="00532287" w:rsidP="00532287">
            <w:pPr>
              <w:jc w:val="center"/>
              <w:rPr>
                <w:rFonts w:ascii="Times New Roman" w:eastAsia="Times New Roman" w:hAnsi="Times New Roman" w:cs="Times New Roman"/>
                <w:color w:val="000000"/>
                <w:sz w:val="26"/>
                <w:szCs w:val="26"/>
              </w:rPr>
            </w:pPr>
            <w:r w:rsidRPr="00630668">
              <w:rPr>
                <w:rFonts w:ascii="Times New Roman" w:eastAsia="Times New Roman" w:hAnsi="Times New Roman" w:cs="Times New Roman"/>
                <w:color w:val="000000"/>
                <w:sz w:val="26"/>
                <w:szCs w:val="26"/>
              </w:rPr>
              <w:t>ATSI</w:t>
            </w:r>
          </w:p>
        </w:tc>
        <w:tc>
          <w:tcPr>
            <w:tcW w:w="1795" w:type="dxa"/>
            <w:vAlign w:val="center"/>
          </w:tcPr>
          <w:p w14:paraId="3AA5AEB9" w14:textId="77777777" w:rsidR="00532287" w:rsidRPr="00630668" w:rsidRDefault="00532287" w:rsidP="00532287">
            <w:pPr>
              <w:jc w:val="center"/>
              <w:rPr>
                <w:rFonts w:ascii="Times New Roman" w:eastAsia="Times New Roman" w:hAnsi="Times New Roman" w:cs="Times New Roman"/>
                <w:color w:val="000000"/>
                <w:sz w:val="26"/>
                <w:szCs w:val="26"/>
              </w:rPr>
            </w:pPr>
            <w:r w:rsidRPr="00630668">
              <w:rPr>
                <w:rFonts w:ascii="Times New Roman" w:eastAsia="Times New Roman" w:hAnsi="Times New Roman" w:cs="Times New Roman"/>
                <w:color w:val="000000"/>
                <w:sz w:val="26"/>
                <w:szCs w:val="26"/>
              </w:rPr>
              <w:t>80.0</w:t>
            </w:r>
          </w:p>
        </w:tc>
      </w:tr>
      <w:tr w:rsidR="00532287" w:rsidRPr="00630668" w14:paraId="631FEAD6" w14:textId="77777777" w:rsidTr="008E374C">
        <w:trPr>
          <w:trHeight w:val="300"/>
          <w:jc w:val="center"/>
        </w:trPr>
        <w:tc>
          <w:tcPr>
            <w:tcW w:w="2091" w:type="dxa"/>
            <w:noWrap/>
            <w:hideMark/>
          </w:tcPr>
          <w:p w14:paraId="2CDC3209" w14:textId="77777777" w:rsidR="00532287" w:rsidRPr="00630668" w:rsidRDefault="00532287" w:rsidP="00532287">
            <w:pPr>
              <w:rPr>
                <w:rFonts w:ascii="Times New Roman" w:eastAsia="Times New Roman" w:hAnsi="Times New Roman" w:cs="Times New Roman"/>
                <w:color w:val="000000"/>
                <w:sz w:val="26"/>
                <w:szCs w:val="26"/>
              </w:rPr>
            </w:pPr>
            <w:r w:rsidRPr="00630668">
              <w:rPr>
                <w:rFonts w:ascii="Times New Roman" w:eastAsia="Times New Roman" w:hAnsi="Times New Roman" w:cs="Times New Roman"/>
                <w:color w:val="000000"/>
                <w:sz w:val="26"/>
                <w:szCs w:val="26"/>
              </w:rPr>
              <w:t>FE: West Penn</w:t>
            </w:r>
          </w:p>
        </w:tc>
        <w:tc>
          <w:tcPr>
            <w:tcW w:w="1599" w:type="dxa"/>
            <w:vAlign w:val="center"/>
          </w:tcPr>
          <w:p w14:paraId="167847FC" w14:textId="77777777" w:rsidR="00532287" w:rsidRPr="00630668" w:rsidRDefault="00532287" w:rsidP="00532287">
            <w:pPr>
              <w:jc w:val="center"/>
              <w:rPr>
                <w:rFonts w:ascii="Times New Roman" w:eastAsia="Times New Roman" w:hAnsi="Times New Roman" w:cs="Times New Roman"/>
                <w:color w:val="000000"/>
                <w:sz w:val="26"/>
                <w:szCs w:val="26"/>
              </w:rPr>
            </w:pPr>
            <w:r w:rsidRPr="00630668">
              <w:rPr>
                <w:rFonts w:ascii="Times New Roman" w:eastAsia="Times New Roman" w:hAnsi="Times New Roman" w:cs="Times New Roman"/>
                <w:color w:val="000000"/>
                <w:sz w:val="26"/>
                <w:szCs w:val="26"/>
              </w:rPr>
              <w:t>APS</w:t>
            </w:r>
          </w:p>
        </w:tc>
        <w:tc>
          <w:tcPr>
            <w:tcW w:w="1795" w:type="dxa"/>
            <w:vAlign w:val="center"/>
          </w:tcPr>
          <w:p w14:paraId="1F6E3CD1" w14:textId="77777777" w:rsidR="00532287" w:rsidRPr="00630668" w:rsidRDefault="00532287" w:rsidP="00532287">
            <w:pPr>
              <w:jc w:val="center"/>
              <w:rPr>
                <w:rFonts w:ascii="Times New Roman" w:eastAsia="Times New Roman" w:hAnsi="Times New Roman" w:cs="Times New Roman"/>
                <w:color w:val="000000"/>
                <w:sz w:val="26"/>
                <w:szCs w:val="26"/>
              </w:rPr>
            </w:pPr>
            <w:r w:rsidRPr="00630668">
              <w:rPr>
                <w:rFonts w:ascii="Times New Roman" w:eastAsia="Times New Roman" w:hAnsi="Times New Roman" w:cs="Times New Roman"/>
                <w:color w:val="000000"/>
                <w:sz w:val="26"/>
                <w:szCs w:val="26"/>
              </w:rPr>
              <w:t>80.0</w:t>
            </w:r>
          </w:p>
        </w:tc>
      </w:tr>
    </w:tbl>
    <w:p w14:paraId="5A81122F" w14:textId="77777777" w:rsidR="00DD1A7A" w:rsidRDefault="00DD1A7A" w:rsidP="00DD1A7A">
      <w:pPr>
        <w:spacing w:line="360" w:lineRule="auto"/>
        <w:ind w:firstLine="720"/>
        <w:rPr>
          <w:sz w:val="26"/>
          <w:szCs w:val="26"/>
        </w:rPr>
      </w:pPr>
      <w:r>
        <w:rPr>
          <w:sz w:val="26"/>
          <w:szCs w:val="26"/>
        </w:rPr>
        <w:t xml:space="preserve"> </w:t>
      </w:r>
    </w:p>
    <w:p w14:paraId="1B450B70" w14:textId="275405C1" w:rsidR="00E2782D" w:rsidRDefault="00DD1A7A" w:rsidP="00DD1A7A">
      <w:pPr>
        <w:pStyle w:val="p3"/>
        <w:tabs>
          <w:tab w:val="clear" w:pos="204"/>
        </w:tabs>
        <w:spacing w:line="360" w:lineRule="auto"/>
        <w:ind w:firstLine="720"/>
      </w:pPr>
      <w:r w:rsidRPr="3792F7D5">
        <w:t xml:space="preserve">The SWE provided the recommended PSA parameters to PJM’s Load Forecasting Group for analysis and received expected forecast reductions for each zone.  These forecast impacts were included in the 2021 TRC Test </w:t>
      </w:r>
      <w:r>
        <w:t xml:space="preserve">Final </w:t>
      </w:r>
      <w:r w:rsidRPr="3792F7D5">
        <w:t>Order</w:t>
      </w:r>
      <w:r w:rsidRPr="3792F7D5">
        <w:rPr>
          <w:rStyle w:val="FootnoteReference"/>
        </w:rPr>
        <w:footnoteReference w:id="45"/>
      </w:r>
      <w:r w:rsidRPr="3792F7D5">
        <w:t xml:space="preserve"> and used to model the cost-effectiveness in the </w:t>
      </w:r>
      <w:r w:rsidR="003B32B3">
        <w:t xml:space="preserve">DDR Potential </w:t>
      </w:r>
      <w:r w:rsidRPr="3792F7D5">
        <w:t xml:space="preserve">Study.  All other cost-effectiveness analysis in the </w:t>
      </w:r>
      <w:r w:rsidR="003B32B3">
        <w:t xml:space="preserve">DDR Potential </w:t>
      </w:r>
      <w:r w:rsidRPr="3792F7D5">
        <w:t xml:space="preserve">Study was conducted in accordance with the directives of the 2021 TRC </w:t>
      </w:r>
      <w:r>
        <w:t xml:space="preserve">Test Final </w:t>
      </w:r>
      <w:r w:rsidRPr="3792F7D5">
        <w:t xml:space="preserve">Order, including assumptions regarding the avoided cost of transmission and distribution (T&amp;D) capacity for </w:t>
      </w:r>
      <w:r w:rsidR="00C60246">
        <w:t>D</w:t>
      </w:r>
      <w:r w:rsidRPr="3792F7D5">
        <w:t>DR programs</w:t>
      </w:r>
      <w:r>
        <w:rPr>
          <w:szCs w:val="26"/>
        </w:rPr>
        <w:t xml:space="preserve">. </w:t>
      </w:r>
      <w:r w:rsidRPr="3792F7D5">
        <w:t xml:space="preserve"> </w:t>
      </w:r>
      <w:r w:rsidR="00771FA8">
        <w:t>T</w:t>
      </w:r>
      <w:r w:rsidRPr="3792F7D5">
        <w:t xml:space="preserve">he avoided T&amp;D values used in the </w:t>
      </w:r>
      <w:r w:rsidR="003B32B3">
        <w:t xml:space="preserve">DDR Potential </w:t>
      </w:r>
      <w:r w:rsidRPr="3792F7D5">
        <w:t xml:space="preserve">Study </w:t>
      </w:r>
      <w:r>
        <w:t xml:space="preserve">are provided in </w:t>
      </w:r>
      <w:r w:rsidR="00A44AF5">
        <w:t>Table</w:t>
      </w:r>
      <w:r w:rsidR="00285CD3">
        <w:t>s</w:t>
      </w:r>
      <w:r w:rsidR="00A44AF5">
        <w:t xml:space="preserve"> 1</w:t>
      </w:r>
      <w:r w:rsidR="004451AB">
        <w:t>2</w:t>
      </w:r>
      <w:r w:rsidR="00A44AF5">
        <w:t xml:space="preserve"> </w:t>
      </w:r>
      <w:r>
        <w:t>and</w:t>
      </w:r>
      <w:r w:rsidR="00A44AF5">
        <w:t xml:space="preserve"> 1</w:t>
      </w:r>
      <w:r w:rsidR="004451AB">
        <w:t>3</w:t>
      </w:r>
      <w:r>
        <w:t>.</w:t>
      </w:r>
      <w:r w:rsidRPr="3792F7D5">
        <w:t xml:space="preserve"> </w:t>
      </w:r>
    </w:p>
    <w:p w14:paraId="38DEF447" w14:textId="77777777" w:rsidR="008A5BF0" w:rsidRDefault="008A5BF0" w:rsidP="00DD1A7A">
      <w:pPr>
        <w:pStyle w:val="p3"/>
        <w:tabs>
          <w:tab w:val="clear" w:pos="204"/>
        </w:tabs>
        <w:spacing w:line="360" w:lineRule="auto"/>
        <w:ind w:firstLine="720"/>
        <w:rPr>
          <w:szCs w:val="26"/>
        </w:rPr>
      </w:pPr>
    </w:p>
    <w:p w14:paraId="76191D9D" w14:textId="5D6D7F0C" w:rsidR="00DD1A7A" w:rsidRPr="009D45DB" w:rsidRDefault="00DD1A7A" w:rsidP="00DD1A7A">
      <w:pPr>
        <w:pStyle w:val="Caption"/>
        <w:keepNext/>
        <w:jc w:val="center"/>
        <w:rPr>
          <w:b/>
          <w:bCs/>
          <w:i w:val="0"/>
          <w:iCs w:val="0"/>
          <w:color w:val="auto"/>
          <w:sz w:val="26"/>
          <w:szCs w:val="26"/>
        </w:rPr>
      </w:pPr>
      <w:bookmarkStart w:id="313" w:name="_Ref33507518"/>
      <w:r w:rsidRPr="009D45DB">
        <w:rPr>
          <w:b/>
          <w:bCs/>
          <w:i w:val="0"/>
          <w:iCs w:val="0"/>
          <w:color w:val="auto"/>
          <w:sz w:val="26"/>
          <w:szCs w:val="26"/>
        </w:rPr>
        <w:t>Tabl</w:t>
      </w:r>
      <w:bookmarkEnd w:id="313"/>
      <w:r w:rsidR="00A44AF5">
        <w:rPr>
          <w:b/>
          <w:bCs/>
          <w:i w:val="0"/>
          <w:iCs w:val="0"/>
          <w:color w:val="auto"/>
          <w:sz w:val="26"/>
          <w:szCs w:val="26"/>
        </w:rPr>
        <w:t xml:space="preserve">e </w:t>
      </w:r>
      <w:r w:rsidR="004451AB">
        <w:rPr>
          <w:b/>
          <w:bCs/>
          <w:i w:val="0"/>
          <w:iCs w:val="0"/>
          <w:color w:val="auto"/>
          <w:sz w:val="26"/>
          <w:szCs w:val="26"/>
        </w:rPr>
        <w:t>12</w:t>
      </w:r>
      <w:r w:rsidRPr="009D45DB">
        <w:rPr>
          <w:b/>
          <w:bCs/>
          <w:i w:val="0"/>
          <w:iCs w:val="0"/>
          <w:color w:val="auto"/>
          <w:sz w:val="26"/>
          <w:szCs w:val="26"/>
        </w:rPr>
        <w:t>: Avoided Cost of Transmission Capacity Forecast, by EDC ($/kW-year)</w:t>
      </w:r>
    </w:p>
    <w:tbl>
      <w:tblPr>
        <w:tblStyle w:val="DSATable"/>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1024"/>
        <w:gridCol w:w="1025"/>
        <w:gridCol w:w="1025"/>
        <w:gridCol w:w="1025"/>
        <w:gridCol w:w="1025"/>
        <w:gridCol w:w="1025"/>
        <w:gridCol w:w="1027"/>
      </w:tblGrid>
      <w:tr w:rsidR="00DD1A7A" w:rsidRPr="00B65EFE" w14:paraId="26C4B5AB" w14:textId="77777777" w:rsidTr="008E374C">
        <w:trPr>
          <w:cnfStyle w:val="100000000000" w:firstRow="1" w:lastRow="0" w:firstColumn="0" w:lastColumn="0" w:oddVBand="0" w:evenVBand="0" w:oddHBand="0" w:evenHBand="0" w:firstRowFirstColumn="0" w:firstRowLastColumn="0" w:lastRowFirstColumn="0" w:lastRowLastColumn="0"/>
          <w:trHeight w:val="360"/>
          <w:tblHeader/>
          <w:jc w:val="center"/>
        </w:trPr>
        <w:tc>
          <w:tcPr>
            <w:tcW w:w="1163" w:type="pct"/>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000000" w:themeFill="text1"/>
            <w:noWrap/>
            <w:vAlign w:val="center"/>
          </w:tcPr>
          <w:p w14:paraId="3C9207FF" w14:textId="77777777" w:rsidR="00DD1A7A" w:rsidRPr="009F52F5" w:rsidRDefault="00DD1A7A" w:rsidP="008E374C">
            <w:pPr>
              <w:keepNext/>
              <w:jc w:val="center"/>
              <w:rPr>
                <w:rFonts w:ascii="Times New Roman" w:eastAsia="Times New Roman" w:hAnsi="Times New Roman" w:cs="Times New Roman"/>
                <w:b/>
                <w:sz w:val="26"/>
                <w:szCs w:val="26"/>
              </w:rPr>
            </w:pPr>
            <w:r w:rsidRPr="009F52F5">
              <w:rPr>
                <w:rFonts w:ascii="Times New Roman" w:hAnsi="Times New Roman" w:cs="Times New Roman"/>
                <w:b/>
                <w:sz w:val="26"/>
                <w:szCs w:val="26"/>
              </w:rPr>
              <w:t>Year</w:t>
            </w:r>
          </w:p>
        </w:tc>
        <w:tc>
          <w:tcPr>
            <w:tcW w:w="3837" w:type="pct"/>
            <w:gridSpan w:val="7"/>
            <w:tcBorders>
              <w:top w:val="single" w:sz="4" w:space="0" w:color="auto"/>
              <w:left w:val="single" w:sz="4" w:space="0" w:color="FFFFFF" w:themeColor="background1"/>
              <w:bottom w:val="single" w:sz="4" w:space="0" w:color="FFFFFF" w:themeColor="background1"/>
              <w:right w:val="single" w:sz="4" w:space="0" w:color="auto"/>
            </w:tcBorders>
            <w:shd w:val="clear" w:color="auto" w:fill="000000" w:themeFill="text1"/>
            <w:noWrap/>
            <w:vAlign w:val="center"/>
          </w:tcPr>
          <w:p w14:paraId="49499422" w14:textId="77777777" w:rsidR="00DD1A7A" w:rsidRPr="009F52F5" w:rsidRDefault="00DD1A7A" w:rsidP="008E374C">
            <w:pPr>
              <w:keepNext/>
              <w:jc w:val="center"/>
              <w:rPr>
                <w:rFonts w:ascii="Times New Roman" w:eastAsia="Times New Roman" w:hAnsi="Times New Roman" w:cs="Times New Roman"/>
                <w:b/>
                <w:sz w:val="26"/>
                <w:szCs w:val="26"/>
              </w:rPr>
            </w:pPr>
            <w:r w:rsidRPr="009F52F5">
              <w:rPr>
                <w:rFonts w:ascii="Times New Roman" w:eastAsia="Times New Roman" w:hAnsi="Times New Roman" w:cs="Times New Roman"/>
                <w:b/>
                <w:sz w:val="26"/>
                <w:szCs w:val="26"/>
              </w:rPr>
              <w:t>EDC</w:t>
            </w:r>
          </w:p>
        </w:tc>
      </w:tr>
      <w:tr w:rsidR="00DD1A7A" w:rsidRPr="00B65EFE" w14:paraId="52A34392" w14:textId="77777777" w:rsidTr="008E374C">
        <w:trPr>
          <w:cnfStyle w:val="100000000000" w:firstRow="1" w:lastRow="0" w:firstColumn="0" w:lastColumn="0" w:oddVBand="0" w:evenVBand="0" w:oddHBand="0" w:evenHBand="0" w:firstRowFirstColumn="0" w:firstRowLastColumn="0" w:lastRowFirstColumn="0" w:lastRowLastColumn="0"/>
          <w:trHeight w:val="360"/>
          <w:tblHeader/>
          <w:jc w:val="center"/>
        </w:trPr>
        <w:tc>
          <w:tcPr>
            <w:tcW w:w="1163" w:type="pct"/>
            <w:vMerge/>
            <w:tcBorders>
              <w:top w:val="single" w:sz="4" w:space="0" w:color="FFFFFF" w:themeColor="background1"/>
              <w:left w:val="single" w:sz="4" w:space="0" w:color="auto"/>
              <w:bottom w:val="single" w:sz="4" w:space="0" w:color="auto"/>
              <w:right w:val="single" w:sz="4" w:space="0" w:color="FFFFFF" w:themeColor="background1"/>
            </w:tcBorders>
            <w:shd w:val="clear" w:color="auto" w:fill="000000" w:themeFill="text1"/>
            <w:noWrap/>
            <w:vAlign w:val="center"/>
          </w:tcPr>
          <w:p w14:paraId="637A2860" w14:textId="77777777" w:rsidR="00DD1A7A" w:rsidRPr="009F52F5" w:rsidRDefault="00DD1A7A" w:rsidP="008E374C">
            <w:pPr>
              <w:keepNext/>
              <w:jc w:val="center"/>
              <w:rPr>
                <w:rFonts w:ascii="Times New Roman" w:hAnsi="Times New Roman" w:cs="Times New Roman"/>
                <w:b/>
                <w:sz w:val="26"/>
                <w:szCs w:val="26"/>
              </w:rPr>
            </w:pPr>
          </w:p>
        </w:tc>
        <w:tc>
          <w:tcPr>
            <w:tcW w:w="54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tcPr>
          <w:p w14:paraId="606BE11C" w14:textId="77777777" w:rsidR="00DD1A7A" w:rsidRPr="009F52F5" w:rsidRDefault="00DD1A7A" w:rsidP="008E374C">
            <w:pPr>
              <w:keepNext/>
              <w:jc w:val="center"/>
              <w:rPr>
                <w:rFonts w:ascii="Times New Roman" w:hAnsi="Times New Roman" w:cs="Times New Roman"/>
                <w:b/>
                <w:sz w:val="26"/>
                <w:szCs w:val="26"/>
              </w:rPr>
            </w:pPr>
            <w:r w:rsidRPr="009F52F5">
              <w:rPr>
                <w:rFonts w:ascii="Times New Roman" w:hAnsi="Times New Roman" w:cs="Times New Roman"/>
                <w:b/>
                <w:sz w:val="26"/>
                <w:szCs w:val="26"/>
              </w:rPr>
              <w:t>DLC</w:t>
            </w:r>
          </w:p>
        </w:tc>
        <w:tc>
          <w:tcPr>
            <w:tcW w:w="54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tcPr>
          <w:p w14:paraId="25A7E124" w14:textId="77777777" w:rsidR="00DD1A7A" w:rsidRPr="009F52F5" w:rsidRDefault="00DD1A7A" w:rsidP="008E374C">
            <w:pPr>
              <w:keepNext/>
              <w:jc w:val="center"/>
              <w:rPr>
                <w:rFonts w:ascii="Times New Roman" w:hAnsi="Times New Roman" w:cs="Times New Roman"/>
                <w:b/>
                <w:sz w:val="26"/>
                <w:szCs w:val="26"/>
              </w:rPr>
            </w:pPr>
            <w:r w:rsidRPr="009F52F5">
              <w:rPr>
                <w:rFonts w:ascii="Times New Roman" w:hAnsi="Times New Roman" w:cs="Times New Roman"/>
                <w:b/>
                <w:sz w:val="26"/>
                <w:szCs w:val="26"/>
              </w:rPr>
              <w:t>PECO</w:t>
            </w:r>
          </w:p>
        </w:tc>
        <w:tc>
          <w:tcPr>
            <w:tcW w:w="54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tcPr>
          <w:p w14:paraId="3474E01F" w14:textId="77777777" w:rsidR="00DD1A7A" w:rsidRPr="009F52F5" w:rsidRDefault="00DD1A7A" w:rsidP="008E374C">
            <w:pPr>
              <w:keepNext/>
              <w:jc w:val="center"/>
              <w:rPr>
                <w:rFonts w:ascii="Times New Roman" w:hAnsi="Times New Roman" w:cs="Times New Roman"/>
                <w:b/>
                <w:sz w:val="26"/>
                <w:szCs w:val="26"/>
              </w:rPr>
            </w:pPr>
            <w:r w:rsidRPr="009F52F5">
              <w:rPr>
                <w:rFonts w:ascii="Times New Roman" w:hAnsi="Times New Roman" w:cs="Times New Roman"/>
                <w:b/>
                <w:sz w:val="26"/>
                <w:szCs w:val="26"/>
              </w:rPr>
              <w:t>PPL</w:t>
            </w:r>
          </w:p>
        </w:tc>
        <w:tc>
          <w:tcPr>
            <w:tcW w:w="54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tcPr>
          <w:p w14:paraId="02C6C807" w14:textId="77777777" w:rsidR="00DD1A7A" w:rsidRPr="009F52F5" w:rsidRDefault="00DD1A7A" w:rsidP="008E374C">
            <w:pPr>
              <w:keepNext/>
              <w:jc w:val="center"/>
              <w:rPr>
                <w:rFonts w:ascii="Times New Roman" w:hAnsi="Times New Roman" w:cs="Times New Roman"/>
                <w:b/>
                <w:sz w:val="26"/>
                <w:szCs w:val="26"/>
              </w:rPr>
            </w:pPr>
            <w:r w:rsidRPr="009F52F5">
              <w:rPr>
                <w:rFonts w:ascii="Times New Roman" w:hAnsi="Times New Roman" w:cs="Times New Roman"/>
                <w:b/>
                <w:sz w:val="26"/>
                <w:szCs w:val="26"/>
              </w:rPr>
              <w:t>ME</w:t>
            </w:r>
          </w:p>
        </w:tc>
        <w:tc>
          <w:tcPr>
            <w:tcW w:w="54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tcPr>
          <w:p w14:paraId="1EF461F4" w14:textId="77777777" w:rsidR="00DD1A7A" w:rsidRPr="009F52F5" w:rsidRDefault="00DD1A7A" w:rsidP="008E374C">
            <w:pPr>
              <w:keepNext/>
              <w:jc w:val="center"/>
              <w:rPr>
                <w:rFonts w:ascii="Times New Roman" w:hAnsi="Times New Roman" w:cs="Times New Roman"/>
                <w:b/>
                <w:sz w:val="26"/>
                <w:szCs w:val="26"/>
              </w:rPr>
            </w:pPr>
            <w:r w:rsidRPr="009F52F5">
              <w:rPr>
                <w:rFonts w:ascii="Times New Roman" w:hAnsi="Times New Roman" w:cs="Times New Roman"/>
                <w:b/>
                <w:sz w:val="26"/>
                <w:szCs w:val="26"/>
              </w:rPr>
              <w:t>PN</w:t>
            </w:r>
          </w:p>
        </w:tc>
        <w:tc>
          <w:tcPr>
            <w:tcW w:w="54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14:paraId="205E83F8" w14:textId="77777777" w:rsidR="00DD1A7A" w:rsidRPr="009F52F5" w:rsidRDefault="00DD1A7A" w:rsidP="008E374C">
            <w:pPr>
              <w:keepNext/>
              <w:jc w:val="center"/>
              <w:rPr>
                <w:rFonts w:ascii="Times New Roman" w:hAnsi="Times New Roman" w:cs="Times New Roman"/>
                <w:b/>
                <w:sz w:val="26"/>
                <w:szCs w:val="26"/>
              </w:rPr>
            </w:pPr>
            <w:r w:rsidRPr="009F52F5">
              <w:rPr>
                <w:rFonts w:ascii="Times New Roman" w:hAnsi="Times New Roman" w:cs="Times New Roman"/>
                <w:b/>
                <w:sz w:val="26"/>
                <w:szCs w:val="26"/>
              </w:rPr>
              <w:t>PP</w:t>
            </w:r>
          </w:p>
        </w:tc>
        <w:tc>
          <w:tcPr>
            <w:tcW w:w="549" w:type="pct"/>
            <w:tcBorders>
              <w:top w:val="single" w:sz="4" w:space="0" w:color="FFFFFF" w:themeColor="background1"/>
              <w:left w:val="single" w:sz="4" w:space="0" w:color="FFFFFF" w:themeColor="background1"/>
              <w:bottom w:val="single" w:sz="4" w:space="0" w:color="auto"/>
              <w:right w:val="single" w:sz="4" w:space="0" w:color="auto"/>
            </w:tcBorders>
            <w:shd w:val="clear" w:color="auto" w:fill="000000" w:themeFill="text1"/>
            <w:vAlign w:val="center"/>
          </w:tcPr>
          <w:p w14:paraId="64F97FA8" w14:textId="77777777" w:rsidR="00DD1A7A" w:rsidRPr="009F52F5" w:rsidRDefault="00DD1A7A" w:rsidP="008E374C">
            <w:pPr>
              <w:keepNext/>
              <w:jc w:val="center"/>
              <w:rPr>
                <w:rFonts w:ascii="Times New Roman" w:hAnsi="Times New Roman" w:cs="Times New Roman"/>
                <w:b/>
                <w:sz w:val="26"/>
                <w:szCs w:val="26"/>
              </w:rPr>
            </w:pPr>
            <w:r w:rsidRPr="009F52F5">
              <w:rPr>
                <w:rFonts w:ascii="Times New Roman" w:hAnsi="Times New Roman" w:cs="Times New Roman"/>
                <w:b/>
                <w:sz w:val="26"/>
                <w:szCs w:val="26"/>
              </w:rPr>
              <w:t>WPP</w:t>
            </w:r>
          </w:p>
        </w:tc>
      </w:tr>
      <w:tr w:rsidR="00DD1A7A" w:rsidRPr="00B65EFE" w14:paraId="4EFA25A1" w14:textId="77777777" w:rsidTr="008E374C">
        <w:trPr>
          <w:cnfStyle w:val="000000100000" w:firstRow="0" w:lastRow="0" w:firstColumn="0" w:lastColumn="0" w:oddVBand="0" w:evenVBand="0" w:oddHBand="1" w:evenHBand="0" w:firstRowFirstColumn="0" w:firstRowLastColumn="0" w:lastRowFirstColumn="0" w:lastRowLastColumn="0"/>
          <w:trHeight w:val="360"/>
          <w:jc w:val="center"/>
        </w:trPr>
        <w:tc>
          <w:tcPr>
            <w:tcW w:w="1163" w:type="pct"/>
            <w:tcBorders>
              <w:top w:val="single" w:sz="4" w:space="0" w:color="auto"/>
            </w:tcBorders>
            <w:noWrap/>
            <w:vAlign w:val="center"/>
          </w:tcPr>
          <w:p w14:paraId="5C641553" w14:textId="77777777" w:rsidR="00DD1A7A" w:rsidRPr="009F52F5" w:rsidRDefault="00DD1A7A" w:rsidP="008E374C">
            <w:pPr>
              <w:keepNext/>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PY13 (2021-2022)</w:t>
            </w:r>
          </w:p>
        </w:tc>
        <w:tc>
          <w:tcPr>
            <w:tcW w:w="548" w:type="pct"/>
            <w:tcBorders>
              <w:top w:val="single" w:sz="4" w:space="0" w:color="auto"/>
            </w:tcBorders>
            <w:noWrap/>
            <w:vAlign w:val="center"/>
          </w:tcPr>
          <w:p w14:paraId="0692F077"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$18.76</w:t>
            </w:r>
          </w:p>
        </w:tc>
        <w:tc>
          <w:tcPr>
            <w:tcW w:w="548" w:type="pct"/>
            <w:tcBorders>
              <w:top w:val="single" w:sz="4" w:space="0" w:color="auto"/>
            </w:tcBorders>
            <w:noWrap/>
            <w:vAlign w:val="center"/>
          </w:tcPr>
          <w:p w14:paraId="4E1FBA81"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$14.97</w:t>
            </w:r>
          </w:p>
        </w:tc>
        <w:tc>
          <w:tcPr>
            <w:tcW w:w="548" w:type="pct"/>
            <w:tcBorders>
              <w:top w:val="single" w:sz="4" w:space="0" w:color="auto"/>
            </w:tcBorders>
            <w:noWrap/>
            <w:vAlign w:val="center"/>
          </w:tcPr>
          <w:p w14:paraId="3242C653"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$0.00</w:t>
            </w:r>
          </w:p>
        </w:tc>
        <w:tc>
          <w:tcPr>
            <w:tcW w:w="548" w:type="pct"/>
            <w:tcBorders>
              <w:top w:val="single" w:sz="4" w:space="0" w:color="auto"/>
            </w:tcBorders>
            <w:noWrap/>
            <w:vAlign w:val="center"/>
          </w:tcPr>
          <w:p w14:paraId="46BF215D"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$15.05</w:t>
            </w:r>
          </w:p>
        </w:tc>
        <w:tc>
          <w:tcPr>
            <w:tcW w:w="548" w:type="pct"/>
            <w:tcBorders>
              <w:top w:val="single" w:sz="4" w:space="0" w:color="auto"/>
            </w:tcBorders>
            <w:noWrap/>
            <w:vAlign w:val="center"/>
          </w:tcPr>
          <w:p w14:paraId="2D6FC401"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$18.25</w:t>
            </w:r>
          </w:p>
        </w:tc>
        <w:tc>
          <w:tcPr>
            <w:tcW w:w="548" w:type="pct"/>
            <w:tcBorders>
              <w:top w:val="single" w:sz="4" w:space="0" w:color="auto"/>
            </w:tcBorders>
            <w:vAlign w:val="center"/>
          </w:tcPr>
          <w:p w14:paraId="33BF1E53"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$0.00</w:t>
            </w:r>
          </w:p>
        </w:tc>
        <w:tc>
          <w:tcPr>
            <w:tcW w:w="549" w:type="pct"/>
            <w:tcBorders>
              <w:top w:val="single" w:sz="4" w:space="0" w:color="auto"/>
            </w:tcBorders>
            <w:vAlign w:val="center"/>
          </w:tcPr>
          <w:p w14:paraId="45FB2653"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$0.10</w:t>
            </w:r>
          </w:p>
        </w:tc>
      </w:tr>
      <w:tr w:rsidR="00DD1A7A" w:rsidRPr="00B65EFE" w14:paraId="4A3FDA40" w14:textId="77777777" w:rsidTr="008E374C">
        <w:trPr>
          <w:trHeight w:val="360"/>
          <w:jc w:val="center"/>
        </w:trPr>
        <w:tc>
          <w:tcPr>
            <w:tcW w:w="1163" w:type="pct"/>
            <w:noWrap/>
            <w:vAlign w:val="center"/>
          </w:tcPr>
          <w:p w14:paraId="6D826568" w14:textId="77777777" w:rsidR="00DD1A7A" w:rsidRPr="009F52F5" w:rsidRDefault="00DD1A7A" w:rsidP="008E374C">
            <w:pPr>
              <w:keepNext/>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PY14 (2022-2023)</w:t>
            </w:r>
          </w:p>
        </w:tc>
        <w:tc>
          <w:tcPr>
            <w:tcW w:w="548" w:type="pct"/>
            <w:noWrap/>
            <w:vAlign w:val="center"/>
          </w:tcPr>
          <w:p w14:paraId="3E793168"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$19.14</w:t>
            </w:r>
          </w:p>
        </w:tc>
        <w:tc>
          <w:tcPr>
            <w:tcW w:w="548" w:type="pct"/>
            <w:noWrap/>
            <w:vAlign w:val="center"/>
          </w:tcPr>
          <w:p w14:paraId="4A69288A"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$15.27</w:t>
            </w:r>
          </w:p>
        </w:tc>
        <w:tc>
          <w:tcPr>
            <w:tcW w:w="548" w:type="pct"/>
            <w:noWrap/>
            <w:vAlign w:val="center"/>
          </w:tcPr>
          <w:p w14:paraId="3F451418"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$0.00</w:t>
            </w:r>
          </w:p>
        </w:tc>
        <w:tc>
          <w:tcPr>
            <w:tcW w:w="548" w:type="pct"/>
            <w:noWrap/>
            <w:vAlign w:val="center"/>
          </w:tcPr>
          <w:p w14:paraId="5820AE04"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$15.35</w:t>
            </w:r>
          </w:p>
        </w:tc>
        <w:tc>
          <w:tcPr>
            <w:tcW w:w="548" w:type="pct"/>
            <w:noWrap/>
            <w:vAlign w:val="center"/>
          </w:tcPr>
          <w:p w14:paraId="78C0AC5C"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$18.61</w:t>
            </w:r>
          </w:p>
        </w:tc>
        <w:tc>
          <w:tcPr>
            <w:tcW w:w="548" w:type="pct"/>
            <w:vAlign w:val="center"/>
          </w:tcPr>
          <w:p w14:paraId="12A14E9E"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$0.00</w:t>
            </w:r>
          </w:p>
        </w:tc>
        <w:tc>
          <w:tcPr>
            <w:tcW w:w="549" w:type="pct"/>
            <w:vAlign w:val="center"/>
          </w:tcPr>
          <w:p w14:paraId="5151CD5A"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$0.10</w:t>
            </w:r>
          </w:p>
        </w:tc>
      </w:tr>
      <w:tr w:rsidR="00DD1A7A" w:rsidRPr="00B65EFE" w14:paraId="7A2BE94A" w14:textId="77777777" w:rsidTr="008E374C">
        <w:trPr>
          <w:cnfStyle w:val="000000100000" w:firstRow="0" w:lastRow="0" w:firstColumn="0" w:lastColumn="0" w:oddVBand="0" w:evenVBand="0" w:oddHBand="1" w:evenHBand="0" w:firstRowFirstColumn="0" w:firstRowLastColumn="0" w:lastRowFirstColumn="0" w:lastRowLastColumn="0"/>
          <w:trHeight w:val="360"/>
          <w:jc w:val="center"/>
        </w:trPr>
        <w:tc>
          <w:tcPr>
            <w:tcW w:w="1163" w:type="pct"/>
            <w:noWrap/>
            <w:vAlign w:val="center"/>
          </w:tcPr>
          <w:p w14:paraId="0EA499F3" w14:textId="77777777" w:rsidR="00DD1A7A" w:rsidRPr="009F52F5" w:rsidRDefault="00DD1A7A" w:rsidP="008E374C">
            <w:pPr>
              <w:keepNext/>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PY15 (2023-2024)</w:t>
            </w:r>
          </w:p>
        </w:tc>
        <w:tc>
          <w:tcPr>
            <w:tcW w:w="548" w:type="pct"/>
            <w:noWrap/>
            <w:vAlign w:val="center"/>
          </w:tcPr>
          <w:p w14:paraId="5BB2CACE"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$19.52</w:t>
            </w:r>
          </w:p>
        </w:tc>
        <w:tc>
          <w:tcPr>
            <w:tcW w:w="548" w:type="pct"/>
            <w:noWrap/>
            <w:vAlign w:val="center"/>
          </w:tcPr>
          <w:p w14:paraId="751B1E45"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$15.58</w:t>
            </w:r>
          </w:p>
        </w:tc>
        <w:tc>
          <w:tcPr>
            <w:tcW w:w="548" w:type="pct"/>
            <w:noWrap/>
            <w:vAlign w:val="center"/>
          </w:tcPr>
          <w:p w14:paraId="2C652A50"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$0.00</w:t>
            </w:r>
          </w:p>
        </w:tc>
        <w:tc>
          <w:tcPr>
            <w:tcW w:w="548" w:type="pct"/>
            <w:noWrap/>
            <w:vAlign w:val="center"/>
          </w:tcPr>
          <w:p w14:paraId="4015129C"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$15.65</w:t>
            </w:r>
          </w:p>
        </w:tc>
        <w:tc>
          <w:tcPr>
            <w:tcW w:w="548" w:type="pct"/>
            <w:noWrap/>
            <w:vAlign w:val="center"/>
          </w:tcPr>
          <w:p w14:paraId="0377B275"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$18.98</w:t>
            </w:r>
          </w:p>
        </w:tc>
        <w:tc>
          <w:tcPr>
            <w:tcW w:w="548" w:type="pct"/>
            <w:vAlign w:val="center"/>
          </w:tcPr>
          <w:p w14:paraId="2205E66E"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$0.00</w:t>
            </w:r>
          </w:p>
        </w:tc>
        <w:tc>
          <w:tcPr>
            <w:tcW w:w="549" w:type="pct"/>
            <w:vAlign w:val="center"/>
          </w:tcPr>
          <w:p w14:paraId="5765DF14"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$0.10</w:t>
            </w:r>
          </w:p>
        </w:tc>
      </w:tr>
      <w:tr w:rsidR="00DD1A7A" w:rsidRPr="00B65EFE" w14:paraId="1D202493" w14:textId="77777777" w:rsidTr="008E374C">
        <w:trPr>
          <w:trHeight w:val="360"/>
          <w:jc w:val="center"/>
        </w:trPr>
        <w:tc>
          <w:tcPr>
            <w:tcW w:w="1163" w:type="pct"/>
            <w:noWrap/>
            <w:vAlign w:val="center"/>
          </w:tcPr>
          <w:p w14:paraId="01A1B2B9" w14:textId="77777777" w:rsidR="00DD1A7A" w:rsidRPr="009F52F5" w:rsidRDefault="00DD1A7A" w:rsidP="008E374C">
            <w:pPr>
              <w:keepNext/>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PY16 (2024-2025)</w:t>
            </w:r>
          </w:p>
        </w:tc>
        <w:tc>
          <w:tcPr>
            <w:tcW w:w="548" w:type="pct"/>
            <w:noWrap/>
            <w:vAlign w:val="center"/>
          </w:tcPr>
          <w:p w14:paraId="335219FB"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$19.91</w:t>
            </w:r>
          </w:p>
        </w:tc>
        <w:tc>
          <w:tcPr>
            <w:tcW w:w="548" w:type="pct"/>
            <w:noWrap/>
            <w:vAlign w:val="center"/>
          </w:tcPr>
          <w:p w14:paraId="6FBB838E"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$15.89</w:t>
            </w:r>
          </w:p>
        </w:tc>
        <w:tc>
          <w:tcPr>
            <w:tcW w:w="548" w:type="pct"/>
            <w:noWrap/>
            <w:vAlign w:val="center"/>
          </w:tcPr>
          <w:p w14:paraId="07B2CDF8"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$0.00</w:t>
            </w:r>
          </w:p>
        </w:tc>
        <w:tc>
          <w:tcPr>
            <w:tcW w:w="548" w:type="pct"/>
            <w:noWrap/>
            <w:vAlign w:val="center"/>
          </w:tcPr>
          <w:p w14:paraId="71946A33"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$15.97</w:t>
            </w:r>
          </w:p>
        </w:tc>
        <w:tc>
          <w:tcPr>
            <w:tcW w:w="548" w:type="pct"/>
            <w:noWrap/>
            <w:vAlign w:val="center"/>
          </w:tcPr>
          <w:p w14:paraId="65BB0ED3"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$19.36</w:t>
            </w:r>
          </w:p>
        </w:tc>
        <w:tc>
          <w:tcPr>
            <w:tcW w:w="548" w:type="pct"/>
            <w:vAlign w:val="center"/>
          </w:tcPr>
          <w:p w14:paraId="5434AEDC"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$0.00</w:t>
            </w:r>
          </w:p>
        </w:tc>
        <w:tc>
          <w:tcPr>
            <w:tcW w:w="549" w:type="pct"/>
            <w:vAlign w:val="center"/>
          </w:tcPr>
          <w:p w14:paraId="04251195"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$0.11</w:t>
            </w:r>
          </w:p>
        </w:tc>
      </w:tr>
      <w:tr w:rsidR="00DD1A7A" w:rsidRPr="00B65EFE" w14:paraId="2B236172" w14:textId="77777777" w:rsidTr="008E374C">
        <w:trPr>
          <w:cnfStyle w:val="000000100000" w:firstRow="0" w:lastRow="0" w:firstColumn="0" w:lastColumn="0" w:oddVBand="0" w:evenVBand="0" w:oddHBand="1" w:evenHBand="0" w:firstRowFirstColumn="0" w:firstRowLastColumn="0" w:lastRowFirstColumn="0" w:lastRowLastColumn="0"/>
          <w:trHeight w:val="360"/>
          <w:jc w:val="center"/>
        </w:trPr>
        <w:tc>
          <w:tcPr>
            <w:tcW w:w="1163" w:type="pct"/>
            <w:noWrap/>
            <w:vAlign w:val="center"/>
          </w:tcPr>
          <w:p w14:paraId="7527CBA7" w14:textId="77777777" w:rsidR="00DD1A7A" w:rsidRPr="009F52F5" w:rsidRDefault="00DD1A7A" w:rsidP="008E374C">
            <w:pPr>
              <w:keepNext/>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PY17 (2025-2026)</w:t>
            </w:r>
          </w:p>
        </w:tc>
        <w:tc>
          <w:tcPr>
            <w:tcW w:w="548" w:type="pct"/>
            <w:noWrap/>
            <w:vAlign w:val="center"/>
          </w:tcPr>
          <w:p w14:paraId="12BCC4F9"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$20.31</w:t>
            </w:r>
          </w:p>
        </w:tc>
        <w:tc>
          <w:tcPr>
            <w:tcW w:w="548" w:type="pct"/>
            <w:noWrap/>
            <w:vAlign w:val="center"/>
          </w:tcPr>
          <w:p w14:paraId="6EDD4F4F"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$16.21</w:t>
            </w:r>
          </w:p>
        </w:tc>
        <w:tc>
          <w:tcPr>
            <w:tcW w:w="548" w:type="pct"/>
            <w:noWrap/>
            <w:vAlign w:val="center"/>
          </w:tcPr>
          <w:p w14:paraId="3B387526"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$0.00</w:t>
            </w:r>
          </w:p>
        </w:tc>
        <w:tc>
          <w:tcPr>
            <w:tcW w:w="548" w:type="pct"/>
            <w:noWrap/>
            <w:vAlign w:val="center"/>
          </w:tcPr>
          <w:p w14:paraId="7FF2F88F"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$16.29</w:t>
            </w:r>
          </w:p>
        </w:tc>
        <w:tc>
          <w:tcPr>
            <w:tcW w:w="548" w:type="pct"/>
            <w:noWrap/>
            <w:vAlign w:val="center"/>
          </w:tcPr>
          <w:p w14:paraId="27368A46"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$19.75</w:t>
            </w:r>
          </w:p>
        </w:tc>
        <w:tc>
          <w:tcPr>
            <w:tcW w:w="548" w:type="pct"/>
            <w:vAlign w:val="center"/>
          </w:tcPr>
          <w:p w14:paraId="726370E0"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$0.00</w:t>
            </w:r>
          </w:p>
        </w:tc>
        <w:tc>
          <w:tcPr>
            <w:tcW w:w="549" w:type="pct"/>
            <w:vAlign w:val="center"/>
          </w:tcPr>
          <w:p w14:paraId="6BEE2C38"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$0.11</w:t>
            </w:r>
          </w:p>
        </w:tc>
      </w:tr>
    </w:tbl>
    <w:p w14:paraId="075E2B0F" w14:textId="77777777" w:rsidR="00DD1A7A" w:rsidRDefault="00DD1A7A" w:rsidP="00DD1A7A">
      <w:pPr>
        <w:pStyle w:val="p3"/>
        <w:tabs>
          <w:tab w:val="clear" w:pos="204"/>
        </w:tabs>
        <w:spacing w:line="360" w:lineRule="auto"/>
        <w:ind w:firstLine="720"/>
        <w:rPr>
          <w:szCs w:val="26"/>
        </w:rPr>
      </w:pPr>
    </w:p>
    <w:p w14:paraId="42A68D5B" w14:textId="4CAFE991" w:rsidR="00DD1A7A" w:rsidRPr="009D45DB" w:rsidRDefault="00DD1A7A" w:rsidP="00DD1A7A">
      <w:pPr>
        <w:pStyle w:val="Caption"/>
        <w:keepNext/>
        <w:jc w:val="center"/>
        <w:rPr>
          <w:b/>
          <w:bCs/>
          <w:i w:val="0"/>
          <w:iCs w:val="0"/>
          <w:color w:val="auto"/>
          <w:sz w:val="26"/>
          <w:szCs w:val="26"/>
        </w:rPr>
      </w:pPr>
      <w:bookmarkStart w:id="314" w:name="_Ref33507520"/>
      <w:r w:rsidRPr="009D45DB">
        <w:rPr>
          <w:b/>
          <w:bCs/>
          <w:i w:val="0"/>
          <w:iCs w:val="0"/>
          <w:color w:val="auto"/>
          <w:sz w:val="26"/>
          <w:szCs w:val="26"/>
        </w:rPr>
        <w:lastRenderedPageBreak/>
        <w:t>Table</w:t>
      </w:r>
      <w:bookmarkEnd w:id="314"/>
      <w:r w:rsidR="00A44AF5">
        <w:rPr>
          <w:b/>
          <w:bCs/>
          <w:i w:val="0"/>
          <w:iCs w:val="0"/>
          <w:color w:val="auto"/>
          <w:sz w:val="26"/>
          <w:szCs w:val="26"/>
        </w:rPr>
        <w:t xml:space="preserve"> </w:t>
      </w:r>
      <w:r w:rsidR="004451AB">
        <w:rPr>
          <w:b/>
          <w:bCs/>
          <w:i w:val="0"/>
          <w:iCs w:val="0"/>
          <w:color w:val="auto"/>
          <w:sz w:val="26"/>
          <w:szCs w:val="26"/>
        </w:rPr>
        <w:t>13</w:t>
      </w:r>
      <w:r w:rsidRPr="009D45DB">
        <w:rPr>
          <w:b/>
          <w:bCs/>
          <w:i w:val="0"/>
          <w:iCs w:val="0"/>
          <w:color w:val="auto"/>
          <w:sz w:val="26"/>
          <w:szCs w:val="26"/>
        </w:rPr>
        <w:t>: Avoided Cost of Distribution Capacity Forecast, by EDC ($/kW-year)</w:t>
      </w:r>
    </w:p>
    <w:tbl>
      <w:tblPr>
        <w:tblStyle w:val="DSATable"/>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74"/>
        <w:gridCol w:w="1024"/>
        <w:gridCol w:w="1025"/>
        <w:gridCol w:w="1025"/>
        <w:gridCol w:w="1025"/>
        <w:gridCol w:w="1025"/>
        <w:gridCol w:w="1025"/>
        <w:gridCol w:w="1027"/>
      </w:tblGrid>
      <w:tr w:rsidR="00DD1A7A" w:rsidRPr="00B65EFE" w14:paraId="5E9720DC" w14:textId="77777777" w:rsidTr="008E374C">
        <w:trPr>
          <w:cnfStyle w:val="100000000000" w:firstRow="1" w:lastRow="0" w:firstColumn="0" w:lastColumn="0" w:oddVBand="0" w:evenVBand="0" w:oddHBand="0" w:evenHBand="0" w:firstRowFirstColumn="0" w:firstRowLastColumn="0" w:lastRowFirstColumn="0" w:lastRowLastColumn="0"/>
          <w:trHeight w:val="360"/>
          <w:tblHeader/>
          <w:jc w:val="center"/>
        </w:trPr>
        <w:tc>
          <w:tcPr>
            <w:tcW w:w="1163" w:type="pct"/>
            <w:vMerge w:val="restart"/>
            <w:tcBorders>
              <w:top w:val="single" w:sz="4" w:space="0" w:color="auto"/>
              <w:left w:val="single" w:sz="4" w:space="0" w:color="auto"/>
              <w:bottom w:val="single" w:sz="6" w:space="0" w:color="FFFFFF" w:themeColor="background1"/>
              <w:right w:val="single" w:sz="6" w:space="0" w:color="FFFFFF" w:themeColor="background1"/>
            </w:tcBorders>
            <w:shd w:val="clear" w:color="auto" w:fill="000000" w:themeFill="text1"/>
            <w:noWrap/>
            <w:vAlign w:val="center"/>
          </w:tcPr>
          <w:p w14:paraId="0A89AAA9" w14:textId="77777777" w:rsidR="00DD1A7A" w:rsidRPr="009F52F5" w:rsidRDefault="00DD1A7A" w:rsidP="008E374C">
            <w:pPr>
              <w:keepNext/>
              <w:jc w:val="center"/>
              <w:rPr>
                <w:rFonts w:ascii="Times New Roman" w:eastAsia="Times New Roman" w:hAnsi="Times New Roman" w:cs="Times New Roman"/>
                <w:b/>
                <w:sz w:val="26"/>
                <w:szCs w:val="26"/>
              </w:rPr>
            </w:pPr>
            <w:r w:rsidRPr="009F52F5">
              <w:rPr>
                <w:rFonts w:ascii="Times New Roman" w:hAnsi="Times New Roman" w:cs="Times New Roman"/>
                <w:b/>
                <w:sz w:val="26"/>
                <w:szCs w:val="26"/>
              </w:rPr>
              <w:t>Year</w:t>
            </w:r>
          </w:p>
        </w:tc>
        <w:tc>
          <w:tcPr>
            <w:tcW w:w="3837" w:type="pct"/>
            <w:gridSpan w:val="7"/>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1"/>
            <w:noWrap/>
            <w:vAlign w:val="center"/>
          </w:tcPr>
          <w:p w14:paraId="5E64DDA0" w14:textId="77777777" w:rsidR="00DD1A7A" w:rsidRPr="009F52F5" w:rsidRDefault="00DD1A7A" w:rsidP="008E374C">
            <w:pPr>
              <w:keepNext/>
              <w:jc w:val="center"/>
              <w:rPr>
                <w:rFonts w:ascii="Times New Roman" w:eastAsia="Times New Roman" w:hAnsi="Times New Roman" w:cs="Times New Roman"/>
                <w:b/>
                <w:sz w:val="26"/>
                <w:szCs w:val="26"/>
              </w:rPr>
            </w:pPr>
            <w:r w:rsidRPr="009F52F5">
              <w:rPr>
                <w:rFonts w:ascii="Times New Roman" w:eastAsia="Times New Roman" w:hAnsi="Times New Roman" w:cs="Times New Roman"/>
                <w:b/>
                <w:sz w:val="26"/>
                <w:szCs w:val="26"/>
              </w:rPr>
              <w:t>EDC</w:t>
            </w:r>
          </w:p>
        </w:tc>
      </w:tr>
      <w:tr w:rsidR="00DD1A7A" w:rsidRPr="00B65EFE" w14:paraId="4CBD6175" w14:textId="77777777" w:rsidTr="008E374C">
        <w:trPr>
          <w:cnfStyle w:val="100000000000" w:firstRow="1" w:lastRow="0" w:firstColumn="0" w:lastColumn="0" w:oddVBand="0" w:evenVBand="0" w:oddHBand="0" w:evenHBand="0" w:firstRowFirstColumn="0" w:firstRowLastColumn="0" w:lastRowFirstColumn="0" w:lastRowLastColumn="0"/>
          <w:trHeight w:val="360"/>
          <w:tblHeader/>
          <w:jc w:val="center"/>
        </w:trPr>
        <w:tc>
          <w:tcPr>
            <w:tcW w:w="1163" w:type="pct"/>
            <w:vMerge/>
            <w:tcBorders>
              <w:top w:val="single" w:sz="6" w:space="0" w:color="FFFFFF" w:themeColor="background1"/>
              <w:left w:val="single" w:sz="4" w:space="0" w:color="auto"/>
              <w:bottom w:val="single" w:sz="4" w:space="0" w:color="auto"/>
              <w:right w:val="single" w:sz="6" w:space="0" w:color="FFFFFF" w:themeColor="background1"/>
            </w:tcBorders>
            <w:shd w:val="clear" w:color="auto" w:fill="000000" w:themeFill="text1"/>
            <w:noWrap/>
            <w:vAlign w:val="center"/>
          </w:tcPr>
          <w:p w14:paraId="66D47AAD" w14:textId="77777777" w:rsidR="00DD1A7A" w:rsidRPr="009F52F5" w:rsidRDefault="00DD1A7A" w:rsidP="008E374C">
            <w:pPr>
              <w:keepNext/>
              <w:jc w:val="center"/>
              <w:rPr>
                <w:rFonts w:ascii="Times New Roman" w:hAnsi="Times New Roman" w:cs="Times New Roman"/>
                <w:b/>
                <w:sz w:val="26"/>
                <w:szCs w:val="26"/>
              </w:rPr>
            </w:pPr>
          </w:p>
        </w:tc>
        <w:tc>
          <w:tcPr>
            <w:tcW w:w="548" w:type="pct"/>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00000" w:themeFill="text1"/>
            <w:noWrap/>
            <w:vAlign w:val="center"/>
          </w:tcPr>
          <w:p w14:paraId="00732820" w14:textId="77777777" w:rsidR="00DD1A7A" w:rsidRPr="009F52F5" w:rsidRDefault="00DD1A7A" w:rsidP="008E374C">
            <w:pPr>
              <w:keepNext/>
              <w:jc w:val="center"/>
              <w:rPr>
                <w:rFonts w:ascii="Times New Roman" w:hAnsi="Times New Roman" w:cs="Times New Roman"/>
                <w:b/>
                <w:sz w:val="26"/>
                <w:szCs w:val="26"/>
              </w:rPr>
            </w:pPr>
            <w:r w:rsidRPr="009F52F5">
              <w:rPr>
                <w:rFonts w:ascii="Times New Roman" w:hAnsi="Times New Roman" w:cs="Times New Roman"/>
                <w:b/>
                <w:sz w:val="26"/>
                <w:szCs w:val="26"/>
              </w:rPr>
              <w:t>DLC</w:t>
            </w:r>
          </w:p>
        </w:tc>
        <w:tc>
          <w:tcPr>
            <w:tcW w:w="548" w:type="pct"/>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00000" w:themeFill="text1"/>
            <w:noWrap/>
            <w:vAlign w:val="center"/>
          </w:tcPr>
          <w:p w14:paraId="5CD70EF7" w14:textId="77777777" w:rsidR="00DD1A7A" w:rsidRPr="009F52F5" w:rsidRDefault="00DD1A7A" w:rsidP="008E374C">
            <w:pPr>
              <w:keepNext/>
              <w:jc w:val="center"/>
              <w:rPr>
                <w:rFonts w:ascii="Times New Roman" w:hAnsi="Times New Roman" w:cs="Times New Roman"/>
                <w:b/>
                <w:sz w:val="26"/>
                <w:szCs w:val="26"/>
              </w:rPr>
            </w:pPr>
            <w:r w:rsidRPr="009F52F5">
              <w:rPr>
                <w:rFonts w:ascii="Times New Roman" w:hAnsi="Times New Roman" w:cs="Times New Roman"/>
                <w:b/>
                <w:sz w:val="26"/>
                <w:szCs w:val="26"/>
              </w:rPr>
              <w:t>PECO</w:t>
            </w:r>
          </w:p>
        </w:tc>
        <w:tc>
          <w:tcPr>
            <w:tcW w:w="548" w:type="pct"/>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00000" w:themeFill="text1"/>
            <w:noWrap/>
            <w:vAlign w:val="center"/>
          </w:tcPr>
          <w:p w14:paraId="4166148A" w14:textId="77777777" w:rsidR="00DD1A7A" w:rsidRPr="009F52F5" w:rsidRDefault="00DD1A7A" w:rsidP="008E374C">
            <w:pPr>
              <w:keepNext/>
              <w:jc w:val="center"/>
              <w:rPr>
                <w:rFonts w:ascii="Times New Roman" w:hAnsi="Times New Roman" w:cs="Times New Roman"/>
                <w:b/>
                <w:sz w:val="26"/>
                <w:szCs w:val="26"/>
              </w:rPr>
            </w:pPr>
            <w:r w:rsidRPr="009F52F5">
              <w:rPr>
                <w:rFonts w:ascii="Times New Roman" w:hAnsi="Times New Roman" w:cs="Times New Roman"/>
                <w:b/>
                <w:sz w:val="26"/>
                <w:szCs w:val="26"/>
              </w:rPr>
              <w:t>PPL</w:t>
            </w:r>
          </w:p>
        </w:tc>
        <w:tc>
          <w:tcPr>
            <w:tcW w:w="548" w:type="pct"/>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00000" w:themeFill="text1"/>
            <w:noWrap/>
            <w:vAlign w:val="center"/>
          </w:tcPr>
          <w:p w14:paraId="042ECC47" w14:textId="77777777" w:rsidR="00DD1A7A" w:rsidRPr="009F52F5" w:rsidRDefault="00DD1A7A" w:rsidP="008E374C">
            <w:pPr>
              <w:keepNext/>
              <w:jc w:val="center"/>
              <w:rPr>
                <w:rFonts w:ascii="Times New Roman" w:hAnsi="Times New Roman" w:cs="Times New Roman"/>
                <w:b/>
                <w:sz w:val="26"/>
                <w:szCs w:val="26"/>
              </w:rPr>
            </w:pPr>
            <w:r w:rsidRPr="009F52F5">
              <w:rPr>
                <w:rFonts w:ascii="Times New Roman" w:hAnsi="Times New Roman" w:cs="Times New Roman"/>
                <w:b/>
                <w:sz w:val="26"/>
                <w:szCs w:val="26"/>
              </w:rPr>
              <w:t>ME</w:t>
            </w:r>
          </w:p>
        </w:tc>
        <w:tc>
          <w:tcPr>
            <w:tcW w:w="548" w:type="pct"/>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00000" w:themeFill="text1"/>
            <w:noWrap/>
            <w:vAlign w:val="center"/>
          </w:tcPr>
          <w:p w14:paraId="125F609D" w14:textId="77777777" w:rsidR="00DD1A7A" w:rsidRPr="009F52F5" w:rsidRDefault="00DD1A7A" w:rsidP="008E374C">
            <w:pPr>
              <w:keepNext/>
              <w:jc w:val="center"/>
              <w:rPr>
                <w:rFonts w:ascii="Times New Roman" w:hAnsi="Times New Roman" w:cs="Times New Roman"/>
                <w:b/>
                <w:sz w:val="26"/>
                <w:szCs w:val="26"/>
              </w:rPr>
            </w:pPr>
            <w:r w:rsidRPr="009F52F5">
              <w:rPr>
                <w:rFonts w:ascii="Times New Roman" w:hAnsi="Times New Roman" w:cs="Times New Roman"/>
                <w:b/>
                <w:sz w:val="26"/>
                <w:szCs w:val="26"/>
              </w:rPr>
              <w:t>PN</w:t>
            </w:r>
          </w:p>
        </w:tc>
        <w:tc>
          <w:tcPr>
            <w:tcW w:w="548" w:type="pct"/>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00000" w:themeFill="text1"/>
            <w:vAlign w:val="center"/>
          </w:tcPr>
          <w:p w14:paraId="700A2FF0" w14:textId="77777777" w:rsidR="00DD1A7A" w:rsidRPr="009F52F5" w:rsidRDefault="00DD1A7A" w:rsidP="008E374C">
            <w:pPr>
              <w:keepNext/>
              <w:jc w:val="center"/>
              <w:rPr>
                <w:rFonts w:ascii="Times New Roman" w:hAnsi="Times New Roman" w:cs="Times New Roman"/>
                <w:b/>
                <w:sz w:val="26"/>
                <w:szCs w:val="26"/>
              </w:rPr>
            </w:pPr>
            <w:r w:rsidRPr="009F52F5">
              <w:rPr>
                <w:rFonts w:ascii="Times New Roman" w:hAnsi="Times New Roman" w:cs="Times New Roman"/>
                <w:b/>
                <w:sz w:val="26"/>
                <w:szCs w:val="26"/>
              </w:rPr>
              <w:t>PP</w:t>
            </w:r>
          </w:p>
        </w:tc>
        <w:tc>
          <w:tcPr>
            <w:tcW w:w="549" w:type="pct"/>
            <w:tcBorders>
              <w:top w:val="single" w:sz="6" w:space="0" w:color="FFFFFF" w:themeColor="background1"/>
              <w:left w:val="single" w:sz="6" w:space="0" w:color="FFFFFF" w:themeColor="background1"/>
              <w:bottom w:val="single" w:sz="4" w:space="0" w:color="auto"/>
              <w:right w:val="single" w:sz="4" w:space="0" w:color="auto"/>
            </w:tcBorders>
            <w:shd w:val="clear" w:color="auto" w:fill="000000" w:themeFill="text1"/>
            <w:vAlign w:val="center"/>
          </w:tcPr>
          <w:p w14:paraId="51DE0046" w14:textId="77777777" w:rsidR="00DD1A7A" w:rsidRPr="009F52F5" w:rsidRDefault="00DD1A7A" w:rsidP="008E374C">
            <w:pPr>
              <w:keepNext/>
              <w:jc w:val="center"/>
              <w:rPr>
                <w:rFonts w:ascii="Times New Roman" w:hAnsi="Times New Roman" w:cs="Times New Roman"/>
                <w:b/>
                <w:sz w:val="26"/>
                <w:szCs w:val="26"/>
              </w:rPr>
            </w:pPr>
            <w:r w:rsidRPr="009F52F5">
              <w:rPr>
                <w:rFonts w:ascii="Times New Roman" w:hAnsi="Times New Roman" w:cs="Times New Roman"/>
                <w:b/>
                <w:sz w:val="26"/>
                <w:szCs w:val="26"/>
              </w:rPr>
              <w:t>WPP</w:t>
            </w:r>
          </w:p>
        </w:tc>
      </w:tr>
      <w:tr w:rsidR="00DD1A7A" w:rsidRPr="00B65EFE" w14:paraId="36772A6E" w14:textId="77777777" w:rsidTr="008E374C">
        <w:trPr>
          <w:cnfStyle w:val="000000100000" w:firstRow="0" w:lastRow="0" w:firstColumn="0" w:lastColumn="0" w:oddVBand="0" w:evenVBand="0" w:oddHBand="1" w:evenHBand="0" w:firstRowFirstColumn="0" w:firstRowLastColumn="0" w:lastRowFirstColumn="0" w:lastRowLastColumn="0"/>
          <w:trHeight w:val="360"/>
          <w:jc w:val="center"/>
        </w:trPr>
        <w:tc>
          <w:tcPr>
            <w:tcW w:w="1163" w:type="pct"/>
            <w:tcBorders>
              <w:top w:val="single" w:sz="4" w:space="0" w:color="auto"/>
            </w:tcBorders>
            <w:noWrap/>
            <w:vAlign w:val="center"/>
          </w:tcPr>
          <w:p w14:paraId="1850B227" w14:textId="77777777" w:rsidR="00DD1A7A" w:rsidRPr="009F52F5" w:rsidRDefault="00DD1A7A" w:rsidP="008E374C">
            <w:pPr>
              <w:keepNext/>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PY13 (2021-2022)</w:t>
            </w:r>
          </w:p>
        </w:tc>
        <w:tc>
          <w:tcPr>
            <w:tcW w:w="548" w:type="pct"/>
            <w:tcBorders>
              <w:top w:val="single" w:sz="4" w:space="0" w:color="auto"/>
            </w:tcBorders>
            <w:noWrap/>
            <w:vAlign w:val="center"/>
          </w:tcPr>
          <w:p w14:paraId="6ACF442D"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$9.78</w:t>
            </w:r>
          </w:p>
        </w:tc>
        <w:tc>
          <w:tcPr>
            <w:tcW w:w="548" w:type="pct"/>
            <w:tcBorders>
              <w:top w:val="single" w:sz="4" w:space="0" w:color="auto"/>
            </w:tcBorders>
            <w:noWrap/>
            <w:vAlign w:val="center"/>
          </w:tcPr>
          <w:p w14:paraId="2C777387"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$63.49</w:t>
            </w:r>
          </w:p>
        </w:tc>
        <w:tc>
          <w:tcPr>
            <w:tcW w:w="548" w:type="pct"/>
            <w:tcBorders>
              <w:top w:val="single" w:sz="4" w:space="0" w:color="auto"/>
            </w:tcBorders>
            <w:noWrap/>
            <w:vAlign w:val="center"/>
          </w:tcPr>
          <w:p w14:paraId="7D97BB36"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$72.73</w:t>
            </w:r>
          </w:p>
        </w:tc>
        <w:tc>
          <w:tcPr>
            <w:tcW w:w="548" w:type="pct"/>
            <w:tcBorders>
              <w:top w:val="single" w:sz="4" w:space="0" w:color="auto"/>
            </w:tcBorders>
            <w:noWrap/>
            <w:vAlign w:val="center"/>
          </w:tcPr>
          <w:p w14:paraId="40F5F729"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$42.03</w:t>
            </w:r>
          </w:p>
        </w:tc>
        <w:tc>
          <w:tcPr>
            <w:tcW w:w="548" w:type="pct"/>
            <w:tcBorders>
              <w:top w:val="single" w:sz="4" w:space="0" w:color="auto"/>
            </w:tcBorders>
            <w:noWrap/>
            <w:vAlign w:val="center"/>
          </w:tcPr>
          <w:p w14:paraId="3717B324"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$27.65</w:t>
            </w:r>
          </w:p>
        </w:tc>
        <w:tc>
          <w:tcPr>
            <w:tcW w:w="548" w:type="pct"/>
            <w:tcBorders>
              <w:top w:val="single" w:sz="4" w:space="0" w:color="auto"/>
            </w:tcBorders>
            <w:vAlign w:val="center"/>
          </w:tcPr>
          <w:p w14:paraId="23403E5A"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$11.43</w:t>
            </w:r>
          </w:p>
        </w:tc>
        <w:tc>
          <w:tcPr>
            <w:tcW w:w="549" w:type="pct"/>
            <w:tcBorders>
              <w:top w:val="single" w:sz="4" w:space="0" w:color="auto"/>
            </w:tcBorders>
            <w:vAlign w:val="center"/>
          </w:tcPr>
          <w:p w14:paraId="72A4C71A"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$14.03</w:t>
            </w:r>
          </w:p>
        </w:tc>
      </w:tr>
      <w:tr w:rsidR="00DD1A7A" w:rsidRPr="00B65EFE" w14:paraId="74953A24" w14:textId="77777777" w:rsidTr="008E374C">
        <w:trPr>
          <w:trHeight w:val="360"/>
          <w:jc w:val="center"/>
        </w:trPr>
        <w:tc>
          <w:tcPr>
            <w:tcW w:w="1163" w:type="pct"/>
            <w:noWrap/>
            <w:vAlign w:val="center"/>
          </w:tcPr>
          <w:p w14:paraId="14A38CB7" w14:textId="77777777" w:rsidR="00DD1A7A" w:rsidRPr="009F52F5" w:rsidRDefault="00DD1A7A" w:rsidP="008E374C">
            <w:pPr>
              <w:keepNext/>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PY14 (2022-2023)</w:t>
            </w:r>
          </w:p>
        </w:tc>
        <w:tc>
          <w:tcPr>
            <w:tcW w:w="548" w:type="pct"/>
            <w:noWrap/>
            <w:vAlign w:val="center"/>
          </w:tcPr>
          <w:p w14:paraId="6159F848"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$9.97</w:t>
            </w:r>
          </w:p>
        </w:tc>
        <w:tc>
          <w:tcPr>
            <w:tcW w:w="548" w:type="pct"/>
            <w:noWrap/>
            <w:vAlign w:val="center"/>
          </w:tcPr>
          <w:p w14:paraId="5396DE03"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$64.76</w:t>
            </w:r>
          </w:p>
        </w:tc>
        <w:tc>
          <w:tcPr>
            <w:tcW w:w="548" w:type="pct"/>
            <w:noWrap/>
            <w:vAlign w:val="center"/>
          </w:tcPr>
          <w:p w14:paraId="5DCFFC98"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$74.18</w:t>
            </w:r>
          </w:p>
        </w:tc>
        <w:tc>
          <w:tcPr>
            <w:tcW w:w="548" w:type="pct"/>
            <w:noWrap/>
            <w:vAlign w:val="center"/>
          </w:tcPr>
          <w:p w14:paraId="0F1A3574"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$42.87</w:t>
            </w:r>
          </w:p>
        </w:tc>
        <w:tc>
          <w:tcPr>
            <w:tcW w:w="548" w:type="pct"/>
            <w:noWrap/>
            <w:vAlign w:val="center"/>
          </w:tcPr>
          <w:p w14:paraId="7B815BA2"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$28.20</w:t>
            </w:r>
          </w:p>
        </w:tc>
        <w:tc>
          <w:tcPr>
            <w:tcW w:w="548" w:type="pct"/>
            <w:vAlign w:val="center"/>
          </w:tcPr>
          <w:p w14:paraId="2CA55468"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$11.66</w:t>
            </w:r>
          </w:p>
        </w:tc>
        <w:tc>
          <w:tcPr>
            <w:tcW w:w="549" w:type="pct"/>
            <w:vAlign w:val="center"/>
          </w:tcPr>
          <w:p w14:paraId="5DA3EBAD"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$14.31</w:t>
            </w:r>
          </w:p>
        </w:tc>
      </w:tr>
      <w:tr w:rsidR="00DD1A7A" w:rsidRPr="00B65EFE" w14:paraId="4AF7CDB1" w14:textId="77777777" w:rsidTr="008E374C">
        <w:trPr>
          <w:cnfStyle w:val="000000100000" w:firstRow="0" w:lastRow="0" w:firstColumn="0" w:lastColumn="0" w:oddVBand="0" w:evenVBand="0" w:oddHBand="1" w:evenHBand="0" w:firstRowFirstColumn="0" w:firstRowLastColumn="0" w:lastRowFirstColumn="0" w:lastRowLastColumn="0"/>
          <w:trHeight w:val="360"/>
          <w:jc w:val="center"/>
        </w:trPr>
        <w:tc>
          <w:tcPr>
            <w:tcW w:w="1163" w:type="pct"/>
            <w:noWrap/>
            <w:vAlign w:val="center"/>
          </w:tcPr>
          <w:p w14:paraId="1BE45F4E" w14:textId="77777777" w:rsidR="00DD1A7A" w:rsidRPr="009F52F5" w:rsidRDefault="00DD1A7A" w:rsidP="008E374C">
            <w:pPr>
              <w:keepNext/>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PY15 (2023-2024)</w:t>
            </w:r>
          </w:p>
        </w:tc>
        <w:tc>
          <w:tcPr>
            <w:tcW w:w="548" w:type="pct"/>
            <w:noWrap/>
            <w:vAlign w:val="center"/>
          </w:tcPr>
          <w:p w14:paraId="2329004A"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$10.17</w:t>
            </w:r>
          </w:p>
        </w:tc>
        <w:tc>
          <w:tcPr>
            <w:tcW w:w="548" w:type="pct"/>
            <w:noWrap/>
            <w:vAlign w:val="center"/>
          </w:tcPr>
          <w:p w14:paraId="76FCDF43"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$66.05</w:t>
            </w:r>
          </w:p>
        </w:tc>
        <w:tc>
          <w:tcPr>
            <w:tcW w:w="548" w:type="pct"/>
            <w:noWrap/>
            <w:vAlign w:val="center"/>
          </w:tcPr>
          <w:p w14:paraId="5E0DF903"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$75.67</w:t>
            </w:r>
          </w:p>
        </w:tc>
        <w:tc>
          <w:tcPr>
            <w:tcW w:w="548" w:type="pct"/>
            <w:noWrap/>
            <w:vAlign w:val="center"/>
          </w:tcPr>
          <w:p w14:paraId="5916C2AD"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$43.73</w:t>
            </w:r>
          </w:p>
        </w:tc>
        <w:tc>
          <w:tcPr>
            <w:tcW w:w="548" w:type="pct"/>
            <w:noWrap/>
            <w:vAlign w:val="center"/>
          </w:tcPr>
          <w:p w14:paraId="593757D7"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$28.77</w:t>
            </w:r>
          </w:p>
        </w:tc>
        <w:tc>
          <w:tcPr>
            <w:tcW w:w="548" w:type="pct"/>
            <w:vAlign w:val="center"/>
          </w:tcPr>
          <w:p w14:paraId="3B31A9A6"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$11.89</w:t>
            </w:r>
          </w:p>
        </w:tc>
        <w:tc>
          <w:tcPr>
            <w:tcW w:w="549" w:type="pct"/>
            <w:vAlign w:val="center"/>
          </w:tcPr>
          <w:p w14:paraId="7B461746"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$14.60</w:t>
            </w:r>
          </w:p>
        </w:tc>
      </w:tr>
      <w:tr w:rsidR="00DD1A7A" w:rsidRPr="00B65EFE" w14:paraId="713B9450" w14:textId="77777777" w:rsidTr="008E374C">
        <w:trPr>
          <w:trHeight w:val="360"/>
          <w:jc w:val="center"/>
        </w:trPr>
        <w:tc>
          <w:tcPr>
            <w:tcW w:w="1163" w:type="pct"/>
            <w:noWrap/>
            <w:vAlign w:val="center"/>
          </w:tcPr>
          <w:p w14:paraId="1F9AE37B" w14:textId="77777777" w:rsidR="00DD1A7A" w:rsidRPr="009F52F5" w:rsidRDefault="00DD1A7A" w:rsidP="008E374C">
            <w:pPr>
              <w:keepNext/>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PY16 (2024-2025)</w:t>
            </w:r>
          </w:p>
        </w:tc>
        <w:tc>
          <w:tcPr>
            <w:tcW w:w="548" w:type="pct"/>
            <w:noWrap/>
            <w:vAlign w:val="center"/>
          </w:tcPr>
          <w:p w14:paraId="1415B9E8"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$10.38</w:t>
            </w:r>
          </w:p>
        </w:tc>
        <w:tc>
          <w:tcPr>
            <w:tcW w:w="548" w:type="pct"/>
            <w:noWrap/>
            <w:vAlign w:val="center"/>
          </w:tcPr>
          <w:p w14:paraId="2089B30E"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$67.37</w:t>
            </w:r>
          </w:p>
        </w:tc>
        <w:tc>
          <w:tcPr>
            <w:tcW w:w="548" w:type="pct"/>
            <w:noWrap/>
            <w:vAlign w:val="center"/>
          </w:tcPr>
          <w:p w14:paraId="5DA6D549"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$77.18</w:t>
            </w:r>
          </w:p>
        </w:tc>
        <w:tc>
          <w:tcPr>
            <w:tcW w:w="548" w:type="pct"/>
            <w:noWrap/>
            <w:vAlign w:val="center"/>
          </w:tcPr>
          <w:p w14:paraId="64512A02"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$44.60</w:t>
            </w:r>
          </w:p>
        </w:tc>
        <w:tc>
          <w:tcPr>
            <w:tcW w:w="548" w:type="pct"/>
            <w:noWrap/>
            <w:vAlign w:val="center"/>
          </w:tcPr>
          <w:p w14:paraId="18C57C6D"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$29.34</w:t>
            </w:r>
          </w:p>
        </w:tc>
        <w:tc>
          <w:tcPr>
            <w:tcW w:w="548" w:type="pct"/>
            <w:vAlign w:val="center"/>
          </w:tcPr>
          <w:p w14:paraId="6B431213"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$12.13</w:t>
            </w:r>
          </w:p>
        </w:tc>
        <w:tc>
          <w:tcPr>
            <w:tcW w:w="549" w:type="pct"/>
            <w:vAlign w:val="center"/>
          </w:tcPr>
          <w:p w14:paraId="071950C0"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$14.89</w:t>
            </w:r>
          </w:p>
        </w:tc>
      </w:tr>
      <w:tr w:rsidR="00DD1A7A" w:rsidRPr="00B65EFE" w14:paraId="753F7C6B" w14:textId="77777777" w:rsidTr="008E374C">
        <w:trPr>
          <w:cnfStyle w:val="000000100000" w:firstRow="0" w:lastRow="0" w:firstColumn="0" w:lastColumn="0" w:oddVBand="0" w:evenVBand="0" w:oddHBand="1" w:evenHBand="0" w:firstRowFirstColumn="0" w:firstRowLastColumn="0" w:lastRowFirstColumn="0" w:lastRowLastColumn="0"/>
          <w:trHeight w:val="360"/>
          <w:jc w:val="center"/>
        </w:trPr>
        <w:tc>
          <w:tcPr>
            <w:tcW w:w="1163" w:type="pct"/>
            <w:noWrap/>
            <w:vAlign w:val="center"/>
          </w:tcPr>
          <w:p w14:paraId="15B5B49B" w14:textId="77777777" w:rsidR="00DD1A7A" w:rsidRPr="009F52F5" w:rsidRDefault="00DD1A7A" w:rsidP="008E374C">
            <w:pPr>
              <w:keepNext/>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PY17 (2025-2026)</w:t>
            </w:r>
          </w:p>
        </w:tc>
        <w:tc>
          <w:tcPr>
            <w:tcW w:w="548" w:type="pct"/>
            <w:noWrap/>
            <w:vAlign w:val="center"/>
          </w:tcPr>
          <w:p w14:paraId="76DE5561"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$10.58</w:t>
            </w:r>
          </w:p>
        </w:tc>
        <w:tc>
          <w:tcPr>
            <w:tcW w:w="548" w:type="pct"/>
            <w:noWrap/>
            <w:vAlign w:val="center"/>
          </w:tcPr>
          <w:p w14:paraId="4A7E577C"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$68.72</w:t>
            </w:r>
          </w:p>
        </w:tc>
        <w:tc>
          <w:tcPr>
            <w:tcW w:w="548" w:type="pct"/>
            <w:noWrap/>
            <w:vAlign w:val="center"/>
          </w:tcPr>
          <w:p w14:paraId="6BEF0397"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$78.72</w:t>
            </w:r>
          </w:p>
        </w:tc>
        <w:tc>
          <w:tcPr>
            <w:tcW w:w="548" w:type="pct"/>
            <w:noWrap/>
            <w:vAlign w:val="center"/>
          </w:tcPr>
          <w:p w14:paraId="4B69A600"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$45.49</w:t>
            </w:r>
          </w:p>
        </w:tc>
        <w:tc>
          <w:tcPr>
            <w:tcW w:w="548" w:type="pct"/>
            <w:noWrap/>
            <w:vAlign w:val="center"/>
          </w:tcPr>
          <w:p w14:paraId="2F122871"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$29.93</w:t>
            </w:r>
          </w:p>
        </w:tc>
        <w:tc>
          <w:tcPr>
            <w:tcW w:w="548" w:type="pct"/>
            <w:vAlign w:val="center"/>
          </w:tcPr>
          <w:p w14:paraId="66A633BE"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$12.37</w:t>
            </w:r>
          </w:p>
        </w:tc>
        <w:tc>
          <w:tcPr>
            <w:tcW w:w="549" w:type="pct"/>
            <w:vAlign w:val="center"/>
          </w:tcPr>
          <w:p w14:paraId="111BDED0" w14:textId="77777777" w:rsidR="00DD1A7A" w:rsidRPr="009F52F5" w:rsidRDefault="00DD1A7A" w:rsidP="008E374C">
            <w:pPr>
              <w:keepNext/>
              <w:jc w:val="center"/>
              <w:rPr>
                <w:rFonts w:ascii="Times New Roman" w:eastAsia="Times New Roman" w:hAnsi="Times New Roman" w:cs="Times New Roman"/>
                <w:color w:val="000000" w:themeColor="text1"/>
                <w:sz w:val="26"/>
                <w:szCs w:val="26"/>
              </w:rPr>
            </w:pPr>
            <w:r w:rsidRPr="009F52F5">
              <w:rPr>
                <w:rFonts w:ascii="Times New Roman" w:hAnsi="Times New Roman" w:cs="Times New Roman"/>
                <w:sz w:val="26"/>
                <w:szCs w:val="26"/>
              </w:rPr>
              <w:t>$15.19</w:t>
            </w:r>
          </w:p>
        </w:tc>
      </w:tr>
    </w:tbl>
    <w:p w14:paraId="1F95112E" w14:textId="77777777" w:rsidR="00DD1A7A" w:rsidRDefault="00DD1A7A" w:rsidP="00DD1A7A">
      <w:pPr>
        <w:pStyle w:val="p3"/>
        <w:tabs>
          <w:tab w:val="clear" w:pos="204"/>
        </w:tabs>
        <w:spacing w:line="360" w:lineRule="auto"/>
        <w:ind w:firstLine="720"/>
        <w:rPr>
          <w:szCs w:val="26"/>
        </w:rPr>
      </w:pPr>
    </w:p>
    <w:p w14:paraId="64537D59" w14:textId="0E170E78" w:rsidR="00DD1A7A" w:rsidRDefault="00DD1A7A" w:rsidP="00DD1A7A">
      <w:pPr>
        <w:pStyle w:val="p3"/>
        <w:tabs>
          <w:tab w:val="clear" w:pos="204"/>
        </w:tabs>
        <w:spacing w:line="360" w:lineRule="auto"/>
        <w:ind w:firstLine="720"/>
        <w:rPr>
          <w:szCs w:val="26"/>
        </w:rPr>
      </w:pPr>
      <w:r>
        <w:rPr>
          <w:szCs w:val="26"/>
        </w:rPr>
        <w:t xml:space="preserve">As shown above, T&amp;D benefits varied significantly across the EDCs.  This variability was a key factor in the estimated </w:t>
      </w:r>
      <w:r w:rsidR="00C60246">
        <w:rPr>
          <w:szCs w:val="26"/>
        </w:rPr>
        <w:t>D</w:t>
      </w:r>
      <w:r>
        <w:rPr>
          <w:szCs w:val="26"/>
        </w:rPr>
        <w:t xml:space="preserve">DR potential.  The three EDCs with higher avoided T&amp;D costs (PECO, PPL, and Met-Ed) showed over 90% of the </w:t>
      </w:r>
      <w:r w:rsidR="00C60246">
        <w:rPr>
          <w:szCs w:val="26"/>
        </w:rPr>
        <w:t>D</w:t>
      </w:r>
      <w:r>
        <w:rPr>
          <w:szCs w:val="26"/>
        </w:rPr>
        <w:t xml:space="preserve">DR potential for Phase IV because higher avoided costs allow for higher incentive levels without causing the program to fail cost-effectiveness testing.  In turn, higher incentive levels produce increased estimates of participation and peak demand reduction. </w:t>
      </w:r>
    </w:p>
    <w:p w14:paraId="71FC9C51" w14:textId="58269325" w:rsidR="00DD1A7A" w:rsidRDefault="00DD1A7A" w:rsidP="00DD1A7A">
      <w:pPr>
        <w:pStyle w:val="p3"/>
        <w:tabs>
          <w:tab w:val="clear" w:pos="204"/>
        </w:tabs>
        <w:spacing w:before="200" w:after="200" w:line="360" w:lineRule="auto"/>
        <w:rPr>
          <w:szCs w:val="26"/>
        </w:rPr>
      </w:pPr>
      <w:r>
        <w:rPr>
          <w:szCs w:val="26"/>
        </w:rPr>
        <w:tab/>
        <w:t xml:space="preserve">The SWE examined </w:t>
      </w:r>
      <w:r w:rsidR="00F73917">
        <w:rPr>
          <w:szCs w:val="26"/>
        </w:rPr>
        <w:t xml:space="preserve">the following </w:t>
      </w:r>
      <w:r>
        <w:rPr>
          <w:szCs w:val="26"/>
        </w:rPr>
        <w:t xml:space="preserve">four demand response strategies in the </w:t>
      </w:r>
      <w:r w:rsidR="003B32B3">
        <w:rPr>
          <w:szCs w:val="26"/>
        </w:rPr>
        <w:t xml:space="preserve">DDR Potential </w:t>
      </w:r>
      <w:r>
        <w:rPr>
          <w:szCs w:val="26"/>
        </w:rPr>
        <w:t>Study and estimated the potential for each, by EDC</w:t>
      </w:r>
      <w:r w:rsidR="00F73917">
        <w:rPr>
          <w:szCs w:val="26"/>
        </w:rPr>
        <w:t>:</w:t>
      </w:r>
      <w:r>
        <w:rPr>
          <w:szCs w:val="26"/>
        </w:rPr>
        <w:t xml:space="preserve"> </w:t>
      </w:r>
    </w:p>
    <w:p w14:paraId="0305B93B" w14:textId="77777777" w:rsidR="00DD1A7A" w:rsidRDefault="00DD1A7A" w:rsidP="00E2782D">
      <w:pPr>
        <w:pStyle w:val="p3"/>
        <w:numPr>
          <w:ilvl w:val="0"/>
          <w:numId w:val="16"/>
        </w:numPr>
        <w:tabs>
          <w:tab w:val="clear" w:pos="204"/>
        </w:tabs>
        <w:spacing w:before="200" w:after="200"/>
        <w:ind w:left="1008" w:right="720" w:firstLine="0"/>
        <w:rPr>
          <w:szCs w:val="26"/>
        </w:rPr>
      </w:pPr>
      <w:r>
        <w:rPr>
          <w:szCs w:val="26"/>
        </w:rPr>
        <w:t>Residential Wi-Fi Connected Smart Thermostats</w:t>
      </w:r>
    </w:p>
    <w:p w14:paraId="0D9FABD5" w14:textId="77777777" w:rsidR="00DD1A7A" w:rsidRDefault="00DD1A7A" w:rsidP="00E2782D">
      <w:pPr>
        <w:pStyle w:val="p3"/>
        <w:numPr>
          <w:ilvl w:val="0"/>
          <w:numId w:val="16"/>
        </w:numPr>
        <w:tabs>
          <w:tab w:val="clear" w:pos="204"/>
        </w:tabs>
        <w:spacing w:before="200" w:after="200"/>
        <w:ind w:left="1008" w:right="720" w:firstLine="0"/>
        <w:rPr>
          <w:szCs w:val="26"/>
        </w:rPr>
      </w:pPr>
      <w:r>
        <w:rPr>
          <w:szCs w:val="26"/>
        </w:rPr>
        <w:t>Residential Behavioral Demand Response</w:t>
      </w:r>
    </w:p>
    <w:p w14:paraId="418FC1FA" w14:textId="77777777" w:rsidR="00DD1A7A" w:rsidRDefault="00DD1A7A" w:rsidP="00E2782D">
      <w:pPr>
        <w:pStyle w:val="p3"/>
        <w:numPr>
          <w:ilvl w:val="0"/>
          <w:numId w:val="16"/>
        </w:numPr>
        <w:tabs>
          <w:tab w:val="clear" w:pos="204"/>
        </w:tabs>
        <w:spacing w:before="200" w:after="200"/>
        <w:ind w:left="1008" w:right="720" w:firstLine="0"/>
        <w:rPr>
          <w:szCs w:val="26"/>
        </w:rPr>
      </w:pPr>
      <w:r>
        <w:rPr>
          <w:szCs w:val="26"/>
        </w:rPr>
        <w:t>Commercial and Industrial Load Curtailment</w:t>
      </w:r>
    </w:p>
    <w:p w14:paraId="43117C1F" w14:textId="77777777" w:rsidR="00DD1A7A" w:rsidRDefault="00DD1A7A" w:rsidP="00E2782D">
      <w:pPr>
        <w:pStyle w:val="p3"/>
        <w:numPr>
          <w:ilvl w:val="0"/>
          <w:numId w:val="16"/>
        </w:numPr>
        <w:tabs>
          <w:tab w:val="clear" w:pos="204"/>
        </w:tabs>
        <w:spacing w:before="200" w:after="200"/>
        <w:ind w:left="1008" w:right="720" w:firstLine="0"/>
        <w:rPr>
          <w:szCs w:val="26"/>
        </w:rPr>
      </w:pPr>
      <w:r>
        <w:rPr>
          <w:szCs w:val="26"/>
        </w:rPr>
        <w:t>Behind the Meter Battery Storage</w:t>
      </w:r>
    </w:p>
    <w:p w14:paraId="10D3851C" w14:textId="0643DDB0" w:rsidR="00DD1A7A" w:rsidRDefault="00816FB5" w:rsidP="00E2782D">
      <w:pPr>
        <w:pStyle w:val="p3"/>
        <w:tabs>
          <w:tab w:val="clear" w:pos="204"/>
        </w:tabs>
        <w:spacing w:before="200" w:after="200" w:line="360" w:lineRule="auto"/>
        <w:rPr>
          <w:szCs w:val="26"/>
        </w:rPr>
      </w:pPr>
      <w:r>
        <w:rPr>
          <w:szCs w:val="26"/>
        </w:rPr>
        <w:t xml:space="preserve">Table </w:t>
      </w:r>
      <w:r w:rsidR="004451AB">
        <w:rPr>
          <w:szCs w:val="26"/>
        </w:rPr>
        <w:t>14</w:t>
      </w:r>
      <w:r>
        <w:rPr>
          <w:szCs w:val="26"/>
        </w:rPr>
        <w:t xml:space="preserve"> shows </w:t>
      </w:r>
      <w:r w:rsidR="003F653B">
        <w:rPr>
          <w:szCs w:val="26"/>
        </w:rPr>
        <w:t>t</w:t>
      </w:r>
      <w:r w:rsidR="00DD1A7A">
        <w:rPr>
          <w:szCs w:val="26"/>
        </w:rPr>
        <w:t xml:space="preserve">he average annual </w:t>
      </w:r>
      <w:r w:rsidR="00C60246">
        <w:rPr>
          <w:szCs w:val="26"/>
        </w:rPr>
        <w:t>D</w:t>
      </w:r>
      <w:r w:rsidR="00DD1A7A">
        <w:rPr>
          <w:szCs w:val="26"/>
        </w:rPr>
        <w:t>DR potential, along with the associated economics for each EDC and statewide</w:t>
      </w:r>
      <w:r w:rsidR="003F653B">
        <w:rPr>
          <w:szCs w:val="26"/>
        </w:rPr>
        <w:t>.</w:t>
      </w:r>
      <w:r w:rsidR="00DD1A7A">
        <w:rPr>
          <w:rStyle w:val="FootnoteReference"/>
          <w:szCs w:val="26"/>
        </w:rPr>
        <w:footnoteReference w:id="46"/>
      </w:r>
      <w:r w:rsidR="00A44AF5">
        <w:rPr>
          <w:szCs w:val="26"/>
        </w:rPr>
        <w:t xml:space="preserve">  </w:t>
      </w:r>
      <w:r w:rsidR="00DD1A7A" w:rsidRPr="00D538BA">
        <w:rPr>
          <w:szCs w:val="26"/>
        </w:rPr>
        <w:t>We would like to note that the SWE’s estimates of</w:t>
      </w:r>
      <w:r w:rsidR="003E44A7">
        <w:rPr>
          <w:szCs w:val="26"/>
        </w:rPr>
        <w:t xml:space="preserve"> </w:t>
      </w:r>
      <w:r w:rsidR="00C60246">
        <w:rPr>
          <w:szCs w:val="26"/>
        </w:rPr>
        <w:t>D</w:t>
      </w:r>
      <w:r w:rsidR="00DD1A7A" w:rsidRPr="00D538BA">
        <w:rPr>
          <w:szCs w:val="26"/>
        </w:rPr>
        <w:t xml:space="preserve">DR potential are at the system level, meaning that they reflect line losses between the generator and customer meter.  </w:t>
      </w:r>
      <w:r w:rsidR="0039462C">
        <w:rPr>
          <w:szCs w:val="26"/>
        </w:rPr>
        <w:t xml:space="preserve">Table </w:t>
      </w:r>
      <w:r w:rsidR="004451AB">
        <w:rPr>
          <w:szCs w:val="26"/>
        </w:rPr>
        <w:t>14</w:t>
      </w:r>
      <w:r w:rsidR="0039462C">
        <w:rPr>
          <w:szCs w:val="26"/>
        </w:rPr>
        <w:t xml:space="preserve"> also presents estimates of DDR potential as the average </w:t>
      </w:r>
      <w:r w:rsidR="00637BCE">
        <w:rPr>
          <w:szCs w:val="26"/>
        </w:rPr>
        <w:t>megawatt (</w:t>
      </w:r>
      <w:r w:rsidR="0039462C">
        <w:rPr>
          <w:szCs w:val="26"/>
        </w:rPr>
        <w:t>MW</w:t>
      </w:r>
      <w:r w:rsidR="00FF4366">
        <w:rPr>
          <w:szCs w:val="26"/>
        </w:rPr>
        <w:t>)</w:t>
      </w:r>
      <w:r w:rsidR="0039462C">
        <w:rPr>
          <w:szCs w:val="26"/>
        </w:rPr>
        <w:t xml:space="preserve"> value across the five years of Phase IV.  However, the estimates of potential vary somewhat by year because of the availability of the avoided cost of </w:t>
      </w:r>
      <w:r w:rsidR="0039462C">
        <w:rPr>
          <w:szCs w:val="26"/>
        </w:rPr>
        <w:lastRenderedPageBreak/>
        <w:t>generation capacity benefit stream and assumptions about the time it takes an EDC and its CSP to ramp up a DDR program.  In recognition of this ramp up time, and the fact that the summer DR season is the first four months of each EE&amp;C Program year, the Commission chose not to order DDR program activity during PY8, the first year of Phase III.  Additionally, although each EDC shows a non-zero amount of DDR potential, the Commission notes that the estimates of DDR potential for Penn Power, Duquesne Light, and West Penn Power add up to less than 10 MW/year and represent less than 0.1% of the peak load of those three EDCs.</w:t>
      </w:r>
    </w:p>
    <w:p w14:paraId="1DA64077" w14:textId="749C5930" w:rsidR="00DD1A7A" w:rsidRPr="009D45DB" w:rsidRDefault="00DD1A7A" w:rsidP="00DD1A7A">
      <w:pPr>
        <w:pStyle w:val="p3"/>
        <w:keepNext/>
        <w:widowControl/>
        <w:tabs>
          <w:tab w:val="clear" w:pos="204"/>
        </w:tabs>
        <w:spacing w:line="360" w:lineRule="auto"/>
        <w:jc w:val="center"/>
        <w:rPr>
          <w:b/>
          <w:bCs/>
          <w:szCs w:val="26"/>
        </w:rPr>
      </w:pPr>
      <w:bookmarkStart w:id="315" w:name="_Ref33465980"/>
      <w:r w:rsidRPr="009D45DB">
        <w:rPr>
          <w:b/>
          <w:bCs/>
          <w:szCs w:val="26"/>
        </w:rPr>
        <w:t>Table</w:t>
      </w:r>
      <w:bookmarkEnd w:id="315"/>
      <w:r w:rsidR="00A44AF5">
        <w:rPr>
          <w:b/>
          <w:bCs/>
          <w:szCs w:val="26"/>
        </w:rPr>
        <w:t xml:space="preserve"> </w:t>
      </w:r>
      <w:r w:rsidR="004451AB">
        <w:rPr>
          <w:b/>
          <w:bCs/>
          <w:szCs w:val="26"/>
        </w:rPr>
        <w:t>14</w:t>
      </w:r>
      <w:r w:rsidRPr="009D45DB">
        <w:rPr>
          <w:b/>
          <w:bCs/>
          <w:szCs w:val="26"/>
        </w:rPr>
        <w:t xml:space="preserve">: </w:t>
      </w:r>
      <w:r w:rsidRPr="00174F05">
        <w:rPr>
          <w:b/>
          <w:bCs/>
          <w:szCs w:val="26"/>
        </w:rPr>
        <w:t xml:space="preserve">Phase IV </w:t>
      </w:r>
      <w:r w:rsidR="003E44A7">
        <w:rPr>
          <w:b/>
          <w:bCs/>
          <w:szCs w:val="26"/>
        </w:rPr>
        <w:t>D</w:t>
      </w:r>
      <w:r w:rsidRPr="00174F05">
        <w:rPr>
          <w:b/>
          <w:bCs/>
          <w:szCs w:val="26"/>
        </w:rPr>
        <w:t>D</w:t>
      </w:r>
      <w:r w:rsidR="00C60246">
        <w:rPr>
          <w:b/>
          <w:bCs/>
          <w:szCs w:val="26"/>
        </w:rPr>
        <w:t xml:space="preserve">R </w:t>
      </w:r>
      <w:r w:rsidRPr="00174F05">
        <w:rPr>
          <w:b/>
          <w:bCs/>
          <w:szCs w:val="26"/>
        </w:rPr>
        <w:t>Potential, by EDC</w:t>
      </w:r>
    </w:p>
    <w:tbl>
      <w:tblPr>
        <w:tblStyle w:val="DSA"/>
        <w:tblW w:w="5099" w:type="pct"/>
        <w:jc w:val="center"/>
        <w:tblLayout w:type="fixed"/>
        <w:tblLook w:val="04A0" w:firstRow="1" w:lastRow="0" w:firstColumn="1" w:lastColumn="0" w:noHBand="0" w:noVBand="1"/>
      </w:tblPr>
      <w:tblGrid>
        <w:gridCol w:w="1705"/>
        <w:gridCol w:w="1215"/>
        <w:gridCol w:w="1484"/>
        <w:gridCol w:w="1060"/>
        <w:gridCol w:w="1095"/>
        <w:gridCol w:w="1098"/>
        <w:gridCol w:w="1077"/>
        <w:gridCol w:w="801"/>
      </w:tblGrid>
      <w:tr w:rsidR="00D63D5E" w:rsidRPr="00830988" w14:paraId="7DD53601" w14:textId="77777777" w:rsidTr="008E374C">
        <w:trPr>
          <w:cnfStyle w:val="100000000000" w:firstRow="1" w:lastRow="0" w:firstColumn="0" w:lastColumn="0" w:oddVBand="0" w:evenVBand="0" w:oddHBand="0" w:evenHBand="0" w:firstRowFirstColumn="0" w:firstRowLastColumn="0" w:lastRowFirstColumn="0" w:lastRowLastColumn="0"/>
          <w:trHeight w:val="883"/>
          <w:jc w:val="center"/>
        </w:trPr>
        <w:tc>
          <w:tcPr>
            <w:tcW w:w="894" w:type="pct"/>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hideMark/>
          </w:tcPr>
          <w:p w14:paraId="0E03DF0A" w14:textId="77777777" w:rsidR="00DD1A7A" w:rsidRPr="00830988" w:rsidRDefault="00DD1A7A" w:rsidP="008E374C">
            <w:pPr>
              <w:keepNext/>
              <w:rPr>
                <w:rFonts w:ascii="Times New Roman" w:eastAsia="Times New Roman" w:hAnsi="Times New Roman" w:cs="Times New Roman"/>
                <w:b/>
                <w:bCs/>
                <w:color w:val="FFFFFF"/>
                <w:sz w:val="20"/>
                <w:szCs w:val="20"/>
              </w:rPr>
            </w:pPr>
            <w:r w:rsidRPr="00830988">
              <w:rPr>
                <w:rFonts w:ascii="Times New Roman" w:eastAsia="Times New Roman" w:hAnsi="Times New Roman" w:cs="Times New Roman"/>
                <w:b/>
                <w:bCs/>
                <w:sz w:val="20"/>
                <w:szCs w:val="20"/>
              </w:rPr>
              <w:t>EDC</w:t>
            </w:r>
          </w:p>
        </w:tc>
        <w:tc>
          <w:tcPr>
            <w:tcW w:w="63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459032E3" w14:textId="77777777" w:rsidR="00DD1A7A" w:rsidRPr="00830988" w:rsidRDefault="00DD1A7A" w:rsidP="008E374C">
            <w:pPr>
              <w:keepNext/>
              <w:jc w:val="center"/>
              <w:rPr>
                <w:rFonts w:ascii="Times New Roman" w:eastAsia="Times New Roman" w:hAnsi="Times New Roman" w:cs="Times New Roman"/>
                <w:b/>
                <w:bCs/>
                <w:color w:val="FFFFFF"/>
                <w:sz w:val="20"/>
                <w:szCs w:val="20"/>
              </w:rPr>
            </w:pPr>
            <w:r w:rsidRPr="00830988">
              <w:rPr>
                <w:rFonts w:ascii="Times New Roman" w:eastAsia="Times New Roman" w:hAnsi="Times New Roman" w:cs="Times New Roman"/>
                <w:b/>
                <w:bCs/>
                <w:sz w:val="20"/>
                <w:szCs w:val="20"/>
              </w:rPr>
              <w:t>DR Potential (MW/year)</w:t>
            </w:r>
          </w:p>
        </w:tc>
        <w:tc>
          <w:tcPr>
            <w:tcW w:w="77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47FD0768" w14:textId="77777777" w:rsidR="00DD1A7A" w:rsidRPr="00830988" w:rsidRDefault="00DD1A7A" w:rsidP="008E374C">
            <w:pPr>
              <w:keepNext/>
              <w:jc w:val="center"/>
              <w:rPr>
                <w:rFonts w:ascii="Times New Roman" w:eastAsia="Times New Roman" w:hAnsi="Times New Roman" w:cs="Times New Roman"/>
                <w:b/>
                <w:bCs/>
                <w:color w:val="FFFFFF"/>
                <w:sz w:val="20"/>
                <w:szCs w:val="20"/>
              </w:rPr>
            </w:pPr>
            <w:r w:rsidRPr="00830988">
              <w:rPr>
                <w:rFonts w:ascii="Times New Roman" w:eastAsia="Times New Roman" w:hAnsi="Times New Roman" w:cs="Times New Roman"/>
                <w:b/>
                <w:bCs/>
                <w:sz w:val="20"/>
                <w:szCs w:val="20"/>
              </w:rPr>
              <w:t>Budget Requirement ($1,000 Nominal)</w:t>
            </w:r>
          </w:p>
        </w:tc>
        <w:tc>
          <w:tcPr>
            <w:tcW w:w="55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5111EB8F" w14:textId="77777777" w:rsidR="00DD1A7A" w:rsidRPr="00830988" w:rsidRDefault="00DD1A7A" w:rsidP="008E374C">
            <w:pPr>
              <w:keepNext/>
              <w:jc w:val="center"/>
              <w:rPr>
                <w:rFonts w:ascii="Times New Roman" w:eastAsia="Times New Roman" w:hAnsi="Times New Roman" w:cs="Times New Roman"/>
                <w:b/>
                <w:bCs/>
                <w:color w:val="FFFFFF"/>
                <w:sz w:val="20"/>
                <w:szCs w:val="20"/>
              </w:rPr>
            </w:pPr>
            <w:r w:rsidRPr="00830988">
              <w:rPr>
                <w:rFonts w:ascii="Times New Roman" w:eastAsia="Times New Roman" w:hAnsi="Times New Roman" w:cs="Times New Roman"/>
                <w:b/>
                <w:bCs/>
                <w:sz w:val="20"/>
                <w:szCs w:val="20"/>
              </w:rPr>
              <w:t>Percent of EE&amp;C Budget</w:t>
            </w:r>
          </w:p>
        </w:tc>
        <w:tc>
          <w:tcPr>
            <w:tcW w:w="57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3786B16E" w14:textId="77777777" w:rsidR="00DD1A7A" w:rsidRPr="00830988" w:rsidRDefault="00DD1A7A" w:rsidP="008E374C">
            <w:pPr>
              <w:keepNext/>
              <w:jc w:val="center"/>
              <w:rPr>
                <w:rFonts w:ascii="Times New Roman" w:eastAsia="Times New Roman" w:hAnsi="Times New Roman" w:cs="Times New Roman"/>
                <w:b/>
                <w:bCs/>
                <w:color w:val="FFFFFF"/>
                <w:sz w:val="20"/>
                <w:szCs w:val="20"/>
              </w:rPr>
            </w:pPr>
            <w:r w:rsidRPr="00830988">
              <w:rPr>
                <w:rFonts w:ascii="Times New Roman" w:eastAsia="Times New Roman" w:hAnsi="Times New Roman" w:cs="Times New Roman"/>
                <w:b/>
                <w:bCs/>
                <w:sz w:val="20"/>
                <w:szCs w:val="20"/>
              </w:rPr>
              <w:t>TRC Cost ($1,000)</w:t>
            </w:r>
          </w:p>
        </w:tc>
        <w:tc>
          <w:tcPr>
            <w:tcW w:w="57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455192B1" w14:textId="77777777" w:rsidR="00DD1A7A" w:rsidRPr="00830988" w:rsidRDefault="00DD1A7A" w:rsidP="008E374C">
            <w:pPr>
              <w:keepNext/>
              <w:jc w:val="center"/>
              <w:rPr>
                <w:rFonts w:ascii="Times New Roman" w:eastAsia="Times New Roman" w:hAnsi="Times New Roman" w:cs="Times New Roman"/>
                <w:b/>
                <w:bCs/>
                <w:color w:val="FFFFFF"/>
                <w:sz w:val="20"/>
                <w:szCs w:val="20"/>
              </w:rPr>
            </w:pPr>
            <w:r w:rsidRPr="00830988">
              <w:rPr>
                <w:rFonts w:ascii="Times New Roman" w:eastAsia="Times New Roman" w:hAnsi="Times New Roman" w:cs="Times New Roman"/>
                <w:b/>
                <w:bCs/>
                <w:sz w:val="20"/>
                <w:szCs w:val="20"/>
              </w:rPr>
              <w:t>TRC Benefit ($1,000)</w:t>
            </w:r>
          </w:p>
        </w:tc>
        <w:tc>
          <w:tcPr>
            <w:tcW w:w="56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65755FF3" w14:textId="77777777" w:rsidR="00DD1A7A" w:rsidRPr="00830988" w:rsidRDefault="00DD1A7A" w:rsidP="008E374C">
            <w:pPr>
              <w:keepNext/>
              <w:jc w:val="center"/>
              <w:rPr>
                <w:rFonts w:ascii="Times New Roman" w:eastAsia="Times New Roman" w:hAnsi="Times New Roman" w:cs="Times New Roman"/>
                <w:b/>
                <w:bCs/>
                <w:color w:val="FFFFFF"/>
                <w:sz w:val="20"/>
                <w:szCs w:val="20"/>
              </w:rPr>
            </w:pPr>
            <w:r w:rsidRPr="00830988">
              <w:rPr>
                <w:rFonts w:ascii="Times New Roman" w:eastAsia="Times New Roman" w:hAnsi="Times New Roman" w:cs="Times New Roman"/>
                <w:b/>
                <w:bCs/>
                <w:sz w:val="20"/>
                <w:szCs w:val="20"/>
              </w:rPr>
              <w:t>PVNB ($1,000)</w:t>
            </w:r>
          </w:p>
        </w:tc>
        <w:tc>
          <w:tcPr>
            <w:tcW w:w="420" w:type="pct"/>
            <w:tcBorders>
              <w:top w:val="single" w:sz="4" w:space="0" w:color="auto"/>
              <w:left w:val="single" w:sz="4" w:space="0" w:color="FFFFFF" w:themeColor="background1"/>
              <w:bottom w:val="single" w:sz="4" w:space="0" w:color="auto"/>
              <w:right w:val="single" w:sz="4" w:space="0" w:color="auto"/>
            </w:tcBorders>
            <w:shd w:val="clear" w:color="auto" w:fill="000000" w:themeFill="text1"/>
            <w:vAlign w:val="center"/>
            <w:hideMark/>
          </w:tcPr>
          <w:p w14:paraId="62EECA56" w14:textId="77777777" w:rsidR="00DD1A7A" w:rsidRPr="00830988" w:rsidRDefault="00DD1A7A" w:rsidP="008E374C">
            <w:pPr>
              <w:keepNext/>
              <w:jc w:val="center"/>
              <w:rPr>
                <w:rFonts w:ascii="Times New Roman" w:eastAsia="Times New Roman" w:hAnsi="Times New Roman" w:cs="Times New Roman"/>
                <w:b/>
                <w:bCs/>
                <w:color w:val="FFFFFF"/>
                <w:sz w:val="20"/>
                <w:szCs w:val="20"/>
              </w:rPr>
            </w:pPr>
            <w:r w:rsidRPr="00830988">
              <w:rPr>
                <w:rFonts w:ascii="Times New Roman" w:eastAsia="Times New Roman" w:hAnsi="Times New Roman" w:cs="Times New Roman"/>
                <w:b/>
                <w:bCs/>
                <w:sz w:val="20"/>
                <w:szCs w:val="20"/>
              </w:rPr>
              <w:t>TRC Ratio</w:t>
            </w:r>
          </w:p>
        </w:tc>
      </w:tr>
      <w:tr w:rsidR="0096685E" w:rsidRPr="00830988" w14:paraId="44634588" w14:textId="77777777" w:rsidTr="008E374C">
        <w:trPr>
          <w:trHeight w:val="300"/>
          <w:jc w:val="center"/>
        </w:trPr>
        <w:tc>
          <w:tcPr>
            <w:tcW w:w="894" w:type="pct"/>
            <w:tcBorders>
              <w:top w:val="single" w:sz="4" w:space="0" w:color="auto"/>
              <w:left w:val="single" w:sz="4" w:space="0" w:color="auto"/>
              <w:bottom w:val="single" w:sz="4" w:space="0" w:color="auto"/>
              <w:right w:val="single" w:sz="4" w:space="0" w:color="auto"/>
            </w:tcBorders>
            <w:vAlign w:val="center"/>
          </w:tcPr>
          <w:p w14:paraId="6DC177B2" w14:textId="5C66DF1D" w:rsidR="0096685E" w:rsidRPr="00830988" w:rsidRDefault="0096685E" w:rsidP="0096685E">
            <w:pPr>
              <w:keepNext/>
              <w:rPr>
                <w:sz w:val="20"/>
                <w:szCs w:val="20"/>
              </w:rPr>
            </w:pPr>
            <w:r w:rsidRPr="00830988">
              <w:rPr>
                <w:rFonts w:ascii="Times New Roman" w:eastAsia="Times New Roman" w:hAnsi="Times New Roman" w:cs="Times New Roman"/>
                <w:sz w:val="20"/>
                <w:szCs w:val="20"/>
              </w:rPr>
              <w:t>Duquesne Light</w:t>
            </w:r>
          </w:p>
        </w:tc>
        <w:tc>
          <w:tcPr>
            <w:tcW w:w="637" w:type="pct"/>
            <w:tcBorders>
              <w:top w:val="single" w:sz="4" w:space="0" w:color="auto"/>
              <w:left w:val="single" w:sz="4" w:space="0" w:color="auto"/>
              <w:bottom w:val="single" w:sz="4" w:space="0" w:color="auto"/>
              <w:right w:val="single" w:sz="4" w:space="0" w:color="auto"/>
            </w:tcBorders>
            <w:vAlign w:val="center"/>
          </w:tcPr>
          <w:p w14:paraId="3219CEEB" w14:textId="718A311A" w:rsidR="0096685E" w:rsidRPr="00830988" w:rsidRDefault="0096685E" w:rsidP="0096685E">
            <w:pPr>
              <w:keepNext/>
              <w:jc w:val="center"/>
              <w:rPr>
                <w:sz w:val="20"/>
                <w:szCs w:val="20"/>
              </w:rPr>
            </w:pPr>
            <w:r w:rsidRPr="00830988">
              <w:rPr>
                <w:rFonts w:ascii="Times New Roman" w:eastAsia="Times New Roman" w:hAnsi="Times New Roman" w:cs="Times New Roman"/>
                <w:sz w:val="20"/>
                <w:szCs w:val="20"/>
              </w:rPr>
              <w:t>3.6</w:t>
            </w:r>
          </w:p>
        </w:tc>
        <w:tc>
          <w:tcPr>
            <w:tcW w:w="778" w:type="pct"/>
            <w:tcBorders>
              <w:top w:val="single" w:sz="4" w:space="0" w:color="auto"/>
              <w:left w:val="single" w:sz="4" w:space="0" w:color="auto"/>
              <w:bottom w:val="single" w:sz="4" w:space="0" w:color="auto"/>
              <w:right w:val="single" w:sz="4" w:space="0" w:color="auto"/>
            </w:tcBorders>
            <w:vAlign w:val="center"/>
          </w:tcPr>
          <w:p w14:paraId="2323CC8A" w14:textId="5D8A9CEB" w:rsidR="0096685E" w:rsidRPr="00830988" w:rsidRDefault="0096685E" w:rsidP="0096685E">
            <w:pPr>
              <w:keepNext/>
              <w:jc w:val="center"/>
              <w:rPr>
                <w:sz w:val="20"/>
                <w:szCs w:val="20"/>
              </w:rPr>
            </w:pPr>
            <w:r w:rsidRPr="00830988">
              <w:rPr>
                <w:rFonts w:ascii="Times New Roman" w:eastAsia="Times New Roman" w:hAnsi="Times New Roman" w:cs="Times New Roman"/>
                <w:sz w:val="20"/>
                <w:szCs w:val="20"/>
              </w:rPr>
              <w:t>$455</w:t>
            </w:r>
          </w:p>
        </w:tc>
        <w:tc>
          <w:tcPr>
            <w:tcW w:w="556" w:type="pct"/>
            <w:tcBorders>
              <w:top w:val="single" w:sz="4" w:space="0" w:color="auto"/>
              <w:left w:val="single" w:sz="4" w:space="0" w:color="auto"/>
              <w:bottom w:val="single" w:sz="4" w:space="0" w:color="auto"/>
              <w:right w:val="single" w:sz="4" w:space="0" w:color="auto"/>
            </w:tcBorders>
            <w:vAlign w:val="center"/>
          </w:tcPr>
          <w:p w14:paraId="2F6A8255" w14:textId="29B2C18F" w:rsidR="0096685E" w:rsidRPr="00830988" w:rsidRDefault="0096685E" w:rsidP="0096685E">
            <w:pPr>
              <w:keepNext/>
              <w:jc w:val="center"/>
              <w:rPr>
                <w:sz w:val="20"/>
                <w:szCs w:val="20"/>
              </w:rPr>
            </w:pPr>
            <w:r w:rsidRPr="00830988">
              <w:rPr>
                <w:rFonts w:ascii="Times New Roman" w:eastAsia="Times New Roman" w:hAnsi="Times New Roman" w:cs="Times New Roman"/>
                <w:sz w:val="20"/>
                <w:szCs w:val="20"/>
              </w:rPr>
              <w:t>0.47%</w:t>
            </w:r>
          </w:p>
        </w:tc>
        <w:tc>
          <w:tcPr>
            <w:tcW w:w="574" w:type="pct"/>
            <w:tcBorders>
              <w:top w:val="single" w:sz="4" w:space="0" w:color="auto"/>
              <w:left w:val="single" w:sz="4" w:space="0" w:color="auto"/>
              <w:bottom w:val="single" w:sz="4" w:space="0" w:color="auto"/>
              <w:right w:val="single" w:sz="4" w:space="0" w:color="auto"/>
            </w:tcBorders>
            <w:vAlign w:val="center"/>
          </w:tcPr>
          <w:p w14:paraId="2416B333" w14:textId="49B84ACA" w:rsidR="0096685E" w:rsidRPr="00830988" w:rsidRDefault="0096685E" w:rsidP="0096685E">
            <w:pPr>
              <w:keepNext/>
              <w:jc w:val="center"/>
              <w:rPr>
                <w:sz w:val="20"/>
                <w:szCs w:val="20"/>
              </w:rPr>
            </w:pPr>
            <w:r w:rsidRPr="00830988">
              <w:rPr>
                <w:rFonts w:ascii="Times New Roman" w:eastAsia="Times New Roman" w:hAnsi="Times New Roman" w:cs="Times New Roman"/>
                <w:sz w:val="20"/>
                <w:szCs w:val="20"/>
              </w:rPr>
              <w:t>$394</w:t>
            </w:r>
          </w:p>
        </w:tc>
        <w:tc>
          <w:tcPr>
            <w:tcW w:w="576" w:type="pct"/>
            <w:tcBorders>
              <w:top w:val="single" w:sz="4" w:space="0" w:color="auto"/>
              <w:left w:val="single" w:sz="4" w:space="0" w:color="auto"/>
              <w:bottom w:val="single" w:sz="4" w:space="0" w:color="auto"/>
              <w:right w:val="single" w:sz="4" w:space="0" w:color="auto"/>
            </w:tcBorders>
            <w:vAlign w:val="center"/>
          </w:tcPr>
          <w:p w14:paraId="15E56779" w14:textId="3E19F7EE" w:rsidR="0096685E" w:rsidRPr="00830988" w:rsidRDefault="0096685E" w:rsidP="0096685E">
            <w:pPr>
              <w:keepNext/>
              <w:jc w:val="center"/>
              <w:rPr>
                <w:sz w:val="20"/>
                <w:szCs w:val="20"/>
              </w:rPr>
            </w:pPr>
            <w:r w:rsidRPr="00830988">
              <w:rPr>
                <w:rFonts w:ascii="Times New Roman" w:eastAsia="Times New Roman" w:hAnsi="Times New Roman" w:cs="Times New Roman"/>
                <w:sz w:val="20"/>
                <w:szCs w:val="20"/>
              </w:rPr>
              <w:t>$793</w:t>
            </w:r>
          </w:p>
        </w:tc>
        <w:tc>
          <w:tcPr>
            <w:tcW w:w="565" w:type="pct"/>
            <w:tcBorders>
              <w:top w:val="single" w:sz="4" w:space="0" w:color="auto"/>
              <w:left w:val="single" w:sz="4" w:space="0" w:color="auto"/>
              <w:bottom w:val="single" w:sz="4" w:space="0" w:color="auto"/>
              <w:right w:val="single" w:sz="4" w:space="0" w:color="auto"/>
            </w:tcBorders>
            <w:vAlign w:val="center"/>
          </w:tcPr>
          <w:p w14:paraId="1CBF4C6C" w14:textId="0549496B" w:rsidR="0096685E" w:rsidRPr="00830988" w:rsidRDefault="0096685E" w:rsidP="0096685E">
            <w:pPr>
              <w:keepNext/>
              <w:jc w:val="center"/>
              <w:rPr>
                <w:sz w:val="20"/>
                <w:szCs w:val="20"/>
              </w:rPr>
            </w:pPr>
            <w:r w:rsidRPr="00830988">
              <w:rPr>
                <w:rFonts w:ascii="Times New Roman" w:eastAsia="Times New Roman" w:hAnsi="Times New Roman" w:cs="Times New Roman"/>
                <w:sz w:val="20"/>
                <w:szCs w:val="20"/>
              </w:rPr>
              <w:t>$399</w:t>
            </w:r>
          </w:p>
        </w:tc>
        <w:tc>
          <w:tcPr>
            <w:tcW w:w="420" w:type="pct"/>
            <w:tcBorders>
              <w:top w:val="single" w:sz="4" w:space="0" w:color="auto"/>
              <w:left w:val="single" w:sz="4" w:space="0" w:color="auto"/>
              <w:bottom w:val="single" w:sz="4" w:space="0" w:color="auto"/>
              <w:right w:val="single" w:sz="4" w:space="0" w:color="auto"/>
            </w:tcBorders>
            <w:vAlign w:val="center"/>
          </w:tcPr>
          <w:p w14:paraId="71E39F4D" w14:textId="67924D2F" w:rsidR="0096685E" w:rsidRPr="00830988" w:rsidRDefault="0096685E" w:rsidP="0096685E">
            <w:pPr>
              <w:keepNext/>
              <w:jc w:val="center"/>
              <w:rPr>
                <w:color w:val="595959"/>
                <w:sz w:val="20"/>
                <w:szCs w:val="20"/>
              </w:rPr>
            </w:pPr>
            <w:r w:rsidRPr="00830988">
              <w:rPr>
                <w:rFonts w:ascii="Times New Roman" w:eastAsia="Times New Roman" w:hAnsi="Times New Roman" w:cs="Times New Roman"/>
                <w:sz w:val="20"/>
                <w:szCs w:val="20"/>
              </w:rPr>
              <w:t>2.01</w:t>
            </w:r>
          </w:p>
        </w:tc>
      </w:tr>
      <w:tr w:rsidR="0096685E" w:rsidRPr="00830988" w14:paraId="576573C3" w14:textId="77777777" w:rsidTr="008E374C">
        <w:trPr>
          <w:trHeight w:val="300"/>
          <w:jc w:val="center"/>
        </w:trPr>
        <w:tc>
          <w:tcPr>
            <w:tcW w:w="894" w:type="pct"/>
            <w:tcBorders>
              <w:top w:val="single" w:sz="4" w:space="0" w:color="auto"/>
              <w:left w:val="single" w:sz="4" w:space="0" w:color="auto"/>
              <w:bottom w:val="single" w:sz="4" w:space="0" w:color="auto"/>
              <w:right w:val="single" w:sz="4" w:space="0" w:color="auto"/>
            </w:tcBorders>
            <w:vAlign w:val="center"/>
            <w:hideMark/>
          </w:tcPr>
          <w:p w14:paraId="7785D2B9" w14:textId="77777777" w:rsidR="0096685E" w:rsidRPr="00830988" w:rsidRDefault="0096685E" w:rsidP="0096685E">
            <w:pPr>
              <w:keepNext/>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PECO</w:t>
            </w:r>
          </w:p>
        </w:tc>
        <w:tc>
          <w:tcPr>
            <w:tcW w:w="637" w:type="pct"/>
            <w:tcBorders>
              <w:top w:val="single" w:sz="4" w:space="0" w:color="auto"/>
              <w:left w:val="single" w:sz="4" w:space="0" w:color="auto"/>
              <w:bottom w:val="single" w:sz="4" w:space="0" w:color="auto"/>
              <w:right w:val="single" w:sz="4" w:space="0" w:color="auto"/>
            </w:tcBorders>
            <w:vAlign w:val="center"/>
            <w:hideMark/>
          </w:tcPr>
          <w:p w14:paraId="63F207E7"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83.3</w:t>
            </w:r>
          </w:p>
        </w:tc>
        <w:tc>
          <w:tcPr>
            <w:tcW w:w="778" w:type="pct"/>
            <w:tcBorders>
              <w:top w:val="single" w:sz="4" w:space="0" w:color="auto"/>
              <w:left w:val="single" w:sz="4" w:space="0" w:color="auto"/>
              <w:bottom w:val="single" w:sz="4" w:space="0" w:color="auto"/>
              <w:right w:val="single" w:sz="4" w:space="0" w:color="auto"/>
            </w:tcBorders>
            <w:vAlign w:val="center"/>
            <w:hideMark/>
          </w:tcPr>
          <w:p w14:paraId="57261D21"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$29,711</w:t>
            </w:r>
          </w:p>
        </w:tc>
        <w:tc>
          <w:tcPr>
            <w:tcW w:w="556" w:type="pct"/>
            <w:tcBorders>
              <w:top w:val="single" w:sz="4" w:space="0" w:color="auto"/>
              <w:left w:val="single" w:sz="4" w:space="0" w:color="auto"/>
              <w:bottom w:val="single" w:sz="4" w:space="0" w:color="auto"/>
              <w:right w:val="single" w:sz="4" w:space="0" w:color="auto"/>
            </w:tcBorders>
            <w:vAlign w:val="center"/>
            <w:hideMark/>
          </w:tcPr>
          <w:p w14:paraId="6C3870A0"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6.95%</w:t>
            </w:r>
          </w:p>
        </w:tc>
        <w:tc>
          <w:tcPr>
            <w:tcW w:w="574" w:type="pct"/>
            <w:tcBorders>
              <w:top w:val="single" w:sz="4" w:space="0" w:color="auto"/>
              <w:left w:val="single" w:sz="4" w:space="0" w:color="auto"/>
              <w:bottom w:val="single" w:sz="4" w:space="0" w:color="auto"/>
              <w:right w:val="single" w:sz="4" w:space="0" w:color="auto"/>
            </w:tcBorders>
            <w:vAlign w:val="center"/>
            <w:hideMark/>
          </w:tcPr>
          <w:p w14:paraId="4C458AB5"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$26,177</w:t>
            </w:r>
          </w:p>
        </w:tc>
        <w:tc>
          <w:tcPr>
            <w:tcW w:w="576" w:type="pct"/>
            <w:tcBorders>
              <w:top w:val="single" w:sz="4" w:space="0" w:color="auto"/>
              <w:left w:val="single" w:sz="4" w:space="0" w:color="auto"/>
              <w:bottom w:val="single" w:sz="4" w:space="0" w:color="auto"/>
              <w:right w:val="single" w:sz="4" w:space="0" w:color="auto"/>
            </w:tcBorders>
            <w:vAlign w:val="center"/>
            <w:hideMark/>
          </w:tcPr>
          <w:p w14:paraId="22E720D7"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$40,298</w:t>
            </w:r>
          </w:p>
        </w:tc>
        <w:tc>
          <w:tcPr>
            <w:tcW w:w="565" w:type="pct"/>
            <w:tcBorders>
              <w:top w:val="single" w:sz="4" w:space="0" w:color="auto"/>
              <w:left w:val="single" w:sz="4" w:space="0" w:color="auto"/>
              <w:bottom w:val="single" w:sz="4" w:space="0" w:color="auto"/>
              <w:right w:val="single" w:sz="4" w:space="0" w:color="auto"/>
            </w:tcBorders>
            <w:vAlign w:val="center"/>
            <w:hideMark/>
          </w:tcPr>
          <w:p w14:paraId="17E39ED7"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$14,121</w:t>
            </w:r>
          </w:p>
        </w:tc>
        <w:tc>
          <w:tcPr>
            <w:tcW w:w="420" w:type="pct"/>
            <w:tcBorders>
              <w:top w:val="single" w:sz="4" w:space="0" w:color="auto"/>
              <w:left w:val="single" w:sz="4" w:space="0" w:color="auto"/>
              <w:bottom w:val="single" w:sz="4" w:space="0" w:color="auto"/>
              <w:right w:val="single" w:sz="4" w:space="0" w:color="auto"/>
            </w:tcBorders>
            <w:vAlign w:val="center"/>
            <w:hideMark/>
          </w:tcPr>
          <w:p w14:paraId="12516391"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color w:val="595959"/>
                <w:sz w:val="20"/>
                <w:szCs w:val="20"/>
              </w:rPr>
              <w:t>1.54</w:t>
            </w:r>
          </w:p>
        </w:tc>
      </w:tr>
      <w:tr w:rsidR="0096685E" w:rsidRPr="00830988" w14:paraId="514E3008" w14:textId="77777777" w:rsidTr="008E374C">
        <w:trPr>
          <w:trHeight w:val="300"/>
          <w:jc w:val="center"/>
        </w:trPr>
        <w:tc>
          <w:tcPr>
            <w:tcW w:w="894" w:type="pct"/>
            <w:tcBorders>
              <w:top w:val="single" w:sz="4" w:space="0" w:color="auto"/>
              <w:left w:val="single" w:sz="4" w:space="0" w:color="auto"/>
              <w:bottom w:val="single" w:sz="4" w:space="0" w:color="auto"/>
              <w:right w:val="single" w:sz="4" w:space="0" w:color="auto"/>
            </w:tcBorders>
            <w:vAlign w:val="center"/>
            <w:hideMark/>
          </w:tcPr>
          <w:p w14:paraId="6A16E19E" w14:textId="77777777" w:rsidR="0096685E" w:rsidRPr="00830988" w:rsidRDefault="0096685E" w:rsidP="0096685E">
            <w:pPr>
              <w:keepNext/>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PPL</w:t>
            </w:r>
          </w:p>
        </w:tc>
        <w:tc>
          <w:tcPr>
            <w:tcW w:w="637" w:type="pct"/>
            <w:tcBorders>
              <w:top w:val="single" w:sz="4" w:space="0" w:color="auto"/>
              <w:left w:val="single" w:sz="4" w:space="0" w:color="auto"/>
              <w:bottom w:val="single" w:sz="4" w:space="0" w:color="auto"/>
              <w:right w:val="single" w:sz="4" w:space="0" w:color="auto"/>
            </w:tcBorders>
            <w:vAlign w:val="center"/>
            <w:hideMark/>
          </w:tcPr>
          <w:p w14:paraId="0ADA6C2E"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70.4</w:t>
            </w:r>
          </w:p>
        </w:tc>
        <w:tc>
          <w:tcPr>
            <w:tcW w:w="778" w:type="pct"/>
            <w:tcBorders>
              <w:top w:val="single" w:sz="4" w:space="0" w:color="auto"/>
              <w:left w:val="single" w:sz="4" w:space="0" w:color="auto"/>
              <w:bottom w:val="single" w:sz="4" w:space="0" w:color="auto"/>
              <w:right w:val="single" w:sz="4" w:space="0" w:color="auto"/>
            </w:tcBorders>
            <w:vAlign w:val="center"/>
            <w:hideMark/>
          </w:tcPr>
          <w:p w14:paraId="7874C4E6"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$21,376</w:t>
            </w:r>
          </w:p>
        </w:tc>
        <w:tc>
          <w:tcPr>
            <w:tcW w:w="556" w:type="pct"/>
            <w:tcBorders>
              <w:top w:val="single" w:sz="4" w:space="0" w:color="auto"/>
              <w:left w:val="single" w:sz="4" w:space="0" w:color="auto"/>
              <w:bottom w:val="single" w:sz="4" w:space="0" w:color="auto"/>
              <w:right w:val="single" w:sz="4" w:space="0" w:color="auto"/>
            </w:tcBorders>
            <w:vAlign w:val="center"/>
            <w:hideMark/>
          </w:tcPr>
          <w:p w14:paraId="32B2A17E"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6.95%</w:t>
            </w:r>
          </w:p>
        </w:tc>
        <w:tc>
          <w:tcPr>
            <w:tcW w:w="574" w:type="pct"/>
            <w:tcBorders>
              <w:top w:val="single" w:sz="4" w:space="0" w:color="auto"/>
              <w:left w:val="single" w:sz="4" w:space="0" w:color="auto"/>
              <w:bottom w:val="single" w:sz="4" w:space="0" w:color="auto"/>
              <w:right w:val="single" w:sz="4" w:space="0" w:color="auto"/>
            </w:tcBorders>
            <w:vAlign w:val="center"/>
            <w:hideMark/>
          </w:tcPr>
          <w:p w14:paraId="09EA3505"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$18,812</w:t>
            </w:r>
          </w:p>
        </w:tc>
        <w:tc>
          <w:tcPr>
            <w:tcW w:w="576" w:type="pct"/>
            <w:tcBorders>
              <w:top w:val="single" w:sz="4" w:space="0" w:color="auto"/>
              <w:left w:val="single" w:sz="4" w:space="0" w:color="auto"/>
              <w:bottom w:val="single" w:sz="4" w:space="0" w:color="auto"/>
              <w:right w:val="single" w:sz="4" w:space="0" w:color="auto"/>
            </w:tcBorders>
            <w:vAlign w:val="center"/>
            <w:hideMark/>
          </w:tcPr>
          <w:p w14:paraId="7900B6E9"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$31,206</w:t>
            </w:r>
          </w:p>
        </w:tc>
        <w:tc>
          <w:tcPr>
            <w:tcW w:w="565" w:type="pct"/>
            <w:tcBorders>
              <w:top w:val="single" w:sz="4" w:space="0" w:color="auto"/>
              <w:left w:val="single" w:sz="4" w:space="0" w:color="auto"/>
              <w:bottom w:val="single" w:sz="4" w:space="0" w:color="auto"/>
              <w:right w:val="single" w:sz="4" w:space="0" w:color="auto"/>
            </w:tcBorders>
            <w:vAlign w:val="center"/>
            <w:hideMark/>
          </w:tcPr>
          <w:p w14:paraId="2B760E65"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$12,394</w:t>
            </w:r>
          </w:p>
        </w:tc>
        <w:tc>
          <w:tcPr>
            <w:tcW w:w="420" w:type="pct"/>
            <w:tcBorders>
              <w:top w:val="single" w:sz="4" w:space="0" w:color="auto"/>
              <w:left w:val="single" w:sz="4" w:space="0" w:color="auto"/>
              <w:bottom w:val="single" w:sz="4" w:space="0" w:color="auto"/>
              <w:right w:val="single" w:sz="4" w:space="0" w:color="auto"/>
            </w:tcBorders>
            <w:vAlign w:val="center"/>
            <w:hideMark/>
          </w:tcPr>
          <w:p w14:paraId="6B12F502"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1.66</w:t>
            </w:r>
          </w:p>
        </w:tc>
      </w:tr>
      <w:tr w:rsidR="0096685E" w:rsidRPr="00830988" w14:paraId="07C9F87A" w14:textId="77777777" w:rsidTr="008E374C">
        <w:trPr>
          <w:trHeight w:val="300"/>
          <w:jc w:val="center"/>
        </w:trPr>
        <w:tc>
          <w:tcPr>
            <w:tcW w:w="894" w:type="pct"/>
            <w:tcBorders>
              <w:top w:val="single" w:sz="4" w:space="0" w:color="auto"/>
              <w:left w:val="single" w:sz="4" w:space="0" w:color="auto"/>
              <w:bottom w:val="single" w:sz="4" w:space="0" w:color="auto"/>
              <w:right w:val="single" w:sz="4" w:space="0" w:color="auto"/>
            </w:tcBorders>
            <w:vAlign w:val="center"/>
            <w:hideMark/>
          </w:tcPr>
          <w:p w14:paraId="58027201" w14:textId="77777777" w:rsidR="0096685E" w:rsidRPr="00830988" w:rsidRDefault="0096685E" w:rsidP="0096685E">
            <w:pPr>
              <w:keepNext/>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FE: Met-Ed</w:t>
            </w:r>
          </w:p>
        </w:tc>
        <w:tc>
          <w:tcPr>
            <w:tcW w:w="637" w:type="pct"/>
            <w:tcBorders>
              <w:top w:val="single" w:sz="4" w:space="0" w:color="auto"/>
              <w:left w:val="single" w:sz="4" w:space="0" w:color="auto"/>
              <w:bottom w:val="single" w:sz="4" w:space="0" w:color="auto"/>
              <w:right w:val="single" w:sz="4" w:space="0" w:color="auto"/>
            </w:tcBorders>
            <w:vAlign w:val="center"/>
            <w:hideMark/>
          </w:tcPr>
          <w:p w14:paraId="70DC6328"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25.2</w:t>
            </w:r>
          </w:p>
        </w:tc>
        <w:tc>
          <w:tcPr>
            <w:tcW w:w="778" w:type="pct"/>
            <w:tcBorders>
              <w:top w:val="single" w:sz="4" w:space="0" w:color="auto"/>
              <w:left w:val="single" w:sz="4" w:space="0" w:color="auto"/>
              <w:bottom w:val="single" w:sz="4" w:space="0" w:color="auto"/>
              <w:right w:val="single" w:sz="4" w:space="0" w:color="auto"/>
            </w:tcBorders>
            <w:vAlign w:val="center"/>
            <w:hideMark/>
          </w:tcPr>
          <w:p w14:paraId="51D4EAB8"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$9,116</w:t>
            </w:r>
          </w:p>
        </w:tc>
        <w:tc>
          <w:tcPr>
            <w:tcW w:w="556" w:type="pct"/>
            <w:tcBorders>
              <w:top w:val="single" w:sz="4" w:space="0" w:color="auto"/>
              <w:left w:val="single" w:sz="4" w:space="0" w:color="auto"/>
              <w:bottom w:val="single" w:sz="4" w:space="0" w:color="auto"/>
              <w:right w:val="single" w:sz="4" w:space="0" w:color="auto"/>
            </w:tcBorders>
            <w:vAlign w:val="center"/>
            <w:hideMark/>
          </w:tcPr>
          <w:p w14:paraId="703D71FA"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7.33%</w:t>
            </w:r>
          </w:p>
        </w:tc>
        <w:tc>
          <w:tcPr>
            <w:tcW w:w="574" w:type="pct"/>
            <w:tcBorders>
              <w:top w:val="single" w:sz="4" w:space="0" w:color="auto"/>
              <w:left w:val="single" w:sz="4" w:space="0" w:color="auto"/>
              <w:bottom w:val="single" w:sz="4" w:space="0" w:color="auto"/>
              <w:right w:val="single" w:sz="4" w:space="0" w:color="auto"/>
            </w:tcBorders>
            <w:vAlign w:val="center"/>
            <w:hideMark/>
          </w:tcPr>
          <w:p w14:paraId="004A7B8F"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$8,173</w:t>
            </w:r>
          </w:p>
        </w:tc>
        <w:tc>
          <w:tcPr>
            <w:tcW w:w="576" w:type="pct"/>
            <w:tcBorders>
              <w:top w:val="single" w:sz="4" w:space="0" w:color="auto"/>
              <w:left w:val="single" w:sz="4" w:space="0" w:color="auto"/>
              <w:bottom w:val="single" w:sz="4" w:space="0" w:color="auto"/>
              <w:right w:val="single" w:sz="4" w:space="0" w:color="auto"/>
            </w:tcBorders>
            <w:vAlign w:val="center"/>
            <w:hideMark/>
          </w:tcPr>
          <w:p w14:paraId="4472DA9E"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$10,194</w:t>
            </w:r>
          </w:p>
        </w:tc>
        <w:tc>
          <w:tcPr>
            <w:tcW w:w="565" w:type="pct"/>
            <w:tcBorders>
              <w:top w:val="single" w:sz="4" w:space="0" w:color="auto"/>
              <w:left w:val="single" w:sz="4" w:space="0" w:color="auto"/>
              <w:bottom w:val="single" w:sz="4" w:space="0" w:color="auto"/>
              <w:right w:val="single" w:sz="4" w:space="0" w:color="auto"/>
            </w:tcBorders>
            <w:vAlign w:val="center"/>
            <w:hideMark/>
          </w:tcPr>
          <w:p w14:paraId="0539A5B0"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$2,021</w:t>
            </w:r>
          </w:p>
        </w:tc>
        <w:tc>
          <w:tcPr>
            <w:tcW w:w="420" w:type="pct"/>
            <w:tcBorders>
              <w:top w:val="single" w:sz="4" w:space="0" w:color="auto"/>
              <w:left w:val="single" w:sz="4" w:space="0" w:color="auto"/>
              <w:bottom w:val="single" w:sz="4" w:space="0" w:color="auto"/>
              <w:right w:val="single" w:sz="4" w:space="0" w:color="auto"/>
            </w:tcBorders>
            <w:vAlign w:val="center"/>
            <w:hideMark/>
          </w:tcPr>
          <w:p w14:paraId="0F95FAFA"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1.25</w:t>
            </w:r>
          </w:p>
        </w:tc>
      </w:tr>
      <w:tr w:rsidR="0096685E" w:rsidRPr="00830988" w14:paraId="4105E98A" w14:textId="77777777" w:rsidTr="008E374C">
        <w:trPr>
          <w:trHeight w:val="300"/>
          <w:jc w:val="center"/>
        </w:trPr>
        <w:tc>
          <w:tcPr>
            <w:tcW w:w="894" w:type="pct"/>
            <w:tcBorders>
              <w:top w:val="single" w:sz="4" w:space="0" w:color="auto"/>
              <w:left w:val="single" w:sz="4" w:space="0" w:color="auto"/>
              <w:bottom w:val="single" w:sz="4" w:space="0" w:color="auto"/>
              <w:right w:val="single" w:sz="4" w:space="0" w:color="auto"/>
            </w:tcBorders>
            <w:vAlign w:val="center"/>
            <w:hideMark/>
          </w:tcPr>
          <w:p w14:paraId="6A4E27E0" w14:textId="77777777" w:rsidR="0096685E" w:rsidRPr="00830988" w:rsidRDefault="0096685E" w:rsidP="0096685E">
            <w:pPr>
              <w:keepNext/>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FE: Penelec</w:t>
            </w:r>
          </w:p>
        </w:tc>
        <w:tc>
          <w:tcPr>
            <w:tcW w:w="637" w:type="pct"/>
            <w:tcBorders>
              <w:top w:val="single" w:sz="4" w:space="0" w:color="auto"/>
              <w:left w:val="single" w:sz="4" w:space="0" w:color="auto"/>
              <w:bottom w:val="single" w:sz="4" w:space="0" w:color="auto"/>
              <w:right w:val="single" w:sz="4" w:space="0" w:color="auto"/>
            </w:tcBorders>
            <w:vAlign w:val="center"/>
            <w:hideMark/>
          </w:tcPr>
          <w:p w14:paraId="535CA81F"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11.3</w:t>
            </w:r>
          </w:p>
        </w:tc>
        <w:tc>
          <w:tcPr>
            <w:tcW w:w="778" w:type="pct"/>
            <w:tcBorders>
              <w:top w:val="single" w:sz="4" w:space="0" w:color="auto"/>
              <w:left w:val="single" w:sz="4" w:space="0" w:color="auto"/>
              <w:bottom w:val="single" w:sz="4" w:space="0" w:color="auto"/>
              <w:right w:val="single" w:sz="4" w:space="0" w:color="auto"/>
            </w:tcBorders>
            <w:vAlign w:val="center"/>
            <w:hideMark/>
          </w:tcPr>
          <w:p w14:paraId="24AA8EBF"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$2,550</w:t>
            </w:r>
          </w:p>
        </w:tc>
        <w:tc>
          <w:tcPr>
            <w:tcW w:w="556" w:type="pct"/>
            <w:tcBorders>
              <w:top w:val="single" w:sz="4" w:space="0" w:color="auto"/>
              <w:left w:val="single" w:sz="4" w:space="0" w:color="auto"/>
              <w:bottom w:val="single" w:sz="4" w:space="0" w:color="auto"/>
              <w:right w:val="single" w:sz="4" w:space="0" w:color="auto"/>
            </w:tcBorders>
            <w:vAlign w:val="center"/>
            <w:hideMark/>
          </w:tcPr>
          <w:p w14:paraId="3E32F4ED"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2.22%</w:t>
            </w:r>
          </w:p>
        </w:tc>
        <w:tc>
          <w:tcPr>
            <w:tcW w:w="574" w:type="pct"/>
            <w:tcBorders>
              <w:top w:val="single" w:sz="4" w:space="0" w:color="auto"/>
              <w:left w:val="single" w:sz="4" w:space="0" w:color="auto"/>
              <w:bottom w:val="single" w:sz="4" w:space="0" w:color="auto"/>
              <w:right w:val="single" w:sz="4" w:space="0" w:color="auto"/>
            </w:tcBorders>
            <w:vAlign w:val="center"/>
            <w:hideMark/>
          </w:tcPr>
          <w:p w14:paraId="43EB0323"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$2,295</w:t>
            </w:r>
          </w:p>
        </w:tc>
        <w:tc>
          <w:tcPr>
            <w:tcW w:w="576" w:type="pct"/>
            <w:tcBorders>
              <w:top w:val="single" w:sz="4" w:space="0" w:color="auto"/>
              <w:left w:val="single" w:sz="4" w:space="0" w:color="auto"/>
              <w:bottom w:val="single" w:sz="4" w:space="0" w:color="auto"/>
              <w:right w:val="single" w:sz="4" w:space="0" w:color="auto"/>
            </w:tcBorders>
            <w:vAlign w:val="center"/>
            <w:hideMark/>
          </w:tcPr>
          <w:p w14:paraId="29E423CB"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$3,098</w:t>
            </w:r>
          </w:p>
        </w:tc>
        <w:tc>
          <w:tcPr>
            <w:tcW w:w="565" w:type="pct"/>
            <w:tcBorders>
              <w:top w:val="single" w:sz="4" w:space="0" w:color="auto"/>
              <w:left w:val="single" w:sz="4" w:space="0" w:color="auto"/>
              <w:bottom w:val="single" w:sz="4" w:space="0" w:color="auto"/>
              <w:right w:val="single" w:sz="4" w:space="0" w:color="auto"/>
            </w:tcBorders>
            <w:vAlign w:val="center"/>
            <w:hideMark/>
          </w:tcPr>
          <w:p w14:paraId="303DE090"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$802</w:t>
            </w:r>
          </w:p>
        </w:tc>
        <w:tc>
          <w:tcPr>
            <w:tcW w:w="420" w:type="pct"/>
            <w:tcBorders>
              <w:top w:val="single" w:sz="4" w:space="0" w:color="auto"/>
              <w:left w:val="single" w:sz="4" w:space="0" w:color="auto"/>
              <w:bottom w:val="single" w:sz="4" w:space="0" w:color="auto"/>
              <w:right w:val="single" w:sz="4" w:space="0" w:color="auto"/>
            </w:tcBorders>
            <w:vAlign w:val="center"/>
            <w:hideMark/>
          </w:tcPr>
          <w:p w14:paraId="50DCC888"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1.35</w:t>
            </w:r>
          </w:p>
        </w:tc>
      </w:tr>
      <w:tr w:rsidR="0096685E" w:rsidRPr="00830988" w14:paraId="6AFFCA5F" w14:textId="77777777" w:rsidTr="008E374C">
        <w:trPr>
          <w:trHeight w:val="300"/>
          <w:jc w:val="center"/>
        </w:trPr>
        <w:tc>
          <w:tcPr>
            <w:tcW w:w="894" w:type="pct"/>
            <w:tcBorders>
              <w:top w:val="single" w:sz="4" w:space="0" w:color="auto"/>
              <w:left w:val="single" w:sz="4" w:space="0" w:color="auto"/>
              <w:bottom w:val="single" w:sz="4" w:space="0" w:color="auto"/>
              <w:right w:val="single" w:sz="4" w:space="0" w:color="auto"/>
            </w:tcBorders>
            <w:vAlign w:val="center"/>
            <w:hideMark/>
          </w:tcPr>
          <w:p w14:paraId="1ADD2EB3" w14:textId="77777777" w:rsidR="0096685E" w:rsidRPr="00830988" w:rsidRDefault="0096685E" w:rsidP="0096685E">
            <w:pPr>
              <w:keepNext/>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FE: Penn Power</w:t>
            </w:r>
          </w:p>
        </w:tc>
        <w:tc>
          <w:tcPr>
            <w:tcW w:w="637" w:type="pct"/>
            <w:tcBorders>
              <w:top w:val="single" w:sz="4" w:space="0" w:color="auto"/>
              <w:left w:val="single" w:sz="4" w:space="0" w:color="auto"/>
              <w:bottom w:val="single" w:sz="4" w:space="0" w:color="auto"/>
              <w:right w:val="single" w:sz="4" w:space="0" w:color="auto"/>
            </w:tcBorders>
            <w:vAlign w:val="center"/>
            <w:hideMark/>
          </w:tcPr>
          <w:p w14:paraId="32553B28"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0.5</w:t>
            </w:r>
          </w:p>
        </w:tc>
        <w:tc>
          <w:tcPr>
            <w:tcW w:w="778" w:type="pct"/>
            <w:tcBorders>
              <w:top w:val="single" w:sz="4" w:space="0" w:color="auto"/>
              <w:left w:val="single" w:sz="4" w:space="0" w:color="auto"/>
              <w:bottom w:val="single" w:sz="4" w:space="0" w:color="auto"/>
              <w:right w:val="single" w:sz="4" w:space="0" w:color="auto"/>
            </w:tcBorders>
            <w:vAlign w:val="center"/>
            <w:hideMark/>
          </w:tcPr>
          <w:p w14:paraId="0ACB34DE"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$19</w:t>
            </w:r>
          </w:p>
        </w:tc>
        <w:tc>
          <w:tcPr>
            <w:tcW w:w="556" w:type="pct"/>
            <w:tcBorders>
              <w:top w:val="single" w:sz="4" w:space="0" w:color="auto"/>
              <w:left w:val="single" w:sz="4" w:space="0" w:color="auto"/>
              <w:bottom w:val="single" w:sz="4" w:space="0" w:color="auto"/>
              <w:right w:val="single" w:sz="4" w:space="0" w:color="auto"/>
            </w:tcBorders>
            <w:vAlign w:val="center"/>
            <w:hideMark/>
          </w:tcPr>
          <w:p w14:paraId="30B7D921"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0.06%</w:t>
            </w:r>
          </w:p>
        </w:tc>
        <w:tc>
          <w:tcPr>
            <w:tcW w:w="574" w:type="pct"/>
            <w:tcBorders>
              <w:top w:val="single" w:sz="4" w:space="0" w:color="auto"/>
              <w:left w:val="single" w:sz="4" w:space="0" w:color="auto"/>
              <w:bottom w:val="single" w:sz="4" w:space="0" w:color="auto"/>
              <w:right w:val="single" w:sz="4" w:space="0" w:color="auto"/>
            </w:tcBorders>
            <w:vAlign w:val="center"/>
            <w:hideMark/>
          </w:tcPr>
          <w:p w14:paraId="18118E79"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$17</w:t>
            </w:r>
          </w:p>
        </w:tc>
        <w:tc>
          <w:tcPr>
            <w:tcW w:w="576" w:type="pct"/>
            <w:tcBorders>
              <w:top w:val="single" w:sz="4" w:space="0" w:color="auto"/>
              <w:left w:val="single" w:sz="4" w:space="0" w:color="auto"/>
              <w:bottom w:val="single" w:sz="4" w:space="0" w:color="auto"/>
              <w:right w:val="single" w:sz="4" w:space="0" w:color="auto"/>
            </w:tcBorders>
            <w:vAlign w:val="center"/>
            <w:hideMark/>
          </w:tcPr>
          <w:p w14:paraId="7493765F"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$34</w:t>
            </w:r>
          </w:p>
        </w:tc>
        <w:tc>
          <w:tcPr>
            <w:tcW w:w="565" w:type="pct"/>
            <w:tcBorders>
              <w:top w:val="single" w:sz="4" w:space="0" w:color="auto"/>
              <w:left w:val="single" w:sz="4" w:space="0" w:color="auto"/>
              <w:bottom w:val="single" w:sz="4" w:space="0" w:color="auto"/>
              <w:right w:val="single" w:sz="4" w:space="0" w:color="auto"/>
            </w:tcBorders>
            <w:vAlign w:val="center"/>
            <w:hideMark/>
          </w:tcPr>
          <w:p w14:paraId="5831001D"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$17</w:t>
            </w:r>
          </w:p>
        </w:tc>
        <w:tc>
          <w:tcPr>
            <w:tcW w:w="420" w:type="pct"/>
            <w:tcBorders>
              <w:top w:val="single" w:sz="4" w:space="0" w:color="auto"/>
              <w:left w:val="single" w:sz="4" w:space="0" w:color="auto"/>
              <w:bottom w:val="single" w:sz="4" w:space="0" w:color="auto"/>
              <w:right w:val="single" w:sz="4" w:space="0" w:color="auto"/>
            </w:tcBorders>
            <w:vAlign w:val="center"/>
            <w:hideMark/>
          </w:tcPr>
          <w:p w14:paraId="6ADE3E10"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1.99</w:t>
            </w:r>
          </w:p>
        </w:tc>
      </w:tr>
      <w:tr w:rsidR="0096685E" w:rsidRPr="00830988" w14:paraId="7EBF89D7" w14:textId="77777777" w:rsidTr="008E374C">
        <w:trPr>
          <w:trHeight w:val="300"/>
          <w:jc w:val="center"/>
        </w:trPr>
        <w:tc>
          <w:tcPr>
            <w:tcW w:w="894" w:type="pct"/>
            <w:tcBorders>
              <w:top w:val="single" w:sz="4" w:space="0" w:color="auto"/>
              <w:left w:val="single" w:sz="4" w:space="0" w:color="auto"/>
              <w:bottom w:val="single" w:sz="4" w:space="0" w:color="auto"/>
              <w:right w:val="single" w:sz="4" w:space="0" w:color="auto"/>
            </w:tcBorders>
            <w:vAlign w:val="center"/>
            <w:hideMark/>
          </w:tcPr>
          <w:p w14:paraId="72038157" w14:textId="77777777" w:rsidR="0096685E" w:rsidRPr="00830988" w:rsidRDefault="0096685E" w:rsidP="0096685E">
            <w:pPr>
              <w:keepNext/>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 xml:space="preserve">FE: West Penn </w:t>
            </w:r>
          </w:p>
        </w:tc>
        <w:tc>
          <w:tcPr>
            <w:tcW w:w="637" w:type="pct"/>
            <w:tcBorders>
              <w:top w:val="single" w:sz="4" w:space="0" w:color="auto"/>
              <w:left w:val="single" w:sz="4" w:space="0" w:color="auto"/>
              <w:bottom w:val="single" w:sz="4" w:space="0" w:color="auto"/>
              <w:right w:val="single" w:sz="4" w:space="0" w:color="auto"/>
            </w:tcBorders>
            <w:vAlign w:val="center"/>
            <w:hideMark/>
          </w:tcPr>
          <w:p w14:paraId="0B85D6ED"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3.6</w:t>
            </w:r>
          </w:p>
        </w:tc>
        <w:tc>
          <w:tcPr>
            <w:tcW w:w="778" w:type="pct"/>
            <w:tcBorders>
              <w:top w:val="single" w:sz="4" w:space="0" w:color="auto"/>
              <w:left w:val="single" w:sz="4" w:space="0" w:color="auto"/>
              <w:bottom w:val="single" w:sz="4" w:space="0" w:color="auto"/>
              <w:right w:val="single" w:sz="4" w:space="0" w:color="auto"/>
            </w:tcBorders>
            <w:vAlign w:val="center"/>
            <w:hideMark/>
          </w:tcPr>
          <w:p w14:paraId="2893005D"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$352</w:t>
            </w:r>
          </w:p>
        </w:tc>
        <w:tc>
          <w:tcPr>
            <w:tcW w:w="556" w:type="pct"/>
            <w:tcBorders>
              <w:top w:val="single" w:sz="4" w:space="0" w:color="auto"/>
              <w:left w:val="single" w:sz="4" w:space="0" w:color="auto"/>
              <w:bottom w:val="single" w:sz="4" w:space="0" w:color="auto"/>
              <w:right w:val="single" w:sz="4" w:space="0" w:color="auto"/>
            </w:tcBorders>
            <w:vAlign w:val="center"/>
            <w:hideMark/>
          </w:tcPr>
          <w:p w14:paraId="2A81C774"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0.30%</w:t>
            </w:r>
          </w:p>
        </w:tc>
        <w:tc>
          <w:tcPr>
            <w:tcW w:w="574" w:type="pct"/>
            <w:tcBorders>
              <w:top w:val="single" w:sz="4" w:space="0" w:color="auto"/>
              <w:left w:val="single" w:sz="4" w:space="0" w:color="auto"/>
              <w:bottom w:val="single" w:sz="4" w:space="0" w:color="auto"/>
              <w:right w:val="single" w:sz="4" w:space="0" w:color="auto"/>
            </w:tcBorders>
            <w:vAlign w:val="center"/>
            <w:hideMark/>
          </w:tcPr>
          <w:p w14:paraId="4FCD748C"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$300</w:t>
            </w:r>
          </w:p>
        </w:tc>
        <w:tc>
          <w:tcPr>
            <w:tcW w:w="576" w:type="pct"/>
            <w:tcBorders>
              <w:top w:val="single" w:sz="4" w:space="0" w:color="auto"/>
              <w:left w:val="single" w:sz="4" w:space="0" w:color="auto"/>
              <w:bottom w:val="single" w:sz="4" w:space="0" w:color="auto"/>
              <w:right w:val="single" w:sz="4" w:space="0" w:color="auto"/>
            </w:tcBorders>
            <w:vAlign w:val="center"/>
            <w:hideMark/>
          </w:tcPr>
          <w:p w14:paraId="17FCFCAC"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$604</w:t>
            </w:r>
          </w:p>
        </w:tc>
        <w:tc>
          <w:tcPr>
            <w:tcW w:w="565" w:type="pct"/>
            <w:tcBorders>
              <w:top w:val="single" w:sz="4" w:space="0" w:color="auto"/>
              <w:left w:val="single" w:sz="4" w:space="0" w:color="auto"/>
              <w:bottom w:val="single" w:sz="4" w:space="0" w:color="auto"/>
              <w:right w:val="single" w:sz="4" w:space="0" w:color="auto"/>
            </w:tcBorders>
            <w:vAlign w:val="center"/>
            <w:hideMark/>
          </w:tcPr>
          <w:p w14:paraId="5F7615D8"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$304</w:t>
            </w:r>
          </w:p>
        </w:tc>
        <w:tc>
          <w:tcPr>
            <w:tcW w:w="420" w:type="pct"/>
            <w:tcBorders>
              <w:top w:val="single" w:sz="4" w:space="0" w:color="auto"/>
              <w:left w:val="single" w:sz="4" w:space="0" w:color="auto"/>
              <w:bottom w:val="single" w:sz="4" w:space="0" w:color="auto"/>
              <w:right w:val="single" w:sz="4" w:space="0" w:color="auto"/>
            </w:tcBorders>
            <w:vAlign w:val="center"/>
            <w:hideMark/>
          </w:tcPr>
          <w:p w14:paraId="5030E49F" w14:textId="77777777" w:rsidR="0096685E" w:rsidRPr="00830988" w:rsidRDefault="0096685E" w:rsidP="0096685E">
            <w:pPr>
              <w:keepNext/>
              <w:jc w:val="center"/>
              <w:rPr>
                <w:rFonts w:ascii="Times New Roman" w:eastAsia="Times New Roman" w:hAnsi="Times New Roman" w:cs="Times New Roman"/>
                <w:color w:val="595959"/>
                <w:sz w:val="20"/>
                <w:szCs w:val="20"/>
              </w:rPr>
            </w:pPr>
            <w:r w:rsidRPr="00830988">
              <w:rPr>
                <w:rFonts w:ascii="Times New Roman" w:eastAsia="Times New Roman" w:hAnsi="Times New Roman" w:cs="Times New Roman"/>
                <w:sz w:val="20"/>
                <w:szCs w:val="20"/>
              </w:rPr>
              <w:t>2.01</w:t>
            </w:r>
          </w:p>
        </w:tc>
      </w:tr>
      <w:tr w:rsidR="0096685E" w:rsidRPr="00830988" w14:paraId="3E23E92B" w14:textId="77777777" w:rsidTr="008E374C">
        <w:trPr>
          <w:trHeight w:val="300"/>
          <w:jc w:val="center"/>
        </w:trPr>
        <w:tc>
          <w:tcPr>
            <w:tcW w:w="894" w:type="pct"/>
            <w:tcBorders>
              <w:top w:val="single" w:sz="4" w:space="0" w:color="auto"/>
              <w:left w:val="single" w:sz="4" w:space="0" w:color="auto"/>
              <w:bottom w:val="single" w:sz="4" w:space="0" w:color="auto"/>
              <w:right w:val="single" w:sz="4" w:space="0" w:color="auto"/>
            </w:tcBorders>
            <w:vAlign w:val="center"/>
            <w:hideMark/>
          </w:tcPr>
          <w:p w14:paraId="1517F465" w14:textId="77777777" w:rsidR="0096685E" w:rsidRPr="00830988" w:rsidRDefault="0096685E" w:rsidP="0096685E">
            <w:pPr>
              <w:keepNext/>
              <w:rPr>
                <w:rFonts w:ascii="Times New Roman" w:eastAsia="Times New Roman" w:hAnsi="Times New Roman" w:cs="Times New Roman"/>
                <w:b/>
                <w:bCs/>
                <w:color w:val="595959"/>
                <w:sz w:val="20"/>
                <w:szCs w:val="20"/>
              </w:rPr>
            </w:pPr>
            <w:r w:rsidRPr="00830988">
              <w:rPr>
                <w:rFonts w:ascii="Times New Roman" w:eastAsia="Times New Roman" w:hAnsi="Times New Roman" w:cs="Times New Roman"/>
                <w:b/>
                <w:bCs/>
                <w:sz w:val="20"/>
                <w:szCs w:val="20"/>
              </w:rPr>
              <w:t>Statewide</w:t>
            </w:r>
          </w:p>
        </w:tc>
        <w:tc>
          <w:tcPr>
            <w:tcW w:w="637" w:type="pct"/>
            <w:tcBorders>
              <w:top w:val="single" w:sz="4" w:space="0" w:color="auto"/>
              <w:left w:val="single" w:sz="4" w:space="0" w:color="auto"/>
              <w:bottom w:val="single" w:sz="4" w:space="0" w:color="auto"/>
              <w:right w:val="single" w:sz="4" w:space="0" w:color="auto"/>
            </w:tcBorders>
            <w:vAlign w:val="center"/>
            <w:hideMark/>
          </w:tcPr>
          <w:p w14:paraId="530780C3" w14:textId="77777777" w:rsidR="0096685E" w:rsidRPr="00830988" w:rsidRDefault="0096685E" w:rsidP="0096685E">
            <w:pPr>
              <w:keepNext/>
              <w:jc w:val="center"/>
              <w:rPr>
                <w:rFonts w:ascii="Times New Roman" w:eastAsia="Times New Roman" w:hAnsi="Times New Roman" w:cs="Times New Roman"/>
                <w:b/>
                <w:bCs/>
                <w:color w:val="595959"/>
                <w:sz w:val="20"/>
                <w:szCs w:val="20"/>
              </w:rPr>
            </w:pPr>
            <w:r w:rsidRPr="00830988">
              <w:rPr>
                <w:rFonts w:ascii="Times New Roman" w:eastAsia="Times New Roman" w:hAnsi="Times New Roman" w:cs="Times New Roman"/>
                <w:b/>
                <w:bCs/>
                <w:sz w:val="20"/>
                <w:szCs w:val="20"/>
              </w:rPr>
              <w:t>197.9</w:t>
            </w:r>
          </w:p>
        </w:tc>
        <w:tc>
          <w:tcPr>
            <w:tcW w:w="778" w:type="pct"/>
            <w:tcBorders>
              <w:top w:val="single" w:sz="4" w:space="0" w:color="auto"/>
              <w:left w:val="single" w:sz="4" w:space="0" w:color="auto"/>
              <w:bottom w:val="single" w:sz="4" w:space="0" w:color="auto"/>
              <w:right w:val="single" w:sz="4" w:space="0" w:color="auto"/>
            </w:tcBorders>
            <w:vAlign w:val="center"/>
            <w:hideMark/>
          </w:tcPr>
          <w:p w14:paraId="61E389E9" w14:textId="77777777" w:rsidR="0096685E" w:rsidRPr="00830988" w:rsidRDefault="0096685E" w:rsidP="0096685E">
            <w:pPr>
              <w:keepNext/>
              <w:jc w:val="center"/>
              <w:rPr>
                <w:rFonts w:ascii="Times New Roman" w:eastAsia="Times New Roman" w:hAnsi="Times New Roman" w:cs="Times New Roman"/>
                <w:b/>
                <w:bCs/>
                <w:color w:val="595959"/>
                <w:sz w:val="20"/>
                <w:szCs w:val="20"/>
              </w:rPr>
            </w:pPr>
            <w:r w:rsidRPr="00830988">
              <w:rPr>
                <w:rFonts w:ascii="Times New Roman" w:eastAsia="Times New Roman" w:hAnsi="Times New Roman" w:cs="Times New Roman"/>
                <w:b/>
                <w:bCs/>
                <w:sz w:val="20"/>
                <w:szCs w:val="20"/>
              </w:rPr>
              <w:t>$63,580</w:t>
            </w:r>
          </w:p>
        </w:tc>
        <w:tc>
          <w:tcPr>
            <w:tcW w:w="556" w:type="pct"/>
            <w:tcBorders>
              <w:top w:val="single" w:sz="4" w:space="0" w:color="auto"/>
              <w:left w:val="single" w:sz="4" w:space="0" w:color="auto"/>
              <w:bottom w:val="single" w:sz="4" w:space="0" w:color="auto"/>
              <w:right w:val="single" w:sz="4" w:space="0" w:color="auto"/>
            </w:tcBorders>
            <w:vAlign w:val="center"/>
            <w:hideMark/>
          </w:tcPr>
          <w:p w14:paraId="712E9E03" w14:textId="77777777" w:rsidR="0096685E" w:rsidRPr="00830988" w:rsidRDefault="0096685E" w:rsidP="0096685E">
            <w:pPr>
              <w:keepNext/>
              <w:jc w:val="center"/>
              <w:rPr>
                <w:rFonts w:ascii="Times New Roman" w:eastAsia="Times New Roman" w:hAnsi="Times New Roman" w:cs="Times New Roman"/>
                <w:b/>
                <w:bCs/>
                <w:color w:val="595959"/>
                <w:sz w:val="20"/>
                <w:szCs w:val="20"/>
              </w:rPr>
            </w:pPr>
            <w:r w:rsidRPr="00830988">
              <w:rPr>
                <w:rFonts w:ascii="Times New Roman" w:eastAsia="Times New Roman" w:hAnsi="Times New Roman" w:cs="Times New Roman"/>
                <w:b/>
                <w:bCs/>
                <w:sz w:val="20"/>
                <w:szCs w:val="20"/>
              </w:rPr>
              <w:t>5.20%</w:t>
            </w:r>
          </w:p>
        </w:tc>
        <w:tc>
          <w:tcPr>
            <w:tcW w:w="574" w:type="pct"/>
            <w:tcBorders>
              <w:top w:val="single" w:sz="4" w:space="0" w:color="auto"/>
              <w:left w:val="single" w:sz="4" w:space="0" w:color="auto"/>
              <w:bottom w:val="single" w:sz="4" w:space="0" w:color="auto"/>
              <w:right w:val="single" w:sz="4" w:space="0" w:color="auto"/>
            </w:tcBorders>
            <w:vAlign w:val="center"/>
            <w:hideMark/>
          </w:tcPr>
          <w:p w14:paraId="2470C849" w14:textId="77777777" w:rsidR="0096685E" w:rsidRPr="00830988" w:rsidRDefault="0096685E" w:rsidP="0096685E">
            <w:pPr>
              <w:keepNext/>
              <w:jc w:val="center"/>
              <w:rPr>
                <w:rFonts w:ascii="Times New Roman" w:eastAsia="Times New Roman" w:hAnsi="Times New Roman" w:cs="Times New Roman"/>
                <w:b/>
                <w:bCs/>
                <w:color w:val="595959"/>
                <w:sz w:val="20"/>
                <w:szCs w:val="20"/>
              </w:rPr>
            </w:pPr>
            <w:r w:rsidRPr="00830988">
              <w:rPr>
                <w:rFonts w:ascii="Times New Roman" w:eastAsia="Times New Roman" w:hAnsi="Times New Roman" w:cs="Times New Roman"/>
                <w:b/>
                <w:bCs/>
                <w:sz w:val="20"/>
                <w:szCs w:val="20"/>
              </w:rPr>
              <w:t>$56,168</w:t>
            </w:r>
          </w:p>
        </w:tc>
        <w:tc>
          <w:tcPr>
            <w:tcW w:w="576" w:type="pct"/>
            <w:tcBorders>
              <w:top w:val="single" w:sz="4" w:space="0" w:color="auto"/>
              <w:left w:val="single" w:sz="4" w:space="0" w:color="auto"/>
              <w:bottom w:val="single" w:sz="4" w:space="0" w:color="auto"/>
              <w:right w:val="single" w:sz="4" w:space="0" w:color="auto"/>
            </w:tcBorders>
            <w:vAlign w:val="center"/>
            <w:hideMark/>
          </w:tcPr>
          <w:p w14:paraId="15C06147" w14:textId="77777777" w:rsidR="0096685E" w:rsidRPr="00830988" w:rsidRDefault="0096685E" w:rsidP="0096685E">
            <w:pPr>
              <w:keepNext/>
              <w:jc w:val="center"/>
              <w:rPr>
                <w:rFonts w:ascii="Times New Roman" w:eastAsia="Times New Roman" w:hAnsi="Times New Roman" w:cs="Times New Roman"/>
                <w:b/>
                <w:bCs/>
                <w:color w:val="595959"/>
                <w:sz w:val="20"/>
                <w:szCs w:val="20"/>
              </w:rPr>
            </w:pPr>
            <w:r w:rsidRPr="00830988">
              <w:rPr>
                <w:rFonts w:ascii="Times New Roman" w:eastAsia="Times New Roman" w:hAnsi="Times New Roman" w:cs="Times New Roman"/>
                <w:b/>
                <w:bCs/>
                <w:sz w:val="20"/>
                <w:szCs w:val="20"/>
              </w:rPr>
              <w:t>$86,226</w:t>
            </w:r>
          </w:p>
        </w:tc>
        <w:tc>
          <w:tcPr>
            <w:tcW w:w="565" w:type="pct"/>
            <w:tcBorders>
              <w:top w:val="single" w:sz="4" w:space="0" w:color="auto"/>
              <w:left w:val="single" w:sz="4" w:space="0" w:color="auto"/>
              <w:bottom w:val="single" w:sz="4" w:space="0" w:color="auto"/>
              <w:right w:val="single" w:sz="4" w:space="0" w:color="auto"/>
            </w:tcBorders>
            <w:vAlign w:val="center"/>
            <w:hideMark/>
          </w:tcPr>
          <w:p w14:paraId="1060A295" w14:textId="77777777" w:rsidR="0096685E" w:rsidRPr="00830988" w:rsidRDefault="0096685E" w:rsidP="0096685E">
            <w:pPr>
              <w:keepNext/>
              <w:jc w:val="center"/>
              <w:rPr>
                <w:rFonts w:ascii="Times New Roman" w:eastAsia="Times New Roman" w:hAnsi="Times New Roman" w:cs="Times New Roman"/>
                <w:b/>
                <w:bCs/>
                <w:color w:val="595959"/>
                <w:sz w:val="20"/>
                <w:szCs w:val="20"/>
              </w:rPr>
            </w:pPr>
            <w:r w:rsidRPr="00830988">
              <w:rPr>
                <w:rFonts w:ascii="Times New Roman" w:eastAsia="Times New Roman" w:hAnsi="Times New Roman" w:cs="Times New Roman"/>
                <w:b/>
                <w:bCs/>
                <w:sz w:val="20"/>
                <w:szCs w:val="20"/>
              </w:rPr>
              <w:t>$30,058</w:t>
            </w:r>
          </w:p>
        </w:tc>
        <w:tc>
          <w:tcPr>
            <w:tcW w:w="420" w:type="pct"/>
            <w:tcBorders>
              <w:top w:val="single" w:sz="4" w:space="0" w:color="auto"/>
              <w:left w:val="single" w:sz="4" w:space="0" w:color="auto"/>
              <w:bottom w:val="single" w:sz="4" w:space="0" w:color="auto"/>
              <w:right w:val="single" w:sz="4" w:space="0" w:color="auto"/>
            </w:tcBorders>
            <w:vAlign w:val="center"/>
            <w:hideMark/>
          </w:tcPr>
          <w:p w14:paraId="6649F409" w14:textId="77777777" w:rsidR="0096685E" w:rsidRPr="00830988" w:rsidRDefault="0096685E" w:rsidP="0096685E">
            <w:pPr>
              <w:keepNext/>
              <w:jc w:val="center"/>
              <w:rPr>
                <w:rFonts w:ascii="Times New Roman" w:eastAsia="Times New Roman" w:hAnsi="Times New Roman" w:cs="Times New Roman"/>
                <w:b/>
                <w:bCs/>
                <w:color w:val="595959"/>
                <w:sz w:val="20"/>
                <w:szCs w:val="20"/>
              </w:rPr>
            </w:pPr>
            <w:r w:rsidRPr="00830988">
              <w:rPr>
                <w:rFonts w:ascii="Times New Roman" w:eastAsia="Times New Roman" w:hAnsi="Times New Roman" w:cs="Times New Roman"/>
                <w:b/>
                <w:bCs/>
                <w:sz w:val="20"/>
                <w:szCs w:val="20"/>
              </w:rPr>
              <w:t>1.54</w:t>
            </w:r>
          </w:p>
        </w:tc>
      </w:tr>
      <w:tr w:rsidR="0096685E" w:rsidRPr="00830988" w14:paraId="6FF5CD81" w14:textId="77777777" w:rsidTr="008E374C">
        <w:trPr>
          <w:trHeight w:val="300"/>
          <w:jc w:val="center"/>
        </w:trPr>
        <w:tc>
          <w:tcPr>
            <w:tcW w:w="5000" w:type="pct"/>
            <w:gridSpan w:val="8"/>
            <w:tcBorders>
              <w:top w:val="single" w:sz="4" w:space="0" w:color="auto"/>
              <w:left w:val="nil"/>
              <w:bottom w:val="nil"/>
              <w:right w:val="nil"/>
            </w:tcBorders>
            <w:vAlign w:val="center"/>
          </w:tcPr>
          <w:p w14:paraId="02B4DFAE" w14:textId="77777777" w:rsidR="0096685E" w:rsidRPr="00830988" w:rsidRDefault="0096685E" w:rsidP="0096685E">
            <w:pPr>
              <w:pStyle w:val="FootnoteText"/>
              <w:keepNext/>
              <w:rPr>
                <w:rFonts w:ascii="Times New Roman" w:hAnsi="Times New Roman" w:cs="Times New Roman"/>
              </w:rPr>
            </w:pPr>
            <w:r w:rsidRPr="00830988">
              <w:rPr>
                <w:rFonts w:ascii="Times New Roman" w:hAnsi="Times New Roman" w:cs="Times New Roman"/>
              </w:rPr>
              <w:t>*Statewide values in this report are summed prior to rounding. Totals may not equal the sum of all rows.</w:t>
            </w:r>
          </w:p>
        </w:tc>
      </w:tr>
    </w:tbl>
    <w:p w14:paraId="3A476150" w14:textId="77777777" w:rsidR="007B3630" w:rsidRDefault="007B3630" w:rsidP="00DD1A7A">
      <w:pPr>
        <w:pStyle w:val="p3"/>
        <w:tabs>
          <w:tab w:val="clear" w:pos="204"/>
        </w:tabs>
        <w:spacing w:line="360" w:lineRule="auto"/>
        <w:rPr>
          <w:szCs w:val="26"/>
        </w:rPr>
      </w:pPr>
    </w:p>
    <w:p w14:paraId="0A9FABA4" w14:textId="095B0859" w:rsidR="00DD1A7A" w:rsidRDefault="00DD1A7A" w:rsidP="00841187">
      <w:pPr>
        <w:pStyle w:val="p3"/>
        <w:tabs>
          <w:tab w:val="clear" w:pos="204"/>
        </w:tabs>
        <w:spacing w:line="360" w:lineRule="auto"/>
        <w:rPr>
          <w:szCs w:val="26"/>
        </w:rPr>
      </w:pPr>
      <w:r>
        <w:rPr>
          <w:szCs w:val="26"/>
        </w:rPr>
        <w:tab/>
        <w:t xml:space="preserve"> </w:t>
      </w:r>
      <w:r w:rsidRPr="3792F7D5">
        <w:t xml:space="preserve">Although </w:t>
      </w:r>
      <w:r>
        <w:t>the</w:t>
      </w:r>
      <w:r w:rsidRPr="3792F7D5">
        <w:t xml:space="preserve"> Commission maintain</w:t>
      </w:r>
      <w:r>
        <w:t>s</w:t>
      </w:r>
      <w:r w:rsidRPr="3792F7D5">
        <w:t xml:space="preserve"> that the PSA mechanism is the clearest and most viable way to recognize Act 129 </w:t>
      </w:r>
      <w:r w:rsidR="00C60246">
        <w:t>D</w:t>
      </w:r>
      <w:r w:rsidRPr="3792F7D5">
        <w:t xml:space="preserve">DR programs at the wholesale level, the </w:t>
      </w:r>
      <w:r w:rsidR="003B32B3">
        <w:t xml:space="preserve">DDR Potential </w:t>
      </w:r>
      <w:r w:rsidRPr="3792F7D5">
        <w:t xml:space="preserve">Study identified </w:t>
      </w:r>
      <w:r w:rsidR="0039462C">
        <w:t>the following</w:t>
      </w:r>
      <w:r w:rsidR="0039462C" w:rsidRPr="3792F7D5">
        <w:t xml:space="preserve"> </w:t>
      </w:r>
      <w:r w:rsidRPr="3792F7D5">
        <w:t xml:space="preserve">administrative and timing challenges associated with nominating Act 129 </w:t>
      </w:r>
      <w:r w:rsidR="00C60246">
        <w:t>D</w:t>
      </w:r>
      <w:r w:rsidRPr="3792F7D5">
        <w:t>DR programs as PSA</w:t>
      </w:r>
      <w:r w:rsidR="0039462C">
        <w:t>:</w:t>
      </w:r>
      <w:r w:rsidRPr="3792F7D5">
        <w:t xml:space="preserve">  </w:t>
      </w:r>
    </w:p>
    <w:p w14:paraId="2A886F6C" w14:textId="77777777" w:rsidR="00DD1A7A" w:rsidRDefault="00DD1A7A" w:rsidP="00DD1A7A">
      <w:pPr>
        <w:pStyle w:val="p3"/>
        <w:tabs>
          <w:tab w:val="clear" w:pos="204"/>
        </w:tabs>
        <w:spacing w:line="360" w:lineRule="auto"/>
        <w:rPr>
          <w:szCs w:val="26"/>
        </w:rPr>
      </w:pPr>
    </w:p>
    <w:p w14:paraId="4F274897" w14:textId="53A59CFD" w:rsidR="00DD1A7A" w:rsidRPr="00576C24" w:rsidRDefault="00DD1A7A" w:rsidP="00DD1A7A">
      <w:pPr>
        <w:pStyle w:val="ListParagraph"/>
        <w:numPr>
          <w:ilvl w:val="0"/>
          <w:numId w:val="17"/>
        </w:numPr>
        <w:spacing w:line="360" w:lineRule="auto"/>
        <w:ind w:left="648" w:hanging="288"/>
        <w:rPr>
          <w:sz w:val="26"/>
          <w:szCs w:val="26"/>
        </w:rPr>
      </w:pPr>
      <w:r w:rsidRPr="00576C24">
        <w:rPr>
          <w:sz w:val="26"/>
          <w:szCs w:val="26"/>
        </w:rPr>
        <w:t xml:space="preserve">Act 129 planning timelines will not allow for PSAs to be recognized in the Base Residual Auctions (BRAs) corresponding to </w:t>
      </w:r>
      <w:r>
        <w:rPr>
          <w:sz w:val="26"/>
          <w:szCs w:val="26"/>
        </w:rPr>
        <w:t xml:space="preserve">the five program years of </w:t>
      </w:r>
      <w:r w:rsidRPr="00576C24">
        <w:rPr>
          <w:sz w:val="26"/>
          <w:szCs w:val="26"/>
        </w:rPr>
        <w:t>Phase IV of Act 129.</w:t>
      </w:r>
      <w:r w:rsidR="00B84D2C">
        <w:rPr>
          <w:sz w:val="26"/>
          <w:szCs w:val="26"/>
        </w:rPr>
        <w:t xml:space="preserve"> </w:t>
      </w:r>
      <w:r w:rsidRPr="00576C24">
        <w:rPr>
          <w:sz w:val="26"/>
          <w:szCs w:val="26"/>
        </w:rPr>
        <w:t xml:space="preserve"> This limits the avoided cost of generation capacity benefit stream.</w:t>
      </w:r>
      <w:r>
        <w:rPr>
          <w:sz w:val="26"/>
          <w:szCs w:val="26"/>
        </w:rPr>
        <w:t xml:space="preserve">  At most, PSAs could be reflected in three of five years depending on how delayed the BRA for the 2023/2024 delivery year is. </w:t>
      </w:r>
    </w:p>
    <w:p w14:paraId="3118B833" w14:textId="77777777" w:rsidR="00DD1A7A" w:rsidRDefault="00DD1A7A" w:rsidP="00DD1A7A">
      <w:pPr>
        <w:pStyle w:val="p3"/>
        <w:numPr>
          <w:ilvl w:val="0"/>
          <w:numId w:val="17"/>
        </w:numPr>
        <w:tabs>
          <w:tab w:val="clear" w:pos="204"/>
        </w:tabs>
        <w:spacing w:line="360" w:lineRule="auto"/>
        <w:ind w:left="648" w:hanging="288"/>
        <w:rPr>
          <w:szCs w:val="26"/>
        </w:rPr>
      </w:pPr>
      <w:r>
        <w:rPr>
          <w:szCs w:val="26"/>
        </w:rPr>
        <w:lastRenderedPageBreak/>
        <w:t xml:space="preserve">The PSA event trigger is a real-time THI.  This is a significant departure from Phase III when EDCs and their CSPs knew with certainty whether the following day would be an event day with over 24 hours’ notice.  A real-time THI trigger creates the possibility of an EDC not calling an event when the trigger is met or calling an event when the trigger is not actually met due to inaccuracies in weather forecasts.  </w:t>
      </w:r>
    </w:p>
    <w:p w14:paraId="1C5F5339" w14:textId="37497702" w:rsidR="00DD1A7A" w:rsidRDefault="00DD1A7A" w:rsidP="00DD1A7A">
      <w:pPr>
        <w:pStyle w:val="p3"/>
        <w:numPr>
          <w:ilvl w:val="0"/>
          <w:numId w:val="17"/>
        </w:numPr>
        <w:tabs>
          <w:tab w:val="clear" w:pos="204"/>
        </w:tabs>
        <w:spacing w:line="360" w:lineRule="auto"/>
        <w:ind w:left="648" w:hanging="288"/>
        <w:rPr>
          <w:szCs w:val="26"/>
        </w:rPr>
      </w:pPr>
      <w:r>
        <w:rPr>
          <w:szCs w:val="26"/>
        </w:rPr>
        <w:t xml:space="preserve">There is no limit to the number of peak shaving events that can be triggered in a summer. </w:t>
      </w:r>
      <w:r w:rsidR="00F029F4">
        <w:rPr>
          <w:szCs w:val="26"/>
        </w:rPr>
        <w:t xml:space="preserve"> </w:t>
      </w:r>
      <w:r>
        <w:rPr>
          <w:szCs w:val="26"/>
        </w:rPr>
        <w:t xml:space="preserve">In an extreme summer an EDC could experience 15-18 DR events, based on the SWE’s analysis of historic weather data. </w:t>
      </w:r>
    </w:p>
    <w:p w14:paraId="10086B41" w14:textId="77777777" w:rsidR="00DD1A7A" w:rsidRDefault="00DD1A7A" w:rsidP="00DD1A7A">
      <w:pPr>
        <w:pStyle w:val="p3"/>
        <w:tabs>
          <w:tab w:val="clear" w:pos="204"/>
        </w:tabs>
        <w:spacing w:line="360" w:lineRule="auto"/>
        <w:rPr>
          <w:szCs w:val="26"/>
        </w:rPr>
      </w:pPr>
    </w:p>
    <w:p w14:paraId="2F3FCC18" w14:textId="27FBB640" w:rsidR="001A24D6" w:rsidRDefault="006A63E6" w:rsidP="002C15DE">
      <w:pPr>
        <w:pStyle w:val="Heading3"/>
      </w:pPr>
      <w:bookmarkStart w:id="316" w:name="_Ref33512663"/>
      <w:bookmarkStart w:id="317" w:name="_Toc33782004"/>
      <w:r>
        <w:t>M</w:t>
      </w:r>
      <w:r w:rsidR="00660005">
        <w:t xml:space="preserve">ethodology </w:t>
      </w:r>
      <w:r w:rsidR="00A44AF5">
        <w:t>U</w:t>
      </w:r>
      <w:r w:rsidR="003C1E73">
        <w:t xml:space="preserve">sed </w:t>
      </w:r>
      <w:r>
        <w:t>t</w:t>
      </w:r>
      <w:r w:rsidR="00660005">
        <w:t xml:space="preserve">o </w:t>
      </w:r>
      <w:r w:rsidR="00A44AF5">
        <w:t>S</w:t>
      </w:r>
      <w:r w:rsidR="00660005">
        <w:t xml:space="preserve">et Peak Demand </w:t>
      </w:r>
      <w:r>
        <w:t xml:space="preserve">Reduction </w:t>
      </w:r>
      <w:r w:rsidR="00660005">
        <w:t>Targets</w:t>
      </w:r>
      <w:bookmarkEnd w:id="311"/>
      <w:bookmarkEnd w:id="316"/>
      <w:bookmarkEnd w:id="317"/>
    </w:p>
    <w:p w14:paraId="7C15CE3B" w14:textId="3B66317B" w:rsidR="001617FD" w:rsidRDefault="001617FD" w:rsidP="001617FD">
      <w:pPr>
        <w:spacing w:line="360" w:lineRule="auto"/>
        <w:ind w:firstLine="720"/>
        <w:rPr>
          <w:sz w:val="26"/>
          <w:szCs w:val="26"/>
        </w:rPr>
      </w:pPr>
      <w:r>
        <w:rPr>
          <w:sz w:val="26"/>
          <w:szCs w:val="26"/>
        </w:rPr>
        <w:t>In Phase I, Act 129</w:t>
      </w:r>
      <w:r w:rsidRPr="00D92B22">
        <w:rPr>
          <w:sz w:val="26"/>
          <w:szCs w:val="26"/>
        </w:rPr>
        <w:t xml:space="preserve"> require</w:t>
      </w:r>
      <w:r>
        <w:rPr>
          <w:sz w:val="26"/>
          <w:szCs w:val="26"/>
        </w:rPr>
        <w:t>d</w:t>
      </w:r>
      <w:r w:rsidRPr="00D92B22">
        <w:rPr>
          <w:sz w:val="26"/>
          <w:szCs w:val="26"/>
        </w:rPr>
        <w:t xml:space="preserve"> the Commission to set additional incremental requirements for </w:t>
      </w:r>
      <w:r w:rsidRPr="00EE3BA9">
        <w:rPr>
          <w:sz w:val="26"/>
          <w:szCs w:val="26"/>
        </w:rPr>
        <w:t>reduction in peak demand for the 100 hours of greatest demand, or an alternative reduction approach approved by the Commission.</w:t>
      </w:r>
      <w:r w:rsidR="00B2729E">
        <w:rPr>
          <w:sz w:val="26"/>
          <w:szCs w:val="26"/>
        </w:rPr>
        <w:t xml:space="preserve"> </w:t>
      </w:r>
      <w:r w:rsidR="00B84D2C">
        <w:rPr>
          <w:sz w:val="26"/>
          <w:szCs w:val="26"/>
        </w:rPr>
        <w:t xml:space="preserve"> </w:t>
      </w:r>
      <w:r w:rsidR="00B84D2C" w:rsidRPr="00E2782D">
        <w:rPr>
          <w:i/>
          <w:iCs/>
          <w:sz w:val="26"/>
          <w:szCs w:val="26"/>
        </w:rPr>
        <w:t>See</w:t>
      </w:r>
      <w:r w:rsidR="00B84D2C">
        <w:rPr>
          <w:sz w:val="26"/>
          <w:szCs w:val="26"/>
        </w:rPr>
        <w:t xml:space="preserve"> 66 Pa. C.S.</w:t>
      </w:r>
      <w:r w:rsidR="005B6BD2">
        <w:rPr>
          <w:sz w:val="26"/>
          <w:szCs w:val="26"/>
        </w:rPr>
        <w:t> </w:t>
      </w:r>
      <w:r w:rsidR="00B84D2C">
        <w:rPr>
          <w:sz w:val="26"/>
          <w:szCs w:val="26"/>
        </w:rPr>
        <w:t>§</w:t>
      </w:r>
      <w:r w:rsidR="00B2729E">
        <w:rPr>
          <w:sz w:val="26"/>
          <w:szCs w:val="26"/>
        </w:rPr>
        <w:t> </w:t>
      </w:r>
      <w:r w:rsidR="00B84D2C">
        <w:rPr>
          <w:sz w:val="26"/>
          <w:szCs w:val="26"/>
        </w:rPr>
        <w:t>2806.1</w:t>
      </w:r>
      <w:r w:rsidR="001F66BE">
        <w:rPr>
          <w:sz w:val="26"/>
          <w:szCs w:val="26"/>
        </w:rPr>
        <w:t>(d)(2)</w:t>
      </w:r>
      <w:r w:rsidR="00B2729E">
        <w:rPr>
          <w:sz w:val="26"/>
          <w:szCs w:val="26"/>
        </w:rPr>
        <w:t>.</w:t>
      </w:r>
      <w:r w:rsidRPr="00EE3BA9">
        <w:rPr>
          <w:sz w:val="26"/>
          <w:szCs w:val="26"/>
        </w:rPr>
        <w:t xml:space="preserve">  The EEPDR and DDR Potential Studies each identified cost effective potential for Phase IV.</w:t>
      </w:r>
      <w:r>
        <w:rPr>
          <w:sz w:val="26"/>
          <w:szCs w:val="26"/>
        </w:rPr>
        <w:t xml:space="preserve">  </w:t>
      </w:r>
      <w:r w:rsidRPr="001428A9">
        <w:rPr>
          <w:sz w:val="26"/>
          <w:szCs w:val="26"/>
        </w:rPr>
        <w:t>T</w:t>
      </w:r>
      <w:r w:rsidRPr="00C379BC">
        <w:rPr>
          <w:sz w:val="26"/>
          <w:szCs w:val="26"/>
        </w:rPr>
        <w:t xml:space="preserve">he two </w:t>
      </w:r>
      <w:r w:rsidRPr="001428A9">
        <w:rPr>
          <w:sz w:val="26"/>
          <w:szCs w:val="26"/>
        </w:rPr>
        <w:t>studies</w:t>
      </w:r>
      <w:r w:rsidRPr="00C379BC">
        <w:rPr>
          <w:sz w:val="26"/>
          <w:szCs w:val="26"/>
        </w:rPr>
        <w:t xml:space="preserve"> produce very different levels of consumption reduction and peak demand reduction per program dollar spent.  Questions </w:t>
      </w:r>
      <w:r>
        <w:rPr>
          <w:sz w:val="26"/>
          <w:szCs w:val="26"/>
        </w:rPr>
        <w:t>related to any</w:t>
      </w:r>
      <w:r w:rsidRPr="001428A9">
        <w:rPr>
          <w:color w:val="FF0000"/>
          <w:sz w:val="26"/>
          <w:szCs w:val="26"/>
        </w:rPr>
        <w:t xml:space="preserve"> </w:t>
      </w:r>
      <w:r>
        <w:rPr>
          <w:sz w:val="26"/>
          <w:szCs w:val="26"/>
        </w:rPr>
        <w:t xml:space="preserve">proposed peak reduction targets include: </w:t>
      </w:r>
    </w:p>
    <w:p w14:paraId="20766344" w14:textId="4FDE69F6" w:rsidR="001617FD" w:rsidRDefault="001617FD" w:rsidP="001617FD">
      <w:pPr>
        <w:pStyle w:val="ListParagraph"/>
        <w:numPr>
          <w:ilvl w:val="0"/>
          <w:numId w:val="13"/>
        </w:numPr>
        <w:spacing w:line="360" w:lineRule="auto"/>
        <w:rPr>
          <w:sz w:val="26"/>
          <w:szCs w:val="26"/>
        </w:rPr>
      </w:pPr>
      <w:r>
        <w:rPr>
          <w:sz w:val="26"/>
          <w:szCs w:val="26"/>
        </w:rPr>
        <w:t xml:space="preserve">Should Phase IV peak demand reduction targets be designed around DDR programs like in Phase III or, should coincident reductions in peak demand from EE contribute toward </w:t>
      </w:r>
      <w:r w:rsidR="00127FBF">
        <w:rPr>
          <w:sz w:val="26"/>
          <w:szCs w:val="26"/>
        </w:rPr>
        <w:t xml:space="preserve">peak demand reduction </w:t>
      </w:r>
      <w:r>
        <w:rPr>
          <w:sz w:val="26"/>
          <w:szCs w:val="26"/>
        </w:rPr>
        <w:t>target achievement like in Phase I?</w:t>
      </w:r>
    </w:p>
    <w:p w14:paraId="78CAEE48" w14:textId="77777777" w:rsidR="001617FD" w:rsidRDefault="001617FD" w:rsidP="001617FD">
      <w:pPr>
        <w:pStyle w:val="ListParagraph"/>
        <w:numPr>
          <w:ilvl w:val="0"/>
          <w:numId w:val="13"/>
        </w:numPr>
        <w:spacing w:line="360" w:lineRule="auto"/>
        <w:rPr>
          <w:sz w:val="26"/>
          <w:szCs w:val="26"/>
        </w:rPr>
      </w:pPr>
      <w:r>
        <w:rPr>
          <w:sz w:val="26"/>
          <w:szCs w:val="26"/>
        </w:rPr>
        <w:t xml:space="preserve">Should both coincident reduction in peak demand from EE and DDR programs both be utilized to comply with peak demand reduction targets? </w:t>
      </w:r>
    </w:p>
    <w:p w14:paraId="1C244468" w14:textId="17FD3323" w:rsidR="001617FD" w:rsidRDefault="001617FD" w:rsidP="001617FD">
      <w:pPr>
        <w:pStyle w:val="ListParagraph"/>
        <w:numPr>
          <w:ilvl w:val="0"/>
          <w:numId w:val="13"/>
        </w:numPr>
        <w:spacing w:line="360" w:lineRule="auto"/>
        <w:rPr>
          <w:sz w:val="26"/>
          <w:szCs w:val="26"/>
        </w:rPr>
      </w:pPr>
      <w:r>
        <w:rPr>
          <w:sz w:val="26"/>
          <w:szCs w:val="26"/>
        </w:rPr>
        <w:t xml:space="preserve">If the peak demand reduction target plans can include DDR programs, what is the program design and event trigger? </w:t>
      </w:r>
      <w:r w:rsidR="003B0D30">
        <w:rPr>
          <w:sz w:val="26"/>
          <w:szCs w:val="26"/>
        </w:rPr>
        <w:t xml:space="preserve"> </w:t>
      </w:r>
      <w:r>
        <w:rPr>
          <w:sz w:val="26"/>
          <w:szCs w:val="26"/>
        </w:rPr>
        <w:t xml:space="preserve">During which summer(s) are peak demand reductions from DDR programs measured for purposes of determining compliance?  </w:t>
      </w:r>
    </w:p>
    <w:p w14:paraId="36611430" w14:textId="77777777" w:rsidR="001617FD" w:rsidRPr="007B3630" w:rsidRDefault="001617FD" w:rsidP="001617FD">
      <w:pPr>
        <w:pStyle w:val="ListParagraph"/>
        <w:numPr>
          <w:ilvl w:val="0"/>
          <w:numId w:val="13"/>
        </w:numPr>
        <w:spacing w:line="360" w:lineRule="auto"/>
        <w:rPr>
          <w:sz w:val="26"/>
          <w:szCs w:val="26"/>
        </w:rPr>
      </w:pPr>
      <w:r>
        <w:rPr>
          <w:sz w:val="26"/>
          <w:szCs w:val="26"/>
        </w:rPr>
        <w:lastRenderedPageBreak/>
        <w:t xml:space="preserve">To what extent should the Commission direct the EDCs to nominate peak demand reductions from EE or DDR for recognition at the wholesale level by PJM and for which years? </w:t>
      </w:r>
    </w:p>
    <w:p w14:paraId="32E19313" w14:textId="77777777" w:rsidR="001C6BD0" w:rsidRDefault="001C6BD0" w:rsidP="00A44AF5">
      <w:pPr>
        <w:pStyle w:val="ListParagraph"/>
        <w:spacing w:line="360" w:lineRule="auto"/>
        <w:rPr>
          <w:sz w:val="26"/>
          <w:szCs w:val="26"/>
        </w:rPr>
      </w:pPr>
    </w:p>
    <w:p w14:paraId="6427E8D9" w14:textId="125F78C4" w:rsidR="001617FD" w:rsidRPr="007B3630" w:rsidRDefault="001617FD" w:rsidP="001617FD">
      <w:pPr>
        <w:tabs>
          <w:tab w:val="left" w:pos="204"/>
        </w:tabs>
        <w:autoSpaceDE w:val="0"/>
        <w:autoSpaceDN w:val="0"/>
        <w:adjustRightInd w:val="0"/>
        <w:spacing w:line="360" w:lineRule="auto"/>
        <w:rPr>
          <w:sz w:val="26"/>
          <w:szCs w:val="26"/>
        </w:rPr>
      </w:pPr>
      <w:r>
        <w:rPr>
          <w:sz w:val="26"/>
          <w:szCs w:val="26"/>
        </w:rPr>
        <w:tab/>
      </w:r>
      <w:r>
        <w:rPr>
          <w:sz w:val="26"/>
          <w:szCs w:val="26"/>
        </w:rPr>
        <w:tab/>
        <w:t>I</w:t>
      </w:r>
      <w:r w:rsidRPr="007B3630">
        <w:rPr>
          <w:sz w:val="26"/>
          <w:szCs w:val="26"/>
        </w:rPr>
        <w:t xml:space="preserve">n addition to electricity consumption savings, the </w:t>
      </w:r>
      <w:r>
        <w:rPr>
          <w:sz w:val="26"/>
          <w:szCs w:val="26"/>
        </w:rPr>
        <w:t xml:space="preserve">EEPDR Potential </w:t>
      </w:r>
      <w:r w:rsidRPr="007B3630">
        <w:rPr>
          <w:sz w:val="26"/>
          <w:szCs w:val="26"/>
        </w:rPr>
        <w:t xml:space="preserve">Study was to determine the remaining opportunities for cost-effective annual peak demand reductions </w:t>
      </w:r>
      <w:r>
        <w:rPr>
          <w:sz w:val="26"/>
          <w:szCs w:val="26"/>
        </w:rPr>
        <w:t xml:space="preserve">related </w:t>
      </w:r>
      <w:r w:rsidRPr="007B3630">
        <w:rPr>
          <w:sz w:val="26"/>
          <w:szCs w:val="26"/>
        </w:rPr>
        <w:t>to EE measures.  The statewide estimated potential peak demand reductions for the 2021-2026 program period at the system level are 878 MW</w:t>
      </w:r>
      <w:r w:rsidR="00FF4366">
        <w:rPr>
          <w:sz w:val="26"/>
          <w:szCs w:val="26"/>
        </w:rPr>
        <w:t>s</w:t>
      </w:r>
      <w:r w:rsidRPr="007B3630">
        <w:rPr>
          <w:sz w:val="26"/>
          <w:szCs w:val="26"/>
        </w:rPr>
        <w:t xml:space="preserve"> of total incremental annual peak demand reductio</w:t>
      </w:r>
      <w:r w:rsidRPr="00206088">
        <w:rPr>
          <w:sz w:val="26"/>
          <w:szCs w:val="26"/>
        </w:rPr>
        <w:t>n.</w:t>
      </w:r>
      <w:r w:rsidRPr="00206088">
        <w:rPr>
          <w:rStyle w:val="FootnoteReference"/>
        </w:rPr>
        <w:footnoteReference w:id="47"/>
      </w:r>
      <w:r>
        <w:rPr>
          <w:sz w:val="26"/>
          <w:szCs w:val="26"/>
        </w:rPr>
        <w:t xml:space="preserve">  As presented above, the DDR Potential Study finds estimated potential annual peak demand reductions of 198 MW. </w:t>
      </w:r>
      <w:r w:rsidRPr="007B3630">
        <w:rPr>
          <w:sz w:val="26"/>
          <w:szCs w:val="26"/>
        </w:rPr>
        <w:t xml:space="preserve"> </w:t>
      </w:r>
    </w:p>
    <w:p w14:paraId="75DB81C7" w14:textId="77777777" w:rsidR="007B3630" w:rsidRPr="00206088" w:rsidRDefault="007B3630" w:rsidP="00206088">
      <w:pPr>
        <w:pStyle w:val="StyleLinespacing15lines"/>
        <w:ind w:firstLine="720"/>
        <w:rPr>
          <w:szCs w:val="26"/>
        </w:rPr>
      </w:pPr>
    </w:p>
    <w:p w14:paraId="6B7951FE" w14:textId="13AF35E2" w:rsidR="00206088" w:rsidRPr="00C373A6" w:rsidRDefault="001617FD" w:rsidP="00206088">
      <w:pPr>
        <w:spacing w:line="360" w:lineRule="auto"/>
        <w:ind w:firstLine="720"/>
        <w:rPr>
          <w:rFonts w:eastAsiaTheme="minorHAnsi"/>
          <w:sz w:val="26"/>
          <w:szCs w:val="26"/>
        </w:rPr>
      </w:pPr>
      <w:r w:rsidRPr="00206088">
        <w:rPr>
          <w:sz w:val="26"/>
          <w:szCs w:val="26"/>
        </w:rPr>
        <w:t>The EEPDR Potential Study includes a section comparing Phase IV metrics with and without funding for DDR programming.</w:t>
      </w:r>
      <w:r w:rsidRPr="00206088">
        <w:rPr>
          <w:rStyle w:val="FootnoteReference"/>
          <w:sz w:val="26"/>
          <w:szCs w:val="26"/>
        </w:rPr>
        <w:footnoteReference w:id="48"/>
      </w:r>
      <w:r w:rsidR="00FF4366" w:rsidRPr="00206088">
        <w:rPr>
          <w:sz w:val="26"/>
          <w:szCs w:val="26"/>
        </w:rPr>
        <w:t xml:space="preserve"> </w:t>
      </w:r>
      <w:r w:rsidRPr="00206088">
        <w:rPr>
          <w:sz w:val="26"/>
          <w:szCs w:val="26"/>
        </w:rPr>
        <w:t xml:space="preserve"> Although the DDR Potential Study finds that the benefits of a Phase IV DDR program would exceed the costs, the DDR potential identified is less cost-effective (TRC ratio = 1.54) than the EEPDR potential (TRC ratio = 1.62).  The SWE estimates that a Phase IV design which pursues both EE and </w:t>
      </w:r>
      <w:r w:rsidR="00FF4366" w:rsidRPr="00206088">
        <w:rPr>
          <w:sz w:val="26"/>
          <w:szCs w:val="26"/>
        </w:rPr>
        <w:t xml:space="preserve">peak demand reductions </w:t>
      </w:r>
      <w:r w:rsidRPr="00206088">
        <w:rPr>
          <w:sz w:val="26"/>
          <w:szCs w:val="26"/>
        </w:rPr>
        <w:t>without utilizing DDR would achieve $3</w:t>
      </w:r>
      <w:r w:rsidR="008A5BF0" w:rsidRPr="00206088">
        <w:rPr>
          <w:sz w:val="26"/>
          <w:szCs w:val="26"/>
        </w:rPr>
        <w:t>5</w:t>
      </w:r>
      <w:r w:rsidRPr="00206088">
        <w:rPr>
          <w:sz w:val="26"/>
          <w:szCs w:val="26"/>
        </w:rPr>
        <w:t xml:space="preserve"> million more net benefits to </w:t>
      </w:r>
      <w:r w:rsidRPr="00C373A6">
        <w:rPr>
          <w:sz w:val="26"/>
          <w:szCs w:val="26"/>
        </w:rPr>
        <w:t>the Commonwealth than a Phase IV design which includes DDR</w:t>
      </w:r>
      <w:r w:rsidR="00FF4366" w:rsidRPr="00C373A6">
        <w:rPr>
          <w:sz w:val="26"/>
          <w:szCs w:val="26"/>
        </w:rPr>
        <w:t>.</w:t>
      </w:r>
      <w:r w:rsidR="00127FEA">
        <w:rPr>
          <w:sz w:val="26"/>
          <w:szCs w:val="26"/>
        </w:rPr>
        <w:t xml:space="preserve"> </w:t>
      </w:r>
      <w:r w:rsidR="00206088" w:rsidRPr="00C373A6">
        <w:rPr>
          <w:sz w:val="26"/>
          <w:szCs w:val="26"/>
        </w:rPr>
        <w:t xml:space="preserve"> This calculation is based on comparing the </w:t>
      </w:r>
      <w:r w:rsidR="00127FEA">
        <w:rPr>
          <w:sz w:val="26"/>
          <w:szCs w:val="26"/>
        </w:rPr>
        <w:t>n</w:t>
      </w:r>
      <w:r w:rsidR="00206088" w:rsidRPr="00C373A6">
        <w:rPr>
          <w:sz w:val="26"/>
          <w:szCs w:val="26"/>
        </w:rPr>
        <w:t xml:space="preserve">et TRC </w:t>
      </w:r>
      <w:r w:rsidR="00127FEA">
        <w:rPr>
          <w:sz w:val="26"/>
          <w:szCs w:val="26"/>
        </w:rPr>
        <w:t>b</w:t>
      </w:r>
      <w:r w:rsidR="00206088" w:rsidRPr="00C373A6">
        <w:rPr>
          <w:sz w:val="26"/>
          <w:szCs w:val="26"/>
        </w:rPr>
        <w:t>enefits columns of Table</w:t>
      </w:r>
      <w:r w:rsidR="00C373A6" w:rsidRPr="00C373A6">
        <w:rPr>
          <w:sz w:val="26"/>
          <w:szCs w:val="26"/>
        </w:rPr>
        <w:t>s</w:t>
      </w:r>
      <w:r w:rsidR="00206088" w:rsidRPr="00C373A6">
        <w:rPr>
          <w:sz w:val="26"/>
          <w:szCs w:val="26"/>
        </w:rPr>
        <w:t xml:space="preserve"> 37 and 38 of the EEPDR Potential Study.</w:t>
      </w:r>
      <w:r w:rsidR="00206088" w:rsidRPr="00C373A6">
        <w:rPr>
          <w:rStyle w:val="FootnoteReference"/>
          <w:sz w:val="26"/>
          <w:szCs w:val="26"/>
        </w:rPr>
        <w:footnoteReference w:id="49"/>
      </w:r>
      <w:r w:rsidR="00206088" w:rsidRPr="00C373A6">
        <w:rPr>
          <w:sz w:val="26"/>
          <w:szCs w:val="26"/>
        </w:rPr>
        <w:t xml:space="preserve"> All TRC benefits and TRC costs are presented in 2021 dollars in the EEPDR </w:t>
      </w:r>
      <w:r w:rsidR="00127FEA">
        <w:rPr>
          <w:sz w:val="26"/>
          <w:szCs w:val="26"/>
        </w:rPr>
        <w:t xml:space="preserve">Potential </w:t>
      </w:r>
      <w:r w:rsidR="00206088" w:rsidRPr="00C373A6">
        <w:rPr>
          <w:sz w:val="26"/>
          <w:szCs w:val="26"/>
        </w:rPr>
        <w:t xml:space="preserve">Study. The present value of net benefits is calculated by subtracting the TRC </w:t>
      </w:r>
      <w:r w:rsidR="00127FEA">
        <w:rPr>
          <w:sz w:val="26"/>
          <w:szCs w:val="26"/>
        </w:rPr>
        <w:t>c</w:t>
      </w:r>
      <w:r w:rsidR="00206088" w:rsidRPr="00C373A6">
        <w:rPr>
          <w:sz w:val="26"/>
          <w:szCs w:val="26"/>
        </w:rPr>
        <w:t xml:space="preserve">osts from the TRC </w:t>
      </w:r>
      <w:r w:rsidR="00127FEA">
        <w:rPr>
          <w:sz w:val="26"/>
          <w:szCs w:val="26"/>
        </w:rPr>
        <w:t>b</w:t>
      </w:r>
      <w:r w:rsidR="00206088" w:rsidRPr="00C373A6">
        <w:rPr>
          <w:sz w:val="26"/>
          <w:szCs w:val="26"/>
        </w:rPr>
        <w:t>enefits.</w:t>
      </w:r>
      <w:r w:rsidR="00206088" w:rsidRPr="00C373A6">
        <w:rPr>
          <w:rFonts w:eastAsiaTheme="minorHAnsi"/>
          <w:sz w:val="26"/>
          <w:szCs w:val="26"/>
        </w:rPr>
        <w:t xml:space="preserve"> </w:t>
      </w:r>
    </w:p>
    <w:p w14:paraId="48088276" w14:textId="43B2E131" w:rsidR="008A5BF0" w:rsidRDefault="00FF4366" w:rsidP="001617FD">
      <w:pPr>
        <w:pStyle w:val="StyleLinespacing15lines"/>
        <w:ind w:firstLine="720"/>
      </w:pPr>
      <w:r>
        <w:t xml:space="preserve"> </w:t>
      </w:r>
    </w:p>
    <w:p w14:paraId="024FE657" w14:textId="2053E2A7" w:rsidR="00C373A6" w:rsidRDefault="00C373A6" w:rsidP="00C373A6">
      <w:pPr>
        <w:pStyle w:val="StyleLinespacing15lines"/>
        <w:numPr>
          <w:ilvl w:val="0"/>
          <w:numId w:val="32"/>
        </w:numPr>
      </w:pPr>
      <w:r>
        <w:t xml:space="preserve">Table 37 of the EEPDR Potential Study shows summary statistics for a Phase IV design with no funding for </w:t>
      </w:r>
      <w:r w:rsidR="00127FEA">
        <w:t>D</w:t>
      </w:r>
      <w:r>
        <w:t>DR programming. The cost-effectiveness metrics are:</w:t>
      </w:r>
    </w:p>
    <w:p w14:paraId="4E444503" w14:textId="77777777" w:rsidR="00C373A6" w:rsidRDefault="00C373A6" w:rsidP="00C373A6">
      <w:pPr>
        <w:pStyle w:val="StyleLinespacing15lines"/>
        <w:numPr>
          <w:ilvl w:val="1"/>
          <w:numId w:val="32"/>
        </w:numPr>
      </w:pPr>
      <w:r>
        <w:lastRenderedPageBreak/>
        <w:t>TRC Benefits = $3,073 million</w:t>
      </w:r>
    </w:p>
    <w:p w14:paraId="2C1860C8" w14:textId="77777777" w:rsidR="00C373A6" w:rsidRDefault="00C373A6" w:rsidP="00C373A6">
      <w:pPr>
        <w:pStyle w:val="StyleLinespacing15lines"/>
        <w:numPr>
          <w:ilvl w:val="1"/>
          <w:numId w:val="32"/>
        </w:numPr>
      </w:pPr>
      <w:r>
        <w:t>TRC Costs = $1,894 million</w:t>
      </w:r>
    </w:p>
    <w:p w14:paraId="3E459739" w14:textId="77777777" w:rsidR="00C373A6" w:rsidRPr="00C373A6" w:rsidRDefault="00C373A6" w:rsidP="00C373A6">
      <w:pPr>
        <w:pStyle w:val="StyleLinespacing15lines"/>
        <w:numPr>
          <w:ilvl w:val="1"/>
          <w:numId w:val="32"/>
        </w:numPr>
      </w:pPr>
      <w:r w:rsidRPr="00C373A6">
        <w:t>Net TRC Benefits = $1,179 million</w:t>
      </w:r>
    </w:p>
    <w:p w14:paraId="0EC732E3" w14:textId="275BDFBA" w:rsidR="00C373A6" w:rsidRPr="00C373A6" w:rsidRDefault="00C373A6" w:rsidP="00C373A6">
      <w:pPr>
        <w:pStyle w:val="StyleLinespacing15lines"/>
        <w:numPr>
          <w:ilvl w:val="0"/>
          <w:numId w:val="32"/>
        </w:numPr>
      </w:pPr>
      <w:r w:rsidRPr="00C373A6">
        <w:t xml:space="preserve">Table 38 of the EEPDR Potential Study shows summary statistics for a Phase IV design with 5.2% of Phase IV EE&amp;C funding allocated </w:t>
      </w:r>
      <w:r w:rsidR="00127FEA">
        <w:t>to D</w:t>
      </w:r>
      <w:r w:rsidRPr="00C373A6">
        <w:t>DR programming and the remaining 94.8% allocated to EE programming. The cost-effectiveness metrics are:</w:t>
      </w:r>
    </w:p>
    <w:p w14:paraId="0AF7E564" w14:textId="77777777" w:rsidR="00C373A6" w:rsidRPr="00C373A6" w:rsidRDefault="00C373A6" w:rsidP="00C373A6">
      <w:pPr>
        <w:pStyle w:val="StyleLinespacing15lines"/>
        <w:numPr>
          <w:ilvl w:val="1"/>
          <w:numId w:val="32"/>
        </w:numPr>
      </w:pPr>
      <w:r w:rsidRPr="00C373A6">
        <w:t>TRC Benefits = $2,995 million</w:t>
      </w:r>
    </w:p>
    <w:p w14:paraId="6327E646" w14:textId="77777777" w:rsidR="00C373A6" w:rsidRPr="00C373A6" w:rsidRDefault="00C373A6" w:rsidP="00C373A6">
      <w:pPr>
        <w:pStyle w:val="StyleLinespacing15lines"/>
        <w:numPr>
          <w:ilvl w:val="1"/>
          <w:numId w:val="32"/>
        </w:numPr>
      </w:pPr>
      <w:r w:rsidRPr="00C373A6">
        <w:t>TRC Costs = $1,852 million</w:t>
      </w:r>
    </w:p>
    <w:p w14:paraId="0CB9E712" w14:textId="77777777" w:rsidR="00C373A6" w:rsidRPr="00C373A6" w:rsidRDefault="00C373A6" w:rsidP="00C373A6">
      <w:pPr>
        <w:pStyle w:val="StyleLinespacing15lines"/>
        <w:numPr>
          <w:ilvl w:val="1"/>
          <w:numId w:val="32"/>
        </w:numPr>
      </w:pPr>
      <w:r w:rsidRPr="00C373A6">
        <w:t>Net TRC Benefits = $1,144</w:t>
      </w:r>
    </w:p>
    <w:p w14:paraId="52E256A2" w14:textId="77777777" w:rsidR="00C373A6" w:rsidRPr="00C373A6" w:rsidRDefault="00C373A6" w:rsidP="00C373A6">
      <w:pPr>
        <w:pStyle w:val="StyleLinespacing15lines"/>
      </w:pPr>
    </w:p>
    <w:p w14:paraId="50226E6D" w14:textId="4BC5E8C2" w:rsidR="00C373A6" w:rsidRDefault="00C373A6" w:rsidP="00C373A6">
      <w:pPr>
        <w:pStyle w:val="StyleLinespacing15lines"/>
        <w:ind w:firstLine="720"/>
      </w:pPr>
      <w:r w:rsidRPr="00C373A6">
        <w:t xml:space="preserve">The SWE’s calculation of $35 million in additional net TRC benefits is based on the calculation $1,179M - $1,144M = $35 million. TRC benefits are predominately comprised of reduced marginal energy and capacity costs so this $35 million is the net present value (in 2021$) of additional energy and capacity net benefits to the Commonwealth expected from a Phase IV design which does not include </w:t>
      </w:r>
      <w:r w:rsidR="00127FEA">
        <w:t>D</w:t>
      </w:r>
      <w:r w:rsidRPr="00C373A6">
        <w:t xml:space="preserve">DR programming versus a Phase IV design that does include </w:t>
      </w:r>
      <w:r w:rsidR="00127FEA">
        <w:t>D</w:t>
      </w:r>
      <w:r w:rsidRPr="00C373A6">
        <w:t>DR programming.</w:t>
      </w:r>
      <w:r>
        <w:t xml:space="preserve"> </w:t>
      </w:r>
    </w:p>
    <w:p w14:paraId="4C8F36DF" w14:textId="77777777" w:rsidR="00C373A6" w:rsidRDefault="00C373A6" w:rsidP="001617FD">
      <w:pPr>
        <w:pStyle w:val="StyleLinespacing15lines"/>
        <w:ind w:firstLine="720"/>
      </w:pPr>
    </w:p>
    <w:p w14:paraId="39992C20" w14:textId="7221DA2A" w:rsidR="001617FD" w:rsidRPr="00206088" w:rsidRDefault="00206088" w:rsidP="00841187">
      <w:pPr>
        <w:spacing w:line="360" w:lineRule="auto"/>
        <w:ind w:firstLine="720"/>
        <w:rPr>
          <w:rFonts w:eastAsiaTheme="minorHAnsi"/>
          <w:sz w:val="26"/>
          <w:szCs w:val="26"/>
        </w:rPr>
      </w:pPr>
      <w:r w:rsidRPr="00206088">
        <w:rPr>
          <w:sz w:val="26"/>
          <w:szCs w:val="26"/>
        </w:rPr>
        <w:t>The SWE also noted in its EEPDR Potential Study that allocation of 5.2% of Phase IV funding to DDR programming lowers the achievable consumption reductions by 213,000 MWh statewide.</w:t>
      </w:r>
      <w:r w:rsidRPr="00206088">
        <w:rPr>
          <w:rStyle w:val="FootnoteReference"/>
          <w:sz w:val="26"/>
          <w:szCs w:val="26"/>
        </w:rPr>
        <w:footnoteReference w:id="50"/>
      </w:r>
      <w:r w:rsidRPr="00206088">
        <w:rPr>
          <w:sz w:val="26"/>
          <w:szCs w:val="26"/>
        </w:rPr>
        <w:t xml:space="preserve">  Inclusion of DDR programming leads to a net increase of 153 MW of peak demand impact (1,031 MW vs. 878 MW).</w:t>
      </w:r>
      <w:r w:rsidRPr="00206088">
        <w:rPr>
          <w:rStyle w:val="FootnoteReference"/>
          <w:sz w:val="26"/>
          <w:szCs w:val="26"/>
        </w:rPr>
        <w:footnoteReference w:id="51"/>
      </w:r>
      <w:r w:rsidRPr="00206088">
        <w:rPr>
          <w:sz w:val="26"/>
          <w:szCs w:val="26"/>
        </w:rPr>
        <w:t xml:space="preserve">  </w:t>
      </w:r>
      <w:r w:rsidR="001617FD" w:rsidRPr="00206088">
        <w:rPr>
          <w:sz w:val="26"/>
          <w:szCs w:val="26"/>
        </w:rPr>
        <w:t>The DDR programs modeled by the SWE contribute 198 MW of peak demand reduction for each of the five summers of Phase IV, while the reduced EE funding sacrifices 46 MW of coincident peak demand reduction from EE measures.</w:t>
      </w:r>
      <w:r w:rsidR="001617FD">
        <w:rPr>
          <w:szCs w:val="26"/>
        </w:rPr>
        <w:t xml:space="preserve"> </w:t>
      </w:r>
    </w:p>
    <w:p w14:paraId="4619447A" w14:textId="77777777" w:rsidR="001617FD" w:rsidRDefault="001617FD" w:rsidP="002C15DE">
      <w:pPr>
        <w:pStyle w:val="StyleLinespacing15lines"/>
        <w:ind w:firstLine="720"/>
        <w:rPr>
          <w:szCs w:val="26"/>
        </w:rPr>
      </w:pPr>
    </w:p>
    <w:p w14:paraId="5A7BA90B" w14:textId="3A0D4E06" w:rsidR="001617FD" w:rsidRDefault="001617FD" w:rsidP="001617FD">
      <w:pPr>
        <w:pStyle w:val="StyleLinespacing15lines"/>
        <w:ind w:firstLine="720"/>
        <w:rPr>
          <w:szCs w:val="26"/>
        </w:rPr>
      </w:pPr>
      <w:r w:rsidRPr="001428A9">
        <w:rPr>
          <w:szCs w:val="26"/>
        </w:rPr>
        <w:lastRenderedPageBreak/>
        <w:t xml:space="preserve">Although the comparison of peak demand impacts with and without funding allocated to DDR programs is useful for comparison purposes, the Commission notes that all MW impacts are not created equally.  </w:t>
      </w:r>
      <w:r w:rsidRPr="009414C4">
        <w:rPr>
          <w:szCs w:val="26"/>
        </w:rPr>
        <w:t>Because EE measures typically have multiple years of useful life, their associated incremental annual peak demand reductions will continue to provide value beyond the year in which they are claimed as incremental annual peak demand reductions in EE&amp;C programs.</w:t>
      </w:r>
      <w:r w:rsidRPr="001428A9">
        <w:rPr>
          <w:szCs w:val="26"/>
        </w:rPr>
        <w:t xml:space="preserve">  The Commission prefers the lasting peak demand reductions achieved by EE measures for the following reasons:</w:t>
      </w:r>
    </w:p>
    <w:p w14:paraId="16C44714" w14:textId="77777777" w:rsidR="001617FD" w:rsidRPr="009414C4" w:rsidRDefault="001617FD" w:rsidP="001617FD">
      <w:pPr>
        <w:pStyle w:val="StyleLinespacing15lines"/>
        <w:ind w:firstLine="720"/>
        <w:rPr>
          <w:szCs w:val="26"/>
        </w:rPr>
      </w:pPr>
    </w:p>
    <w:p w14:paraId="5510F552" w14:textId="2B77218F" w:rsidR="001617FD" w:rsidRDefault="001617FD" w:rsidP="001617FD">
      <w:pPr>
        <w:pStyle w:val="StyleLinespacing15lines"/>
        <w:numPr>
          <w:ilvl w:val="0"/>
          <w:numId w:val="26"/>
        </w:numPr>
      </w:pPr>
      <w:r w:rsidRPr="00C379BC">
        <w:rPr>
          <w:szCs w:val="26"/>
        </w:rPr>
        <w:t>Coincident peak demand reductions</w:t>
      </w:r>
      <w:r>
        <w:t xml:space="preserve"> from EE measures are longer lasting than DDR programming and will persist for years after Phase IV has ended. </w:t>
      </w:r>
      <w:r w:rsidR="00FF4366">
        <w:t xml:space="preserve"> </w:t>
      </w:r>
      <w:r>
        <w:t xml:space="preserve">While the DDR programming modeled by the SWE achieves an average of 198 MW over five consecutive summers, the 46 MW of coincident peak demand reduction from EE measures has a weighted average measure life of 10.7 years. </w:t>
      </w:r>
    </w:p>
    <w:p w14:paraId="703190C3" w14:textId="3EAD3AF6" w:rsidR="001617FD" w:rsidRDefault="001617FD" w:rsidP="001617FD">
      <w:pPr>
        <w:pStyle w:val="StyleLinespacing15lines"/>
        <w:numPr>
          <w:ilvl w:val="0"/>
          <w:numId w:val="26"/>
        </w:numPr>
      </w:pPr>
      <w:r>
        <w:t>Coincident demand reductions from EE measures are available every day rather than just a small number of DR event days.  The 2021 TRM</w:t>
      </w:r>
      <w:r>
        <w:rPr>
          <w:rStyle w:val="FootnoteReference"/>
        </w:rPr>
        <w:footnoteReference w:id="52"/>
      </w:r>
      <w:r>
        <w:t xml:space="preserve"> defines peak demand reductions from EE as the average demand reduction from 2pm to 6pm on non-holiday weekdays June through August.  This means EE measures deliver peak demand reductions on over 60 days per summer compared to the 5-10 days DDR programs are active.  Although, the TRM does not provide algorithms and assumptions for winter peak demand impacts, many EE measures also reduce demand coincident with winter peaks.  This is an important consideration for EDCs like PPL whose winter peak demand forecast</w:t>
      </w:r>
      <w:r>
        <w:rPr>
          <w:rStyle w:val="FootnoteReference"/>
        </w:rPr>
        <w:footnoteReference w:id="53"/>
      </w:r>
      <w:r>
        <w:t xml:space="preserve"> is as high, or higher, </w:t>
      </w:r>
      <w:r w:rsidR="006A31AF">
        <w:t xml:space="preserve">than </w:t>
      </w:r>
      <w:r>
        <w:t>the summer peak demand forecast over the next decade.</w:t>
      </w:r>
    </w:p>
    <w:p w14:paraId="388B8752" w14:textId="4DAE406A" w:rsidR="001617FD" w:rsidRDefault="001617FD" w:rsidP="001617FD">
      <w:pPr>
        <w:pStyle w:val="StyleLinespacing15lines"/>
        <w:numPr>
          <w:ilvl w:val="0"/>
          <w:numId w:val="26"/>
        </w:numPr>
      </w:pPr>
      <w:r>
        <w:lastRenderedPageBreak/>
        <w:t xml:space="preserve">Coincident demand reductions from EE measures can be recognized in PJM’s Forward Capacity Market (FCM).  The proceeds from bidding these demand resources can reduce the EE&amp;C </w:t>
      </w:r>
      <w:r w:rsidR="003460C9">
        <w:t xml:space="preserve">plan </w:t>
      </w:r>
      <w:r>
        <w:t xml:space="preserve">funding that must be collected via riders.  </w:t>
      </w:r>
    </w:p>
    <w:p w14:paraId="1C811A1E" w14:textId="77777777" w:rsidR="00833163" w:rsidRDefault="00833163" w:rsidP="001A24D6">
      <w:pPr>
        <w:spacing w:line="360" w:lineRule="auto"/>
        <w:ind w:firstLine="720"/>
        <w:rPr>
          <w:sz w:val="26"/>
          <w:szCs w:val="26"/>
        </w:rPr>
      </w:pPr>
    </w:p>
    <w:p w14:paraId="0BE94EEF" w14:textId="30EA0D48" w:rsidR="001A24D6" w:rsidRPr="00DF5EFA" w:rsidRDefault="001A24D6" w:rsidP="001A24D6">
      <w:pPr>
        <w:spacing w:line="360" w:lineRule="auto"/>
        <w:ind w:firstLine="720"/>
        <w:rPr>
          <w:sz w:val="26"/>
          <w:szCs w:val="26"/>
        </w:rPr>
      </w:pPr>
      <w:r>
        <w:rPr>
          <w:sz w:val="26"/>
          <w:szCs w:val="26"/>
        </w:rPr>
        <w:t xml:space="preserve">The Commission also seeks to establish targets and policies that will streamline Phase IV EE&amp;C plans and limit administrative costs.  </w:t>
      </w:r>
      <w:r w:rsidRPr="00DD2E9E">
        <w:rPr>
          <w:sz w:val="26"/>
          <w:szCs w:val="26"/>
        </w:rPr>
        <w:t>Avoiding the need to establish a separate program</w:t>
      </w:r>
      <w:r>
        <w:rPr>
          <w:sz w:val="26"/>
          <w:szCs w:val="26"/>
        </w:rPr>
        <w:t xml:space="preserve"> type,</w:t>
      </w:r>
      <w:r w:rsidRPr="00DD2E9E">
        <w:rPr>
          <w:sz w:val="26"/>
          <w:szCs w:val="26"/>
        </w:rPr>
        <w:t xml:space="preserve"> such as with </w:t>
      </w:r>
      <w:r w:rsidR="00C60246">
        <w:rPr>
          <w:sz w:val="26"/>
          <w:szCs w:val="26"/>
        </w:rPr>
        <w:t>D</w:t>
      </w:r>
      <w:r w:rsidRPr="00DD2E9E">
        <w:rPr>
          <w:sz w:val="26"/>
          <w:szCs w:val="26"/>
        </w:rPr>
        <w:t xml:space="preserve">DR, and the associated need to hire additional </w:t>
      </w:r>
      <w:r>
        <w:rPr>
          <w:sz w:val="26"/>
          <w:szCs w:val="26"/>
        </w:rPr>
        <w:t>CSPs</w:t>
      </w:r>
      <w:r w:rsidR="003460C9">
        <w:rPr>
          <w:sz w:val="26"/>
          <w:szCs w:val="26"/>
        </w:rPr>
        <w:t>,</w:t>
      </w:r>
      <w:r w:rsidRPr="00DD2E9E">
        <w:rPr>
          <w:sz w:val="26"/>
          <w:szCs w:val="26"/>
        </w:rPr>
        <w:t xml:space="preserve"> allows for greater spending on more economical EE measures that deliver peak </w:t>
      </w:r>
      <w:r>
        <w:rPr>
          <w:sz w:val="26"/>
          <w:szCs w:val="26"/>
        </w:rPr>
        <w:t xml:space="preserve">demand </w:t>
      </w:r>
      <w:r w:rsidRPr="00DD2E9E">
        <w:rPr>
          <w:sz w:val="26"/>
          <w:szCs w:val="26"/>
        </w:rPr>
        <w:t>reduction benefits</w:t>
      </w:r>
      <w:r>
        <w:rPr>
          <w:sz w:val="26"/>
          <w:szCs w:val="26"/>
        </w:rPr>
        <w:t xml:space="preserve"> long after Phase IV has ended. </w:t>
      </w:r>
    </w:p>
    <w:p w14:paraId="1085E7A4" w14:textId="77777777" w:rsidR="001A24D6" w:rsidRPr="00D40621" w:rsidRDefault="001A24D6" w:rsidP="001A24D6"/>
    <w:p w14:paraId="7C14369F" w14:textId="757F94F2" w:rsidR="001A24D6" w:rsidRDefault="001A24D6" w:rsidP="001A24D6">
      <w:pPr>
        <w:tabs>
          <w:tab w:val="left" w:pos="204"/>
        </w:tabs>
        <w:autoSpaceDE w:val="0"/>
        <w:autoSpaceDN w:val="0"/>
        <w:adjustRightInd w:val="0"/>
        <w:spacing w:line="360" w:lineRule="auto"/>
        <w:ind w:firstLine="720"/>
        <w:rPr>
          <w:sz w:val="26"/>
          <w:szCs w:val="26"/>
        </w:rPr>
      </w:pPr>
      <w:r>
        <w:rPr>
          <w:sz w:val="26"/>
          <w:szCs w:val="26"/>
        </w:rPr>
        <w:t xml:space="preserve">For Phase IV of Act 129, the Commission proposes steps to better reflect peak demand reductions from </w:t>
      </w:r>
      <w:r w:rsidR="003460C9">
        <w:rPr>
          <w:sz w:val="26"/>
          <w:szCs w:val="26"/>
        </w:rPr>
        <w:t>EE&amp;C</w:t>
      </w:r>
      <w:r>
        <w:rPr>
          <w:sz w:val="26"/>
          <w:szCs w:val="26"/>
        </w:rPr>
        <w:t xml:space="preserve"> </w:t>
      </w:r>
      <w:r w:rsidR="00A4776A">
        <w:rPr>
          <w:sz w:val="26"/>
          <w:szCs w:val="26"/>
        </w:rPr>
        <w:t>P</w:t>
      </w:r>
      <w:r>
        <w:rPr>
          <w:sz w:val="26"/>
          <w:szCs w:val="26"/>
        </w:rPr>
        <w:t xml:space="preserve">rogram at the wholesale level.  While the administrative challenges and economics of </w:t>
      </w:r>
      <w:r w:rsidR="00C60246">
        <w:rPr>
          <w:sz w:val="26"/>
          <w:szCs w:val="26"/>
        </w:rPr>
        <w:t>D</w:t>
      </w:r>
      <w:r>
        <w:rPr>
          <w:sz w:val="26"/>
          <w:szCs w:val="26"/>
        </w:rPr>
        <w:t xml:space="preserve">DR as PSA do not support establishment of peak demand reduction targets that must be met exclusively with </w:t>
      </w:r>
      <w:r w:rsidR="00C60246">
        <w:rPr>
          <w:sz w:val="26"/>
          <w:szCs w:val="26"/>
        </w:rPr>
        <w:t>D</w:t>
      </w:r>
      <w:r>
        <w:rPr>
          <w:sz w:val="26"/>
          <w:szCs w:val="26"/>
        </w:rPr>
        <w:t>DR programs, we propose to have EDCs nominate a portion of the peak demand reduction</w:t>
      </w:r>
      <w:r w:rsidR="00C60246">
        <w:rPr>
          <w:sz w:val="26"/>
          <w:szCs w:val="26"/>
        </w:rPr>
        <w:t>s</w:t>
      </w:r>
      <w:r>
        <w:rPr>
          <w:sz w:val="26"/>
          <w:szCs w:val="26"/>
        </w:rPr>
        <w:t xml:space="preserve"> achieved by its EE portfolio as a capacity resource in PJM’s forward capacity auctions.  The peak demand reductions achieved by EE measures such as C&amp;I</w:t>
      </w:r>
      <w:r w:rsidR="002C71EA">
        <w:rPr>
          <w:sz w:val="26"/>
          <w:szCs w:val="26"/>
        </w:rPr>
        <w:t xml:space="preserve"> </w:t>
      </w:r>
      <w:r>
        <w:rPr>
          <w:sz w:val="26"/>
          <w:szCs w:val="26"/>
        </w:rPr>
        <w:t xml:space="preserve">lighting meet both the summer and winter requirements required by PJM and are therefore eligible for recognition and compensation as a supply resource.  As discussed in Section </w:t>
      </w:r>
      <w:r w:rsidR="00A44AF5">
        <w:rPr>
          <w:sz w:val="26"/>
          <w:szCs w:val="26"/>
        </w:rPr>
        <w:t>I</w:t>
      </w:r>
      <w:r>
        <w:rPr>
          <w:sz w:val="26"/>
          <w:szCs w:val="26"/>
        </w:rPr>
        <w:t xml:space="preserve">.5: </w:t>
      </w:r>
      <w:r>
        <w:rPr>
          <w:sz w:val="26"/>
          <w:szCs w:val="26"/>
        </w:rPr>
        <w:fldChar w:fldCharType="begin"/>
      </w:r>
      <w:r>
        <w:rPr>
          <w:sz w:val="26"/>
          <w:szCs w:val="26"/>
        </w:rPr>
        <w:instrText xml:space="preserve"> REF _Ref31466380 \h  \* MERGEFORMAT </w:instrText>
      </w:r>
      <w:r>
        <w:rPr>
          <w:sz w:val="26"/>
          <w:szCs w:val="26"/>
        </w:rPr>
      </w:r>
      <w:r>
        <w:rPr>
          <w:sz w:val="26"/>
          <w:szCs w:val="26"/>
        </w:rPr>
        <w:fldChar w:fldCharType="separate"/>
      </w:r>
      <w:r w:rsidR="00BB1E55" w:rsidRPr="00BB1E55">
        <w:rPr>
          <w:sz w:val="26"/>
          <w:szCs w:val="26"/>
        </w:rPr>
        <w:t>Bidding Peak Demand from Energy Efficiency Resources into the PJM Capacity Market</w:t>
      </w:r>
      <w:r>
        <w:rPr>
          <w:sz w:val="26"/>
          <w:szCs w:val="26"/>
        </w:rPr>
        <w:fldChar w:fldCharType="end"/>
      </w:r>
      <w:r>
        <w:rPr>
          <w:sz w:val="26"/>
          <w:szCs w:val="26"/>
        </w:rPr>
        <w:t>, the Commission posits that the proceeds from these peak demand reductions will help reduce Act 129 collection requirements via rider and limit the rate pressure imposed by establishing a Phase IV program.  Winter peak demand is becoming increasingly important in regional planning parameters, so we favor a program type that addresses both summer and winter demand.</w:t>
      </w:r>
    </w:p>
    <w:p w14:paraId="0FDD6B46" w14:textId="77777777" w:rsidR="001A24D6" w:rsidRPr="00576BB0" w:rsidRDefault="001A24D6" w:rsidP="001A24D6">
      <w:pPr>
        <w:tabs>
          <w:tab w:val="left" w:pos="204"/>
        </w:tabs>
        <w:autoSpaceDE w:val="0"/>
        <w:autoSpaceDN w:val="0"/>
        <w:adjustRightInd w:val="0"/>
        <w:spacing w:line="360" w:lineRule="auto"/>
        <w:ind w:firstLine="720"/>
        <w:rPr>
          <w:sz w:val="26"/>
          <w:szCs w:val="26"/>
        </w:rPr>
      </w:pPr>
    </w:p>
    <w:p w14:paraId="03D88A5E" w14:textId="77777777" w:rsidR="006B168D" w:rsidRDefault="006B168D" w:rsidP="008F2E3E">
      <w:pPr>
        <w:pStyle w:val="Heading3"/>
      </w:pPr>
      <w:bookmarkStart w:id="318" w:name="_Toc33782005"/>
      <w:r>
        <w:t>Baseline for Targets</w:t>
      </w:r>
      <w:bookmarkEnd w:id="318"/>
    </w:p>
    <w:p w14:paraId="2540ED59" w14:textId="17BB8063" w:rsidR="006B168D" w:rsidRDefault="006B168D" w:rsidP="00482FAF">
      <w:pPr>
        <w:tabs>
          <w:tab w:val="left" w:pos="204"/>
        </w:tabs>
        <w:autoSpaceDE w:val="0"/>
        <w:autoSpaceDN w:val="0"/>
        <w:adjustRightInd w:val="0"/>
        <w:spacing w:line="360" w:lineRule="auto"/>
        <w:ind w:firstLine="720"/>
        <w:rPr>
          <w:sz w:val="26"/>
          <w:szCs w:val="26"/>
        </w:rPr>
      </w:pPr>
      <w:r>
        <w:rPr>
          <w:sz w:val="26"/>
          <w:szCs w:val="26"/>
        </w:rPr>
        <w:t>Since Phase I of Act 129, the</w:t>
      </w:r>
      <w:r w:rsidRPr="00D429C8">
        <w:rPr>
          <w:sz w:val="26"/>
          <w:szCs w:val="26"/>
        </w:rPr>
        <w:t xml:space="preserve"> Commission </w:t>
      </w:r>
      <w:r>
        <w:rPr>
          <w:sz w:val="26"/>
          <w:szCs w:val="26"/>
        </w:rPr>
        <w:t>has utilized the average load for the 100 hours of highest load for the period June 1, 2007 through May 31, 2008 as the reference peak load values against which to express</w:t>
      </w:r>
      <w:r w:rsidRPr="00D429C8">
        <w:rPr>
          <w:sz w:val="26"/>
          <w:szCs w:val="26"/>
        </w:rPr>
        <w:t xml:space="preserve"> </w:t>
      </w:r>
      <w:r>
        <w:rPr>
          <w:sz w:val="26"/>
          <w:szCs w:val="26"/>
        </w:rPr>
        <w:t xml:space="preserve">peak demand reductions for each EDC and for </w:t>
      </w:r>
      <w:r>
        <w:rPr>
          <w:sz w:val="26"/>
          <w:szCs w:val="26"/>
        </w:rPr>
        <w:lastRenderedPageBreak/>
        <w:t xml:space="preserve">the EE&amp;C </w:t>
      </w:r>
      <w:r w:rsidR="00755125">
        <w:rPr>
          <w:sz w:val="26"/>
          <w:szCs w:val="26"/>
        </w:rPr>
        <w:t xml:space="preserve">Program </w:t>
      </w:r>
      <w:r>
        <w:rPr>
          <w:sz w:val="26"/>
          <w:szCs w:val="26"/>
        </w:rPr>
        <w:t>as a whole.</w:t>
      </w:r>
      <w:r>
        <w:rPr>
          <w:rStyle w:val="FootnoteReference"/>
          <w:sz w:val="26"/>
          <w:szCs w:val="26"/>
        </w:rPr>
        <w:footnoteReference w:id="54"/>
      </w:r>
      <w:r w:rsidRPr="00D429C8">
        <w:rPr>
          <w:sz w:val="26"/>
          <w:szCs w:val="26"/>
        </w:rPr>
        <w:t xml:space="preserve">  </w:t>
      </w:r>
      <w:r>
        <w:rPr>
          <w:sz w:val="26"/>
          <w:szCs w:val="26"/>
        </w:rPr>
        <w:t>Although somewhat dated at this point, the SWE maintained this same baseline when expressing Phase IV reductions on a percentage basis in the EE</w:t>
      </w:r>
      <w:r w:rsidR="003B32B3">
        <w:rPr>
          <w:sz w:val="26"/>
          <w:szCs w:val="26"/>
        </w:rPr>
        <w:t>PDR</w:t>
      </w:r>
      <w:r>
        <w:rPr>
          <w:sz w:val="26"/>
          <w:szCs w:val="26"/>
        </w:rPr>
        <w:t xml:space="preserve"> and D</w:t>
      </w:r>
      <w:r w:rsidR="003B32B3">
        <w:rPr>
          <w:sz w:val="26"/>
          <w:szCs w:val="26"/>
        </w:rPr>
        <w:t>D</w:t>
      </w:r>
      <w:r>
        <w:rPr>
          <w:sz w:val="26"/>
          <w:szCs w:val="26"/>
        </w:rPr>
        <w:t xml:space="preserve">R Potential Studies.  This convention allows for an “apples-to-apples” comparison with targets, on a percentage basis, from prior phases.  The Commission proposes to continue to use the average “top 100 hours” peak demand values for each EDC from the period June 1, 2007 through May 31, 2008, as the consumption baseline from which to express incremental savings in Phase IV.  </w:t>
      </w:r>
      <w:r w:rsidR="00F74EC2">
        <w:rPr>
          <w:sz w:val="26"/>
          <w:szCs w:val="26"/>
        </w:rPr>
        <w:t xml:space="preserve">Table </w:t>
      </w:r>
      <w:r w:rsidR="004451AB">
        <w:rPr>
          <w:sz w:val="26"/>
          <w:szCs w:val="26"/>
        </w:rPr>
        <w:t>15</w:t>
      </w:r>
      <w:r>
        <w:rPr>
          <w:sz w:val="26"/>
          <w:szCs w:val="26"/>
        </w:rPr>
        <w:t xml:space="preserve"> shows the baseline peak demand values for each EDC and statewide. </w:t>
      </w:r>
    </w:p>
    <w:p w14:paraId="46DE47D2" w14:textId="77777777" w:rsidR="006B168D" w:rsidRDefault="006B168D" w:rsidP="001A24D6">
      <w:pPr>
        <w:tabs>
          <w:tab w:val="left" w:pos="204"/>
        </w:tabs>
        <w:autoSpaceDE w:val="0"/>
        <w:autoSpaceDN w:val="0"/>
        <w:adjustRightInd w:val="0"/>
        <w:spacing w:line="360" w:lineRule="auto"/>
        <w:ind w:firstLine="720"/>
        <w:rPr>
          <w:sz w:val="26"/>
          <w:szCs w:val="26"/>
        </w:rPr>
      </w:pPr>
    </w:p>
    <w:p w14:paraId="587630FC" w14:textId="0F3904A6" w:rsidR="006B168D" w:rsidRPr="001C4984" w:rsidRDefault="006B168D" w:rsidP="001A24D6">
      <w:pPr>
        <w:pStyle w:val="Caption"/>
        <w:keepNext/>
        <w:keepLines/>
        <w:jc w:val="center"/>
        <w:rPr>
          <w:b/>
          <w:bCs/>
          <w:i w:val="0"/>
          <w:iCs w:val="0"/>
          <w:color w:val="auto"/>
          <w:sz w:val="26"/>
          <w:szCs w:val="26"/>
        </w:rPr>
      </w:pPr>
      <w:r w:rsidRPr="001C4984">
        <w:rPr>
          <w:b/>
          <w:bCs/>
          <w:i w:val="0"/>
          <w:iCs w:val="0"/>
          <w:color w:val="auto"/>
          <w:sz w:val="26"/>
          <w:szCs w:val="26"/>
        </w:rPr>
        <w:t>Table</w:t>
      </w:r>
      <w:r w:rsidR="004451AB">
        <w:rPr>
          <w:b/>
          <w:bCs/>
          <w:i w:val="0"/>
          <w:iCs w:val="0"/>
          <w:color w:val="auto"/>
          <w:sz w:val="26"/>
          <w:szCs w:val="26"/>
        </w:rPr>
        <w:t xml:space="preserve"> 15</w:t>
      </w:r>
      <w:r w:rsidRPr="001C4984">
        <w:rPr>
          <w:b/>
          <w:bCs/>
          <w:i w:val="0"/>
          <w:iCs w:val="0"/>
          <w:color w:val="auto"/>
          <w:sz w:val="26"/>
          <w:szCs w:val="26"/>
        </w:rPr>
        <w:t>: Baseline Peak Demand Values from 2007-2008 by EDC</w:t>
      </w:r>
    </w:p>
    <w:tbl>
      <w:tblPr>
        <w:tblStyle w:val="List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2911"/>
      </w:tblGrid>
      <w:tr w:rsidR="006B168D" w14:paraId="4F6F9AFA" w14:textId="77777777" w:rsidTr="00535F9C">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0" w:type="auto"/>
            <w:tcBorders>
              <w:right w:val="single" w:sz="4" w:space="0" w:color="FFFFFF" w:themeColor="background1"/>
            </w:tcBorders>
            <w:vAlign w:val="center"/>
          </w:tcPr>
          <w:p w14:paraId="49420A63" w14:textId="77777777" w:rsidR="006B168D" w:rsidRDefault="006B168D" w:rsidP="001A24D6">
            <w:pPr>
              <w:keepNext/>
              <w:keepLines/>
              <w:tabs>
                <w:tab w:val="left" w:pos="204"/>
              </w:tabs>
              <w:autoSpaceDE w:val="0"/>
              <w:autoSpaceDN w:val="0"/>
              <w:adjustRightInd w:val="0"/>
              <w:spacing w:line="360" w:lineRule="auto"/>
              <w:jc w:val="center"/>
              <w:rPr>
                <w:sz w:val="26"/>
                <w:szCs w:val="26"/>
              </w:rPr>
            </w:pPr>
            <w:r>
              <w:rPr>
                <w:sz w:val="26"/>
                <w:szCs w:val="26"/>
              </w:rPr>
              <w:t>EDC</w:t>
            </w:r>
          </w:p>
        </w:tc>
        <w:tc>
          <w:tcPr>
            <w:tcW w:w="2911" w:type="dxa"/>
            <w:tcBorders>
              <w:left w:val="single" w:sz="4" w:space="0" w:color="FFFFFF" w:themeColor="background1"/>
            </w:tcBorders>
            <w:vAlign w:val="center"/>
          </w:tcPr>
          <w:p w14:paraId="059565D0" w14:textId="77777777" w:rsidR="006B168D" w:rsidRDefault="006B168D" w:rsidP="001A24D6">
            <w:pPr>
              <w:keepNext/>
              <w:keepLines/>
              <w:tabs>
                <w:tab w:val="left" w:pos="204"/>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MW</w:t>
            </w:r>
          </w:p>
        </w:tc>
      </w:tr>
      <w:tr w:rsidR="006B168D" w14:paraId="1DA69967" w14:textId="77777777" w:rsidTr="00535F9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994E6D" w14:textId="77777777" w:rsidR="006B168D" w:rsidRPr="004F39D8" w:rsidRDefault="006B168D" w:rsidP="00482FAF">
            <w:pPr>
              <w:keepNext/>
              <w:keepLines/>
              <w:tabs>
                <w:tab w:val="left" w:pos="204"/>
              </w:tabs>
              <w:autoSpaceDE w:val="0"/>
              <w:autoSpaceDN w:val="0"/>
              <w:adjustRightInd w:val="0"/>
              <w:spacing w:line="360" w:lineRule="auto"/>
              <w:rPr>
                <w:b w:val="0"/>
                <w:bCs w:val="0"/>
                <w:sz w:val="26"/>
                <w:szCs w:val="26"/>
              </w:rPr>
            </w:pPr>
            <w:r w:rsidRPr="004F39D8">
              <w:rPr>
                <w:b w:val="0"/>
                <w:bCs w:val="0"/>
                <w:sz w:val="26"/>
                <w:szCs w:val="26"/>
              </w:rPr>
              <w:t>Duquesne Light</w:t>
            </w:r>
          </w:p>
        </w:tc>
        <w:tc>
          <w:tcPr>
            <w:tcW w:w="2911" w:type="dxa"/>
            <w:vAlign w:val="center"/>
          </w:tcPr>
          <w:p w14:paraId="1F626AC4" w14:textId="77777777" w:rsidR="006B168D" w:rsidRDefault="006B168D" w:rsidP="001A24D6">
            <w:pPr>
              <w:keepNext/>
              <w:keepLines/>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2,518</w:t>
            </w:r>
          </w:p>
        </w:tc>
      </w:tr>
      <w:tr w:rsidR="0096685E" w14:paraId="6F9A1337" w14:textId="77777777" w:rsidTr="00535F9C">
        <w:trPr>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25E407" w14:textId="3A2A8F4F" w:rsidR="0096685E" w:rsidRPr="004F39D8" w:rsidRDefault="0096685E" w:rsidP="0096685E">
            <w:pPr>
              <w:keepNext/>
              <w:keepLines/>
              <w:tabs>
                <w:tab w:val="left" w:pos="204"/>
              </w:tabs>
              <w:autoSpaceDE w:val="0"/>
              <w:autoSpaceDN w:val="0"/>
              <w:adjustRightInd w:val="0"/>
              <w:spacing w:line="360" w:lineRule="auto"/>
              <w:rPr>
                <w:sz w:val="26"/>
                <w:szCs w:val="26"/>
              </w:rPr>
            </w:pPr>
            <w:r w:rsidRPr="007B2AF5">
              <w:rPr>
                <w:b w:val="0"/>
                <w:bCs w:val="0"/>
              </w:rPr>
              <w:t>PECO</w:t>
            </w:r>
          </w:p>
        </w:tc>
        <w:tc>
          <w:tcPr>
            <w:tcW w:w="2911" w:type="dxa"/>
            <w:vAlign w:val="center"/>
          </w:tcPr>
          <w:p w14:paraId="08A9A7E1" w14:textId="0DC8A531" w:rsidR="0096685E" w:rsidRDefault="0096685E" w:rsidP="0096685E">
            <w:pPr>
              <w:keepNext/>
              <w:keepLines/>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7,899</w:t>
            </w:r>
          </w:p>
        </w:tc>
      </w:tr>
      <w:tr w:rsidR="0096685E" w14:paraId="11C7CFC7" w14:textId="77777777" w:rsidTr="00535F9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B57C0BD" w14:textId="77777777" w:rsidR="0096685E" w:rsidRPr="004F39D8" w:rsidRDefault="0096685E" w:rsidP="0096685E">
            <w:pPr>
              <w:keepNext/>
              <w:keepLines/>
              <w:tabs>
                <w:tab w:val="left" w:pos="204"/>
              </w:tabs>
              <w:autoSpaceDE w:val="0"/>
              <w:autoSpaceDN w:val="0"/>
              <w:adjustRightInd w:val="0"/>
              <w:spacing w:line="360" w:lineRule="auto"/>
              <w:rPr>
                <w:b w:val="0"/>
                <w:bCs w:val="0"/>
                <w:sz w:val="26"/>
                <w:szCs w:val="26"/>
              </w:rPr>
            </w:pPr>
            <w:r w:rsidRPr="004F39D8">
              <w:rPr>
                <w:b w:val="0"/>
                <w:bCs w:val="0"/>
                <w:sz w:val="26"/>
                <w:szCs w:val="26"/>
              </w:rPr>
              <w:t>PPL</w:t>
            </w:r>
          </w:p>
        </w:tc>
        <w:tc>
          <w:tcPr>
            <w:tcW w:w="2911" w:type="dxa"/>
            <w:vAlign w:val="center"/>
          </w:tcPr>
          <w:p w14:paraId="1089CE9B" w14:textId="77777777" w:rsidR="0096685E" w:rsidRDefault="0096685E" w:rsidP="0096685E">
            <w:pPr>
              <w:keepNext/>
              <w:keepLines/>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6,592</w:t>
            </w:r>
          </w:p>
        </w:tc>
      </w:tr>
      <w:tr w:rsidR="0096685E" w14:paraId="07CD8F97" w14:textId="77777777" w:rsidTr="00535F9C">
        <w:trPr>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E579FD5" w14:textId="77777777" w:rsidR="0096685E" w:rsidRPr="004F39D8" w:rsidRDefault="0096685E" w:rsidP="0096685E">
            <w:pPr>
              <w:keepNext/>
              <w:keepLines/>
              <w:tabs>
                <w:tab w:val="left" w:pos="204"/>
              </w:tabs>
              <w:autoSpaceDE w:val="0"/>
              <w:autoSpaceDN w:val="0"/>
              <w:adjustRightInd w:val="0"/>
              <w:spacing w:line="360" w:lineRule="auto"/>
              <w:rPr>
                <w:b w:val="0"/>
                <w:bCs w:val="0"/>
                <w:sz w:val="26"/>
                <w:szCs w:val="26"/>
              </w:rPr>
            </w:pPr>
            <w:r w:rsidRPr="004F39D8">
              <w:rPr>
                <w:b w:val="0"/>
                <w:bCs w:val="0"/>
                <w:sz w:val="26"/>
                <w:szCs w:val="26"/>
              </w:rPr>
              <w:t>FE: Met-Ed</w:t>
            </w:r>
          </w:p>
        </w:tc>
        <w:tc>
          <w:tcPr>
            <w:tcW w:w="2911" w:type="dxa"/>
            <w:vAlign w:val="center"/>
          </w:tcPr>
          <w:p w14:paraId="629BA31E" w14:textId="77777777" w:rsidR="0096685E" w:rsidRDefault="0096685E" w:rsidP="0096685E">
            <w:pPr>
              <w:keepNext/>
              <w:keepLines/>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2,644</w:t>
            </w:r>
          </w:p>
        </w:tc>
      </w:tr>
      <w:tr w:rsidR="0096685E" w14:paraId="63AB11F6" w14:textId="77777777" w:rsidTr="00535F9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40A5796" w14:textId="77777777" w:rsidR="0096685E" w:rsidRPr="004F39D8" w:rsidRDefault="0096685E" w:rsidP="0096685E">
            <w:pPr>
              <w:keepNext/>
              <w:keepLines/>
              <w:tabs>
                <w:tab w:val="left" w:pos="204"/>
              </w:tabs>
              <w:autoSpaceDE w:val="0"/>
              <w:autoSpaceDN w:val="0"/>
              <w:adjustRightInd w:val="0"/>
              <w:spacing w:line="360" w:lineRule="auto"/>
              <w:rPr>
                <w:b w:val="0"/>
                <w:bCs w:val="0"/>
                <w:sz w:val="26"/>
                <w:szCs w:val="26"/>
              </w:rPr>
            </w:pPr>
            <w:r w:rsidRPr="004F39D8">
              <w:rPr>
                <w:b w:val="0"/>
                <w:bCs w:val="0"/>
                <w:sz w:val="26"/>
                <w:szCs w:val="26"/>
              </w:rPr>
              <w:t>FE: Penelec</w:t>
            </w:r>
          </w:p>
        </w:tc>
        <w:tc>
          <w:tcPr>
            <w:tcW w:w="2911" w:type="dxa"/>
            <w:vAlign w:val="center"/>
          </w:tcPr>
          <w:p w14:paraId="4BCF1D7D" w14:textId="77777777" w:rsidR="0096685E" w:rsidRDefault="0096685E" w:rsidP="0096685E">
            <w:pPr>
              <w:keepNext/>
              <w:keepLines/>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2,395</w:t>
            </w:r>
          </w:p>
        </w:tc>
      </w:tr>
      <w:tr w:rsidR="0096685E" w14:paraId="4A037199" w14:textId="77777777" w:rsidTr="00535F9C">
        <w:trPr>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4DCE422" w14:textId="77777777" w:rsidR="0096685E" w:rsidRPr="004F39D8" w:rsidRDefault="0096685E" w:rsidP="0096685E">
            <w:pPr>
              <w:keepNext/>
              <w:keepLines/>
              <w:tabs>
                <w:tab w:val="left" w:pos="204"/>
              </w:tabs>
              <w:autoSpaceDE w:val="0"/>
              <w:autoSpaceDN w:val="0"/>
              <w:adjustRightInd w:val="0"/>
              <w:spacing w:line="360" w:lineRule="auto"/>
              <w:rPr>
                <w:b w:val="0"/>
                <w:bCs w:val="0"/>
                <w:sz w:val="26"/>
                <w:szCs w:val="26"/>
              </w:rPr>
            </w:pPr>
            <w:r w:rsidRPr="004F39D8">
              <w:rPr>
                <w:b w:val="0"/>
                <w:bCs w:val="0"/>
                <w:sz w:val="26"/>
                <w:szCs w:val="26"/>
              </w:rPr>
              <w:t>FE: Penn Power</w:t>
            </w:r>
          </w:p>
        </w:tc>
        <w:tc>
          <w:tcPr>
            <w:tcW w:w="2911" w:type="dxa"/>
            <w:vAlign w:val="center"/>
          </w:tcPr>
          <w:p w14:paraId="1928B70F" w14:textId="77777777" w:rsidR="0096685E" w:rsidRDefault="0096685E" w:rsidP="0096685E">
            <w:pPr>
              <w:keepNext/>
              <w:keepLines/>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980</w:t>
            </w:r>
          </w:p>
        </w:tc>
      </w:tr>
      <w:tr w:rsidR="0096685E" w14:paraId="4E11E32A" w14:textId="77777777" w:rsidTr="00535F9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129C870" w14:textId="77777777" w:rsidR="0096685E" w:rsidRPr="004F39D8" w:rsidRDefault="0096685E" w:rsidP="0096685E">
            <w:pPr>
              <w:keepNext/>
              <w:keepLines/>
              <w:tabs>
                <w:tab w:val="left" w:pos="204"/>
              </w:tabs>
              <w:autoSpaceDE w:val="0"/>
              <w:autoSpaceDN w:val="0"/>
              <w:adjustRightInd w:val="0"/>
              <w:spacing w:line="360" w:lineRule="auto"/>
              <w:rPr>
                <w:b w:val="0"/>
                <w:bCs w:val="0"/>
                <w:sz w:val="26"/>
                <w:szCs w:val="26"/>
              </w:rPr>
            </w:pPr>
            <w:r w:rsidRPr="004F39D8">
              <w:rPr>
                <w:b w:val="0"/>
                <w:bCs w:val="0"/>
                <w:sz w:val="26"/>
                <w:szCs w:val="26"/>
              </w:rPr>
              <w:t>FE: West Penn Power</w:t>
            </w:r>
          </w:p>
        </w:tc>
        <w:tc>
          <w:tcPr>
            <w:tcW w:w="2911" w:type="dxa"/>
            <w:vAlign w:val="center"/>
          </w:tcPr>
          <w:p w14:paraId="3AFB1999" w14:textId="77777777" w:rsidR="0096685E" w:rsidRDefault="0096685E" w:rsidP="0096685E">
            <w:pPr>
              <w:keepNext/>
              <w:keepLines/>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3,496</w:t>
            </w:r>
          </w:p>
        </w:tc>
      </w:tr>
      <w:tr w:rsidR="0096685E" w14:paraId="1EA8653B" w14:textId="77777777" w:rsidTr="00535F9C">
        <w:trPr>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44ACBC" w14:textId="77777777" w:rsidR="0096685E" w:rsidRPr="004F39D8" w:rsidRDefault="0096685E" w:rsidP="0096685E">
            <w:pPr>
              <w:keepNext/>
              <w:keepLines/>
              <w:tabs>
                <w:tab w:val="left" w:pos="204"/>
              </w:tabs>
              <w:autoSpaceDE w:val="0"/>
              <w:autoSpaceDN w:val="0"/>
              <w:adjustRightInd w:val="0"/>
              <w:spacing w:line="360" w:lineRule="auto"/>
              <w:rPr>
                <w:sz w:val="26"/>
                <w:szCs w:val="26"/>
              </w:rPr>
            </w:pPr>
            <w:r w:rsidRPr="004F39D8">
              <w:rPr>
                <w:sz w:val="26"/>
                <w:szCs w:val="26"/>
              </w:rPr>
              <w:t>Statewide</w:t>
            </w:r>
          </w:p>
        </w:tc>
        <w:tc>
          <w:tcPr>
            <w:tcW w:w="2911" w:type="dxa"/>
            <w:vAlign w:val="center"/>
          </w:tcPr>
          <w:p w14:paraId="28A3600C" w14:textId="77777777" w:rsidR="0096685E" w:rsidRPr="004F39D8" w:rsidRDefault="0096685E" w:rsidP="0096685E">
            <w:pPr>
              <w:keepNext/>
              <w:keepLines/>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sz w:val="26"/>
                <w:szCs w:val="26"/>
              </w:rPr>
            </w:pPr>
            <w:r>
              <w:rPr>
                <w:b/>
                <w:bCs/>
                <w:sz w:val="26"/>
                <w:szCs w:val="26"/>
              </w:rPr>
              <w:t>26,524</w:t>
            </w:r>
          </w:p>
        </w:tc>
      </w:tr>
    </w:tbl>
    <w:p w14:paraId="69409206" w14:textId="77777777" w:rsidR="006B168D" w:rsidRPr="00E11B91" w:rsidRDefault="006B168D" w:rsidP="0057456B">
      <w:pPr>
        <w:pStyle w:val="Heading3"/>
        <w:spacing w:before="720"/>
      </w:pPr>
      <w:bookmarkStart w:id="319" w:name="_Toc33782006"/>
      <w:r>
        <w:t>Proposed Peak Demand Reduction Targets</w:t>
      </w:r>
      <w:bookmarkEnd w:id="319"/>
    </w:p>
    <w:p w14:paraId="20C12F33" w14:textId="19740E01" w:rsidR="00E67ED5" w:rsidRDefault="006B168D" w:rsidP="00E2782D">
      <w:pPr>
        <w:widowControl w:val="0"/>
        <w:spacing w:line="360" w:lineRule="auto"/>
        <w:ind w:firstLine="720"/>
        <w:rPr>
          <w:sz w:val="26"/>
          <w:szCs w:val="26"/>
        </w:rPr>
      </w:pPr>
      <w:r>
        <w:rPr>
          <w:sz w:val="26"/>
          <w:szCs w:val="26"/>
        </w:rPr>
        <w:t xml:space="preserve">For Phase IV, the Commission proposes that each EDC’s peak demand reduction target be equal to the expected reduction in coincident </w:t>
      </w:r>
      <w:r w:rsidR="00784700">
        <w:rPr>
          <w:sz w:val="26"/>
          <w:szCs w:val="26"/>
        </w:rPr>
        <w:t xml:space="preserve">peak </w:t>
      </w:r>
      <w:r>
        <w:rPr>
          <w:sz w:val="26"/>
          <w:szCs w:val="26"/>
        </w:rPr>
        <w:t xml:space="preserve">demand estimated in the </w:t>
      </w:r>
      <w:r w:rsidR="00C47561">
        <w:rPr>
          <w:sz w:val="26"/>
          <w:szCs w:val="26"/>
        </w:rPr>
        <w:t xml:space="preserve">EEPDR Potential </w:t>
      </w:r>
      <w:r>
        <w:rPr>
          <w:sz w:val="26"/>
          <w:szCs w:val="26"/>
        </w:rPr>
        <w:t xml:space="preserve">Study.  </w:t>
      </w:r>
      <w:r w:rsidR="005C7EA6">
        <w:rPr>
          <w:sz w:val="26"/>
          <w:szCs w:val="26"/>
        </w:rPr>
        <w:t xml:space="preserve">Table </w:t>
      </w:r>
      <w:r w:rsidR="004451AB">
        <w:rPr>
          <w:sz w:val="26"/>
          <w:szCs w:val="26"/>
        </w:rPr>
        <w:t>16</w:t>
      </w:r>
      <w:r w:rsidR="005C7EA6">
        <w:rPr>
          <w:sz w:val="26"/>
          <w:szCs w:val="26"/>
        </w:rPr>
        <w:t xml:space="preserve"> shows </w:t>
      </w:r>
      <w:r w:rsidR="00AB6578">
        <w:rPr>
          <w:sz w:val="26"/>
          <w:szCs w:val="26"/>
        </w:rPr>
        <w:t>t</w:t>
      </w:r>
      <w:r>
        <w:rPr>
          <w:sz w:val="26"/>
          <w:szCs w:val="26"/>
        </w:rPr>
        <w:t xml:space="preserve">he MW values for each EDC, and for the EE&amp;C </w:t>
      </w:r>
      <w:r w:rsidR="00784700">
        <w:rPr>
          <w:sz w:val="26"/>
          <w:szCs w:val="26"/>
        </w:rPr>
        <w:t xml:space="preserve">Program </w:t>
      </w:r>
      <w:r>
        <w:rPr>
          <w:sz w:val="26"/>
          <w:szCs w:val="26"/>
        </w:rPr>
        <w:t xml:space="preserve">as a whole.  We also note that these peak demand reduction values are expressed at the system-level.  Therefore, any meter-level demand reduction estimate, </w:t>
      </w:r>
      <w:r>
        <w:rPr>
          <w:sz w:val="26"/>
          <w:szCs w:val="26"/>
        </w:rPr>
        <w:lastRenderedPageBreak/>
        <w:t xml:space="preserve">like the ones provided in the TRM, would need to be scaled by the applicable line loss factor for reporting.  </w:t>
      </w:r>
    </w:p>
    <w:p w14:paraId="6020E8AE" w14:textId="77777777" w:rsidR="00E67ED5" w:rsidRDefault="00E67ED5" w:rsidP="00535F9C">
      <w:pPr>
        <w:widowControl w:val="0"/>
        <w:spacing w:line="360" w:lineRule="auto"/>
        <w:ind w:firstLine="720"/>
        <w:rPr>
          <w:sz w:val="26"/>
          <w:szCs w:val="26"/>
        </w:rPr>
      </w:pPr>
    </w:p>
    <w:p w14:paraId="3BD4A776" w14:textId="1449EA99" w:rsidR="006B168D" w:rsidRPr="001C4984" w:rsidRDefault="006B168D" w:rsidP="001A24D6">
      <w:pPr>
        <w:pStyle w:val="Caption"/>
        <w:keepNext/>
        <w:jc w:val="center"/>
        <w:rPr>
          <w:sz w:val="26"/>
          <w:szCs w:val="26"/>
        </w:rPr>
      </w:pPr>
      <w:r w:rsidRPr="001C4984">
        <w:rPr>
          <w:b/>
          <w:i w:val="0"/>
          <w:color w:val="auto"/>
          <w:sz w:val="26"/>
          <w:szCs w:val="26"/>
        </w:rPr>
        <w:t>Table</w:t>
      </w:r>
      <w:r w:rsidR="00E67ED5">
        <w:rPr>
          <w:b/>
          <w:i w:val="0"/>
          <w:color w:val="auto"/>
          <w:sz w:val="26"/>
          <w:szCs w:val="26"/>
        </w:rPr>
        <w:t xml:space="preserve"> </w:t>
      </w:r>
      <w:r w:rsidR="004451AB">
        <w:rPr>
          <w:b/>
          <w:i w:val="0"/>
          <w:color w:val="auto"/>
          <w:sz w:val="26"/>
          <w:szCs w:val="26"/>
        </w:rPr>
        <w:t>16</w:t>
      </w:r>
      <w:r w:rsidRPr="001C4984">
        <w:rPr>
          <w:b/>
          <w:bCs/>
          <w:i w:val="0"/>
          <w:iCs w:val="0"/>
          <w:color w:val="auto"/>
          <w:sz w:val="26"/>
          <w:szCs w:val="26"/>
        </w:rPr>
        <w:t>: Proposed Phase IV Peak Demand Reduction Targets</w:t>
      </w:r>
    </w:p>
    <w:tbl>
      <w:tblPr>
        <w:tblStyle w:val="List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722"/>
        <w:gridCol w:w="3128"/>
      </w:tblGrid>
      <w:tr w:rsidR="009C2760" w14:paraId="606089C4" w14:textId="77777777" w:rsidTr="009C276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695" w:type="dxa"/>
            <w:tcBorders>
              <w:right w:val="single" w:sz="4" w:space="0" w:color="FFFFFF" w:themeColor="background1"/>
            </w:tcBorders>
            <w:vAlign w:val="center"/>
          </w:tcPr>
          <w:p w14:paraId="68292F22" w14:textId="77777777" w:rsidR="006B168D" w:rsidRDefault="006B168D" w:rsidP="001A24D6">
            <w:pPr>
              <w:keepNext/>
              <w:tabs>
                <w:tab w:val="left" w:pos="204"/>
              </w:tabs>
              <w:autoSpaceDE w:val="0"/>
              <w:autoSpaceDN w:val="0"/>
              <w:adjustRightInd w:val="0"/>
              <w:spacing w:line="360" w:lineRule="auto"/>
              <w:jc w:val="center"/>
              <w:rPr>
                <w:sz w:val="26"/>
                <w:szCs w:val="26"/>
              </w:rPr>
            </w:pPr>
            <w:r>
              <w:rPr>
                <w:sz w:val="26"/>
                <w:szCs w:val="26"/>
              </w:rPr>
              <w:t>EDC</w:t>
            </w:r>
          </w:p>
        </w:tc>
        <w:tc>
          <w:tcPr>
            <w:tcW w:w="2722" w:type="dxa"/>
            <w:tcBorders>
              <w:left w:val="single" w:sz="4" w:space="0" w:color="FFFFFF" w:themeColor="background1"/>
              <w:right w:val="single" w:sz="4" w:space="0" w:color="FFFFFF" w:themeColor="background1"/>
            </w:tcBorders>
            <w:vAlign w:val="center"/>
          </w:tcPr>
          <w:p w14:paraId="0F022051" w14:textId="77777777" w:rsidR="006B168D" w:rsidRDefault="006B168D" w:rsidP="00F77CAA">
            <w:pPr>
              <w:keepNext/>
              <w:tabs>
                <w:tab w:val="left" w:pos="204"/>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MW</w:t>
            </w:r>
          </w:p>
        </w:tc>
        <w:tc>
          <w:tcPr>
            <w:tcW w:w="3128" w:type="dxa"/>
            <w:tcBorders>
              <w:left w:val="single" w:sz="4" w:space="0" w:color="FFFFFF" w:themeColor="background1"/>
            </w:tcBorders>
            <w:vAlign w:val="center"/>
          </w:tcPr>
          <w:p w14:paraId="5F9E8BA8" w14:textId="77777777" w:rsidR="006B168D" w:rsidRDefault="006B168D">
            <w:pPr>
              <w:keepNext/>
              <w:tabs>
                <w:tab w:val="left" w:pos="204"/>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Percent of 2007-2008 Reference Load</w:t>
            </w:r>
          </w:p>
        </w:tc>
      </w:tr>
      <w:tr w:rsidR="006B168D" w14:paraId="110CF1D1" w14:textId="77777777" w:rsidTr="009C27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729206F5" w14:textId="77777777" w:rsidR="006B168D" w:rsidRPr="004F39D8" w:rsidRDefault="006B168D" w:rsidP="00482FAF">
            <w:pPr>
              <w:keepNext/>
              <w:tabs>
                <w:tab w:val="left" w:pos="204"/>
              </w:tabs>
              <w:autoSpaceDE w:val="0"/>
              <w:autoSpaceDN w:val="0"/>
              <w:adjustRightInd w:val="0"/>
              <w:spacing w:line="360" w:lineRule="auto"/>
              <w:rPr>
                <w:b w:val="0"/>
                <w:bCs w:val="0"/>
                <w:sz w:val="26"/>
                <w:szCs w:val="26"/>
              </w:rPr>
            </w:pPr>
            <w:r w:rsidRPr="004F39D8">
              <w:rPr>
                <w:b w:val="0"/>
                <w:bCs w:val="0"/>
                <w:sz w:val="26"/>
                <w:szCs w:val="26"/>
              </w:rPr>
              <w:t>Duquesne Light</w:t>
            </w:r>
          </w:p>
        </w:tc>
        <w:tc>
          <w:tcPr>
            <w:tcW w:w="2722" w:type="dxa"/>
            <w:vAlign w:val="center"/>
          </w:tcPr>
          <w:p w14:paraId="6721CE47" w14:textId="77777777" w:rsidR="006B168D" w:rsidRDefault="006B168D" w:rsidP="00F77CAA">
            <w:pPr>
              <w:keepNext/>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67</w:t>
            </w:r>
          </w:p>
        </w:tc>
        <w:tc>
          <w:tcPr>
            <w:tcW w:w="3128" w:type="dxa"/>
            <w:vAlign w:val="center"/>
          </w:tcPr>
          <w:p w14:paraId="16F35B94" w14:textId="77777777" w:rsidR="006B168D" w:rsidRDefault="006B168D">
            <w:pPr>
              <w:keepNext/>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sidRPr="00B55DC4">
              <w:t>2.7%</w:t>
            </w:r>
          </w:p>
        </w:tc>
      </w:tr>
      <w:tr w:rsidR="0096685E" w14:paraId="23AC6AF7" w14:textId="77777777" w:rsidTr="009C2760">
        <w:trPr>
          <w:jc w:val="center"/>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11542D22" w14:textId="2B434CB1" w:rsidR="0096685E" w:rsidRPr="004F39D8" w:rsidRDefault="0096685E" w:rsidP="0096685E">
            <w:pPr>
              <w:keepNext/>
              <w:tabs>
                <w:tab w:val="left" w:pos="204"/>
              </w:tabs>
              <w:autoSpaceDE w:val="0"/>
              <w:autoSpaceDN w:val="0"/>
              <w:adjustRightInd w:val="0"/>
              <w:spacing w:line="360" w:lineRule="auto"/>
              <w:rPr>
                <w:sz w:val="26"/>
                <w:szCs w:val="26"/>
              </w:rPr>
            </w:pPr>
            <w:r w:rsidRPr="00B84AF5">
              <w:rPr>
                <w:b w:val="0"/>
                <w:bCs w:val="0"/>
              </w:rPr>
              <w:t>PECO</w:t>
            </w:r>
          </w:p>
        </w:tc>
        <w:tc>
          <w:tcPr>
            <w:tcW w:w="2722" w:type="dxa"/>
            <w:vAlign w:val="center"/>
          </w:tcPr>
          <w:p w14:paraId="65543B01" w14:textId="4FE1EF07" w:rsidR="0096685E" w:rsidRDefault="0096685E" w:rsidP="0096685E">
            <w:pPr>
              <w:keepNext/>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276</w:t>
            </w:r>
          </w:p>
        </w:tc>
        <w:tc>
          <w:tcPr>
            <w:tcW w:w="3128" w:type="dxa"/>
            <w:vAlign w:val="center"/>
          </w:tcPr>
          <w:p w14:paraId="6B688468" w14:textId="299BB962" w:rsidR="0096685E" w:rsidRPr="00B55DC4" w:rsidRDefault="0096685E" w:rsidP="0096685E">
            <w:pPr>
              <w:keepNext/>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B55DC4">
              <w:t>3.5%</w:t>
            </w:r>
          </w:p>
        </w:tc>
      </w:tr>
      <w:tr w:rsidR="0096685E" w14:paraId="427F0E10" w14:textId="77777777" w:rsidTr="009C27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38A5A97B" w14:textId="77777777" w:rsidR="0096685E" w:rsidRPr="004F39D8" w:rsidRDefault="0096685E" w:rsidP="0096685E">
            <w:pPr>
              <w:keepNext/>
              <w:tabs>
                <w:tab w:val="left" w:pos="204"/>
              </w:tabs>
              <w:autoSpaceDE w:val="0"/>
              <w:autoSpaceDN w:val="0"/>
              <w:adjustRightInd w:val="0"/>
              <w:spacing w:line="360" w:lineRule="auto"/>
              <w:rPr>
                <w:b w:val="0"/>
                <w:bCs w:val="0"/>
                <w:sz w:val="26"/>
                <w:szCs w:val="26"/>
              </w:rPr>
            </w:pPr>
            <w:r w:rsidRPr="004F39D8">
              <w:rPr>
                <w:b w:val="0"/>
                <w:bCs w:val="0"/>
                <w:sz w:val="26"/>
                <w:szCs w:val="26"/>
              </w:rPr>
              <w:t>PPL</w:t>
            </w:r>
          </w:p>
        </w:tc>
        <w:tc>
          <w:tcPr>
            <w:tcW w:w="2722" w:type="dxa"/>
            <w:vAlign w:val="center"/>
          </w:tcPr>
          <w:p w14:paraId="4663A342" w14:textId="77777777" w:rsidR="0096685E" w:rsidRDefault="0096685E" w:rsidP="0096685E">
            <w:pPr>
              <w:keepNext/>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244</w:t>
            </w:r>
          </w:p>
        </w:tc>
        <w:tc>
          <w:tcPr>
            <w:tcW w:w="3128" w:type="dxa"/>
            <w:vAlign w:val="center"/>
          </w:tcPr>
          <w:p w14:paraId="777AF111" w14:textId="77777777" w:rsidR="0096685E" w:rsidRDefault="0096685E" w:rsidP="0096685E">
            <w:pPr>
              <w:keepNext/>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sidRPr="00B55DC4">
              <w:t>3.7%</w:t>
            </w:r>
          </w:p>
        </w:tc>
      </w:tr>
      <w:tr w:rsidR="0096685E" w14:paraId="3056C6B3" w14:textId="77777777" w:rsidTr="009C2760">
        <w:trPr>
          <w:jc w:val="center"/>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704638EE" w14:textId="77777777" w:rsidR="0096685E" w:rsidRPr="004F39D8" w:rsidRDefault="0096685E" w:rsidP="0096685E">
            <w:pPr>
              <w:keepNext/>
              <w:tabs>
                <w:tab w:val="left" w:pos="204"/>
              </w:tabs>
              <w:autoSpaceDE w:val="0"/>
              <w:autoSpaceDN w:val="0"/>
              <w:adjustRightInd w:val="0"/>
              <w:spacing w:line="360" w:lineRule="auto"/>
              <w:rPr>
                <w:b w:val="0"/>
                <w:bCs w:val="0"/>
                <w:sz w:val="26"/>
                <w:szCs w:val="26"/>
              </w:rPr>
            </w:pPr>
            <w:r w:rsidRPr="004F39D8">
              <w:rPr>
                <w:b w:val="0"/>
                <w:bCs w:val="0"/>
                <w:sz w:val="26"/>
                <w:szCs w:val="26"/>
              </w:rPr>
              <w:t>FE: Met-Ed</w:t>
            </w:r>
          </w:p>
        </w:tc>
        <w:tc>
          <w:tcPr>
            <w:tcW w:w="2722" w:type="dxa"/>
            <w:vAlign w:val="center"/>
          </w:tcPr>
          <w:p w14:paraId="5102FB65" w14:textId="77777777" w:rsidR="0096685E" w:rsidRDefault="0096685E" w:rsidP="0096685E">
            <w:pPr>
              <w:keepNext/>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85</w:t>
            </w:r>
          </w:p>
        </w:tc>
        <w:tc>
          <w:tcPr>
            <w:tcW w:w="3128" w:type="dxa"/>
            <w:vAlign w:val="center"/>
          </w:tcPr>
          <w:p w14:paraId="7A73321F" w14:textId="77777777" w:rsidR="0096685E" w:rsidRDefault="0096685E" w:rsidP="0096685E">
            <w:pPr>
              <w:keepNext/>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6"/>
                <w:szCs w:val="26"/>
              </w:rPr>
            </w:pPr>
            <w:r w:rsidRPr="00B55DC4">
              <w:t>3.2%</w:t>
            </w:r>
          </w:p>
        </w:tc>
      </w:tr>
      <w:tr w:rsidR="0096685E" w14:paraId="5622C215" w14:textId="77777777" w:rsidTr="009C27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0C118930" w14:textId="77777777" w:rsidR="0096685E" w:rsidRPr="004F39D8" w:rsidRDefault="0096685E" w:rsidP="0096685E">
            <w:pPr>
              <w:keepNext/>
              <w:tabs>
                <w:tab w:val="left" w:pos="204"/>
              </w:tabs>
              <w:autoSpaceDE w:val="0"/>
              <w:autoSpaceDN w:val="0"/>
              <w:adjustRightInd w:val="0"/>
              <w:spacing w:line="360" w:lineRule="auto"/>
              <w:rPr>
                <w:b w:val="0"/>
                <w:bCs w:val="0"/>
                <w:sz w:val="26"/>
                <w:szCs w:val="26"/>
              </w:rPr>
            </w:pPr>
            <w:r w:rsidRPr="004F39D8">
              <w:rPr>
                <w:b w:val="0"/>
                <w:bCs w:val="0"/>
                <w:sz w:val="26"/>
                <w:szCs w:val="26"/>
              </w:rPr>
              <w:t>FE: Penelec</w:t>
            </w:r>
          </w:p>
        </w:tc>
        <w:tc>
          <w:tcPr>
            <w:tcW w:w="2722" w:type="dxa"/>
            <w:vAlign w:val="center"/>
          </w:tcPr>
          <w:p w14:paraId="17C8A6D8" w14:textId="77777777" w:rsidR="0096685E" w:rsidRDefault="0096685E" w:rsidP="0096685E">
            <w:pPr>
              <w:keepNext/>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91</w:t>
            </w:r>
          </w:p>
        </w:tc>
        <w:tc>
          <w:tcPr>
            <w:tcW w:w="3128" w:type="dxa"/>
            <w:vAlign w:val="center"/>
          </w:tcPr>
          <w:p w14:paraId="07B56CFC" w14:textId="77777777" w:rsidR="0096685E" w:rsidRDefault="0096685E" w:rsidP="0096685E">
            <w:pPr>
              <w:keepNext/>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sidRPr="00B55DC4">
              <w:t>3.8%</w:t>
            </w:r>
          </w:p>
        </w:tc>
      </w:tr>
      <w:tr w:rsidR="0096685E" w14:paraId="10B8F9C5" w14:textId="77777777" w:rsidTr="009C2760">
        <w:trPr>
          <w:jc w:val="center"/>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0E7C84DC" w14:textId="77777777" w:rsidR="0096685E" w:rsidRPr="004F39D8" w:rsidRDefault="0096685E" w:rsidP="0096685E">
            <w:pPr>
              <w:keepNext/>
              <w:tabs>
                <w:tab w:val="left" w:pos="204"/>
              </w:tabs>
              <w:autoSpaceDE w:val="0"/>
              <w:autoSpaceDN w:val="0"/>
              <w:adjustRightInd w:val="0"/>
              <w:spacing w:line="360" w:lineRule="auto"/>
              <w:rPr>
                <w:b w:val="0"/>
                <w:bCs w:val="0"/>
                <w:sz w:val="26"/>
                <w:szCs w:val="26"/>
              </w:rPr>
            </w:pPr>
            <w:r w:rsidRPr="004F39D8">
              <w:rPr>
                <w:b w:val="0"/>
                <w:bCs w:val="0"/>
                <w:sz w:val="26"/>
                <w:szCs w:val="26"/>
              </w:rPr>
              <w:t>FE: Penn Power</w:t>
            </w:r>
          </w:p>
        </w:tc>
        <w:tc>
          <w:tcPr>
            <w:tcW w:w="2722" w:type="dxa"/>
            <w:vAlign w:val="center"/>
          </w:tcPr>
          <w:p w14:paraId="5A01AE9B" w14:textId="77777777" w:rsidR="0096685E" w:rsidRDefault="0096685E" w:rsidP="0096685E">
            <w:pPr>
              <w:keepNext/>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22</w:t>
            </w:r>
          </w:p>
        </w:tc>
        <w:tc>
          <w:tcPr>
            <w:tcW w:w="3128" w:type="dxa"/>
            <w:vAlign w:val="center"/>
          </w:tcPr>
          <w:p w14:paraId="0D94637A" w14:textId="77777777" w:rsidR="0096685E" w:rsidRDefault="0096685E" w:rsidP="0096685E">
            <w:pPr>
              <w:keepNext/>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6"/>
                <w:szCs w:val="26"/>
              </w:rPr>
            </w:pPr>
            <w:r w:rsidRPr="00B55DC4">
              <w:t>2.2%</w:t>
            </w:r>
          </w:p>
        </w:tc>
      </w:tr>
      <w:tr w:rsidR="0096685E" w14:paraId="78F0D88F" w14:textId="77777777" w:rsidTr="009C27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2352A1C2" w14:textId="77777777" w:rsidR="0096685E" w:rsidRPr="004F39D8" w:rsidRDefault="0096685E" w:rsidP="0096685E">
            <w:pPr>
              <w:keepNext/>
              <w:tabs>
                <w:tab w:val="left" w:pos="204"/>
              </w:tabs>
              <w:autoSpaceDE w:val="0"/>
              <w:autoSpaceDN w:val="0"/>
              <w:adjustRightInd w:val="0"/>
              <w:spacing w:line="360" w:lineRule="auto"/>
              <w:rPr>
                <w:b w:val="0"/>
                <w:bCs w:val="0"/>
                <w:sz w:val="26"/>
                <w:szCs w:val="26"/>
              </w:rPr>
            </w:pPr>
            <w:r w:rsidRPr="004F39D8">
              <w:rPr>
                <w:b w:val="0"/>
                <w:bCs w:val="0"/>
                <w:sz w:val="26"/>
                <w:szCs w:val="26"/>
              </w:rPr>
              <w:t>FE: West Penn Power</w:t>
            </w:r>
          </w:p>
        </w:tc>
        <w:tc>
          <w:tcPr>
            <w:tcW w:w="2722" w:type="dxa"/>
            <w:vAlign w:val="center"/>
          </w:tcPr>
          <w:p w14:paraId="341442E1" w14:textId="77777777" w:rsidR="0096685E" w:rsidRDefault="0096685E" w:rsidP="0096685E">
            <w:pPr>
              <w:keepNext/>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sidRPr="65B4018D">
              <w:rPr>
                <w:sz w:val="26"/>
                <w:szCs w:val="26"/>
              </w:rPr>
              <w:t>95</w:t>
            </w:r>
          </w:p>
        </w:tc>
        <w:tc>
          <w:tcPr>
            <w:tcW w:w="3128" w:type="dxa"/>
            <w:vAlign w:val="center"/>
          </w:tcPr>
          <w:p w14:paraId="08567C72" w14:textId="77777777" w:rsidR="0096685E" w:rsidRDefault="0096685E" w:rsidP="0096685E">
            <w:pPr>
              <w:keepNext/>
              <w:tabs>
                <w:tab w:val="left" w:pos="204"/>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sidRPr="00B55DC4">
              <w:t>2.</w:t>
            </w:r>
            <w:r>
              <w:t>7</w:t>
            </w:r>
            <w:r w:rsidRPr="00B55DC4">
              <w:t>%</w:t>
            </w:r>
          </w:p>
        </w:tc>
      </w:tr>
      <w:tr w:rsidR="0096685E" w14:paraId="64297BF5" w14:textId="77777777" w:rsidTr="009C2760">
        <w:trPr>
          <w:jc w:val="center"/>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4AB0DA2A" w14:textId="77777777" w:rsidR="0096685E" w:rsidRPr="004F39D8" w:rsidRDefault="0096685E" w:rsidP="0096685E">
            <w:pPr>
              <w:keepNext/>
              <w:tabs>
                <w:tab w:val="left" w:pos="204"/>
              </w:tabs>
              <w:autoSpaceDE w:val="0"/>
              <w:autoSpaceDN w:val="0"/>
              <w:adjustRightInd w:val="0"/>
              <w:spacing w:line="360" w:lineRule="auto"/>
              <w:rPr>
                <w:sz w:val="26"/>
                <w:szCs w:val="26"/>
              </w:rPr>
            </w:pPr>
            <w:r w:rsidRPr="004F39D8">
              <w:rPr>
                <w:sz w:val="26"/>
                <w:szCs w:val="26"/>
              </w:rPr>
              <w:t>Statewide</w:t>
            </w:r>
          </w:p>
        </w:tc>
        <w:tc>
          <w:tcPr>
            <w:tcW w:w="2722" w:type="dxa"/>
            <w:vAlign w:val="center"/>
          </w:tcPr>
          <w:p w14:paraId="7DAE4C9A" w14:textId="77777777" w:rsidR="0096685E" w:rsidRPr="004F39D8" w:rsidRDefault="0096685E" w:rsidP="0096685E">
            <w:pPr>
              <w:keepNext/>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sz w:val="26"/>
                <w:szCs w:val="26"/>
              </w:rPr>
            </w:pPr>
            <w:r w:rsidRPr="65B4018D">
              <w:rPr>
                <w:b/>
                <w:bCs/>
                <w:sz w:val="26"/>
                <w:szCs w:val="26"/>
              </w:rPr>
              <w:t>878</w:t>
            </w:r>
          </w:p>
        </w:tc>
        <w:tc>
          <w:tcPr>
            <w:tcW w:w="3128" w:type="dxa"/>
            <w:vAlign w:val="center"/>
          </w:tcPr>
          <w:p w14:paraId="22BDBDDD" w14:textId="77777777" w:rsidR="0096685E" w:rsidRPr="00DC5C67" w:rsidRDefault="0096685E" w:rsidP="0096685E">
            <w:pPr>
              <w:keepNext/>
              <w:tabs>
                <w:tab w:val="left" w:pos="204"/>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bCs/>
                <w:sz w:val="26"/>
                <w:szCs w:val="26"/>
              </w:rPr>
            </w:pPr>
            <w:r w:rsidRPr="00DC5C67">
              <w:rPr>
                <w:b/>
                <w:bCs/>
              </w:rPr>
              <w:t>3.3%</w:t>
            </w:r>
          </w:p>
        </w:tc>
      </w:tr>
    </w:tbl>
    <w:p w14:paraId="26855A72" w14:textId="77777777" w:rsidR="006B168D" w:rsidRPr="003655CB" w:rsidRDefault="006B168D" w:rsidP="00482FAF">
      <w:pPr>
        <w:tabs>
          <w:tab w:val="left" w:pos="204"/>
        </w:tabs>
        <w:autoSpaceDE w:val="0"/>
        <w:autoSpaceDN w:val="0"/>
        <w:adjustRightInd w:val="0"/>
        <w:spacing w:line="360" w:lineRule="auto"/>
        <w:rPr>
          <w:b/>
          <w:bCs/>
          <w:sz w:val="22"/>
          <w:szCs w:val="22"/>
        </w:rPr>
      </w:pPr>
      <w:r>
        <w:rPr>
          <w:sz w:val="26"/>
          <w:szCs w:val="26"/>
        </w:rPr>
        <w:t xml:space="preserve">        </w:t>
      </w:r>
      <w:r w:rsidRPr="003655CB">
        <w:rPr>
          <w:sz w:val="22"/>
          <w:szCs w:val="22"/>
        </w:rPr>
        <w:t>*</w:t>
      </w:r>
      <w:r>
        <w:rPr>
          <w:sz w:val="22"/>
          <w:szCs w:val="22"/>
        </w:rPr>
        <w:t xml:space="preserve"> </w:t>
      </w:r>
      <w:r w:rsidRPr="003655CB">
        <w:rPr>
          <w:sz w:val="22"/>
          <w:szCs w:val="22"/>
        </w:rPr>
        <w:t>Statewide values in this table may not sum due to rounding</w:t>
      </w:r>
      <w:r>
        <w:rPr>
          <w:sz w:val="22"/>
          <w:szCs w:val="22"/>
        </w:rPr>
        <w:t>.</w:t>
      </w:r>
    </w:p>
    <w:p w14:paraId="64EB853A" w14:textId="77777777" w:rsidR="006B168D" w:rsidRDefault="006B168D" w:rsidP="00482FAF">
      <w:pPr>
        <w:spacing w:line="360" w:lineRule="auto"/>
        <w:ind w:firstLine="720"/>
        <w:rPr>
          <w:sz w:val="26"/>
          <w:szCs w:val="26"/>
        </w:rPr>
      </w:pPr>
    </w:p>
    <w:p w14:paraId="3A62FCA7" w14:textId="438F889F" w:rsidR="006B168D" w:rsidRDefault="00073569" w:rsidP="00482FAF">
      <w:pPr>
        <w:spacing w:line="360" w:lineRule="auto"/>
        <w:ind w:firstLine="720"/>
        <w:rPr>
          <w:sz w:val="26"/>
          <w:szCs w:val="26"/>
        </w:rPr>
      </w:pPr>
      <w:r>
        <w:rPr>
          <w:sz w:val="26"/>
          <w:szCs w:val="26"/>
        </w:rPr>
        <w:t xml:space="preserve">We propose that at the conclusion of Phase IV, in consultation with the Phase IV SWE, </w:t>
      </w:r>
      <w:r w:rsidR="00492339">
        <w:rPr>
          <w:sz w:val="26"/>
          <w:szCs w:val="26"/>
        </w:rPr>
        <w:t xml:space="preserve">the Commission </w:t>
      </w:r>
      <w:r>
        <w:rPr>
          <w:sz w:val="26"/>
          <w:szCs w:val="26"/>
        </w:rPr>
        <w:t xml:space="preserve">will determine EDC compliance with </w:t>
      </w:r>
      <w:r w:rsidR="00AE103F">
        <w:rPr>
          <w:sz w:val="26"/>
          <w:szCs w:val="26"/>
        </w:rPr>
        <w:t xml:space="preserve">the </w:t>
      </w:r>
      <w:r>
        <w:rPr>
          <w:sz w:val="26"/>
          <w:szCs w:val="26"/>
        </w:rPr>
        <w:t xml:space="preserve">peak demand reduction targets listed in Table </w:t>
      </w:r>
      <w:r w:rsidR="004451AB">
        <w:rPr>
          <w:sz w:val="26"/>
          <w:szCs w:val="26"/>
        </w:rPr>
        <w:t>16</w:t>
      </w:r>
      <w:r>
        <w:rPr>
          <w:sz w:val="26"/>
          <w:szCs w:val="26"/>
        </w:rPr>
        <w:t xml:space="preserve">.  </w:t>
      </w:r>
      <w:r w:rsidR="005F41CB">
        <w:rPr>
          <w:sz w:val="26"/>
          <w:szCs w:val="26"/>
        </w:rPr>
        <w:t>Verified gross p</w:t>
      </w:r>
      <w:r w:rsidR="006B168D">
        <w:rPr>
          <w:sz w:val="26"/>
          <w:szCs w:val="26"/>
        </w:rPr>
        <w:t>eak demand savings should be evaluated, reported, and compared to the targets in each EDC Annual Report</w:t>
      </w:r>
      <w:r w:rsidR="00720D42">
        <w:rPr>
          <w:sz w:val="26"/>
          <w:szCs w:val="26"/>
        </w:rPr>
        <w:t xml:space="preserve"> by EDC evaluation contractors</w:t>
      </w:r>
      <w:r w:rsidR="00D82ADB">
        <w:rPr>
          <w:sz w:val="26"/>
          <w:szCs w:val="26"/>
        </w:rPr>
        <w:t xml:space="preserve">.  </w:t>
      </w:r>
      <w:r>
        <w:rPr>
          <w:sz w:val="26"/>
          <w:szCs w:val="26"/>
        </w:rPr>
        <w:t xml:space="preserve">EDCs that fail to meet the peak demand reduction targets, will be subject to penalties under subsection 2806.1(f) of the Act, 66 Pa. C.S. § 2806.1(f).  In addition, the Commission proposes that each EDC submit an EE&amp;C Plan that states the measures, programs, and customer classes from which peak demand reductions will be nominated to PJM, along with the projected MW totals.  </w:t>
      </w:r>
      <w:r w:rsidR="00EF0328">
        <w:rPr>
          <w:sz w:val="26"/>
          <w:szCs w:val="26"/>
        </w:rPr>
        <w:t>A</w:t>
      </w:r>
      <w:r w:rsidR="006B168D">
        <w:rPr>
          <w:sz w:val="26"/>
          <w:szCs w:val="26"/>
        </w:rPr>
        <w:t xml:space="preserve"> component of our </w:t>
      </w:r>
      <w:r w:rsidR="00EF0328">
        <w:rPr>
          <w:sz w:val="26"/>
          <w:szCs w:val="26"/>
        </w:rPr>
        <w:t xml:space="preserve">EE&amp;C Plan </w:t>
      </w:r>
      <w:r w:rsidR="006B168D">
        <w:rPr>
          <w:sz w:val="26"/>
          <w:szCs w:val="26"/>
        </w:rPr>
        <w:t xml:space="preserve">review will be to confirm the details of each EDC’s plan to bid peak demand reductions from EE into PJM’s Forward Capacity Market.  Section </w:t>
      </w:r>
      <w:r w:rsidR="00E67ED5">
        <w:rPr>
          <w:sz w:val="26"/>
          <w:szCs w:val="26"/>
        </w:rPr>
        <w:t>I</w:t>
      </w:r>
      <w:r w:rsidR="006B168D">
        <w:rPr>
          <w:sz w:val="26"/>
          <w:szCs w:val="26"/>
        </w:rPr>
        <w:t xml:space="preserve">.5: </w:t>
      </w:r>
      <w:r w:rsidR="006B168D">
        <w:rPr>
          <w:sz w:val="26"/>
          <w:szCs w:val="26"/>
        </w:rPr>
        <w:fldChar w:fldCharType="begin"/>
      </w:r>
      <w:r w:rsidR="006B168D">
        <w:rPr>
          <w:sz w:val="26"/>
          <w:szCs w:val="26"/>
        </w:rPr>
        <w:instrText xml:space="preserve"> REF _Ref31466380 \h  \* MERGEFORMAT </w:instrText>
      </w:r>
      <w:r w:rsidR="006B168D">
        <w:rPr>
          <w:sz w:val="26"/>
          <w:szCs w:val="26"/>
        </w:rPr>
      </w:r>
      <w:r w:rsidR="006B168D">
        <w:rPr>
          <w:sz w:val="26"/>
          <w:szCs w:val="26"/>
        </w:rPr>
        <w:fldChar w:fldCharType="separate"/>
      </w:r>
      <w:r w:rsidR="00BB1E55" w:rsidRPr="00BB1E55">
        <w:rPr>
          <w:sz w:val="26"/>
          <w:szCs w:val="26"/>
        </w:rPr>
        <w:t>Bidding Peak Demand from Energy Efficiency Resources into the PJM Capacity Market</w:t>
      </w:r>
      <w:r w:rsidR="006B168D">
        <w:rPr>
          <w:sz w:val="26"/>
          <w:szCs w:val="26"/>
        </w:rPr>
        <w:fldChar w:fldCharType="end"/>
      </w:r>
      <w:r w:rsidR="006B168D">
        <w:rPr>
          <w:sz w:val="26"/>
          <w:szCs w:val="26"/>
        </w:rPr>
        <w:t xml:space="preserve"> includes additional discussion on this topic.  </w:t>
      </w:r>
    </w:p>
    <w:p w14:paraId="3F52587D" w14:textId="4EB560A6" w:rsidR="00542B9D" w:rsidRDefault="00542B9D" w:rsidP="00542B9D">
      <w:pPr>
        <w:pStyle w:val="Heading4"/>
      </w:pPr>
      <w:r>
        <w:lastRenderedPageBreak/>
        <w:t>Annual Peak Demand Reduction Targets</w:t>
      </w:r>
    </w:p>
    <w:p w14:paraId="5519769F" w14:textId="41B0FADA" w:rsidR="00542B9D" w:rsidRDefault="00542B9D" w:rsidP="00542B9D">
      <w:pPr>
        <w:autoSpaceDE w:val="0"/>
        <w:autoSpaceDN w:val="0"/>
        <w:adjustRightInd w:val="0"/>
        <w:spacing w:line="360" w:lineRule="auto"/>
        <w:ind w:firstLine="720"/>
        <w:rPr>
          <w:sz w:val="26"/>
          <w:szCs w:val="26"/>
        </w:rPr>
      </w:pPr>
      <w:r>
        <w:rPr>
          <w:sz w:val="26"/>
          <w:szCs w:val="26"/>
        </w:rPr>
        <w:t xml:space="preserve">The Commission proposes that the EDCs design their EE&amp;C Plans to achieve at least 15 percent of their peak demand reduction target in each program year.  We believe 15 percent is a reasonable goal in designing the EE&amp;C Plans.  As with the consumption reduction </w:t>
      </w:r>
      <w:r w:rsidR="00033757">
        <w:rPr>
          <w:sz w:val="26"/>
          <w:szCs w:val="26"/>
        </w:rPr>
        <w:t>targets</w:t>
      </w:r>
      <w:r>
        <w:rPr>
          <w:sz w:val="26"/>
          <w:szCs w:val="26"/>
        </w:rPr>
        <w:t xml:space="preserve">, we propose that this requirement be limited to the Commission’s review and approval of the EE&amp;C Plans and not be a target that would subject the EDCs to the penalty provisions prescribed under 66 Pa. C.S. § 2806.1(f).   </w:t>
      </w:r>
    </w:p>
    <w:p w14:paraId="028372CE" w14:textId="77777777" w:rsidR="006B168D" w:rsidRPr="000D62F5" w:rsidRDefault="006B168D" w:rsidP="00482FAF">
      <w:pPr>
        <w:spacing w:line="360" w:lineRule="auto"/>
        <w:ind w:firstLine="720"/>
        <w:rPr>
          <w:sz w:val="26"/>
          <w:szCs w:val="26"/>
        </w:rPr>
      </w:pPr>
    </w:p>
    <w:p w14:paraId="117CA4D7" w14:textId="77777777" w:rsidR="003F1127" w:rsidRPr="00B1003B" w:rsidRDefault="003F1127" w:rsidP="003F1127">
      <w:pPr>
        <w:pStyle w:val="Heading3"/>
      </w:pPr>
      <w:bookmarkStart w:id="320" w:name="_Toc33782007"/>
      <w:r w:rsidRPr="00DD1373">
        <w:t>Measuring</w:t>
      </w:r>
      <w:r w:rsidRPr="00B1003B">
        <w:t xml:space="preserve"> Peak Demand Reductions</w:t>
      </w:r>
      <w:bookmarkEnd w:id="320"/>
    </w:p>
    <w:p w14:paraId="75CC7457" w14:textId="77777777" w:rsidR="003F1127" w:rsidRDefault="003F1127" w:rsidP="003F1127">
      <w:pPr>
        <w:pStyle w:val="p3"/>
        <w:widowControl/>
        <w:tabs>
          <w:tab w:val="clear" w:pos="204"/>
        </w:tabs>
        <w:spacing w:line="360" w:lineRule="auto"/>
      </w:pPr>
      <w:r w:rsidRPr="00B1003B">
        <w:rPr>
          <w:szCs w:val="26"/>
        </w:rPr>
        <w:tab/>
      </w:r>
      <w:r w:rsidRPr="61B60E78">
        <w:t>Peak demand for Phase IV is addressed at 66 Pa. C.S. § 2806.1(d)(2), which requires the Commission, by November 30, 2013, to compare the total costs of EE&amp;C plans to total savings in energy and capacity costs to retail customers.  If the Commission determines that the benefits of the plans exceed the costs, the Commission shall set additional incremental requirements for reduction in peak demand for the 100 hours of greatest demand or an alternative reduction approved by the Commission.  Any such reductions must be measured from the EDC’s peak demand for the period from June 1, 2011 through May 31, 2012.  Any additional reductions must be accomplished no later than May 31, 2017.</w:t>
      </w:r>
    </w:p>
    <w:p w14:paraId="3F981C33" w14:textId="77777777" w:rsidR="003F1127" w:rsidRDefault="003F1127" w:rsidP="003F1127">
      <w:pPr>
        <w:pStyle w:val="p3"/>
        <w:widowControl/>
        <w:tabs>
          <w:tab w:val="clear" w:pos="204"/>
        </w:tabs>
        <w:spacing w:line="360" w:lineRule="auto"/>
        <w:rPr>
          <w:szCs w:val="26"/>
        </w:rPr>
      </w:pPr>
    </w:p>
    <w:p w14:paraId="667F38FE" w14:textId="5E62D9E4" w:rsidR="003F1127" w:rsidRPr="000742FF" w:rsidRDefault="003F1127" w:rsidP="00851290">
      <w:pPr>
        <w:pStyle w:val="p3"/>
        <w:widowControl/>
        <w:tabs>
          <w:tab w:val="clear" w:pos="204"/>
        </w:tabs>
        <w:spacing w:line="360" w:lineRule="auto"/>
        <w:rPr>
          <w:szCs w:val="26"/>
        </w:rPr>
      </w:pPr>
      <w:r>
        <w:rPr>
          <w:szCs w:val="26"/>
        </w:rPr>
        <w:tab/>
      </w:r>
      <w:r w:rsidRPr="3792F7D5">
        <w:t xml:space="preserve">The Commission proposes </w:t>
      </w:r>
      <w:r>
        <w:t xml:space="preserve">for Phase IV of Act 129 </w:t>
      </w:r>
      <w:r w:rsidRPr="3792F7D5">
        <w:t xml:space="preserve">that peak demand reductions from </w:t>
      </w:r>
      <w:r>
        <w:t>EE</w:t>
      </w:r>
      <w:r w:rsidRPr="3792F7D5">
        <w:t xml:space="preserve"> measures be measured using the savings approach described in </w:t>
      </w:r>
      <w:r w:rsidR="00F16653">
        <w:t xml:space="preserve">Section </w:t>
      </w:r>
      <w:r w:rsidR="00E67ED5">
        <w:t>A.7:</w:t>
      </w:r>
      <w:r w:rsidR="00F16653">
        <w:t xml:space="preserve"> </w:t>
      </w:r>
      <w:r w:rsidR="00B158CD">
        <w:fldChar w:fldCharType="begin"/>
      </w:r>
      <w:r w:rsidR="00B158CD">
        <w:instrText xml:space="preserve"> REF _Ref33512055 \h </w:instrText>
      </w:r>
      <w:r w:rsidR="00B158CD">
        <w:fldChar w:fldCharType="separate"/>
      </w:r>
      <w:r w:rsidR="00BB1E55" w:rsidRPr="00DD1373">
        <w:t>Measuring</w:t>
      </w:r>
      <w:r w:rsidR="00BB1E55">
        <w:t xml:space="preserve"> Annual Consumption Reductions</w:t>
      </w:r>
      <w:r w:rsidR="00B158CD">
        <w:fldChar w:fldCharType="end"/>
      </w:r>
      <w:r w:rsidR="0081539A">
        <w:t>,</w:t>
      </w:r>
      <w:r w:rsidRPr="3792F7D5">
        <w:t xml:space="preserve"> and the definition of peak demand from Phase</w:t>
      </w:r>
      <w:r>
        <w:t>s</w:t>
      </w:r>
      <w:r w:rsidRPr="3792F7D5">
        <w:t xml:space="preserve"> II and III</w:t>
      </w:r>
      <w:r>
        <w:t>,</w:t>
      </w:r>
      <w:r w:rsidRPr="3792F7D5">
        <w:t xml:space="preserve"> </w:t>
      </w:r>
      <w:r>
        <w:t>as</w:t>
      </w:r>
      <w:r w:rsidRPr="3792F7D5">
        <w:t xml:space="preserve"> documented in the 2021 TRM</w:t>
      </w:r>
      <w:r>
        <w:t>.</w:t>
      </w:r>
      <w:r w:rsidRPr="3792F7D5">
        <w:rPr>
          <w:rStyle w:val="FootnoteReference"/>
        </w:rPr>
        <w:footnoteReference w:id="55"/>
      </w:r>
      <w:r>
        <w:rPr>
          <w:szCs w:val="26"/>
        </w:rPr>
        <w:t xml:space="preserve">  </w:t>
      </w:r>
      <w:r w:rsidR="00E7293B">
        <w:rPr>
          <w:szCs w:val="26"/>
        </w:rPr>
        <w:t xml:space="preserve">The peak demand period for Act 129 programs is non-holiday weekdays June through August from 2:00 pm to 6:00 pm Eastern Daylight Time. </w:t>
      </w:r>
      <w:r w:rsidR="00232B6A">
        <w:rPr>
          <w:szCs w:val="26"/>
        </w:rPr>
        <w:t xml:space="preserve"> Measures in the 2021 TRM includes algorithms </w:t>
      </w:r>
      <w:r w:rsidR="001E328D">
        <w:rPr>
          <w:szCs w:val="26"/>
        </w:rPr>
        <w:t xml:space="preserve">and assumptions </w:t>
      </w:r>
      <w:r w:rsidR="00232B6A">
        <w:rPr>
          <w:szCs w:val="26"/>
        </w:rPr>
        <w:t xml:space="preserve">for calculating </w:t>
      </w:r>
      <w:r w:rsidR="001E328D">
        <w:rPr>
          <w:szCs w:val="26"/>
        </w:rPr>
        <w:t>ΔkW</w:t>
      </w:r>
      <w:r w:rsidR="001E328D">
        <w:rPr>
          <w:szCs w:val="26"/>
          <w:vertAlign w:val="subscript"/>
        </w:rPr>
        <w:t>peak</w:t>
      </w:r>
      <w:r w:rsidR="001E328D">
        <w:rPr>
          <w:szCs w:val="26"/>
        </w:rPr>
        <w:t xml:space="preserve">.  For most measures, the calculation of peak demand savings involves the use of a coincidence factor, which </w:t>
      </w:r>
      <w:r w:rsidR="009823CC">
        <w:rPr>
          <w:szCs w:val="26"/>
        </w:rPr>
        <w:t xml:space="preserve">the TRM defines as </w:t>
      </w:r>
      <w:r w:rsidR="00796CC9" w:rsidRPr="00AA4472">
        <w:rPr>
          <w:szCs w:val="26"/>
        </w:rPr>
        <w:t>“</w:t>
      </w:r>
      <w:r w:rsidR="006E60C3">
        <w:rPr>
          <w:szCs w:val="26"/>
        </w:rPr>
        <w:t>[t]</w:t>
      </w:r>
      <w:r w:rsidR="00796CC9" w:rsidRPr="00851290">
        <w:rPr>
          <w:szCs w:val="26"/>
        </w:rPr>
        <w:t xml:space="preserve">he ratio of the (1) </w:t>
      </w:r>
      <w:r w:rsidR="00796CC9" w:rsidRPr="00851290">
        <w:rPr>
          <w:szCs w:val="26"/>
        </w:rPr>
        <w:lastRenderedPageBreak/>
        <w:t>sum of every unit’s average kW load during the PJM peak load period (June through August, non-holiday weekdays, 2 pm to 6 pm) to the (2) sum of the non-coincident maximum kW connected load for every unit.</w:t>
      </w:r>
      <w:r w:rsidR="00796CC9" w:rsidRPr="00AA4472">
        <w:rPr>
          <w:szCs w:val="26"/>
        </w:rPr>
        <w:t>”</w:t>
      </w:r>
      <w:r w:rsidR="00796CC9">
        <w:rPr>
          <w:rStyle w:val="FootnoteReference"/>
          <w:szCs w:val="26"/>
        </w:rPr>
        <w:footnoteReference w:id="56"/>
      </w:r>
      <w:r w:rsidR="006E60C3">
        <w:rPr>
          <w:szCs w:val="26"/>
        </w:rPr>
        <w:t xml:space="preserve">  </w:t>
      </w:r>
      <w:r w:rsidRPr="3792F7D5">
        <w:t xml:space="preserve">We note that the peak demand savings associated with specific conservation measures are defined by the deemed or partially deemed approaches outlined in the </w:t>
      </w:r>
      <w:r>
        <w:t xml:space="preserve">2021 </w:t>
      </w:r>
      <w:r w:rsidRPr="3792F7D5">
        <w:t xml:space="preserve">TRM.  For custom measures not included in the </w:t>
      </w:r>
      <w:r>
        <w:t xml:space="preserve">2021 </w:t>
      </w:r>
      <w:r w:rsidRPr="3792F7D5">
        <w:t xml:space="preserve">TRM, the Commission proposes that EDC evaluation contractors continue to estimate weather-normalized annual peak demand savings that consider and control for extraordinary weather conditions observed during the measurement and verification period.  </w:t>
      </w:r>
      <w:r>
        <w:t xml:space="preserve"> </w:t>
      </w:r>
    </w:p>
    <w:p w14:paraId="39BA49FB" w14:textId="77777777" w:rsidR="003F1127" w:rsidRDefault="003F1127" w:rsidP="003F1127">
      <w:pPr>
        <w:autoSpaceDE w:val="0"/>
        <w:autoSpaceDN w:val="0"/>
        <w:adjustRightInd w:val="0"/>
        <w:spacing w:line="360" w:lineRule="auto"/>
        <w:rPr>
          <w:sz w:val="26"/>
          <w:szCs w:val="26"/>
        </w:rPr>
      </w:pPr>
      <w:r>
        <w:rPr>
          <w:sz w:val="26"/>
          <w:szCs w:val="26"/>
        </w:rPr>
        <w:tab/>
      </w:r>
    </w:p>
    <w:p w14:paraId="2EAB1375" w14:textId="48FF98BB" w:rsidR="003F1127" w:rsidRPr="000742FF" w:rsidRDefault="003F1127" w:rsidP="00C831F7">
      <w:pPr>
        <w:pStyle w:val="StyleLinespacing15lines"/>
      </w:pPr>
      <w:r>
        <w:tab/>
        <w:t>Peak demand reductions from EE nominated as capacity resources to PJM will need to follow the measurement and verification requirements of PJM Manual 18B</w:t>
      </w:r>
      <w:r w:rsidR="00713F15">
        <w:t>.</w:t>
      </w:r>
      <w:r>
        <w:rPr>
          <w:rStyle w:val="FootnoteReference"/>
          <w:szCs w:val="26"/>
        </w:rPr>
        <w:footnoteReference w:id="57"/>
      </w:r>
      <w:r>
        <w:t xml:space="preserve">  The Commission notes that there are key differences between the measurement and verification requirements of Act 129 and PJM.  With this Tentative Order, we propose that EDCs factor these requirements into their Phase IV evaluation contractor RFPs and the selected evaluation contractors incorporate all incremental </w:t>
      </w:r>
      <w:r w:rsidR="006F06EC">
        <w:t>measurement and verification</w:t>
      </w:r>
      <w:r>
        <w:t xml:space="preserve"> requirements into their Act 129 measurement and verification activities.  </w:t>
      </w:r>
    </w:p>
    <w:p w14:paraId="15ADD617" w14:textId="77777777" w:rsidR="0058211B" w:rsidRPr="0015319A" w:rsidRDefault="0058211B" w:rsidP="003F1127">
      <w:pPr>
        <w:autoSpaceDE w:val="0"/>
        <w:autoSpaceDN w:val="0"/>
        <w:adjustRightInd w:val="0"/>
        <w:spacing w:line="360" w:lineRule="auto"/>
        <w:rPr>
          <w:sz w:val="26"/>
          <w:szCs w:val="26"/>
        </w:rPr>
      </w:pPr>
    </w:p>
    <w:p w14:paraId="3B389278" w14:textId="77777777" w:rsidR="002719B7" w:rsidRPr="004D3955" w:rsidRDefault="002719B7" w:rsidP="00DD1373">
      <w:pPr>
        <w:pStyle w:val="Heading2"/>
      </w:pPr>
      <w:bookmarkStart w:id="321" w:name="_Toc33782008"/>
      <w:r w:rsidRPr="00B05F43">
        <w:t>Plan Approval Process</w:t>
      </w:r>
      <w:bookmarkEnd w:id="321"/>
    </w:p>
    <w:p w14:paraId="0457D206" w14:textId="6BA6F9C6" w:rsidR="002719B7" w:rsidRDefault="002719B7" w:rsidP="0009548F">
      <w:pPr>
        <w:pStyle w:val="p3"/>
        <w:widowControl/>
        <w:tabs>
          <w:tab w:val="clear" w:pos="204"/>
        </w:tabs>
        <w:spacing w:line="360" w:lineRule="auto"/>
        <w:rPr>
          <w:szCs w:val="26"/>
        </w:rPr>
      </w:pPr>
      <w:r w:rsidRPr="00235CED">
        <w:rPr>
          <w:szCs w:val="26"/>
        </w:rPr>
        <w:tab/>
        <w:t xml:space="preserve">The Act requires the Commission to establish procedures for approving </w:t>
      </w:r>
      <w:r w:rsidR="00912B5A">
        <w:rPr>
          <w:szCs w:val="26"/>
        </w:rPr>
        <w:t>EE&amp;C P</w:t>
      </w:r>
      <w:r w:rsidRPr="00235CED">
        <w:rPr>
          <w:szCs w:val="26"/>
        </w:rPr>
        <w:t xml:space="preserve">lans submitted by EDCs.  66 Pa. C.S. § 2806.1(a)(1).  </w:t>
      </w:r>
      <w:r w:rsidR="005765F8">
        <w:rPr>
          <w:szCs w:val="26"/>
        </w:rPr>
        <w:t xml:space="preserve">For the initial phase of the EE&amp;C </w:t>
      </w:r>
      <w:r w:rsidR="00912B5A">
        <w:rPr>
          <w:szCs w:val="26"/>
        </w:rPr>
        <w:t>P</w:t>
      </w:r>
      <w:r w:rsidR="005765F8">
        <w:rPr>
          <w:szCs w:val="26"/>
        </w:rPr>
        <w:t>rogram, t</w:t>
      </w:r>
      <w:r w:rsidRPr="00235CED">
        <w:rPr>
          <w:szCs w:val="26"/>
        </w:rPr>
        <w:t>he Act dictate</w:t>
      </w:r>
      <w:r w:rsidR="005765F8">
        <w:rPr>
          <w:szCs w:val="26"/>
        </w:rPr>
        <w:t>d</w:t>
      </w:r>
      <w:r w:rsidRPr="00235CED">
        <w:rPr>
          <w:szCs w:val="26"/>
        </w:rPr>
        <w:t xml:space="preserve"> that all EDCs with at least 100,000 customers must develop and file</w:t>
      </w:r>
      <w:r w:rsidR="005765F8">
        <w:rPr>
          <w:szCs w:val="26"/>
        </w:rPr>
        <w:t xml:space="preserve">, </w:t>
      </w:r>
      <w:r w:rsidR="005765F8" w:rsidRPr="00235CED">
        <w:rPr>
          <w:szCs w:val="26"/>
        </w:rPr>
        <w:t xml:space="preserve">by July 1, 2009, </w:t>
      </w:r>
      <w:r w:rsidRPr="00235CED">
        <w:rPr>
          <w:szCs w:val="26"/>
        </w:rPr>
        <w:t xml:space="preserve">an EE&amp;C </w:t>
      </w:r>
      <w:r w:rsidR="00912B5A">
        <w:rPr>
          <w:szCs w:val="26"/>
        </w:rPr>
        <w:t>P</w:t>
      </w:r>
      <w:r w:rsidRPr="00235CED">
        <w:rPr>
          <w:szCs w:val="26"/>
        </w:rPr>
        <w:t>lan with the Commission for approval.  66 Pa. C.S.</w:t>
      </w:r>
      <w:r w:rsidR="00B70181">
        <w:rPr>
          <w:szCs w:val="26"/>
        </w:rPr>
        <w:t> </w:t>
      </w:r>
      <w:r w:rsidRPr="00235CED">
        <w:rPr>
          <w:szCs w:val="26"/>
        </w:rPr>
        <w:t xml:space="preserve">§§ 2806.1(b)(1) and 2806.1(l).  The Commission </w:t>
      </w:r>
      <w:r w:rsidR="005765F8">
        <w:rPr>
          <w:szCs w:val="26"/>
        </w:rPr>
        <w:t>wa</w:t>
      </w:r>
      <w:r w:rsidRPr="00235CED">
        <w:rPr>
          <w:szCs w:val="26"/>
        </w:rPr>
        <w:t xml:space="preserve">s to conduct a public hearing on each </w:t>
      </w:r>
      <w:r w:rsidR="00912B5A">
        <w:rPr>
          <w:szCs w:val="26"/>
        </w:rPr>
        <w:t>EE&amp;C P</w:t>
      </w:r>
      <w:r w:rsidRPr="00235CED">
        <w:rPr>
          <w:szCs w:val="26"/>
        </w:rPr>
        <w:t>lan that allow</w:t>
      </w:r>
      <w:r w:rsidR="00684334">
        <w:rPr>
          <w:szCs w:val="26"/>
        </w:rPr>
        <w:t>ed</w:t>
      </w:r>
      <w:r w:rsidRPr="00235CED">
        <w:rPr>
          <w:szCs w:val="26"/>
        </w:rPr>
        <w:t xml:space="preserve"> for submission of recommendations by the statutory advocates and the public regarding how the</w:t>
      </w:r>
      <w:r w:rsidR="005765F8">
        <w:rPr>
          <w:szCs w:val="26"/>
        </w:rPr>
        <w:t xml:space="preserve"> EDC’s</w:t>
      </w:r>
      <w:r w:rsidRPr="00235CED">
        <w:rPr>
          <w:szCs w:val="26"/>
        </w:rPr>
        <w:t xml:space="preserve"> </w:t>
      </w:r>
      <w:r w:rsidR="00912B5A">
        <w:rPr>
          <w:szCs w:val="26"/>
        </w:rPr>
        <w:t>EE&amp;C P</w:t>
      </w:r>
      <w:r w:rsidRPr="00235CED">
        <w:rPr>
          <w:szCs w:val="26"/>
        </w:rPr>
        <w:t>lan could be improved.  66 Pa. C.S. §</w:t>
      </w:r>
      <w:r w:rsidR="0098639D">
        <w:rPr>
          <w:szCs w:val="26"/>
        </w:rPr>
        <w:t> </w:t>
      </w:r>
      <w:r w:rsidRPr="00235CED">
        <w:rPr>
          <w:szCs w:val="26"/>
        </w:rPr>
        <w:t xml:space="preserve">2806.1(e)(1).  The Commission </w:t>
      </w:r>
      <w:r w:rsidR="005765F8">
        <w:rPr>
          <w:szCs w:val="26"/>
        </w:rPr>
        <w:t>wa</w:t>
      </w:r>
      <w:r w:rsidRPr="00235CED">
        <w:rPr>
          <w:szCs w:val="26"/>
        </w:rPr>
        <w:t xml:space="preserve">s to rule on each </w:t>
      </w:r>
      <w:r w:rsidR="00912B5A">
        <w:rPr>
          <w:szCs w:val="26"/>
        </w:rPr>
        <w:t>EE&amp;C P</w:t>
      </w:r>
      <w:r w:rsidRPr="00235CED">
        <w:rPr>
          <w:szCs w:val="26"/>
        </w:rPr>
        <w:t xml:space="preserve">lan within 120 </w:t>
      </w:r>
      <w:r w:rsidRPr="00235CED">
        <w:rPr>
          <w:szCs w:val="26"/>
        </w:rPr>
        <w:lastRenderedPageBreak/>
        <w:t>days of submission.  66 Pa. C.S. § 2806.1(e)(2).  If the Commission disapprove</w:t>
      </w:r>
      <w:r w:rsidR="005765F8">
        <w:rPr>
          <w:szCs w:val="26"/>
        </w:rPr>
        <w:t>d of some or all of an EDC’s</w:t>
      </w:r>
      <w:r w:rsidRPr="00235CED">
        <w:rPr>
          <w:szCs w:val="26"/>
        </w:rPr>
        <w:t xml:space="preserve"> </w:t>
      </w:r>
      <w:r w:rsidR="00912B5A">
        <w:rPr>
          <w:szCs w:val="26"/>
        </w:rPr>
        <w:t>EE&amp;C P</w:t>
      </w:r>
      <w:r w:rsidRPr="00235CED">
        <w:rPr>
          <w:szCs w:val="26"/>
        </w:rPr>
        <w:t xml:space="preserve">lan, it </w:t>
      </w:r>
      <w:r w:rsidR="005765F8">
        <w:rPr>
          <w:szCs w:val="26"/>
        </w:rPr>
        <w:t>was to</w:t>
      </w:r>
      <w:r w:rsidRPr="00235CED">
        <w:rPr>
          <w:szCs w:val="26"/>
        </w:rPr>
        <w:t xml:space="preserve"> describe in detail its reasons </w:t>
      </w:r>
      <w:r w:rsidR="005765F8">
        <w:rPr>
          <w:szCs w:val="26"/>
        </w:rPr>
        <w:t xml:space="preserve">for disapproval, </w:t>
      </w:r>
      <w:r w:rsidRPr="00235CED">
        <w:rPr>
          <w:szCs w:val="26"/>
        </w:rPr>
        <w:t>after which the EDC ha</w:t>
      </w:r>
      <w:r w:rsidR="005765F8">
        <w:rPr>
          <w:szCs w:val="26"/>
        </w:rPr>
        <w:t>d</w:t>
      </w:r>
      <w:r w:rsidRPr="00235CED">
        <w:rPr>
          <w:szCs w:val="26"/>
        </w:rPr>
        <w:t xml:space="preserve"> 60 days to submit a revised</w:t>
      </w:r>
      <w:r w:rsidR="00912B5A">
        <w:rPr>
          <w:szCs w:val="26"/>
        </w:rPr>
        <w:t xml:space="preserve"> EE&amp;C</w:t>
      </w:r>
      <w:r w:rsidRPr="00235CED">
        <w:rPr>
          <w:szCs w:val="26"/>
        </w:rPr>
        <w:t xml:space="preserve"> </w:t>
      </w:r>
      <w:r w:rsidR="00912B5A">
        <w:rPr>
          <w:szCs w:val="26"/>
        </w:rPr>
        <w:t>P</w:t>
      </w:r>
      <w:r w:rsidRPr="00235CED">
        <w:rPr>
          <w:szCs w:val="26"/>
        </w:rPr>
        <w:t>lan.  66 Pa. C.S.</w:t>
      </w:r>
      <w:r w:rsidR="002858A5">
        <w:rPr>
          <w:szCs w:val="26"/>
        </w:rPr>
        <w:t> </w:t>
      </w:r>
      <w:r w:rsidRPr="00235CED">
        <w:rPr>
          <w:szCs w:val="26"/>
        </w:rPr>
        <w:t>§ 2806.1(e)(2).  The Commission then ha</w:t>
      </w:r>
      <w:r w:rsidR="005765F8">
        <w:rPr>
          <w:szCs w:val="26"/>
        </w:rPr>
        <w:t>d</w:t>
      </w:r>
      <w:r w:rsidRPr="00235CED">
        <w:rPr>
          <w:szCs w:val="26"/>
        </w:rPr>
        <w:t xml:space="preserve"> 60 days to rule on the revised </w:t>
      </w:r>
      <w:r w:rsidR="00912B5A">
        <w:rPr>
          <w:szCs w:val="26"/>
        </w:rPr>
        <w:t>EE&amp;C P</w:t>
      </w:r>
      <w:r w:rsidRPr="00235CED">
        <w:rPr>
          <w:szCs w:val="26"/>
        </w:rPr>
        <w:t xml:space="preserve">lan.  </w:t>
      </w:r>
      <w:r w:rsidRPr="00235CED">
        <w:rPr>
          <w:i/>
          <w:szCs w:val="26"/>
        </w:rPr>
        <w:t>Id</w:t>
      </w:r>
      <w:r w:rsidRPr="00235CED">
        <w:rPr>
          <w:szCs w:val="26"/>
        </w:rPr>
        <w:t xml:space="preserve">.  </w:t>
      </w:r>
    </w:p>
    <w:p w14:paraId="3820EE25" w14:textId="77777777" w:rsidR="005765F8" w:rsidRDefault="005765F8" w:rsidP="0009548F">
      <w:pPr>
        <w:pStyle w:val="p3"/>
        <w:widowControl/>
        <w:tabs>
          <w:tab w:val="clear" w:pos="204"/>
        </w:tabs>
        <w:spacing w:line="360" w:lineRule="auto"/>
        <w:rPr>
          <w:szCs w:val="26"/>
        </w:rPr>
      </w:pPr>
    </w:p>
    <w:p w14:paraId="625CE398" w14:textId="55F379F0" w:rsidR="006A5B6F" w:rsidRPr="006A5B6F" w:rsidRDefault="006A5B6F" w:rsidP="00E95C7C">
      <w:pPr>
        <w:pStyle w:val="Heading3"/>
        <w:numPr>
          <w:ilvl w:val="0"/>
          <w:numId w:val="19"/>
        </w:numPr>
      </w:pPr>
      <w:bookmarkStart w:id="322" w:name="_Toc33782009"/>
      <w:r w:rsidRPr="006A5B6F">
        <w:t xml:space="preserve">Phase </w:t>
      </w:r>
      <w:r w:rsidR="000069A6" w:rsidRPr="006A5B6F">
        <w:t>I</w:t>
      </w:r>
      <w:r w:rsidR="000069A6">
        <w:t>V</w:t>
      </w:r>
      <w:r w:rsidR="000069A6" w:rsidRPr="006A5B6F">
        <w:t xml:space="preserve"> </w:t>
      </w:r>
      <w:r w:rsidR="00912B5A">
        <w:t xml:space="preserve">EE&amp;C </w:t>
      </w:r>
      <w:r w:rsidRPr="006A5B6F">
        <w:t>Pl</w:t>
      </w:r>
      <w:r w:rsidR="003A05C6">
        <w:t xml:space="preserve">an </w:t>
      </w:r>
      <w:r w:rsidR="003A05C6" w:rsidRPr="00DD1373">
        <w:t>Approval</w:t>
      </w:r>
      <w:r w:rsidR="003A05C6">
        <w:t xml:space="preserve"> Process</w:t>
      </w:r>
      <w:bookmarkEnd w:id="322"/>
    </w:p>
    <w:p w14:paraId="20943C7A" w14:textId="77777777" w:rsidR="005765F8" w:rsidRDefault="005765F8" w:rsidP="0009548F">
      <w:pPr>
        <w:pStyle w:val="p3"/>
        <w:widowControl/>
        <w:tabs>
          <w:tab w:val="clear" w:pos="204"/>
        </w:tabs>
        <w:spacing w:line="360" w:lineRule="auto"/>
        <w:rPr>
          <w:szCs w:val="26"/>
        </w:rPr>
      </w:pPr>
      <w:r>
        <w:rPr>
          <w:szCs w:val="26"/>
        </w:rPr>
        <w:tab/>
      </w:r>
      <w:r w:rsidR="00CE191B" w:rsidRPr="3792F7D5">
        <w:t xml:space="preserve">In the initial phase of the EE&amp;C </w:t>
      </w:r>
      <w:r w:rsidR="00912B5A" w:rsidRPr="3792F7D5">
        <w:t>P</w:t>
      </w:r>
      <w:r w:rsidR="00CE191B" w:rsidRPr="3792F7D5">
        <w:t xml:space="preserve">rogram, we established an EE&amp;C </w:t>
      </w:r>
      <w:r w:rsidR="00912B5A" w:rsidRPr="3792F7D5">
        <w:t>P</w:t>
      </w:r>
      <w:r w:rsidR="00CE191B" w:rsidRPr="3792F7D5">
        <w:t xml:space="preserve">lan approval process that balanced the desire to provide all interested parties with an opportunity to be heard, with the need to complete the process within the statutory time constraints.  We noted that the </w:t>
      </w:r>
      <w:r w:rsidR="00912B5A" w:rsidRPr="3792F7D5">
        <w:t>EE&amp;C P</w:t>
      </w:r>
      <w:r w:rsidR="00CE191B" w:rsidRPr="3792F7D5">
        <w:t xml:space="preserve">lans </w:t>
      </w:r>
      <w:r w:rsidR="006A5B6F" w:rsidRPr="3792F7D5">
        <w:t>were</w:t>
      </w:r>
      <w:r w:rsidR="00CE191B" w:rsidRPr="3792F7D5">
        <w:t xml:space="preserve"> evolutionary in nature as the Act provides for modification of </w:t>
      </w:r>
      <w:r w:rsidR="00912B5A" w:rsidRPr="3792F7D5">
        <w:t xml:space="preserve">those </w:t>
      </w:r>
      <w:r w:rsidR="00CE191B" w:rsidRPr="3792F7D5">
        <w:t>plans after approval.  Finally, we noted that</w:t>
      </w:r>
      <w:r w:rsidR="000D38EE">
        <w:rPr>
          <w:szCs w:val="26"/>
        </w:rPr>
        <w:t>,</w:t>
      </w:r>
      <w:r w:rsidR="00CE191B" w:rsidRPr="3792F7D5">
        <w:t xml:space="preserve"> while we had established a formal approval process, we specifically directed the EDCs to offer and engage in informal discussions with the statutory advocates and interested stakeholders during the pre-filing development of the</w:t>
      </w:r>
      <w:r w:rsidR="00912B5A" w:rsidRPr="3792F7D5">
        <w:t>ir</w:t>
      </w:r>
      <w:r w:rsidR="00CE191B">
        <w:rPr>
          <w:szCs w:val="26"/>
        </w:rPr>
        <w:t xml:space="preserve"> </w:t>
      </w:r>
      <w:r w:rsidR="00912B5A" w:rsidRPr="3792F7D5">
        <w:t xml:space="preserve">EE&amp;C </w:t>
      </w:r>
      <w:r w:rsidR="00172902" w:rsidRPr="3792F7D5">
        <w:t>P</w:t>
      </w:r>
      <w:r w:rsidR="00CE191B" w:rsidRPr="3792F7D5">
        <w:t>lans.</w:t>
      </w:r>
      <w:r w:rsidR="00CE191B" w:rsidRPr="3792F7D5">
        <w:rPr>
          <w:rStyle w:val="FootnoteReference"/>
        </w:rPr>
        <w:footnoteReference w:id="58"/>
      </w:r>
      <w:r w:rsidR="00394AA9">
        <w:rPr>
          <w:szCs w:val="26"/>
        </w:rPr>
        <w:t xml:space="preserve">  </w:t>
      </w:r>
    </w:p>
    <w:p w14:paraId="71E0CA44" w14:textId="77777777" w:rsidR="00394AA9" w:rsidRDefault="00394AA9" w:rsidP="0009548F">
      <w:pPr>
        <w:pStyle w:val="p3"/>
        <w:widowControl/>
        <w:tabs>
          <w:tab w:val="clear" w:pos="204"/>
        </w:tabs>
        <w:spacing w:line="360" w:lineRule="auto"/>
        <w:rPr>
          <w:szCs w:val="26"/>
        </w:rPr>
      </w:pPr>
    </w:p>
    <w:p w14:paraId="57BC8A83" w14:textId="77777777" w:rsidR="00394AA9" w:rsidRDefault="00394AA9" w:rsidP="0009548F">
      <w:pPr>
        <w:pStyle w:val="p3"/>
        <w:widowControl/>
        <w:tabs>
          <w:tab w:val="clear" w:pos="204"/>
        </w:tabs>
        <w:spacing w:line="360" w:lineRule="auto"/>
        <w:rPr>
          <w:szCs w:val="26"/>
        </w:rPr>
      </w:pPr>
      <w:r>
        <w:rPr>
          <w:szCs w:val="26"/>
        </w:rPr>
        <w:tab/>
        <w:t xml:space="preserve">The approval process established in the initial phase of the EE&amp;C </w:t>
      </w:r>
      <w:r w:rsidR="00E31150">
        <w:rPr>
          <w:szCs w:val="26"/>
        </w:rPr>
        <w:t>P</w:t>
      </w:r>
      <w:r>
        <w:rPr>
          <w:szCs w:val="26"/>
        </w:rPr>
        <w:t>rogram was as follows:</w:t>
      </w:r>
    </w:p>
    <w:p w14:paraId="771AAE82" w14:textId="77777777" w:rsidR="00394AA9" w:rsidRPr="00235CED" w:rsidRDefault="00394AA9" w:rsidP="0009548F">
      <w:pPr>
        <w:pStyle w:val="p3"/>
        <w:widowControl/>
        <w:tabs>
          <w:tab w:val="clear" w:pos="204"/>
        </w:tabs>
        <w:ind w:left="720" w:right="720"/>
        <w:rPr>
          <w:szCs w:val="26"/>
        </w:rPr>
      </w:pPr>
      <w:r w:rsidRPr="00235CED">
        <w:rPr>
          <w:szCs w:val="26"/>
        </w:rPr>
        <w:t xml:space="preserve">The Commission will publish a notice of each proposed plan in the </w:t>
      </w:r>
      <w:r w:rsidRPr="00235CED">
        <w:rPr>
          <w:i/>
          <w:szCs w:val="26"/>
        </w:rPr>
        <w:t>Pennsylvania Bulletin</w:t>
      </w:r>
      <w:r w:rsidRPr="00235CED">
        <w:rPr>
          <w:szCs w:val="26"/>
        </w:rPr>
        <w:t xml:space="preserve"> within 20 days of its filing.  In addition, the Commission will post each proposed plan on its website.  An answer along with comments and recommendations are to be filed within 20 days of the publication of the notice in the </w:t>
      </w:r>
      <w:r w:rsidRPr="00235CED">
        <w:rPr>
          <w:i/>
          <w:szCs w:val="26"/>
        </w:rPr>
        <w:t>Pennsylvania Bulletin</w:t>
      </w:r>
      <w:r w:rsidRPr="00235CED">
        <w:rPr>
          <w:szCs w:val="26"/>
        </w:rPr>
        <w:t xml:space="preserve">.  Each plan will be referred to an Administrative Law Judge (“ALJ”), who will </w:t>
      </w:r>
      <w:r>
        <w:rPr>
          <w:szCs w:val="26"/>
        </w:rPr>
        <w:t xml:space="preserve">establish a discovery schedule and </w:t>
      </w:r>
      <w:r w:rsidRPr="00235CED">
        <w:rPr>
          <w:szCs w:val="26"/>
        </w:rPr>
        <w:t>hold a public input hearing(s) in the EDC’s service territory</w:t>
      </w:r>
      <w:r>
        <w:rPr>
          <w:szCs w:val="26"/>
        </w:rPr>
        <w:t>,</w:t>
      </w:r>
      <w:r w:rsidRPr="00235CED">
        <w:rPr>
          <w:szCs w:val="26"/>
        </w:rPr>
        <w:t xml:space="preserve"> </w:t>
      </w:r>
      <w:r>
        <w:rPr>
          <w:szCs w:val="26"/>
        </w:rPr>
        <w:t>as well as</w:t>
      </w:r>
      <w:r w:rsidRPr="00235CED">
        <w:rPr>
          <w:szCs w:val="26"/>
        </w:rPr>
        <w:t xml:space="preserve"> </w:t>
      </w:r>
      <w:r>
        <w:rPr>
          <w:szCs w:val="26"/>
        </w:rPr>
        <w:t xml:space="preserve">an </w:t>
      </w:r>
      <w:r w:rsidRPr="00235CED">
        <w:rPr>
          <w:szCs w:val="26"/>
        </w:rPr>
        <w:t>evidentiary hearing</w:t>
      </w:r>
      <w:r>
        <w:rPr>
          <w:szCs w:val="26"/>
        </w:rPr>
        <w:t>(</w:t>
      </w:r>
      <w:r w:rsidRPr="00235CED">
        <w:rPr>
          <w:szCs w:val="26"/>
        </w:rPr>
        <w:t>s</w:t>
      </w:r>
      <w:r>
        <w:rPr>
          <w:szCs w:val="26"/>
        </w:rPr>
        <w:t>)</w:t>
      </w:r>
      <w:r w:rsidRPr="00235CED">
        <w:rPr>
          <w:szCs w:val="26"/>
        </w:rPr>
        <w:t xml:space="preserve"> on issues </w:t>
      </w:r>
      <w:r>
        <w:rPr>
          <w:szCs w:val="26"/>
        </w:rPr>
        <w:t>related to the EDC’s EE&amp;C plan</w:t>
      </w:r>
      <w:r w:rsidRPr="00235CED">
        <w:rPr>
          <w:szCs w:val="26"/>
        </w:rPr>
        <w:t xml:space="preserve">.  Such hearings are to be </w:t>
      </w:r>
      <w:r>
        <w:rPr>
          <w:szCs w:val="26"/>
        </w:rPr>
        <w:t>completed</w:t>
      </w:r>
      <w:r w:rsidRPr="00235CED">
        <w:rPr>
          <w:szCs w:val="26"/>
        </w:rPr>
        <w:t xml:space="preserve"> on or before the </w:t>
      </w:r>
      <w:r>
        <w:rPr>
          <w:szCs w:val="26"/>
        </w:rPr>
        <w:t>65</w:t>
      </w:r>
      <w:r w:rsidRPr="00235CED">
        <w:rPr>
          <w:szCs w:val="26"/>
          <w:vertAlign w:val="superscript"/>
        </w:rPr>
        <w:t>th</w:t>
      </w:r>
      <w:r w:rsidRPr="00235CED">
        <w:rPr>
          <w:szCs w:val="26"/>
        </w:rPr>
        <w:t xml:space="preserve"> day after a plan is filed, after which, </w:t>
      </w:r>
      <w:r>
        <w:rPr>
          <w:szCs w:val="26"/>
        </w:rPr>
        <w:t xml:space="preserve">the parties will have 10 days to file briefs.  </w:t>
      </w:r>
      <w:r w:rsidRPr="00235CED">
        <w:rPr>
          <w:szCs w:val="26"/>
        </w:rPr>
        <w:t xml:space="preserve">The EDC will </w:t>
      </w:r>
      <w:r>
        <w:rPr>
          <w:szCs w:val="26"/>
        </w:rPr>
        <w:t xml:space="preserve">then </w:t>
      </w:r>
      <w:r w:rsidRPr="00235CED">
        <w:rPr>
          <w:szCs w:val="26"/>
        </w:rPr>
        <w:t>have 1</w:t>
      </w:r>
      <w:r>
        <w:rPr>
          <w:szCs w:val="26"/>
        </w:rPr>
        <w:t>0</w:t>
      </w:r>
      <w:r w:rsidRPr="00235CED">
        <w:rPr>
          <w:szCs w:val="26"/>
        </w:rPr>
        <w:t xml:space="preserve"> days to submit a revised plan or reply comments or both.</w:t>
      </w:r>
      <w:r>
        <w:rPr>
          <w:szCs w:val="26"/>
        </w:rPr>
        <w:t xml:space="preserve">  T</w:t>
      </w:r>
      <w:r w:rsidRPr="00235CED">
        <w:rPr>
          <w:szCs w:val="26"/>
        </w:rPr>
        <w:t xml:space="preserve">he ALJ will </w:t>
      </w:r>
      <w:r>
        <w:rPr>
          <w:szCs w:val="26"/>
        </w:rPr>
        <w:t xml:space="preserve">then </w:t>
      </w:r>
      <w:r w:rsidRPr="00235CED">
        <w:rPr>
          <w:szCs w:val="26"/>
        </w:rPr>
        <w:t>certify the record</w:t>
      </w:r>
      <w:r>
        <w:rPr>
          <w:szCs w:val="26"/>
        </w:rPr>
        <w:t xml:space="preserve"> to the Commission</w:t>
      </w:r>
      <w:r w:rsidRPr="00235CED">
        <w:rPr>
          <w:szCs w:val="26"/>
        </w:rPr>
        <w:t xml:space="preserve">.    </w:t>
      </w:r>
    </w:p>
    <w:p w14:paraId="55A5B925" w14:textId="77777777" w:rsidR="00394AA9" w:rsidRPr="00235CED" w:rsidRDefault="00394AA9" w:rsidP="0009548F">
      <w:pPr>
        <w:pStyle w:val="p3"/>
        <w:widowControl/>
        <w:rPr>
          <w:szCs w:val="26"/>
        </w:rPr>
      </w:pPr>
    </w:p>
    <w:p w14:paraId="51BCAD76" w14:textId="10F6B905" w:rsidR="00394AA9" w:rsidRDefault="00394AA9" w:rsidP="0009548F">
      <w:pPr>
        <w:pStyle w:val="p3"/>
        <w:widowControl/>
        <w:tabs>
          <w:tab w:val="clear" w:pos="204"/>
        </w:tabs>
        <w:ind w:left="720" w:right="720"/>
        <w:rPr>
          <w:szCs w:val="26"/>
        </w:rPr>
      </w:pPr>
      <w:r w:rsidRPr="00235CED">
        <w:rPr>
          <w:szCs w:val="26"/>
        </w:rPr>
        <w:tab/>
      </w:r>
      <w:r w:rsidRPr="3792F7D5">
        <w:t>The Commission will approve or reject all or part of a plan at public meeting within 120 days of the EDC’s filing.  The Commission will provide a detailed rationale for rejecting all or part of a plan.  Thereafter, the EDC will have 60 days from the entry date of the order to file a revised plan that addresses the identified deficiencies.  This</w:t>
      </w:r>
      <w:r w:rsidR="006F3591" w:rsidRPr="3792F7D5">
        <w:t xml:space="preserve"> revised plan is to be served on</w:t>
      </w:r>
      <w:r w:rsidRPr="3792F7D5">
        <w:t xml:space="preserve"> OCA, OSBA</w:t>
      </w:r>
      <w:r w:rsidR="006F3591" w:rsidRPr="3792F7D5">
        <w:t xml:space="preserve"> [Office of Small Business Advocate]</w:t>
      </w:r>
      <w:r>
        <w:rPr>
          <w:szCs w:val="26"/>
        </w:rPr>
        <w:t>,</w:t>
      </w:r>
      <w:r w:rsidRPr="3792F7D5">
        <w:t xml:space="preserve"> OTS</w:t>
      </w:r>
      <w:r w:rsidR="006F3591" w:rsidRPr="3792F7D5">
        <w:t xml:space="preserve"> [Office of Trial Staff]</w:t>
      </w:r>
      <w:r w:rsidR="000D38EE" w:rsidRPr="3792F7D5">
        <w:rPr>
          <w:rStyle w:val="FootnoteReference"/>
        </w:rPr>
        <w:footnoteReference w:id="59"/>
      </w:r>
      <w:r w:rsidRPr="3792F7D5">
        <w:t xml:space="preserve"> and all other parties to the EDC’s EE&amp;C plan filing, who, along with other interested parties</w:t>
      </w:r>
      <w:r>
        <w:rPr>
          <w:szCs w:val="26"/>
        </w:rPr>
        <w:t>,</w:t>
      </w:r>
      <w:r w:rsidRPr="00235CED">
        <w:rPr>
          <w:szCs w:val="26"/>
        </w:rPr>
        <w:t xml:space="preserve"> </w:t>
      </w:r>
      <w:r w:rsidRPr="3792F7D5">
        <w:t>will have ten days to file comments on the revised plan, with reply comments due ten days thereafter.  The Commission will approve or reject a revised plan at a public meeting within 60 days of the EDC’s revised plan filing.  This process will be repeated until a plan receives Commission approval.</w:t>
      </w:r>
      <w:r w:rsidR="00EF20CC">
        <w:rPr>
          <w:rStyle w:val="FootnoteReference"/>
        </w:rPr>
        <w:footnoteReference w:id="60"/>
      </w:r>
    </w:p>
    <w:p w14:paraId="4E576CB8" w14:textId="77777777" w:rsidR="002719B7" w:rsidRDefault="002719B7" w:rsidP="0009548F">
      <w:pPr>
        <w:pStyle w:val="p3"/>
        <w:widowControl/>
        <w:tabs>
          <w:tab w:val="clear" w:pos="204"/>
        </w:tabs>
        <w:spacing w:line="360" w:lineRule="auto"/>
        <w:rPr>
          <w:szCs w:val="26"/>
        </w:rPr>
      </w:pPr>
    </w:p>
    <w:p w14:paraId="0AF2BB6B" w14:textId="6BD12270" w:rsidR="006A5B6F" w:rsidRDefault="006A5B6F" w:rsidP="0009548F">
      <w:pPr>
        <w:pStyle w:val="p3"/>
        <w:widowControl/>
        <w:tabs>
          <w:tab w:val="clear" w:pos="204"/>
        </w:tabs>
        <w:spacing w:line="360" w:lineRule="auto"/>
        <w:rPr>
          <w:szCs w:val="26"/>
        </w:rPr>
      </w:pPr>
      <w:r>
        <w:rPr>
          <w:szCs w:val="26"/>
        </w:rPr>
        <w:tab/>
      </w:r>
      <w:r w:rsidRPr="3792F7D5">
        <w:t>For Phase</w:t>
      </w:r>
      <w:r w:rsidR="0046728D">
        <w:t>s</w:t>
      </w:r>
      <w:r w:rsidRPr="3792F7D5">
        <w:t xml:space="preserve"> II</w:t>
      </w:r>
      <w:r w:rsidR="0046728D">
        <w:t xml:space="preserve"> and III</w:t>
      </w:r>
      <w:r w:rsidRPr="3792F7D5">
        <w:t xml:space="preserve">, we </w:t>
      </w:r>
      <w:r w:rsidR="000D38EE" w:rsidRPr="3792F7D5">
        <w:t>utilized the same</w:t>
      </w:r>
      <w:r w:rsidRPr="3792F7D5">
        <w:t xml:space="preserve"> approval process with one revision.  Specifically, we eliminate</w:t>
      </w:r>
      <w:r w:rsidR="000D38EE" w:rsidRPr="3792F7D5">
        <w:t>d</w:t>
      </w:r>
      <w:r w:rsidRPr="3792F7D5">
        <w:t xml:space="preserve"> the need for a public input hearing</w:t>
      </w:r>
      <w:r w:rsidR="00134733">
        <w:rPr>
          <w:szCs w:val="26"/>
        </w:rPr>
        <w:t>,</w:t>
      </w:r>
      <w:r w:rsidR="0008078E" w:rsidRPr="3792F7D5">
        <w:t xml:space="preserve"> unless specifically requested</w:t>
      </w:r>
      <w:r w:rsidRPr="3792F7D5">
        <w:t>, as interested parties have ample opportunity to participate in the proceedings, as well as EDC stakeholder meetings, or are already adequately represented</w:t>
      </w:r>
      <w:r w:rsidR="003A05C6">
        <w:rPr>
          <w:szCs w:val="26"/>
        </w:rPr>
        <w:t>.</w:t>
      </w:r>
      <w:r w:rsidR="000D38EE" w:rsidRPr="3792F7D5">
        <w:t xml:space="preserve">  We directed the EDCs to offer and engage in informal discussions with the statutory advocates and interested stakeholders during the pre-filing development of their EE&amp;C Plans.</w:t>
      </w:r>
      <w:r w:rsidR="000D38EE" w:rsidRPr="3792F7D5">
        <w:rPr>
          <w:rStyle w:val="FootnoteReference"/>
        </w:rPr>
        <w:footnoteReference w:id="61"/>
      </w:r>
    </w:p>
    <w:p w14:paraId="1D0CB2EB" w14:textId="77777777" w:rsidR="006F3591" w:rsidRDefault="006F3591" w:rsidP="0009548F">
      <w:pPr>
        <w:pStyle w:val="p3"/>
        <w:widowControl/>
        <w:tabs>
          <w:tab w:val="clear" w:pos="204"/>
        </w:tabs>
        <w:spacing w:line="360" w:lineRule="auto"/>
        <w:rPr>
          <w:szCs w:val="26"/>
        </w:rPr>
      </w:pPr>
    </w:p>
    <w:p w14:paraId="0B3899F2" w14:textId="20C9563E" w:rsidR="003A05C6" w:rsidRPr="00E86611" w:rsidRDefault="001F1CBB" w:rsidP="0009548F">
      <w:pPr>
        <w:pStyle w:val="p3"/>
        <w:widowControl/>
        <w:tabs>
          <w:tab w:val="clear" w:pos="204"/>
        </w:tabs>
        <w:spacing w:line="360" w:lineRule="auto"/>
        <w:ind w:firstLine="720"/>
        <w:rPr>
          <w:szCs w:val="26"/>
        </w:rPr>
      </w:pPr>
      <w:r>
        <w:rPr>
          <w:szCs w:val="26"/>
        </w:rPr>
        <w:t xml:space="preserve">The Act requires EDCs to file a new EE&amp;C Plan with the Commission every five </w:t>
      </w:r>
      <w:r w:rsidR="00786971">
        <w:rPr>
          <w:szCs w:val="26"/>
        </w:rPr>
        <w:t>years</w:t>
      </w:r>
      <w:r>
        <w:rPr>
          <w:szCs w:val="26"/>
        </w:rPr>
        <w:t xml:space="preserve"> or as otherwise required by the Commission.  Such new plans must set forth the manner in which the EDC will meet the required reductions in consumption under subsections (c) and (d) of the Act.  </w:t>
      </w:r>
      <w:r w:rsidRPr="00134733">
        <w:rPr>
          <w:i/>
          <w:szCs w:val="26"/>
        </w:rPr>
        <w:t>See</w:t>
      </w:r>
      <w:r>
        <w:rPr>
          <w:szCs w:val="26"/>
        </w:rPr>
        <w:t xml:space="preserve"> 66 Pa. C.S. § 2806.1(b)(1)(ii).  Therefore, we propose that the EDCs file new EE&amp;C Plans outlining how they will implement measures/programs necessary to attain the consumption and peak demand reduction targets proposed herein.  Additionally, we</w:t>
      </w:r>
      <w:r w:rsidR="006F3591">
        <w:rPr>
          <w:szCs w:val="26"/>
        </w:rPr>
        <w:t xml:space="preserve"> propose, for the approval of the EDCs’ Phase I</w:t>
      </w:r>
      <w:r w:rsidR="00A65E55">
        <w:rPr>
          <w:szCs w:val="26"/>
        </w:rPr>
        <w:t>V</w:t>
      </w:r>
      <w:r w:rsidR="006F3591">
        <w:rPr>
          <w:szCs w:val="26"/>
        </w:rPr>
        <w:t xml:space="preserve"> EE&amp;C Plans, the same process that was utilized in Phase</w:t>
      </w:r>
      <w:r w:rsidR="00100376">
        <w:rPr>
          <w:szCs w:val="26"/>
        </w:rPr>
        <w:t>s</w:t>
      </w:r>
      <w:r w:rsidR="006F3591">
        <w:rPr>
          <w:szCs w:val="26"/>
        </w:rPr>
        <w:t xml:space="preserve"> II</w:t>
      </w:r>
      <w:r w:rsidR="00812338">
        <w:rPr>
          <w:szCs w:val="26"/>
        </w:rPr>
        <w:t xml:space="preserve"> and III</w:t>
      </w:r>
      <w:r w:rsidR="006F3591">
        <w:rPr>
          <w:szCs w:val="26"/>
        </w:rPr>
        <w:t xml:space="preserve">.  We believe this </w:t>
      </w:r>
      <w:r w:rsidR="006F3591" w:rsidRPr="00E86611">
        <w:rPr>
          <w:szCs w:val="26"/>
        </w:rPr>
        <w:lastRenderedPageBreak/>
        <w:t>process balance</w:t>
      </w:r>
      <w:r w:rsidR="00E97F95">
        <w:rPr>
          <w:szCs w:val="26"/>
        </w:rPr>
        <w:t>s</w:t>
      </w:r>
      <w:r w:rsidR="006F3591" w:rsidRPr="00E86611">
        <w:rPr>
          <w:szCs w:val="26"/>
        </w:rPr>
        <w:t xml:space="preserve"> the needs of all stakeholders while recognizing the time constraints and resource allocation required in the litigation of the Plans.</w:t>
      </w:r>
    </w:p>
    <w:p w14:paraId="157691B6" w14:textId="77777777" w:rsidR="0008078E" w:rsidRPr="00DE2B8A" w:rsidRDefault="0008078E" w:rsidP="0009548F">
      <w:pPr>
        <w:pStyle w:val="p3"/>
        <w:widowControl/>
        <w:tabs>
          <w:tab w:val="clear" w:pos="204"/>
        </w:tabs>
        <w:spacing w:line="360" w:lineRule="auto"/>
        <w:ind w:firstLine="720"/>
        <w:rPr>
          <w:szCs w:val="26"/>
        </w:rPr>
      </w:pPr>
    </w:p>
    <w:p w14:paraId="00C0C0D2" w14:textId="1638289E" w:rsidR="006A5B6F" w:rsidRPr="00A65E55" w:rsidRDefault="006A5B6F" w:rsidP="00DD1373">
      <w:pPr>
        <w:pStyle w:val="Heading3"/>
      </w:pPr>
      <w:bookmarkStart w:id="323" w:name="_Toc33782010"/>
      <w:r w:rsidRPr="00DE2B8A">
        <w:t xml:space="preserve">Phase </w:t>
      </w:r>
      <w:r w:rsidR="00812338" w:rsidRPr="00373726">
        <w:t xml:space="preserve">IV </w:t>
      </w:r>
      <w:r w:rsidRPr="00373726">
        <w:t>Planning Timeline</w:t>
      </w:r>
      <w:bookmarkEnd w:id="323"/>
    </w:p>
    <w:p w14:paraId="7DB1F9A0" w14:textId="571BA356" w:rsidR="006A5B6F" w:rsidRDefault="006A5B6F" w:rsidP="0009548F">
      <w:pPr>
        <w:pStyle w:val="p3"/>
        <w:widowControl/>
        <w:tabs>
          <w:tab w:val="clear" w:pos="204"/>
          <w:tab w:val="left" w:pos="-2070"/>
        </w:tabs>
        <w:spacing w:line="360" w:lineRule="auto"/>
        <w:rPr>
          <w:szCs w:val="26"/>
        </w:rPr>
      </w:pPr>
      <w:r w:rsidRPr="00E86611">
        <w:rPr>
          <w:szCs w:val="26"/>
        </w:rPr>
        <w:tab/>
      </w:r>
      <w:r w:rsidR="0081539A">
        <w:rPr>
          <w:bCs/>
          <w:szCs w:val="26"/>
        </w:rPr>
        <w:t xml:space="preserve">Table </w:t>
      </w:r>
      <w:r w:rsidR="004451AB">
        <w:rPr>
          <w:bCs/>
          <w:szCs w:val="26"/>
        </w:rPr>
        <w:t>17</w:t>
      </w:r>
      <w:r w:rsidR="0081539A">
        <w:rPr>
          <w:bCs/>
          <w:szCs w:val="26"/>
        </w:rPr>
        <w:t xml:space="preserve"> </w:t>
      </w:r>
      <w:r w:rsidR="00767178">
        <w:rPr>
          <w:szCs w:val="26"/>
        </w:rPr>
        <w:t>shows</w:t>
      </w:r>
      <w:r w:rsidRPr="00E86611">
        <w:rPr>
          <w:szCs w:val="26"/>
        </w:rPr>
        <w:t xml:space="preserve"> the Commission</w:t>
      </w:r>
      <w:r w:rsidR="00767178">
        <w:rPr>
          <w:szCs w:val="26"/>
        </w:rPr>
        <w:t>’s</w:t>
      </w:r>
      <w:r w:rsidRPr="00E86611">
        <w:rPr>
          <w:szCs w:val="26"/>
        </w:rPr>
        <w:t xml:space="preserve"> propose</w:t>
      </w:r>
      <w:r w:rsidR="00767178">
        <w:rPr>
          <w:szCs w:val="26"/>
        </w:rPr>
        <w:t>d</w:t>
      </w:r>
      <w:r w:rsidRPr="00E86611">
        <w:rPr>
          <w:szCs w:val="26"/>
        </w:rPr>
        <w:t xml:space="preserve"> timeline for the Implementation of Phase </w:t>
      </w:r>
      <w:r w:rsidR="00812338" w:rsidRPr="00DE2B8A">
        <w:rPr>
          <w:szCs w:val="26"/>
        </w:rPr>
        <w:t xml:space="preserve">IV </w:t>
      </w:r>
      <w:r w:rsidRPr="00373726">
        <w:rPr>
          <w:szCs w:val="26"/>
        </w:rPr>
        <w:t>of</w:t>
      </w:r>
      <w:r w:rsidR="00E31150" w:rsidRPr="00373726">
        <w:rPr>
          <w:szCs w:val="26"/>
        </w:rPr>
        <w:t xml:space="preserve"> the</w:t>
      </w:r>
      <w:r w:rsidRPr="00373726">
        <w:rPr>
          <w:szCs w:val="26"/>
        </w:rPr>
        <w:t xml:space="preserve"> </w:t>
      </w:r>
      <w:r w:rsidR="003A05C6" w:rsidRPr="00373726">
        <w:rPr>
          <w:szCs w:val="26"/>
        </w:rPr>
        <w:t>EE&amp;C Program</w:t>
      </w:r>
      <w:r w:rsidR="001B62C5">
        <w:rPr>
          <w:szCs w:val="26"/>
        </w:rPr>
        <w:t>.</w:t>
      </w:r>
      <w:r w:rsidR="009F1361">
        <w:rPr>
          <w:szCs w:val="26"/>
        </w:rPr>
        <w:t xml:space="preserve">  </w:t>
      </w:r>
      <w:r w:rsidR="009F1361" w:rsidRPr="009F1361">
        <w:rPr>
          <w:szCs w:val="26"/>
        </w:rPr>
        <w:t xml:space="preserve"> </w:t>
      </w:r>
      <w:r w:rsidR="009F1361">
        <w:rPr>
          <w:szCs w:val="26"/>
        </w:rPr>
        <w:t xml:space="preserve">The Commission proposes this timeline as it believes it balances the needs of all parties.  This timeline allows for input from all interested stakeholders and provides all parties with the appropriate level of due process, as well as gives the EDCs adequate time to </w:t>
      </w:r>
      <w:r w:rsidR="009F1361" w:rsidRPr="00E86611">
        <w:rPr>
          <w:szCs w:val="26"/>
        </w:rPr>
        <w:t>implement their EE&amp;C Plans in a manner to meet the proposed</w:t>
      </w:r>
      <w:r w:rsidR="009F1361" w:rsidRPr="00DE2B8A">
        <w:rPr>
          <w:szCs w:val="26"/>
        </w:rPr>
        <w:t xml:space="preserve"> Phase </w:t>
      </w:r>
      <w:r w:rsidR="009F1361">
        <w:rPr>
          <w:szCs w:val="26"/>
        </w:rPr>
        <w:t>IV</w:t>
      </w:r>
      <w:r w:rsidR="009F1361" w:rsidRPr="00DE2B8A">
        <w:rPr>
          <w:szCs w:val="26"/>
        </w:rPr>
        <w:t xml:space="preserve"> consumption </w:t>
      </w:r>
      <w:r w:rsidR="009F1361" w:rsidRPr="00373726">
        <w:rPr>
          <w:szCs w:val="26"/>
        </w:rPr>
        <w:t xml:space="preserve">and peak demand </w:t>
      </w:r>
      <w:r w:rsidR="009F1361" w:rsidRPr="00E86611">
        <w:rPr>
          <w:szCs w:val="26"/>
        </w:rPr>
        <w:t>reduction requirements.</w:t>
      </w:r>
    </w:p>
    <w:p w14:paraId="59455B3A" w14:textId="045BE945" w:rsidR="001E3D56" w:rsidRDefault="001E3D56" w:rsidP="0009548F">
      <w:pPr>
        <w:pStyle w:val="p3"/>
        <w:widowControl/>
        <w:tabs>
          <w:tab w:val="clear" w:pos="204"/>
          <w:tab w:val="left" w:pos="-2070"/>
        </w:tabs>
        <w:spacing w:line="360" w:lineRule="auto"/>
        <w:rPr>
          <w:szCs w:val="26"/>
        </w:rPr>
      </w:pPr>
    </w:p>
    <w:p w14:paraId="5510B29D" w14:textId="7CA113DD" w:rsidR="00841187" w:rsidRDefault="00841187" w:rsidP="0009548F">
      <w:pPr>
        <w:pStyle w:val="p3"/>
        <w:widowControl/>
        <w:tabs>
          <w:tab w:val="clear" w:pos="204"/>
          <w:tab w:val="left" w:pos="-2070"/>
        </w:tabs>
        <w:spacing w:line="360" w:lineRule="auto"/>
        <w:rPr>
          <w:szCs w:val="26"/>
        </w:rPr>
      </w:pPr>
    </w:p>
    <w:p w14:paraId="4A83F587" w14:textId="6F2017A2" w:rsidR="00841187" w:rsidRDefault="00841187" w:rsidP="0009548F">
      <w:pPr>
        <w:pStyle w:val="p3"/>
        <w:widowControl/>
        <w:tabs>
          <w:tab w:val="clear" w:pos="204"/>
          <w:tab w:val="left" w:pos="-2070"/>
        </w:tabs>
        <w:spacing w:line="360" w:lineRule="auto"/>
        <w:rPr>
          <w:szCs w:val="26"/>
        </w:rPr>
      </w:pPr>
    </w:p>
    <w:p w14:paraId="3D37838F" w14:textId="7A14D358" w:rsidR="00841187" w:rsidRDefault="00841187" w:rsidP="0009548F">
      <w:pPr>
        <w:pStyle w:val="p3"/>
        <w:widowControl/>
        <w:tabs>
          <w:tab w:val="clear" w:pos="204"/>
          <w:tab w:val="left" w:pos="-2070"/>
        </w:tabs>
        <w:spacing w:line="360" w:lineRule="auto"/>
        <w:rPr>
          <w:szCs w:val="26"/>
        </w:rPr>
      </w:pPr>
    </w:p>
    <w:p w14:paraId="0BFCD6F3" w14:textId="7996DEFF" w:rsidR="00841187" w:rsidRDefault="00841187" w:rsidP="0009548F">
      <w:pPr>
        <w:pStyle w:val="p3"/>
        <w:widowControl/>
        <w:tabs>
          <w:tab w:val="clear" w:pos="204"/>
          <w:tab w:val="left" w:pos="-2070"/>
        </w:tabs>
        <w:spacing w:line="360" w:lineRule="auto"/>
        <w:rPr>
          <w:szCs w:val="26"/>
        </w:rPr>
      </w:pPr>
    </w:p>
    <w:p w14:paraId="2BF5E741" w14:textId="06B3E3C5" w:rsidR="00841187" w:rsidRDefault="00841187" w:rsidP="0009548F">
      <w:pPr>
        <w:pStyle w:val="p3"/>
        <w:widowControl/>
        <w:tabs>
          <w:tab w:val="clear" w:pos="204"/>
          <w:tab w:val="left" w:pos="-2070"/>
        </w:tabs>
        <w:spacing w:line="360" w:lineRule="auto"/>
        <w:rPr>
          <w:szCs w:val="26"/>
        </w:rPr>
      </w:pPr>
    </w:p>
    <w:p w14:paraId="3E35ABEC" w14:textId="666E08A9" w:rsidR="00841187" w:rsidRDefault="00841187" w:rsidP="0009548F">
      <w:pPr>
        <w:pStyle w:val="p3"/>
        <w:widowControl/>
        <w:tabs>
          <w:tab w:val="clear" w:pos="204"/>
          <w:tab w:val="left" w:pos="-2070"/>
        </w:tabs>
        <w:spacing w:line="360" w:lineRule="auto"/>
        <w:rPr>
          <w:szCs w:val="26"/>
        </w:rPr>
      </w:pPr>
    </w:p>
    <w:p w14:paraId="264F2F63" w14:textId="2DCCDC8A" w:rsidR="00841187" w:rsidRDefault="00841187" w:rsidP="0009548F">
      <w:pPr>
        <w:pStyle w:val="p3"/>
        <w:widowControl/>
        <w:tabs>
          <w:tab w:val="clear" w:pos="204"/>
          <w:tab w:val="left" w:pos="-2070"/>
        </w:tabs>
        <w:spacing w:line="360" w:lineRule="auto"/>
        <w:rPr>
          <w:szCs w:val="26"/>
        </w:rPr>
      </w:pPr>
    </w:p>
    <w:p w14:paraId="27356477" w14:textId="74592D7D" w:rsidR="00841187" w:rsidRDefault="00841187" w:rsidP="0009548F">
      <w:pPr>
        <w:pStyle w:val="p3"/>
        <w:widowControl/>
        <w:tabs>
          <w:tab w:val="clear" w:pos="204"/>
          <w:tab w:val="left" w:pos="-2070"/>
        </w:tabs>
        <w:spacing w:line="360" w:lineRule="auto"/>
        <w:rPr>
          <w:szCs w:val="26"/>
        </w:rPr>
      </w:pPr>
    </w:p>
    <w:p w14:paraId="1C33069A" w14:textId="3BEFB4E6" w:rsidR="00841187" w:rsidRDefault="00841187" w:rsidP="0009548F">
      <w:pPr>
        <w:pStyle w:val="p3"/>
        <w:widowControl/>
        <w:tabs>
          <w:tab w:val="clear" w:pos="204"/>
          <w:tab w:val="left" w:pos="-2070"/>
        </w:tabs>
        <w:spacing w:line="360" w:lineRule="auto"/>
        <w:rPr>
          <w:szCs w:val="26"/>
        </w:rPr>
      </w:pPr>
    </w:p>
    <w:p w14:paraId="75FBBB9C" w14:textId="19CE8F47" w:rsidR="00841187" w:rsidRDefault="00841187" w:rsidP="0009548F">
      <w:pPr>
        <w:pStyle w:val="p3"/>
        <w:widowControl/>
        <w:tabs>
          <w:tab w:val="clear" w:pos="204"/>
          <w:tab w:val="left" w:pos="-2070"/>
        </w:tabs>
        <w:spacing w:line="360" w:lineRule="auto"/>
        <w:rPr>
          <w:szCs w:val="26"/>
        </w:rPr>
      </w:pPr>
    </w:p>
    <w:p w14:paraId="245B46AD" w14:textId="328B8D37" w:rsidR="00841187" w:rsidRDefault="00841187" w:rsidP="0009548F">
      <w:pPr>
        <w:pStyle w:val="p3"/>
        <w:widowControl/>
        <w:tabs>
          <w:tab w:val="clear" w:pos="204"/>
          <w:tab w:val="left" w:pos="-2070"/>
        </w:tabs>
        <w:spacing w:line="360" w:lineRule="auto"/>
        <w:rPr>
          <w:szCs w:val="26"/>
        </w:rPr>
      </w:pPr>
    </w:p>
    <w:p w14:paraId="2EB55252" w14:textId="1DE823D6" w:rsidR="00841187" w:rsidRDefault="00841187" w:rsidP="0009548F">
      <w:pPr>
        <w:pStyle w:val="p3"/>
        <w:widowControl/>
        <w:tabs>
          <w:tab w:val="clear" w:pos="204"/>
          <w:tab w:val="left" w:pos="-2070"/>
        </w:tabs>
        <w:spacing w:line="360" w:lineRule="auto"/>
        <w:rPr>
          <w:szCs w:val="26"/>
        </w:rPr>
      </w:pPr>
    </w:p>
    <w:p w14:paraId="6DB37B64" w14:textId="119DD656" w:rsidR="00841187" w:rsidRDefault="00841187" w:rsidP="0009548F">
      <w:pPr>
        <w:pStyle w:val="p3"/>
        <w:widowControl/>
        <w:tabs>
          <w:tab w:val="clear" w:pos="204"/>
          <w:tab w:val="left" w:pos="-2070"/>
        </w:tabs>
        <w:spacing w:line="360" w:lineRule="auto"/>
        <w:rPr>
          <w:szCs w:val="26"/>
        </w:rPr>
      </w:pPr>
    </w:p>
    <w:p w14:paraId="6F346940" w14:textId="1E2C570F" w:rsidR="00841187" w:rsidRDefault="00841187" w:rsidP="0009548F">
      <w:pPr>
        <w:pStyle w:val="p3"/>
        <w:widowControl/>
        <w:tabs>
          <w:tab w:val="clear" w:pos="204"/>
          <w:tab w:val="left" w:pos="-2070"/>
        </w:tabs>
        <w:spacing w:line="360" w:lineRule="auto"/>
        <w:rPr>
          <w:szCs w:val="26"/>
        </w:rPr>
      </w:pPr>
    </w:p>
    <w:p w14:paraId="26149C2A" w14:textId="2C6FAFD5" w:rsidR="00841187" w:rsidRDefault="00841187" w:rsidP="0009548F">
      <w:pPr>
        <w:pStyle w:val="p3"/>
        <w:widowControl/>
        <w:tabs>
          <w:tab w:val="clear" w:pos="204"/>
          <w:tab w:val="left" w:pos="-2070"/>
        </w:tabs>
        <w:spacing w:line="360" w:lineRule="auto"/>
        <w:rPr>
          <w:szCs w:val="26"/>
        </w:rPr>
      </w:pPr>
    </w:p>
    <w:p w14:paraId="53B9402A" w14:textId="792F239A" w:rsidR="00841187" w:rsidRDefault="00841187" w:rsidP="0009548F">
      <w:pPr>
        <w:pStyle w:val="p3"/>
        <w:widowControl/>
        <w:tabs>
          <w:tab w:val="clear" w:pos="204"/>
          <w:tab w:val="left" w:pos="-2070"/>
        </w:tabs>
        <w:spacing w:line="360" w:lineRule="auto"/>
        <w:rPr>
          <w:szCs w:val="26"/>
        </w:rPr>
      </w:pPr>
    </w:p>
    <w:p w14:paraId="2075CEF9" w14:textId="77777777" w:rsidR="00841187" w:rsidRDefault="00841187" w:rsidP="0009548F">
      <w:pPr>
        <w:pStyle w:val="p3"/>
        <w:widowControl/>
        <w:tabs>
          <w:tab w:val="clear" w:pos="204"/>
          <w:tab w:val="left" w:pos="-2070"/>
        </w:tabs>
        <w:spacing w:line="360" w:lineRule="auto"/>
        <w:rPr>
          <w:szCs w:val="26"/>
        </w:rPr>
      </w:pPr>
    </w:p>
    <w:p w14:paraId="5D3C86F9" w14:textId="5A55F4AE" w:rsidR="009F5676" w:rsidRPr="001C4984" w:rsidRDefault="009F5676" w:rsidP="000F45BB">
      <w:pPr>
        <w:pStyle w:val="Caption"/>
        <w:keepNext/>
        <w:jc w:val="center"/>
        <w:rPr>
          <w:sz w:val="26"/>
          <w:szCs w:val="26"/>
        </w:rPr>
      </w:pPr>
      <w:bookmarkStart w:id="324" w:name="_Ref31615190"/>
      <w:r w:rsidRPr="001C4984">
        <w:rPr>
          <w:b/>
          <w:bCs/>
          <w:i w:val="0"/>
          <w:iCs w:val="0"/>
          <w:color w:val="auto"/>
          <w:sz w:val="26"/>
          <w:szCs w:val="26"/>
        </w:rPr>
        <w:lastRenderedPageBreak/>
        <w:t>Table</w:t>
      </w:r>
      <w:bookmarkEnd w:id="324"/>
      <w:r w:rsidR="0081539A">
        <w:rPr>
          <w:b/>
          <w:bCs/>
          <w:i w:val="0"/>
          <w:iCs w:val="0"/>
          <w:color w:val="auto"/>
          <w:sz w:val="26"/>
          <w:szCs w:val="26"/>
        </w:rPr>
        <w:t xml:space="preserve"> </w:t>
      </w:r>
      <w:r w:rsidR="004451AB">
        <w:rPr>
          <w:b/>
          <w:bCs/>
          <w:i w:val="0"/>
          <w:iCs w:val="0"/>
          <w:color w:val="auto"/>
          <w:sz w:val="26"/>
          <w:szCs w:val="26"/>
        </w:rPr>
        <w:t>17</w:t>
      </w:r>
      <w:r w:rsidRPr="001C4984">
        <w:rPr>
          <w:b/>
          <w:bCs/>
          <w:i w:val="0"/>
          <w:iCs w:val="0"/>
          <w:color w:val="auto"/>
          <w:sz w:val="26"/>
          <w:szCs w:val="26"/>
        </w:rPr>
        <w:t>: Phase IV Planning Timeline</w:t>
      </w:r>
    </w:p>
    <w:tbl>
      <w:tblPr>
        <w:tblStyle w:val="ListTable3"/>
        <w:tblW w:w="0" w:type="auto"/>
        <w:tblLook w:val="04A0" w:firstRow="1" w:lastRow="0" w:firstColumn="1" w:lastColumn="0" w:noHBand="0" w:noVBand="1"/>
      </w:tblPr>
      <w:tblGrid>
        <w:gridCol w:w="2378"/>
        <w:gridCol w:w="6972"/>
      </w:tblGrid>
      <w:tr w:rsidR="009F5676" w:rsidRPr="008F3335" w14:paraId="673C383A" w14:textId="77777777" w:rsidTr="00D051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8" w:type="dxa"/>
            <w:tcBorders>
              <w:top w:val="single" w:sz="4" w:space="0" w:color="000000" w:themeColor="text1"/>
              <w:bottom w:val="single" w:sz="4" w:space="0" w:color="auto"/>
              <w:right w:val="single" w:sz="4" w:space="0" w:color="FFFFFF" w:themeColor="background1"/>
            </w:tcBorders>
            <w:vAlign w:val="center"/>
          </w:tcPr>
          <w:p w14:paraId="008BF266" w14:textId="5D1FD231" w:rsidR="009F5676" w:rsidRDefault="009F5676" w:rsidP="00767178">
            <w:pPr>
              <w:spacing w:before="80" w:after="80"/>
              <w:jc w:val="center"/>
              <w:rPr>
                <w:sz w:val="26"/>
                <w:szCs w:val="26"/>
              </w:rPr>
            </w:pPr>
            <w:r>
              <w:rPr>
                <w:sz w:val="26"/>
                <w:szCs w:val="26"/>
              </w:rPr>
              <w:t>Date</w:t>
            </w:r>
          </w:p>
        </w:tc>
        <w:tc>
          <w:tcPr>
            <w:tcW w:w="6972" w:type="dxa"/>
            <w:tcBorders>
              <w:top w:val="single" w:sz="4" w:space="0" w:color="000000" w:themeColor="text1"/>
              <w:left w:val="single" w:sz="4" w:space="0" w:color="FFFFFF" w:themeColor="background1"/>
              <w:bottom w:val="single" w:sz="4" w:space="0" w:color="auto"/>
            </w:tcBorders>
            <w:vAlign w:val="center"/>
          </w:tcPr>
          <w:p w14:paraId="13DED91F" w14:textId="28CF7AD1" w:rsidR="009F5676" w:rsidRPr="008F3335" w:rsidRDefault="009F5676" w:rsidP="00767178">
            <w:pPr>
              <w:spacing w:before="80" w:after="80"/>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Milestone</w:t>
            </w:r>
          </w:p>
        </w:tc>
      </w:tr>
      <w:tr w:rsidR="006A5B6F" w:rsidRPr="008F3335" w14:paraId="1DCF6608" w14:textId="77777777" w:rsidTr="00D051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8" w:type="dxa"/>
            <w:tcBorders>
              <w:top w:val="single" w:sz="4" w:space="0" w:color="auto"/>
            </w:tcBorders>
          </w:tcPr>
          <w:p w14:paraId="4DB4EF27" w14:textId="59A9637A" w:rsidR="006A5B6F" w:rsidRPr="00767178" w:rsidRDefault="00A67DEA" w:rsidP="004F59F7">
            <w:pPr>
              <w:spacing w:before="80" w:after="80"/>
              <w:rPr>
                <w:b w:val="0"/>
                <w:sz w:val="26"/>
                <w:szCs w:val="26"/>
              </w:rPr>
            </w:pPr>
            <w:r w:rsidRPr="00767178">
              <w:rPr>
                <w:b w:val="0"/>
                <w:sz w:val="26"/>
                <w:szCs w:val="26"/>
              </w:rPr>
              <w:t xml:space="preserve">March </w:t>
            </w:r>
            <w:r w:rsidR="00A664EE" w:rsidRPr="00767178">
              <w:rPr>
                <w:b w:val="0"/>
                <w:sz w:val="26"/>
                <w:szCs w:val="26"/>
              </w:rPr>
              <w:t>12</w:t>
            </w:r>
            <w:r w:rsidRPr="00767178">
              <w:rPr>
                <w:b w:val="0"/>
                <w:sz w:val="26"/>
                <w:szCs w:val="26"/>
              </w:rPr>
              <w:t>, 20</w:t>
            </w:r>
            <w:r w:rsidR="00A664EE" w:rsidRPr="00767178">
              <w:rPr>
                <w:b w:val="0"/>
                <w:sz w:val="26"/>
                <w:szCs w:val="26"/>
              </w:rPr>
              <w:t>20</w:t>
            </w:r>
          </w:p>
        </w:tc>
        <w:tc>
          <w:tcPr>
            <w:tcW w:w="6972" w:type="dxa"/>
            <w:tcBorders>
              <w:top w:val="single" w:sz="4" w:space="0" w:color="auto"/>
            </w:tcBorders>
          </w:tcPr>
          <w:p w14:paraId="314777E5" w14:textId="77777777" w:rsidR="006A5B6F" w:rsidRPr="00A67DEA" w:rsidRDefault="006A5B6F" w:rsidP="00767178">
            <w:pPr>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8F3335">
              <w:rPr>
                <w:sz w:val="26"/>
                <w:szCs w:val="26"/>
              </w:rPr>
              <w:t>Tentative Implementation Order on Public Meeting agenda</w:t>
            </w:r>
            <w:r w:rsidR="00065797" w:rsidRPr="3792F7D5">
              <w:rPr>
                <w:rStyle w:val="FootnoteReference"/>
              </w:rPr>
              <w:footnoteReference w:id="62"/>
            </w:r>
          </w:p>
        </w:tc>
      </w:tr>
      <w:tr w:rsidR="00A67DEA" w:rsidRPr="008F3335" w14:paraId="6B8879C1" w14:textId="77777777" w:rsidTr="00720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2378" w:type="dxa"/>
          </w:tcPr>
          <w:p w14:paraId="388A1294" w14:textId="52540EE7" w:rsidR="00A67DEA" w:rsidRPr="00767178" w:rsidRDefault="00A67DEA" w:rsidP="004F59F7">
            <w:pPr>
              <w:spacing w:before="80" w:after="80"/>
              <w:rPr>
                <w:b w:val="0"/>
                <w:sz w:val="26"/>
                <w:szCs w:val="26"/>
              </w:rPr>
            </w:pPr>
            <w:r w:rsidRPr="00767178">
              <w:rPr>
                <w:b w:val="0"/>
                <w:sz w:val="26"/>
                <w:szCs w:val="26"/>
              </w:rPr>
              <w:t xml:space="preserve">March 28, </w:t>
            </w:r>
            <w:r w:rsidR="00A664EE" w:rsidRPr="00767178">
              <w:rPr>
                <w:b w:val="0"/>
                <w:sz w:val="26"/>
                <w:szCs w:val="26"/>
              </w:rPr>
              <w:t>2020</w:t>
            </w:r>
          </w:p>
        </w:tc>
        <w:tc>
          <w:tcPr>
            <w:tcW w:w="6972" w:type="dxa"/>
          </w:tcPr>
          <w:p w14:paraId="23F79128" w14:textId="77777777" w:rsidR="00A67DEA" w:rsidRPr="008F3335" w:rsidRDefault="00A67DEA" w:rsidP="00767178">
            <w:pPr>
              <w:spacing w:before="80" w:after="80"/>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 xml:space="preserve">Tentative Implementation Order </w:t>
            </w:r>
            <w:r w:rsidR="00522240">
              <w:rPr>
                <w:sz w:val="26"/>
                <w:szCs w:val="26"/>
              </w:rPr>
              <w:t xml:space="preserve">Notice </w:t>
            </w:r>
            <w:r>
              <w:rPr>
                <w:sz w:val="26"/>
                <w:szCs w:val="26"/>
              </w:rPr>
              <w:t xml:space="preserve">published in </w:t>
            </w:r>
            <w:r>
              <w:rPr>
                <w:i/>
                <w:sz w:val="26"/>
                <w:szCs w:val="26"/>
              </w:rPr>
              <w:t>Pennsylvania Bulletin</w:t>
            </w:r>
            <w:r>
              <w:rPr>
                <w:rStyle w:val="FootnoteReference"/>
                <w:i/>
                <w:sz w:val="26"/>
                <w:szCs w:val="26"/>
              </w:rPr>
              <w:footnoteReference w:id="63"/>
            </w:r>
          </w:p>
        </w:tc>
      </w:tr>
      <w:tr w:rsidR="006A5B6F" w:rsidRPr="008F3335" w14:paraId="7A255EF8" w14:textId="77777777" w:rsidTr="00720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8" w:type="dxa"/>
          </w:tcPr>
          <w:p w14:paraId="6DB3D33A" w14:textId="7DCC830A" w:rsidR="006A5B6F" w:rsidRPr="00767178" w:rsidRDefault="00A67DEA" w:rsidP="004F59F7">
            <w:pPr>
              <w:spacing w:before="80" w:after="80"/>
              <w:rPr>
                <w:b w:val="0"/>
                <w:sz w:val="26"/>
                <w:szCs w:val="26"/>
              </w:rPr>
            </w:pPr>
            <w:r w:rsidRPr="00767178">
              <w:rPr>
                <w:b w:val="0"/>
                <w:sz w:val="26"/>
                <w:szCs w:val="26"/>
              </w:rPr>
              <w:t xml:space="preserve">April 27, </w:t>
            </w:r>
            <w:r w:rsidR="00A664EE" w:rsidRPr="00767178">
              <w:rPr>
                <w:b w:val="0"/>
                <w:sz w:val="26"/>
                <w:szCs w:val="26"/>
              </w:rPr>
              <w:t>2020</w:t>
            </w:r>
          </w:p>
        </w:tc>
        <w:tc>
          <w:tcPr>
            <w:tcW w:w="6972" w:type="dxa"/>
          </w:tcPr>
          <w:p w14:paraId="26BB4A7D" w14:textId="77777777" w:rsidR="006A5B6F" w:rsidRPr="008F3335" w:rsidRDefault="006A5B6F" w:rsidP="00767178">
            <w:pPr>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8F3335">
              <w:rPr>
                <w:sz w:val="26"/>
                <w:szCs w:val="26"/>
              </w:rPr>
              <w:t>Tentative Implementation Order Comment due date</w:t>
            </w:r>
          </w:p>
        </w:tc>
      </w:tr>
      <w:tr w:rsidR="006A5B6F" w:rsidRPr="008F3335" w14:paraId="1B42CDE6" w14:textId="77777777" w:rsidTr="00720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2378" w:type="dxa"/>
          </w:tcPr>
          <w:p w14:paraId="06B94DD4" w14:textId="29CC0FA5" w:rsidR="006A5B6F" w:rsidRPr="00767178" w:rsidRDefault="00A67DEA" w:rsidP="004F59F7">
            <w:pPr>
              <w:spacing w:before="80" w:after="80"/>
              <w:rPr>
                <w:b w:val="0"/>
                <w:sz w:val="26"/>
                <w:szCs w:val="26"/>
              </w:rPr>
            </w:pPr>
            <w:r w:rsidRPr="00767178">
              <w:rPr>
                <w:b w:val="0"/>
                <w:sz w:val="26"/>
                <w:szCs w:val="26"/>
              </w:rPr>
              <w:t xml:space="preserve">May 12, </w:t>
            </w:r>
            <w:r w:rsidR="00A664EE" w:rsidRPr="00767178">
              <w:rPr>
                <w:b w:val="0"/>
                <w:sz w:val="26"/>
                <w:szCs w:val="26"/>
              </w:rPr>
              <w:t>2020</w:t>
            </w:r>
          </w:p>
        </w:tc>
        <w:tc>
          <w:tcPr>
            <w:tcW w:w="6972" w:type="dxa"/>
          </w:tcPr>
          <w:p w14:paraId="0DEB69B4" w14:textId="77777777" w:rsidR="006A5B6F" w:rsidRPr="008F3335" w:rsidRDefault="006A5B6F" w:rsidP="00767178">
            <w:pPr>
              <w:spacing w:before="80" w:after="80"/>
              <w:cnfStyle w:val="000000000000" w:firstRow="0" w:lastRow="0" w:firstColumn="0" w:lastColumn="0" w:oddVBand="0" w:evenVBand="0" w:oddHBand="0" w:evenHBand="0" w:firstRowFirstColumn="0" w:firstRowLastColumn="0" w:lastRowFirstColumn="0" w:lastRowLastColumn="0"/>
              <w:rPr>
                <w:sz w:val="26"/>
                <w:szCs w:val="26"/>
              </w:rPr>
            </w:pPr>
            <w:r w:rsidRPr="008F3335">
              <w:rPr>
                <w:sz w:val="26"/>
                <w:szCs w:val="26"/>
              </w:rPr>
              <w:t>Tentative Implementation Order Reply Comment due date</w:t>
            </w:r>
          </w:p>
        </w:tc>
      </w:tr>
      <w:tr w:rsidR="006A5B6F" w:rsidRPr="008F3335" w14:paraId="459E2A30" w14:textId="77777777" w:rsidTr="00720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8" w:type="dxa"/>
          </w:tcPr>
          <w:p w14:paraId="6CE1AA2C" w14:textId="3133A344" w:rsidR="006A5B6F" w:rsidRPr="00767178" w:rsidRDefault="00A67DEA" w:rsidP="004F59F7">
            <w:pPr>
              <w:spacing w:before="80" w:after="80"/>
              <w:rPr>
                <w:b w:val="0"/>
                <w:sz w:val="26"/>
                <w:szCs w:val="26"/>
              </w:rPr>
            </w:pPr>
            <w:r w:rsidRPr="00767178">
              <w:rPr>
                <w:b w:val="0"/>
                <w:sz w:val="26"/>
                <w:szCs w:val="26"/>
              </w:rPr>
              <w:t xml:space="preserve">June </w:t>
            </w:r>
            <w:r w:rsidR="00A664EE" w:rsidRPr="00767178">
              <w:rPr>
                <w:b w:val="0"/>
                <w:sz w:val="26"/>
                <w:szCs w:val="26"/>
              </w:rPr>
              <w:t>18</w:t>
            </w:r>
            <w:r w:rsidRPr="00767178">
              <w:rPr>
                <w:b w:val="0"/>
                <w:sz w:val="26"/>
                <w:szCs w:val="26"/>
              </w:rPr>
              <w:t xml:space="preserve">, </w:t>
            </w:r>
            <w:r w:rsidR="00A664EE" w:rsidRPr="00767178">
              <w:rPr>
                <w:b w:val="0"/>
                <w:sz w:val="26"/>
                <w:szCs w:val="26"/>
              </w:rPr>
              <w:t>2020</w:t>
            </w:r>
          </w:p>
        </w:tc>
        <w:tc>
          <w:tcPr>
            <w:tcW w:w="6972" w:type="dxa"/>
          </w:tcPr>
          <w:p w14:paraId="284A4DFA" w14:textId="77777777" w:rsidR="006A5B6F" w:rsidRPr="008F3335" w:rsidRDefault="006A5B6F" w:rsidP="00767178">
            <w:pPr>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8F3335">
              <w:rPr>
                <w:sz w:val="26"/>
                <w:szCs w:val="26"/>
              </w:rPr>
              <w:t>Final Implementation Order on Public Meeting agenda</w:t>
            </w:r>
          </w:p>
        </w:tc>
      </w:tr>
      <w:tr w:rsidR="00521793" w:rsidRPr="008F3335" w14:paraId="14E81EBE" w14:textId="77777777" w:rsidTr="00720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2378" w:type="dxa"/>
          </w:tcPr>
          <w:p w14:paraId="5FC56062" w14:textId="39DE9A30" w:rsidR="00521793" w:rsidRPr="00767178" w:rsidRDefault="00521793" w:rsidP="004F59F7">
            <w:pPr>
              <w:spacing w:before="80" w:after="80"/>
              <w:rPr>
                <w:b w:val="0"/>
                <w:sz w:val="26"/>
                <w:szCs w:val="26"/>
              </w:rPr>
            </w:pPr>
            <w:r w:rsidRPr="00767178">
              <w:rPr>
                <w:b w:val="0"/>
                <w:sz w:val="26"/>
                <w:szCs w:val="26"/>
              </w:rPr>
              <w:t>Ju</w:t>
            </w:r>
            <w:r w:rsidR="00A664EE" w:rsidRPr="00767178">
              <w:rPr>
                <w:b w:val="0"/>
                <w:sz w:val="26"/>
                <w:szCs w:val="26"/>
              </w:rPr>
              <w:t xml:space="preserve">ly </w:t>
            </w:r>
            <w:r w:rsidR="004D4D05" w:rsidRPr="00767178">
              <w:rPr>
                <w:b w:val="0"/>
                <w:sz w:val="26"/>
                <w:szCs w:val="26"/>
              </w:rPr>
              <w:t>6</w:t>
            </w:r>
            <w:r w:rsidRPr="00767178">
              <w:rPr>
                <w:b w:val="0"/>
                <w:sz w:val="26"/>
                <w:szCs w:val="26"/>
              </w:rPr>
              <w:t xml:space="preserve">, </w:t>
            </w:r>
            <w:r w:rsidR="00A664EE" w:rsidRPr="00767178">
              <w:rPr>
                <w:b w:val="0"/>
                <w:sz w:val="26"/>
                <w:szCs w:val="26"/>
              </w:rPr>
              <w:t>2020</w:t>
            </w:r>
            <w:r w:rsidR="00E27BEB" w:rsidRPr="00767178">
              <w:rPr>
                <w:rStyle w:val="FootnoteReference"/>
                <w:b w:val="0"/>
                <w:sz w:val="26"/>
                <w:szCs w:val="26"/>
              </w:rPr>
              <w:footnoteReference w:id="64"/>
            </w:r>
          </w:p>
        </w:tc>
        <w:tc>
          <w:tcPr>
            <w:tcW w:w="6972" w:type="dxa"/>
          </w:tcPr>
          <w:p w14:paraId="320F6D7D" w14:textId="77777777" w:rsidR="00521793" w:rsidRPr="008F3335" w:rsidRDefault="00521793" w:rsidP="00767178">
            <w:pPr>
              <w:spacing w:before="80" w:after="80"/>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Petitions for Evidentiary Hearings filing deadline</w:t>
            </w:r>
            <w:r>
              <w:rPr>
                <w:rStyle w:val="FootnoteReference"/>
                <w:sz w:val="26"/>
                <w:szCs w:val="26"/>
              </w:rPr>
              <w:footnoteReference w:id="65"/>
            </w:r>
          </w:p>
        </w:tc>
      </w:tr>
      <w:tr w:rsidR="00E27BEB" w:rsidRPr="008F3335" w14:paraId="16E348E1" w14:textId="77777777" w:rsidTr="00720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8" w:type="dxa"/>
          </w:tcPr>
          <w:p w14:paraId="27F019B2" w14:textId="2BCE0179" w:rsidR="00E27BEB" w:rsidRPr="00767178" w:rsidRDefault="00E27BEB" w:rsidP="004F59F7">
            <w:pPr>
              <w:spacing w:before="80" w:after="80"/>
              <w:rPr>
                <w:b w:val="0"/>
                <w:sz w:val="26"/>
                <w:szCs w:val="26"/>
              </w:rPr>
            </w:pPr>
            <w:r w:rsidRPr="00767178">
              <w:rPr>
                <w:b w:val="0"/>
                <w:sz w:val="26"/>
                <w:szCs w:val="26"/>
              </w:rPr>
              <w:t xml:space="preserve">October 23, </w:t>
            </w:r>
            <w:r w:rsidR="004D4D05" w:rsidRPr="00767178">
              <w:rPr>
                <w:b w:val="0"/>
                <w:sz w:val="26"/>
                <w:szCs w:val="26"/>
              </w:rPr>
              <w:t>2020</w:t>
            </w:r>
          </w:p>
        </w:tc>
        <w:tc>
          <w:tcPr>
            <w:tcW w:w="6972" w:type="dxa"/>
          </w:tcPr>
          <w:p w14:paraId="41167DC2" w14:textId="77777777" w:rsidR="00E27BEB" w:rsidRPr="008F3335" w:rsidRDefault="00E27BEB" w:rsidP="00767178">
            <w:pPr>
              <w:spacing w:before="80" w:after="80"/>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Evidentiary Hearing records certified to the Commission</w:t>
            </w:r>
          </w:p>
        </w:tc>
      </w:tr>
      <w:tr w:rsidR="006A5B6F" w:rsidRPr="008F3335" w14:paraId="5D8C2C85" w14:textId="77777777" w:rsidTr="00720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2378" w:type="dxa"/>
          </w:tcPr>
          <w:p w14:paraId="286FAB91" w14:textId="191B573A" w:rsidR="006A5B6F" w:rsidRPr="00767178" w:rsidRDefault="00A67DEA" w:rsidP="004F59F7">
            <w:pPr>
              <w:spacing w:before="80" w:after="80"/>
              <w:rPr>
                <w:b w:val="0"/>
                <w:sz w:val="26"/>
                <w:szCs w:val="26"/>
              </w:rPr>
            </w:pPr>
            <w:r w:rsidRPr="00767178">
              <w:rPr>
                <w:b w:val="0"/>
                <w:sz w:val="26"/>
                <w:szCs w:val="26"/>
              </w:rPr>
              <w:t xml:space="preserve">November 30, </w:t>
            </w:r>
            <w:r w:rsidR="004D4D05" w:rsidRPr="00767178">
              <w:rPr>
                <w:b w:val="0"/>
                <w:sz w:val="26"/>
                <w:szCs w:val="26"/>
              </w:rPr>
              <w:t>2020</w:t>
            </w:r>
          </w:p>
        </w:tc>
        <w:tc>
          <w:tcPr>
            <w:tcW w:w="6972" w:type="dxa"/>
          </w:tcPr>
          <w:p w14:paraId="5F15AC9F" w14:textId="77777777" w:rsidR="006A5B6F" w:rsidRPr="008F3335" w:rsidRDefault="006A5B6F" w:rsidP="00767178">
            <w:pPr>
              <w:spacing w:before="80" w:after="80"/>
              <w:cnfStyle w:val="000000000000" w:firstRow="0" w:lastRow="0" w:firstColumn="0" w:lastColumn="0" w:oddVBand="0" w:evenVBand="0" w:oddHBand="0" w:evenHBand="0" w:firstRowFirstColumn="0" w:firstRowLastColumn="0" w:lastRowFirstColumn="0" w:lastRowLastColumn="0"/>
              <w:rPr>
                <w:sz w:val="26"/>
                <w:szCs w:val="26"/>
              </w:rPr>
            </w:pPr>
            <w:r w:rsidRPr="008F3335">
              <w:rPr>
                <w:sz w:val="26"/>
                <w:szCs w:val="26"/>
              </w:rPr>
              <w:t>If necessary, EDCs file EE&amp;C Plans</w:t>
            </w:r>
          </w:p>
        </w:tc>
      </w:tr>
      <w:tr w:rsidR="006A5B6F" w:rsidRPr="008F3335" w14:paraId="2CF89384" w14:textId="77777777" w:rsidTr="00720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8" w:type="dxa"/>
          </w:tcPr>
          <w:p w14:paraId="6594E592" w14:textId="6D493157" w:rsidR="006A5B6F" w:rsidRPr="00767178" w:rsidRDefault="00A67DEA" w:rsidP="004F59F7">
            <w:pPr>
              <w:spacing w:before="80" w:after="80"/>
              <w:rPr>
                <w:b w:val="0"/>
                <w:sz w:val="26"/>
                <w:szCs w:val="26"/>
              </w:rPr>
            </w:pPr>
            <w:r w:rsidRPr="00767178">
              <w:rPr>
                <w:b w:val="0"/>
                <w:sz w:val="26"/>
                <w:szCs w:val="26"/>
              </w:rPr>
              <w:t xml:space="preserve">March </w:t>
            </w:r>
            <w:r w:rsidR="006A5B6F" w:rsidRPr="00767178">
              <w:rPr>
                <w:b w:val="0"/>
                <w:sz w:val="26"/>
                <w:szCs w:val="26"/>
              </w:rPr>
              <w:t>20</w:t>
            </w:r>
            <w:r w:rsidR="00D836A7" w:rsidRPr="00767178">
              <w:rPr>
                <w:b w:val="0"/>
                <w:sz w:val="26"/>
                <w:szCs w:val="26"/>
              </w:rPr>
              <w:t>21</w:t>
            </w:r>
          </w:p>
        </w:tc>
        <w:tc>
          <w:tcPr>
            <w:tcW w:w="6972" w:type="dxa"/>
          </w:tcPr>
          <w:p w14:paraId="1C380A87" w14:textId="2BF6C354" w:rsidR="006A5B6F" w:rsidRPr="008F3335" w:rsidRDefault="006A5B6F" w:rsidP="00767178">
            <w:pPr>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8F3335">
              <w:rPr>
                <w:sz w:val="26"/>
                <w:szCs w:val="26"/>
              </w:rPr>
              <w:t>If necessary, Commission rules on</w:t>
            </w:r>
            <w:r w:rsidRPr="008F3335" w:rsidDel="00DE2B8A">
              <w:rPr>
                <w:sz w:val="26"/>
                <w:szCs w:val="26"/>
              </w:rPr>
              <w:t xml:space="preserve"> </w:t>
            </w:r>
            <w:r w:rsidRPr="008F3335">
              <w:rPr>
                <w:sz w:val="26"/>
                <w:szCs w:val="26"/>
              </w:rPr>
              <w:t>EE&amp;C Plans</w:t>
            </w:r>
          </w:p>
        </w:tc>
      </w:tr>
      <w:tr w:rsidR="006A5B6F" w:rsidRPr="008F3335" w14:paraId="457B7E4F" w14:textId="77777777" w:rsidTr="00720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2378" w:type="dxa"/>
          </w:tcPr>
          <w:p w14:paraId="57400AD0" w14:textId="34B03692" w:rsidR="006A5B6F" w:rsidRPr="00767178" w:rsidRDefault="00A67DEA" w:rsidP="004F59F7">
            <w:pPr>
              <w:spacing w:before="80" w:after="80"/>
              <w:rPr>
                <w:b w:val="0"/>
                <w:sz w:val="26"/>
                <w:szCs w:val="26"/>
              </w:rPr>
            </w:pPr>
            <w:r w:rsidRPr="00767178">
              <w:rPr>
                <w:b w:val="0"/>
                <w:sz w:val="26"/>
                <w:szCs w:val="26"/>
              </w:rPr>
              <w:t xml:space="preserve">June 1, </w:t>
            </w:r>
            <w:r w:rsidR="00A664EE" w:rsidRPr="00767178">
              <w:rPr>
                <w:b w:val="0"/>
                <w:sz w:val="26"/>
                <w:szCs w:val="26"/>
              </w:rPr>
              <w:t>2021</w:t>
            </w:r>
          </w:p>
        </w:tc>
        <w:tc>
          <w:tcPr>
            <w:tcW w:w="6972" w:type="dxa"/>
          </w:tcPr>
          <w:p w14:paraId="4EEBC1ED" w14:textId="69F90D0F" w:rsidR="006A5B6F" w:rsidRPr="008F3335" w:rsidRDefault="00767178" w:rsidP="00767178">
            <w:pPr>
              <w:spacing w:before="80" w:after="80"/>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 xml:space="preserve">Phase IV </w:t>
            </w:r>
            <w:r w:rsidR="006A5B6F" w:rsidRPr="008F3335">
              <w:rPr>
                <w:sz w:val="26"/>
                <w:szCs w:val="26"/>
              </w:rPr>
              <w:t xml:space="preserve">EE&amp;C Programs begin </w:t>
            </w:r>
          </w:p>
        </w:tc>
      </w:tr>
    </w:tbl>
    <w:p w14:paraId="704657C9" w14:textId="3C42B177" w:rsidR="001E3D56" w:rsidRDefault="007B3630" w:rsidP="0009548F">
      <w:pPr>
        <w:pStyle w:val="p3"/>
        <w:widowControl/>
        <w:tabs>
          <w:tab w:val="clear" w:pos="204"/>
          <w:tab w:val="left" w:pos="-2070"/>
        </w:tabs>
        <w:spacing w:line="360" w:lineRule="auto"/>
        <w:rPr>
          <w:bCs/>
          <w:szCs w:val="26"/>
        </w:rPr>
      </w:pPr>
      <w:r>
        <w:rPr>
          <w:bCs/>
          <w:szCs w:val="26"/>
        </w:rPr>
        <w:tab/>
      </w:r>
    </w:p>
    <w:p w14:paraId="075AA75A" w14:textId="7AA7538C" w:rsidR="00A269A2" w:rsidRPr="00235CED" w:rsidRDefault="00A269A2" w:rsidP="00A269A2">
      <w:pPr>
        <w:pStyle w:val="Heading3"/>
      </w:pPr>
      <w:bookmarkStart w:id="325" w:name="_Toc33782012"/>
      <w:r w:rsidRPr="00235CED">
        <w:t>Standards to Ensure that a Variety of Measures are Applied Equitably to all Customer Classes</w:t>
      </w:r>
      <w:bookmarkEnd w:id="325"/>
    </w:p>
    <w:p w14:paraId="3BD2D255" w14:textId="6A51E01F" w:rsidR="00A269A2" w:rsidRPr="00235CED" w:rsidRDefault="00A269A2" w:rsidP="007B3630">
      <w:pPr>
        <w:pStyle w:val="p3"/>
        <w:keepNext/>
        <w:widowControl/>
        <w:tabs>
          <w:tab w:val="clear" w:pos="204"/>
        </w:tabs>
        <w:spacing w:line="360" w:lineRule="auto"/>
        <w:ind w:firstLine="720"/>
        <w:rPr>
          <w:szCs w:val="26"/>
        </w:rPr>
      </w:pPr>
      <w:r w:rsidRPr="3792F7D5">
        <w:t xml:space="preserve">The Act requires the Commission to establish standards to ensure that each EDC’s EE&amp;C Plan includes a variety of measures and that each plan will provide the measures </w:t>
      </w:r>
      <w:r w:rsidR="00DC6346">
        <w:t xml:space="preserve"> </w:t>
      </w:r>
      <w:r w:rsidRPr="3792F7D5">
        <w:lastRenderedPageBreak/>
        <w:t>equitably to</w:t>
      </w:r>
      <w:r>
        <w:rPr>
          <w:szCs w:val="26"/>
        </w:rPr>
        <w:t xml:space="preserve"> </w:t>
      </w:r>
      <w:r w:rsidRPr="3792F7D5">
        <w:t>all customer classes.  66 Pa. C.S. § 2806.1(a)(5).</w:t>
      </w:r>
      <w:r w:rsidRPr="3792F7D5">
        <w:rPr>
          <w:rStyle w:val="FootnoteReference"/>
        </w:rPr>
        <w:footnoteReference w:id="66"/>
      </w:r>
      <w:r w:rsidRPr="3792F7D5">
        <w:t xml:space="preserve">  The Act defines “energy efficiency and conservation measures” at 66 Pa. C.S. § 2806.1(m).  </w:t>
      </w:r>
    </w:p>
    <w:p w14:paraId="21DBC7EB" w14:textId="77777777" w:rsidR="00A269A2" w:rsidRPr="00235CED" w:rsidRDefault="00A269A2" w:rsidP="00A269A2">
      <w:pPr>
        <w:pStyle w:val="p3"/>
        <w:widowControl/>
        <w:tabs>
          <w:tab w:val="clear" w:pos="204"/>
        </w:tabs>
        <w:spacing w:line="360" w:lineRule="auto"/>
        <w:rPr>
          <w:szCs w:val="26"/>
        </w:rPr>
      </w:pPr>
    </w:p>
    <w:p w14:paraId="5B04AC14" w14:textId="768C99C9" w:rsidR="00A269A2" w:rsidRPr="00235CED" w:rsidRDefault="00A269A2" w:rsidP="00EB6FDF">
      <w:pPr>
        <w:pStyle w:val="StyleLinespacing15lines"/>
        <w:rPr>
          <w:color w:val="000000"/>
        </w:rPr>
      </w:pPr>
      <w:r w:rsidRPr="00235CED">
        <w:rPr>
          <w:szCs w:val="26"/>
        </w:rPr>
        <w:tab/>
      </w:r>
      <w:r>
        <w:rPr>
          <w:szCs w:val="26"/>
        </w:rPr>
        <w:t xml:space="preserve">In Section </w:t>
      </w:r>
      <w:r>
        <w:rPr>
          <w:szCs w:val="26"/>
        </w:rPr>
        <w:fldChar w:fldCharType="begin"/>
      </w:r>
      <w:r>
        <w:rPr>
          <w:szCs w:val="26"/>
        </w:rPr>
        <w:instrText xml:space="preserve"> REF _Ref31469832 \r \h </w:instrText>
      </w:r>
      <w:r>
        <w:rPr>
          <w:szCs w:val="26"/>
        </w:rPr>
      </w:r>
      <w:r>
        <w:rPr>
          <w:szCs w:val="26"/>
        </w:rPr>
        <w:fldChar w:fldCharType="separate"/>
      </w:r>
      <w:r w:rsidR="00BB1E55">
        <w:rPr>
          <w:szCs w:val="26"/>
        </w:rPr>
        <w:t>A</w:t>
      </w:r>
      <w:r>
        <w:rPr>
          <w:szCs w:val="26"/>
        </w:rPr>
        <w:fldChar w:fldCharType="end"/>
      </w:r>
      <w:r w:rsidR="0081539A">
        <w:rPr>
          <w:szCs w:val="26"/>
        </w:rPr>
        <w:t>.3</w:t>
      </w:r>
      <w:r w:rsidR="00497D77">
        <w:rPr>
          <w:szCs w:val="26"/>
        </w:rPr>
        <w:t>:</w:t>
      </w:r>
      <w:r w:rsidR="0081539A">
        <w:rPr>
          <w:szCs w:val="26"/>
        </w:rPr>
        <w:t xml:space="preserve"> Prescription of Low-Income Measures and Carve-Out </w:t>
      </w:r>
      <w:r>
        <w:rPr>
          <w:szCs w:val="26"/>
        </w:rPr>
        <w:t>of this Tentative Order, the Commission proposes a specific carve-out for the low-income sector.</w:t>
      </w:r>
      <w:r w:rsidRPr="00235CED">
        <w:rPr>
          <w:szCs w:val="26"/>
        </w:rPr>
        <w:t xml:space="preserve">  Beyond th</w:t>
      </w:r>
      <w:r>
        <w:rPr>
          <w:szCs w:val="26"/>
        </w:rPr>
        <w:t xml:space="preserve">is </w:t>
      </w:r>
      <w:r w:rsidRPr="00235CED">
        <w:rPr>
          <w:szCs w:val="26"/>
        </w:rPr>
        <w:t xml:space="preserve">requirement, we believe that EDCs should develop plans to achieve the most </w:t>
      </w:r>
      <w:r w:rsidR="00267E6A">
        <w:rPr>
          <w:szCs w:val="26"/>
        </w:rPr>
        <w:t xml:space="preserve">lifetime </w:t>
      </w:r>
      <w:r w:rsidRPr="00235CED">
        <w:rPr>
          <w:szCs w:val="26"/>
        </w:rPr>
        <w:t>e</w:t>
      </w:r>
      <w:r>
        <w:rPr>
          <w:szCs w:val="26"/>
        </w:rPr>
        <w:t>nergy savings per expenditure.</w:t>
      </w:r>
      <w:r w:rsidR="009D242C">
        <w:rPr>
          <w:szCs w:val="26"/>
        </w:rPr>
        <w:t xml:space="preserve">  </w:t>
      </w:r>
      <w:r>
        <w:t xml:space="preserve">The Commission believes the </w:t>
      </w:r>
      <w:r w:rsidRPr="00235CED">
        <w:t xml:space="preserve">EDCs must offer a well-reasoned and balanced set of measures that are tailored to usage and to the potential for savings and reductions for each customer class.  We believe that the overall limitation on cost recovery and the specific limitation tying costs to </w:t>
      </w:r>
      <w:r>
        <w:t xml:space="preserve">a </w:t>
      </w:r>
      <w:r w:rsidRPr="00235CED">
        <w:t>benefited class (</w:t>
      </w:r>
      <w:r>
        <w:t xml:space="preserve">discussed later in </w:t>
      </w:r>
      <w:r w:rsidRPr="001E0FB3">
        <w:t>this Tentative Order</w:t>
      </w:r>
      <w:r w:rsidRPr="00235CED">
        <w:t xml:space="preserve">) will ensure that offerings will not be skewed toward or away from any particular class.  There is no single set of measures that will fit all EDCs and the myriad mix of customer classes.  </w:t>
      </w:r>
      <w:r w:rsidRPr="00235CED">
        <w:rPr>
          <w:color w:val="000000"/>
        </w:rPr>
        <w:t>It is entir</w:t>
      </w:r>
      <w:r>
        <w:rPr>
          <w:color w:val="000000"/>
        </w:rPr>
        <w:t>ely possible that the most cost-</w:t>
      </w:r>
      <w:r w:rsidRPr="00235CED">
        <w:rPr>
          <w:color w:val="000000"/>
        </w:rPr>
        <w:t xml:space="preserve">effective programs may not come proportionally from each customer class.  </w:t>
      </w:r>
    </w:p>
    <w:p w14:paraId="5D4A55DA" w14:textId="77777777" w:rsidR="00A269A2" w:rsidRDefault="00A269A2" w:rsidP="00A269A2">
      <w:pPr>
        <w:spacing w:line="360" w:lineRule="auto"/>
        <w:rPr>
          <w:sz w:val="26"/>
          <w:szCs w:val="26"/>
        </w:rPr>
      </w:pPr>
    </w:p>
    <w:p w14:paraId="07CC7D31" w14:textId="305ED358" w:rsidR="00A269A2" w:rsidRPr="00E86611" w:rsidRDefault="00A269A2" w:rsidP="00EB6FDF">
      <w:pPr>
        <w:pStyle w:val="StyleLinespacing15lines"/>
      </w:pPr>
      <w:r w:rsidRPr="00235CED">
        <w:tab/>
      </w:r>
      <w:r w:rsidRPr="00CE3A64">
        <w:t xml:space="preserve">The Commission believes that all classes of customers will benefit from a general approach because it has the best potential to impact future energy prices.  </w:t>
      </w:r>
      <w:r w:rsidR="004465AA">
        <w:t>For Phase IV</w:t>
      </w:r>
      <w:r w:rsidR="004F1839">
        <w:t xml:space="preserve"> of Act 129</w:t>
      </w:r>
      <w:r w:rsidR="004465AA">
        <w:t>, t</w:t>
      </w:r>
      <w:r w:rsidRPr="00CE3A64">
        <w:t xml:space="preserve">he Commission proposes not to require a proportionate distribution of measures among customer classes.  However, the Commission proposes that each customer class be offered at least one program.  The Commission believes that, as with </w:t>
      </w:r>
      <w:r w:rsidR="00EA24F7">
        <w:t xml:space="preserve">prior </w:t>
      </w:r>
      <w:r w:rsidRPr="00CE3A64">
        <w:t xml:space="preserve">Phases, the initial mix and proportion of programs should be determined by the EDCs, subject to Commission approval.  The Commission expects the EDCs to provide a reasonable mix of programs for all customers.  The burden is on an EDC to explain and justify </w:t>
      </w:r>
      <w:r w:rsidRPr="005D48D8">
        <w:t xml:space="preserve">its distribution of measures among its customer classes if such distribution is challenged.  </w:t>
      </w:r>
    </w:p>
    <w:p w14:paraId="4AEB70FB" w14:textId="77777777" w:rsidR="00A269A2" w:rsidRPr="00235CED" w:rsidRDefault="00A269A2" w:rsidP="00A269A2">
      <w:pPr>
        <w:pStyle w:val="p3"/>
        <w:widowControl/>
        <w:tabs>
          <w:tab w:val="clear" w:pos="204"/>
        </w:tabs>
        <w:spacing w:line="360" w:lineRule="auto"/>
        <w:rPr>
          <w:szCs w:val="26"/>
        </w:rPr>
      </w:pPr>
    </w:p>
    <w:p w14:paraId="455A1F28" w14:textId="003D297C" w:rsidR="00A269A2" w:rsidRPr="00235CED" w:rsidRDefault="00A269A2" w:rsidP="00A269A2">
      <w:pPr>
        <w:pStyle w:val="Heading3"/>
      </w:pPr>
      <w:bookmarkStart w:id="326" w:name="_Toc33782013"/>
      <w:r w:rsidRPr="00DD1373">
        <w:lastRenderedPageBreak/>
        <w:t>Process</w:t>
      </w:r>
      <w:r w:rsidRPr="00235CED">
        <w:t xml:space="preserve"> to Make </w:t>
      </w:r>
      <w:r>
        <w:t>EE&amp;C Plan Changes and</w:t>
      </w:r>
      <w:r w:rsidRPr="00235CED">
        <w:t xml:space="preserve"> Recommendations for Additional Measures</w:t>
      </w:r>
      <w:bookmarkEnd w:id="326"/>
    </w:p>
    <w:p w14:paraId="3711C96D" w14:textId="272FA92C" w:rsidR="00A269A2" w:rsidRPr="00235CED" w:rsidRDefault="00A269A2" w:rsidP="00A269A2">
      <w:pPr>
        <w:pStyle w:val="p3"/>
        <w:widowControl/>
        <w:tabs>
          <w:tab w:val="clear" w:pos="204"/>
        </w:tabs>
        <w:spacing w:line="360" w:lineRule="auto"/>
        <w:rPr>
          <w:szCs w:val="26"/>
        </w:rPr>
      </w:pPr>
      <w:r w:rsidRPr="00235CED">
        <w:rPr>
          <w:szCs w:val="26"/>
        </w:rPr>
        <w:tab/>
        <w:t>The Act requires the Commission to establish procedures through which recommendations can be made as to additional measures that will enable an EDC to improve its plan.  66 Pa. C.S. § 2806.1(a)(6).  Furthermore, the Act permits the Commission to direct an EDC to modify or terminate any part of an approved plan if, after an adequate period for implementation, the Commission determines that a measure included in the plan will not achieve the required consumption reductions in a cost</w:t>
      </w:r>
      <w:r w:rsidRPr="00235CED">
        <w:rPr>
          <w:szCs w:val="26"/>
        </w:rPr>
        <w:noBreakHyphen/>
        <w:t>effective manner.  66 Pa. C.S. § 2806.1(b)(2).  Below is the Commission’s</w:t>
      </w:r>
      <w:r>
        <w:rPr>
          <w:szCs w:val="26"/>
        </w:rPr>
        <w:t xml:space="preserve"> proposed</w:t>
      </w:r>
      <w:r w:rsidRPr="00235CED">
        <w:rPr>
          <w:szCs w:val="26"/>
        </w:rPr>
        <w:t xml:space="preserve"> procedure for recommending additional measures that enable an EDC to improve its plan.  </w:t>
      </w:r>
      <w:r>
        <w:rPr>
          <w:szCs w:val="26"/>
        </w:rPr>
        <w:t>First,</w:t>
      </w:r>
      <w:r w:rsidRPr="00235CED">
        <w:rPr>
          <w:szCs w:val="26"/>
        </w:rPr>
        <w:t xml:space="preserve"> it must be noted that interested parties will have an opportunity to make recommendations during the plan approval process described </w:t>
      </w:r>
      <w:r>
        <w:rPr>
          <w:szCs w:val="26"/>
        </w:rPr>
        <w:t>earlier in</w:t>
      </w:r>
      <w:r w:rsidRPr="00235CED">
        <w:rPr>
          <w:szCs w:val="26"/>
        </w:rPr>
        <w:t xml:space="preserve"> this </w:t>
      </w:r>
      <w:r>
        <w:rPr>
          <w:szCs w:val="26"/>
        </w:rPr>
        <w:t>Tentative O</w:t>
      </w:r>
      <w:r w:rsidRPr="0017687C">
        <w:rPr>
          <w:szCs w:val="26"/>
        </w:rPr>
        <w:t>rder</w:t>
      </w:r>
      <w:r w:rsidRPr="00235CED">
        <w:rPr>
          <w:szCs w:val="26"/>
        </w:rPr>
        <w:t xml:space="preserve">.  </w:t>
      </w:r>
    </w:p>
    <w:p w14:paraId="40693EDA" w14:textId="3CAE961B" w:rsidR="00A269A2" w:rsidRDefault="00A269A2" w:rsidP="00A269A2">
      <w:pPr>
        <w:pStyle w:val="p3"/>
        <w:widowControl/>
        <w:tabs>
          <w:tab w:val="clear" w:pos="204"/>
        </w:tabs>
        <w:spacing w:line="360" w:lineRule="auto"/>
        <w:rPr>
          <w:szCs w:val="26"/>
        </w:rPr>
      </w:pPr>
    </w:p>
    <w:p w14:paraId="209D0C63" w14:textId="5CDA695A" w:rsidR="00A269A2" w:rsidRDefault="00A269A2" w:rsidP="00A269A2">
      <w:pPr>
        <w:pStyle w:val="p3"/>
        <w:widowControl/>
        <w:tabs>
          <w:tab w:val="clear" w:pos="204"/>
        </w:tabs>
        <w:spacing w:line="360" w:lineRule="auto"/>
      </w:pPr>
      <w:r w:rsidRPr="00235CED">
        <w:tab/>
        <w:t>Regarding approved plans, the Commission will permit EDCs and other interested stakeholders, as well as the statutory advocates, to propose plan changes in conjunction with the EDC’s annual report filing required by the Act at 66 Pa. C.S. § 2806.1(i)(1).  These annual reports are to be served on</w:t>
      </w:r>
      <w:r>
        <w:t xml:space="preserve"> </w:t>
      </w:r>
      <w:r w:rsidR="00B275E9">
        <w:t>the Office of Consumer Advocate</w:t>
      </w:r>
      <w:r w:rsidRPr="00235CED">
        <w:t xml:space="preserve">, </w:t>
      </w:r>
      <w:r w:rsidR="00B275E9">
        <w:t xml:space="preserve">the </w:t>
      </w:r>
      <w:r>
        <w:t>O</w:t>
      </w:r>
      <w:r w:rsidR="00B275E9">
        <w:t xml:space="preserve">ffice of </w:t>
      </w:r>
      <w:r>
        <w:t>S</w:t>
      </w:r>
      <w:r w:rsidR="00B275E9">
        <w:t xml:space="preserve">mall </w:t>
      </w:r>
      <w:r>
        <w:t>B</w:t>
      </w:r>
      <w:r w:rsidR="00B275E9">
        <w:t xml:space="preserve">usiness </w:t>
      </w:r>
      <w:r>
        <w:t>A</w:t>
      </w:r>
      <w:r w:rsidR="00B275E9">
        <w:t>dvocate</w:t>
      </w:r>
      <w:r w:rsidRPr="00235CED">
        <w:t xml:space="preserve"> and </w:t>
      </w:r>
      <w:r>
        <w:t>the Commission’s Bureau of Investigation and Enforcement</w:t>
      </w:r>
      <w:r w:rsidRPr="00235CED">
        <w:t>.</w:t>
      </w:r>
      <w:r>
        <w:t xml:space="preserve">  The Commission will also post the annual reports on a web page dedicated to the EE&amp;C </w:t>
      </w:r>
      <w:r w:rsidR="00B275E9">
        <w:t>Program</w:t>
      </w:r>
      <w:r>
        <w:t>.</w:t>
      </w:r>
      <w:r w:rsidRPr="00235CED">
        <w:t xml:space="preserve">  The Commission and any interested party can make a recommendation for plan improvement or object to an EDC’s proposed plan revision within 30 days of the annual report filing.  EDCs will have 20 days to file replies, after which the Commission will determine whether to rule on the recommended changes or refer the matter to an </w:t>
      </w:r>
      <w:r>
        <w:t>Administrative Law Judge (</w:t>
      </w:r>
      <w:r w:rsidRPr="00235CED">
        <w:t>ALJ</w:t>
      </w:r>
      <w:r>
        <w:t>)</w:t>
      </w:r>
      <w:r w:rsidRPr="00235CED">
        <w:t xml:space="preserve"> for hearings and a recommended decision</w:t>
      </w:r>
      <w:r>
        <w:t xml:space="preserve"> in accordance with 52 Pa. Code §§ 5.41 (relating to petitions generally) and 5.572 (relating to petitions for relief)</w:t>
      </w:r>
      <w:r w:rsidRPr="00235CED">
        <w:t xml:space="preserve">.  </w:t>
      </w:r>
    </w:p>
    <w:p w14:paraId="43F0E79D" w14:textId="77777777" w:rsidR="00A269A2" w:rsidRDefault="00A269A2" w:rsidP="00A269A2">
      <w:pPr>
        <w:pStyle w:val="p3"/>
        <w:widowControl/>
        <w:tabs>
          <w:tab w:val="clear" w:pos="204"/>
        </w:tabs>
        <w:spacing w:line="360" w:lineRule="auto"/>
        <w:ind w:firstLine="720"/>
      </w:pPr>
    </w:p>
    <w:p w14:paraId="0BF24DFA" w14:textId="77777777" w:rsidR="00A269A2" w:rsidRDefault="00A269A2" w:rsidP="00A269A2">
      <w:pPr>
        <w:pStyle w:val="p3"/>
        <w:widowControl/>
        <w:tabs>
          <w:tab w:val="clear" w:pos="204"/>
        </w:tabs>
        <w:spacing w:line="360" w:lineRule="auto"/>
        <w:ind w:firstLine="720"/>
      </w:pPr>
      <w:r>
        <w:lastRenderedPageBreak/>
        <w:t>EDCs and stakeholders may petition at any time, for changes to approved plans, wherein an EDC or stakeholder petitions the Commission to rescind and amend its prior order approving the plan in accordance with 52 Pa. Code §§ 5.41 (relating to petitions generally) and 5.572 (relating to petitions for relief).  This process does not apply to minor plan changes, as described below, wherein the Commission has delegated to staff, the authority to review and approve.</w:t>
      </w:r>
    </w:p>
    <w:p w14:paraId="69A61E6C" w14:textId="77777777" w:rsidR="00A269A2" w:rsidRDefault="00A269A2" w:rsidP="00A269A2">
      <w:pPr>
        <w:pStyle w:val="p3"/>
        <w:widowControl/>
        <w:tabs>
          <w:tab w:val="clear" w:pos="204"/>
        </w:tabs>
        <w:spacing w:line="360" w:lineRule="auto"/>
      </w:pPr>
    </w:p>
    <w:p w14:paraId="24EA14B0" w14:textId="77777777" w:rsidR="00A269A2" w:rsidRDefault="00A269A2" w:rsidP="001523BF">
      <w:pPr>
        <w:pStyle w:val="p3"/>
        <w:widowControl/>
        <w:tabs>
          <w:tab w:val="clear" w:pos="204"/>
        </w:tabs>
        <w:spacing w:line="360" w:lineRule="auto"/>
        <w:ind w:firstLine="720"/>
      </w:pPr>
      <w:r>
        <w:t>The Commission, in an order adopted on June 9, 2011, at Docket No. M</w:t>
      </w:r>
      <w:r>
        <w:noBreakHyphen/>
        <w:t>2008</w:t>
      </w:r>
      <w:r>
        <w:noBreakHyphen/>
        <w:t>2069887,</w:t>
      </w:r>
      <w:r>
        <w:rPr>
          <w:rStyle w:val="FootnoteReference"/>
        </w:rPr>
        <w:footnoteReference w:id="67"/>
      </w:r>
      <w:r>
        <w:t xml:space="preserve"> expedited the review process for approving minor EE&amp;C Plan changes proposed by EDCs.  The </w:t>
      </w:r>
      <w:r w:rsidRPr="00D10367">
        <w:t>Minor Plan Change Order</w:t>
      </w:r>
      <w:r>
        <w:t xml:space="preserve"> defined what a minor change is and delegated authority to staff to approve, modify or reject the proposed minor changes.  The Commission continued the EE&amp;C Plan approval processes described in </w:t>
      </w:r>
      <w:r w:rsidRPr="00D10367">
        <w:t>the Minor Plan Change Order</w:t>
      </w:r>
      <w:r>
        <w:t xml:space="preserve"> in Phase II, with one modification.  In Phase II, the Commission allowed the following minor EE&amp;C Plan changes to be reviewed under the expedited review process:</w:t>
      </w:r>
    </w:p>
    <w:p w14:paraId="43287CA7" w14:textId="77777777" w:rsidR="00A269A2" w:rsidRDefault="00A269A2" w:rsidP="00E95C7C">
      <w:pPr>
        <w:pStyle w:val="p3"/>
        <w:widowControl/>
        <w:numPr>
          <w:ilvl w:val="0"/>
          <w:numId w:val="2"/>
        </w:numPr>
        <w:tabs>
          <w:tab w:val="clear" w:pos="204"/>
        </w:tabs>
        <w:spacing w:line="360" w:lineRule="auto"/>
      </w:pPr>
      <w:r>
        <w:t>The elimination of a measure that is underperforming; is no longer viable for reasons of cost-effectiveness, savings or market penetration; or has met its approved budgeted funding, participation level or amount of savings;</w:t>
      </w:r>
    </w:p>
    <w:p w14:paraId="0342EEE9" w14:textId="77777777" w:rsidR="00A269A2" w:rsidRDefault="00A269A2" w:rsidP="00E95C7C">
      <w:pPr>
        <w:pStyle w:val="p3"/>
        <w:widowControl/>
        <w:numPr>
          <w:ilvl w:val="0"/>
          <w:numId w:val="2"/>
        </w:numPr>
        <w:tabs>
          <w:tab w:val="clear" w:pos="204"/>
        </w:tabs>
        <w:spacing w:line="360" w:lineRule="auto"/>
      </w:pPr>
      <w:r>
        <w:t>The transfer of funds from one measure or program to another measure or program within the same customer class;</w:t>
      </w:r>
    </w:p>
    <w:p w14:paraId="39D404C3" w14:textId="77777777" w:rsidR="00A269A2" w:rsidRDefault="00A269A2" w:rsidP="00E95C7C">
      <w:pPr>
        <w:pStyle w:val="p3"/>
        <w:widowControl/>
        <w:numPr>
          <w:ilvl w:val="0"/>
          <w:numId w:val="2"/>
        </w:numPr>
        <w:tabs>
          <w:tab w:val="clear" w:pos="204"/>
        </w:tabs>
        <w:spacing w:line="360" w:lineRule="auto"/>
      </w:pPr>
      <w:r>
        <w:t xml:space="preserve">Adding a measure or changing the conditions of a measure, such as is eligibility requirements, technical description, rebate structure or amount, projected savings, estimated incremental costs, projected number of participants or other conditions so long as the change does not increase the overall costs to that customer class; </w:t>
      </w:r>
    </w:p>
    <w:p w14:paraId="15C77573" w14:textId="77777777" w:rsidR="00A269A2" w:rsidRDefault="00A269A2" w:rsidP="00E95C7C">
      <w:pPr>
        <w:pStyle w:val="p3"/>
        <w:widowControl/>
        <w:numPr>
          <w:ilvl w:val="0"/>
          <w:numId w:val="2"/>
        </w:numPr>
        <w:tabs>
          <w:tab w:val="clear" w:pos="204"/>
        </w:tabs>
        <w:spacing w:line="360" w:lineRule="auto"/>
      </w:pPr>
      <w:r>
        <w:t xml:space="preserve">A change in vendors for existing programs that will continue into Phase II; and </w:t>
      </w:r>
    </w:p>
    <w:p w14:paraId="1FF187A2" w14:textId="77777777" w:rsidR="00A269A2" w:rsidRDefault="00A269A2" w:rsidP="00E95C7C">
      <w:pPr>
        <w:pStyle w:val="p3"/>
        <w:widowControl/>
        <w:numPr>
          <w:ilvl w:val="0"/>
          <w:numId w:val="2"/>
        </w:numPr>
        <w:tabs>
          <w:tab w:val="clear" w:pos="204"/>
        </w:tabs>
        <w:spacing w:line="360" w:lineRule="auto"/>
      </w:pPr>
      <w:r>
        <w:t>The elimination of programs which are not viable due to market conditions.</w:t>
      </w:r>
      <w:r>
        <w:rPr>
          <w:rStyle w:val="FootnoteReference"/>
        </w:rPr>
        <w:footnoteReference w:id="68"/>
      </w:r>
    </w:p>
    <w:p w14:paraId="1595BACC" w14:textId="42088C65" w:rsidR="00A269A2" w:rsidRDefault="00267C2E" w:rsidP="00D051FA">
      <w:pPr>
        <w:pStyle w:val="p3"/>
        <w:widowControl/>
        <w:tabs>
          <w:tab w:val="clear" w:pos="204"/>
        </w:tabs>
        <w:spacing w:line="360" w:lineRule="auto"/>
        <w:ind w:firstLine="720"/>
      </w:pPr>
      <w:r>
        <w:lastRenderedPageBreak/>
        <w:t>For Phase IV, t</w:t>
      </w:r>
      <w:r w:rsidR="00A269A2">
        <w:t>he Commission proposes the continued utilization of this process for the expedited review of minor EE&amp;C Plan changes proposed by EDCs.</w:t>
      </w:r>
    </w:p>
    <w:p w14:paraId="59A76F03" w14:textId="748DB103" w:rsidR="00A269A2" w:rsidRPr="00A269A2" w:rsidRDefault="00A269A2" w:rsidP="00A269A2"/>
    <w:p w14:paraId="6E16EE54" w14:textId="54586AAF" w:rsidR="002719B7" w:rsidRPr="00235CED" w:rsidRDefault="002719B7" w:rsidP="001523BF">
      <w:pPr>
        <w:pStyle w:val="Heading2"/>
        <w:widowControl/>
      </w:pPr>
      <w:bookmarkStart w:id="327" w:name="_Ref31639316"/>
      <w:bookmarkStart w:id="328" w:name="_Ref31639320"/>
      <w:bookmarkStart w:id="329" w:name="_Ref31640615"/>
      <w:bookmarkStart w:id="330" w:name="_Toc33782014"/>
      <w:r w:rsidRPr="00235CED">
        <w:t>Plan Effectiveness Evaluation Process</w:t>
      </w:r>
      <w:bookmarkEnd w:id="327"/>
      <w:bookmarkEnd w:id="328"/>
      <w:bookmarkEnd w:id="329"/>
      <w:bookmarkEnd w:id="330"/>
    </w:p>
    <w:p w14:paraId="00C1FD49" w14:textId="77777777" w:rsidR="002719B7" w:rsidRPr="007C4D4F" w:rsidRDefault="002719B7" w:rsidP="001523BF">
      <w:pPr>
        <w:pStyle w:val="p3"/>
        <w:widowControl/>
        <w:tabs>
          <w:tab w:val="clear" w:pos="204"/>
        </w:tabs>
        <w:spacing w:line="360" w:lineRule="auto"/>
        <w:rPr>
          <w:szCs w:val="26"/>
        </w:rPr>
      </w:pPr>
      <w:r w:rsidRPr="00235CED">
        <w:rPr>
          <w:szCs w:val="26"/>
        </w:rPr>
        <w:tab/>
        <w:t xml:space="preserve">The Act requires the Commission to establish an evaluation process that monitors and verifies data collection, quality assurance and the results of each EDC </w:t>
      </w:r>
      <w:r w:rsidR="001B5C05">
        <w:rPr>
          <w:szCs w:val="26"/>
        </w:rPr>
        <w:t>EE&amp;C P</w:t>
      </w:r>
      <w:r w:rsidRPr="00235CED">
        <w:rPr>
          <w:szCs w:val="26"/>
        </w:rPr>
        <w:t xml:space="preserve">lan and the program as a whole.  </w:t>
      </w:r>
      <w:r w:rsidR="00C63F13" w:rsidRPr="00134733">
        <w:rPr>
          <w:i/>
          <w:szCs w:val="26"/>
        </w:rPr>
        <w:t>See</w:t>
      </w:r>
      <w:r w:rsidR="00C63F13">
        <w:rPr>
          <w:szCs w:val="26"/>
        </w:rPr>
        <w:t xml:space="preserve"> </w:t>
      </w:r>
      <w:r w:rsidRPr="00235CED">
        <w:rPr>
          <w:szCs w:val="26"/>
        </w:rPr>
        <w:t xml:space="preserve">66 Pa. C.S. § 2806.1(a)(2).  While Section 2806.1(b)(1)(i)(C) requires each plan to </w:t>
      </w:r>
      <w:r w:rsidR="001B5C05">
        <w:rPr>
          <w:szCs w:val="26"/>
        </w:rPr>
        <w:t xml:space="preserve">include an </w:t>
      </w:r>
      <w:r w:rsidRPr="00235CED">
        <w:rPr>
          <w:szCs w:val="26"/>
        </w:rPr>
        <w:t>explan</w:t>
      </w:r>
      <w:r w:rsidR="001B5C05">
        <w:rPr>
          <w:szCs w:val="26"/>
        </w:rPr>
        <w:t>ation as to</w:t>
      </w:r>
      <w:r w:rsidRPr="00235CED">
        <w:rPr>
          <w:szCs w:val="26"/>
        </w:rPr>
        <w:t xml:space="preserve"> how quality assurance and performance will be measured, verified and evaluated, it is apparent that Section 2806.1(a)(2) requires the Commission to monitor and verify this data.  This evaluation process is to be conducted every year, as each EDC is to submit an annual report documenting the effectiveness of its </w:t>
      </w:r>
      <w:r w:rsidR="001B5C05">
        <w:rPr>
          <w:szCs w:val="26"/>
        </w:rPr>
        <w:t>EE&amp;C P</w:t>
      </w:r>
      <w:r w:rsidRPr="00235CED">
        <w:rPr>
          <w:szCs w:val="26"/>
        </w:rPr>
        <w:t xml:space="preserve">lan, energy savings measurement and verification, an </w:t>
      </w:r>
      <w:r w:rsidRPr="007C4D4F">
        <w:rPr>
          <w:szCs w:val="26"/>
        </w:rPr>
        <w:t>evaluation of the cost</w:t>
      </w:r>
      <w:r w:rsidRPr="007C4D4F">
        <w:rPr>
          <w:szCs w:val="26"/>
        </w:rPr>
        <w:noBreakHyphen/>
        <w:t xml:space="preserve">effectiveness of expenditures and any other information the Commission requires.  </w:t>
      </w:r>
      <w:r w:rsidR="00C63F13" w:rsidRPr="007C4D4F">
        <w:rPr>
          <w:i/>
          <w:szCs w:val="26"/>
        </w:rPr>
        <w:t xml:space="preserve">See </w:t>
      </w:r>
      <w:r w:rsidRPr="007C4D4F">
        <w:rPr>
          <w:szCs w:val="26"/>
        </w:rPr>
        <w:t xml:space="preserve">66 Pa. C.S. § 2806.1(i)(1).  </w:t>
      </w:r>
    </w:p>
    <w:p w14:paraId="0A360BBE" w14:textId="77777777" w:rsidR="0098639D" w:rsidRPr="007C4D4F" w:rsidRDefault="0098639D" w:rsidP="0009548F">
      <w:pPr>
        <w:pStyle w:val="p3"/>
        <w:widowControl/>
        <w:tabs>
          <w:tab w:val="clear" w:pos="204"/>
        </w:tabs>
        <w:spacing w:line="360" w:lineRule="auto"/>
        <w:rPr>
          <w:szCs w:val="26"/>
        </w:rPr>
      </w:pPr>
    </w:p>
    <w:p w14:paraId="566D26D1" w14:textId="77777777" w:rsidR="00DF37DF" w:rsidRPr="007C4D4F" w:rsidRDefault="00DF37DF" w:rsidP="00E95C7C">
      <w:pPr>
        <w:pStyle w:val="Heading3"/>
        <w:numPr>
          <w:ilvl w:val="0"/>
          <w:numId w:val="8"/>
        </w:numPr>
      </w:pPr>
      <w:bookmarkStart w:id="331" w:name="_Toc33782015"/>
      <w:r w:rsidRPr="00DD1373">
        <w:t>Statewide</w:t>
      </w:r>
      <w:r w:rsidRPr="007C4D4F">
        <w:t xml:space="preserve"> Evaluator</w:t>
      </w:r>
      <w:bookmarkEnd w:id="331"/>
    </w:p>
    <w:p w14:paraId="1CA8107F" w14:textId="0A704B62" w:rsidR="007C4D4F" w:rsidRDefault="007C4D4F" w:rsidP="0009548F">
      <w:pPr>
        <w:pStyle w:val="p3"/>
        <w:widowControl/>
        <w:tabs>
          <w:tab w:val="clear" w:pos="204"/>
          <w:tab w:val="left" w:pos="720"/>
        </w:tabs>
        <w:spacing w:line="360" w:lineRule="auto"/>
        <w:ind w:firstLine="720"/>
        <w:rPr>
          <w:szCs w:val="26"/>
        </w:rPr>
      </w:pPr>
      <w:r w:rsidRPr="00FD096A">
        <w:rPr>
          <w:szCs w:val="26"/>
        </w:rPr>
        <w:t xml:space="preserve">The Commission believes that to have credible impact and process evaluations available, a SWE must be selected and used in a fashion similar to </w:t>
      </w:r>
      <w:r w:rsidR="00F916BA">
        <w:rPr>
          <w:szCs w:val="26"/>
        </w:rPr>
        <w:t xml:space="preserve">prior </w:t>
      </w:r>
      <w:r w:rsidRPr="00FD096A">
        <w:rPr>
          <w:szCs w:val="26"/>
        </w:rPr>
        <w:t xml:space="preserve">Phases.  The SWE will provide expertise in evaluations and remain independent from EDC evaluators.  Therefore, in preparation for Phase </w:t>
      </w:r>
      <w:r w:rsidR="00C26B97" w:rsidRPr="00FD096A">
        <w:rPr>
          <w:szCs w:val="26"/>
        </w:rPr>
        <w:t>I</w:t>
      </w:r>
      <w:r w:rsidR="00C26B97">
        <w:rPr>
          <w:szCs w:val="26"/>
        </w:rPr>
        <w:t>V</w:t>
      </w:r>
      <w:r w:rsidRPr="00FD096A">
        <w:rPr>
          <w:szCs w:val="26"/>
        </w:rPr>
        <w:t>, the Commission proposes to competitively solicit for services to evaluate the EDC programs and identify whether further cost-effective savings can be obtained in future EE&amp;C programs.  A</w:t>
      </w:r>
      <w:r w:rsidR="008038B4">
        <w:rPr>
          <w:szCs w:val="26"/>
        </w:rPr>
        <w:t xml:space="preserve"> Request for Proposal</w:t>
      </w:r>
      <w:r w:rsidRPr="00FD096A">
        <w:rPr>
          <w:szCs w:val="26"/>
        </w:rPr>
        <w:t xml:space="preserve"> </w:t>
      </w:r>
      <w:r w:rsidR="008038B4">
        <w:rPr>
          <w:szCs w:val="26"/>
        </w:rPr>
        <w:t>(</w:t>
      </w:r>
      <w:r w:rsidRPr="00FD096A">
        <w:rPr>
          <w:szCs w:val="26"/>
        </w:rPr>
        <w:t>RFP</w:t>
      </w:r>
      <w:r w:rsidR="008038B4">
        <w:rPr>
          <w:szCs w:val="26"/>
        </w:rPr>
        <w:t>)</w:t>
      </w:r>
      <w:r w:rsidRPr="00FD096A">
        <w:rPr>
          <w:szCs w:val="26"/>
        </w:rPr>
        <w:t xml:space="preserve"> will be issued requiring that submitted proposals contain provisions for evaluation framework development; annual audits of EDC programs; market potential study</w:t>
      </w:r>
      <w:r w:rsidR="00710805">
        <w:rPr>
          <w:szCs w:val="26"/>
        </w:rPr>
        <w:t>(ies)</w:t>
      </w:r>
      <w:r w:rsidRPr="00FD096A">
        <w:rPr>
          <w:szCs w:val="26"/>
        </w:rPr>
        <w:t xml:space="preserve"> on </w:t>
      </w:r>
      <w:r w:rsidR="009362DB">
        <w:rPr>
          <w:szCs w:val="26"/>
        </w:rPr>
        <w:t>EE</w:t>
      </w:r>
      <w:r w:rsidR="00710805">
        <w:rPr>
          <w:szCs w:val="26"/>
        </w:rPr>
        <w:t xml:space="preserve"> and peak demand reduction</w:t>
      </w:r>
      <w:r w:rsidRPr="00FD096A">
        <w:rPr>
          <w:szCs w:val="26"/>
        </w:rPr>
        <w:t xml:space="preserve">; and an early </w:t>
      </w:r>
      <w:r w:rsidR="00C26B97" w:rsidRPr="00FD096A">
        <w:rPr>
          <w:szCs w:val="26"/>
        </w:rPr>
        <w:t>202</w:t>
      </w:r>
      <w:r w:rsidR="00C26B97">
        <w:rPr>
          <w:szCs w:val="26"/>
        </w:rPr>
        <w:t>7</w:t>
      </w:r>
      <w:r w:rsidR="00C26B97" w:rsidRPr="00FD096A">
        <w:rPr>
          <w:szCs w:val="26"/>
        </w:rPr>
        <w:t xml:space="preserve"> </w:t>
      </w:r>
      <w:r w:rsidRPr="00FD096A">
        <w:rPr>
          <w:szCs w:val="26"/>
        </w:rPr>
        <w:t xml:space="preserve">review of the entire Phase </w:t>
      </w:r>
      <w:r w:rsidR="00C26B97" w:rsidRPr="00FD096A">
        <w:rPr>
          <w:szCs w:val="26"/>
        </w:rPr>
        <w:t>I</w:t>
      </w:r>
      <w:r w:rsidR="00C26B97">
        <w:rPr>
          <w:szCs w:val="26"/>
        </w:rPr>
        <w:t>V</w:t>
      </w:r>
      <w:r w:rsidR="00C26B97" w:rsidRPr="00FD096A">
        <w:rPr>
          <w:szCs w:val="26"/>
        </w:rPr>
        <w:t xml:space="preserve"> </w:t>
      </w:r>
      <w:r w:rsidRPr="00FD096A">
        <w:rPr>
          <w:szCs w:val="26"/>
        </w:rPr>
        <w:t>program.</w:t>
      </w:r>
      <w:r w:rsidR="00F916BA">
        <w:rPr>
          <w:szCs w:val="26"/>
        </w:rPr>
        <w:t xml:space="preserve">  </w:t>
      </w:r>
      <w:r>
        <w:rPr>
          <w:szCs w:val="26"/>
        </w:rPr>
        <w:t xml:space="preserve">In order to prepare for the year beginning June 1, </w:t>
      </w:r>
      <w:r w:rsidR="00C26B97">
        <w:rPr>
          <w:szCs w:val="26"/>
        </w:rPr>
        <w:t>2021</w:t>
      </w:r>
      <w:r>
        <w:rPr>
          <w:szCs w:val="26"/>
        </w:rPr>
        <w:t xml:space="preserve">, the Commission proposes a </w:t>
      </w:r>
      <w:r w:rsidR="00B0774D">
        <w:rPr>
          <w:szCs w:val="26"/>
        </w:rPr>
        <w:t xml:space="preserve">contract period of </w:t>
      </w:r>
      <w:r>
        <w:rPr>
          <w:szCs w:val="26"/>
        </w:rPr>
        <w:t>March 1, 20</w:t>
      </w:r>
      <w:r w:rsidR="00C26B97">
        <w:rPr>
          <w:szCs w:val="26"/>
        </w:rPr>
        <w:t>21</w:t>
      </w:r>
      <w:r>
        <w:rPr>
          <w:szCs w:val="26"/>
        </w:rPr>
        <w:t xml:space="preserve"> through February 28, </w:t>
      </w:r>
      <w:r w:rsidR="00C26B97">
        <w:rPr>
          <w:szCs w:val="26"/>
        </w:rPr>
        <w:t>2027</w:t>
      </w:r>
      <w:r>
        <w:rPr>
          <w:szCs w:val="26"/>
        </w:rPr>
        <w:t>.  By starting in March 20</w:t>
      </w:r>
      <w:r w:rsidR="00C26B97">
        <w:rPr>
          <w:szCs w:val="26"/>
        </w:rPr>
        <w:t>2</w:t>
      </w:r>
      <w:r>
        <w:rPr>
          <w:szCs w:val="26"/>
        </w:rPr>
        <w:t xml:space="preserve">1, the SWE will have an opportunity to develop plans and prepare for its responsibilities that </w:t>
      </w:r>
      <w:r>
        <w:rPr>
          <w:szCs w:val="26"/>
        </w:rPr>
        <w:lastRenderedPageBreak/>
        <w:t xml:space="preserve">begin June 1, </w:t>
      </w:r>
      <w:r w:rsidR="00C26B97">
        <w:rPr>
          <w:szCs w:val="26"/>
        </w:rPr>
        <w:t>2021</w:t>
      </w:r>
      <w:r>
        <w:rPr>
          <w:szCs w:val="26"/>
        </w:rPr>
        <w:t xml:space="preserve">. </w:t>
      </w:r>
      <w:r w:rsidR="00522240">
        <w:rPr>
          <w:szCs w:val="26"/>
        </w:rPr>
        <w:t xml:space="preserve"> </w:t>
      </w:r>
      <w:r>
        <w:rPr>
          <w:szCs w:val="26"/>
        </w:rPr>
        <w:t>As in Phase I</w:t>
      </w:r>
      <w:r w:rsidR="00C26B97">
        <w:rPr>
          <w:szCs w:val="26"/>
        </w:rPr>
        <w:t>I</w:t>
      </w:r>
      <w:r>
        <w:rPr>
          <w:szCs w:val="26"/>
        </w:rPr>
        <w:t xml:space="preserve">I, the Commission proposes that </w:t>
      </w:r>
      <w:r>
        <w:t xml:space="preserve">the </w:t>
      </w:r>
      <w:r w:rsidR="002D433B">
        <w:t xml:space="preserve">Phase IV </w:t>
      </w:r>
      <w:r>
        <w:t xml:space="preserve">SWE contract be funded by a proration from the EDCs.  </w:t>
      </w:r>
    </w:p>
    <w:p w14:paraId="6129AE57" w14:textId="77777777" w:rsidR="00101B2B" w:rsidRDefault="00101B2B" w:rsidP="0009548F">
      <w:pPr>
        <w:pStyle w:val="p3"/>
        <w:widowControl/>
        <w:tabs>
          <w:tab w:val="clear" w:pos="204"/>
          <w:tab w:val="left" w:pos="720"/>
        </w:tabs>
        <w:spacing w:line="360" w:lineRule="auto"/>
        <w:ind w:firstLine="720"/>
        <w:rPr>
          <w:szCs w:val="26"/>
        </w:rPr>
      </w:pPr>
    </w:p>
    <w:p w14:paraId="2EC1BCC1" w14:textId="77777777" w:rsidR="00DF37DF" w:rsidRPr="00DF37DF" w:rsidRDefault="00DF37DF" w:rsidP="00DD1373">
      <w:pPr>
        <w:pStyle w:val="Heading3"/>
      </w:pPr>
      <w:bookmarkStart w:id="332" w:name="_Toc33782016"/>
      <w:r w:rsidRPr="00DD1373">
        <w:t>Technical</w:t>
      </w:r>
      <w:r>
        <w:t xml:space="preserve"> Reference Manual</w:t>
      </w:r>
      <w:bookmarkEnd w:id="332"/>
    </w:p>
    <w:p w14:paraId="0E24FF32" w14:textId="706DB589" w:rsidR="009048F3" w:rsidRDefault="002719B7" w:rsidP="0009548F">
      <w:pPr>
        <w:pStyle w:val="p3"/>
        <w:widowControl/>
        <w:tabs>
          <w:tab w:val="clear" w:pos="204"/>
          <w:tab w:val="left" w:pos="-2070"/>
        </w:tabs>
        <w:spacing w:line="360" w:lineRule="auto"/>
        <w:rPr>
          <w:szCs w:val="26"/>
        </w:rPr>
      </w:pPr>
      <w:r w:rsidRPr="00235CED">
        <w:rPr>
          <w:szCs w:val="26"/>
        </w:rPr>
        <w:tab/>
      </w:r>
      <w:r w:rsidR="009048F3">
        <w:rPr>
          <w:szCs w:val="26"/>
        </w:rPr>
        <w:t>The</w:t>
      </w:r>
      <w:r w:rsidR="009048F3" w:rsidRPr="00235CED">
        <w:rPr>
          <w:szCs w:val="26"/>
        </w:rPr>
        <w:t xml:space="preserve"> Commission will </w:t>
      </w:r>
      <w:r w:rsidR="009048F3">
        <w:rPr>
          <w:szCs w:val="26"/>
        </w:rPr>
        <w:t xml:space="preserve">continue to </w:t>
      </w:r>
      <w:r w:rsidR="009048F3" w:rsidRPr="00235CED">
        <w:rPr>
          <w:szCs w:val="26"/>
        </w:rPr>
        <w:t>utilize the T</w:t>
      </w:r>
      <w:r w:rsidR="009048F3">
        <w:rPr>
          <w:szCs w:val="26"/>
        </w:rPr>
        <w:t xml:space="preserve">RM </w:t>
      </w:r>
      <w:r w:rsidR="009048F3" w:rsidRPr="00235CED">
        <w:rPr>
          <w:szCs w:val="26"/>
        </w:rPr>
        <w:t xml:space="preserve">to </w:t>
      </w:r>
      <w:r w:rsidR="009048F3">
        <w:rPr>
          <w:szCs w:val="26"/>
        </w:rPr>
        <w:t xml:space="preserve">help </w:t>
      </w:r>
      <w:r w:rsidR="009048F3" w:rsidRPr="00235CED">
        <w:rPr>
          <w:szCs w:val="26"/>
        </w:rPr>
        <w:t xml:space="preserve">fulfill the evaluation process requirements contained in the Act.  The TRM was </w:t>
      </w:r>
      <w:r w:rsidR="00565A4B">
        <w:rPr>
          <w:szCs w:val="26"/>
        </w:rPr>
        <w:t>initially</w:t>
      </w:r>
      <w:r w:rsidR="009048F3" w:rsidRPr="00235CED">
        <w:rPr>
          <w:szCs w:val="26"/>
        </w:rPr>
        <w:t xml:space="preserve"> adopted by the Commission in the Alternative Energy Portfolio Standards Act (AEPS</w:t>
      </w:r>
      <w:r w:rsidR="009048F3">
        <w:rPr>
          <w:szCs w:val="26"/>
        </w:rPr>
        <w:t xml:space="preserve"> Act</w:t>
      </w:r>
      <w:r w:rsidR="009048F3" w:rsidRPr="00235CED">
        <w:rPr>
          <w:szCs w:val="26"/>
        </w:rPr>
        <w:t>) proceedings at Docket No. M</w:t>
      </w:r>
      <w:r w:rsidR="009048F3" w:rsidRPr="00235CED">
        <w:rPr>
          <w:szCs w:val="26"/>
        </w:rPr>
        <w:noBreakHyphen/>
      </w:r>
      <w:r w:rsidR="009048F3">
        <w:rPr>
          <w:szCs w:val="26"/>
        </w:rPr>
        <w:t>0</w:t>
      </w:r>
      <w:r w:rsidR="009048F3" w:rsidRPr="00235CED">
        <w:rPr>
          <w:szCs w:val="26"/>
        </w:rPr>
        <w:t xml:space="preserve">0051865 (order entered October 3, 2005).  </w:t>
      </w:r>
      <w:r w:rsidR="009048F3">
        <w:rPr>
          <w:szCs w:val="26"/>
        </w:rPr>
        <w:t>However, as t</w:t>
      </w:r>
      <w:r w:rsidR="009048F3" w:rsidRPr="00235CED">
        <w:rPr>
          <w:szCs w:val="26"/>
        </w:rPr>
        <w:t xml:space="preserve">he TRM </w:t>
      </w:r>
      <w:r w:rsidR="009048F3">
        <w:rPr>
          <w:szCs w:val="26"/>
        </w:rPr>
        <w:t>was initially created to fulfill requirements of the AEPS Act</w:t>
      </w:r>
      <w:r w:rsidR="009048F3" w:rsidRPr="00235CED">
        <w:rPr>
          <w:szCs w:val="26"/>
        </w:rPr>
        <w:t xml:space="preserve">, </w:t>
      </w:r>
      <w:r w:rsidR="009048F3">
        <w:rPr>
          <w:szCs w:val="26"/>
        </w:rPr>
        <w:t>it had to be</w:t>
      </w:r>
      <w:r w:rsidR="009048F3" w:rsidRPr="00235CED">
        <w:rPr>
          <w:szCs w:val="26"/>
        </w:rPr>
        <w:t xml:space="preserve"> updated and expanded to fulfill the requirements of </w:t>
      </w:r>
      <w:r w:rsidR="009048F3">
        <w:rPr>
          <w:szCs w:val="26"/>
        </w:rPr>
        <w:t xml:space="preserve">the EE&amp;C provisions of </w:t>
      </w:r>
      <w:r w:rsidR="009048F3" w:rsidRPr="00235CED">
        <w:rPr>
          <w:szCs w:val="26"/>
        </w:rPr>
        <w:t>Act</w:t>
      </w:r>
      <w:r w:rsidR="009048F3">
        <w:rPr>
          <w:szCs w:val="26"/>
        </w:rPr>
        <w:t xml:space="preserve"> 129</w:t>
      </w:r>
      <w:r w:rsidR="009048F3" w:rsidRPr="00235CED">
        <w:rPr>
          <w:szCs w:val="26"/>
        </w:rPr>
        <w:t xml:space="preserve">.  As such, the Commission </w:t>
      </w:r>
      <w:r w:rsidR="009048F3">
        <w:rPr>
          <w:szCs w:val="26"/>
        </w:rPr>
        <w:t>initiated a process to update and</w:t>
      </w:r>
      <w:r w:rsidR="009048F3" w:rsidRPr="00235CED">
        <w:rPr>
          <w:szCs w:val="26"/>
        </w:rPr>
        <w:t xml:space="preserve"> expand the TRM to provide for additional energy efficient technologies, </w:t>
      </w:r>
      <w:r w:rsidR="009048F3">
        <w:rPr>
          <w:szCs w:val="26"/>
        </w:rPr>
        <w:t>under Docket No. M</w:t>
      </w:r>
      <w:r w:rsidR="009048F3">
        <w:rPr>
          <w:szCs w:val="26"/>
        </w:rPr>
        <w:noBreakHyphen/>
        <w:t>00051865</w:t>
      </w:r>
      <w:r w:rsidR="009048F3" w:rsidRPr="00235CED">
        <w:rPr>
          <w:szCs w:val="26"/>
        </w:rPr>
        <w:t>.</w:t>
      </w:r>
      <w:r w:rsidR="009048F3">
        <w:rPr>
          <w:szCs w:val="26"/>
        </w:rPr>
        <w:t xml:space="preserve">  The Commission provided updated </w:t>
      </w:r>
      <w:r w:rsidR="003806A8">
        <w:rPr>
          <w:szCs w:val="26"/>
        </w:rPr>
        <w:t xml:space="preserve">editions of the TRM in </w:t>
      </w:r>
      <w:r w:rsidR="009048F3">
        <w:rPr>
          <w:szCs w:val="26"/>
        </w:rPr>
        <w:t>2</w:t>
      </w:r>
      <w:r w:rsidR="00C17120">
        <w:rPr>
          <w:szCs w:val="26"/>
        </w:rPr>
        <w:t xml:space="preserve">009, 2010, 2011, </w:t>
      </w:r>
      <w:r w:rsidR="009048F3">
        <w:rPr>
          <w:szCs w:val="26"/>
        </w:rPr>
        <w:t>2012</w:t>
      </w:r>
      <w:r w:rsidR="00C17120">
        <w:rPr>
          <w:szCs w:val="26"/>
        </w:rPr>
        <w:t>, 2013, 2014 and 2015</w:t>
      </w:r>
      <w:r w:rsidR="009048F3">
        <w:rPr>
          <w:szCs w:val="26"/>
        </w:rPr>
        <w:t xml:space="preserve"> to incorporate changes and improvements that were based on more recent research and data, as well as the needs and experiences of the EDCs.  </w:t>
      </w:r>
      <w:r w:rsidR="009048F3" w:rsidRPr="3792F7D5">
        <w:t>In its 2009 TRM Update Order, the Commission stated that the TRM updating process will occur annually, with a final revised TRM due by December 31 for use effective June 1 of the following year.</w:t>
      </w:r>
      <w:r w:rsidR="009048F3" w:rsidRPr="3792F7D5">
        <w:rPr>
          <w:rStyle w:val="FootnoteReference"/>
        </w:rPr>
        <w:footnoteReference w:id="69"/>
      </w:r>
      <w:r w:rsidR="009048F3">
        <w:rPr>
          <w:szCs w:val="26"/>
        </w:rPr>
        <w:t xml:space="preserve">  </w:t>
      </w:r>
      <w:r w:rsidR="00C17120" w:rsidRPr="3792F7D5">
        <w:t>In Phase II of the EE&amp;C Program, the Commission maintained this annual updating process</w:t>
      </w:r>
      <w:r w:rsidR="00521EF0" w:rsidRPr="00521EF0">
        <w:rPr>
          <w:szCs w:val="26"/>
        </w:rPr>
        <w:t>.</w:t>
      </w:r>
      <w:r w:rsidR="00521EF0" w:rsidRPr="3792F7D5">
        <w:rPr>
          <w:rStyle w:val="FootnoteReference"/>
        </w:rPr>
        <w:footnoteReference w:id="70"/>
      </w:r>
    </w:p>
    <w:p w14:paraId="3C5EC834" w14:textId="77777777" w:rsidR="00070709" w:rsidRDefault="00070709" w:rsidP="0009548F">
      <w:pPr>
        <w:pStyle w:val="p3"/>
        <w:widowControl/>
        <w:tabs>
          <w:tab w:val="clear" w:pos="204"/>
          <w:tab w:val="left" w:pos="-2070"/>
        </w:tabs>
        <w:spacing w:line="360" w:lineRule="auto"/>
        <w:rPr>
          <w:szCs w:val="26"/>
        </w:rPr>
      </w:pPr>
    </w:p>
    <w:p w14:paraId="69D78124" w14:textId="531B8EE9" w:rsidR="00070709" w:rsidRDefault="00070709" w:rsidP="0009548F">
      <w:pPr>
        <w:pStyle w:val="p3"/>
        <w:widowControl/>
        <w:tabs>
          <w:tab w:val="clear" w:pos="204"/>
          <w:tab w:val="left" w:pos="-2070"/>
        </w:tabs>
        <w:spacing w:line="360" w:lineRule="auto"/>
        <w:rPr>
          <w:szCs w:val="26"/>
        </w:rPr>
      </w:pPr>
      <w:r>
        <w:rPr>
          <w:szCs w:val="26"/>
        </w:rPr>
        <w:tab/>
        <w:t>For Phase III, t</w:t>
      </w:r>
      <w:r w:rsidRPr="000B5502">
        <w:rPr>
          <w:szCs w:val="26"/>
        </w:rPr>
        <w:t xml:space="preserve">he Commission </w:t>
      </w:r>
      <w:r>
        <w:rPr>
          <w:szCs w:val="26"/>
        </w:rPr>
        <w:t>adopted</w:t>
      </w:r>
      <w:r w:rsidRPr="000B5502">
        <w:rPr>
          <w:szCs w:val="26"/>
        </w:rPr>
        <w:t xml:space="preserve"> the 2016 TRM for the entirety of Phase III</w:t>
      </w:r>
      <w:r>
        <w:rPr>
          <w:szCs w:val="26"/>
        </w:rPr>
        <w:t xml:space="preserve">.  The Commission reserved the right to implement a mid-phase TRM update if an update was deemed necessary, </w:t>
      </w:r>
      <w:r w:rsidRPr="004D2067">
        <w:rPr>
          <w:szCs w:val="26"/>
        </w:rPr>
        <w:t>such as in instances where major market or technology transformations affect the EE&amp;C Programs and associated savings values</w:t>
      </w:r>
      <w:r>
        <w:rPr>
          <w:szCs w:val="26"/>
        </w:rPr>
        <w:t xml:space="preserve">. </w:t>
      </w:r>
      <w:r w:rsidR="00C16208">
        <w:rPr>
          <w:szCs w:val="26"/>
        </w:rPr>
        <w:t xml:space="preserve"> </w:t>
      </w:r>
      <w:r w:rsidR="00083707">
        <w:rPr>
          <w:szCs w:val="26"/>
        </w:rPr>
        <w:t>T</w:t>
      </w:r>
      <w:r w:rsidR="00083707" w:rsidRPr="000B5502">
        <w:rPr>
          <w:szCs w:val="26"/>
        </w:rPr>
        <w:t>he Commission propose</w:t>
      </w:r>
      <w:r w:rsidR="00936B4D">
        <w:rPr>
          <w:szCs w:val="26"/>
        </w:rPr>
        <w:t>s</w:t>
      </w:r>
      <w:r w:rsidR="00F6211D">
        <w:rPr>
          <w:szCs w:val="26"/>
        </w:rPr>
        <w:t xml:space="preserve"> with this Tentative Order</w:t>
      </w:r>
      <w:r w:rsidR="00083707" w:rsidRPr="000B5502">
        <w:rPr>
          <w:szCs w:val="26"/>
        </w:rPr>
        <w:t xml:space="preserve"> that the 20</w:t>
      </w:r>
      <w:r w:rsidR="00083707">
        <w:rPr>
          <w:szCs w:val="26"/>
        </w:rPr>
        <w:t>21</w:t>
      </w:r>
      <w:r w:rsidR="00083707" w:rsidRPr="000B5502">
        <w:rPr>
          <w:szCs w:val="26"/>
        </w:rPr>
        <w:t xml:space="preserve"> TRM be applicable for the </w:t>
      </w:r>
      <w:r w:rsidR="00083707" w:rsidRPr="000B5502">
        <w:rPr>
          <w:szCs w:val="26"/>
        </w:rPr>
        <w:lastRenderedPageBreak/>
        <w:t>entirety of Phase I</w:t>
      </w:r>
      <w:r w:rsidR="00083707">
        <w:rPr>
          <w:szCs w:val="26"/>
        </w:rPr>
        <w:t>V.  We, however, reserve the right to implement a mid-phase TRM update if we deem it necessary</w:t>
      </w:r>
      <w:r w:rsidR="00083707" w:rsidRPr="000B5502">
        <w:rPr>
          <w:szCs w:val="26"/>
        </w:rPr>
        <w:t xml:space="preserve">. </w:t>
      </w:r>
    </w:p>
    <w:p w14:paraId="0B823D57" w14:textId="77777777" w:rsidR="00083707" w:rsidRDefault="00083707" w:rsidP="0009548F">
      <w:pPr>
        <w:pStyle w:val="p3"/>
        <w:widowControl/>
        <w:tabs>
          <w:tab w:val="clear" w:pos="204"/>
          <w:tab w:val="left" w:pos="-2070"/>
        </w:tabs>
        <w:spacing w:line="360" w:lineRule="auto"/>
        <w:rPr>
          <w:szCs w:val="26"/>
        </w:rPr>
      </w:pPr>
    </w:p>
    <w:p w14:paraId="2F5F0BC1" w14:textId="1AC9DF5C" w:rsidR="009048F3" w:rsidRDefault="005453C9" w:rsidP="0009548F">
      <w:pPr>
        <w:pStyle w:val="p3"/>
        <w:widowControl/>
        <w:tabs>
          <w:tab w:val="clear" w:pos="204"/>
          <w:tab w:val="left" w:pos="-2070"/>
        </w:tabs>
        <w:spacing w:line="360" w:lineRule="auto"/>
        <w:rPr>
          <w:szCs w:val="26"/>
        </w:rPr>
      </w:pPr>
      <w:r>
        <w:rPr>
          <w:szCs w:val="26"/>
        </w:rPr>
        <w:tab/>
        <w:t xml:space="preserve">In addition, </w:t>
      </w:r>
      <w:r w:rsidR="002F49CA">
        <w:rPr>
          <w:szCs w:val="26"/>
        </w:rPr>
        <w:t xml:space="preserve">in the </w:t>
      </w:r>
      <w:r w:rsidR="00067E3A" w:rsidRPr="00067E3A">
        <w:rPr>
          <w:szCs w:val="26"/>
        </w:rPr>
        <w:t>2021 T</w:t>
      </w:r>
      <w:r w:rsidR="001560EE">
        <w:rPr>
          <w:szCs w:val="26"/>
        </w:rPr>
        <w:t>RM</w:t>
      </w:r>
      <w:r w:rsidR="00067E3A" w:rsidRPr="00067E3A">
        <w:rPr>
          <w:szCs w:val="26"/>
        </w:rPr>
        <w:t xml:space="preserve"> Final Order</w:t>
      </w:r>
      <w:r w:rsidR="00067E3A">
        <w:rPr>
          <w:szCs w:val="26"/>
        </w:rPr>
        <w:t>,</w:t>
      </w:r>
      <w:r w:rsidR="00067E3A" w:rsidRPr="00067E3A">
        <w:rPr>
          <w:szCs w:val="26"/>
        </w:rPr>
        <w:t xml:space="preserve"> </w:t>
      </w:r>
      <w:r>
        <w:rPr>
          <w:szCs w:val="26"/>
        </w:rPr>
        <w:t>t</w:t>
      </w:r>
      <w:r w:rsidR="00AC4C8E" w:rsidRPr="00AC4C8E">
        <w:rPr>
          <w:szCs w:val="26"/>
        </w:rPr>
        <w:t>he Commission adopt</w:t>
      </w:r>
      <w:r>
        <w:rPr>
          <w:szCs w:val="26"/>
        </w:rPr>
        <w:t xml:space="preserve">ed a </w:t>
      </w:r>
      <w:r>
        <w:t>new process for incorporating codes, standards, and ENERGY STAR specifications that change during Phase IV without undertaking a full TRM update.</w:t>
      </w:r>
      <w:r w:rsidR="00BA680A">
        <w:rPr>
          <w:rStyle w:val="FootnoteReference"/>
        </w:rPr>
        <w:footnoteReference w:id="71"/>
      </w:r>
      <w:r>
        <w:t xml:space="preserve">  Each year of the phase, the SWE will track code updates to federal standards, ENERGY STAR specifications, and state-adopted building energy codes.  Based on the extent of code updates that occur, the SWE will recommend whether to open the TRM for a code refresh for the following program year.  Code updates that are not finalized and in effect before July 1 of a program year will not be considered for inclusion in the TRM in that update cycle.  Changes to the TRM proposed by the SWE through this process will be limited to updating values directly related to codes, standards, and ENERGY STAR specifications. </w:t>
      </w:r>
      <w:r>
        <w:rPr>
          <w:szCs w:val="26"/>
        </w:rPr>
        <w:t>A</w:t>
      </w:r>
      <w:r w:rsidR="00AC4C8E" w:rsidRPr="00AC4C8E">
        <w:rPr>
          <w:szCs w:val="26"/>
        </w:rPr>
        <w:t>ny modification to the Phase IV TRM would become effective on June 1 of the calendar year following the comment and review process</w:t>
      </w:r>
      <w:r>
        <w:rPr>
          <w:szCs w:val="26"/>
        </w:rPr>
        <w:t xml:space="preserve">. </w:t>
      </w:r>
      <w:r w:rsidR="00AC4C8E" w:rsidRPr="00AC4C8E">
        <w:rPr>
          <w:szCs w:val="26"/>
        </w:rPr>
        <w:t xml:space="preserve"> </w:t>
      </w:r>
      <w:r w:rsidR="000D0E39">
        <w:rPr>
          <w:szCs w:val="26"/>
        </w:rPr>
        <w:t xml:space="preserve">  </w:t>
      </w:r>
      <w:r w:rsidR="009048F3">
        <w:rPr>
          <w:szCs w:val="26"/>
        </w:rPr>
        <w:tab/>
      </w:r>
      <w:r w:rsidR="009048F3">
        <w:rPr>
          <w:szCs w:val="26"/>
        </w:rPr>
        <w:tab/>
      </w:r>
    </w:p>
    <w:p w14:paraId="556CA0FC" w14:textId="77777777" w:rsidR="003D22A5" w:rsidRDefault="003D22A5" w:rsidP="0009548F">
      <w:pPr>
        <w:pStyle w:val="p3"/>
        <w:widowControl/>
        <w:tabs>
          <w:tab w:val="clear" w:pos="204"/>
          <w:tab w:val="left" w:pos="-2070"/>
        </w:tabs>
        <w:spacing w:line="360" w:lineRule="auto"/>
        <w:rPr>
          <w:szCs w:val="26"/>
        </w:rPr>
      </w:pPr>
    </w:p>
    <w:p w14:paraId="4368C494" w14:textId="02F4CEA8" w:rsidR="00BE5069" w:rsidRPr="00BC6233" w:rsidRDefault="00BE5069" w:rsidP="00A71AC9">
      <w:pPr>
        <w:pStyle w:val="Heading3"/>
      </w:pPr>
      <w:bookmarkStart w:id="333" w:name="_Ref30575412"/>
      <w:bookmarkStart w:id="334" w:name="_Toc33782017"/>
      <w:r w:rsidRPr="00F93D6F">
        <w:t xml:space="preserve">EDC </w:t>
      </w:r>
      <w:r w:rsidR="005C25E9">
        <w:t>and SWE Reports</w:t>
      </w:r>
      <w:bookmarkEnd w:id="333"/>
      <w:bookmarkEnd w:id="334"/>
    </w:p>
    <w:p w14:paraId="1B894E60" w14:textId="3DC299BE" w:rsidR="009E160A" w:rsidRDefault="00BE5069" w:rsidP="009C26B1">
      <w:pPr>
        <w:pStyle w:val="p3"/>
        <w:tabs>
          <w:tab w:val="clear" w:pos="204"/>
          <w:tab w:val="left" w:pos="-2070"/>
        </w:tabs>
        <w:spacing w:line="360" w:lineRule="auto"/>
        <w:rPr>
          <w:szCs w:val="26"/>
        </w:rPr>
      </w:pPr>
      <w:r>
        <w:rPr>
          <w:szCs w:val="26"/>
        </w:rPr>
        <w:tab/>
      </w:r>
      <w:r w:rsidR="00082E62">
        <w:rPr>
          <w:szCs w:val="26"/>
        </w:rPr>
        <w:t xml:space="preserve">In </w:t>
      </w:r>
      <w:r w:rsidR="00C00033">
        <w:rPr>
          <w:szCs w:val="26"/>
        </w:rPr>
        <w:t xml:space="preserve">Phases </w:t>
      </w:r>
      <w:r w:rsidR="00255F8E">
        <w:rPr>
          <w:szCs w:val="26"/>
        </w:rPr>
        <w:t>I and II</w:t>
      </w:r>
      <w:r w:rsidR="00082E62">
        <w:rPr>
          <w:szCs w:val="26"/>
        </w:rPr>
        <w:t xml:space="preserve"> the Commission required </w:t>
      </w:r>
      <w:r w:rsidR="00667762">
        <w:rPr>
          <w:szCs w:val="26"/>
        </w:rPr>
        <w:t xml:space="preserve">the </w:t>
      </w:r>
      <w:r w:rsidR="007C0389">
        <w:rPr>
          <w:szCs w:val="26"/>
        </w:rPr>
        <w:t>EDCs to submit</w:t>
      </w:r>
      <w:r w:rsidR="00D82692">
        <w:rPr>
          <w:szCs w:val="26"/>
        </w:rPr>
        <w:t xml:space="preserve"> quarterly</w:t>
      </w:r>
      <w:r w:rsidR="00BE169F">
        <w:rPr>
          <w:szCs w:val="26"/>
        </w:rPr>
        <w:t xml:space="preserve"> reports</w:t>
      </w:r>
      <w:r w:rsidR="00100376">
        <w:rPr>
          <w:szCs w:val="26"/>
        </w:rPr>
        <w:t xml:space="preserve">, </w:t>
      </w:r>
      <w:r w:rsidR="00021037">
        <w:rPr>
          <w:szCs w:val="26"/>
        </w:rPr>
        <w:t xml:space="preserve">a </w:t>
      </w:r>
      <w:r w:rsidR="008B75C1">
        <w:rPr>
          <w:szCs w:val="26"/>
        </w:rPr>
        <w:t>preliminary annual report</w:t>
      </w:r>
      <w:r w:rsidR="00100376">
        <w:rPr>
          <w:szCs w:val="26"/>
        </w:rPr>
        <w:t>, and a final annual report</w:t>
      </w:r>
      <w:r w:rsidR="00A64A9C">
        <w:rPr>
          <w:szCs w:val="26"/>
        </w:rPr>
        <w:t xml:space="preserve">.  </w:t>
      </w:r>
      <w:r w:rsidR="00034EC8">
        <w:rPr>
          <w:szCs w:val="26"/>
        </w:rPr>
        <w:t xml:space="preserve">In Phase III the Commission </w:t>
      </w:r>
      <w:r w:rsidR="002574BB">
        <w:rPr>
          <w:szCs w:val="26"/>
        </w:rPr>
        <w:t xml:space="preserve">removed the </w:t>
      </w:r>
      <w:r w:rsidR="00AA421B">
        <w:rPr>
          <w:szCs w:val="26"/>
        </w:rPr>
        <w:t>requirement for quarterly reports</w:t>
      </w:r>
      <w:r w:rsidR="00EB5B39">
        <w:rPr>
          <w:szCs w:val="26"/>
        </w:rPr>
        <w:t xml:space="preserve">, opting </w:t>
      </w:r>
      <w:r w:rsidR="000B633D">
        <w:rPr>
          <w:szCs w:val="26"/>
        </w:rPr>
        <w:t xml:space="preserve">only </w:t>
      </w:r>
      <w:r w:rsidR="00EB5B39">
        <w:rPr>
          <w:szCs w:val="26"/>
        </w:rPr>
        <w:t xml:space="preserve">for </w:t>
      </w:r>
      <w:r w:rsidR="00AF5AE7">
        <w:rPr>
          <w:szCs w:val="26"/>
        </w:rPr>
        <w:t xml:space="preserve">semi-annual, preliminary annual and </w:t>
      </w:r>
      <w:r w:rsidR="00100376">
        <w:rPr>
          <w:szCs w:val="26"/>
        </w:rPr>
        <w:t>final</w:t>
      </w:r>
      <w:r w:rsidR="00AF5AE7">
        <w:rPr>
          <w:szCs w:val="26"/>
        </w:rPr>
        <w:t xml:space="preserve"> annual reports.</w:t>
      </w:r>
      <w:r w:rsidR="008F05A2">
        <w:rPr>
          <w:szCs w:val="26"/>
        </w:rPr>
        <w:t xml:space="preserve">  </w:t>
      </w:r>
      <w:r w:rsidR="00D526E9">
        <w:rPr>
          <w:szCs w:val="26"/>
        </w:rPr>
        <w:t xml:space="preserve">The </w:t>
      </w:r>
      <w:r w:rsidR="00D526E9" w:rsidRPr="008C2FEB">
        <w:rPr>
          <w:szCs w:val="26"/>
        </w:rPr>
        <w:t>Commission</w:t>
      </w:r>
      <w:r w:rsidR="00D526E9">
        <w:rPr>
          <w:szCs w:val="26"/>
        </w:rPr>
        <w:t xml:space="preserve"> be</w:t>
      </w:r>
      <w:r w:rsidR="005D3A0E">
        <w:rPr>
          <w:szCs w:val="26"/>
        </w:rPr>
        <w:t xml:space="preserve">lieves that </w:t>
      </w:r>
      <w:r w:rsidR="00395B0D" w:rsidRPr="008C2FEB">
        <w:rPr>
          <w:szCs w:val="26"/>
        </w:rPr>
        <w:t xml:space="preserve">the EDCs and participating stakeholders have </w:t>
      </w:r>
      <w:r w:rsidR="00A11803">
        <w:rPr>
          <w:szCs w:val="26"/>
        </w:rPr>
        <w:t>maintained</w:t>
      </w:r>
      <w:r w:rsidR="00395B0D" w:rsidRPr="008C2FEB">
        <w:rPr>
          <w:szCs w:val="26"/>
        </w:rPr>
        <w:t xml:space="preserve"> a well-functioning system of providing and receiving feedback from each other to aid in the implementation of successful EE&amp;C Programs</w:t>
      </w:r>
      <w:r w:rsidR="00A11803">
        <w:rPr>
          <w:szCs w:val="26"/>
        </w:rPr>
        <w:t xml:space="preserve"> in Phase III</w:t>
      </w:r>
      <w:r w:rsidR="00395B0D" w:rsidRPr="008C2FEB">
        <w:rPr>
          <w:szCs w:val="26"/>
        </w:rPr>
        <w:t xml:space="preserve">.  We believe it unnecessary to continue requiring </w:t>
      </w:r>
      <w:r w:rsidR="00167B42">
        <w:rPr>
          <w:szCs w:val="26"/>
        </w:rPr>
        <w:t xml:space="preserve">preliminary annual reports in </w:t>
      </w:r>
      <w:r w:rsidR="001307C7">
        <w:rPr>
          <w:szCs w:val="26"/>
        </w:rPr>
        <w:t>addition to</w:t>
      </w:r>
      <w:r w:rsidR="00145089">
        <w:rPr>
          <w:szCs w:val="26"/>
        </w:rPr>
        <w:t xml:space="preserve"> the </w:t>
      </w:r>
      <w:r w:rsidR="001307C7">
        <w:rPr>
          <w:szCs w:val="26"/>
        </w:rPr>
        <w:t>final annual reports.</w:t>
      </w:r>
      <w:r w:rsidR="00395B0D" w:rsidRPr="008C2FEB">
        <w:rPr>
          <w:szCs w:val="26"/>
        </w:rPr>
        <w:t xml:space="preserve"> </w:t>
      </w:r>
      <w:r w:rsidR="00241986">
        <w:rPr>
          <w:szCs w:val="26"/>
        </w:rPr>
        <w:t xml:space="preserve"> </w:t>
      </w:r>
      <w:r w:rsidR="00395B0D" w:rsidRPr="008C2FEB">
        <w:rPr>
          <w:szCs w:val="26"/>
        </w:rPr>
        <w:t xml:space="preserve">Therefore, </w:t>
      </w:r>
      <w:r w:rsidR="00EE2513">
        <w:rPr>
          <w:szCs w:val="26"/>
        </w:rPr>
        <w:t xml:space="preserve">in an effort to streamline the </w:t>
      </w:r>
      <w:r w:rsidR="00C37360">
        <w:rPr>
          <w:szCs w:val="26"/>
        </w:rPr>
        <w:t xml:space="preserve">reporting </w:t>
      </w:r>
      <w:r w:rsidR="00EE2513">
        <w:rPr>
          <w:szCs w:val="26"/>
        </w:rPr>
        <w:t>process</w:t>
      </w:r>
      <w:r w:rsidR="00B719E7">
        <w:rPr>
          <w:szCs w:val="26"/>
        </w:rPr>
        <w:t xml:space="preserve">, </w:t>
      </w:r>
      <w:r w:rsidR="00395B0D" w:rsidRPr="008C2FEB">
        <w:rPr>
          <w:szCs w:val="26"/>
        </w:rPr>
        <w:t>we propose</w:t>
      </w:r>
      <w:r w:rsidR="002F7586">
        <w:rPr>
          <w:szCs w:val="26"/>
        </w:rPr>
        <w:t xml:space="preserve"> eliminating the </w:t>
      </w:r>
      <w:r w:rsidR="00D21620">
        <w:rPr>
          <w:szCs w:val="26"/>
        </w:rPr>
        <w:t>preliminary annual repor</w:t>
      </w:r>
      <w:r w:rsidR="00164452">
        <w:rPr>
          <w:szCs w:val="26"/>
        </w:rPr>
        <w:t>t</w:t>
      </w:r>
      <w:r w:rsidR="001D757C">
        <w:rPr>
          <w:szCs w:val="26"/>
        </w:rPr>
        <w:t>.</w:t>
      </w:r>
      <w:r w:rsidR="00C32B3A">
        <w:rPr>
          <w:szCs w:val="26"/>
        </w:rPr>
        <w:t xml:space="preserve"> </w:t>
      </w:r>
      <w:r w:rsidR="00F618B5">
        <w:rPr>
          <w:szCs w:val="26"/>
        </w:rPr>
        <w:t xml:space="preserve"> In addition, </w:t>
      </w:r>
      <w:r w:rsidR="00E83676">
        <w:rPr>
          <w:szCs w:val="26"/>
        </w:rPr>
        <w:t xml:space="preserve">the Commission has an interest in providing reports </w:t>
      </w:r>
      <w:r w:rsidR="00950666">
        <w:rPr>
          <w:szCs w:val="26"/>
        </w:rPr>
        <w:t xml:space="preserve">to the public in a much </w:t>
      </w:r>
      <w:r w:rsidR="00894A04">
        <w:rPr>
          <w:szCs w:val="26"/>
        </w:rPr>
        <w:t>timelier</w:t>
      </w:r>
      <w:r w:rsidR="00950666">
        <w:rPr>
          <w:szCs w:val="26"/>
        </w:rPr>
        <w:t xml:space="preserve"> </w:t>
      </w:r>
      <w:r w:rsidR="00950666">
        <w:rPr>
          <w:szCs w:val="26"/>
        </w:rPr>
        <w:lastRenderedPageBreak/>
        <w:t>fashion</w:t>
      </w:r>
      <w:r w:rsidR="000A23FB">
        <w:rPr>
          <w:szCs w:val="26"/>
        </w:rPr>
        <w:t xml:space="preserve">. </w:t>
      </w:r>
      <w:r w:rsidR="00646C8B">
        <w:rPr>
          <w:szCs w:val="26"/>
        </w:rPr>
        <w:t xml:space="preserve"> </w:t>
      </w:r>
      <w:r w:rsidR="00765F6B">
        <w:rPr>
          <w:szCs w:val="26"/>
        </w:rPr>
        <w:t>This</w:t>
      </w:r>
      <w:r w:rsidR="00894A04">
        <w:rPr>
          <w:szCs w:val="26"/>
        </w:rPr>
        <w:t xml:space="preserve"> can be accomplished</w:t>
      </w:r>
      <w:r w:rsidR="00765F6B">
        <w:rPr>
          <w:szCs w:val="26"/>
        </w:rPr>
        <w:t xml:space="preserve"> </w:t>
      </w:r>
      <w:r w:rsidR="0063401B">
        <w:rPr>
          <w:szCs w:val="26"/>
        </w:rPr>
        <w:t>by</w:t>
      </w:r>
      <w:r w:rsidR="00365828">
        <w:rPr>
          <w:szCs w:val="26"/>
        </w:rPr>
        <w:t xml:space="preserve"> </w:t>
      </w:r>
      <w:r w:rsidR="00395B0D" w:rsidRPr="008C2FEB">
        <w:rPr>
          <w:szCs w:val="26"/>
        </w:rPr>
        <w:t>the EDCs</w:t>
      </w:r>
      <w:r w:rsidR="00EF07F7">
        <w:rPr>
          <w:szCs w:val="26"/>
        </w:rPr>
        <w:t xml:space="preserve"> submit</w:t>
      </w:r>
      <w:r w:rsidR="00894A04">
        <w:rPr>
          <w:szCs w:val="26"/>
        </w:rPr>
        <w:t>ting</w:t>
      </w:r>
      <w:r w:rsidR="00EF07F7">
        <w:rPr>
          <w:szCs w:val="26"/>
        </w:rPr>
        <w:t xml:space="preserve"> their</w:t>
      </w:r>
      <w:r w:rsidR="00395B0D" w:rsidRPr="008C2FEB">
        <w:rPr>
          <w:szCs w:val="26"/>
        </w:rPr>
        <w:t xml:space="preserve"> final annual </w:t>
      </w:r>
      <w:r w:rsidR="00EF07F7">
        <w:rPr>
          <w:szCs w:val="26"/>
        </w:rPr>
        <w:t>report</w:t>
      </w:r>
      <w:r w:rsidR="002F08E4">
        <w:rPr>
          <w:szCs w:val="26"/>
        </w:rPr>
        <w:t>s</w:t>
      </w:r>
      <w:r w:rsidR="00EF07F7">
        <w:rPr>
          <w:szCs w:val="26"/>
        </w:rPr>
        <w:t xml:space="preserve"> </w:t>
      </w:r>
      <w:r w:rsidR="00E27946">
        <w:rPr>
          <w:szCs w:val="26"/>
        </w:rPr>
        <w:t xml:space="preserve">closer to the </w:t>
      </w:r>
      <w:r w:rsidR="008E7FB3">
        <w:rPr>
          <w:szCs w:val="26"/>
        </w:rPr>
        <w:t>end</w:t>
      </w:r>
      <w:r w:rsidR="00E27946">
        <w:rPr>
          <w:szCs w:val="26"/>
        </w:rPr>
        <w:t xml:space="preserve"> of each program year.</w:t>
      </w:r>
      <w:r w:rsidR="00395B0D" w:rsidRPr="008C2FEB">
        <w:rPr>
          <w:szCs w:val="26"/>
        </w:rPr>
        <w:t xml:space="preserve"> </w:t>
      </w:r>
      <w:r w:rsidR="002B69E5">
        <w:rPr>
          <w:szCs w:val="26"/>
        </w:rPr>
        <w:t xml:space="preserve"> Therefore,</w:t>
      </w:r>
      <w:r w:rsidR="00395B0D" w:rsidRPr="008C2FEB">
        <w:rPr>
          <w:szCs w:val="26"/>
        </w:rPr>
        <w:t xml:space="preserve"> we propose th</w:t>
      </w:r>
      <w:r w:rsidR="008C2FEB">
        <w:rPr>
          <w:szCs w:val="26"/>
        </w:rPr>
        <w:t>at the EDCs submit</w:t>
      </w:r>
      <w:r w:rsidR="0028296E">
        <w:rPr>
          <w:szCs w:val="26"/>
        </w:rPr>
        <w:t xml:space="preserve"> </w:t>
      </w:r>
      <w:r w:rsidR="007E63ED">
        <w:rPr>
          <w:szCs w:val="26"/>
        </w:rPr>
        <w:t>their final annual reports</w:t>
      </w:r>
      <w:r w:rsidR="008C2FEB">
        <w:rPr>
          <w:szCs w:val="26"/>
        </w:rPr>
        <w:t xml:space="preserve"> by </w:t>
      </w:r>
      <w:r w:rsidR="00E60D09">
        <w:rPr>
          <w:szCs w:val="26"/>
        </w:rPr>
        <w:t>August 30 of each year</w:t>
      </w:r>
      <w:r w:rsidR="00BE1AAD">
        <w:rPr>
          <w:szCs w:val="26"/>
        </w:rPr>
        <w:t xml:space="preserve">, 90 days after the end </w:t>
      </w:r>
      <w:r w:rsidR="00D248CE">
        <w:rPr>
          <w:szCs w:val="26"/>
        </w:rPr>
        <w:t>of the program year</w:t>
      </w:r>
      <w:r w:rsidR="00214325">
        <w:rPr>
          <w:szCs w:val="26"/>
        </w:rPr>
        <w:t xml:space="preserve">.  </w:t>
      </w:r>
      <w:r w:rsidR="00432A9A">
        <w:rPr>
          <w:szCs w:val="26"/>
        </w:rPr>
        <w:t xml:space="preserve">Similarly, we propose that the EDCs </w:t>
      </w:r>
      <w:r w:rsidR="0016217C">
        <w:rPr>
          <w:szCs w:val="26"/>
        </w:rPr>
        <w:t xml:space="preserve">submit their semi-annual reports </w:t>
      </w:r>
      <w:r w:rsidR="00C30222">
        <w:rPr>
          <w:szCs w:val="26"/>
        </w:rPr>
        <w:t xml:space="preserve">by </w:t>
      </w:r>
      <w:r w:rsidR="001D757C" w:rsidRPr="00ED5129">
        <w:rPr>
          <w:szCs w:val="26"/>
        </w:rPr>
        <w:t>January 15</w:t>
      </w:r>
      <w:r w:rsidR="00203B7A">
        <w:rPr>
          <w:szCs w:val="26"/>
        </w:rPr>
        <w:t xml:space="preserve"> of each year</w:t>
      </w:r>
      <w:r w:rsidR="002D28A0">
        <w:rPr>
          <w:szCs w:val="26"/>
        </w:rPr>
        <w:t>.</w:t>
      </w:r>
      <w:r w:rsidR="00EB7218">
        <w:rPr>
          <w:szCs w:val="26"/>
        </w:rPr>
        <w:t xml:space="preserve"> </w:t>
      </w:r>
      <w:r w:rsidR="00AC2FC5">
        <w:rPr>
          <w:szCs w:val="26"/>
        </w:rPr>
        <w:t xml:space="preserve"> The final annual report will include</w:t>
      </w:r>
      <w:r w:rsidR="008C2FEB">
        <w:rPr>
          <w:szCs w:val="26"/>
        </w:rPr>
        <w:t xml:space="preserve"> reported savings for the program year, a cost-effectiveness evalua</w:t>
      </w:r>
      <w:r w:rsidR="00145089">
        <w:rPr>
          <w:szCs w:val="26"/>
        </w:rPr>
        <w:t>tion (TRC T</w:t>
      </w:r>
      <w:r w:rsidR="008C2FEB">
        <w:rPr>
          <w:szCs w:val="26"/>
        </w:rPr>
        <w:t xml:space="preserve">est), a process evaluation, as well as items required by Act 129 and Commission orders.  </w:t>
      </w:r>
      <w:r w:rsidR="00A718EE">
        <w:rPr>
          <w:szCs w:val="26"/>
        </w:rPr>
        <w:t>An example of the proposed EDC</w:t>
      </w:r>
      <w:r w:rsidR="000748A8">
        <w:rPr>
          <w:szCs w:val="26"/>
        </w:rPr>
        <w:t xml:space="preserve"> and </w:t>
      </w:r>
      <w:r w:rsidR="00E72DA4">
        <w:rPr>
          <w:szCs w:val="26"/>
        </w:rPr>
        <w:t>SWE</w:t>
      </w:r>
      <w:r w:rsidR="00A718EE">
        <w:rPr>
          <w:szCs w:val="26"/>
        </w:rPr>
        <w:t xml:space="preserve"> reporting schedule is outlined </w:t>
      </w:r>
      <w:r w:rsidR="000C25A4">
        <w:rPr>
          <w:szCs w:val="26"/>
        </w:rPr>
        <w:t>in</w:t>
      </w:r>
      <w:r w:rsidR="0081539A">
        <w:rPr>
          <w:szCs w:val="26"/>
        </w:rPr>
        <w:t xml:space="preserve"> Table </w:t>
      </w:r>
      <w:r w:rsidR="004451AB">
        <w:rPr>
          <w:szCs w:val="26"/>
        </w:rPr>
        <w:t>18</w:t>
      </w:r>
      <w:r w:rsidR="00A718EE">
        <w:rPr>
          <w:szCs w:val="26"/>
        </w:rPr>
        <w:t xml:space="preserve"> for </w:t>
      </w:r>
      <w:r w:rsidR="00EB7218">
        <w:rPr>
          <w:szCs w:val="26"/>
        </w:rPr>
        <w:t>PY</w:t>
      </w:r>
      <w:r w:rsidR="00AC2FC5">
        <w:rPr>
          <w:szCs w:val="26"/>
        </w:rPr>
        <w:t>13</w:t>
      </w:r>
      <w:r w:rsidR="00A718EE">
        <w:rPr>
          <w:szCs w:val="26"/>
        </w:rPr>
        <w:t xml:space="preserve"> (June 1, 20</w:t>
      </w:r>
      <w:r w:rsidR="00266A23">
        <w:rPr>
          <w:szCs w:val="26"/>
        </w:rPr>
        <w:t>21</w:t>
      </w:r>
      <w:r w:rsidR="00A718EE">
        <w:rPr>
          <w:szCs w:val="26"/>
        </w:rPr>
        <w:t xml:space="preserve"> through May 31, 20</w:t>
      </w:r>
      <w:r w:rsidR="00266A23">
        <w:rPr>
          <w:szCs w:val="26"/>
        </w:rPr>
        <w:t>22</w:t>
      </w:r>
      <w:r w:rsidR="00A718EE">
        <w:rPr>
          <w:szCs w:val="26"/>
        </w:rPr>
        <w:t xml:space="preserve">) and </w:t>
      </w:r>
      <w:r w:rsidR="00364FA8">
        <w:rPr>
          <w:szCs w:val="26"/>
        </w:rPr>
        <w:t>PY</w:t>
      </w:r>
      <w:r w:rsidR="00266A23">
        <w:rPr>
          <w:szCs w:val="26"/>
        </w:rPr>
        <w:t>14</w:t>
      </w:r>
      <w:r w:rsidR="00A718EE">
        <w:rPr>
          <w:szCs w:val="26"/>
        </w:rPr>
        <w:t xml:space="preserve"> (June 1, 20</w:t>
      </w:r>
      <w:r w:rsidR="00266A23">
        <w:rPr>
          <w:szCs w:val="26"/>
        </w:rPr>
        <w:t>22</w:t>
      </w:r>
      <w:r w:rsidR="00A718EE">
        <w:rPr>
          <w:szCs w:val="26"/>
        </w:rPr>
        <w:t xml:space="preserve"> through May 31, 20</w:t>
      </w:r>
      <w:r w:rsidR="00266A23">
        <w:rPr>
          <w:szCs w:val="26"/>
        </w:rPr>
        <w:t>23</w:t>
      </w:r>
      <w:r w:rsidR="00A718EE">
        <w:rPr>
          <w:szCs w:val="26"/>
        </w:rPr>
        <w:t>)</w:t>
      </w:r>
      <w:r w:rsidR="00785324">
        <w:rPr>
          <w:szCs w:val="26"/>
        </w:rPr>
        <w:t>.</w:t>
      </w:r>
    </w:p>
    <w:p w14:paraId="6D90F619" w14:textId="6D3E0262" w:rsidR="00841187" w:rsidRDefault="00841187" w:rsidP="009C26B1">
      <w:pPr>
        <w:pStyle w:val="p3"/>
        <w:tabs>
          <w:tab w:val="clear" w:pos="204"/>
          <w:tab w:val="left" w:pos="-2070"/>
        </w:tabs>
        <w:spacing w:line="360" w:lineRule="auto"/>
        <w:rPr>
          <w:szCs w:val="26"/>
        </w:rPr>
      </w:pPr>
    </w:p>
    <w:p w14:paraId="1B7F6545" w14:textId="2F63017D" w:rsidR="000C25A4" w:rsidRPr="001C4984" w:rsidRDefault="000C25A4" w:rsidP="000F45BB">
      <w:pPr>
        <w:pStyle w:val="Caption"/>
        <w:keepNext/>
        <w:jc w:val="center"/>
        <w:rPr>
          <w:b/>
          <w:bCs/>
          <w:i w:val="0"/>
          <w:iCs w:val="0"/>
          <w:color w:val="auto"/>
          <w:sz w:val="26"/>
          <w:szCs w:val="26"/>
        </w:rPr>
      </w:pPr>
      <w:bookmarkStart w:id="335" w:name="_Ref31528109"/>
      <w:r w:rsidRPr="001C4984">
        <w:rPr>
          <w:b/>
          <w:bCs/>
          <w:i w:val="0"/>
          <w:iCs w:val="0"/>
          <w:color w:val="auto"/>
          <w:sz w:val="26"/>
          <w:szCs w:val="26"/>
        </w:rPr>
        <w:lastRenderedPageBreak/>
        <w:t>Table</w:t>
      </w:r>
      <w:bookmarkEnd w:id="335"/>
      <w:r w:rsidR="0081539A">
        <w:rPr>
          <w:b/>
          <w:bCs/>
          <w:i w:val="0"/>
          <w:iCs w:val="0"/>
          <w:color w:val="auto"/>
          <w:sz w:val="26"/>
          <w:szCs w:val="26"/>
        </w:rPr>
        <w:t xml:space="preserve"> </w:t>
      </w:r>
      <w:r w:rsidR="004451AB">
        <w:rPr>
          <w:b/>
          <w:bCs/>
          <w:i w:val="0"/>
          <w:iCs w:val="0"/>
          <w:color w:val="auto"/>
          <w:sz w:val="26"/>
          <w:szCs w:val="26"/>
        </w:rPr>
        <w:t>18</w:t>
      </w:r>
      <w:r w:rsidRPr="001C4984">
        <w:rPr>
          <w:b/>
          <w:bCs/>
          <w:i w:val="0"/>
          <w:iCs w:val="0"/>
          <w:color w:val="auto"/>
          <w:sz w:val="26"/>
          <w:szCs w:val="26"/>
        </w:rPr>
        <w:t>: Proposed EDC and SWE Reporting Schedule</w:t>
      </w:r>
    </w:p>
    <w:tbl>
      <w:tblPr>
        <w:tblStyle w:val="List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6970"/>
      </w:tblGrid>
      <w:tr w:rsidR="000C25A4" w:rsidRPr="008F3335" w14:paraId="228211A5" w14:textId="77777777" w:rsidTr="003D7ED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380" w:type="dxa"/>
            <w:tcBorders>
              <w:right w:val="single" w:sz="4" w:space="0" w:color="FFFFFF" w:themeColor="background1"/>
            </w:tcBorders>
          </w:tcPr>
          <w:p w14:paraId="2F95C111" w14:textId="3BC0D2EF" w:rsidR="000C25A4" w:rsidRDefault="000C25A4" w:rsidP="000C25A4">
            <w:pPr>
              <w:keepNext/>
              <w:spacing w:before="80" w:after="80"/>
            </w:pPr>
            <w:r>
              <w:t>Date</w:t>
            </w:r>
          </w:p>
        </w:tc>
        <w:tc>
          <w:tcPr>
            <w:tcW w:w="6970" w:type="dxa"/>
            <w:tcBorders>
              <w:left w:val="single" w:sz="4" w:space="0" w:color="FFFFFF" w:themeColor="background1"/>
            </w:tcBorders>
          </w:tcPr>
          <w:p w14:paraId="1F1C7A07" w14:textId="42353E39" w:rsidR="000C25A4" w:rsidRDefault="000C25A4" w:rsidP="000C25A4">
            <w:pPr>
              <w:pStyle w:val="ListParagraph"/>
              <w:keepNext/>
              <w:spacing w:before="80" w:after="80"/>
              <w:ind w:left="242"/>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Milestone</w:t>
            </w:r>
          </w:p>
        </w:tc>
      </w:tr>
      <w:tr w:rsidR="00395B0D" w:rsidRPr="008F3335" w14:paraId="735DD62F" w14:textId="77777777" w:rsidTr="003D7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286E6C4F" w14:textId="04F4A829" w:rsidR="00395B0D" w:rsidRPr="000C25A4" w:rsidRDefault="009E160A" w:rsidP="000C25A4">
            <w:pPr>
              <w:keepNext/>
              <w:spacing w:before="80" w:after="80"/>
              <w:rPr>
                <w:b w:val="0"/>
                <w:bCs w:val="0"/>
                <w:sz w:val="26"/>
                <w:szCs w:val="26"/>
              </w:rPr>
            </w:pPr>
            <w:r w:rsidRPr="000C25A4">
              <w:rPr>
                <w:b w:val="0"/>
                <w:bCs w:val="0"/>
              </w:rPr>
              <w:br w:type="page"/>
            </w:r>
            <w:r w:rsidR="00395B0D" w:rsidRPr="000C25A4">
              <w:rPr>
                <w:b w:val="0"/>
                <w:bCs w:val="0"/>
                <w:sz w:val="26"/>
                <w:szCs w:val="26"/>
              </w:rPr>
              <w:t>June 1</w:t>
            </w:r>
            <w:r w:rsidR="00A718EE" w:rsidRPr="000C25A4">
              <w:rPr>
                <w:b w:val="0"/>
                <w:bCs w:val="0"/>
                <w:sz w:val="26"/>
                <w:szCs w:val="26"/>
              </w:rPr>
              <w:t>, 20</w:t>
            </w:r>
            <w:r w:rsidR="00C22E07" w:rsidRPr="000C25A4">
              <w:rPr>
                <w:b w:val="0"/>
                <w:bCs w:val="0"/>
                <w:sz w:val="26"/>
                <w:szCs w:val="26"/>
              </w:rPr>
              <w:t>21</w:t>
            </w:r>
          </w:p>
        </w:tc>
        <w:tc>
          <w:tcPr>
            <w:tcW w:w="6970" w:type="dxa"/>
          </w:tcPr>
          <w:p w14:paraId="2F3DDD41" w14:textId="2B14D5C3" w:rsidR="00395B0D" w:rsidRPr="000C25A4" w:rsidRDefault="00395B0D" w:rsidP="000C25A4">
            <w:pPr>
              <w:keepNext/>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0C25A4">
              <w:rPr>
                <w:sz w:val="26"/>
                <w:szCs w:val="26"/>
              </w:rPr>
              <w:t>B</w:t>
            </w:r>
            <w:r w:rsidR="00A718EE" w:rsidRPr="000C25A4">
              <w:rPr>
                <w:sz w:val="26"/>
                <w:szCs w:val="26"/>
              </w:rPr>
              <w:t xml:space="preserve">eginning of program year </w:t>
            </w:r>
            <w:r w:rsidR="00C22E07" w:rsidRPr="000C25A4">
              <w:rPr>
                <w:sz w:val="26"/>
                <w:szCs w:val="26"/>
              </w:rPr>
              <w:t>13</w:t>
            </w:r>
            <w:r w:rsidR="00A718EE" w:rsidRPr="000C25A4">
              <w:rPr>
                <w:sz w:val="26"/>
                <w:szCs w:val="26"/>
              </w:rPr>
              <w:t xml:space="preserve"> (PY</w:t>
            </w:r>
            <w:r w:rsidR="00C22E07" w:rsidRPr="000C25A4">
              <w:rPr>
                <w:sz w:val="26"/>
                <w:szCs w:val="26"/>
              </w:rPr>
              <w:t>13</w:t>
            </w:r>
            <w:r w:rsidR="00A718EE" w:rsidRPr="000C25A4">
              <w:rPr>
                <w:sz w:val="26"/>
                <w:szCs w:val="26"/>
              </w:rPr>
              <w:t>)</w:t>
            </w:r>
          </w:p>
        </w:tc>
      </w:tr>
      <w:tr w:rsidR="00395B0D" w:rsidRPr="008F3335" w14:paraId="1A253209" w14:textId="77777777" w:rsidTr="003D7ED7">
        <w:trPr>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71EEC587" w14:textId="415D89C9" w:rsidR="00395B0D" w:rsidRPr="000C25A4" w:rsidRDefault="00C22E07" w:rsidP="000C25A4">
            <w:pPr>
              <w:keepNext/>
              <w:spacing w:before="80" w:after="80"/>
              <w:rPr>
                <w:b w:val="0"/>
                <w:bCs w:val="0"/>
                <w:sz w:val="26"/>
                <w:szCs w:val="26"/>
              </w:rPr>
            </w:pPr>
            <w:r w:rsidRPr="000C25A4">
              <w:rPr>
                <w:b w:val="0"/>
                <w:bCs w:val="0"/>
                <w:sz w:val="26"/>
                <w:szCs w:val="26"/>
              </w:rPr>
              <w:t>January 15</w:t>
            </w:r>
            <w:r w:rsidR="00A718EE" w:rsidRPr="000C25A4">
              <w:rPr>
                <w:b w:val="0"/>
                <w:bCs w:val="0"/>
                <w:sz w:val="26"/>
                <w:szCs w:val="26"/>
              </w:rPr>
              <w:t>, 20</w:t>
            </w:r>
            <w:r w:rsidRPr="000C25A4">
              <w:rPr>
                <w:b w:val="0"/>
                <w:bCs w:val="0"/>
                <w:sz w:val="26"/>
                <w:szCs w:val="26"/>
              </w:rPr>
              <w:t>22</w:t>
            </w:r>
          </w:p>
        </w:tc>
        <w:tc>
          <w:tcPr>
            <w:tcW w:w="6970" w:type="dxa"/>
          </w:tcPr>
          <w:p w14:paraId="701CC101" w14:textId="76D9FE42" w:rsidR="00395B0D" w:rsidRPr="000C25A4" w:rsidRDefault="00A718EE" w:rsidP="000C25A4">
            <w:pPr>
              <w:keepNext/>
              <w:spacing w:before="80" w:after="80"/>
              <w:cnfStyle w:val="000000000000" w:firstRow="0" w:lastRow="0" w:firstColumn="0" w:lastColumn="0" w:oddVBand="0" w:evenVBand="0" w:oddHBand="0" w:evenHBand="0" w:firstRowFirstColumn="0" w:firstRowLastColumn="0" w:lastRowFirstColumn="0" w:lastRowLastColumn="0"/>
              <w:rPr>
                <w:sz w:val="26"/>
                <w:szCs w:val="26"/>
              </w:rPr>
            </w:pPr>
            <w:r w:rsidRPr="000C25A4">
              <w:rPr>
                <w:sz w:val="26"/>
                <w:szCs w:val="26"/>
              </w:rPr>
              <w:t>PY</w:t>
            </w:r>
            <w:r w:rsidR="00C22E07" w:rsidRPr="000C25A4">
              <w:rPr>
                <w:sz w:val="26"/>
                <w:szCs w:val="26"/>
              </w:rPr>
              <w:t>13</w:t>
            </w:r>
            <w:r w:rsidRPr="000C25A4">
              <w:rPr>
                <w:sz w:val="26"/>
                <w:szCs w:val="26"/>
              </w:rPr>
              <w:t xml:space="preserve"> </w:t>
            </w:r>
            <w:r w:rsidR="000C25A4">
              <w:rPr>
                <w:sz w:val="26"/>
                <w:szCs w:val="26"/>
              </w:rPr>
              <w:t xml:space="preserve">EDC </w:t>
            </w:r>
            <w:r w:rsidR="00395B0D" w:rsidRPr="000C25A4">
              <w:rPr>
                <w:sz w:val="26"/>
                <w:szCs w:val="26"/>
              </w:rPr>
              <w:t>Semi</w:t>
            </w:r>
            <w:r w:rsidR="00100376">
              <w:rPr>
                <w:sz w:val="26"/>
                <w:szCs w:val="26"/>
              </w:rPr>
              <w:t>-</w:t>
            </w:r>
            <w:r w:rsidR="00395B0D" w:rsidRPr="000C25A4">
              <w:rPr>
                <w:sz w:val="26"/>
                <w:szCs w:val="26"/>
              </w:rPr>
              <w:t>annual Report</w:t>
            </w:r>
            <w:r w:rsidR="008C2FEB" w:rsidRPr="000C25A4">
              <w:rPr>
                <w:sz w:val="26"/>
                <w:szCs w:val="26"/>
              </w:rPr>
              <w:t xml:space="preserve"> –</w:t>
            </w:r>
            <w:r w:rsidRPr="000C25A4">
              <w:rPr>
                <w:sz w:val="26"/>
                <w:szCs w:val="26"/>
              </w:rPr>
              <w:t xml:space="preserve"> report</w:t>
            </w:r>
            <w:r w:rsidR="008C2FEB" w:rsidRPr="000C25A4">
              <w:rPr>
                <w:sz w:val="26"/>
                <w:szCs w:val="26"/>
              </w:rPr>
              <w:t xml:space="preserve"> regarding the first six months of </w:t>
            </w:r>
            <w:r w:rsidRPr="000C25A4">
              <w:rPr>
                <w:sz w:val="26"/>
                <w:szCs w:val="26"/>
              </w:rPr>
              <w:t>PY</w:t>
            </w:r>
            <w:r w:rsidR="00C22E07" w:rsidRPr="000C25A4">
              <w:rPr>
                <w:sz w:val="26"/>
                <w:szCs w:val="26"/>
              </w:rPr>
              <w:t>13</w:t>
            </w:r>
          </w:p>
        </w:tc>
      </w:tr>
      <w:tr w:rsidR="00116848" w:rsidRPr="008F3335" w14:paraId="39F2CB57" w14:textId="77777777" w:rsidTr="003D7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572182D3" w14:textId="69F27C6D" w:rsidR="00116848" w:rsidRPr="000C25A4" w:rsidRDefault="00B704BF" w:rsidP="000C25A4">
            <w:pPr>
              <w:keepNext/>
              <w:spacing w:before="80" w:after="80"/>
              <w:rPr>
                <w:b w:val="0"/>
                <w:bCs w:val="0"/>
                <w:sz w:val="26"/>
                <w:szCs w:val="26"/>
              </w:rPr>
            </w:pPr>
            <w:r w:rsidRPr="000C25A4">
              <w:rPr>
                <w:b w:val="0"/>
                <w:bCs w:val="0"/>
                <w:sz w:val="26"/>
                <w:szCs w:val="26"/>
              </w:rPr>
              <w:t>February 28, 2022</w:t>
            </w:r>
          </w:p>
        </w:tc>
        <w:tc>
          <w:tcPr>
            <w:tcW w:w="6970" w:type="dxa"/>
          </w:tcPr>
          <w:p w14:paraId="3BA4BCFB" w14:textId="1E95F27A" w:rsidR="00116848" w:rsidRPr="000C25A4" w:rsidRDefault="00B704BF" w:rsidP="000C25A4">
            <w:pPr>
              <w:keepNext/>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0C25A4">
              <w:rPr>
                <w:sz w:val="26"/>
                <w:szCs w:val="26"/>
              </w:rPr>
              <w:t>PY13 SWE Semi</w:t>
            </w:r>
            <w:r w:rsidR="00100376">
              <w:rPr>
                <w:sz w:val="26"/>
                <w:szCs w:val="26"/>
              </w:rPr>
              <w:t>-</w:t>
            </w:r>
            <w:r w:rsidRPr="000C25A4">
              <w:rPr>
                <w:sz w:val="26"/>
                <w:szCs w:val="26"/>
              </w:rPr>
              <w:t xml:space="preserve">annual report – report </w:t>
            </w:r>
            <w:r w:rsidR="00040599" w:rsidRPr="000C25A4">
              <w:rPr>
                <w:sz w:val="26"/>
                <w:szCs w:val="26"/>
              </w:rPr>
              <w:t>summarizing and</w:t>
            </w:r>
            <w:r w:rsidR="00484146" w:rsidRPr="000C25A4">
              <w:rPr>
                <w:sz w:val="26"/>
                <w:szCs w:val="26"/>
              </w:rPr>
              <w:t xml:space="preserve"> auditing EDC </w:t>
            </w:r>
            <w:r w:rsidR="00E41EBE" w:rsidRPr="000C25A4">
              <w:rPr>
                <w:sz w:val="26"/>
                <w:szCs w:val="26"/>
              </w:rPr>
              <w:t>PY13</w:t>
            </w:r>
            <w:r w:rsidR="00484146" w:rsidRPr="000C25A4">
              <w:rPr>
                <w:sz w:val="26"/>
                <w:szCs w:val="26"/>
              </w:rPr>
              <w:t xml:space="preserve"> Semi</w:t>
            </w:r>
            <w:r w:rsidR="00FD7C19">
              <w:rPr>
                <w:sz w:val="26"/>
                <w:szCs w:val="26"/>
              </w:rPr>
              <w:t>-</w:t>
            </w:r>
            <w:r w:rsidR="00484146" w:rsidRPr="000C25A4">
              <w:rPr>
                <w:sz w:val="26"/>
                <w:szCs w:val="26"/>
              </w:rPr>
              <w:t xml:space="preserve">annual Reports </w:t>
            </w:r>
          </w:p>
        </w:tc>
      </w:tr>
      <w:tr w:rsidR="00A718EE" w:rsidRPr="008F3335" w14:paraId="5CB8EFE0" w14:textId="77777777" w:rsidTr="003D7ED7">
        <w:trPr>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1FFD41B0" w14:textId="55440470" w:rsidR="00A718EE" w:rsidRPr="000C25A4" w:rsidRDefault="00A718EE" w:rsidP="000C25A4">
            <w:pPr>
              <w:keepNext/>
              <w:spacing w:before="80" w:after="80"/>
              <w:rPr>
                <w:b w:val="0"/>
                <w:bCs w:val="0"/>
                <w:sz w:val="26"/>
                <w:szCs w:val="26"/>
              </w:rPr>
            </w:pPr>
            <w:r w:rsidRPr="000C25A4">
              <w:rPr>
                <w:b w:val="0"/>
                <w:bCs w:val="0"/>
                <w:sz w:val="26"/>
                <w:szCs w:val="26"/>
              </w:rPr>
              <w:t>June 1, 20</w:t>
            </w:r>
            <w:r w:rsidR="00C22E07" w:rsidRPr="000C25A4">
              <w:rPr>
                <w:b w:val="0"/>
                <w:bCs w:val="0"/>
                <w:sz w:val="26"/>
                <w:szCs w:val="26"/>
              </w:rPr>
              <w:t>22</w:t>
            </w:r>
          </w:p>
        </w:tc>
        <w:tc>
          <w:tcPr>
            <w:tcW w:w="6970" w:type="dxa"/>
          </w:tcPr>
          <w:p w14:paraId="51CDBC2D" w14:textId="528A8780" w:rsidR="00A718EE" w:rsidRPr="000C25A4" w:rsidRDefault="00A718EE" w:rsidP="000C25A4">
            <w:pPr>
              <w:keepNext/>
              <w:spacing w:before="80" w:after="80"/>
              <w:cnfStyle w:val="000000000000" w:firstRow="0" w:lastRow="0" w:firstColumn="0" w:lastColumn="0" w:oddVBand="0" w:evenVBand="0" w:oddHBand="0" w:evenHBand="0" w:firstRowFirstColumn="0" w:firstRowLastColumn="0" w:lastRowFirstColumn="0" w:lastRowLastColumn="0"/>
              <w:rPr>
                <w:sz w:val="26"/>
                <w:szCs w:val="26"/>
              </w:rPr>
            </w:pPr>
            <w:r w:rsidRPr="000C25A4">
              <w:rPr>
                <w:sz w:val="26"/>
                <w:szCs w:val="26"/>
              </w:rPr>
              <w:t xml:space="preserve">Beginning of program year </w:t>
            </w:r>
            <w:r w:rsidR="00C22E07" w:rsidRPr="000C25A4">
              <w:rPr>
                <w:sz w:val="26"/>
                <w:szCs w:val="26"/>
              </w:rPr>
              <w:t>14</w:t>
            </w:r>
            <w:r w:rsidRPr="000C25A4">
              <w:rPr>
                <w:sz w:val="26"/>
                <w:szCs w:val="26"/>
              </w:rPr>
              <w:t xml:space="preserve"> (PY</w:t>
            </w:r>
            <w:r w:rsidR="00C22E07" w:rsidRPr="000C25A4">
              <w:rPr>
                <w:sz w:val="26"/>
                <w:szCs w:val="26"/>
              </w:rPr>
              <w:t>14</w:t>
            </w:r>
            <w:r w:rsidRPr="000C25A4">
              <w:rPr>
                <w:sz w:val="26"/>
                <w:szCs w:val="26"/>
              </w:rPr>
              <w:t>)</w:t>
            </w:r>
          </w:p>
        </w:tc>
      </w:tr>
      <w:tr w:rsidR="00395B0D" w:rsidRPr="008F3335" w14:paraId="40E048E6" w14:textId="77777777" w:rsidTr="003D7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5F192772" w14:textId="29472E0F" w:rsidR="00395B0D" w:rsidRPr="000C25A4" w:rsidRDefault="00C22E07" w:rsidP="000C25A4">
            <w:pPr>
              <w:keepNext/>
              <w:spacing w:before="80" w:after="80"/>
              <w:rPr>
                <w:b w:val="0"/>
                <w:bCs w:val="0"/>
                <w:sz w:val="26"/>
                <w:szCs w:val="26"/>
              </w:rPr>
            </w:pPr>
            <w:r w:rsidRPr="000C25A4">
              <w:rPr>
                <w:b w:val="0"/>
                <w:bCs w:val="0"/>
                <w:sz w:val="26"/>
                <w:szCs w:val="26"/>
              </w:rPr>
              <w:t>August 30</w:t>
            </w:r>
            <w:r w:rsidR="00A718EE" w:rsidRPr="000C25A4">
              <w:rPr>
                <w:b w:val="0"/>
                <w:bCs w:val="0"/>
                <w:sz w:val="26"/>
                <w:szCs w:val="26"/>
              </w:rPr>
              <w:t>, 20</w:t>
            </w:r>
            <w:r w:rsidRPr="000C25A4">
              <w:rPr>
                <w:b w:val="0"/>
                <w:bCs w:val="0"/>
                <w:sz w:val="26"/>
                <w:szCs w:val="26"/>
              </w:rPr>
              <w:t>22</w:t>
            </w:r>
          </w:p>
        </w:tc>
        <w:tc>
          <w:tcPr>
            <w:tcW w:w="6970" w:type="dxa"/>
          </w:tcPr>
          <w:p w14:paraId="630B3AEC" w14:textId="074A0087" w:rsidR="00395B0D" w:rsidRPr="000C25A4" w:rsidRDefault="00A718EE" w:rsidP="000C25A4">
            <w:pPr>
              <w:keepNext/>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0C25A4">
              <w:rPr>
                <w:sz w:val="26"/>
                <w:szCs w:val="26"/>
              </w:rPr>
              <w:t>PY</w:t>
            </w:r>
            <w:r w:rsidR="00C22E07" w:rsidRPr="000C25A4">
              <w:rPr>
                <w:sz w:val="26"/>
                <w:szCs w:val="26"/>
              </w:rPr>
              <w:t>13</w:t>
            </w:r>
            <w:r w:rsidRPr="000C25A4">
              <w:rPr>
                <w:sz w:val="26"/>
                <w:szCs w:val="26"/>
              </w:rPr>
              <w:t xml:space="preserve"> </w:t>
            </w:r>
            <w:r w:rsidR="000C25A4">
              <w:rPr>
                <w:sz w:val="26"/>
                <w:szCs w:val="26"/>
              </w:rPr>
              <w:t xml:space="preserve">EDC </w:t>
            </w:r>
            <w:r w:rsidR="008C2FEB" w:rsidRPr="000C25A4">
              <w:rPr>
                <w:sz w:val="26"/>
                <w:szCs w:val="26"/>
              </w:rPr>
              <w:t xml:space="preserve">Final Annual Report - reported savings for </w:t>
            </w:r>
            <w:r w:rsidRPr="000C25A4">
              <w:rPr>
                <w:sz w:val="26"/>
                <w:szCs w:val="26"/>
              </w:rPr>
              <w:t>PY</w:t>
            </w:r>
            <w:r w:rsidR="00484146" w:rsidRPr="000C25A4">
              <w:rPr>
                <w:sz w:val="26"/>
                <w:szCs w:val="26"/>
              </w:rPr>
              <w:t>13</w:t>
            </w:r>
            <w:r w:rsidR="008C2FEB" w:rsidRPr="000C25A4">
              <w:rPr>
                <w:sz w:val="26"/>
                <w:szCs w:val="26"/>
              </w:rPr>
              <w:t>, a cost</w:t>
            </w:r>
            <w:r w:rsidR="00145089" w:rsidRPr="000C25A4">
              <w:rPr>
                <w:sz w:val="26"/>
                <w:szCs w:val="26"/>
              </w:rPr>
              <w:t>-effectiveness evaluation (TRC T</w:t>
            </w:r>
            <w:r w:rsidR="008C2FEB" w:rsidRPr="000C25A4">
              <w:rPr>
                <w:sz w:val="26"/>
                <w:szCs w:val="26"/>
              </w:rPr>
              <w:t>est), a process evaluation, as well as items required by Act 129 and Commission orders</w:t>
            </w:r>
          </w:p>
        </w:tc>
      </w:tr>
      <w:tr w:rsidR="002A27DF" w:rsidRPr="008F3335" w14:paraId="58DE1C0B" w14:textId="77777777" w:rsidTr="003D7ED7">
        <w:trPr>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57A48F43" w14:textId="36E9DD80" w:rsidR="002A27DF" w:rsidRPr="000C25A4" w:rsidRDefault="00A176A0" w:rsidP="000C25A4">
            <w:pPr>
              <w:keepNext/>
              <w:spacing w:before="80" w:after="80"/>
              <w:rPr>
                <w:b w:val="0"/>
                <w:bCs w:val="0"/>
                <w:sz w:val="26"/>
                <w:szCs w:val="26"/>
              </w:rPr>
            </w:pPr>
            <w:r w:rsidRPr="000C25A4">
              <w:rPr>
                <w:b w:val="0"/>
                <w:bCs w:val="0"/>
                <w:sz w:val="26"/>
                <w:szCs w:val="26"/>
              </w:rPr>
              <w:t>October 30, 2022</w:t>
            </w:r>
          </w:p>
        </w:tc>
        <w:tc>
          <w:tcPr>
            <w:tcW w:w="6970" w:type="dxa"/>
          </w:tcPr>
          <w:p w14:paraId="5F18E38A" w14:textId="3D02ECA5" w:rsidR="002A27DF" w:rsidRPr="000C25A4" w:rsidRDefault="00A176A0" w:rsidP="000C25A4">
            <w:pPr>
              <w:keepNext/>
              <w:spacing w:before="80" w:after="80"/>
              <w:cnfStyle w:val="000000000000" w:firstRow="0" w:lastRow="0" w:firstColumn="0" w:lastColumn="0" w:oddVBand="0" w:evenVBand="0" w:oddHBand="0" w:evenHBand="0" w:firstRowFirstColumn="0" w:firstRowLastColumn="0" w:lastRowFirstColumn="0" w:lastRowLastColumn="0"/>
              <w:rPr>
                <w:sz w:val="26"/>
                <w:szCs w:val="26"/>
              </w:rPr>
            </w:pPr>
            <w:r w:rsidRPr="000C25A4">
              <w:rPr>
                <w:sz w:val="26"/>
                <w:szCs w:val="26"/>
              </w:rPr>
              <w:t xml:space="preserve">PY13 </w:t>
            </w:r>
            <w:r w:rsidR="001C36E9" w:rsidRPr="000C25A4">
              <w:rPr>
                <w:sz w:val="26"/>
                <w:szCs w:val="26"/>
              </w:rPr>
              <w:t xml:space="preserve">SWE Final Annual Report – report summarizing and auditing EDC </w:t>
            </w:r>
            <w:r w:rsidR="00E41EBE" w:rsidRPr="000C25A4">
              <w:rPr>
                <w:sz w:val="26"/>
                <w:szCs w:val="26"/>
              </w:rPr>
              <w:t xml:space="preserve">PY13 </w:t>
            </w:r>
            <w:r w:rsidR="001C36E9" w:rsidRPr="000C25A4">
              <w:rPr>
                <w:sz w:val="26"/>
                <w:szCs w:val="26"/>
              </w:rPr>
              <w:t>Final Annual Reports</w:t>
            </w:r>
          </w:p>
        </w:tc>
      </w:tr>
      <w:tr w:rsidR="00A718EE" w:rsidRPr="008F3335" w14:paraId="3E83B1A6" w14:textId="77777777" w:rsidTr="003D7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77597F3C" w14:textId="3A7B4199" w:rsidR="00A718EE" w:rsidRPr="000C25A4" w:rsidRDefault="001C36E9" w:rsidP="000C25A4">
            <w:pPr>
              <w:keepNext/>
              <w:spacing w:before="80" w:after="80"/>
              <w:rPr>
                <w:b w:val="0"/>
                <w:bCs w:val="0"/>
                <w:sz w:val="26"/>
                <w:szCs w:val="26"/>
              </w:rPr>
            </w:pPr>
            <w:r w:rsidRPr="000C25A4">
              <w:rPr>
                <w:b w:val="0"/>
                <w:bCs w:val="0"/>
                <w:sz w:val="26"/>
                <w:szCs w:val="26"/>
              </w:rPr>
              <w:t>January 15, 2023</w:t>
            </w:r>
          </w:p>
        </w:tc>
        <w:tc>
          <w:tcPr>
            <w:tcW w:w="6970" w:type="dxa"/>
          </w:tcPr>
          <w:p w14:paraId="3F731F47" w14:textId="04C66BEE" w:rsidR="00A718EE" w:rsidRPr="000C25A4" w:rsidRDefault="00A718EE" w:rsidP="000C25A4">
            <w:pPr>
              <w:keepNext/>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0C25A4">
              <w:rPr>
                <w:sz w:val="26"/>
                <w:szCs w:val="26"/>
              </w:rPr>
              <w:t>PY</w:t>
            </w:r>
            <w:r w:rsidR="001C36E9" w:rsidRPr="000C25A4">
              <w:rPr>
                <w:sz w:val="26"/>
                <w:szCs w:val="26"/>
              </w:rPr>
              <w:t>14</w:t>
            </w:r>
            <w:r w:rsidRPr="000C25A4">
              <w:rPr>
                <w:sz w:val="26"/>
                <w:szCs w:val="26"/>
              </w:rPr>
              <w:t xml:space="preserve"> </w:t>
            </w:r>
            <w:r w:rsidR="000C25A4">
              <w:rPr>
                <w:sz w:val="26"/>
                <w:szCs w:val="26"/>
              </w:rPr>
              <w:t xml:space="preserve">EDC </w:t>
            </w:r>
            <w:r w:rsidRPr="000C25A4">
              <w:rPr>
                <w:sz w:val="26"/>
                <w:szCs w:val="26"/>
              </w:rPr>
              <w:t>Semi</w:t>
            </w:r>
            <w:r w:rsidR="00100376">
              <w:rPr>
                <w:sz w:val="26"/>
                <w:szCs w:val="26"/>
              </w:rPr>
              <w:t>-</w:t>
            </w:r>
            <w:r w:rsidRPr="000C25A4">
              <w:rPr>
                <w:sz w:val="26"/>
                <w:szCs w:val="26"/>
              </w:rPr>
              <w:t>annual Report – report regarding the first six months of PY</w:t>
            </w:r>
            <w:r w:rsidR="001C36E9" w:rsidRPr="000C25A4">
              <w:rPr>
                <w:sz w:val="26"/>
                <w:szCs w:val="26"/>
              </w:rPr>
              <w:t>14</w:t>
            </w:r>
          </w:p>
        </w:tc>
      </w:tr>
      <w:tr w:rsidR="001C36E9" w:rsidRPr="008F3335" w14:paraId="4F61E457" w14:textId="77777777" w:rsidTr="003D7ED7">
        <w:trPr>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79146784" w14:textId="2C294EA4" w:rsidR="001C36E9" w:rsidRPr="000C25A4" w:rsidRDefault="001C36E9" w:rsidP="000C25A4">
            <w:pPr>
              <w:keepNext/>
              <w:spacing w:before="80" w:after="80"/>
              <w:rPr>
                <w:b w:val="0"/>
                <w:bCs w:val="0"/>
                <w:sz w:val="26"/>
                <w:szCs w:val="26"/>
              </w:rPr>
            </w:pPr>
            <w:r w:rsidRPr="000C25A4">
              <w:rPr>
                <w:b w:val="0"/>
                <w:bCs w:val="0"/>
                <w:sz w:val="26"/>
                <w:szCs w:val="26"/>
              </w:rPr>
              <w:t>February 28, 2023</w:t>
            </w:r>
          </w:p>
        </w:tc>
        <w:tc>
          <w:tcPr>
            <w:tcW w:w="6970" w:type="dxa"/>
          </w:tcPr>
          <w:p w14:paraId="1ED43E2C" w14:textId="7983FEAB" w:rsidR="001C36E9" w:rsidRPr="000C25A4" w:rsidRDefault="001C36E9" w:rsidP="000C25A4">
            <w:pPr>
              <w:keepNext/>
              <w:spacing w:before="80" w:after="80"/>
              <w:cnfStyle w:val="000000000000" w:firstRow="0" w:lastRow="0" w:firstColumn="0" w:lastColumn="0" w:oddVBand="0" w:evenVBand="0" w:oddHBand="0" w:evenHBand="0" w:firstRowFirstColumn="0" w:firstRowLastColumn="0" w:lastRowFirstColumn="0" w:lastRowLastColumn="0"/>
              <w:rPr>
                <w:sz w:val="26"/>
                <w:szCs w:val="26"/>
              </w:rPr>
            </w:pPr>
            <w:r w:rsidRPr="000C25A4">
              <w:rPr>
                <w:sz w:val="26"/>
                <w:szCs w:val="26"/>
              </w:rPr>
              <w:t>PY14 SWE Semi</w:t>
            </w:r>
            <w:r w:rsidR="00100376">
              <w:rPr>
                <w:sz w:val="26"/>
                <w:szCs w:val="26"/>
              </w:rPr>
              <w:t>-</w:t>
            </w:r>
            <w:r w:rsidRPr="000C25A4">
              <w:rPr>
                <w:sz w:val="26"/>
                <w:szCs w:val="26"/>
              </w:rPr>
              <w:t xml:space="preserve">annual report – report summarizing and auditing EDC </w:t>
            </w:r>
            <w:r w:rsidR="00E41EBE" w:rsidRPr="000C25A4">
              <w:rPr>
                <w:sz w:val="26"/>
                <w:szCs w:val="26"/>
              </w:rPr>
              <w:t xml:space="preserve">PY14 </w:t>
            </w:r>
            <w:r w:rsidRPr="000C25A4">
              <w:rPr>
                <w:sz w:val="26"/>
                <w:szCs w:val="26"/>
              </w:rPr>
              <w:t>Semi</w:t>
            </w:r>
            <w:r w:rsidR="00FD7C19">
              <w:rPr>
                <w:sz w:val="26"/>
                <w:szCs w:val="26"/>
              </w:rPr>
              <w:t>-</w:t>
            </w:r>
            <w:r w:rsidRPr="000C25A4">
              <w:rPr>
                <w:sz w:val="26"/>
                <w:szCs w:val="26"/>
              </w:rPr>
              <w:t xml:space="preserve">annual Reports </w:t>
            </w:r>
          </w:p>
        </w:tc>
      </w:tr>
      <w:tr w:rsidR="00A718EE" w:rsidRPr="008F3335" w14:paraId="4725E636" w14:textId="77777777" w:rsidTr="003D7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5D42F263" w14:textId="221C1008" w:rsidR="00A718EE" w:rsidRPr="000C25A4" w:rsidRDefault="00A718EE" w:rsidP="000C25A4">
            <w:pPr>
              <w:keepNext/>
              <w:spacing w:before="80" w:after="80"/>
              <w:rPr>
                <w:b w:val="0"/>
                <w:bCs w:val="0"/>
                <w:sz w:val="26"/>
                <w:szCs w:val="26"/>
              </w:rPr>
            </w:pPr>
            <w:r w:rsidRPr="000C25A4">
              <w:rPr>
                <w:b w:val="0"/>
                <w:bCs w:val="0"/>
                <w:sz w:val="26"/>
                <w:szCs w:val="26"/>
              </w:rPr>
              <w:t xml:space="preserve">June 1, </w:t>
            </w:r>
            <w:r w:rsidR="001C36E9" w:rsidRPr="000C25A4">
              <w:rPr>
                <w:b w:val="0"/>
                <w:bCs w:val="0"/>
                <w:sz w:val="26"/>
                <w:szCs w:val="26"/>
              </w:rPr>
              <w:t>2023</w:t>
            </w:r>
          </w:p>
        </w:tc>
        <w:tc>
          <w:tcPr>
            <w:tcW w:w="6970" w:type="dxa"/>
          </w:tcPr>
          <w:p w14:paraId="6C59ABEF" w14:textId="031B840F" w:rsidR="00A718EE" w:rsidRPr="000C25A4" w:rsidRDefault="00A718EE" w:rsidP="000C25A4">
            <w:pPr>
              <w:keepNext/>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0C25A4">
              <w:rPr>
                <w:sz w:val="26"/>
                <w:szCs w:val="26"/>
              </w:rPr>
              <w:t xml:space="preserve">Beginning of program year </w:t>
            </w:r>
            <w:r w:rsidR="001C36E9" w:rsidRPr="000C25A4">
              <w:rPr>
                <w:sz w:val="26"/>
                <w:szCs w:val="26"/>
              </w:rPr>
              <w:t>15</w:t>
            </w:r>
            <w:r w:rsidRPr="000C25A4">
              <w:rPr>
                <w:sz w:val="26"/>
                <w:szCs w:val="26"/>
              </w:rPr>
              <w:t xml:space="preserve"> (PY</w:t>
            </w:r>
            <w:r w:rsidR="001C36E9" w:rsidRPr="000C25A4">
              <w:rPr>
                <w:sz w:val="26"/>
                <w:szCs w:val="26"/>
              </w:rPr>
              <w:t>15</w:t>
            </w:r>
            <w:r w:rsidRPr="000C25A4">
              <w:rPr>
                <w:sz w:val="26"/>
                <w:szCs w:val="26"/>
              </w:rPr>
              <w:t>)</w:t>
            </w:r>
          </w:p>
        </w:tc>
      </w:tr>
      <w:tr w:rsidR="00A718EE" w:rsidRPr="008F3335" w14:paraId="5728592C" w14:textId="77777777" w:rsidTr="003D7ED7">
        <w:trPr>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13FD7F29" w14:textId="3DAF619C" w:rsidR="00A718EE" w:rsidRPr="000C25A4" w:rsidRDefault="001C36E9" w:rsidP="000C25A4">
            <w:pPr>
              <w:keepNext/>
              <w:spacing w:before="80" w:after="80"/>
              <w:rPr>
                <w:b w:val="0"/>
                <w:bCs w:val="0"/>
                <w:sz w:val="26"/>
                <w:szCs w:val="26"/>
              </w:rPr>
            </w:pPr>
            <w:r w:rsidRPr="000C25A4">
              <w:rPr>
                <w:b w:val="0"/>
                <w:bCs w:val="0"/>
                <w:sz w:val="26"/>
                <w:szCs w:val="26"/>
              </w:rPr>
              <w:t>August 30, 2023</w:t>
            </w:r>
          </w:p>
        </w:tc>
        <w:tc>
          <w:tcPr>
            <w:tcW w:w="6970" w:type="dxa"/>
          </w:tcPr>
          <w:p w14:paraId="7F03FDB1" w14:textId="64FA9F5F" w:rsidR="00A718EE" w:rsidRPr="000C25A4" w:rsidRDefault="001C36E9" w:rsidP="000C25A4">
            <w:pPr>
              <w:keepNext/>
              <w:spacing w:before="80" w:after="80"/>
              <w:cnfStyle w:val="000000000000" w:firstRow="0" w:lastRow="0" w:firstColumn="0" w:lastColumn="0" w:oddVBand="0" w:evenVBand="0" w:oddHBand="0" w:evenHBand="0" w:firstRowFirstColumn="0" w:firstRowLastColumn="0" w:lastRowFirstColumn="0" w:lastRowLastColumn="0"/>
              <w:rPr>
                <w:sz w:val="26"/>
                <w:szCs w:val="26"/>
              </w:rPr>
            </w:pPr>
            <w:r w:rsidRPr="000C25A4">
              <w:rPr>
                <w:sz w:val="26"/>
                <w:szCs w:val="26"/>
              </w:rPr>
              <w:t xml:space="preserve">PY14 </w:t>
            </w:r>
            <w:r w:rsidR="000C25A4">
              <w:rPr>
                <w:sz w:val="26"/>
                <w:szCs w:val="26"/>
              </w:rPr>
              <w:t xml:space="preserve">EDC </w:t>
            </w:r>
            <w:r w:rsidRPr="000C25A4">
              <w:rPr>
                <w:sz w:val="26"/>
                <w:szCs w:val="26"/>
              </w:rPr>
              <w:t>Final Annual Report - reported savings for PY14, a cost-effectiveness evaluation (TRC Test), a process evaluation, as well as items required by Act 129 and Commission orders</w:t>
            </w:r>
          </w:p>
        </w:tc>
      </w:tr>
      <w:tr w:rsidR="00A718EE" w:rsidRPr="008F3335" w14:paraId="2BD83E96" w14:textId="77777777" w:rsidTr="003D7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80" w:type="dxa"/>
            <w:vAlign w:val="center"/>
          </w:tcPr>
          <w:p w14:paraId="41F1E026" w14:textId="3480E8D9" w:rsidR="00A718EE" w:rsidRPr="000C25A4" w:rsidRDefault="001C36E9" w:rsidP="000C25A4">
            <w:pPr>
              <w:keepNext/>
              <w:spacing w:before="80" w:after="80"/>
              <w:rPr>
                <w:b w:val="0"/>
                <w:bCs w:val="0"/>
                <w:sz w:val="26"/>
                <w:szCs w:val="26"/>
              </w:rPr>
            </w:pPr>
            <w:r w:rsidRPr="000C25A4">
              <w:rPr>
                <w:b w:val="0"/>
                <w:bCs w:val="0"/>
                <w:sz w:val="26"/>
                <w:szCs w:val="26"/>
              </w:rPr>
              <w:t>October 30, 2023</w:t>
            </w:r>
          </w:p>
        </w:tc>
        <w:tc>
          <w:tcPr>
            <w:tcW w:w="6970" w:type="dxa"/>
          </w:tcPr>
          <w:p w14:paraId="7730F29C" w14:textId="7DC0FD3D" w:rsidR="00A718EE" w:rsidRPr="000C25A4" w:rsidRDefault="001C36E9" w:rsidP="000C25A4">
            <w:pPr>
              <w:keepNext/>
              <w:spacing w:before="80" w:after="80"/>
              <w:cnfStyle w:val="000000100000" w:firstRow="0" w:lastRow="0" w:firstColumn="0" w:lastColumn="0" w:oddVBand="0" w:evenVBand="0" w:oddHBand="1" w:evenHBand="0" w:firstRowFirstColumn="0" w:firstRowLastColumn="0" w:lastRowFirstColumn="0" w:lastRowLastColumn="0"/>
              <w:rPr>
                <w:sz w:val="26"/>
                <w:szCs w:val="26"/>
              </w:rPr>
            </w:pPr>
            <w:r w:rsidRPr="000C25A4">
              <w:rPr>
                <w:sz w:val="26"/>
                <w:szCs w:val="26"/>
              </w:rPr>
              <w:t xml:space="preserve">PY14 SWE Final Annual Report – report summarizing and auditing EDC </w:t>
            </w:r>
            <w:r w:rsidR="00E41EBE" w:rsidRPr="000C25A4">
              <w:rPr>
                <w:sz w:val="26"/>
                <w:szCs w:val="26"/>
              </w:rPr>
              <w:t>PY14</w:t>
            </w:r>
            <w:r w:rsidRPr="000C25A4">
              <w:rPr>
                <w:sz w:val="26"/>
                <w:szCs w:val="26"/>
              </w:rPr>
              <w:t xml:space="preserve"> Final Annual Reports</w:t>
            </w:r>
          </w:p>
        </w:tc>
      </w:tr>
    </w:tbl>
    <w:p w14:paraId="21E5DA55" w14:textId="0B416B59" w:rsidR="00B0774D" w:rsidRDefault="00B0774D" w:rsidP="0009548F">
      <w:pPr>
        <w:pStyle w:val="p3"/>
        <w:widowControl/>
        <w:tabs>
          <w:tab w:val="clear" w:pos="204"/>
          <w:tab w:val="left" w:pos="-2070"/>
        </w:tabs>
        <w:spacing w:line="360" w:lineRule="auto"/>
        <w:rPr>
          <w:szCs w:val="26"/>
        </w:rPr>
      </w:pPr>
    </w:p>
    <w:p w14:paraId="09F5C08E" w14:textId="77777777" w:rsidR="002719B7" w:rsidRPr="00235CED" w:rsidRDefault="002719B7" w:rsidP="00A71AC9">
      <w:pPr>
        <w:pStyle w:val="Heading2"/>
      </w:pPr>
      <w:bookmarkStart w:id="336" w:name="_Toc33782018"/>
      <w:r w:rsidRPr="00235CED">
        <w:t>Benefit</w:t>
      </w:r>
      <w:r w:rsidR="00F413C8">
        <w:t xml:space="preserve"> - Cost</w:t>
      </w:r>
      <w:r w:rsidRPr="00235CED">
        <w:t xml:space="preserve"> Analysis Approval Process</w:t>
      </w:r>
      <w:bookmarkEnd w:id="336"/>
    </w:p>
    <w:p w14:paraId="34F3C118" w14:textId="1DEF2782" w:rsidR="00AC09D3" w:rsidRPr="00A30580" w:rsidRDefault="002719B7" w:rsidP="0009548F">
      <w:pPr>
        <w:autoSpaceDE w:val="0"/>
        <w:autoSpaceDN w:val="0"/>
        <w:adjustRightInd w:val="0"/>
        <w:spacing w:line="360" w:lineRule="auto"/>
        <w:rPr>
          <w:bCs/>
          <w:sz w:val="26"/>
          <w:szCs w:val="26"/>
        </w:rPr>
      </w:pPr>
      <w:r w:rsidRPr="00235CED">
        <w:tab/>
      </w:r>
      <w:r w:rsidR="00AC09D3" w:rsidRPr="00851290">
        <w:rPr>
          <w:sz w:val="26"/>
          <w:szCs w:val="26"/>
        </w:rPr>
        <w:t>Act 129 requires an analysis of the costs</w:t>
      </w:r>
      <w:r w:rsidR="00795D5C" w:rsidRPr="00851290">
        <w:rPr>
          <w:sz w:val="26"/>
          <w:szCs w:val="26"/>
        </w:rPr>
        <w:t xml:space="preserve"> and benefits of each EE&amp;C P</w:t>
      </w:r>
      <w:r w:rsidR="003849DC" w:rsidRPr="00851290">
        <w:rPr>
          <w:sz w:val="26"/>
          <w:szCs w:val="26"/>
        </w:rPr>
        <w:t>lan, in accordance with a TRC T</w:t>
      </w:r>
      <w:r w:rsidR="00AC09D3" w:rsidRPr="00851290">
        <w:rPr>
          <w:sz w:val="26"/>
          <w:szCs w:val="26"/>
        </w:rPr>
        <w:t xml:space="preserve">est approved by the Commission.  </w:t>
      </w:r>
      <w:r w:rsidR="00AC09D3" w:rsidRPr="00851290">
        <w:rPr>
          <w:i/>
          <w:sz w:val="26"/>
          <w:szCs w:val="26"/>
        </w:rPr>
        <w:t>See</w:t>
      </w:r>
      <w:r w:rsidR="00AC09D3" w:rsidRPr="00851290">
        <w:rPr>
          <w:sz w:val="26"/>
          <w:szCs w:val="26"/>
        </w:rPr>
        <w:t xml:space="preserve"> 66 Pa. C.S.</w:t>
      </w:r>
      <w:r w:rsidR="00273785">
        <w:rPr>
          <w:sz w:val="26"/>
          <w:szCs w:val="26"/>
        </w:rPr>
        <w:t> </w:t>
      </w:r>
      <w:r w:rsidR="00AC09D3" w:rsidRPr="00851290">
        <w:rPr>
          <w:sz w:val="26"/>
          <w:szCs w:val="26"/>
        </w:rPr>
        <w:t>§ 2806.1(a)(3).  The Act also requires an EDC to demonstrate that its plan i</w:t>
      </w:r>
      <w:r w:rsidR="00570D03" w:rsidRPr="00851290">
        <w:rPr>
          <w:sz w:val="26"/>
          <w:szCs w:val="26"/>
        </w:rPr>
        <w:t>s cost</w:t>
      </w:r>
      <w:r w:rsidR="00785324" w:rsidRPr="00851290">
        <w:rPr>
          <w:sz w:val="26"/>
          <w:szCs w:val="26"/>
        </w:rPr>
        <w:noBreakHyphen/>
      </w:r>
      <w:r w:rsidR="00570D03" w:rsidRPr="00851290">
        <w:rPr>
          <w:sz w:val="26"/>
          <w:szCs w:val="26"/>
        </w:rPr>
        <w:t>effective using the TRC T</w:t>
      </w:r>
      <w:r w:rsidR="00AC09D3" w:rsidRPr="00851290">
        <w:rPr>
          <w:sz w:val="26"/>
          <w:szCs w:val="26"/>
        </w:rPr>
        <w:t xml:space="preserve">est and that the plan provides a diverse cross-section of alternatives for customers of all rate classes.  </w:t>
      </w:r>
      <w:r w:rsidR="00AC09D3" w:rsidRPr="00851290">
        <w:rPr>
          <w:i/>
          <w:sz w:val="26"/>
          <w:szCs w:val="26"/>
        </w:rPr>
        <w:t>See</w:t>
      </w:r>
      <w:r w:rsidR="00AC09D3" w:rsidRPr="00851290">
        <w:rPr>
          <w:sz w:val="26"/>
          <w:szCs w:val="26"/>
        </w:rPr>
        <w:t xml:space="preserve"> 66 Pa. C.S. § 2806.1(b)(1)(i)(I).  The Act defines “total resource cost test” as “a standard test that is met if, over the effective </w:t>
      </w:r>
      <w:r w:rsidR="00AC09D3" w:rsidRPr="00851290">
        <w:rPr>
          <w:sz w:val="26"/>
          <w:szCs w:val="26"/>
        </w:rPr>
        <w:lastRenderedPageBreak/>
        <w:t>life of each plan not to exceed 15 years, the net present value of the avoided</w:t>
      </w:r>
      <w:r w:rsidR="00AC09D3" w:rsidRPr="00840936">
        <w:t xml:space="preserve"> </w:t>
      </w:r>
      <w:r w:rsidR="00AC09D3" w:rsidRPr="00851290">
        <w:rPr>
          <w:sz w:val="26"/>
          <w:szCs w:val="26"/>
        </w:rPr>
        <w:t xml:space="preserve">monetary cost of supplying electricity is greater than the net present value of the monetary cost of </w:t>
      </w:r>
      <w:r w:rsidR="00634B69" w:rsidRPr="00851290">
        <w:rPr>
          <w:sz w:val="26"/>
          <w:szCs w:val="26"/>
        </w:rPr>
        <w:t>[EE]</w:t>
      </w:r>
      <w:r w:rsidR="00AC09D3" w:rsidRPr="00851290">
        <w:rPr>
          <w:sz w:val="26"/>
          <w:szCs w:val="26"/>
        </w:rPr>
        <w:t>conservation measures.”  66 Pa. C.S. § 2806.1(m).</w:t>
      </w:r>
      <w:r w:rsidR="00AC09D3" w:rsidRPr="00851290">
        <w:rPr>
          <w:sz w:val="26"/>
          <w:szCs w:val="26"/>
          <w:vertAlign w:val="superscript"/>
        </w:rPr>
        <w:footnoteReference w:id="72"/>
      </w:r>
      <w:r w:rsidR="00AC09D3" w:rsidRPr="00851290">
        <w:rPr>
          <w:sz w:val="26"/>
          <w:szCs w:val="26"/>
        </w:rPr>
        <w:t xml:space="preserve">  </w:t>
      </w:r>
      <w:r w:rsidR="00AC09D3" w:rsidRPr="00851290">
        <w:rPr>
          <w:bCs/>
          <w:sz w:val="26"/>
          <w:szCs w:val="26"/>
        </w:rPr>
        <w:t xml:space="preserve">The purpose of using the TRC </w:t>
      </w:r>
      <w:r w:rsidR="00570D03" w:rsidRPr="00851290">
        <w:rPr>
          <w:bCs/>
          <w:sz w:val="26"/>
          <w:szCs w:val="26"/>
        </w:rPr>
        <w:t>T</w:t>
      </w:r>
      <w:r w:rsidR="00AC09D3" w:rsidRPr="00851290">
        <w:rPr>
          <w:bCs/>
          <w:sz w:val="26"/>
          <w:szCs w:val="26"/>
        </w:rPr>
        <w:t xml:space="preserve">est to evaluate the EDCs’ specific programs is to track the relationship between the benefits to </w:t>
      </w:r>
      <w:r w:rsidR="00073AC6" w:rsidRPr="00851290">
        <w:rPr>
          <w:bCs/>
          <w:sz w:val="26"/>
          <w:szCs w:val="26"/>
        </w:rPr>
        <w:t>the Commonwealth</w:t>
      </w:r>
      <w:r w:rsidR="00AC09D3" w:rsidRPr="00851290">
        <w:rPr>
          <w:bCs/>
          <w:sz w:val="26"/>
          <w:szCs w:val="26"/>
        </w:rPr>
        <w:t xml:space="preserve"> and the costs incurred to o</w:t>
      </w:r>
      <w:r w:rsidR="00570D03" w:rsidRPr="00851290">
        <w:rPr>
          <w:bCs/>
          <w:sz w:val="26"/>
          <w:szCs w:val="26"/>
        </w:rPr>
        <w:t>btain those benefits.  The TRC T</w:t>
      </w:r>
      <w:r w:rsidR="00AC09D3" w:rsidRPr="00851290">
        <w:rPr>
          <w:bCs/>
          <w:sz w:val="26"/>
          <w:szCs w:val="26"/>
        </w:rPr>
        <w:t>est has historically been a regulatory test.  Sections 2806.1(c)(3) and 2806.1(d)(2), 66 Pa. C.S. §§ 2806.1(c)(3) and (d)(2), as wel</w:t>
      </w:r>
      <w:r w:rsidR="00570D03" w:rsidRPr="00851290">
        <w:rPr>
          <w:bCs/>
          <w:sz w:val="26"/>
          <w:szCs w:val="26"/>
        </w:rPr>
        <w:t>l as the definition of the TRC T</w:t>
      </w:r>
      <w:r w:rsidR="00AC09D3" w:rsidRPr="00851290">
        <w:rPr>
          <w:bCs/>
          <w:sz w:val="26"/>
          <w:szCs w:val="26"/>
        </w:rPr>
        <w:t>est in Section 2</w:t>
      </w:r>
      <w:r w:rsidR="00570D03" w:rsidRPr="00851290">
        <w:rPr>
          <w:bCs/>
          <w:sz w:val="26"/>
          <w:szCs w:val="26"/>
        </w:rPr>
        <w:t xml:space="preserve">806.1(m), </w:t>
      </w:r>
      <w:r w:rsidR="009A5CCE" w:rsidRPr="00851290">
        <w:rPr>
          <w:bCs/>
          <w:sz w:val="26"/>
          <w:szCs w:val="26"/>
        </w:rPr>
        <w:t xml:space="preserve">66 Pa. C.S. § 2806.1(m), </w:t>
      </w:r>
      <w:r w:rsidR="00570D03" w:rsidRPr="00851290">
        <w:rPr>
          <w:bCs/>
          <w:sz w:val="26"/>
          <w:szCs w:val="26"/>
        </w:rPr>
        <w:t>provide that the TRC T</w:t>
      </w:r>
      <w:r w:rsidR="00AC09D3" w:rsidRPr="00851290">
        <w:rPr>
          <w:bCs/>
          <w:sz w:val="26"/>
          <w:szCs w:val="26"/>
        </w:rPr>
        <w:t>est be used to determine whether ratepayers, as a whole, received more benefits (in reduced capacity, energy, transmission, and distribution costs) than the implemen</w:t>
      </w:r>
      <w:r w:rsidR="00795D5C" w:rsidRPr="00851290">
        <w:rPr>
          <w:bCs/>
          <w:sz w:val="26"/>
          <w:szCs w:val="26"/>
        </w:rPr>
        <w:t>tation costs of the EDCs’ EE&amp;C P</w:t>
      </w:r>
      <w:r w:rsidR="00AC09D3" w:rsidRPr="00851290">
        <w:rPr>
          <w:bCs/>
          <w:sz w:val="26"/>
          <w:szCs w:val="26"/>
        </w:rPr>
        <w:t>lans.</w:t>
      </w:r>
      <w:r w:rsidR="00AC09D3" w:rsidRPr="00A30580">
        <w:rPr>
          <w:bCs/>
          <w:sz w:val="26"/>
          <w:szCs w:val="26"/>
        </w:rPr>
        <w:t xml:space="preserve">  </w:t>
      </w:r>
    </w:p>
    <w:p w14:paraId="064381B4" w14:textId="77777777" w:rsidR="00AC09D3" w:rsidRPr="00A30580" w:rsidRDefault="00AC09D3" w:rsidP="0009548F">
      <w:pPr>
        <w:autoSpaceDE w:val="0"/>
        <w:autoSpaceDN w:val="0"/>
        <w:adjustRightInd w:val="0"/>
        <w:spacing w:line="360" w:lineRule="auto"/>
        <w:rPr>
          <w:bCs/>
          <w:sz w:val="26"/>
          <w:szCs w:val="26"/>
        </w:rPr>
      </w:pPr>
    </w:p>
    <w:p w14:paraId="66D3818C" w14:textId="77777777" w:rsidR="00AC09D3" w:rsidRPr="00063E46" w:rsidRDefault="00AC09D3" w:rsidP="00E95C7C">
      <w:pPr>
        <w:pStyle w:val="Heading3"/>
        <w:numPr>
          <w:ilvl w:val="0"/>
          <w:numId w:val="9"/>
        </w:numPr>
      </w:pPr>
      <w:bookmarkStart w:id="337" w:name="_Toc33782019"/>
      <w:r w:rsidRPr="00063E46">
        <w:t>20</w:t>
      </w:r>
      <w:r w:rsidR="00063E46" w:rsidRPr="00063E46">
        <w:t>21</w:t>
      </w:r>
      <w:r w:rsidRPr="00063E46">
        <w:t xml:space="preserve"> TRC Test</w:t>
      </w:r>
      <w:r w:rsidR="00063E46" w:rsidRPr="00063E46">
        <w:t xml:space="preserve"> Order</w:t>
      </w:r>
      <w:bookmarkEnd w:id="337"/>
    </w:p>
    <w:p w14:paraId="5B1DC9AD" w14:textId="2B336F2B" w:rsidR="00063E46" w:rsidRDefault="00063E46" w:rsidP="00F413C8">
      <w:pPr>
        <w:autoSpaceDE w:val="0"/>
        <w:autoSpaceDN w:val="0"/>
        <w:adjustRightInd w:val="0"/>
        <w:spacing w:line="360" w:lineRule="auto"/>
        <w:ind w:firstLine="720"/>
        <w:rPr>
          <w:bCs/>
          <w:sz w:val="26"/>
          <w:szCs w:val="26"/>
        </w:rPr>
      </w:pPr>
      <w:r>
        <w:rPr>
          <w:bCs/>
          <w:sz w:val="26"/>
          <w:szCs w:val="26"/>
        </w:rPr>
        <w:t xml:space="preserve">The 2021 TRC Test Final </w:t>
      </w:r>
      <w:r w:rsidR="00F413C8">
        <w:rPr>
          <w:bCs/>
          <w:sz w:val="26"/>
          <w:szCs w:val="26"/>
        </w:rPr>
        <w:t>Order</w:t>
      </w:r>
      <w:r w:rsidR="00F413C8">
        <w:rPr>
          <w:rStyle w:val="FootnoteReference"/>
          <w:bCs/>
          <w:sz w:val="26"/>
          <w:szCs w:val="26"/>
        </w:rPr>
        <w:footnoteReference w:id="73"/>
      </w:r>
      <w:r w:rsidR="00F413C8">
        <w:rPr>
          <w:bCs/>
          <w:sz w:val="26"/>
          <w:szCs w:val="26"/>
        </w:rPr>
        <w:t xml:space="preserve"> </w:t>
      </w:r>
      <w:r>
        <w:rPr>
          <w:bCs/>
          <w:sz w:val="26"/>
          <w:szCs w:val="26"/>
        </w:rPr>
        <w:t xml:space="preserve">was </w:t>
      </w:r>
      <w:r w:rsidR="00557517">
        <w:rPr>
          <w:bCs/>
          <w:sz w:val="26"/>
          <w:szCs w:val="26"/>
        </w:rPr>
        <w:t>adopted</w:t>
      </w:r>
      <w:r>
        <w:rPr>
          <w:bCs/>
          <w:sz w:val="26"/>
          <w:szCs w:val="26"/>
        </w:rPr>
        <w:t xml:space="preserve"> at the December 19, 2019 Public Meeting </w:t>
      </w:r>
      <w:r w:rsidR="001F751E">
        <w:rPr>
          <w:bCs/>
          <w:sz w:val="26"/>
          <w:szCs w:val="26"/>
        </w:rPr>
        <w:t>at</w:t>
      </w:r>
      <w:r>
        <w:rPr>
          <w:bCs/>
          <w:sz w:val="26"/>
          <w:szCs w:val="26"/>
        </w:rPr>
        <w:t xml:space="preserve"> </w:t>
      </w:r>
      <w:r w:rsidR="00F8389F">
        <w:rPr>
          <w:bCs/>
          <w:sz w:val="26"/>
          <w:szCs w:val="26"/>
        </w:rPr>
        <w:t>Docket No. M</w:t>
      </w:r>
      <w:r w:rsidR="00F8389F">
        <w:rPr>
          <w:bCs/>
          <w:sz w:val="26"/>
          <w:szCs w:val="26"/>
        </w:rPr>
        <w:noBreakHyphen/>
        <w:t>2019</w:t>
      </w:r>
      <w:r w:rsidR="00F8389F">
        <w:rPr>
          <w:bCs/>
          <w:sz w:val="26"/>
          <w:szCs w:val="26"/>
        </w:rPr>
        <w:noBreakHyphen/>
      </w:r>
      <w:r w:rsidR="007D28F1">
        <w:rPr>
          <w:bCs/>
          <w:sz w:val="26"/>
          <w:szCs w:val="26"/>
        </w:rPr>
        <w:t>3006868</w:t>
      </w:r>
      <w:r>
        <w:rPr>
          <w:bCs/>
          <w:sz w:val="26"/>
          <w:szCs w:val="26"/>
        </w:rPr>
        <w:t xml:space="preserve">. </w:t>
      </w:r>
      <w:r w:rsidR="00C748D7">
        <w:rPr>
          <w:bCs/>
          <w:sz w:val="26"/>
          <w:szCs w:val="26"/>
        </w:rPr>
        <w:t xml:space="preserve"> </w:t>
      </w:r>
      <w:r>
        <w:rPr>
          <w:bCs/>
          <w:sz w:val="26"/>
          <w:szCs w:val="26"/>
        </w:rPr>
        <w:t xml:space="preserve">The 2021 TRC Test </w:t>
      </w:r>
      <w:r w:rsidR="00F413C8">
        <w:rPr>
          <w:bCs/>
          <w:sz w:val="26"/>
          <w:szCs w:val="26"/>
        </w:rPr>
        <w:t xml:space="preserve">Final </w:t>
      </w:r>
      <w:r>
        <w:rPr>
          <w:bCs/>
          <w:sz w:val="26"/>
          <w:szCs w:val="26"/>
        </w:rPr>
        <w:t xml:space="preserve">Order </w:t>
      </w:r>
      <w:r w:rsidR="00F413C8">
        <w:rPr>
          <w:bCs/>
          <w:sz w:val="26"/>
          <w:szCs w:val="26"/>
        </w:rPr>
        <w:t xml:space="preserve">provides comprehensive guidance on all aspects of Act 129 benefit-cost calculations for Phase IV of Act 129.  </w:t>
      </w:r>
      <w:r w:rsidR="006C4E40">
        <w:rPr>
          <w:bCs/>
          <w:sz w:val="26"/>
          <w:szCs w:val="26"/>
        </w:rPr>
        <w:t>The Phase IV EE</w:t>
      </w:r>
      <w:r w:rsidR="00F70D65">
        <w:rPr>
          <w:bCs/>
          <w:sz w:val="26"/>
          <w:szCs w:val="26"/>
        </w:rPr>
        <w:t>PDR</w:t>
      </w:r>
      <w:r w:rsidR="006C4E40">
        <w:rPr>
          <w:bCs/>
          <w:sz w:val="26"/>
          <w:szCs w:val="26"/>
        </w:rPr>
        <w:t xml:space="preserve"> and </w:t>
      </w:r>
      <w:r w:rsidR="003B32B3">
        <w:rPr>
          <w:bCs/>
          <w:sz w:val="26"/>
          <w:szCs w:val="26"/>
        </w:rPr>
        <w:t xml:space="preserve">DDR Potential </w:t>
      </w:r>
      <w:r w:rsidR="006C4E40">
        <w:rPr>
          <w:bCs/>
          <w:sz w:val="26"/>
          <w:szCs w:val="26"/>
        </w:rPr>
        <w:t xml:space="preserve">Studies were conducted using the benefit-cost methodology detailed in the 2021 TRC Test </w:t>
      </w:r>
      <w:r w:rsidR="00144257">
        <w:rPr>
          <w:bCs/>
          <w:sz w:val="26"/>
          <w:szCs w:val="26"/>
        </w:rPr>
        <w:t xml:space="preserve">Final </w:t>
      </w:r>
      <w:r w:rsidR="006C4E40">
        <w:rPr>
          <w:bCs/>
          <w:sz w:val="26"/>
          <w:szCs w:val="26"/>
        </w:rPr>
        <w:t>Order.</w:t>
      </w:r>
      <w:r w:rsidR="007D28F1">
        <w:rPr>
          <w:bCs/>
          <w:sz w:val="26"/>
          <w:szCs w:val="26"/>
        </w:rPr>
        <w:t xml:space="preserve"> </w:t>
      </w:r>
      <w:r w:rsidR="006C4E40">
        <w:rPr>
          <w:bCs/>
          <w:sz w:val="26"/>
          <w:szCs w:val="26"/>
        </w:rPr>
        <w:t xml:space="preserve"> </w:t>
      </w:r>
      <w:r w:rsidR="00F413C8">
        <w:rPr>
          <w:bCs/>
          <w:sz w:val="26"/>
          <w:szCs w:val="26"/>
        </w:rPr>
        <w:t xml:space="preserve">EDCs and their evaluation contractors shall follow the directives of the 2021 TRC Test </w:t>
      </w:r>
      <w:r w:rsidR="00144257">
        <w:rPr>
          <w:bCs/>
          <w:sz w:val="26"/>
          <w:szCs w:val="26"/>
        </w:rPr>
        <w:t xml:space="preserve">Final </w:t>
      </w:r>
      <w:r w:rsidR="00F413C8">
        <w:rPr>
          <w:bCs/>
          <w:sz w:val="26"/>
          <w:szCs w:val="26"/>
        </w:rPr>
        <w:t xml:space="preserve">Order when developing EE&amp;C plans for Phase IV of Act 129 and for reporting TRC Test results in Phase IV </w:t>
      </w:r>
      <w:r w:rsidR="00134F42">
        <w:rPr>
          <w:bCs/>
          <w:sz w:val="26"/>
          <w:szCs w:val="26"/>
        </w:rPr>
        <w:t xml:space="preserve">final </w:t>
      </w:r>
      <w:r w:rsidR="00F413C8">
        <w:rPr>
          <w:bCs/>
          <w:sz w:val="26"/>
          <w:szCs w:val="26"/>
        </w:rPr>
        <w:t>annual reports.</w:t>
      </w:r>
    </w:p>
    <w:p w14:paraId="20CEC851" w14:textId="77777777" w:rsidR="00F413C8" w:rsidRDefault="00F413C8" w:rsidP="0009548F">
      <w:pPr>
        <w:autoSpaceDE w:val="0"/>
        <w:autoSpaceDN w:val="0"/>
        <w:adjustRightInd w:val="0"/>
        <w:spacing w:line="360" w:lineRule="auto"/>
        <w:ind w:firstLine="720"/>
        <w:rPr>
          <w:bCs/>
          <w:sz w:val="26"/>
          <w:szCs w:val="26"/>
        </w:rPr>
      </w:pPr>
    </w:p>
    <w:p w14:paraId="37E7966E" w14:textId="10A93380" w:rsidR="00063E46" w:rsidRDefault="00F413C8" w:rsidP="0009548F">
      <w:pPr>
        <w:autoSpaceDE w:val="0"/>
        <w:autoSpaceDN w:val="0"/>
        <w:adjustRightInd w:val="0"/>
        <w:spacing w:line="360" w:lineRule="auto"/>
        <w:ind w:firstLine="720"/>
        <w:rPr>
          <w:bCs/>
          <w:sz w:val="26"/>
          <w:szCs w:val="26"/>
        </w:rPr>
      </w:pPr>
      <w:r>
        <w:rPr>
          <w:bCs/>
          <w:sz w:val="26"/>
          <w:szCs w:val="26"/>
        </w:rPr>
        <w:t xml:space="preserve">The 2021 TRC Test Final Order included a companion Avoided Costs Calculator (ACC) tool. </w:t>
      </w:r>
      <w:r w:rsidR="00346319">
        <w:rPr>
          <w:bCs/>
          <w:sz w:val="26"/>
          <w:szCs w:val="26"/>
        </w:rPr>
        <w:t xml:space="preserve"> </w:t>
      </w:r>
      <w:r>
        <w:rPr>
          <w:bCs/>
          <w:sz w:val="26"/>
          <w:szCs w:val="26"/>
        </w:rPr>
        <w:t xml:space="preserve">The ACC implements the calculations called for in the 2021 TRC Test </w:t>
      </w:r>
      <w:r w:rsidR="00144257">
        <w:rPr>
          <w:bCs/>
          <w:sz w:val="26"/>
          <w:szCs w:val="26"/>
        </w:rPr>
        <w:t xml:space="preserve">Final </w:t>
      </w:r>
      <w:r>
        <w:rPr>
          <w:bCs/>
          <w:sz w:val="26"/>
          <w:szCs w:val="26"/>
        </w:rPr>
        <w:t xml:space="preserve">Order to </w:t>
      </w:r>
      <w:r w:rsidR="006C4E40">
        <w:rPr>
          <w:bCs/>
          <w:sz w:val="26"/>
          <w:szCs w:val="26"/>
        </w:rPr>
        <w:t xml:space="preserve">develop twenty-year forecasts of the avoided cost of electric energy, capacity, and natural gas.  The Commission proposes that EDCs use the ACC when developing </w:t>
      </w:r>
      <w:r w:rsidR="006C4E40">
        <w:rPr>
          <w:bCs/>
          <w:sz w:val="26"/>
          <w:szCs w:val="26"/>
        </w:rPr>
        <w:lastRenderedPageBreak/>
        <w:t xml:space="preserve">their Phase IV forecasts of avoided costs and submit a complete ACC as an addendum to their Phase IV EE&amp;C Plans. </w:t>
      </w:r>
    </w:p>
    <w:p w14:paraId="4A82CCFB" w14:textId="77777777" w:rsidR="00AC09D3" w:rsidRDefault="00AC09D3" w:rsidP="00073AC6">
      <w:pPr>
        <w:autoSpaceDE w:val="0"/>
        <w:autoSpaceDN w:val="0"/>
        <w:adjustRightInd w:val="0"/>
        <w:spacing w:line="360" w:lineRule="auto"/>
        <w:rPr>
          <w:bCs/>
          <w:sz w:val="26"/>
          <w:szCs w:val="26"/>
        </w:rPr>
      </w:pPr>
    </w:p>
    <w:p w14:paraId="16FE9CEA" w14:textId="5EB72730" w:rsidR="003D22A5" w:rsidRPr="00840936" w:rsidRDefault="006C4E40" w:rsidP="00327959">
      <w:pPr>
        <w:autoSpaceDE w:val="0"/>
        <w:autoSpaceDN w:val="0"/>
        <w:adjustRightInd w:val="0"/>
        <w:spacing w:line="360" w:lineRule="auto"/>
        <w:ind w:firstLine="720"/>
        <w:rPr>
          <w:bCs/>
          <w:sz w:val="26"/>
          <w:szCs w:val="26"/>
        </w:rPr>
      </w:pPr>
      <w:r w:rsidRPr="00F34475">
        <w:rPr>
          <w:bCs/>
          <w:sz w:val="26"/>
          <w:szCs w:val="26"/>
        </w:rPr>
        <w:t>The</w:t>
      </w:r>
      <w:r w:rsidRPr="00840936">
        <w:rPr>
          <w:bCs/>
          <w:sz w:val="26"/>
          <w:szCs w:val="26"/>
        </w:rPr>
        <w:t xml:space="preserve"> Commission </w:t>
      </w:r>
      <w:r w:rsidR="00D13B2C">
        <w:rPr>
          <w:bCs/>
          <w:sz w:val="26"/>
          <w:szCs w:val="26"/>
        </w:rPr>
        <w:t xml:space="preserve">notes </w:t>
      </w:r>
      <w:r>
        <w:rPr>
          <w:bCs/>
          <w:sz w:val="26"/>
          <w:szCs w:val="26"/>
        </w:rPr>
        <w:t xml:space="preserve">that the 2021 TRC Test </w:t>
      </w:r>
      <w:r w:rsidR="003D4E2A">
        <w:rPr>
          <w:bCs/>
          <w:sz w:val="26"/>
          <w:szCs w:val="26"/>
        </w:rPr>
        <w:t xml:space="preserve">Final </w:t>
      </w:r>
      <w:r>
        <w:rPr>
          <w:bCs/>
          <w:sz w:val="26"/>
          <w:szCs w:val="26"/>
        </w:rPr>
        <w:t xml:space="preserve">Order is </w:t>
      </w:r>
      <w:r w:rsidR="00557B5E">
        <w:rPr>
          <w:bCs/>
          <w:sz w:val="26"/>
          <w:szCs w:val="26"/>
        </w:rPr>
        <w:t>adopted</w:t>
      </w:r>
      <w:r w:rsidR="00A912E5">
        <w:rPr>
          <w:bCs/>
          <w:sz w:val="26"/>
          <w:szCs w:val="26"/>
        </w:rPr>
        <w:t xml:space="preserve"> and </w:t>
      </w:r>
      <w:r>
        <w:rPr>
          <w:bCs/>
          <w:sz w:val="26"/>
          <w:szCs w:val="26"/>
        </w:rPr>
        <w:t>considered final</w:t>
      </w:r>
      <w:r w:rsidRPr="00840936">
        <w:rPr>
          <w:bCs/>
          <w:sz w:val="26"/>
          <w:szCs w:val="26"/>
        </w:rPr>
        <w:t xml:space="preserve">.  </w:t>
      </w:r>
      <w:r>
        <w:rPr>
          <w:bCs/>
          <w:sz w:val="26"/>
          <w:szCs w:val="26"/>
        </w:rPr>
        <w:t xml:space="preserve">Comments pertaining to the TRC Test calculation </w:t>
      </w:r>
      <w:r w:rsidR="00DF3DE7">
        <w:rPr>
          <w:bCs/>
          <w:sz w:val="26"/>
          <w:szCs w:val="26"/>
        </w:rPr>
        <w:t>method</w:t>
      </w:r>
      <w:r w:rsidR="00010A35">
        <w:rPr>
          <w:bCs/>
          <w:sz w:val="26"/>
          <w:szCs w:val="26"/>
        </w:rPr>
        <w:t>ologie</w:t>
      </w:r>
      <w:r w:rsidR="00DF3DE7">
        <w:rPr>
          <w:bCs/>
          <w:sz w:val="26"/>
          <w:szCs w:val="26"/>
        </w:rPr>
        <w:t xml:space="preserve">s </w:t>
      </w:r>
      <w:r>
        <w:rPr>
          <w:bCs/>
          <w:sz w:val="26"/>
          <w:szCs w:val="26"/>
        </w:rPr>
        <w:t xml:space="preserve">will not be considered as part of this proceeding.  </w:t>
      </w:r>
      <w:r w:rsidR="003C14A8">
        <w:rPr>
          <w:bCs/>
          <w:sz w:val="26"/>
          <w:szCs w:val="26"/>
        </w:rPr>
        <w:t>However, we invite s</w:t>
      </w:r>
      <w:r w:rsidR="00073AC6">
        <w:rPr>
          <w:bCs/>
          <w:sz w:val="26"/>
          <w:szCs w:val="26"/>
        </w:rPr>
        <w:t xml:space="preserve">takeholders to </w:t>
      </w:r>
      <w:r w:rsidR="005C2FB5">
        <w:rPr>
          <w:bCs/>
          <w:sz w:val="26"/>
          <w:szCs w:val="26"/>
        </w:rPr>
        <w:t xml:space="preserve">submit comments </w:t>
      </w:r>
      <w:r w:rsidR="009323BE">
        <w:rPr>
          <w:bCs/>
          <w:sz w:val="26"/>
          <w:szCs w:val="26"/>
        </w:rPr>
        <w:t xml:space="preserve">regarding </w:t>
      </w:r>
      <w:r w:rsidR="00073AC6">
        <w:rPr>
          <w:bCs/>
          <w:sz w:val="26"/>
          <w:szCs w:val="26"/>
        </w:rPr>
        <w:t xml:space="preserve">the application of the 2021 TRC Test Final Order to </w:t>
      </w:r>
      <w:r w:rsidR="005C2FB5">
        <w:rPr>
          <w:bCs/>
          <w:sz w:val="26"/>
          <w:szCs w:val="26"/>
        </w:rPr>
        <w:t xml:space="preserve">determine the </w:t>
      </w:r>
      <w:r w:rsidR="00073AC6">
        <w:rPr>
          <w:bCs/>
          <w:sz w:val="26"/>
          <w:szCs w:val="26"/>
        </w:rPr>
        <w:t xml:space="preserve">proposed </w:t>
      </w:r>
      <w:r w:rsidR="004E32A1">
        <w:rPr>
          <w:bCs/>
          <w:sz w:val="26"/>
          <w:szCs w:val="26"/>
        </w:rPr>
        <w:t>consumption and peak demand reduction requirements</w:t>
      </w:r>
      <w:r w:rsidR="00073AC6">
        <w:rPr>
          <w:bCs/>
          <w:sz w:val="26"/>
          <w:szCs w:val="26"/>
        </w:rPr>
        <w:t xml:space="preserve">, Phase IV EE&amp;C Plan development, and Phase IV reporting requirements. </w:t>
      </w:r>
      <w:r>
        <w:rPr>
          <w:bCs/>
          <w:sz w:val="26"/>
          <w:szCs w:val="26"/>
        </w:rPr>
        <w:t xml:space="preserve">  </w:t>
      </w:r>
    </w:p>
    <w:p w14:paraId="40D68DC8" w14:textId="77777777" w:rsidR="00AC09D3" w:rsidRPr="00A30580" w:rsidRDefault="009A1348" w:rsidP="00B0774D">
      <w:pPr>
        <w:autoSpaceDE w:val="0"/>
        <w:autoSpaceDN w:val="0"/>
        <w:adjustRightInd w:val="0"/>
        <w:spacing w:line="360" w:lineRule="auto"/>
        <w:ind w:firstLine="720"/>
        <w:rPr>
          <w:bCs/>
          <w:sz w:val="26"/>
          <w:szCs w:val="26"/>
        </w:rPr>
      </w:pPr>
      <w:r>
        <w:rPr>
          <w:bCs/>
          <w:sz w:val="26"/>
          <w:szCs w:val="26"/>
        </w:rPr>
        <w:tab/>
      </w:r>
      <w:r w:rsidR="00AC09D3" w:rsidRPr="00840936">
        <w:rPr>
          <w:bCs/>
          <w:sz w:val="26"/>
          <w:szCs w:val="26"/>
        </w:rPr>
        <w:tab/>
      </w:r>
    </w:p>
    <w:p w14:paraId="020A0428" w14:textId="77777777" w:rsidR="00AC09D3" w:rsidRPr="00327959" w:rsidRDefault="00AC09D3" w:rsidP="00DD1373">
      <w:pPr>
        <w:pStyle w:val="Heading3"/>
      </w:pPr>
      <w:bookmarkStart w:id="338" w:name="_Toc33782020"/>
      <w:r w:rsidRPr="00327959">
        <w:t>Net-to-Gross Adjustment</w:t>
      </w:r>
      <w:bookmarkEnd w:id="338"/>
    </w:p>
    <w:p w14:paraId="554E257B" w14:textId="1C601386" w:rsidR="00350E28" w:rsidRDefault="00AC09D3" w:rsidP="00350E28">
      <w:pPr>
        <w:spacing w:line="360" w:lineRule="auto"/>
        <w:ind w:firstLine="720"/>
        <w:rPr>
          <w:sz w:val="26"/>
          <w:szCs w:val="26"/>
        </w:rPr>
      </w:pPr>
      <w:r w:rsidRPr="00A30580">
        <w:rPr>
          <w:sz w:val="26"/>
          <w:szCs w:val="26"/>
        </w:rPr>
        <w:t xml:space="preserve">An </w:t>
      </w:r>
      <w:r w:rsidR="00327959" w:rsidRPr="00A30580">
        <w:rPr>
          <w:sz w:val="26"/>
          <w:szCs w:val="26"/>
        </w:rPr>
        <w:t>often-raised</w:t>
      </w:r>
      <w:r w:rsidRPr="00A30580">
        <w:rPr>
          <w:sz w:val="26"/>
          <w:szCs w:val="26"/>
        </w:rPr>
        <w:t xml:space="preserve"> consideration for determining the cost-effectiveness and real impacts of </w:t>
      </w:r>
      <w:r w:rsidR="00327959">
        <w:rPr>
          <w:sz w:val="26"/>
          <w:szCs w:val="26"/>
        </w:rPr>
        <w:t>EE</w:t>
      </w:r>
      <w:r w:rsidRPr="005A0BE3">
        <w:rPr>
          <w:sz w:val="26"/>
          <w:szCs w:val="26"/>
        </w:rPr>
        <w:t xml:space="preserve"> programs is whether adjustments to gross energy savings should be made </w:t>
      </w:r>
      <w:r w:rsidR="00327959" w:rsidRPr="005A0BE3">
        <w:rPr>
          <w:sz w:val="26"/>
          <w:szCs w:val="26"/>
        </w:rPr>
        <w:t>using</w:t>
      </w:r>
      <w:r w:rsidRPr="005A0BE3">
        <w:rPr>
          <w:sz w:val="26"/>
          <w:szCs w:val="26"/>
        </w:rPr>
        <w:t xml:space="preserve"> a Net-to-Gross (NTG) ratio.  An NTG adjustment would adjust the cost-effe</w:t>
      </w:r>
      <w:r>
        <w:rPr>
          <w:sz w:val="26"/>
          <w:szCs w:val="26"/>
        </w:rPr>
        <w:t>ctiveness results and reported M</w:t>
      </w:r>
      <w:r w:rsidRPr="005A0BE3">
        <w:rPr>
          <w:sz w:val="26"/>
          <w:szCs w:val="26"/>
        </w:rPr>
        <w:t xml:space="preserve">Wh and MW savings so that the results would only reflect those </w:t>
      </w:r>
      <w:r w:rsidR="006B7C78">
        <w:rPr>
          <w:sz w:val="26"/>
          <w:szCs w:val="26"/>
        </w:rPr>
        <w:t>EE</w:t>
      </w:r>
      <w:r w:rsidRPr="005A0BE3">
        <w:rPr>
          <w:sz w:val="26"/>
          <w:szCs w:val="26"/>
        </w:rPr>
        <w:t xml:space="preserve"> gains that are attributed to, and are a direct result of, the </w:t>
      </w:r>
      <w:r w:rsidR="006B7C78">
        <w:rPr>
          <w:sz w:val="26"/>
          <w:szCs w:val="26"/>
        </w:rPr>
        <w:t>EE</w:t>
      </w:r>
      <w:r w:rsidRPr="005A0BE3">
        <w:rPr>
          <w:sz w:val="26"/>
          <w:szCs w:val="26"/>
        </w:rPr>
        <w:t xml:space="preserve"> program in question.</w:t>
      </w:r>
      <w:r w:rsidR="00350E28">
        <w:rPr>
          <w:sz w:val="26"/>
          <w:szCs w:val="26"/>
        </w:rPr>
        <w:t xml:space="preserve">  </w:t>
      </w:r>
      <w:r w:rsidR="00350E28" w:rsidRPr="00350E28">
        <w:rPr>
          <w:sz w:val="26"/>
          <w:szCs w:val="26"/>
        </w:rPr>
        <w:t>Three common factors</w:t>
      </w:r>
      <w:r w:rsidR="00350E28">
        <w:rPr>
          <w:sz w:val="26"/>
          <w:szCs w:val="26"/>
        </w:rPr>
        <w:t xml:space="preserve"> </w:t>
      </w:r>
      <w:r w:rsidR="00350E28" w:rsidRPr="00350E28">
        <w:rPr>
          <w:sz w:val="26"/>
          <w:szCs w:val="26"/>
        </w:rPr>
        <w:t xml:space="preserve">addressed through the NTG adjustment are “free ridership,” “spillover,” and “market effects.” </w:t>
      </w:r>
      <w:r w:rsidR="00350E28">
        <w:rPr>
          <w:sz w:val="26"/>
          <w:szCs w:val="26"/>
        </w:rPr>
        <w:t xml:space="preserve"> </w:t>
      </w:r>
      <w:r w:rsidR="00350E28" w:rsidRPr="00350E28">
        <w:rPr>
          <w:sz w:val="26"/>
          <w:szCs w:val="26"/>
        </w:rPr>
        <w:t>The Uniform Methods Project (UMP)</w:t>
      </w:r>
      <w:r w:rsidR="00350E28">
        <w:rPr>
          <w:rStyle w:val="FootnoteReference"/>
          <w:sz w:val="26"/>
          <w:szCs w:val="26"/>
        </w:rPr>
        <w:footnoteReference w:id="74"/>
      </w:r>
      <w:r w:rsidR="00350E28" w:rsidRPr="00350E28">
        <w:rPr>
          <w:sz w:val="26"/>
          <w:szCs w:val="26"/>
        </w:rPr>
        <w:t xml:space="preserve"> provides the following relevant definitions:  </w:t>
      </w:r>
    </w:p>
    <w:p w14:paraId="3200CD4F" w14:textId="77777777" w:rsidR="00350E28" w:rsidRPr="00350E28" w:rsidRDefault="00350E28" w:rsidP="00350E28">
      <w:pPr>
        <w:spacing w:line="360" w:lineRule="auto"/>
        <w:ind w:firstLine="720"/>
        <w:rPr>
          <w:sz w:val="26"/>
          <w:szCs w:val="26"/>
        </w:rPr>
      </w:pPr>
    </w:p>
    <w:p w14:paraId="63D11036" w14:textId="517565CC" w:rsidR="00350E28" w:rsidRDefault="00350E28" w:rsidP="00EB6FDF">
      <w:pPr>
        <w:pStyle w:val="StyleLinespacing15lines"/>
      </w:pPr>
      <w:r w:rsidRPr="00350E28">
        <w:rPr>
          <w:b/>
          <w:bCs/>
        </w:rPr>
        <w:t>Free ridership</w:t>
      </w:r>
      <w:r w:rsidRPr="00350E28">
        <w:t>: Program savings attributable to free riders (program participants who would have implemented a program measure or practice in the absence of the program).</w:t>
      </w:r>
    </w:p>
    <w:p w14:paraId="1FCF2B56" w14:textId="77777777" w:rsidR="00867138" w:rsidRDefault="00867138" w:rsidP="00EB6FDF">
      <w:pPr>
        <w:pStyle w:val="StyleLinespacing15lines"/>
      </w:pPr>
    </w:p>
    <w:p w14:paraId="6667D084" w14:textId="77777777" w:rsidR="00350E28" w:rsidRPr="00350E28" w:rsidRDefault="00350E28" w:rsidP="00EB6FDF">
      <w:pPr>
        <w:pStyle w:val="StyleLinespacing15lines"/>
      </w:pPr>
      <w:r w:rsidRPr="00350E28">
        <w:rPr>
          <w:b/>
          <w:bCs/>
        </w:rPr>
        <w:t>Spillover</w:t>
      </w:r>
      <w:r w:rsidRPr="00350E28">
        <w:t xml:space="preserve">: Additional reductions in energy consumption or demand that are due to program influences beyond those directly associated with program participation. </w:t>
      </w:r>
    </w:p>
    <w:p w14:paraId="37B73D2F" w14:textId="70154B0B" w:rsidR="00350E28" w:rsidRPr="00350E28" w:rsidRDefault="00350E28" w:rsidP="00EB6FDF">
      <w:pPr>
        <w:pStyle w:val="StyleLinespacing15lines"/>
      </w:pPr>
      <w:r w:rsidRPr="00350E28">
        <w:rPr>
          <w:b/>
          <w:bCs/>
        </w:rPr>
        <w:lastRenderedPageBreak/>
        <w:t>Market Effects</w:t>
      </w:r>
      <w:r w:rsidRPr="00350E28">
        <w:t xml:space="preserve">: A change in the structure of a market or the behavior of participants in a market that is reflective of an increase in the adoption of </w:t>
      </w:r>
      <w:r w:rsidR="00BB28EA">
        <w:t>EE</w:t>
      </w:r>
      <w:r w:rsidRPr="00350E28">
        <w:t xml:space="preserve"> products, services, or practices and is causally related to market intervention(s). </w:t>
      </w:r>
    </w:p>
    <w:p w14:paraId="0BB2F6C4" w14:textId="77777777" w:rsidR="00350E28" w:rsidRDefault="00350E28" w:rsidP="0009548F">
      <w:pPr>
        <w:spacing w:line="360" w:lineRule="auto"/>
        <w:rPr>
          <w:sz w:val="26"/>
          <w:szCs w:val="26"/>
        </w:rPr>
      </w:pPr>
    </w:p>
    <w:p w14:paraId="6BB163A4" w14:textId="6F3C9804" w:rsidR="00AC09D3" w:rsidRPr="005A0BE3" w:rsidRDefault="00327959" w:rsidP="00350E28">
      <w:pPr>
        <w:spacing w:line="360" w:lineRule="auto"/>
        <w:ind w:firstLine="720"/>
        <w:rPr>
          <w:sz w:val="26"/>
          <w:szCs w:val="26"/>
        </w:rPr>
      </w:pPr>
      <w:r>
        <w:rPr>
          <w:sz w:val="26"/>
          <w:szCs w:val="26"/>
        </w:rPr>
        <w:t xml:space="preserve">An NTG adjustment also excludes the incremental participant costs paid by free riders, since those costs would have been incurred absent the program.  </w:t>
      </w:r>
      <w:r w:rsidR="00AC09D3" w:rsidRPr="005A0BE3">
        <w:rPr>
          <w:sz w:val="26"/>
          <w:szCs w:val="26"/>
        </w:rPr>
        <w:t xml:space="preserve">For Pennsylvania, the </w:t>
      </w:r>
      <w:r w:rsidR="00BC5C63">
        <w:rPr>
          <w:sz w:val="26"/>
          <w:szCs w:val="26"/>
        </w:rPr>
        <w:t xml:space="preserve">NTG </w:t>
      </w:r>
      <w:r w:rsidR="00AC09D3" w:rsidRPr="005A0BE3">
        <w:rPr>
          <w:sz w:val="26"/>
          <w:szCs w:val="26"/>
        </w:rPr>
        <w:t xml:space="preserve">adjustment would reflect only those </w:t>
      </w:r>
      <w:r w:rsidR="00BC5C63">
        <w:rPr>
          <w:sz w:val="26"/>
          <w:szCs w:val="26"/>
        </w:rPr>
        <w:t>costs and benefits</w:t>
      </w:r>
      <w:r w:rsidR="00AC09D3" w:rsidRPr="005A0BE3">
        <w:rPr>
          <w:sz w:val="26"/>
          <w:szCs w:val="26"/>
        </w:rPr>
        <w:t xml:space="preserve"> attributable to Act 129 programs.  An NTG adjustment would give </w:t>
      </w:r>
      <w:r w:rsidR="00BC5C63">
        <w:rPr>
          <w:sz w:val="26"/>
          <w:szCs w:val="26"/>
        </w:rPr>
        <w:t>EDCs and their evaluation contractors</w:t>
      </w:r>
      <w:r w:rsidR="00AC09D3" w:rsidRPr="005A0BE3">
        <w:rPr>
          <w:sz w:val="26"/>
          <w:szCs w:val="26"/>
        </w:rPr>
        <w:t xml:space="preserve"> an estimate of savings achieved as a direct result of program expenditures by removing </w:t>
      </w:r>
      <w:r w:rsidR="00350E28">
        <w:rPr>
          <w:sz w:val="26"/>
          <w:szCs w:val="26"/>
        </w:rPr>
        <w:t>benefits and costs</w:t>
      </w:r>
      <w:r w:rsidR="00AC09D3" w:rsidRPr="005A0BE3">
        <w:rPr>
          <w:sz w:val="26"/>
          <w:szCs w:val="26"/>
        </w:rPr>
        <w:t xml:space="preserve"> that would have occurred absent </w:t>
      </w:r>
      <w:r w:rsidR="00BC5C63">
        <w:rPr>
          <w:sz w:val="26"/>
          <w:szCs w:val="26"/>
        </w:rPr>
        <w:t>the EE&amp;C</w:t>
      </w:r>
      <w:r w:rsidR="00AC09D3" w:rsidRPr="005A0BE3">
        <w:rPr>
          <w:sz w:val="26"/>
          <w:szCs w:val="26"/>
        </w:rPr>
        <w:t xml:space="preserve"> </w:t>
      </w:r>
      <w:r w:rsidR="00953680">
        <w:rPr>
          <w:sz w:val="26"/>
          <w:szCs w:val="26"/>
        </w:rPr>
        <w:t>P</w:t>
      </w:r>
      <w:r w:rsidR="00953680" w:rsidRPr="005A0BE3">
        <w:rPr>
          <w:sz w:val="26"/>
          <w:szCs w:val="26"/>
        </w:rPr>
        <w:t>rogram</w:t>
      </w:r>
      <w:r w:rsidR="00AC09D3" w:rsidRPr="005A0BE3">
        <w:rPr>
          <w:sz w:val="26"/>
          <w:szCs w:val="26"/>
        </w:rPr>
        <w:t xml:space="preserve">.  </w:t>
      </w:r>
    </w:p>
    <w:p w14:paraId="0F486B64" w14:textId="77777777" w:rsidR="00AC09D3" w:rsidRPr="005A0BE3" w:rsidRDefault="00AC09D3" w:rsidP="0009548F">
      <w:pPr>
        <w:spacing w:line="360" w:lineRule="auto"/>
        <w:rPr>
          <w:sz w:val="26"/>
          <w:szCs w:val="26"/>
        </w:rPr>
      </w:pPr>
    </w:p>
    <w:p w14:paraId="2BF4EC8C" w14:textId="20735049" w:rsidR="003B6ABB" w:rsidRDefault="00AC09D3" w:rsidP="00EB6FDF">
      <w:pPr>
        <w:pStyle w:val="StyleLinespacing15lines"/>
      </w:pPr>
      <w:r>
        <w:tab/>
      </w:r>
      <w:r w:rsidRPr="005A0BE3">
        <w:t>During the planning for Phase I and II of the Act 129 programs,</w:t>
      </w:r>
      <w:r>
        <w:t xml:space="preserve"> </w:t>
      </w:r>
      <w:r w:rsidRPr="005A0BE3">
        <w:t>the primary</w:t>
      </w:r>
      <w:r>
        <w:t xml:space="preserve"> discussion pertaining to NTG </w:t>
      </w:r>
      <w:r w:rsidRPr="005A0BE3">
        <w:t>was whether or not NTG adjustments should be used to determine compliance and/or targets, or whether or not it is more appropriate to use NTG solely for program design, program modifications and planning.  At the beginning of Phase I of Act 129, there was an absence of NTG da</w:t>
      </w:r>
      <w:r>
        <w:t>ta specific to Act 129 programs and, therefore, the</w:t>
      </w:r>
      <w:r w:rsidRPr="005A0BE3">
        <w:t xml:space="preserve"> Commission </w:t>
      </w:r>
      <w:r>
        <w:t>did not</w:t>
      </w:r>
      <w:r w:rsidRPr="005A0BE3">
        <w:t xml:space="preserve"> require NTG adjustments for the first program year.</w:t>
      </w:r>
      <w:r>
        <w:rPr>
          <w:rStyle w:val="FootnoteReference"/>
          <w:szCs w:val="26"/>
        </w:rPr>
        <w:footnoteReference w:id="75"/>
      </w:r>
      <w:r w:rsidRPr="005A0BE3">
        <w:t xml:space="preserve">  Subsequen</w:t>
      </w:r>
      <w:r>
        <w:t>tly, the 2011 TRC T</w:t>
      </w:r>
      <w:r w:rsidRPr="005A0BE3">
        <w:t>est Order directed EDCs to conduct NTG research; to collect data necessary to determine the NTG ratio for their programs and to apply the ratio when determining the cost-effectiveness of future modifications of existing programs.</w:t>
      </w:r>
      <w:r>
        <w:rPr>
          <w:rStyle w:val="FootnoteReference"/>
          <w:szCs w:val="26"/>
        </w:rPr>
        <w:footnoteReference w:id="76"/>
      </w:r>
      <w:r w:rsidRPr="005A0BE3">
        <w:t xml:space="preserve">  The results of this research</w:t>
      </w:r>
      <w:r>
        <w:t xml:space="preserve"> were to be reported to the SWE</w:t>
      </w:r>
      <w:r w:rsidRPr="005A0BE3">
        <w:t xml:space="preserve"> and utilized by the EDCs to determine when a measure or program should be removed from the EE&amp;C portfolio because it is no longer cost-effective.  </w:t>
      </w:r>
    </w:p>
    <w:p w14:paraId="6E23945E" w14:textId="77777777" w:rsidR="003B6ABB" w:rsidRDefault="003B6ABB" w:rsidP="0009548F">
      <w:pPr>
        <w:spacing w:line="360" w:lineRule="auto"/>
        <w:rPr>
          <w:sz w:val="26"/>
          <w:szCs w:val="26"/>
        </w:rPr>
      </w:pPr>
    </w:p>
    <w:p w14:paraId="65FFCE5C" w14:textId="65C79278" w:rsidR="00AC09D3" w:rsidRPr="005A0BE3" w:rsidRDefault="00AC09D3" w:rsidP="0009548F">
      <w:pPr>
        <w:spacing w:line="360" w:lineRule="auto"/>
        <w:ind w:firstLine="720"/>
        <w:rPr>
          <w:sz w:val="26"/>
          <w:szCs w:val="26"/>
        </w:rPr>
      </w:pPr>
      <w:r w:rsidRPr="005A0BE3">
        <w:rPr>
          <w:sz w:val="26"/>
          <w:szCs w:val="26"/>
        </w:rPr>
        <w:t xml:space="preserve">For </w:t>
      </w:r>
      <w:r w:rsidR="00972E0A">
        <w:rPr>
          <w:sz w:val="26"/>
          <w:szCs w:val="26"/>
        </w:rPr>
        <w:t xml:space="preserve">all prior </w:t>
      </w:r>
      <w:r w:rsidRPr="005A0BE3">
        <w:rPr>
          <w:sz w:val="26"/>
          <w:szCs w:val="26"/>
        </w:rPr>
        <w:t>Phase</w:t>
      </w:r>
      <w:r w:rsidR="00A44598">
        <w:rPr>
          <w:sz w:val="26"/>
          <w:szCs w:val="26"/>
        </w:rPr>
        <w:t>s</w:t>
      </w:r>
      <w:r w:rsidRPr="005A0BE3">
        <w:rPr>
          <w:sz w:val="26"/>
          <w:szCs w:val="26"/>
        </w:rPr>
        <w:t xml:space="preserve">, any NTG research that was completed was used only for program design, program modifications and implementation; it was not used to adjust the </w:t>
      </w:r>
      <w:r w:rsidRPr="005A0BE3">
        <w:rPr>
          <w:sz w:val="26"/>
          <w:szCs w:val="26"/>
        </w:rPr>
        <w:lastRenderedPageBreak/>
        <w:t xml:space="preserve">gross verified energy savings that are used for compliance purposes. </w:t>
      </w:r>
      <w:r>
        <w:rPr>
          <w:sz w:val="26"/>
          <w:szCs w:val="26"/>
        </w:rPr>
        <w:t xml:space="preserve"> </w:t>
      </w:r>
      <w:r w:rsidRPr="005A0BE3">
        <w:rPr>
          <w:sz w:val="26"/>
          <w:szCs w:val="26"/>
        </w:rPr>
        <w:t>In addition, during Phase I</w:t>
      </w:r>
      <w:r>
        <w:rPr>
          <w:sz w:val="26"/>
          <w:szCs w:val="26"/>
        </w:rPr>
        <w:t>,</w:t>
      </w:r>
      <w:r w:rsidRPr="005A0BE3">
        <w:rPr>
          <w:sz w:val="26"/>
          <w:szCs w:val="26"/>
        </w:rPr>
        <w:t xml:space="preserve"> the SWE completed a thorough review of how other states use NTG information for planning, evaluation and compliance and recommended that NTG research be used to plan and modify Act 129 </w:t>
      </w:r>
      <w:r>
        <w:rPr>
          <w:sz w:val="26"/>
          <w:szCs w:val="26"/>
        </w:rPr>
        <w:t>programs.  The SWE also recommended that M</w:t>
      </w:r>
      <w:r w:rsidRPr="005A0BE3">
        <w:rPr>
          <w:sz w:val="26"/>
          <w:szCs w:val="26"/>
        </w:rPr>
        <w:t xml:space="preserve">Wh and </w:t>
      </w:r>
      <w:r>
        <w:rPr>
          <w:sz w:val="26"/>
          <w:szCs w:val="26"/>
        </w:rPr>
        <w:t>M</w:t>
      </w:r>
      <w:r w:rsidRPr="005A0BE3">
        <w:rPr>
          <w:sz w:val="26"/>
          <w:szCs w:val="26"/>
        </w:rPr>
        <w:t>W savings targets should be based on gross saving</w:t>
      </w:r>
      <w:r>
        <w:rPr>
          <w:sz w:val="26"/>
          <w:szCs w:val="26"/>
        </w:rPr>
        <w:t>s.</w:t>
      </w:r>
      <w:r w:rsidRPr="002D50E5">
        <w:rPr>
          <w:rStyle w:val="FootnoteReference"/>
          <w:sz w:val="26"/>
          <w:szCs w:val="26"/>
        </w:rPr>
        <w:footnoteReference w:id="77"/>
      </w:r>
    </w:p>
    <w:p w14:paraId="219C9523" w14:textId="77777777" w:rsidR="00AC09D3" w:rsidRPr="005A0BE3" w:rsidRDefault="00AC09D3" w:rsidP="0009548F">
      <w:pPr>
        <w:spacing w:line="360" w:lineRule="auto"/>
        <w:rPr>
          <w:sz w:val="26"/>
          <w:szCs w:val="26"/>
        </w:rPr>
      </w:pPr>
    </w:p>
    <w:p w14:paraId="0F1220E8" w14:textId="6716CFBE" w:rsidR="00AC09D3" w:rsidRPr="005A0BE3" w:rsidRDefault="00AC09D3" w:rsidP="00EB6FDF">
      <w:pPr>
        <w:pStyle w:val="StyleLinespacing15lines"/>
      </w:pPr>
      <w:r>
        <w:tab/>
      </w:r>
      <w:r w:rsidRPr="005A0BE3">
        <w:t xml:space="preserve">The Commission’s Phase II Implementation Order </w:t>
      </w:r>
      <w:r>
        <w:t>directed</w:t>
      </w:r>
      <w:r w:rsidRPr="005A0BE3">
        <w:t xml:space="preserve"> that NTG research be used to direct program design and implementation, but not for compliance.</w:t>
      </w:r>
      <w:r>
        <w:rPr>
          <w:rStyle w:val="FootnoteReference"/>
          <w:szCs w:val="26"/>
        </w:rPr>
        <w:footnoteReference w:id="78"/>
      </w:r>
      <w:r w:rsidRPr="005A0BE3">
        <w:t xml:space="preserve">  The Phase II I</w:t>
      </w:r>
      <w:r>
        <w:t xml:space="preserve">mplementation Order noted that </w:t>
      </w:r>
      <w:r w:rsidRPr="005A0BE3">
        <w:t>there is no requirement in Act 129 that mandates that savings be determined on a net basis.</w:t>
      </w:r>
      <w:r>
        <w:rPr>
          <w:rStyle w:val="FootnoteReference"/>
          <w:szCs w:val="26"/>
        </w:rPr>
        <w:footnoteReference w:id="79"/>
      </w:r>
      <w:r w:rsidRPr="005A0BE3">
        <w:t xml:space="preserve">  The Commission thereby </w:t>
      </w:r>
      <w:r>
        <w:t>determined that</w:t>
      </w:r>
      <w:r w:rsidRPr="005A0BE3">
        <w:t xml:space="preserve"> </w:t>
      </w:r>
      <w:r>
        <w:t xml:space="preserve">the </w:t>
      </w:r>
      <w:r w:rsidRPr="005A0BE3">
        <w:t>EDCs</w:t>
      </w:r>
      <w:r>
        <w:t xml:space="preserve"> would</w:t>
      </w:r>
      <w:r w:rsidRPr="005A0BE3">
        <w:t xml:space="preserve"> continue to use net</w:t>
      </w:r>
      <w:r>
        <w:t xml:space="preserve"> verified savings in their TRC T</w:t>
      </w:r>
      <w:r w:rsidRPr="005A0BE3">
        <w:t>est for program planning purposes and that compliance in Phase II be determined using gross verified savings.</w:t>
      </w:r>
      <w:r>
        <w:rPr>
          <w:rStyle w:val="FootnoteReference"/>
          <w:szCs w:val="26"/>
        </w:rPr>
        <w:footnoteReference w:id="80"/>
      </w:r>
      <w:r w:rsidR="00BC5C63">
        <w:t xml:space="preserve"> The Commission’s Phase III Implementation Order maintained the same position on the use of NTG research as </w:t>
      </w:r>
      <w:r w:rsidR="00FC2331">
        <w:t xml:space="preserve">in </w:t>
      </w:r>
      <w:r w:rsidR="00BC5C63">
        <w:t>previous phases.</w:t>
      </w:r>
      <w:r w:rsidR="00BC5C63">
        <w:rPr>
          <w:rStyle w:val="FootnoteReference"/>
          <w:szCs w:val="26"/>
        </w:rPr>
        <w:footnoteReference w:id="81"/>
      </w:r>
      <w:r w:rsidR="00BC5C63">
        <w:t xml:space="preserve"> </w:t>
      </w:r>
    </w:p>
    <w:p w14:paraId="458518CE" w14:textId="77777777" w:rsidR="00AC09D3" w:rsidRDefault="00AC09D3" w:rsidP="00EB6FDF">
      <w:pPr>
        <w:pStyle w:val="StyleLinespacing15lines"/>
      </w:pPr>
    </w:p>
    <w:p w14:paraId="0768A53B" w14:textId="38254E97" w:rsidR="00AC09D3" w:rsidRDefault="00AC09D3" w:rsidP="0009548F">
      <w:pPr>
        <w:spacing w:line="360" w:lineRule="auto"/>
        <w:ind w:firstLine="720"/>
        <w:rPr>
          <w:sz w:val="26"/>
          <w:szCs w:val="26"/>
        </w:rPr>
      </w:pPr>
      <w:r w:rsidRPr="002D50E5">
        <w:rPr>
          <w:sz w:val="26"/>
          <w:szCs w:val="26"/>
        </w:rPr>
        <w:t>For Phase I</w:t>
      </w:r>
      <w:r w:rsidR="00BC5C63">
        <w:rPr>
          <w:sz w:val="26"/>
          <w:szCs w:val="26"/>
        </w:rPr>
        <w:t>V</w:t>
      </w:r>
      <w:r w:rsidR="00813E4E">
        <w:rPr>
          <w:sz w:val="26"/>
          <w:szCs w:val="26"/>
        </w:rPr>
        <w:t xml:space="preserve"> of Act 129</w:t>
      </w:r>
      <w:r w:rsidRPr="002D50E5">
        <w:rPr>
          <w:sz w:val="26"/>
          <w:szCs w:val="26"/>
        </w:rPr>
        <w:t xml:space="preserve">, the Commission </w:t>
      </w:r>
      <w:r>
        <w:rPr>
          <w:sz w:val="26"/>
          <w:szCs w:val="26"/>
        </w:rPr>
        <w:t>proposes maintaining</w:t>
      </w:r>
      <w:r w:rsidRPr="002D50E5">
        <w:rPr>
          <w:sz w:val="26"/>
          <w:szCs w:val="26"/>
        </w:rPr>
        <w:t xml:space="preserve"> the practice used in</w:t>
      </w:r>
      <w:r w:rsidR="00FC2331">
        <w:rPr>
          <w:sz w:val="26"/>
          <w:szCs w:val="26"/>
        </w:rPr>
        <w:t xml:space="preserve"> the</w:t>
      </w:r>
      <w:r w:rsidRPr="002D50E5">
        <w:rPr>
          <w:sz w:val="26"/>
          <w:szCs w:val="26"/>
        </w:rPr>
        <w:t xml:space="preserve"> </w:t>
      </w:r>
      <w:r w:rsidR="00607B66">
        <w:rPr>
          <w:sz w:val="26"/>
          <w:szCs w:val="26"/>
        </w:rPr>
        <w:t>prior phases</w:t>
      </w:r>
      <w:r w:rsidRPr="002D50E5">
        <w:rPr>
          <w:sz w:val="26"/>
          <w:szCs w:val="26"/>
        </w:rPr>
        <w:t xml:space="preserve"> </w:t>
      </w:r>
      <w:r w:rsidR="00786971">
        <w:rPr>
          <w:sz w:val="26"/>
          <w:szCs w:val="26"/>
        </w:rPr>
        <w:t>where</w:t>
      </w:r>
      <w:r w:rsidRPr="002D50E5">
        <w:rPr>
          <w:sz w:val="26"/>
          <w:szCs w:val="26"/>
        </w:rPr>
        <w:t xml:space="preserve"> NTG </w:t>
      </w:r>
      <w:r w:rsidR="00B5072C">
        <w:rPr>
          <w:sz w:val="26"/>
          <w:szCs w:val="26"/>
        </w:rPr>
        <w:t>research</w:t>
      </w:r>
      <w:r w:rsidRPr="002D50E5">
        <w:rPr>
          <w:sz w:val="26"/>
          <w:szCs w:val="26"/>
        </w:rPr>
        <w:t xml:space="preserve"> </w:t>
      </w:r>
      <w:r w:rsidR="00D05D14">
        <w:rPr>
          <w:sz w:val="26"/>
          <w:szCs w:val="26"/>
        </w:rPr>
        <w:t>results are</w:t>
      </w:r>
      <w:r w:rsidRPr="002D50E5">
        <w:rPr>
          <w:sz w:val="26"/>
          <w:szCs w:val="26"/>
        </w:rPr>
        <w:t xml:space="preserve"> used for modifications to existing programs</w:t>
      </w:r>
      <w:r>
        <w:rPr>
          <w:sz w:val="26"/>
          <w:szCs w:val="26"/>
        </w:rPr>
        <w:t>,</w:t>
      </w:r>
      <w:r w:rsidRPr="002D50E5">
        <w:rPr>
          <w:sz w:val="26"/>
          <w:szCs w:val="26"/>
        </w:rPr>
        <w:t xml:space="preserve"> as well as for planning purposes</w:t>
      </w:r>
      <w:r>
        <w:rPr>
          <w:sz w:val="26"/>
          <w:szCs w:val="26"/>
        </w:rPr>
        <w:t xml:space="preserve"> for future p</w:t>
      </w:r>
      <w:r w:rsidRPr="002D50E5">
        <w:rPr>
          <w:sz w:val="26"/>
          <w:szCs w:val="26"/>
        </w:rPr>
        <w:t>hases</w:t>
      </w:r>
      <w:r>
        <w:rPr>
          <w:sz w:val="26"/>
          <w:szCs w:val="26"/>
        </w:rPr>
        <w:t xml:space="preserve">.  </w:t>
      </w:r>
      <w:r w:rsidR="00EC1160">
        <w:rPr>
          <w:sz w:val="26"/>
          <w:szCs w:val="26"/>
        </w:rPr>
        <w:t>Furthermore, w</w:t>
      </w:r>
      <w:r>
        <w:rPr>
          <w:sz w:val="26"/>
          <w:szCs w:val="26"/>
        </w:rPr>
        <w:t xml:space="preserve">e propose that </w:t>
      </w:r>
      <w:r w:rsidR="00992A80">
        <w:rPr>
          <w:sz w:val="26"/>
          <w:szCs w:val="26"/>
        </w:rPr>
        <w:t xml:space="preserve">compliance in Phase IV be </w:t>
      </w:r>
      <w:r w:rsidR="008D34CE">
        <w:rPr>
          <w:sz w:val="26"/>
          <w:szCs w:val="26"/>
        </w:rPr>
        <w:t xml:space="preserve">determined using </w:t>
      </w:r>
      <w:r>
        <w:rPr>
          <w:sz w:val="26"/>
          <w:szCs w:val="26"/>
        </w:rPr>
        <w:t xml:space="preserve">gross </w:t>
      </w:r>
      <w:r w:rsidR="004C48C7">
        <w:rPr>
          <w:sz w:val="26"/>
          <w:szCs w:val="26"/>
        </w:rPr>
        <w:t xml:space="preserve">verified </w:t>
      </w:r>
      <w:r>
        <w:rPr>
          <w:sz w:val="26"/>
          <w:szCs w:val="26"/>
        </w:rPr>
        <w:t>savings</w:t>
      </w:r>
      <w:r w:rsidRPr="002D50E5">
        <w:rPr>
          <w:sz w:val="26"/>
          <w:szCs w:val="26"/>
        </w:rPr>
        <w:t xml:space="preserve">.  </w:t>
      </w:r>
      <w:r>
        <w:rPr>
          <w:sz w:val="26"/>
          <w:szCs w:val="26"/>
        </w:rPr>
        <w:t>Additionally, we propose that the EDCs include in their EE&amp;C Plans</w:t>
      </w:r>
      <w:r w:rsidR="003B0583">
        <w:rPr>
          <w:sz w:val="26"/>
          <w:szCs w:val="26"/>
        </w:rPr>
        <w:t xml:space="preserve"> </w:t>
      </w:r>
      <w:r w:rsidR="007E2785">
        <w:rPr>
          <w:sz w:val="26"/>
          <w:szCs w:val="26"/>
        </w:rPr>
        <w:t>net</w:t>
      </w:r>
      <w:r w:rsidR="003B0583">
        <w:rPr>
          <w:sz w:val="26"/>
          <w:szCs w:val="26"/>
        </w:rPr>
        <w:t xml:space="preserve"> TRC ratios, as well as </w:t>
      </w:r>
      <w:r w:rsidR="007E2785">
        <w:rPr>
          <w:sz w:val="26"/>
          <w:szCs w:val="26"/>
        </w:rPr>
        <w:t>gross</w:t>
      </w:r>
      <w:r w:rsidR="003B0583">
        <w:rPr>
          <w:sz w:val="26"/>
          <w:szCs w:val="26"/>
        </w:rPr>
        <w:t xml:space="preserve"> TRC ratios</w:t>
      </w:r>
      <w:r w:rsidR="00BC5C63">
        <w:rPr>
          <w:sz w:val="26"/>
          <w:szCs w:val="26"/>
        </w:rPr>
        <w:t xml:space="preserve">, based on the best available estimates of NTG </w:t>
      </w:r>
      <w:r w:rsidR="00CC69EE">
        <w:rPr>
          <w:sz w:val="26"/>
          <w:szCs w:val="26"/>
        </w:rPr>
        <w:t xml:space="preserve">research </w:t>
      </w:r>
      <w:r w:rsidR="00BC5C63">
        <w:rPr>
          <w:sz w:val="26"/>
          <w:szCs w:val="26"/>
        </w:rPr>
        <w:t>for a given program type</w:t>
      </w:r>
      <w:r>
        <w:rPr>
          <w:sz w:val="26"/>
          <w:szCs w:val="26"/>
        </w:rPr>
        <w:t xml:space="preserve">.  We </w:t>
      </w:r>
      <w:r w:rsidR="00BC5C63">
        <w:rPr>
          <w:sz w:val="26"/>
          <w:szCs w:val="26"/>
        </w:rPr>
        <w:t xml:space="preserve">recognize that prospective NTG adjustments will be speculative but </w:t>
      </w:r>
      <w:r>
        <w:rPr>
          <w:sz w:val="26"/>
          <w:szCs w:val="26"/>
        </w:rPr>
        <w:t xml:space="preserve">believe </w:t>
      </w:r>
      <w:r w:rsidR="00BC5C63">
        <w:rPr>
          <w:sz w:val="26"/>
          <w:szCs w:val="26"/>
        </w:rPr>
        <w:lastRenderedPageBreak/>
        <w:t>that adequate data should be available after a decade of EE&amp;C program implementation and evaluation</w:t>
      </w:r>
      <w:r w:rsidR="002C4060">
        <w:rPr>
          <w:sz w:val="26"/>
          <w:szCs w:val="26"/>
        </w:rPr>
        <w:t xml:space="preserve"> to produce a reasonable projection</w:t>
      </w:r>
      <w:r w:rsidR="00BC5C63">
        <w:rPr>
          <w:sz w:val="26"/>
          <w:szCs w:val="26"/>
        </w:rPr>
        <w:t xml:space="preserve">. </w:t>
      </w:r>
      <w:r w:rsidR="00FC2331">
        <w:rPr>
          <w:sz w:val="26"/>
          <w:szCs w:val="26"/>
        </w:rPr>
        <w:t xml:space="preserve"> </w:t>
      </w:r>
      <w:r w:rsidR="002C4060">
        <w:rPr>
          <w:sz w:val="26"/>
          <w:szCs w:val="26"/>
        </w:rPr>
        <w:t>T</w:t>
      </w:r>
      <w:r>
        <w:rPr>
          <w:sz w:val="26"/>
          <w:szCs w:val="26"/>
        </w:rPr>
        <w:t>he inclusion of NTG-based TRC ratios will provide all stakeholders with additional information regarding the effectiveness of EE&amp;C measures and programs.</w:t>
      </w:r>
    </w:p>
    <w:p w14:paraId="44C35C64" w14:textId="77777777" w:rsidR="0081539A" w:rsidRDefault="0081539A" w:rsidP="00851290">
      <w:pPr>
        <w:spacing w:line="360" w:lineRule="auto"/>
        <w:rPr>
          <w:sz w:val="26"/>
          <w:szCs w:val="26"/>
        </w:rPr>
      </w:pPr>
    </w:p>
    <w:p w14:paraId="0716E1DE" w14:textId="5F4CDF82" w:rsidR="0081539A" w:rsidRDefault="0081539A" w:rsidP="0081539A">
      <w:pPr>
        <w:pStyle w:val="Heading2"/>
        <w:keepNext/>
        <w:keepLines/>
      </w:pPr>
      <w:bookmarkStart w:id="339" w:name="_Toc33782021"/>
      <w:r>
        <w:t>P</w:t>
      </w:r>
      <w:r w:rsidRPr="00235CED">
        <w:t xml:space="preserve">rocess to Analyze How the Program and Each Plan will Enable EDCs to Meet </w:t>
      </w:r>
      <w:r>
        <w:t xml:space="preserve">Consumption and Peak Demand Reductions Requirements, and </w:t>
      </w:r>
      <w:r w:rsidR="002A1BA4">
        <w:t>H</w:t>
      </w:r>
      <w:r>
        <w:t>ow to Ensure Compliance</w:t>
      </w:r>
      <w:bookmarkEnd w:id="339"/>
    </w:p>
    <w:p w14:paraId="55B685FC" w14:textId="239569B4" w:rsidR="002A1BA4" w:rsidRDefault="0081539A" w:rsidP="002A1BA4">
      <w:pPr>
        <w:spacing w:line="360" w:lineRule="auto"/>
        <w:ind w:firstLine="720"/>
        <w:rPr>
          <w:sz w:val="26"/>
          <w:szCs w:val="26"/>
        </w:rPr>
      </w:pPr>
      <w:r w:rsidRPr="0081539A">
        <w:rPr>
          <w:sz w:val="26"/>
          <w:szCs w:val="26"/>
        </w:rPr>
        <w:t xml:space="preserve">The Act requires the Commission to conduct an analysis of how the program, as a whole, and how the EDC’s individual EE&amp;C Plans, in particular, will enable an EDC to meet or exceed the required consumption and peak demand reductions.  </w:t>
      </w:r>
      <w:r w:rsidRPr="0081539A">
        <w:rPr>
          <w:i/>
          <w:sz w:val="26"/>
          <w:szCs w:val="26"/>
        </w:rPr>
        <w:t>See</w:t>
      </w:r>
      <w:r w:rsidRPr="0081539A">
        <w:rPr>
          <w:sz w:val="26"/>
          <w:szCs w:val="26"/>
        </w:rPr>
        <w:t xml:space="preserve"> 66 Pa. C.S.</w:t>
      </w:r>
      <w:r w:rsidR="007F180B">
        <w:rPr>
          <w:sz w:val="26"/>
          <w:szCs w:val="26"/>
        </w:rPr>
        <w:t> </w:t>
      </w:r>
      <w:r w:rsidRPr="002A1BA4">
        <w:rPr>
          <w:sz w:val="26"/>
          <w:szCs w:val="26"/>
        </w:rPr>
        <w:t xml:space="preserve">§ 2806.1(a)(4).  Each EDC’s EE&amp;C Plan must include specific proposals to implement measures to achieve or exceed the required reductions. </w:t>
      </w:r>
      <w:r w:rsidRPr="002A1BA4">
        <w:rPr>
          <w:i/>
          <w:sz w:val="26"/>
          <w:szCs w:val="26"/>
        </w:rPr>
        <w:t>See</w:t>
      </w:r>
      <w:r w:rsidRPr="002A1BA4">
        <w:rPr>
          <w:sz w:val="26"/>
          <w:szCs w:val="26"/>
        </w:rPr>
        <w:t xml:space="preserve"> 66 Pa. C.S. § 2806.1(b)(1)(ii).  </w:t>
      </w:r>
      <w:bookmarkStart w:id="340" w:name="_Toc33513254"/>
      <w:bookmarkStart w:id="341" w:name="_Toc33513255"/>
      <w:bookmarkStart w:id="342" w:name="_Toc33513256"/>
      <w:bookmarkStart w:id="343" w:name="_Toc33513257"/>
      <w:bookmarkStart w:id="344" w:name="_Toc33513258"/>
      <w:bookmarkStart w:id="345" w:name="_Toc33513259"/>
      <w:bookmarkStart w:id="346" w:name="_Toc33513260"/>
      <w:bookmarkStart w:id="347" w:name="_Toc33513261"/>
      <w:bookmarkStart w:id="348" w:name="_Toc33513262"/>
      <w:bookmarkStart w:id="349" w:name="_Toc33513263"/>
      <w:bookmarkStart w:id="350" w:name="_Toc33513264"/>
      <w:bookmarkEnd w:id="340"/>
      <w:bookmarkEnd w:id="341"/>
      <w:bookmarkEnd w:id="342"/>
      <w:bookmarkEnd w:id="343"/>
      <w:bookmarkEnd w:id="344"/>
      <w:bookmarkEnd w:id="345"/>
      <w:bookmarkEnd w:id="346"/>
      <w:bookmarkEnd w:id="347"/>
      <w:bookmarkEnd w:id="348"/>
      <w:bookmarkEnd w:id="349"/>
      <w:bookmarkEnd w:id="350"/>
    </w:p>
    <w:p w14:paraId="082737C1" w14:textId="77777777" w:rsidR="002A1BA4" w:rsidRDefault="002A1BA4" w:rsidP="002A1BA4">
      <w:pPr>
        <w:spacing w:line="360" w:lineRule="auto"/>
        <w:ind w:firstLine="720"/>
        <w:rPr>
          <w:sz w:val="26"/>
          <w:szCs w:val="26"/>
        </w:rPr>
      </w:pPr>
    </w:p>
    <w:p w14:paraId="2135CAD0" w14:textId="666E1A93" w:rsidR="003F1127" w:rsidRPr="002A1BA4" w:rsidRDefault="002A1BA4" w:rsidP="002A1BA4">
      <w:pPr>
        <w:spacing w:line="360" w:lineRule="auto"/>
        <w:ind w:firstLine="720"/>
        <w:rPr>
          <w:sz w:val="26"/>
          <w:szCs w:val="26"/>
        </w:rPr>
      </w:pPr>
      <w:r>
        <w:rPr>
          <w:sz w:val="26"/>
          <w:szCs w:val="26"/>
        </w:rPr>
        <w:t>T</w:t>
      </w:r>
      <w:r w:rsidR="002218CE" w:rsidRPr="002A1BA4">
        <w:rPr>
          <w:sz w:val="26"/>
          <w:szCs w:val="26"/>
        </w:rPr>
        <w:t xml:space="preserve">he Act </w:t>
      </w:r>
      <w:r>
        <w:rPr>
          <w:sz w:val="26"/>
          <w:szCs w:val="26"/>
        </w:rPr>
        <w:t xml:space="preserve">also </w:t>
      </w:r>
      <w:r w:rsidR="002218CE" w:rsidRPr="002A1BA4">
        <w:rPr>
          <w:sz w:val="26"/>
          <w:szCs w:val="26"/>
        </w:rPr>
        <w:t>requires the Commission to establish procedures to ensure compliance with the consumption and peak demand reduction requirements.  66 Pa. C.S.</w:t>
      </w:r>
      <w:r w:rsidR="007F180B">
        <w:rPr>
          <w:sz w:val="26"/>
          <w:szCs w:val="26"/>
        </w:rPr>
        <w:t> </w:t>
      </w:r>
      <w:r w:rsidR="002218CE" w:rsidRPr="002A1BA4">
        <w:rPr>
          <w:sz w:val="26"/>
          <w:szCs w:val="26"/>
        </w:rPr>
        <w:t xml:space="preserve">§ 2806.1(a)(9).  Regarding the requirements for determining compliance with the Act 129 reduction requirements, each EDC subject to the Act must include in its </w:t>
      </w:r>
      <w:r w:rsidR="00FC2331">
        <w:rPr>
          <w:sz w:val="26"/>
          <w:szCs w:val="26"/>
        </w:rPr>
        <w:t>PY</w:t>
      </w:r>
      <w:r w:rsidR="002218CE" w:rsidRPr="002A1BA4">
        <w:rPr>
          <w:sz w:val="26"/>
          <w:szCs w:val="26"/>
        </w:rPr>
        <w:t xml:space="preserve">17 (June 1, 2025 through May 31, 2026 – the final year of Phase IV) </w:t>
      </w:r>
      <w:r w:rsidR="008A12BF">
        <w:rPr>
          <w:sz w:val="26"/>
          <w:szCs w:val="26"/>
        </w:rPr>
        <w:t xml:space="preserve">report, </w:t>
      </w:r>
      <w:r w:rsidR="002218CE" w:rsidRPr="002A1BA4">
        <w:rPr>
          <w:sz w:val="26"/>
          <w:szCs w:val="26"/>
        </w:rPr>
        <w:t xml:space="preserve">information documenting their consumption and peak demand reductions for June 1, 2021 through May 31, 2026.  This filing must provide total savings and savings by class of customer.  To be in compliance with the Act, an EDC must demonstrate that, during the June 1, 2021 through May 31, 2026 period, its plan produced total energy savings equal to the consumption reduction target established in Section </w:t>
      </w:r>
      <w:r w:rsidR="00FD5FA5" w:rsidRPr="002A1BA4">
        <w:rPr>
          <w:sz w:val="26"/>
          <w:szCs w:val="26"/>
        </w:rPr>
        <w:fldChar w:fldCharType="begin"/>
      </w:r>
      <w:r w:rsidR="00FD5FA5" w:rsidRPr="002A1BA4">
        <w:rPr>
          <w:sz w:val="26"/>
          <w:szCs w:val="26"/>
        </w:rPr>
        <w:instrText xml:space="preserve"> REF _Ref31469832 \r \h </w:instrText>
      </w:r>
      <w:r w:rsidR="003F1127" w:rsidRPr="002A1BA4">
        <w:rPr>
          <w:sz w:val="26"/>
          <w:szCs w:val="26"/>
        </w:rPr>
        <w:instrText xml:space="preserve"> \* MERGEFORMAT </w:instrText>
      </w:r>
      <w:r w:rsidR="00FD5FA5" w:rsidRPr="002A1BA4">
        <w:rPr>
          <w:sz w:val="26"/>
          <w:szCs w:val="26"/>
        </w:rPr>
      </w:r>
      <w:r w:rsidR="00FD5FA5" w:rsidRPr="002A1BA4">
        <w:rPr>
          <w:sz w:val="26"/>
          <w:szCs w:val="26"/>
        </w:rPr>
        <w:fldChar w:fldCharType="separate"/>
      </w:r>
      <w:r w:rsidR="00BB1E55">
        <w:rPr>
          <w:sz w:val="26"/>
          <w:szCs w:val="26"/>
        </w:rPr>
        <w:t>A</w:t>
      </w:r>
      <w:r w:rsidR="00FD5FA5" w:rsidRPr="002A1BA4">
        <w:rPr>
          <w:sz w:val="26"/>
          <w:szCs w:val="26"/>
        </w:rPr>
        <w:fldChar w:fldCharType="end"/>
      </w:r>
      <w:r w:rsidRPr="002A1BA4">
        <w:rPr>
          <w:sz w:val="26"/>
          <w:szCs w:val="26"/>
        </w:rPr>
        <w:t xml:space="preserve">: </w:t>
      </w:r>
      <w:r w:rsidR="009D6AF9" w:rsidRPr="002A1BA4">
        <w:rPr>
          <w:sz w:val="26"/>
          <w:szCs w:val="26"/>
        </w:rPr>
        <w:t>Proposed Additional Reductions in Electric Consumption</w:t>
      </w:r>
      <w:r w:rsidR="008428D8" w:rsidRPr="002A1BA4">
        <w:rPr>
          <w:sz w:val="26"/>
          <w:szCs w:val="26"/>
        </w:rPr>
        <w:t xml:space="preserve"> of this Order.</w:t>
      </w:r>
      <w:r w:rsidR="009D6AF9">
        <w:t xml:space="preserve"> </w:t>
      </w:r>
    </w:p>
    <w:p w14:paraId="4D53E97D" w14:textId="77777777" w:rsidR="002218CE" w:rsidRPr="003F1127" w:rsidRDefault="002218CE" w:rsidP="003A583A">
      <w:pPr>
        <w:spacing w:line="360" w:lineRule="auto"/>
        <w:rPr>
          <w:szCs w:val="26"/>
        </w:rPr>
      </w:pPr>
    </w:p>
    <w:p w14:paraId="273131B6" w14:textId="41D6DAC5" w:rsidR="002218CE" w:rsidRDefault="002218CE" w:rsidP="002218CE">
      <w:pPr>
        <w:pStyle w:val="p3"/>
        <w:widowControl/>
        <w:tabs>
          <w:tab w:val="clear" w:pos="204"/>
        </w:tabs>
        <w:spacing w:line="360" w:lineRule="auto"/>
        <w:rPr>
          <w:szCs w:val="26"/>
        </w:rPr>
      </w:pPr>
      <w:r w:rsidRPr="00235CED">
        <w:rPr>
          <w:szCs w:val="26"/>
        </w:rPr>
        <w:tab/>
      </w:r>
      <w:r>
        <w:rPr>
          <w:szCs w:val="26"/>
        </w:rPr>
        <w:t>We note that</w:t>
      </w:r>
      <w:r w:rsidRPr="00235CED">
        <w:rPr>
          <w:szCs w:val="26"/>
        </w:rPr>
        <w:t xml:space="preserve"> after-the-fact measurement and verification </w:t>
      </w:r>
      <w:r w:rsidR="008A732F">
        <w:rPr>
          <w:szCs w:val="26"/>
        </w:rPr>
        <w:t xml:space="preserve">of energy and peak demand savings </w:t>
      </w:r>
      <w:r w:rsidRPr="00235CED">
        <w:rPr>
          <w:szCs w:val="26"/>
        </w:rPr>
        <w:t>remain</w:t>
      </w:r>
      <w:r w:rsidR="008A732F">
        <w:rPr>
          <w:szCs w:val="26"/>
        </w:rPr>
        <w:t>s</w:t>
      </w:r>
      <w:r w:rsidRPr="00235CED">
        <w:rPr>
          <w:szCs w:val="26"/>
        </w:rPr>
        <w:t xml:space="preserve"> critical to ensure that an EDC has </w:t>
      </w:r>
      <w:r>
        <w:rPr>
          <w:szCs w:val="26"/>
        </w:rPr>
        <w:t xml:space="preserve">properly implemented its </w:t>
      </w:r>
      <w:r>
        <w:rPr>
          <w:szCs w:val="26"/>
        </w:rPr>
        <w:lastRenderedPageBreak/>
        <w:t>EE&amp;C P</w:t>
      </w:r>
      <w:r w:rsidRPr="00235CED">
        <w:rPr>
          <w:szCs w:val="26"/>
        </w:rPr>
        <w:t>lan, that the projected savings metrics remain accurate, that non-controllable factors such as economic growth</w:t>
      </w:r>
      <w:r>
        <w:rPr>
          <w:szCs w:val="26"/>
        </w:rPr>
        <w:t xml:space="preserve"> or contraction</w:t>
      </w:r>
      <w:r w:rsidRPr="00235CED">
        <w:rPr>
          <w:szCs w:val="26"/>
        </w:rPr>
        <w:t xml:space="preserve"> and weather have not skewed results, and that the savi</w:t>
      </w:r>
      <w:r>
        <w:rPr>
          <w:szCs w:val="26"/>
        </w:rPr>
        <w:t>ngs are the result of the EE&amp;C P</w:t>
      </w:r>
      <w:r w:rsidRPr="00235CED">
        <w:rPr>
          <w:szCs w:val="26"/>
        </w:rPr>
        <w:t>lan.  The Commission will analyze the program as a whole and individual EDC plan effectiveness in meeting or exceed</w:t>
      </w:r>
      <w:r>
        <w:rPr>
          <w:szCs w:val="26"/>
        </w:rPr>
        <w:t>ing</w:t>
      </w:r>
      <w:r w:rsidRPr="00235CED">
        <w:rPr>
          <w:szCs w:val="26"/>
        </w:rPr>
        <w:t xml:space="preserve"> the </w:t>
      </w:r>
      <w:r>
        <w:rPr>
          <w:szCs w:val="26"/>
        </w:rPr>
        <w:t>goals</w:t>
      </w:r>
      <w:r w:rsidRPr="00235CED">
        <w:rPr>
          <w:szCs w:val="26"/>
        </w:rPr>
        <w:t xml:space="preserve"> through the initial review process as described in Section </w:t>
      </w:r>
      <w:r w:rsidR="00A640CA">
        <w:rPr>
          <w:szCs w:val="26"/>
        </w:rPr>
        <w:fldChar w:fldCharType="begin"/>
      </w:r>
      <w:r w:rsidR="00A640CA">
        <w:rPr>
          <w:szCs w:val="26"/>
        </w:rPr>
        <w:instrText xml:space="preserve"> REF _Ref31639316 \r \h </w:instrText>
      </w:r>
      <w:r w:rsidR="00A640CA">
        <w:rPr>
          <w:szCs w:val="26"/>
        </w:rPr>
      </w:r>
      <w:r w:rsidR="00A640CA">
        <w:rPr>
          <w:szCs w:val="26"/>
        </w:rPr>
        <w:fldChar w:fldCharType="separate"/>
      </w:r>
      <w:r w:rsidR="00BB1E55">
        <w:rPr>
          <w:szCs w:val="26"/>
        </w:rPr>
        <w:t>D</w:t>
      </w:r>
      <w:r w:rsidR="00A640CA">
        <w:rPr>
          <w:szCs w:val="26"/>
        </w:rPr>
        <w:fldChar w:fldCharType="end"/>
      </w:r>
      <w:r w:rsidR="00A640CA">
        <w:rPr>
          <w:szCs w:val="26"/>
        </w:rPr>
        <w:t xml:space="preserve">: </w:t>
      </w:r>
      <w:r w:rsidR="00A640CA">
        <w:rPr>
          <w:szCs w:val="26"/>
        </w:rPr>
        <w:fldChar w:fldCharType="begin"/>
      </w:r>
      <w:r w:rsidR="00A640CA">
        <w:rPr>
          <w:szCs w:val="26"/>
        </w:rPr>
        <w:instrText xml:space="preserve"> REF _Ref31639320 \h </w:instrText>
      </w:r>
      <w:r w:rsidR="00A640CA">
        <w:rPr>
          <w:szCs w:val="26"/>
        </w:rPr>
      </w:r>
      <w:r w:rsidR="00A640CA">
        <w:rPr>
          <w:szCs w:val="26"/>
        </w:rPr>
        <w:fldChar w:fldCharType="separate"/>
      </w:r>
      <w:r w:rsidR="00BB1E55" w:rsidRPr="00235CED">
        <w:t>Plan Effectiveness Evaluation Process</w:t>
      </w:r>
      <w:r w:rsidR="00A640CA">
        <w:rPr>
          <w:szCs w:val="26"/>
        </w:rPr>
        <w:fldChar w:fldCharType="end"/>
      </w:r>
      <w:r w:rsidRPr="00235CED">
        <w:rPr>
          <w:szCs w:val="26"/>
        </w:rPr>
        <w:t xml:space="preserve"> </w:t>
      </w:r>
      <w:r>
        <w:rPr>
          <w:szCs w:val="26"/>
        </w:rPr>
        <w:t>of this Order.</w:t>
      </w:r>
    </w:p>
    <w:p w14:paraId="254CC9AB" w14:textId="77777777" w:rsidR="002218CE" w:rsidRDefault="002218CE" w:rsidP="002218CE">
      <w:pPr>
        <w:pStyle w:val="p3"/>
        <w:widowControl/>
        <w:tabs>
          <w:tab w:val="clear" w:pos="204"/>
        </w:tabs>
        <w:spacing w:line="360" w:lineRule="auto"/>
        <w:rPr>
          <w:szCs w:val="26"/>
        </w:rPr>
      </w:pPr>
    </w:p>
    <w:p w14:paraId="0DE16197" w14:textId="312B4FB0" w:rsidR="002218CE" w:rsidRDefault="002218CE" w:rsidP="002218CE">
      <w:pPr>
        <w:pStyle w:val="p3"/>
        <w:widowControl/>
        <w:tabs>
          <w:tab w:val="clear" w:pos="204"/>
        </w:tabs>
        <w:spacing w:line="360" w:lineRule="auto"/>
        <w:rPr>
          <w:szCs w:val="26"/>
        </w:rPr>
      </w:pPr>
      <w:r>
        <w:rPr>
          <w:szCs w:val="26"/>
        </w:rPr>
        <w:tab/>
        <w:t>Finally, a</w:t>
      </w:r>
      <w:r w:rsidRPr="002719B7">
        <w:rPr>
          <w:rFonts w:cs="Arial"/>
          <w:szCs w:val="20"/>
        </w:rPr>
        <w:t xml:space="preserve">s </w:t>
      </w:r>
      <w:r>
        <w:rPr>
          <w:rFonts w:cs="Arial"/>
          <w:szCs w:val="20"/>
        </w:rPr>
        <w:t>discussed previously</w:t>
      </w:r>
      <w:r w:rsidRPr="002719B7">
        <w:rPr>
          <w:rFonts w:cs="Arial"/>
          <w:szCs w:val="20"/>
        </w:rPr>
        <w:t>,</w:t>
      </w:r>
      <w:r>
        <w:rPr>
          <w:rFonts w:ascii="Arial" w:hAnsi="Arial" w:cs="Arial"/>
          <w:color w:val="0000FF"/>
          <w:sz w:val="20"/>
          <w:szCs w:val="20"/>
        </w:rPr>
        <w:t xml:space="preserve"> </w:t>
      </w:r>
      <w:r>
        <w:rPr>
          <w:szCs w:val="26"/>
        </w:rPr>
        <w:t>the Commission intends to issue a</w:t>
      </w:r>
      <w:r w:rsidR="00BB1E33">
        <w:rPr>
          <w:szCs w:val="26"/>
        </w:rPr>
        <w:t>n RFP</w:t>
      </w:r>
      <w:r>
        <w:rPr>
          <w:szCs w:val="26"/>
        </w:rPr>
        <w:t xml:space="preserve"> to retain the services of a SWE to perform the annual and end of phase independent evaluation of each EDC plan, develop standardized evaluation protocols, update the TRM, and consolidate plan performance data across all EDC service territories.  The SWE will work with the Commission staff and interested parties in the development of the evaluation methods, protocols, data collection formats and databases.  The costs for the SWE contracts with the Commission will be recovered from</w:t>
      </w:r>
      <w:r w:rsidR="002A1BA4">
        <w:rPr>
          <w:szCs w:val="26"/>
        </w:rPr>
        <w:t xml:space="preserve"> the</w:t>
      </w:r>
      <w:r>
        <w:rPr>
          <w:szCs w:val="26"/>
        </w:rPr>
        <w:t xml:space="preserve"> EDCs consistent with Section 2806.1(h) of the Act.  66 Pa. C.S. § 2806.1(h).</w:t>
      </w:r>
    </w:p>
    <w:p w14:paraId="66E8571E" w14:textId="77777777" w:rsidR="002A1BA4" w:rsidRDefault="002A1BA4" w:rsidP="002218CE">
      <w:pPr>
        <w:pStyle w:val="p3"/>
        <w:widowControl/>
        <w:tabs>
          <w:tab w:val="clear" w:pos="204"/>
        </w:tabs>
        <w:spacing w:line="360" w:lineRule="auto"/>
        <w:rPr>
          <w:szCs w:val="26"/>
        </w:rPr>
      </w:pPr>
    </w:p>
    <w:p w14:paraId="63216441" w14:textId="11315FCA" w:rsidR="002719B7" w:rsidRPr="00DD5EBD" w:rsidRDefault="002719B7" w:rsidP="00841187">
      <w:pPr>
        <w:pStyle w:val="Heading2"/>
        <w:keepNext/>
        <w:widowControl/>
        <w:spacing w:line="240" w:lineRule="auto"/>
      </w:pPr>
      <w:bookmarkStart w:id="351" w:name="_Toc33782022"/>
      <w:r w:rsidRPr="00DD1373">
        <w:t>Procedures</w:t>
      </w:r>
      <w:r w:rsidRPr="00DD5EBD">
        <w:t xml:space="preserve"> to Require Competitive Bidding and Approval of Contracts with CSPs</w:t>
      </w:r>
      <w:bookmarkEnd w:id="351"/>
    </w:p>
    <w:p w14:paraId="130FF2E0" w14:textId="63129735" w:rsidR="00DD5EBD" w:rsidRDefault="00DD5EBD" w:rsidP="003A583A">
      <w:pPr>
        <w:pStyle w:val="p3"/>
        <w:keepNext/>
        <w:widowControl/>
        <w:tabs>
          <w:tab w:val="clear" w:pos="204"/>
        </w:tabs>
        <w:spacing w:before="200" w:line="360" w:lineRule="auto"/>
        <w:ind w:firstLine="720"/>
      </w:pPr>
      <w:r>
        <w:t>The Act requires the Commission to establish procedures to require EDCs to competitively bid all contracts with CSPs.</w:t>
      </w:r>
      <w:r>
        <w:rPr>
          <w:rStyle w:val="FootnoteReference"/>
        </w:rPr>
        <w:footnoteReference w:id="82"/>
      </w:r>
      <w:r>
        <w:t xml:space="preserve"> </w:t>
      </w:r>
      <w:r w:rsidR="00A4415E">
        <w:t xml:space="preserve"> </w:t>
      </w:r>
      <w:r>
        <w:t>The Act further requires the Commission to establish procedures to review all proposed contracts with CSPs prior to execution of the contract.</w:t>
      </w:r>
      <w:r>
        <w:rPr>
          <w:rStyle w:val="FootnoteReference"/>
        </w:rPr>
        <w:footnoteReference w:id="83"/>
      </w:r>
      <w:r>
        <w:t xml:space="preserve">  The Act gives the Commission power to order the modification of proposed contracts to ensure that plans meet consumption reduction requirements.</w:t>
      </w:r>
      <w:r>
        <w:rPr>
          <w:rStyle w:val="FootnoteReference"/>
        </w:rPr>
        <w:footnoteReference w:id="84"/>
      </w:r>
    </w:p>
    <w:p w14:paraId="65E52602" w14:textId="77777777" w:rsidR="00DD5EBD" w:rsidRDefault="00DD5EBD" w:rsidP="0009548F">
      <w:pPr>
        <w:pStyle w:val="p3"/>
        <w:widowControl/>
        <w:tabs>
          <w:tab w:val="clear" w:pos="204"/>
        </w:tabs>
        <w:spacing w:line="360" w:lineRule="auto"/>
        <w:ind w:firstLine="1440"/>
      </w:pPr>
    </w:p>
    <w:p w14:paraId="22F00221" w14:textId="77777777" w:rsidR="00DD5EBD" w:rsidRDefault="00DD5EBD" w:rsidP="0009548F">
      <w:pPr>
        <w:pStyle w:val="p3"/>
        <w:widowControl/>
        <w:tabs>
          <w:tab w:val="clear" w:pos="204"/>
        </w:tabs>
        <w:spacing w:line="360" w:lineRule="auto"/>
        <w:ind w:firstLine="720"/>
      </w:pPr>
      <w:r>
        <w:t xml:space="preserve">EDCs are reminded that CSPs covered by the competitive bidding and contract approval procedures in this section are those that provide consultation, design, and </w:t>
      </w:r>
      <w:r>
        <w:lastRenderedPageBreak/>
        <w:t xml:space="preserve">administration and management or advisory services to the EDC.  All entities that provide services directly to customers or the public in general, such as equipment installers or suppliers, are not to be included in the EDC’s competitive bidding process.  </w:t>
      </w:r>
    </w:p>
    <w:p w14:paraId="6C8E78F0" w14:textId="77777777" w:rsidR="00DD5EBD" w:rsidRDefault="00DD5EBD" w:rsidP="0009548F">
      <w:pPr>
        <w:pStyle w:val="p3"/>
        <w:widowControl/>
        <w:tabs>
          <w:tab w:val="clear" w:pos="204"/>
        </w:tabs>
        <w:spacing w:line="360" w:lineRule="auto"/>
        <w:ind w:firstLine="720"/>
      </w:pPr>
    </w:p>
    <w:p w14:paraId="30C27DEF" w14:textId="66EAE250" w:rsidR="00DD5EBD" w:rsidRDefault="00DD5EBD" w:rsidP="0009548F">
      <w:pPr>
        <w:pStyle w:val="p3"/>
        <w:widowControl/>
        <w:tabs>
          <w:tab w:val="clear" w:pos="204"/>
        </w:tabs>
        <w:spacing w:line="360" w:lineRule="auto"/>
        <w:ind w:firstLine="720"/>
      </w:pPr>
      <w:r>
        <w:t>With this Tentative Order the Commission is proposing to</w:t>
      </w:r>
      <w:r w:rsidR="00102F4D">
        <w:t xml:space="preserve"> maintain the status quo by</w:t>
      </w:r>
      <w:r>
        <w:t xml:space="preserve"> requir</w:t>
      </w:r>
      <w:r w:rsidR="00102F4D">
        <w:t>ing</w:t>
      </w:r>
      <w:r>
        <w:t xml:space="preserve"> EDCs to file CSP RFP competitive bidding procedures and to bid all CSP contracts </w:t>
      </w:r>
      <w:r w:rsidR="0096344B">
        <w:t>[</w:t>
      </w:r>
      <w:r>
        <w:t>without exception</w:t>
      </w:r>
      <w:r w:rsidR="0096344B">
        <w:t>]</w:t>
      </w:r>
      <w:r w:rsidR="004E138F">
        <w:t xml:space="preserve"> for Phase IV</w:t>
      </w:r>
      <w:r>
        <w:t xml:space="preserve">.  </w:t>
      </w:r>
    </w:p>
    <w:p w14:paraId="3065FF49" w14:textId="77777777" w:rsidR="00DD5EBD" w:rsidRDefault="00DD5EBD" w:rsidP="0009548F">
      <w:pPr>
        <w:pStyle w:val="p3"/>
        <w:widowControl/>
        <w:tabs>
          <w:tab w:val="clear" w:pos="204"/>
        </w:tabs>
        <w:spacing w:line="360" w:lineRule="auto"/>
      </w:pPr>
    </w:p>
    <w:p w14:paraId="53FF559B" w14:textId="77777777" w:rsidR="00DD5EBD" w:rsidRDefault="00DD5EBD" w:rsidP="00E95C7C">
      <w:pPr>
        <w:pStyle w:val="Heading3"/>
        <w:numPr>
          <w:ilvl w:val="0"/>
          <w:numId w:val="11"/>
        </w:numPr>
      </w:pPr>
      <w:bookmarkStart w:id="352" w:name="_Toc33782023"/>
      <w:r>
        <w:t xml:space="preserve">Competitive </w:t>
      </w:r>
      <w:r w:rsidRPr="00DD1373">
        <w:t>Bidding</w:t>
      </w:r>
      <w:bookmarkEnd w:id="352"/>
    </w:p>
    <w:p w14:paraId="5548C413" w14:textId="4765C372" w:rsidR="00DD5EBD" w:rsidRPr="002802FD" w:rsidRDefault="00F025FA" w:rsidP="0009548F">
      <w:pPr>
        <w:spacing w:line="360" w:lineRule="auto"/>
        <w:ind w:firstLine="720"/>
        <w:rPr>
          <w:sz w:val="26"/>
          <w:szCs w:val="26"/>
        </w:rPr>
      </w:pPr>
      <w:r w:rsidRPr="004D2067">
        <w:rPr>
          <w:sz w:val="26"/>
          <w:szCs w:val="26"/>
        </w:rPr>
        <w:t xml:space="preserve"> </w:t>
      </w:r>
      <w:r w:rsidR="00D04FE5">
        <w:rPr>
          <w:sz w:val="26"/>
          <w:szCs w:val="26"/>
        </w:rPr>
        <w:t xml:space="preserve">In Phase III, </w:t>
      </w:r>
      <w:r w:rsidRPr="004D2067">
        <w:rPr>
          <w:sz w:val="26"/>
          <w:szCs w:val="26"/>
        </w:rPr>
        <w:t xml:space="preserve">the Commission </w:t>
      </w:r>
      <w:r w:rsidR="2BFF0D43" w:rsidRPr="004D2067">
        <w:rPr>
          <w:sz w:val="26"/>
          <w:szCs w:val="26"/>
        </w:rPr>
        <w:t>require</w:t>
      </w:r>
      <w:r w:rsidR="161A27B9">
        <w:rPr>
          <w:sz w:val="26"/>
          <w:szCs w:val="26"/>
        </w:rPr>
        <w:t>d</w:t>
      </w:r>
      <w:r w:rsidRPr="004D2067">
        <w:rPr>
          <w:sz w:val="26"/>
          <w:szCs w:val="26"/>
        </w:rPr>
        <w:t xml:space="preserve"> EDCs to file their respective RFP procedures for review and approval.</w:t>
      </w:r>
      <w:r w:rsidR="00492345">
        <w:rPr>
          <w:sz w:val="26"/>
          <w:szCs w:val="26"/>
        </w:rPr>
        <w:t xml:space="preserve">  </w:t>
      </w:r>
      <w:r w:rsidR="00453192">
        <w:rPr>
          <w:sz w:val="26"/>
          <w:szCs w:val="26"/>
        </w:rPr>
        <w:t>T</w:t>
      </w:r>
      <w:r w:rsidR="00453192" w:rsidRPr="004D2067">
        <w:rPr>
          <w:sz w:val="26"/>
          <w:szCs w:val="26"/>
        </w:rPr>
        <w:t xml:space="preserve">he Commission </w:t>
      </w:r>
      <w:r w:rsidR="00453192">
        <w:rPr>
          <w:sz w:val="26"/>
          <w:szCs w:val="26"/>
        </w:rPr>
        <w:t xml:space="preserve">adopted </w:t>
      </w:r>
      <w:r w:rsidR="00453192" w:rsidRPr="004D2067">
        <w:rPr>
          <w:sz w:val="26"/>
          <w:szCs w:val="26"/>
        </w:rPr>
        <w:t>the following minimum criteria for the CSP competitive bidding review process</w:t>
      </w:r>
      <w:r w:rsidR="002674C3">
        <w:rPr>
          <w:sz w:val="26"/>
          <w:szCs w:val="26"/>
        </w:rPr>
        <w:t xml:space="preserve"> for Phase III</w:t>
      </w:r>
      <w:r w:rsidR="00DD5EBD" w:rsidRPr="002802FD">
        <w:rPr>
          <w:sz w:val="26"/>
          <w:szCs w:val="26"/>
        </w:rPr>
        <w:t>:</w:t>
      </w:r>
    </w:p>
    <w:p w14:paraId="6396DF8C" w14:textId="43430F8C" w:rsidR="00DD5EBD" w:rsidRPr="00540DEC" w:rsidRDefault="00DD5EBD" w:rsidP="00841187">
      <w:pPr>
        <w:pStyle w:val="ListParagraph"/>
        <w:numPr>
          <w:ilvl w:val="0"/>
          <w:numId w:val="35"/>
        </w:numPr>
        <w:spacing w:line="360" w:lineRule="auto"/>
        <w:contextualSpacing w:val="0"/>
        <w:rPr>
          <w:szCs w:val="26"/>
        </w:rPr>
      </w:pPr>
      <w:r w:rsidRPr="003A583A">
        <w:rPr>
          <w:sz w:val="26"/>
          <w:szCs w:val="26"/>
        </w:rPr>
        <w:t xml:space="preserve">Assurance that EDCs will issue RFPs to all </w:t>
      </w:r>
      <w:r w:rsidR="00A95BF8" w:rsidRPr="003A583A">
        <w:rPr>
          <w:sz w:val="26"/>
          <w:szCs w:val="26"/>
        </w:rPr>
        <w:t xml:space="preserve">qualified </w:t>
      </w:r>
      <w:r w:rsidRPr="003A583A">
        <w:rPr>
          <w:sz w:val="26"/>
          <w:szCs w:val="26"/>
        </w:rPr>
        <w:t>registered CSPs using the current posting of the CSP register on the Commission’s website.</w:t>
      </w:r>
      <w:r w:rsidR="0046728D">
        <w:rPr>
          <w:rStyle w:val="FootnoteReference"/>
          <w:sz w:val="26"/>
          <w:szCs w:val="26"/>
        </w:rPr>
        <w:footnoteReference w:id="85"/>
      </w:r>
      <w:r w:rsidR="0046728D" w:rsidRPr="003A583A" w:rsidDel="0046728D">
        <w:rPr>
          <w:szCs w:val="26"/>
        </w:rPr>
        <w:t xml:space="preserve"> </w:t>
      </w:r>
    </w:p>
    <w:p w14:paraId="2E0AE51D" w14:textId="41194D16" w:rsidR="00DD5EBD" w:rsidRPr="00540DEC" w:rsidRDefault="00DD5EBD" w:rsidP="00841187">
      <w:pPr>
        <w:pStyle w:val="ListParagraph"/>
        <w:numPr>
          <w:ilvl w:val="0"/>
          <w:numId w:val="35"/>
        </w:numPr>
        <w:spacing w:line="360" w:lineRule="auto"/>
        <w:contextualSpacing w:val="0"/>
        <w:rPr>
          <w:szCs w:val="26"/>
        </w:rPr>
      </w:pPr>
      <w:r w:rsidRPr="003A583A">
        <w:rPr>
          <w:sz w:val="26"/>
          <w:szCs w:val="26"/>
        </w:rPr>
        <w:t>Effort to acquire bids from “disadvantaged businesses” (i.e., minority-owned, women-owned, persons-with-disability-owned, small companies, companies located in Enterprise Zones, and similar entities) consistent with the Commission’s Policy Statements at 52 Pa. Code §§</w:t>
      </w:r>
      <w:r w:rsidR="00A95BF8" w:rsidRPr="003A583A">
        <w:rPr>
          <w:sz w:val="26"/>
          <w:szCs w:val="26"/>
        </w:rPr>
        <w:t xml:space="preserve"> </w:t>
      </w:r>
      <w:r w:rsidRPr="003A583A">
        <w:rPr>
          <w:sz w:val="26"/>
          <w:szCs w:val="26"/>
        </w:rPr>
        <w:t>69.804, 69.807 and 69.808.</w:t>
      </w:r>
    </w:p>
    <w:p w14:paraId="7304488C" w14:textId="02AF14F2" w:rsidR="00DD5EBD" w:rsidRPr="00540DEC" w:rsidRDefault="00DD5EBD" w:rsidP="00841187">
      <w:pPr>
        <w:pStyle w:val="ListParagraph"/>
        <w:numPr>
          <w:ilvl w:val="0"/>
          <w:numId w:val="35"/>
        </w:numPr>
        <w:spacing w:line="360" w:lineRule="auto"/>
        <w:contextualSpacing w:val="0"/>
        <w:rPr>
          <w:szCs w:val="26"/>
        </w:rPr>
      </w:pPr>
      <w:r w:rsidRPr="003A583A">
        <w:rPr>
          <w:sz w:val="26"/>
          <w:szCs w:val="26"/>
        </w:rPr>
        <w:t>Selection criteria and weight assigned to each factor for bid review and selection of overall best bid/proposal (i.e., no requirement to select the lowest qualified bid), that consider:</w:t>
      </w:r>
    </w:p>
    <w:p w14:paraId="066019D9" w14:textId="77777777" w:rsidR="00DD5EBD" w:rsidRPr="003A583A" w:rsidRDefault="00DD5EBD" w:rsidP="00841187">
      <w:pPr>
        <w:pStyle w:val="ListParagraph"/>
        <w:numPr>
          <w:ilvl w:val="1"/>
          <w:numId w:val="36"/>
        </w:numPr>
        <w:spacing w:line="360" w:lineRule="auto"/>
        <w:rPr>
          <w:sz w:val="26"/>
          <w:szCs w:val="26"/>
        </w:rPr>
      </w:pPr>
      <w:r w:rsidRPr="003A583A">
        <w:rPr>
          <w:sz w:val="26"/>
          <w:szCs w:val="26"/>
        </w:rPr>
        <w:t>Quality of prior performance;</w:t>
      </w:r>
    </w:p>
    <w:p w14:paraId="2FCC5E65" w14:textId="77777777" w:rsidR="00DD5EBD" w:rsidRPr="003A583A" w:rsidRDefault="00DD5EBD" w:rsidP="00841187">
      <w:pPr>
        <w:pStyle w:val="ListParagraph"/>
        <w:numPr>
          <w:ilvl w:val="1"/>
          <w:numId w:val="36"/>
        </w:numPr>
        <w:spacing w:line="360" w:lineRule="auto"/>
        <w:rPr>
          <w:sz w:val="26"/>
          <w:szCs w:val="26"/>
        </w:rPr>
      </w:pPr>
      <w:r w:rsidRPr="003A583A">
        <w:rPr>
          <w:sz w:val="26"/>
          <w:szCs w:val="26"/>
        </w:rPr>
        <w:t>Timeliness of performance;</w:t>
      </w:r>
    </w:p>
    <w:p w14:paraId="4E4E03E2" w14:textId="77777777" w:rsidR="00DD5EBD" w:rsidRPr="003A583A" w:rsidRDefault="00DD5EBD" w:rsidP="00841187">
      <w:pPr>
        <w:pStyle w:val="ListParagraph"/>
        <w:numPr>
          <w:ilvl w:val="1"/>
          <w:numId w:val="36"/>
        </w:numPr>
        <w:spacing w:line="360" w:lineRule="auto"/>
        <w:rPr>
          <w:sz w:val="26"/>
          <w:szCs w:val="26"/>
        </w:rPr>
      </w:pPr>
      <w:r w:rsidRPr="003A583A">
        <w:rPr>
          <w:sz w:val="26"/>
          <w:szCs w:val="26"/>
        </w:rPr>
        <w:t>Quality of the proposed work plan or approach;</w:t>
      </w:r>
    </w:p>
    <w:p w14:paraId="21F7E1F9" w14:textId="77777777" w:rsidR="00DD5EBD" w:rsidRPr="003A583A" w:rsidRDefault="00DD5EBD" w:rsidP="00841187">
      <w:pPr>
        <w:pStyle w:val="ListParagraph"/>
        <w:numPr>
          <w:ilvl w:val="1"/>
          <w:numId w:val="36"/>
        </w:numPr>
        <w:spacing w:line="360" w:lineRule="auto"/>
        <w:rPr>
          <w:sz w:val="26"/>
          <w:szCs w:val="26"/>
        </w:rPr>
      </w:pPr>
      <w:r w:rsidRPr="003A583A">
        <w:rPr>
          <w:sz w:val="26"/>
          <w:szCs w:val="26"/>
        </w:rPr>
        <w:t xml:space="preserve">Knowledge, background and experience of the personnel to be utilized; and </w:t>
      </w:r>
    </w:p>
    <w:p w14:paraId="3DA4E460" w14:textId="77777777" w:rsidR="00DD5EBD" w:rsidRPr="003A583A" w:rsidRDefault="00DD5EBD" w:rsidP="00841187">
      <w:pPr>
        <w:pStyle w:val="ListParagraph"/>
        <w:numPr>
          <w:ilvl w:val="1"/>
          <w:numId w:val="36"/>
        </w:numPr>
        <w:spacing w:line="360" w:lineRule="auto"/>
        <w:rPr>
          <w:sz w:val="26"/>
          <w:szCs w:val="26"/>
        </w:rPr>
      </w:pPr>
      <w:r w:rsidRPr="003A583A">
        <w:rPr>
          <w:sz w:val="26"/>
          <w:szCs w:val="26"/>
        </w:rPr>
        <w:t>Other factors as deemed relevant.</w:t>
      </w:r>
    </w:p>
    <w:p w14:paraId="2A44420D" w14:textId="77777777" w:rsidR="00750BAD" w:rsidRDefault="00750BAD" w:rsidP="0009548F">
      <w:pPr>
        <w:spacing w:line="360" w:lineRule="auto"/>
        <w:rPr>
          <w:sz w:val="26"/>
          <w:szCs w:val="26"/>
        </w:rPr>
      </w:pPr>
    </w:p>
    <w:p w14:paraId="3C0B21CF" w14:textId="006E3C59" w:rsidR="00DD5EBD" w:rsidRPr="00A30B75" w:rsidRDefault="00750BAD" w:rsidP="0009548F">
      <w:pPr>
        <w:spacing w:line="360" w:lineRule="auto"/>
        <w:rPr>
          <w:sz w:val="26"/>
          <w:szCs w:val="26"/>
        </w:rPr>
      </w:pPr>
      <w:r>
        <w:rPr>
          <w:sz w:val="26"/>
          <w:szCs w:val="26"/>
        </w:rPr>
        <w:lastRenderedPageBreak/>
        <w:t>T</w:t>
      </w:r>
      <w:r w:rsidRPr="004D2067">
        <w:rPr>
          <w:sz w:val="26"/>
          <w:szCs w:val="26"/>
        </w:rPr>
        <w:t xml:space="preserve">he Commission </w:t>
      </w:r>
      <w:r>
        <w:rPr>
          <w:sz w:val="26"/>
          <w:szCs w:val="26"/>
        </w:rPr>
        <w:t xml:space="preserve">proposes adopting </w:t>
      </w:r>
      <w:r w:rsidRPr="004D2067">
        <w:rPr>
          <w:sz w:val="26"/>
          <w:szCs w:val="26"/>
        </w:rPr>
        <w:t xml:space="preserve">the </w:t>
      </w:r>
      <w:r>
        <w:rPr>
          <w:sz w:val="26"/>
          <w:szCs w:val="26"/>
        </w:rPr>
        <w:t>same</w:t>
      </w:r>
      <w:r w:rsidRPr="004D2067">
        <w:rPr>
          <w:sz w:val="26"/>
          <w:szCs w:val="26"/>
        </w:rPr>
        <w:t xml:space="preserve"> minimum criteria for the CSP competitive bidding review process</w:t>
      </w:r>
      <w:r>
        <w:rPr>
          <w:sz w:val="26"/>
          <w:szCs w:val="26"/>
        </w:rPr>
        <w:t xml:space="preserve"> in Phase IV. </w:t>
      </w:r>
      <w:r w:rsidR="0098220B">
        <w:rPr>
          <w:sz w:val="26"/>
          <w:szCs w:val="26"/>
        </w:rPr>
        <w:t xml:space="preserve"> </w:t>
      </w:r>
      <w:r w:rsidR="00DD5EBD">
        <w:rPr>
          <w:sz w:val="26"/>
          <w:szCs w:val="26"/>
        </w:rPr>
        <w:t>If Commission s</w:t>
      </w:r>
      <w:r w:rsidR="00DD5EBD" w:rsidRPr="002802FD">
        <w:rPr>
          <w:sz w:val="26"/>
          <w:szCs w:val="26"/>
        </w:rPr>
        <w:t xml:space="preserve">taff has not commented upon or disapproved the proposed RFP process within 15 days of </w:t>
      </w:r>
      <w:r w:rsidR="00DD5EBD">
        <w:rPr>
          <w:sz w:val="26"/>
          <w:szCs w:val="26"/>
        </w:rPr>
        <w:t>its filing</w:t>
      </w:r>
      <w:r w:rsidR="00DD5EBD" w:rsidRPr="002802FD">
        <w:rPr>
          <w:sz w:val="26"/>
          <w:szCs w:val="26"/>
        </w:rPr>
        <w:t xml:space="preserve">, the EDC is permitted to </w:t>
      </w:r>
      <w:r w:rsidR="00DD5EBD">
        <w:rPr>
          <w:sz w:val="26"/>
          <w:szCs w:val="26"/>
        </w:rPr>
        <w:t>use</w:t>
      </w:r>
      <w:r w:rsidR="00DD5EBD" w:rsidRPr="002802FD">
        <w:rPr>
          <w:sz w:val="26"/>
          <w:szCs w:val="26"/>
        </w:rPr>
        <w:t xml:space="preserve"> </w:t>
      </w:r>
      <w:r w:rsidR="006B7A73">
        <w:rPr>
          <w:sz w:val="26"/>
          <w:szCs w:val="26"/>
        </w:rPr>
        <w:t>that process</w:t>
      </w:r>
      <w:r w:rsidR="00DD5EBD">
        <w:rPr>
          <w:sz w:val="26"/>
          <w:szCs w:val="26"/>
        </w:rPr>
        <w:t xml:space="preserve">.  In order to expedite contractual arrangements relating to </w:t>
      </w:r>
      <w:r w:rsidR="00DD5EBD" w:rsidRPr="00A30B75">
        <w:rPr>
          <w:sz w:val="26"/>
          <w:szCs w:val="26"/>
        </w:rPr>
        <w:t xml:space="preserve">proposed CSP contracts, EDCs are encouraged to file their proposed RFP process </w:t>
      </w:r>
      <w:r w:rsidR="00791A6C">
        <w:rPr>
          <w:sz w:val="26"/>
          <w:szCs w:val="26"/>
        </w:rPr>
        <w:t>by</w:t>
      </w:r>
      <w:r w:rsidR="00DD5EBD" w:rsidRPr="00A30B75">
        <w:rPr>
          <w:sz w:val="26"/>
          <w:szCs w:val="26"/>
        </w:rPr>
        <w:t xml:space="preserve"> </w:t>
      </w:r>
      <w:r w:rsidR="00A95BF8">
        <w:rPr>
          <w:sz w:val="26"/>
          <w:szCs w:val="26"/>
        </w:rPr>
        <w:t>August 30</w:t>
      </w:r>
      <w:r w:rsidR="00DD5EBD" w:rsidRPr="00A30B75">
        <w:rPr>
          <w:sz w:val="26"/>
          <w:szCs w:val="26"/>
        </w:rPr>
        <w:t xml:space="preserve">, </w:t>
      </w:r>
      <w:r w:rsidRPr="00A30B75">
        <w:rPr>
          <w:sz w:val="26"/>
          <w:szCs w:val="26"/>
        </w:rPr>
        <w:t>20</w:t>
      </w:r>
      <w:r>
        <w:rPr>
          <w:sz w:val="26"/>
          <w:szCs w:val="26"/>
        </w:rPr>
        <w:t>20</w:t>
      </w:r>
      <w:r w:rsidR="00DD5EBD" w:rsidRPr="00A30B75">
        <w:rPr>
          <w:sz w:val="26"/>
          <w:szCs w:val="26"/>
        </w:rPr>
        <w:t xml:space="preserve">.  </w:t>
      </w:r>
    </w:p>
    <w:p w14:paraId="121CE854" w14:textId="77777777" w:rsidR="00DD5EBD" w:rsidRPr="00A30B75" w:rsidRDefault="00DD5EBD" w:rsidP="0009548F">
      <w:pPr>
        <w:spacing w:line="360" w:lineRule="auto"/>
        <w:rPr>
          <w:sz w:val="26"/>
          <w:szCs w:val="26"/>
        </w:rPr>
      </w:pPr>
    </w:p>
    <w:p w14:paraId="7A09A818" w14:textId="77777777" w:rsidR="00DD5EBD" w:rsidRPr="00A30B75" w:rsidRDefault="00DD5EBD" w:rsidP="0009548F">
      <w:pPr>
        <w:pStyle w:val="Heading3"/>
      </w:pPr>
      <w:bookmarkStart w:id="353" w:name="_Toc33782024"/>
      <w:r w:rsidRPr="00A30B75">
        <w:t>Approval of Contracts</w:t>
      </w:r>
      <w:bookmarkEnd w:id="353"/>
    </w:p>
    <w:p w14:paraId="5F8288CB" w14:textId="75064DC5" w:rsidR="00DD5EBD" w:rsidRDefault="00DD5EBD" w:rsidP="0009548F">
      <w:pPr>
        <w:pStyle w:val="p3"/>
        <w:widowControl/>
        <w:tabs>
          <w:tab w:val="clear" w:pos="204"/>
        </w:tabs>
        <w:spacing w:line="360" w:lineRule="auto"/>
        <w:ind w:firstLine="720"/>
      </w:pPr>
      <w:r w:rsidRPr="00A30B75">
        <w:t>The Act requires each EDC</w:t>
      </w:r>
      <w:r>
        <w:t xml:space="preserve"> to include in its plan a contract with one or more CSPs selected by competitive bid to implement all or part of the plan as approved by the Commission.</w:t>
      </w:r>
      <w:r>
        <w:rPr>
          <w:rStyle w:val="FootnoteReference"/>
        </w:rPr>
        <w:footnoteReference w:id="86"/>
      </w:r>
      <w:r>
        <w:t xml:space="preserve">  This section of the Act establishes that CSPs can perform so</w:t>
      </w:r>
      <w:r w:rsidR="00795D5C">
        <w:t>me or all functions of an EE&amp;C P</w:t>
      </w:r>
      <w:r>
        <w:t>lan, to include management of the entire plan.  Similar to Phase</w:t>
      </w:r>
      <w:r w:rsidR="005A73C9">
        <w:t>s</w:t>
      </w:r>
      <w:r>
        <w:t xml:space="preserve"> II</w:t>
      </w:r>
      <w:r w:rsidR="005A73C9">
        <w:t xml:space="preserve"> and III</w:t>
      </w:r>
      <w:r>
        <w:t xml:space="preserve">, </w:t>
      </w:r>
      <w:r w:rsidR="00C6178D">
        <w:t xml:space="preserve">with this Tentative Order </w:t>
      </w:r>
      <w:r>
        <w:t xml:space="preserve">the Commission </w:t>
      </w:r>
      <w:r w:rsidR="005A73C9">
        <w:t xml:space="preserve">proposes </w:t>
      </w:r>
      <w:r>
        <w:t>requiring the EDC</w:t>
      </w:r>
      <w:r w:rsidR="0098220B">
        <w:t>s</w:t>
      </w:r>
      <w:r>
        <w:t xml:space="preserve"> to provide detailed justifications for why it did or did not use a CSP to perform EE&amp;C Plan functions.</w:t>
      </w:r>
      <w:r>
        <w:rPr>
          <w:rStyle w:val="FootnoteReference"/>
        </w:rPr>
        <w:footnoteReference w:id="87"/>
      </w:r>
      <w:r w:rsidR="00154E96">
        <w:t xml:space="preserve"> </w:t>
      </w:r>
    </w:p>
    <w:p w14:paraId="2DC6B920" w14:textId="77777777" w:rsidR="00DD5EBD" w:rsidRDefault="00DD5EBD" w:rsidP="0009548F">
      <w:pPr>
        <w:spacing w:line="360" w:lineRule="auto"/>
        <w:ind w:firstLine="720"/>
        <w:rPr>
          <w:sz w:val="26"/>
          <w:szCs w:val="26"/>
        </w:rPr>
      </w:pPr>
    </w:p>
    <w:p w14:paraId="453D1077" w14:textId="4872B6F8" w:rsidR="00DD5EBD" w:rsidRPr="002802FD" w:rsidRDefault="00893ABC" w:rsidP="0009548F">
      <w:pPr>
        <w:spacing w:line="360" w:lineRule="auto"/>
        <w:ind w:firstLine="720"/>
        <w:rPr>
          <w:sz w:val="26"/>
          <w:szCs w:val="26"/>
        </w:rPr>
      </w:pPr>
      <w:r>
        <w:rPr>
          <w:sz w:val="26"/>
          <w:szCs w:val="26"/>
        </w:rPr>
        <w:t>I</w:t>
      </w:r>
      <w:r w:rsidR="00DD5EBD">
        <w:rPr>
          <w:sz w:val="26"/>
          <w:szCs w:val="26"/>
        </w:rPr>
        <w:t xml:space="preserve">t is imperative that EDCs timely file all proposed CSP contracts and contract amendments with the Commission for review prior to the pre-established effective date. </w:t>
      </w:r>
      <w:r w:rsidR="0098220B">
        <w:rPr>
          <w:sz w:val="26"/>
          <w:szCs w:val="26"/>
        </w:rPr>
        <w:t xml:space="preserve"> </w:t>
      </w:r>
      <w:r w:rsidR="00DD5EBD">
        <w:rPr>
          <w:sz w:val="26"/>
          <w:szCs w:val="26"/>
        </w:rPr>
        <w:t xml:space="preserve">The minimum criteria the Commission proposes to utilize for reviewing and approving EDC proposed CSP contracts </w:t>
      </w:r>
      <w:r w:rsidR="006017F6">
        <w:rPr>
          <w:sz w:val="26"/>
          <w:szCs w:val="26"/>
        </w:rPr>
        <w:t xml:space="preserve">in Phase IV is </w:t>
      </w:r>
      <w:r w:rsidR="00851E2B">
        <w:rPr>
          <w:sz w:val="26"/>
          <w:szCs w:val="26"/>
        </w:rPr>
        <w:t xml:space="preserve">the same as established in the </w:t>
      </w:r>
      <w:r w:rsidR="00291F07">
        <w:rPr>
          <w:sz w:val="26"/>
          <w:szCs w:val="26"/>
        </w:rPr>
        <w:t xml:space="preserve">Phase III </w:t>
      </w:r>
      <w:r w:rsidR="38DA4C2B">
        <w:rPr>
          <w:sz w:val="26"/>
          <w:szCs w:val="26"/>
        </w:rPr>
        <w:t>Implementation</w:t>
      </w:r>
      <w:r w:rsidR="00DD5EBD">
        <w:rPr>
          <w:sz w:val="26"/>
          <w:szCs w:val="26"/>
        </w:rPr>
        <w:t xml:space="preserve"> Order</w:t>
      </w:r>
      <w:r w:rsidR="00DD5EBD" w:rsidRPr="002802FD">
        <w:rPr>
          <w:sz w:val="26"/>
          <w:szCs w:val="26"/>
        </w:rPr>
        <w:t>.</w:t>
      </w:r>
      <w:r w:rsidR="00EB761D">
        <w:rPr>
          <w:rStyle w:val="FootnoteReference"/>
          <w:sz w:val="26"/>
          <w:szCs w:val="26"/>
        </w:rPr>
        <w:footnoteReference w:id="88"/>
      </w:r>
      <w:r w:rsidR="00DD5EBD" w:rsidRPr="002802FD">
        <w:rPr>
          <w:sz w:val="26"/>
          <w:szCs w:val="26"/>
        </w:rPr>
        <w:t xml:space="preserve">  </w:t>
      </w:r>
      <w:r w:rsidR="00DD5EBD">
        <w:rPr>
          <w:sz w:val="26"/>
          <w:szCs w:val="26"/>
        </w:rPr>
        <w:t xml:space="preserve">Following </w:t>
      </w:r>
      <w:r w:rsidR="00DD5EBD" w:rsidRPr="002802FD">
        <w:rPr>
          <w:sz w:val="26"/>
          <w:szCs w:val="26"/>
        </w:rPr>
        <w:t xml:space="preserve">is the </w:t>
      </w:r>
      <w:r w:rsidR="00DD5EBD">
        <w:rPr>
          <w:sz w:val="26"/>
          <w:szCs w:val="26"/>
        </w:rPr>
        <w:t>proposed minimum criteria for the EDC proposed CSP contract review process</w:t>
      </w:r>
      <w:r w:rsidR="5DEB6D68">
        <w:rPr>
          <w:sz w:val="26"/>
          <w:szCs w:val="26"/>
        </w:rPr>
        <w:t xml:space="preserve"> for Phase IV</w:t>
      </w:r>
      <w:r w:rsidR="5B02E12C" w:rsidRPr="002802FD">
        <w:rPr>
          <w:sz w:val="26"/>
          <w:szCs w:val="26"/>
        </w:rPr>
        <w:t>:</w:t>
      </w:r>
    </w:p>
    <w:p w14:paraId="52AD73AE" w14:textId="77777777" w:rsidR="00DD5EBD" w:rsidRPr="002802FD" w:rsidRDefault="00DD5EBD" w:rsidP="0009548F">
      <w:pPr>
        <w:numPr>
          <w:ilvl w:val="0"/>
          <w:numId w:val="1"/>
        </w:numPr>
        <w:tabs>
          <w:tab w:val="clear" w:pos="360"/>
        </w:tabs>
        <w:spacing w:line="360" w:lineRule="auto"/>
        <w:ind w:left="720" w:hanging="360"/>
        <w:rPr>
          <w:sz w:val="26"/>
          <w:szCs w:val="26"/>
        </w:rPr>
      </w:pPr>
      <w:r>
        <w:rPr>
          <w:sz w:val="26"/>
          <w:szCs w:val="26"/>
        </w:rPr>
        <w:t xml:space="preserve">Consistent use of standard format contract agreement with legible font size, comprising cover sheet, signatory page, table of contents, headers and sub-titles, page numbers, paragraph numbering, and conventional identification of tables and </w:t>
      </w:r>
      <w:r>
        <w:rPr>
          <w:sz w:val="26"/>
          <w:szCs w:val="26"/>
        </w:rPr>
        <w:lastRenderedPageBreak/>
        <w:t>charts.  EDC filing of purchase orders in lieu of the CSP proposed cont</w:t>
      </w:r>
      <w:r w:rsidR="00F871EA">
        <w:rPr>
          <w:sz w:val="26"/>
          <w:szCs w:val="26"/>
        </w:rPr>
        <w:t>ract agreement will be rejected.</w:t>
      </w:r>
    </w:p>
    <w:p w14:paraId="633BBADE" w14:textId="77777777" w:rsidR="00DD5EBD" w:rsidRDefault="00DD5EBD" w:rsidP="0009548F">
      <w:pPr>
        <w:numPr>
          <w:ilvl w:val="0"/>
          <w:numId w:val="1"/>
        </w:numPr>
        <w:spacing w:line="360" w:lineRule="auto"/>
        <w:rPr>
          <w:sz w:val="26"/>
          <w:szCs w:val="26"/>
        </w:rPr>
      </w:pPr>
      <w:r>
        <w:rPr>
          <w:sz w:val="26"/>
          <w:szCs w:val="26"/>
        </w:rPr>
        <w:t>Separate cover</w:t>
      </w:r>
      <w:r w:rsidRPr="00CC6E63">
        <w:rPr>
          <w:sz w:val="26"/>
          <w:szCs w:val="26"/>
        </w:rPr>
        <w:t xml:space="preserve"> </w:t>
      </w:r>
      <w:r>
        <w:rPr>
          <w:sz w:val="26"/>
          <w:szCs w:val="26"/>
        </w:rPr>
        <w:t>sheet</w:t>
      </w:r>
      <w:r w:rsidRPr="00CC6E63">
        <w:rPr>
          <w:sz w:val="26"/>
          <w:szCs w:val="26"/>
        </w:rPr>
        <w:t xml:space="preserve"> </w:t>
      </w:r>
      <w:r>
        <w:rPr>
          <w:sz w:val="26"/>
          <w:szCs w:val="26"/>
        </w:rPr>
        <w:t>to provide a summary of the following information:</w:t>
      </w:r>
    </w:p>
    <w:p w14:paraId="057CBCA1" w14:textId="77777777" w:rsidR="00DD5EBD" w:rsidRDefault="00DD5EBD" w:rsidP="0009548F">
      <w:pPr>
        <w:numPr>
          <w:ilvl w:val="1"/>
          <w:numId w:val="1"/>
        </w:numPr>
        <w:spacing w:line="360" w:lineRule="auto"/>
        <w:rPr>
          <w:sz w:val="26"/>
          <w:szCs w:val="26"/>
        </w:rPr>
      </w:pPr>
      <w:r>
        <w:rPr>
          <w:sz w:val="26"/>
          <w:szCs w:val="26"/>
        </w:rPr>
        <w:t>Full company name of contractor and CSP registration Docket Number;</w:t>
      </w:r>
      <w:r w:rsidRPr="00CC6E63">
        <w:rPr>
          <w:sz w:val="26"/>
          <w:szCs w:val="26"/>
        </w:rPr>
        <w:t xml:space="preserve"> </w:t>
      </w:r>
    </w:p>
    <w:p w14:paraId="1D5D2822" w14:textId="77777777" w:rsidR="00DD5EBD" w:rsidRDefault="00DD5EBD" w:rsidP="0009548F">
      <w:pPr>
        <w:numPr>
          <w:ilvl w:val="1"/>
          <w:numId w:val="1"/>
        </w:numPr>
        <w:spacing w:line="360" w:lineRule="auto"/>
        <w:rPr>
          <w:sz w:val="26"/>
          <w:szCs w:val="26"/>
        </w:rPr>
      </w:pPr>
      <w:r>
        <w:rPr>
          <w:sz w:val="26"/>
          <w:szCs w:val="26"/>
        </w:rPr>
        <w:t>B</w:t>
      </w:r>
      <w:r w:rsidRPr="00CC6E63">
        <w:rPr>
          <w:sz w:val="26"/>
          <w:szCs w:val="26"/>
        </w:rPr>
        <w:t>rief description of statement of work</w:t>
      </w:r>
      <w:r>
        <w:rPr>
          <w:sz w:val="26"/>
          <w:szCs w:val="26"/>
        </w:rPr>
        <w:t xml:space="preserve"> (SOW);</w:t>
      </w:r>
    </w:p>
    <w:p w14:paraId="19D96A4F" w14:textId="77777777" w:rsidR="00DD5EBD" w:rsidRPr="004679C9" w:rsidRDefault="00DD5EBD" w:rsidP="0009548F">
      <w:pPr>
        <w:numPr>
          <w:ilvl w:val="1"/>
          <w:numId w:val="1"/>
        </w:numPr>
        <w:spacing w:line="360" w:lineRule="auto"/>
        <w:rPr>
          <w:sz w:val="26"/>
          <w:szCs w:val="26"/>
        </w:rPr>
      </w:pPr>
      <w:r>
        <w:rPr>
          <w:sz w:val="26"/>
          <w:szCs w:val="26"/>
        </w:rPr>
        <w:t>N</w:t>
      </w:r>
      <w:r w:rsidRPr="00CC6E63">
        <w:rPr>
          <w:sz w:val="26"/>
          <w:szCs w:val="26"/>
        </w:rPr>
        <w:t>ame of EE&amp;C Plan Program as</w:t>
      </w:r>
      <w:r>
        <w:rPr>
          <w:sz w:val="26"/>
          <w:szCs w:val="26"/>
        </w:rPr>
        <w:t>sociated with proposed contract and explanation if SOW addresses the Program in its entirety or in part;</w:t>
      </w:r>
    </w:p>
    <w:p w14:paraId="44D016E4" w14:textId="77777777" w:rsidR="00DD5EBD" w:rsidRDefault="00DD5EBD" w:rsidP="0009548F">
      <w:pPr>
        <w:numPr>
          <w:ilvl w:val="1"/>
          <w:numId w:val="1"/>
        </w:numPr>
        <w:spacing w:line="360" w:lineRule="auto"/>
        <w:rPr>
          <w:sz w:val="26"/>
          <w:szCs w:val="26"/>
        </w:rPr>
      </w:pPr>
      <w:r>
        <w:rPr>
          <w:sz w:val="26"/>
          <w:szCs w:val="26"/>
        </w:rPr>
        <w:t>E</w:t>
      </w:r>
      <w:r w:rsidRPr="00CC6E63">
        <w:rPr>
          <w:sz w:val="26"/>
          <w:szCs w:val="26"/>
        </w:rPr>
        <w:t xml:space="preserve">stimated total </w:t>
      </w:r>
      <w:r>
        <w:rPr>
          <w:sz w:val="26"/>
          <w:szCs w:val="26"/>
        </w:rPr>
        <w:t xml:space="preserve">contract </w:t>
      </w:r>
      <w:r w:rsidRPr="00CC6E63">
        <w:rPr>
          <w:sz w:val="26"/>
          <w:szCs w:val="26"/>
        </w:rPr>
        <w:t>cost</w:t>
      </w:r>
      <w:r>
        <w:rPr>
          <w:sz w:val="26"/>
          <w:szCs w:val="26"/>
        </w:rPr>
        <w:t xml:space="preserve"> and statement regarding incentives and rebates, their amount and explanation if total cost includes incentives and rebates;</w:t>
      </w:r>
    </w:p>
    <w:p w14:paraId="7E0AF986" w14:textId="77777777" w:rsidR="00DD5EBD" w:rsidRDefault="00DD5EBD" w:rsidP="0009548F">
      <w:pPr>
        <w:numPr>
          <w:ilvl w:val="1"/>
          <w:numId w:val="1"/>
        </w:numPr>
        <w:spacing w:line="360" w:lineRule="auto"/>
        <w:rPr>
          <w:sz w:val="26"/>
          <w:szCs w:val="26"/>
        </w:rPr>
      </w:pPr>
      <w:r>
        <w:rPr>
          <w:sz w:val="26"/>
          <w:szCs w:val="26"/>
        </w:rPr>
        <w:t>Estimated targeted energy savings associated with contract;</w:t>
      </w:r>
    </w:p>
    <w:p w14:paraId="06137B93" w14:textId="77777777" w:rsidR="00DD5EBD" w:rsidRDefault="00DD5EBD" w:rsidP="0009548F">
      <w:pPr>
        <w:numPr>
          <w:ilvl w:val="1"/>
          <w:numId w:val="1"/>
        </w:numPr>
        <w:spacing w:line="360" w:lineRule="auto"/>
        <w:rPr>
          <w:sz w:val="26"/>
          <w:szCs w:val="26"/>
        </w:rPr>
      </w:pPr>
      <w:r>
        <w:rPr>
          <w:sz w:val="26"/>
          <w:szCs w:val="26"/>
        </w:rPr>
        <w:t>T</w:t>
      </w:r>
      <w:r w:rsidRPr="00CC6E63">
        <w:rPr>
          <w:sz w:val="26"/>
          <w:szCs w:val="26"/>
        </w:rPr>
        <w:t>imeframe and duration of contract fr</w:t>
      </w:r>
      <w:r>
        <w:rPr>
          <w:sz w:val="26"/>
          <w:szCs w:val="26"/>
        </w:rPr>
        <w:t>om start date to completion;</w:t>
      </w:r>
      <w:r w:rsidR="00A95BF8">
        <w:rPr>
          <w:sz w:val="26"/>
          <w:szCs w:val="26"/>
        </w:rPr>
        <w:t xml:space="preserve"> and</w:t>
      </w:r>
    </w:p>
    <w:p w14:paraId="34786D7A" w14:textId="77777777" w:rsidR="00DD5EBD" w:rsidRPr="003900FE" w:rsidRDefault="00DD5EBD" w:rsidP="0009548F">
      <w:pPr>
        <w:numPr>
          <w:ilvl w:val="1"/>
          <w:numId w:val="1"/>
        </w:numPr>
        <w:spacing w:line="360" w:lineRule="auto"/>
        <w:rPr>
          <w:sz w:val="26"/>
          <w:szCs w:val="26"/>
        </w:rPr>
      </w:pPr>
      <w:r w:rsidRPr="003900FE">
        <w:rPr>
          <w:sz w:val="26"/>
          <w:szCs w:val="26"/>
        </w:rPr>
        <w:t>Statement relating to the number of bids that were received, justification for selection of CSP contractor/subcontractor if based on receipt of less than three bids for any particular program,</w:t>
      </w:r>
      <w:r>
        <w:rPr>
          <w:sz w:val="26"/>
          <w:szCs w:val="26"/>
        </w:rPr>
        <w:t xml:space="preserve"> and i</w:t>
      </w:r>
      <w:r w:rsidRPr="003900FE">
        <w:rPr>
          <w:sz w:val="26"/>
          <w:szCs w:val="26"/>
        </w:rPr>
        <w:t xml:space="preserve">dentification </w:t>
      </w:r>
      <w:r>
        <w:rPr>
          <w:sz w:val="26"/>
          <w:szCs w:val="26"/>
        </w:rPr>
        <w:t xml:space="preserve">and explanation for non-selection </w:t>
      </w:r>
      <w:r w:rsidRPr="003900FE">
        <w:rPr>
          <w:sz w:val="26"/>
          <w:szCs w:val="26"/>
        </w:rPr>
        <w:t>of</w:t>
      </w:r>
      <w:r>
        <w:rPr>
          <w:sz w:val="26"/>
          <w:szCs w:val="26"/>
        </w:rPr>
        <w:t xml:space="preserve"> low-bid CSP,</w:t>
      </w:r>
      <w:r w:rsidRPr="003900FE">
        <w:rPr>
          <w:sz w:val="26"/>
          <w:szCs w:val="26"/>
        </w:rPr>
        <w:t xml:space="preserve"> if</w:t>
      </w:r>
      <w:r>
        <w:rPr>
          <w:sz w:val="26"/>
          <w:szCs w:val="26"/>
        </w:rPr>
        <w:t xml:space="preserve"> applicable.</w:t>
      </w:r>
    </w:p>
    <w:p w14:paraId="0B0CA835" w14:textId="77777777" w:rsidR="00DD5EBD" w:rsidRDefault="00DD5EBD" w:rsidP="0009548F">
      <w:pPr>
        <w:numPr>
          <w:ilvl w:val="0"/>
          <w:numId w:val="1"/>
        </w:numPr>
        <w:tabs>
          <w:tab w:val="clear" w:pos="360"/>
          <w:tab w:val="num" w:pos="720"/>
        </w:tabs>
        <w:spacing w:line="360" w:lineRule="auto"/>
        <w:ind w:left="720" w:hanging="360"/>
        <w:rPr>
          <w:sz w:val="26"/>
          <w:szCs w:val="26"/>
        </w:rPr>
      </w:pPr>
      <w:r w:rsidRPr="002802FD">
        <w:rPr>
          <w:sz w:val="26"/>
          <w:szCs w:val="26"/>
        </w:rPr>
        <w:t>Assurance that the CSP’s work product in the EDC’s plan will meet the requirement for redu</w:t>
      </w:r>
      <w:r w:rsidR="00F871EA">
        <w:rPr>
          <w:sz w:val="26"/>
          <w:szCs w:val="26"/>
        </w:rPr>
        <w:t>ction in demand and consumption.</w:t>
      </w:r>
    </w:p>
    <w:p w14:paraId="7F9DA648" w14:textId="77777777" w:rsidR="00DD5EBD" w:rsidRDefault="00DD5EBD" w:rsidP="0009548F">
      <w:pPr>
        <w:numPr>
          <w:ilvl w:val="0"/>
          <w:numId w:val="1"/>
        </w:numPr>
        <w:tabs>
          <w:tab w:val="clear" w:pos="360"/>
          <w:tab w:val="num" w:pos="720"/>
        </w:tabs>
        <w:spacing w:line="360" w:lineRule="auto"/>
        <w:ind w:left="720" w:hanging="360"/>
        <w:rPr>
          <w:sz w:val="26"/>
          <w:szCs w:val="26"/>
        </w:rPr>
      </w:pPr>
      <w:r w:rsidRPr="002802FD">
        <w:rPr>
          <w:sz w:val="26"/>
          <w:szCs w:val="26"/>
        </w:rPr>
        <w:t xml:space="preserve">Legal issues, enforceability, and protection of </w:t>
      </w:r>
      <w:r>
        <w:rPr>
          <w:sz w:val="26"/>
          <w:szCs w:val="26"/>
        </w:rPr>
        <w:t xml:space="preserve">data privacy and </w:t>
      </w:r>
      <w:r w:rsidRPr="002802FD">
        <w:rPr>
          <w:sz w:val="26"/>
          <w:szCs w:val="26"/>
        </w:rPr>
        <w:t>ratepayer funds for poor performance or non-compliance</w:t>
      </w:r>
      <w:r>
        <w:rPr>
          <w:sz w:val="26"/>
          <w:szCs w:val="26"/>
        </w:rPr>
        <w:t>,</w:t>
      </w:r>
      <w:r w:rsidRPr="002802FD">
        <w:rPr>
          <w:sz w:val="26"/>
          <w:szCs w:val="26"/>
        </w:rPr>
        <w:t xml:space="preserve"> and similar issues</w:t>
      </w:r>
      <w:r w:rsidR="00F871EA">
        <w:rPr>
          <w:sz w:val="26"/>
          <w:szCs w:val="26"/>
        </w:rPr>
        <w:t>.</w:t>
      </w:r>
    </w:p>
    <w:p w14:paraId="5E011EBA" w14:textId="77777777" w:rsidR="00DD5EBD" w:rsidRDefault="00DD5EBD" w:rsidP="0009548F">
      <w:pPr>
        <w:numPr>
          <w:ilvl w:val="0"/>
          <w:numId w:val="1"/>
        </w:numPr>
        <w:tabs>
          <w:tab w:val="clear" w:pos="360"/>
          <w:tab w:val="num" w:pos="720"/>
        </w:tabs>
        <w:spacing w:line="360" w:lineRule="auto"/>
        <w:ind w:left="720" w:hanging="360"/>
        <w:rPr>
          <w:sz w:val="26"/>
          <w:szCs w:val="26"/>
        </w:rPr>
      </w:pPr>
      <w:r>
        <w:rPr>
          <w:sz w:val="26"/>
          <w:szCs w:val="26"/>
        </w:rPr>
        <w:t>Maintenance of CSP registration and liability insurance throughout contract duration.</w:t>
      </w:r>
    </w:p>
    <w:p w14:paraId="6C04A819" w14:textId="7FAD11C6" w:rsidR="00DD5EBD" w:rsidRPr="00C63ED8" w:rsidRDefault="00DD5EBD" w:rsidP="0009548F">
      <w:pPr>
        <w:pStyle w:val="ListParagraph"/>
        <w:numPr>
          <w:ilvl w:val="0"/>
          <w:numId w:val="1"/>
        </w:numPr>
        <w:tabs>
          <w:tab w:val="clear" w:pos="360"/>
          <w:tab w:val="num" w:pos="720"/>
        </w:tabs>
        <w:spacing w:line="360" w:lineRule="auto"/>
        <w:ind w:left="720" w:hanging="270"/>
        <w:rPr>
          <w:sz w:val="26"/>
          <w:szCs w:val="26"/>
        </w:rPr>
      </w:pPr>
      <w:r>
        <w:rPr>
          <w:sz w:val="26"/>
          <w:szCs w:val="26"/>
        </w:rPr>
        <w:t xml:space="preserve">Maintenance of </w:t>
      </w:r>
      <w:r w:rsidRPr="00C63ED8">
        <w:rPr>
          <w:sz w:val="26"/>
          <w:szCs w:val="26"/>
        </w:rPr>
        <w:t xml:space="preserve">CSP registration for all CSP subcontractors with an annual contract cost that equals or exceeds ten percent of the CSP’s total annual contract cost to perform services pursuant to an EDC </w:t>
      </w:r>
      <w:r w:rsidR="00A65F6B">
        <w:rPr>
          <w:sz w:val="26"/>
          <w:szCs w:val="26"/>
        </w:rPr>
        <w:t xml:space="preserve">EE&amp;C Plan. </w:t>
      </w:r>
    </w:p>
    <w:p w14:paraId="09B1C1D1" w14:textId="77777777" w:rsidR="00DD5EBD" w:rsidRDefault="00DD5EBD" w:rsidP="0009548F">
      <w:pPr>
        <w:numPr>
          <w:ilvl w:val="0"/>
          <w:numId w:val="1"/>
        </w:numPr>
        <w:tabs>
          <w:tab w:val="clear" w:pos="360"/>
          <w:tab w:val="num" w:pos="720"/>
        </w:tabs>
        <w:spacing w:line="360" w:lineRule="auto"/>
        <w:ind w:left="720" w:hanging="360"/>
        <w:rPr>
          <w:sz w:val="26"/>
          <w:szCs w:val="26"/>
        </w:rPr>
      </w:pPr>
      <w:r w:rsidRPr="002802FD">
        <w:rPr>
          <w:sz w:val="26"/>
          <w:szCs w:val="26"/>
        </w:rPr>
        <w:t xml:space="preserve">Adequate provisions and procedures for monitoring quality </w:t>
      </w:r>
      <w:r>
        <w:rPr>
          <w:sz w:val="26"/>
          <w:szCs w:val="26"/>
        </w:rPr>
        <w:t>assurance, auditing and verification that relate to interactions with the customer and interface with the EM&amp;V consultant and the SWE, to include the following at a minimum:</w:t>
      </w:r>
    </w:p>
    <w:p w14:paraId="036536C9" w14:textId="77777777" w:rsidR="00DD5EBD" w:rsidRDefault="00DD5EBD" w:rsidP="0009548F">
      <w:pPr>
        <w:numPr>
          <w:ilvl w:val="1"/>
          <w:numId w:val="1"/>
        </w:numPr>
        <w:spacing w:line="360" w:lineRule="auto"/>
        <w:rPr>
          <w:sz w:val="26"/>
          <w:szCs w:val="26"/>
        </w:rPr>
      </w:pPr>
      <w:r>
        <w:rPr>
          <w:sz w:val="26"/>
          <w:szCs w:val="26"/>
        </w:rPr>
        <w:lastRenderedPageBreak/>
        <w:t>CSP contractor/subcontractor agrees to fully cooperate with and make program data available to the Company, Company Program Evaluation CSP (if applicable), the SWE and the Commission upon request</w:t>
      </w:r>
      <w:r w:rsidR="00C130E3">
        <w:rPr>
          <w:sz w:val="26"/>
          <w:szCs w:val="26"/>
        </w:rPr>
        <w:t>; and</w:t>
      </w:r>
    </w:p>
    <w:p w14:paraId="5CF377E9" w14:textId="77777777" w:rsidR="00DD5EBD" w:rsidRDefault="00DD5EBD" w:rsidP="0009548F">
      <w:pPr>
        <w:numPr>
          <w:ilvl w:val="1"/>
          <w:numId w:val="1"/>
        </w:numPr>
        <w:spacing w:line="360" w:lineRule="auto"/>
        <w:rPr>
          <w:sz w:val="26"/>
          <w:szCs w:val="26"/>
        </w:rPr>
      </w:pPr>
      <w:r>
        <w:rPr>
          <w:sz w:val="26"/>
          <w:szCs w:val="26"/>
        </w:rPr>
        <w:t xml:space="preserve">CSP contractor/subcontractor agrees to retain all program data </w:t>
      </w:r>
      <w:r w:rsidR="00F871EA">
        <w:rPr>
          <w:sz w:val="26"/>
          <w:szCs w:val="26"/>
        </w:rPr>
        <w:t>and records for five years.</w:t>
      </w:r>
    </w:p>
    <w:p w14:paraId="034C1D02" w14:textId="77777777" w:rsidR="00DD5EBD" w:rsidRDefault="00DD5EBD" w:rsidP="0009548F">
      <w:pPr>
        <w:numPr>
          <w:ilvl w:val="0"/>
          <w:numId w:val="1"/>
        </w:numPr>
        <w:tabs>
          <w:tab w:val="clear" w:pos="360"/>
          <w:tab w:val="num" w:pos="720"/>
        </w:tabs>
        <w:spacing w:line="360" w:lineRule="auto"/>
        <w:ind w:left="720" w:hanging="360"/>
        <w:rPr>
          <w:sz w:val="26"/>
          <w:szCs w:val="26"/>
        </w:rPr>
      </w:pPr>
      <w:r>
        <w:rPr>
          <w:sz w:val="26"/>
          <w:szCs w:val="26"/>
        </w:rPr>
        <w:t>Clearly stated language that contractual payments will be performance-based for measures implemented or otherwise installed.</w:t>
      </w:r>
    </w:p>
    <w:p w14:paraId="1A0196C4" w14:textId="77777777" w:rsidR="00DD5EBD" w:rsidRPr="00706A2E" w:rsidRDefault="00DD5EBD" w:rsidP="0009548F">
      <w:pPr>
        <w:pStyle w:val="ListParagraph"/>
        <w:numPr>
          <w:ilvl w:val="0"/>
          <w:numId w:val="1"/>
        </w:numPr>
        <w:tabs>
          <w:tab w:val="clear" w:pos="360"/>
          <w:tab w:val="num" w:pos="0"/>
          <w:tab w:val="num" w:pos="720"/>
        </w:tabs>
        <w:spacing w:line="360" w:lineRule="auto"/>
        <w:ind w:left="720" w:hanging="360"/>
        <w:rPr>
          <w:sz w:val="26"/>
          <w:szCs w:val="26"/>
        </w:rPr>
      </w:pPr>
      <w:r w:rsidRPr="00706A2E">
        <w:rPr>
          <w:sz w:val="26"/>
          <w:szCs w:val="26"/>
        </w:rPr>
        <w:t>Assurance that measures installed, customer privacy and other processes are conducted in accordance with EE&amp;C Plan and laws, regulations and Commission Orders relating to the Program’s customer in</w:t>
      </w:r>
      <w:r>
        <w:rPr>
          <w:sz w:val="26"/>
          <w:szCs w:val="26"/>
        </w:rPr>
        <w:t>teractions and rate of progress.</w:t>
      </w:r>
    </w:p>
    <w:p w14:paraId="4A01AA28" w14:textId="77777777" w:rsidR="00DD5EBD" w:rsidRPr="00C63ED8" w:rsidRDefault="00DD5EBD" w:rsidP="0009548F">
      <w:pPr>
        <w:numPr>
          <w:ilvl w:val="0"/>
          <w:numId w:val="1"/>
        </w:numPr>
        <w:tabs>
          <w:tab w:val="clear" w:pos="360"/>
          <w:tab w:val="num" w:pos="720"/>
        </w:tabs>
        <w:spacing w:line="360" w:lineRule="auto"/>
        <w:ind w:left="720" w:hanging="360"/>
        <w:rPr>
          <w:sz w:val="26"/>
          <w:szCs w:val="26"/>
        </w:rPr>
      </w:pPr>
      <w:r w:rsidRPr="003A7ACB">
        <w:rPr>
          <w:sz w:val="26"/>
          <w:szCs w:val="26"/>
        </w:rPr>
        <w:t>Certification that the proposed CSP is not an EDC affiliate.</w:t>
      </w:r>
    </w:p>
    <w:p w14:paraId="3CE99FEA" w14:textId="77777777" w:rsidR="00DD5EBD" w:rsidRPr="00C63ED8" w:rsidRDefault="00DD5EBD" w:rsidP="0009548F">
      <w:pPr>
        <w:numPr>
          <w:ilvl w:val="0"/>
          <w:numId w:val="1"/>
        </w:numPr>
        <w:tabs>
          <w:tab w:val="clear" w:pos="360"/>
          <w:tab w:val="num" w:pos="720"/>
        </w:tabs>
        <w:spacing w:line="360" w:lineRule="auto"/>
        <w:ind w:left="720" w:hanging="360"/>
        <w:rPr>
          <w:sz w:val="26"/>
          <w:szCs w:val="26"/>
        </w:rPr>
      </w:pPr>
      <w:r>
        <w:rPr>
          <w:sz w:val="26"/>
          <w:szCs w:val="26"/>
        </w:rPr>
        <w:t>Provision that EDC will immediately terminate the CSP contract agreement and timely notify the Commission if over the course of the contract agreement an EDC/CSP merger, acquisition or similar business partnership should occur.</w:t>
      </w:r>
    </w:p>
    <w:p w14:paraId="69A8B69C" w14:textId="77777777" w:rsidR="00DD5EBD" w:rsidRPr="00C63ED8" w:rsidRDefault="00DD5EBD" w:rsidP="0009548F">
      <w:pPr>
        <w:pStyle w:val="ListParagraph"/>
        <w:numPr>
          <w:ilvl w:val="0"/>
          <w:numId w:val="1"/>
        </w:numPr>
        <w:tabs>
          <w:tab w:val="clear" w:pos="360"/>
          <w:tab w:val="num" w:pos="720"/>
        </w:tabs>
        <w:spacing w:line="360" w:lineRule="auto"/>
        <w:ind w:left="720" w:hanging="360"/>
        <w:rPr>
          <w:sz w:val="26"/>
          <w:szCs w:val="26"/>
        </w:rPr>
      </w:pPr>
      <w:r w:rsidRPr="00C63ED8">
        <w:rPr>
          <w:sz w:val="26"/>
          <w:szCs w:val="26"/>
        </w:rPr>
        <w:t>CSP</w:t>
      </w:r>
      <w:r>
        <w:rPr>
          <w:sz w:val="26"/>
          <w:szCs w:val="26"/>
        </w:rPr>
        <w:t>s agree that</w:t>
      </w:r>
      <w:r w:rsidRPr="00C63ED8">
        <w:rPr>
          <w:sz w:val="26"/>
          <w:szCs w:val="26"/>
        </w:rPr>
        <w:t xml:space="preserve"> employees </w:t>
      </w:r>
      <w:r>
        <w:rPr>
          <w:sz w:val="26"/>
          <w:szCs w:val="26"/>
        </w:rPr>
        <w:t xml:space="preserve">and contractors </w:t>
      </w:r>
      <w:r w:rsidRPr="00C63ED8">
        <w:rPr>
          <w:sz w:val="26"/>
          <w:szCs w:val="26"/>
        </w:rPr>
        <w:t>who will enter a customer’s home or have personal contact with a customer</w:t>
      </w:r>
      <w:r>
        <w:rPr>
          <w:sz w:val="26"/>
          <w:szCs w:val="26"/>
        </w:rPr>
        <w:t xml:space="preserve"> will undergo criminal and other pertinent background checks</w:t>
      </w:r>
      <w:r w:rsidRPr="00C63ED8">
        <w:rPr>
          <w:sz w:val="26"/>
          <w:szCs w:val="26"/>
        </w:rPr>
        <w:t>.</w:t>
      </w:r>
    </w:p>
    <w:p w14:paraId="08728060" w14:textId="77777777" w:rsidR="00751FC9" w:rsidRDefault="00751FC9" w:rsidP="0009548F">
      <w:pPr>
        <w:spacing w:line="360" w:lineRule="auto"/>
        <w:rPr>
          <w:sz w:val="26"/>
          <w:szCs w:val="26"/>
        </w:rPr>
      </w:pPr>
    </w:p>
    <w:p w14:paraId="2BB3A676" w14:textId="77777777" w:rsidR="00DD5EBD" w:rsidRDefault="00DD5EBD" w:rsidP="0009548F">
      <w:pPr>
        <w:spacing w:line="360" w:lineRule="auto"/>
        <w:rPr>
          <w:sz w:val="26"/>
          <w:szCs w:val="26"/>
        </w:rPr>
      </w:pPr>
      <w:r w:rsidRPr="00EB35B2">
        <w:rPr>
          <w:sz w:val="26"/>
          <w:szCs w:val="26"/>
        </w:rPr>
        <w:tab/>
        <w:t>If the Commission Staff has not commented upon or disapproved an EDC’s proposed contract within 45 days of it being submitted to the Commission for review, then the EDC is permitted to proceed with the contract without modification.</w:t>
      </w:r>
      <w:r>
        <w:rPr>
          <w:sz w:val="26"/>
          <w:szCs w:val="26"/>
        </w:rPr>
        <w:t xml:space="preserve"> </w:t>
      </w:r>
      <w:r w:rsidRPr="00EB35B2">
        <w:rPr>
          <w:sz w:val="26"/>
          <w:szCs w:val="26"/>
        </w:rPr>
        <w:t xml:space="preserve"> EDCs are reminded that a contract stipulation that ultimately re-directs a contract, subcontract, or any</w:t>
      </w:r>
      <w:r w:rsidRPr="005A4A8C">
        <w:rPr>
          <w:sz w:val="26"/>
          <w:szCs w:val="26"/>
        </w:rPr>
        <w:t xml:space="preserve"> provision thereof to the EDC for any reason, requires the EDC to file an amended contract with the Commission for</w:t>
      </w:r>
      <w:r>
        <w:rPr>
          <w:sz w:val="26"/>
          <w:szCs w:val="26"/>
        </w:rPr>
        <w:t xml:space="preserve"> review</w:t>
      </w:r>
      <w:r w:rsidRPr="005A4A8C">
        <w:rPr>
          <w:sz w:val="26"/>
          <w:szCs w:val="26"/>
        </w:rPr>
        <w:t xml:space="preserve">.  </w:t>
      </w:r>
    </w:p>
    <w:p w14:paraId="2605D090" w14:textId="77777777" w:rsidR="00DD5EBD" w:rsidRDefault="00DD5EBD" w:rsidP="0009548F">
      <w:pPr>
        <w:spacing w:line="360" w:lineRule="auto"/>
        <w:rPr>
          <w:sz w:val="26"/>
          <w:szCs w:val="26"/>
        </w:rPr>
      </w:pPr>
    </w:p>
    <w:p w14:paraId="481EFA08" w14:textId="77777777" w:rsidR="00DD5EBD" w:rsidRDefault="00DD5EBD" w:rsidP="0009548F">
      <w:pPr>
        <w:spacing w:line="360" w:lineRule="auto"/>
        <w:ind w:firstLine="720"/>
        <w:rPr>
          <w:sz w:val="26"/>
          <w:szCs w:val="26"/>
        </w:rPr>
      </w:pPr>
      <w:r>
        <w:rPr>
          <w:sz w:val="26"/>
          <w:szCs w:val="26"/>
        </w:rPr>
        <w:t xml:space="preserve">As discussed earlier in this section, Commission approval of any EDC-proposed CSP contract or contract amendment does not constitute a determination that such filing is consistent with the public interest and that the associated costs or expenses are </w:t>
      </w:r>
      <w:r>
        <w:rPr>
          <w:sz w:val="26"/>
          <w:szCs w:val="26"/>
        </w:rPr>
        <w:lastRenderedPageBreak/>
        <w:t xml:space="preserve">reasonable or prudent for the purposes of cost recovery.  These issues will be addressed by the Commission in any appropriate plan approval and cost recovery proceedings.  </w:t>
      </w:r>
    </w:p>
    <w:p w14:paraId="5C03340D" w14:textId="77777777" w:rsidR="0058211B" w:rsidRDefault="0058211B" w:rsidP="0009548F">
      <w:pPr>
        <w:pStyle w:val="p3"/>
        <w:widowControl/>
        <w:tabs>
          <w:tab w:val="clear" w:pos="204"/>
        </w:tabs>
        <w:spacing w:line="360" w:lineRule="auto"/>
        <w:rPr>
          <w:b/>
          <w:szCs w:val="26"/>
        </w:rPr>
      </w:pPr>
    </w:p>
    <w:p w14:paraId="08C52483" w14:textId="663CFE54" w:rsidR="00574AFE" w:rsidRPr="00574AFE" w:rsidRDefault="00574AFE" w:rsidP="00DD1373">
      <w:pPr>
        <w:pStyle w:val="Heading2"/>
      </w:pPr>
      <w:bookmarkStart w:id="354" w:name="_Toc33782025"/>
      <w:r>
        <w:t xml:space="preserve">Participation of Conservation </w:t>
      </w:r>
      <w:r w:rsidRPr="00DD1373">
        <w:t>Service</w:t>
      </w:r>
      <w:r>
        <w:t xml:space="preserve"> Providers</w:t>
      </w:r>
      <w:bookmarkEnd w:id="354"/>
    </w:p>
    <w:p w14:paraId="7C3B8341" w14:textId="4016FAAD" w:rsidR="00DD5EBD" w:rsidRPr="00BE7C1E" w:rsidRDefault="00574AFE" w:rsidP="00EB6FDF">
      <w:pPr>
        <w:pStyle w:val="StyleLinespacing15lines"/>
        <w:rPr>
          <w:b/>
        </w:rPr>
      </w:pPr>
      <w:r>
        <w:tab/>
      </w:r>
      <w:r w:rsidR="00DD5EBD">
        <w:t>The Act establishes a requirement for the participation of CSPs</w:t>
      </w:r>
      <w:r w:rsidR="00795D5C">
        <w:t xml:space="preserve"> in all or part of an EDC EE&amp;C P</w:t>
      </w:r>
      <w:r w:rsidR="00DD5EBD">
        <w:t>lan.</w:t>
      </w:r>
      <w:r w:rsidR="00DD5EBD">
        <w:rPr>
          <w:rStyle w:val="FootnoteReference"/>
        </w:rPr>
        <w:footnoteReference w:id="89"/>
      </w:r>
      <w:r w:rsidR="00DD5EBD">
        <w:t xml:space="preserve">  The Act requires the Commission to establish, by March 1, 2009, a registry of approved persons qualified to provide conservation services to all classes of customers, that meet experience and other qualifying criteria established by the Commission.</w:t>
      </w:r>
      <w:r w:rsidR="00DD5EBD">
        <w:rPr>
          <w:rStyle w:val="FootnoteReference"/>
        </w:rPr>
        <w:footnoteReference w:id="90"/>
      </w:r>
      <w:r w:rsidR="00DD5EBD">
        <w:t xml:space="preserve">  The Act further requires the Commission to develop a CSP application and permits the Commission to charge a reasonable registration fee.</w:t>
      </w:r>
      <w:r w:rsidR="00DD5EBD">
        <w:rPr>
          <w:rStyle w:val="FootnoteReference"/>
        </w:rPr>
        <w:footnoteReference w:id="91"/>
      </w:r>
      <w:r w:rsidR="00D8253D">
        <w:t xml:space="preserve">  </w:t>
      </w:r>
      <w:r w:rsidR="00DD5EBD" w:rsidRPr="00BE7C1E">
        <w:t xml:space="preserve">The Commission initiated a separate stakeholder process to establish the qualification requirements CSPs must meet to be included in </w:t>
      </w:r>
      <w:r w:rsidR="006B7A73">
        <w:t>the CSP</w:t>
      </w:r>
      <w:r w:rsidR="00DD5EBD" w:rsidRPr="00BE7C1E">
        <w:t xml:space="preserve"> registry.  On February 5, 2009, the Commission adopted an order establishing the CSP registry at Docket Number M-2008-2074154.</w:t>
      </w:r>
      <w:r w:rsidR="00DD5EBD" w:rsidRPr="00BE7C1E">
        <w:rPr>
          <w:rStyle w:val="FootnoteReference"/>
          <w:szCs w:val="26"/>
        </w:rPr>
        <w:footnoteReference w:id="92"/>
      </w:r>
      <w:r w:rsidR="00DD5EBD" w:rsidRPr="00BE7C1E">
        <w:t xml:space="preserve">  In the </w:t>
      </w:r>
      <w:r w:rsidR="00DD5EBD" w:rsidRPr="00BE7C1E">
        <w:rPr>
          <w:i/>
          <w:iCs/>
        </w:rPr>
        <w:t>CSP Registry Order,</w:t>
      </w:r>
      <w:r w:rsidR="00DD5EBD" w:rsidRPr="00BE7C1E">
        <w:t xml:space="preserve"> we established the minimum qualifications of CSPs, a CSP </w:t>
      </w:r>
      <w:r w:rsidR="00D547D4">
        <w:t>a</w:t>
      </w:r>
      <w:r w:rsidR="00DD5EBD" w:rsidRPr="00BE7C1E">
        <w:t xml:space="preserve">pplication, fees and life of qualification.  </w:t>
      </w:r>
      <w:r w:rsidR="00DD5EBD" w:rsidRPr="00BE7C1E">
        <w:rPr>
          <w:b/>
        </w:rPr>
        <w:tab/>
      </w:r>
    </w:p>
    <w:p w14:paraId="12274190" w14:textId="77777777" w:rsidR="00DD5EBD" w:rsidRPr="00BE7C1E" w:rsidRDefault="00DD5EBD" w:rsidP="0009548F">
      <w:pPr>
        <w:spacing w:line="360" w:lineRule="auto"/>
        <w:rPr>
          <w:b/>
          <w:sz w:val="26"/>
          <w:szCs w:val="26"/>
        </w:rPr>
      </w:pPr>
      <w:r w:rsidRPr="00BE7C1E">
        <w:rPr>
          <w:b/>
          <w:sz w:val="26"/>
          <w:szCs w:val="26"/>
        </w:rPr>
        <w:tab/>
      </w:r>
    </w:p>
    <w:p w14:paraId="070AE8FD" w14:textId="481F05B9" w:rsidR="00DD5EBD" w:rsidRDefault="00DD5EBD" w:rsidP="00EB6FDF">
      <w:pPr>
        <w:pStyle w:val="StyleLinespacing15lines"/>
      </w:pPr>
      <w:r w:rsidRPr="00485EC9">
        <w:rPr>
          <w:b/>
        </w:rPr>
        <w:tab/>
      </w:r>
      <w:r w:rsidRPr="00485EC9">
        <w:t>By Order</w:t>
      </w:r>
      <w:r w:rsidR="008A5BF0">
        <w:t>s</w:t>
      </w:r>
      <w:r w:rsidRPr="00485EC9">
        <w:t xml:space="preserve"> entered July 16, 2013</w:t>
      </w:r>
      <w:r w:rsidR="008A5BF0">
        <w:t xml:space="preserve"> and May 8, 2015</w:t>
      </w:r>
      <w:r w:rsidRPr="00485EC9">
        <w:t>, the Commission adopted a CSP registration process and an application package that reflected the minimum requirements for registration.</w:t>
      </w:r>
      <w:r w:rsidRPr="00485EC9">
        <w:rPr>
          <w:rStyle w:val="FootnoteReference"/>
          <w:szCs w:val="26"/>
        </w:rPr>
        <w:footnoteReference w:id="93"/>
      </w:r>
      <w:r>
        <w:t xml:space="preserve">  The </w:t>
      </w:r>
      <w:r w:rsidRPr="00485EC9">
        <w:t xml:space="preserve">Commission also directed that all CSP subcontractors with an annual contract cost that equals or exceeds ten percent of the CSP’s total annual contract cost to perform services pursuant to an EDC EE&amp;C Plan, must also be registered as </w:t>
      </w:r>
      <w:r w:rsidR="006B7A73">
        <w:t>CSPs</w:t>
      </w:r>
      <w:r w:rsidRPr="00485EC9">
        <w:t>.</w:t>
      </w:r>
      <w:r w:rsidRPr="00485EC9">
        <w:rPr>
          <w:rStyle w:val="FootnoteReference"/>
          <w:szCs w:val="26"/>
        </w:rPr>
        <w:footnoteReference w:id="94"/>
      </w:r>
      <w:r>
        <w:t xml:space="preserve">  </w:t>
      </w:r>
      <w:r w:rsidR="00150AD7">
        <w:t xml:space="preserve"> </w:t>
      </w:r>
      <w:r w:rsidR="0031715D">
        <w:t xml:space="preserve">We propose </w:t>
      </w:r>
      <w:r w:rsidR="00654655">
        <w:t xml:space="preserve">to continue </w:t>
      </w:r>
      <w:r w:rsidR="00C11E62">
        <w:t xml:space="preserve">using the </w:t>
      </w:r>
      <w:r w:rsidR="00434632">
        <w:t xml:space="preserve">conditions and processes </w:t>
      </w:r>
      <w:r w:rsidR="004B14F5">
        <w:t>of the July 16, 2013</w:t>
      </w:r>
      <w:r w:rsidR="008A5BF0">
        <w:t xml:space="preserve"> and May 8, 2015</w:t>
      </w:r>
      <w:r w:rsidR="004B14F5">
        <w:t xml:space="preserve"> Order</w:t>
      </w:r>
      <w:r w:rsidR="008A5BF0">
        <w:t>s</w:t>
      </w:r>
      <w:r w:rsidR="004B14F5">
        <w:t xml:space="preserve"> in</w:t>
      </w:r>
      <w:r w:rsidR="00904EBC">
        <w:t xml:space="preserve"> Phase IV.</w:t>
      </w:r>
    </w:p>
    <w:p w14:paraId="548AB601" w14:textId="77777777" w:rsidR="002719B7" w:rsidRPr="00235CED" w:rsidRDefault="002719B7" w:rsidP="00DD1373">
      <w:pPr>
        <w:pStyle w:val="Heading2"/>
      </w:pPr>
      <w:bookmarkStart w:id="355" w:name="_Toc33782026"/>
      <w:r w:rsidRPr="00235CED">
        <w:lastRenderedPageBreak/>
        <w:t>EDC Cost Recovery</w:t>
      </w:r>
      <w:bookmarkEnd w:id="355"/>
    </w:p>
    <w:p w14:paraId="5052C00E" w14:textId="7D1DEC2C" w:rsidR="006E03F7" w:rsidRPr="00A30B75" w:rsidRDefault="00E91016" w:rsidP="00E91016">
      <w:pPr>
        <w:pStyle w:val="StyleLinespacing15lines"/>
        <w:tabs>
          <w:tab w:val="left" w:pos="720"/>
          <w:tab w:val="left" w:pos="810"/>
        </w:tabs>
        <w:ind w:firstLine="360"/>
      </w:pPr>
      <w:r>
        <w:tab/>
      </w:r>
      <w:r w:rsidR="006E03F7" w:rsidRPr="5F8B53EE">
        <w:t>The Act directs the Commission to establish a cost recovery mechanism that ensures that approved measures are financed by the customer class that receives the direct energy and conservation benefit of the measure.  66 Pa. C.S. § 2806.1(a)(11).  All EDC plans must include cost estimates for implementation of all measures.  66 Pa. C.S.</w:t>
      </w:r>
      <w:r w:rsidR="00431C04">
        <w:t> </w:t>
      </w:r>
      <w:r w:rsidR="006E03F7" w:rsidRPr="5F8B53EE">
        <w:t>§ 2806.1(b)(1)(i)(F).  Each plan must also include a proposed cost recovery tariff mechanism, in accordance with Section 1307 (relating to sliding scale or rates; adjustments), to fund all measures and to ensure full and current recovery of prudent and reasonable costs, including administrative costs, as approved by the Commission.  66 Pa. C.S. § 2806.1(b)(1)(i)(H).  In addition, each plan must include an analysis of administrative costs.  66 Pa. C.S. § 2806.1(b)(1)(i)(K).  The Act dictates that the total cost of any plan must not exceed two percent of the EDC’s total annual revenue as of December 31, 2006, excluding Low</w:t>
      </w:r>
      <w:r w:rsidR="006E03F7" w:rsidRPr="5F8B53EE">
        <w:noBreakHyphen/>
        <w:t>Income Usage Reduction Programs established under 52 Pa. Code § 58 (relating to residential Low</w:t>
      </w:r>
      <w:r w:rsidR="0087380A">
        <w:rPr>
          <w:szCs w:val="26"/>
        </w:rPr>
        <w:t>-</w:t>
      </w:r>
      <w:r w:rsidR="006E03F7" w:rsidRPr="5F8B53EE">
        <w:t xml:space="preserve">Income Usage Reduction Programs).  66 Pa. C.S. § 2806.1(g).  Finally, all EDCs, including those subject to generation or other rate caps, must recover on a full and current basis from customers, through a reconcilable adjustment clause under Section 1307, all reasonable and prudent costs incurred in the provision or management of its plan.  66 Pa. C.S. § 2806.1(k).  </w:t>
      </w:r>
      <w:r w:rsidR="00E16862">
        <w:t>The following sections detail the Commission’s proposed handling of EDC cost recovery</w:t>
      </w:r>
      <w:r w:rsidR="006E03F7" w:rsidRPr="00235CED">
        <w:t xml:space="preserve"> issues </w:t>
      </w:r>
      <w:r w:rsidR="00E16862">
        <w:t>for Phase IV based on our interpretation of the</w:t>
      </w:r>
      <w:r w:rsidR="006E03F7" w:rsidRPr="00235CED">
        <w:t xml:space="preserve"> relevant provisions of Act 129</w:t>
      </w:r>
      <w:r w:rsidR="00E16862">
        <w:t xml:space="preserve"> and experience </w:t>
      </w:r>
      <w:r w:rsidR="001B640E">
        <w:t xml:space="preserve">obtained </w:t>
      </w:r>
      <w:r w:rsidR="00E16862">
        <w:t xml:space="preserve">during </w:t>
      </w:r>
      <w:r w:rsidR="001B640E">
        <w:t xml:space="preserve">prior </w:t>
      </w:r>
      <w:r w:rsidR="00E16862">
        <w:t>Phases</w:t>
      </w:r>
      <w:r w:rsidR="006E03F7" w:rsidRPr="00235CED">
        <w:t xml:space="preserve">.  </w:t>
      </w:r>
    </w:p>
    <w:p w14:paraId="119EB04E" w14:textId="2F927C30" w:rsidR="006E03F7" w:rsidRPr="00A30B75" w:rsidRDefault="006E03F7" w:rsidP="0009548F">
      <w:pPr>
        <w:spacing w:line="360" w:lineRule="auto"/>
        <w:ind w:left="720"/>
        <w:rPr>
          <w:sz w:val="26"/>
          <w:szCs w:val="26"/>
        </w:rPr>
      </w:pPr>
    </w:p>
    <w:p w14:paraId="0FDE644D" w14:textId="0633501B" w:rsidR="00A57EE8" w:rsidRDefault="006E03F7" w:rsidP="00E95C7C">
      <w:pPr>
        <w:pStyle w:val="Heading3"/>
        <w:numPr>
          <w:ilvl w:val="0"/>
          <w:numId w:val="12"/>
        </w:numPr>
      </w:pPr>
      <w:bookmarkStart w:id="356" w:name="_Toc33782027"/>
      <w:r w:rsidRPr="00A71AC9">
        <w:t xml:space="preserve">Determination of </w:t>
      </w:r>
      <w:r w:rsidR="00902EB0">
        <w:t>Phase I</w:t>
      </w:r>
      <w:r w:rsidR="002740B2">
        <w:t>V</w:t>
      </w:r>
      <w:r w:rsidR="00902EB0">
        <w:t xml:space="preserve"> </w:t>
      </w:r>
      <w:r w:rsidRPr="00A71AC9">
        <w:t>Allowable Costs</w:t>
      </w:r>
      <w:bookmarkEnd w:id="356"/>
    </w:p>
    <w:p w14:paraId="4BF7EB22" w14:textId="58F63981" w:rsidR="00FB00A6" w:rsidRDefault="006E03F7" w:rsidP="00EB6FDF">
      <w:pPr>
        <w:pStyle w:val="StyleLinespacing15lines"/>
      </w:pPr>
      <w:r w:rsidRPr="00A30B75">
        <w:tab/>
        <w:t>The Act allows an EDC to recover</w:t>
      </w:r>
      <w:r w:rsidRPr="00235CED">
        <w:t xml:space="preserve"> all prudent and reasonable costs relating to the provision</w:t>
      </w:r>
      <w:r w:rsidR="00795D5C">
        <w:t xml:space="preserve"> or management of its EE&amp;C P</w:t>
      </w:r>
      <w:r w:rsidRPr="00235CED">
        <w:t>lan, but limits such costs to an amount not to exceed two percent of the EDC’s total annual revenue as of December 31, 2006, excluding Low-Income Usage Reduction Programs established under 52 Pa. Code § 58.</w:t>
      </w:r>
      <w:r>
        <w:t xml:space="preserve">  66 Pa. C.S. § 2806.1(g).</w:t>
      </w:r>
      <w:r w:rsidR="007B0D86">
        <w:t xml:space="preserve">  The annual</w:t>
      </w:r>
      <w:r w:rsidR="00D1526C">
        <w:t xml:space="preserve"> and Phase IV</w:t>
      </w:r>
      <w:r w:rsidR="007B0D86">
        <w:t xml:space="preserve"> budget limits</w:t>
      </w:r>
      <w:r w:rsidR="00D1526C">
        <w:t>, assuming a five-year phase,</w:t>
      </w:r>
      <w:r w:rsidR="007B0D86">
        <w:t xml:space="preserve"> are </w:t>
      </w:r>
      <w:r w:rsidR="00D1526C">
        <w:t xml:space="preserve">presented in </w:t>
      </w:r>
      <w:r w:rsidR="002A1BA4">
        <w:t xml:space="preserve">Table </w:t>
      </w:r>
      <w:r w:rsidR="004451AB">
        <w:t>19</w:t>
      </w:r>
      <w:r w:rsidR="00D1526C" w:rsidRPr="001C4984">
        <w:rPr>
          <w:bCs/>
          <w:szCs w:val="26"/>
        </w:rPr>
        <w:fldChar w:fldCharType="begin"/>
      </w:r>
      <w:r w:rsidR="00D1526C" w:rsidRPr="001C4984">
        <w:rPr>
          <w:bCs/>
          <w:szCs w:val="26"/>
        </w:rPr>
        <w:instrText xml:space="preserve"> REF _Ref30533378 \h </w:instrText>
      </w:r>
      <w:r w:rsidR="0094695D" w:rsidRPr="001C4984">
        <w:rPr>
          <w:bCs/>
          <w:szCs w:val="26"/>
        </w:rPr>
        <w:instrText xml:space="preserve"> \* MERGEFORMAT </w:instrText>
      </w:r>
      <w:r w:rsidR="00D1526C" w:rsidRPr="001C4984">
        <w:rPr>
          <w:bCs/>
          <w:szCs w:val="26"/>
        </w:rPr>
      </w:r>
      <w:r w:rsidR="00BB1E55">
        <w:rPr>
          <w:bCs/>
          <w:szCs w:val="26"/>
        </w:rPr>
        <w:fldChar w:fldCharType="separate"/>
      </w:r>
      <w:r w:rsidR="00BB1E55" w:rsidRPr="001C4984">
        <w:rPr>
          <w:b/>
          <w:bCs/>
          <w:szCs w:val="26"/>
        </w:rPr>
        <w:t>Table</w:t>
      </w:r>
      <w:r w:rsidR="00D1526C" w:rsidRPr="001C4984">
        <w:rPr>
          <w:bCs/>
          <w:szCs w:val="26"/>
        </w:rPr>
        <w:fldChar w:fldCharType="end"/>
      </w:r>
      <w:r w:rsidR="00D1526C">
        <w:t xml:space="preserve">. </w:t>
      </w:r>
    </w:p>
    <w:p w14:paraId="24ACDA0C" w14:textId="2FDBC1CC" w:rsidR="00116271" w:rsidRPr="001C4984" w:rsidRDefault="00116271" w:rsidP="000F45BB">
      <w:pPr>
        <w:pStyle w:val="Caption"/>
        <w:keepNext/>
        <w:jc w:val="center"/>
        <w:rPr>
          <w:b/>
          <w:bCs/>
          <w:i w:val="0"/>
          <w:iCs w:val="0"/>
          <w:sz w:val="26"/>
          <w:szCs w:val="26"/>
        </w:rPr>
      </w:pPr>
      <w:bookmarkStart w:id="357" w:name="_Ref30533378"/>
      <w:r w:rsidRPr="001C4984">
        <w:rPr>
          <w:b/>
          <w:bCs/>
          <w:i w:val="0"/>
          <w:iCs w:val="0"/>
          <w:color w:val="auto"/>
          <w:sz w:val="26"/>
          <w:szCs w:val="26"/>
        </w:rPr>
        <w:lastRenderedPageBreak/>
        <w:t>Table</w:t>
      </w:r>
      <w:bookmarkEnd w:id="357"/>
      <w:r w:rsidR="002A1BA4">
        <w:rPr>
          <w:b/>
          <w:bCs/>
          <w:i w:val="0"/>
          <w:iCs w:val="0"/>
          <w:color w:val="auto"/>
          <w:sz w:val="26"/>
          <w:szCs w:val="26"/>
        </w:rPr>
        <w:t xml:space="preserve"> </w:t>
      </w:r>
      <w:r w:rsidR="004451AB">
        <w:rPr>
          <w:b/>
          <w:bCs/>
          <w:i w:val="0"/>
          <w:iCs w:val="0"/>
          <w:color w:val="auto"/>
          <w:sz w:val="26"/>
          <w:szCs w:val="26"/>
        </w:rPr>
        <w:t>19</w:t>
      </w:r>
      <w:r w:rsidRPr="001C4984">
        <w:rPr>
          <w:b/>
          <w:bCs/>
          <w:i w:val="0"/>
          <w:iCs w:val="0"/>
          <w:color w:val="auto"/>
          <w:sz w:val="26"/>
          <w:szCs w:val="26"/>
        </w:rPr>
        <w:t xml:space="preserve">: EDC Annual EE&amp;C Budget Limits Based </w:t>
      </w:r>
      <w:r w:rsidR="0094695D" w:rsidRPr="001C4984">
        <w:rPr>
          <w:b/>
          <w:bCs/>
          <w:i w:val="0"/>
          <w:iCs w:val="0"/>
          <w:color w:val="auto"/>
          <w:sz w:val="26"/>
          <w:szCs w:val="26"/>
        </w:rPr>
        <w:t xml:space="preserve">on 2% of </w:t>
      </w:r>
      <w:r w:rsidRPr="001C4984">
        <w:rPr>
          <w:b/>
          <w:bCs/>
          <w:i w:val="0"/>
          <w:iCs w:val="0"/>
          <w:color w:val="auto"/>
          <w:sz w:val="26"/>
          <w:szCs w:val="26"/>
        </w:rPr>
        <w:t>2006 Revenue</w:t>
      </w:r>
    </w:p>
    <w:tbl>
      <w:tblPr>
        <w:tblStyle w:val="List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770"/>
        <w:gridCol w:w="3336"/>
      </w:tblGrid>
      <w:tr w:rsidR="00222EDA" w:rsidRPr="007B0D86" w14:paraId="232C9442" w14:textId="4E9953D9" w:rsidTr="009B3F0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tcBorders>
              <w:right w:val="single" w:sz="4" w:space="0" w:color="FFFFFF" w:themeColor="background1"/>
            </w:tcBorders>
          </w:tcPr>
          <w:p w14:paraId="5A5DC7A2" w14:textId="77777777" w:rsidR="00222EDA" w:rsidRPr="007B0D86" w:rsidRDefault="00222EDA" w:rsidP="000C25A4">
            <w:pPr>
              <w:keepNext/>
              <w:spacing w:before="80" w:after="80"/>
              <w:jc w:val="center"/>
              <w:rPr>
                <w:rFonts w:eastAsia="Calibri"/>
                <w:bCs w:val="0"/>
              </w:rPr>
            </w:pPr>
            <w:r w:rsidRPr="007B0D86">
              <w:rPr>
                <w:rFonts w:eastAsia="Calibri"/>
                <w:bCs w:val="0"/>
              </w:rPr>
              <w:t>EDC</w:t>
            </w:r>
          </w:p>
        </w:tc>
        <w:tc>
          <w:tcPr>
            <w:tcW w:w="0" w:type="auto"/>
            <w:tcBorders>
              <w:left w:val="single" w:sz="4" w:space="0" w:color="FFFFFF" w:themeColor="background1"/>
              <w:right w:val="single" w:sz="4" w:space="0" w:color="FFFFFF" w:themeColor="background1"/>
            </w:tcBorders>
          </w:tcPr>
          <w:p w14:paraId="5AC06D43" w14:textId="77777777" w:rsidR="00222EDA" w:rsidRPr="007B0D86" w:rsidRDefault="00222EDA" w:rsidP="000C25A4">
            <w:pPr>
              <w:keepNext/>
              <w:spacing w:before="80" w:after="80"/>
              <w:jc w:val="center"/>
              <w:cnfStyle w:val="100000000000" w:firstRow="1" w:lastRow="0" w:firstColumn="0" w:lastColumn="0" w:oddVBand="0" w:evenVBand="0" w:oddHBand="0" w:evenHBand="0" w:firstRowFirstColumn="0" w:firstRowLastColumn="0" w:lastRowFirstColumn="0" w:lastRowLastColumn="0"/>
              <w:rPr>
                <w:rFonts w:eastAsia="Calibri"/>
                <w:bCs w:val="0"/>
              </w:rPr>
            </w:pPr>
            <w:r w:rsidRPr="007B0D86">
              <w:rPr>
                <w:rFonts w:eastAsia="Calibri"/>
                <w:bCs w:val="0"/>
              </w:rPr>
              <w:t>Annual Budget</w:t>
            </w:r>
          </w:p>
        </w:tc>
        <w:tc>
          <w:tcPr>
            <w:tcW w:w="0" w:type="auto"/>
            <w:tcBorders>
              <w:left w:val="single" w:sz="4" w:space="0" w:color="FFFFFF" w:themeColor="background1"/>
            </w:tcBorders>
          </w:tcPr>
          <w:p w14:paraId="6B327FD3" w14:textId="2ED4A0D4" w:rsidR="00222EDA" w:rsidRPr="007B0D86" w:rsidRDefault="00222EDA" w:rsidP="000C25A4">
            <w:pPr>
              <w:keepNext/>
              <w:spacing w:before="80" w:after="80"/>
              <w:jc w:val="center"/>
              <w:cnfStyle w:val="100000000000" w:firstRow="1" w:lastRow="0" w:firstColumn="0" w:lastColumn="0" w:oddVBand="0" w:evenVBand="0" w:oddHBand="0" w:evenHBand="0" w:firstRowFirstColumn="0" w:firstRowLastColumn="0" w:lastRowFirstColumn="0" w:lastRowLastColumn="0"/>
              <w:rPr>
                <w:rFonts w:eastAsia="Calibri"/>
                <w:bCs w:val="0"/>
              </w:rPr>
            </w:pPr>
            <w:r>
              <w:rPr>
                <w:rFonts w:eastAsia="Calibri"/>
                <w:bCs w:val="0"/>
              </w:rPr>
              <w:t>Phase IV 5-Year Budget Limit</w:t>
            </w:r>
          </w:p>
        </w:tc>
      </w:tr>
      <w:tr w:rsidR="00D1526C" w:rsidRPr="007B0D86" w14:paraId="14921BF4" w14:textId="221BC825" w:rsidTr="00D15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040778E" w14:textId="7CC239A7" w:rsidR="00D1526C" w:rsidRPr="007B0D86" w:rsidRDefault="00D1526C" w:rsidP="000C25A4">
            <w:pPr>
              <w:keepNext/>
              <w:spacing w:before="80" w:after="80"/>
              <w:rPr>
                <w:rFonts w:eastAsia="Calibri"/>
                <w:b w:val="0"/>
                <w:bCs w:val="0"/>
              </w:rPr>
            </w:pPr>
            <w:r w:rsidRPr="007B0D86">
              <w:rPr>
                <w:rFonts w:eastAsia="Calibri"/>
                <w:b w:val="0"/>
                <w:bCs w:val="0"/>
              </w:rPr>
              <w:t>Duquesne Light</w:t>
            </w:r>
          </w:p>
        </w:tc>
        <w:tc>
          <w:tcPr>
            <w:tcW w:w="0" w:type="auto"/>
          </w:tcPr>
          <w:p w14:paraId="44373251" w14:textId="77777777" w:rsidR="00D1526C" w:rsidRPr="007B0D86" w:rsidRDefault="00D1526C" w:rsidP="000C25A4">
            <w:pPr>
              <w:keepNext/>
              <w:spacing w:before="80" w:after="80"/>
              <w:jc w:val="center"/>
              <w:cnfStyle w:val="000000100000" w:firstRow="0" w:lastRow="0" w:firstColumn="0" w:lastColumn="0" w:oddVBand="0" w:evenVBand="0" w:oddHBand="1" w:evenHBand="0" w:firstRowFirstColumn="0" w:firstRowLastColumn="0" w:lastRowFirstColumn="0" w:lastRowLastColumn="0"/>
              <w:rPr>
                <w:rFonts w:eastAsia="Calibri"/>
              </w:rPr>
            </w:pPr>
            <w:r w:rsidRPr="007B0D86">
              <w:rPr>
                <w:rFonts w:eastAsia="Calibri"/>
              </w:rPr>
              <w:t>$19,545,952</w:t>
            </w:r>
          </w:p>
        </w:tc>
        <w:tc>
          <w:tcPr>
            <w:tcW w:w="0" w:type="auto"/>
          </w:tcPr>
          <w:p w14:paraId="1EDA0557" w14:textId="36C238A1" w:rsidR="00D1526C" w:rsidRPr="007B0D86" w:rsidRDefault="00D1526C" w:rsidP="000C25A4">
            <w:pPr>
              <w:keepNext/>
              <w:spacing w:before="80" w:after="80"/>
              <w:jc w:val="center"/>
              <w:cnfStyle w:val="000000100000" w:firstRow="0" w:lastRow="0" w:firstColumn="0" w:lastColumn="0" w:oddVBand="0" w:evenVBand="0" w:oddHBand="1" w:evenHBand="0" w:firstRowFirstColumn="0" w:firstRowLastColumn="0" w:lastRowFirstColumn="0" w:lastRowLastColumn="0"/>
              <w:rPr>
                <w:rFonts w:eastAsia="Calibri"/>
              </w:rPr>
            </w:pPr>
            <w:r w:rsidRPr="00765492">
              <w:t xml:space="preserve">$97,729,760 </w:t>
            </w:r>
          </w:p>
        </w:tc>
      </w:tr>
      <w:tr w:rsidR="00903C76" w:rsidRPr="007B0D86" w14:paraId="791113D7" w14:textId="77777777" w:rsidTr="00D1526C">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7DE2595" w14:textId="0A787261" w:rsidR="00903C76" w:rsidRPr="007B0D86" w:rsidRDefault="00903C76" w:rsidP="00903C76">
            <w:pPr>
              <w:keepNext/>
              <w:spacing w:before="80" w:after="80"/>
              <w:rPr>
                <w:rFonts w:eastAsia="Calibri"/>
              </w:rPr>
            </w:pPr>
            <w:r w:rsidRPr="007B0D86">
              <w:rPr>
                <w:rFonts w:eastAsia="Calibri"/>
                <w:b w:val="0"/>
                <w:bCs w:val="0"/>
              </w:rPr>
              <w:t>PECO</w:t>
            </w:r>
          </w:p>
        </w:tc>
        <w:tc>
          <w:tcPr>
            <w:tcW w:w="0" w:type="auto"/>
          </w:tcPr>
          <w:p w14:paraId="1054A02C" w14:textId="49C8B7CC" w:rsidR="00903C76" w:rsidRPr="007B0D86" w:rsidRDefault="00903C76" w:rsidP="00903C76">
            <w:pPr>
              <w:keepNext/>
              <w:spacing w:before="80" w:after="80"/>
              <w:jc w:val="center"/>
              <w:cnfStyle w:val="000000000000" w:firstRow="0" w:lastRow="0" w:firstColumn="0" w:lastColumn="0" w:oddVBand="0" w:evenVBand="0" w:oddHBand="0" w:evenHBand="0" w:firstRowFirstColumn="0" w:firstRowLastColumn="0" w:lastRowFirstColumn="0" w:lastRowLastColumn="0"/>
              <w:rPr>
                <w:rFonts w:eastAsia="Calibri"/>
              </w:rPr>
            </w:pPr>
            <w:r w:rsidRPr="007B0D86">
              <w:rPr>
                <w:rFonts w:eastAsia="Calibri"/>
              </w:rPr>
              <w:t>$85,477,166</w:t>
            </w:r>
          </w:p>
        </w:tc>
        <w:tc>
          <w:tcPr>
            <w:tcW w:w="0" w:type="auto"/>
          </w:tcPr>
          <w:p w14:paraId="19915FB3" w14:textId="343FEEAB" w:rsidR="00903C76" w:rsidRPr="00765492" w:rsidRDefault="00903C76" w:rsidP="00903C76">
            <w:pPr>
              <w:keepNext/>
              <w:spacing w:before="80" w:after="80"/>
              <w:jc w:val="center"/>
              <w:cnfStyle w:val="000000000000" w:firstRow="0" w:lastRow="0" w:firstColumn="0" w:lastColumn="0" w:oddVBand="0" w:evenVBand="0" w:oddHBand="0" w:evenHBand="0" w:firstRowFirstColumn="0" w:firstRowLastColumn="0" w:lastRowFirstColumn="0" w:lastRowLastColumn="0"/>
            </w:pPr>
            <w:r w:rsidRPr="00765492">
              <w:t xml:space="preserve">$427,385,830 </w:t>
            </w:r>
          </w:p>
        </w:tc>
      </w:tr>
      <w:tr w:rsidR="00903C76" w:rsidRPr="007B0D86" w14:paraId="25EB70A2" w14:textId="77777777" w:rsidTr="00D15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6DB65E1" w14:textId="300038D3" w:rsidR="00903C76" w:rsidRPr="007B0D86" w:rsidRDefault="00903C76" w:rsidP="00903C76">
            <w:pPr>
              <w:keepNext/>
              <w:spacing w:before="80" w:after="80"/>
              <w:rPr>
                <w:rFonts w:eastAsia="Calibri"/>
              </w:rPr>
            </w:pPr>
            <w:r w:rsidRPr="007B0D86">
              <w:rPr>
                <w:rFonts w:eastAsia="Calibri"/>
                <w:b w:val="0"/>
                <w:bCs w:val="0"/>
              </w:rPr>
              <w:t>PPL</w:t>
            </w:r>
          </w:p>
        </w:tc>
        <w:tc>
          <w:tcPr>
            <w:tcW w:w="0" w:type="auto"/>
          </w:tcPr>
          <w:p w14:paraId="69E05096" w14:textId="1390C302" w:rsidR="00903C76" w:rsidRPr="007B0D86" w:rsidRDefault="00903C76" w:rsidP="00903C76">
            <w:pPr>
              <w:keepNext/>
              <w:spacing w:before="80" w:after="80"/>
              <w:jc w:val="center"/>
              <w:cnfStyle w:val="000000100000" w:firstRow="0" w:lastRow="0" w:firstColumn="0" w:lastColumn="0" w:oddVBand="0" w:evenVBand="0" w:oddHBand="1" w:evenHBand="0" w:firstRowFirstColumn="0" w:firstRowLastColumn="0" w:lastRowFirstColumn="0" w:lastRowLastColumn="0"/>
              <w:rPr>
                <w:rFonts w:eastAsia="Calibri"/>
              </w:rPr>
            </w:pPr>
            <w:r w:rsidRPr="007B0D86">
              <w:rPr>
                <w:rFonts w:eastAsia="Calibri"/>
              </w:rPr>
              <w:t>$61,501,376</w:t>
            </w:r>
          </w:p>
        </w:tc>
        <w:tc>
          <w:tcPr>
            <w:tcW w:w="0" w:type="auto"/>
          </w:tcPr>
          <w:p w14:paraId="5D808141" w14:textId="3395DABA" w:rsidR="00903C76" w:rsidRPr="00765492" w:rsidRDefault="00903C76" w:rsidP="00903C76">
            <w:pPr>
              <w:keepNext/>
              <w:spacing w:before="80" w:after="80"/>
              <w:jc w:val="center"/>
              <w:cnfStyle w:val="000000100000" w:firstRow="0" w:lastRow="0" w:firstColumn="0" w:lastColumn="0" w:oddVBand="0" w:evenVBand="0" w:oddHBand="1" w:evenHBand="0" w:firstRowFirstColumn="0" w:firstRowLastColumn="0" w:lastRowFirstColumn="0" w:lastRowLastColumn="0"/>
            </w:pPr>
            <w:r w:rsidRPr="00765492">
              <w:t xml:space="preserve">$307,506,880 </w:t>
            </w:r>
          </w:p>
        </w:tc>
      </w:tr>
      <w:tr w:rsidR="00903C76" w:rsidRPr="007B0D86" w14:paraId="3B8D3C52" w14:textId="3F8E8883" w:rsidTr="00D1526C">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4472F4A" w14:textId="535D0CAF" w:rsidR="00903C76" w:rsidRPr="007B0D86" w:rsidRDefault="00903C76" w:rsidP="00903C76">
            <w:pPr>
              <w:keepNext/>
              <w:spacing w:before="80" w:after="80"/>
              <w:rPr>
                <w:rFonts w:eastAsia="Calibri"/>
                <w:b w:val="0"/>
                <w:bCs w:val="0"/>
              </w:rPr>
            </w:pPr>
            <w:r>
              <w:rPr>
                <w:rFonts w:eastAsia="Calibri"/>
                <w:b w:val="0"/>
                <w:bCs w:val="0"/>
              </w:rPr>
              <w:t xml:space="preserve">FE: </w:t>
            </w:r>
            <w:r w:rsidRPr="007B0D86">
              <w:rPr>
                <w:rFonts w:eastAsia="Calibri"/>
                <w:b w:val="0"/>
                <w:bCs w:val="0"/>
              </w:rPr>
              <w:t>Met-Ed</w:t>
            </w:r>
          </w:p>
        </w:tc>
        <w:tc>
          <w:tcPr>
            <w:tcW w:w="0" w:type="auto"/>
          </w:tcPr>
          <w:p w14:paraId="79EE06F1" w14:textId="77777777" w:rsidR="00903C76" w:rsidRPr="007B0D86" w:rsidRDefault="00903C76" w:rsidP="00903C76">
            <w:pPr>
              <w:keepNext/>
              <w:spacing w:before="80" w:after="80"/>
              <w:jc w:val="center"/>
              <w:cnfStyle w:val="000000000000" w:firstRow="0" w:lastRow="0" w:firstColumn="0" w:lastColumn="0" w:oddVBand="0" w:evenVBand="0" w:oddHBand="0" w:evenHBand="0" w:firstRowFirstColumn="0" w:firstRowLastColumn="0" w:lastRowFirstColumn="0" w:lastRowLastColumn="0"/>
              <w:rPr>
                <w:rFonts w:eastAsia="Calibri"/>
              </w:rPr>
            </w:pPr>
            <w:r w:rsidRPr="007B0D86">
              <w:rPr>
                <w:rFonts w:eastAsia="Calibri"/>
              </w:rPr>
              <w:t>$24,866,894</w:t>
            </w:r>
          </w:p>
        </w:tc>
        <w:tc>
          <w:tcPr>
            <w:tcW w:w="0" w:type="auto"/>
          </w:tcPr>
          <w:p w14:paraId="5A17F15D" w14:textId="540339C0" w:rsidR="00903C76" w:rsidRPr="007B0D86" w:rsidRDefault="00903C76" w:rsidP="00903C76">
            <w:pPr>
              <w:keepNext/>
              <w:spacing w:before="80" w:after="80"/>
              <w:jc w:val="center"/>
              <w:cnfStyle w:val="000000000000" w:firstRow="0" w:lastRow="0" w:firstColumn="0" w:lastColumn="0" w:oddVBand="0" w:evenVBand="0" w:oddHBand="0" w:evenHBand="0" w:firstRowFirstColumn="0" w:firstRowLastColumn="0" w:lastRowFirstColumn="0" w:lastRowLastColumn="0"/>
              <w:rPr>
                <w:rFonts w:eastAsia="Calibri"/>
              </w:rPr>
            </w:pPr>
            <w:r w:rsidRPr="00765492">
              <w:t xml:space="preserve">$124,334,470 </w:t>
            </w:r>
          </w:p>
        </w:tc>
      </w:tr>
      <w:tr w:rsidR="00903C76" w:rsidRPr="007B0D86" w14:paraId="1D6B4B13" w14:textId="7B786B33" w:rsidTr="00D15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6A8D088" w14:textId="1E0F4411" w:rsidR="00903C76" w:rsidRPr="007B0D86" w:rsidRDefault="00903C76" w:rsidP="00903C76">
            <w:pPr>
              <w:keepNext/>
              <w:spacing w:before="80" w:after="80"/>
              <w:rPr>
                <w:rFonts w:eastAsia="Calibri"/>
                <w:b w:val="0"/>
                <w:bCs w:val="0"/>
              </w:rPr>
            </w:pPr>
            <w:r>
              <w:rPr>
                <w:rFonts w:eastAsia="Calibri"/>
                <w:b w:val="0"/>
                <w:bCs w:val="0"/>
              </w:rPr>
              <w:t xml:space="preserve">FE: </w:t>
            </w:r>
            <w:r w:rsidRPr="007B0D86">
              <w:rPr>
                <w:rFonts w:eastAsia="Calibri"/>
                <w:b w:val="0"/>
                <w:bCs w:val="0"/>
              </w:rPr>
              <w:t>Penelec</w:t>
            </w:r>
          </w:p>
        </w:tc>
        <w:tc>
          <w:tcPr>
            <w:tcW w:w="0" w:type="auto"/>
          </w:tcPr>
          <w:p w14:paraId="0554B332" w14:textId="77777777" w:rsidR="00903C76" w:rsidRPr="007B0D86" w:rsidRDefault="00903C76" w:rsidP="00903C76">
            <w:pPr>
              <w:keepNext/>
              <w:spacing w:before="80" w:after="80"/>
              <w:jc w:val="center"/>
              <w:cnfStyle w:val="000000100000" w:firstRow="0" w:lastRow="0" w:firstColumn="0" w:lastColumn="0" w:oddVBand="0" w:evenVBand="0" w:oddHBand="1" w:evenHBand="0" w:firstRowFirstColumn="0" w:firstRowLastColumn="0" w:lastRowFirstColumn="0" w:lastRowLastColumn="0"/>
              <w:rPr>
                <w:rFonts w:eastAsia="Calibri"/>
              </w:rPr>
            </w:pPr>
            <w:r w:rsidRPr="007B0D86">
              <w:rPr>
                <w:rFonts w:eastAsia="Calibri"/>
              </w:rPr>
              <w:t>$22,974,742</w:t>
            </w:r>
          </w:p>
        </w:tc>
        <w:tc>
          <w:tcPr>
            <w:tcW w:w="0" w:type="auto"/>
          </w:tcPr>
          <w:p w14:paraId="55B572DF" w14:textId="06AC88B1" w:rsidR="00903C76" w:rsidRPr="007B0D86" w:rsidRDefault="00903C76" w:rsidP="00903C76">
            <w:pPr>
              <w:keepNext/>
              <w:spacing w:before="80" w:after="80"/>
              <w:jc w:val="center"/>
              <w:cnfStyle w:val="000000100000" w:firstRow="0" w:lastRow="0" w:firstColumn="0" w:lastColumn="0" w:oddVBand="0" w:evenVBand="0" w:oddHBand="1" w:evenHBand="0" w:firstRowFirstColumn="0" w:firstRowLastColumn="0" w:lastRowFirstColumn="0" w:lastRowLastColumn="0"/>
              <w:rPr>
                <w:rFonts w:eastAsia="Calibri"/>
              </w:rPr>
            </w:pPr>
            <w:r w:rsidRPr="00765492">
              <w:t xml:space="preserve">$114,873,710 </w:t>
            </w:r>
          </w:p>
        </w:tc>
      </w:tr>
      <w:tr w:rsidR="00903C76" w:rsidRPr="007B0D86" w14:paraId="380688AF" w14:textId="1F3E3C6A" w:rsidTr="00D1526C">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82BDD70" w14:textId="337A350D" w:rsidR="00903C76" w:rsidRPr="007B0D86" w:rsidRDefault="00903C76" w:rsidP="00903C76">
            <w:pPr>
              <w:keepNext/>
              <w:spacing w:before="80" w:after="80"/>
              <w:rPr>
                <w:rFonts w:eastAsia="Calibri"/>
                <w:b w:val="0"/>
                <w:bCs w:val="0"/>
              </w:rPr>
            </w:pPr>
            <w:r>
              <w:rPr>
                <w:rFonts w:eastAsia="Calibri"/>
                <w:b w:val="0"/>
                <w:bCs w:val="0"/>
              </w:rPr>
              <w:t xml:space="preserve">FE: </w:t>
            </w:r>
            <w:r w:rsidRPr="007B0D86">
              <w:rPr>
                <w:rFonts w:eastAsia="Calibri"/>
                <w:b w:val="0"/>
                <w:bCs w:val="0"/>
              </w:rPr>
              <w:t>Penn Power</w:t>
            </w:r>
          </w:p>
        </w:tc>
        <w:tc>
          <w:tcPr>
            <w:tcW w:w="0" w:type="auto"/>
          </w:tcPr>
          <w:p w14:paraId="05DADABF" w14:textId="77777777" w:rsidR="00903C76" w:rsidRPr="007B0D86" w:rsidRDefault="00903C76" w:rsidP="00903C76">
            <w:pPr>
              <w:keepNext/>
              <w:spacing w:before="80" w:after="80"/>
              <w:jc w:val="center"/>
              <w:cnfStyle w:val="000000000000" w:firstRow="0" w:lastRow="0" w:firstColumn="0" w:lastColumn="0" w:oddVBand="0" w:evenVBand="0" w:oddHBand="0" w:evenHBand="0" w:firstRowFirstColumn="0" w:firstRowLastColumn="0" w:lastRowFirstColumn="0" w:lastRowLastColumn="0"/>
              <w:rPr>
                <w:rFonts w:eastAsia="Calibri"/>
              </w:rPr>
            </w:pPr>
            <w:r w:rsidRPr="007B0D86">
              <w:rPr>
                <w:rFonts w:eastAsia="Calibri"/>
              </w:rPr>
              <w:t>$6,659,789</w:t>
            </w:r>
          </w:p>
        </w:tc>
        <w:tc>
          <w:tcPr>
            <w:tcW w:w="0" w:type="auto"/>
          </w:tcPr>
          <w:p w14:paraId="31A06DC0" w14:textId="2404B4BC" w:rsidR="00903C76" w:rsidRPr="007B0D86" w:rsidRDefault="00903C76" w:rsidP="00903C76">
            <w:pPr>
              <w:keepNext/>
              <w:spacing w:before="80" w:after="80"/>
              <w:jc w:val="center"/>
              <w:cnfStyle w:val="000000000000" w:firstRow="0" w:lastRow="0" w:firstColumn="0" w:lastColumn="0" w:oddVBand="0" w:evenVBand="0" w:oddHBand="0" w:evenHBand="0" w:firstRowFirstColumn="0" w:firstRowLastColumn="0" w:lastRowFirstColumn="0" w:lastRowLastColumn="0"/>
              <w:rPr>
                <w:rFonts w:eastAsia="Calibri"/>
              </w:rPr>
            </w:pPr>
            <w:r w:rsidRPr="00765492">
              <w:t xml:space="preserve">$33,298,945 </w:t>
            </w:r>
          </w:p>
        </w:tc>
      </w:tr>
      <w:tr w:rsidR="00903C76" w:rsidRPr="007B0D86" w14:paraId="185CD9B5" w14:textId="5A33B6BE" w:rsidTr="00D152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14699F2" w14:textId="1A15BF28" w:rsidR="00903C76" w:rsidRPr="007B0D86" w:rsidRDefault="00903C76" w:rsidP="00903C76">
            <w:pPr>
              <w:keepNext/>
              <w:spacing w:before="80" w:after="80"/>
              <w:rPr>
                <w:rFonts w:eastAsia="Calibri"/>
                <w:b w:val="0"/>
                <w:bCs w:val="0"/>
              </w:rPr>
            </w:pPr>
            <w:r>
              <w:rPr>
                <w:rFonts w:eastAsia="Calibri"/>
                <w:b w:val="0"/>
                <w:bCs w:val="0"/>
              </w:rPr>
              <w:t xml:space="preserve">FE: </w:t>
            </w:r>
            <w:r w:rsidRPr="007B0D86">
              <w:rPr>
                <w:rFonts w:eastAsia="Calibri"/>
                <w:b w:val="0"/>
                <w:bCs w:val="0"/>
              </w:rPr>
              <w:t>West Penn Power</w:t>
            </w:r>
          </w:p>
        </w:tc>
        <w:tc>
          <w:tcPr>
            <w:tcW w:w="0" w:type="auto"/>
          </w:tcPr>
          <w:p w14:paraId="5C8C95D4" w14:textId="77777777" w:rsidR="00903C76" w:rsidRPr="007B0D86" w:rsidRDefault="00903C76" w:rsidP="00903C76">
            <w:pPr>
              <w:keepNext/>
              <w:spacing w:before="80" w:after="80"/>
              <w:jc w:val="center"/>
              <w:cnfStyle w:val="000000100000" w:firstRow="0" w:lastRow="0" w:firstColumn="0" w:lastColumn="0" w:oddVBand="0" w:evenVBand="0" w:oddHBand="1" w:evenHBand="0" w:firstRowFirstColumn="0" w:firstRowLastColumn="0" w:lastRowFirstColumn="0" w:lastRowLastColumn="0"/>
              <w:rPr>
                <w:rFonts w:eastAsia="Calibri"/>
              </w:rPr>
            </w:pPr>
            <w:r w:rsidRPr="007B0D86">
              <w:rPr>
                <w:rFonts w:eastAsia="Calibri"/>
              </w:rPr>
              <w:t>$23,562,602</w:t>
            </w:r>
          </w:p>
        </w:tc>
        <w:tc>
          <w:tcPr>
            <w:tcW w:w="0" w:type="auto"/>
          </w:tcPr>
          <w:p w14:paraId="0CF677FC" w14:textId="1AF72376" w:rsidR="00903C76" w:rsidRPr="007B0D86" w:rsidRDefault="00903C76" w:rsidP="00903C76">
            <w:pPr>
              <w:keepNext/>
              <w:spacing w:before="80" w:after="80"/>
              <w:jc w:val="center"/>
              <w:cnfStyle w:val="000000100000" w:firstRow="0" w:lastRow="0" w:firstColumn="0" w:lastColumn="0" w:oddVBand="0" w:evenVBand="0" w:oddHBand="1" w:evenHBand="0" w:firstRowFirstColumn="0" w:firstRowLastColumn="0" w:lastRowFirstColumn="0" w:lastRowLastColumn="0"/>
              <w:rPr>
                <w:rFonts w:eastAsia="Calibri"/>
              </w:rPr>
            </w:pPr>
            <w:r w:rsidRPr="00765492">
              <w:t xml:space="preserve">$117,813,010 </w:t>
            </w:r>
          </w:p>
        </w:tc>
      </w:tr>
    </w:tbl>
    <w:p w14:paraId="2207930F" w14:textId="77777777" w:rsidR="00A223C1" w:rsidRPr="00A57EE8" w:rsidRDefault="00A223C1" w:rsidP="00A57EE8">
      <w:pPr>
        <w:spacing w:line="360" w:lineRule="auto"/>
        <w:rPr>
          <w:sz w:val="26"/>
          <w:szCs w:val="26"/>
        </w:rPr>
      </w:pPr>
    </w:p>
    <w:p w14:paraId="60066D4B" w14:textId="43E40A75" w:rsidR="00095FB7" w:rsidRPr="009F0D7F" w:rsidRDefault="00F84FFB" w:rsidP="00E41C57">
      <w:pPr>
        <w:spacing w:line="360" w:lineRule="auto"/>
        <w:ind w:firstLine="720"/>
        <w:rPr>
          <w:szCs w:val="26"/>
        </w:rPr>
      </w:pPr>
      <w:r w:rsidRPr="00E41C57">
        <w:rPr>
          <w:sz w:val="26"/>
          <w:szCs w:val="26"/>
        </w:rPr>
        <w:t xml:space="preserve">The budget values shown in </w:t>
      </w:r>
      <w:r w:rsidR="002A1BA4">
        <w:rPr>
          <w:sz w:val="26"/>
          <w:szCs w:val="26"/>
        </w:rPr>
        <w:t xml:space="preserve">Table </w:t>
      </w:r>
      <w:r w:rsidR="004451AB">
        <w:rPr>
          <w:sz w:val="26"/>
          <w:szCs w:val="26"/>
        </w:rPr>
        <w:t>19</w:t>
      </w:r>
      <w:r w:rsidRPr="00E41C57">
        <w:rPr>
          <w:sz w:val="26"/>
          <w:szCs w:val="26"/>
        </w:rPr>
        <w:fldChar w:fldCharType="begin"/>
      </w:r>
      <w:r w:rsidRPr="00E41C57">
        <w:rPr>
          <w:sz w:val="26"/>
          <w:szCs w:val="26"/>
        </w:rPr>
        <w:instrText xml:space="preserve"> REF _Ref30533378 \h  \* MERGEFORMAT </w:instrText>
      </w:r>
      <w:r w:rsidRPr="00E41C57">
        <w:rPr>
          <w:sz w:val="26"/>
          <w:szCs w:val="26"/>
        </w:rPr>
      </w:r>
      <w:r w:rsidR="00BB1E55">
        <w:rPr>
          <w:sz w:val="26"/>
          <w:szCs w:val="26"/>
        </w:rPr>
        <w:fldChar w:fldCharType="separate"/>
      </w:r>
      <w:r w:rsidR="00BB1E55" w:rsidRPr="001C4984">
        <w:rPr>
          <w:b/>
          <w:bCs/>
          <w:sz w:val="26"/>
          <w:szCs w:val="26"/>
        </w:rPr>
        <w:t>Table</w:t>
      </w:r>
      <w:r w:rsidRPr="00E41C57">
        <w:rPr>
          <w:sz w:val="26"/>
          <w:szCs w:val="26"/>
        </w:rPr>
        <w:fldChar w:fldCharType="end"/>
      </w:r>
      <w:r w:rsidRPr="00E41C57">
        <w:rPr>
          <w:sz w:val="26"/>
          <w:szCs w:val="26"/>
        </w:rPr>
        <w:t xml:space="preserve"> are identical to prior phases of Act 129 </w:t>
      </w:r>
      <w:r w:rsidR="00E51575" w:rsidRPr="00E41C57">
        <w:rPr>
          <w:sz w:val="26"/>
          <w:szCs w:val="26"/>
        </w:rPr>
        <w:t xml:space="preserve">and the </w:t>
      </w:r>
      <w:r w:rsidRPr="00E41C57">
        <w:rPr>
          <w:sz w:val="26"/>
          <w:szCs w:val="26"/>
        </w:rPr>
        <w:t xml:space="preserve">calculation of dollar amounts from 2006 revenues has been addressed in previous Orders. </w:t>
      </w:r>
      <w:r w:rsidR="002B7317">
        <w:rPr>
          <w:sz w:val="26"/>
          <w:szCs w:val="26"/>
        </w:rPr>
        <w:t xml:space="preserve"> </w:t>
      </w:r>
      <w:r w:rsidRPr="00E41C57">
        <w:rPr>
          <w:sz w:val="26"/>
          <w:szCs w:val="26"/>
        </w:rPr>
        <w:t>In particular</w:t>
      </w:r>
      <w:r w:rsidR="00EE5727" w:rsidRPr="009F0D7F">
        <w:rPr>
          <w:sz w:val="26"/>
          <w:szCs w:val="26"/>
        </w:rPr>
        <w:t>,</w:t>
      </w:r>
      <w:r w:rsidRPr="00E41C57">
        <w:rPr>
          <w:sz w:val="26"/>
          <w:szCs w:val="26"/>
        </w:rPr>
        <w:t xml:space="preserve"> the treatment of </w:t>
      </w:r>
      <w:r w:rsidR="003B7D7A" w:rsidRPr="00E41C57">
        <w:rPr>
          <w:sz w:val="26"/>
          <w:szCs w:val="26"/>
        </w:rPr>
        <w:t xml:space="preserve">2006 revenues collected </w:t>
      </w:r>
      <w:r w:rsidR="00B37C59" w:rsidRPr="00E41C57">
        <w:rPr>
          <w:sz w:val="26"/>
          <w:szCs w:val="26"/>
        </w:rPr>
        <w:t>by an EDC for generation service on behalf of an EGS</w:t>
      </w:r>
      <w:r w:rsidR="0033340D" w:rsidRPr="00E41C57">
        <w:rPr>
          <w:sz w:val="26"/>
          <w:szCs w:val="26"/>
        </w:rPr>
        <w:t xml:space="preserve"> were determined </w:t>
      </w:r>
      <w:r w:rsidR="007F7E0D" w:rsidRPr="00E41C57">
        <w:rPr>
          <w:sz w:val="26"/>
          <w:szCs w:val="26"/>
        </w:rPr>
        <w:t xml:space="preserve">to </w:t>
      </w:r>
      <w:r w:rsidR="0033340D" w:rsidRPr="00E41C57">
        <w:rPr>
          <w:sz w:val="26"/>
          <w:szCs w:val="26"/>
        </w:rPr>
        <w:t>be part of the 2006 revenue calculation</w:t>
      </w:r>
      <w:r w:rsidR="00857889">
        <w:rPr>
          <w:rStyle w:val="FootnoteReference"/>
          <w:sz w:val="26"/>
          <w:szCs w:val="26"/>
        </w:rPr>
        <w:footnoteReference w:id="95"/>
      </w:r>
      <w:r w:rsidR="0033340D" w:rsidRPr="00E41C57">
        <w:rPr>
          <w:sz w:val="26"/>
          <w:szCs w:val="26"/>
        </w:rPr>
        <w:t xml:space="preserve"> and we see no reason to revisit the issue in this Tentative Order.  The budget values shown in</w:t>
      </w:r>
      <w:r w:rsidR="002A1BA4">
        <w:rPr>
          <w:sz w:val="26"/>
          <w:szCs w:val="26"/>
        </w:rPr>
        <w:t xml:space="preserve"> Table </w:t>
      </w:r>
      <w:r w:rsidR="004451AB">
        <w:rPr>
          <w:sz w:val="26"/>
          <w:szCs w:val="26"/>
        </w:rPr>
        <w:t>19</w:t>
      </w:r>
      <w:r w:rsidR="0033340D" w:rsidRPr="00E41C57">
        <w:rPr>
          <w:sz w:val="26"/>
          <w:szCs w:val="26"/>
        </w:rPr>
        <w:t xml:space="preserve"> are a core input to the </w:t>
      </w:r>
      <w:r w:rsidR="00C47561">
        <w:rPr>
          <w:sz w:val="26"/>
          <w:szCs w:val="26"/>
        </w:rPr>
        <w:t xml:space="preserve">EEPDR Potential </w:t>
      </w:r>
      <w:r w:rsidR="00B5558A" w:rsidRPr="00E41C57">
        <w:rPr>
          <w:sz w:val="26"/>
          <w:szCs w:val="26"/>
        </w:rPr>
        <w:t>S</w:t>
      </w:r>
      <w:r w:rsidR="0033340D" w:rsidRPr="00E41C57">
        <w:rPr>
          <w:sz w:val="26"/>
          <w:szCs w:val="26"/>
        </w:rPr>
        <w:t xml:space="preserve">tudy and the proposed </w:t>
      </w:r>
      <w:r w:rsidR="009F0D7F">
        <w:rPr>
          <w:sz w:val="26"/>
          <w:szCs w:val="26"/>
        </w:rPr>
        <w:t xml:space="preserve">consumption </w:t>
      </w:r>
      <w:r w:rsidR="00046E78" w:rsidRPr="00E41C57">
        <w:rPr>
          <w:sz w:val="26"/>
          <w:szCs w:val="26"/>
        </w:rPr>
        <w:t>reduction requirements</w:t>
      </w:r>
      <w:r w:rsidR="0033340D" w:rsidRPr="00E41C57">
        <w:rPr>
          <w:sz w:val="26"/>
          <w:szCs w:val="26"/>
        </w:rPr>
        <w:t xml:space="preserve"> in Section</w:t>
      </w:r>
      <w:r w:rsidR="00B13C79" w:rsidRPr="00E41C57">
        <w:rPr>
          <w:sz w:val="26"/>
          <w:szCs w:val="26"/>
        </w:rPr>
        <w:t xml:space="preserve"> </w:t>
      </w:r>
      <w:r w:rsidR="00B13C79" w:rsidRPr="00E41C57">
        <w:rPr>
          <w:sz w:val="26"/>
          <w:szCs w:val="26"/>
        </w:rPr>
        <w:fldChar w:fldCharType="begin"/>
      </w:r>
      <w:r w:rsidR="00B13C79" w:rsidRPr="00E41C57">
        <w:rPr>
          <w:sz w:val="26"/>
          <w:szCs w:val="26"/>
        </w:rPr>
        <w:instrText xml:space="preserve"> REF _Ref31469832 \r \h </w:instrText>
      </w:r>
      <w:r w:rsidR="009F0D7F">
        <w:rPr>
          <w:sz w:val="26"/>
          <w:szCs w:val="26"/>
        </w:rPr>
        <w:instrText xml:space="preserve"> \* MERGEFORMAT </w:instrText>
      </w:r>
      <w:r w:rsidR="00B13C79" w:rsidRPr="00E41C57">
        <w:rPr>
          <w:sz w:val="26"/>
          <w:szCs w:val="26"/>
        </w:rPr>
      </w:r>
      <w:r w:rsidR="00B13C79" w:rsidRPr="00E41C57">
        <w:rPr>
          <w:sz w:val="26"/>
          <w:szCs w:val="26"/>
        </w:rPr>
        <w:fldChar w:fldCharType="separate"/>
      </w:r>
      <w:r w:rsidR="00BB1E55">
        <w:rPr>
          <w:sz w:val="26"/>
          <w:szCs w:val="26"/>
        </w:rPr>
        <w:t>A</w:t>
      </w:r>
      <w:r w:rsidR="00B13C79" w:rsidRPr="00E41C57">
        <w:rPr>
          <w:sz w:val="26"/>
          <w:szCs w:val="26"/>
        </w:rPr>
        <w:fldChar w:fldCharType="end"/>
      </w:r>
      <w:r w:rsidR="00B13C79" w:rsidRPr="00E41C57">
        <w:rPr>
          <w:sz w:val="26"/>
          <w:szCs w:val="26"/>
        </w:rPr>
        <w:t>.</w:t>
      </w:r>
      <w:r w:rsidR="009F0D7F">
        <w:rPr>
          <w:sz w:val="26"/>
          <w:szCs w:val="26"/>
        </w:rPr>
        <w:t>2</w:t>
      </w:r>
      <w:r w:rsidR="00B13C79" w:rsidRPr="00E41C57">
        <w:rPr>
          <w:sz w:val="26"/>
          <w:szCs w:val="26"/>
        </w:rPr>
        <w:t xml:space="preserve">: </w:t>
      </w:r>
      <w:r w:rsidR="009F0D7F">
        <w:rPr>
          <w:sz w:val="26"/>
          <w:szCs w:val="26"/>
        </w:rPr>
        <w:fldChar w:fldCharType="begin"/>
      </w:r>
      <w:r w:rsidR="009F0D7F">
        <w:rPr>
          <w:sz w:val="26"/>
          <w:szCs w:val="26"/>
        </w:rPr>
        <w:instrText xml:space="preserve"> REF _Ref33512538 \h  \* MERGEFORMAT </w:instrText>
      </w:r>
      <w:r w:rsidR="009F0D7F">
        <w:rPr>
          <w:sz w:val="26"/>
          <w:szCs w:val="26"/>
        </w:rPr>
      </w:r>
      <w:r w:rsidR="009F0D7F">
        <w:rPr>
          <w:sz w:val="26"/>
          <w:szCs w:val="26"/>
        </w:rPr>
        <w:fldChar w:fldCharType="separate"/>
      </w:r>
      <w:r w:rsidR="00BB1E55" w:rsidRPr="00BB1E55">
        <w:rPr>
          <w:sz w:val="26"/>
          <w:szCs w:val="26"/>
        </w:rPr>
        <w:t>Proposed Reductions in Consumption</w:t>
      </w:r>
      <w:r w:rsidR="009F0D7F">
        <w:rPr>
          <w:sz w:val="26"/>
          <w:szCs w:val="26"/>
        </w:rPr>
        <w:fldChar w:fldCharType="end"/>
      </w:r>
      <w:r w:rsidR="009F0D7F">
        <w:rPr>
          <w:sz w:val="26"/>
          <w:szCs w:val="26"/>
        </w:rPr>
        <w:t>.</w:t>
      </w:r>
    </w:p>
    <w:p w14:paraId="471CC39D" w14:textId="343403BC" w:rsidR="006E03F7" w:rsidRPr="00095FB7" w:rsidRDefault="00536870" w:rsidP="00095FB7">
      <w:pPr>
        <w:pStyle w:val="p3"/>
        <w:widowControl/>
        <w:tabs>
          <w:tab w:val="clear" w:pos="204"/>
        </w:tabs>
        <w:spacing w:line="360" w:lineRule="auto"/>
        <w:ind w:firstLine="720"/>
        <w:rPr>
          <w:szCs w:val="26"/>
        </w:rPr>
      </w:pPr>
      <w:r>
        <w:rPr>
          <w:szCs w:val="26"/>
        </w:rPr>
        <w:t xml:space="preserve"> </w:t>
      </w:r>
    </w:p>
    <w:p w14:paraId="35893614" w14:textId="400E37E5" w:rsidR="006E03F7" w:rsidRPr="00235CED" w:rsidRDefault="006E03F7" w:rsidP="0009548F">
      <w:pPr>
        <w:spacing w:line="360" w:lineRule="auto"/>
        <w:ind w:firstLine="720"/>
        <w:rPr>
          <w:sz w:val="26"/>
          <w:szCs w:val="26"/>
        </w:rPr>
      </w:pPr>
      <w:r>
        <w:rPr>
          <w:sz w:val="26"/>
          <w:szCs w:val="26"/>
        </w:rPr>
        <w:t>T</w:t>
      </w:r>
      <w:r w:rsidRPr="00235CED">
        <w:rPr>
          <w:sz w:val="26"/>
          <w:szCs w:val="26"/>
        </w:rPr>
        <w:t xml:space="preserve">he level of costs that an EDC will be permitted to recover in implementing its EE&amp;C </w:t>
      </w:r>
      <w:r w:rsidR="004E454C">
        <w:rPr>
          <w:sz w:val="26"/>
          <w:szCs w:val="26"/>
        </w:rPr>
        <w:t xml:space="preserve">Plan </w:t>
      </w:r>
      <w:r>
        <w:rPr>
          <w:sz w:val="26"/>
          <w:szCs w:val="26"/>
        </w:rPr>
        <w:t>was established in the Phase I proceedings.</w:t>
      </w:r>
      <w:r>
        <w:rPr>
          <w:rStyle w:val="FootnoteReference"/>
          <w:sz w:val="26"/>
          <w:szCs w:val="26"/>
        </w:rPr>
        <w:footnoteReference w:id="96"/>
      </w:r>
      <w:r>
        <w:rPr>
          <w:sz w:val="26"/>
          <w:szCs w:val="26"/>
        </w:rPr>
        <w:t xml:space="preserve">  </w:t>
      </w:r>
      <w:r w:rsidR="001320A7">
        <w:rPr>
          <w:sz w:val="26"/>
          <w:szCs w:val="26"/>
        </w:rPr>
        <w:t>For Phase IV, w</w:t>
      </w:r>
      <w:r w:rsidRPr="00235CED">
        <w:rPr>
          <w:sz w:val="26"/>
          <w:szCs w:val="26"/>
        </w:rPr>
        <w:t xml:space="preserve">e </w:t>
      </w:r>
      <w:r>
        <w:rPr>
          <w:sz w:val="26"/>
          <w:szCs w:val="26"/>
        </w:rPr>
        <w:t xml:space="preserve">propose </w:t>
      </w:r>
      <w:r w:rsidRPr="00235CED">
        <w:rPr>
          <w:sz w:val="26"/>
          <w:szCs w:val="26"/>
        </w:rPr>
        <w:t>requir</w:t>
      </w:r>
      <w:r>
        <w:rPr>
          <w:sz w:val="26"/>
          <w:szCs w:val="26"/>
        </w:rPr>
        <w:t>ing</w:t>
      </w:r>
      <w:r w:rsidRPr="00235CED">
        <w:rPr>
          <w:sz w:val="26"/>
          <w:szCs w:val="26"/>
        </w:rPr>
        <w:t xml:space="preserve"> each EDC to include a calculation of the total amount of EE&amp;C costs it will be permitted to recover (exclusive of expenditures on Low-Income Usage Reduction Programs established under 52 Pa. Code § 58) based on the two percent limitation as set forth in the Act.  This will represent the maximum level of spending on EE&amp;C </w:t>
      </w:r>
      <w:r w:rsidR="00A223C1">
        <w:rPr>
          <w:sz w:val="26"/>
          <w:szCs w:val="26"/>
        </w:rPr>
        <w:t>programs</w:t>
      </w:r>
      <w:r w:rsidRPr="00235CED">
        <w:rPr>
          <w:sz w:val="26"/>
          <w:szCs w:val="26"/>
        </w:rPr>
        <w:t xml:space="preserve"> that will be recoverable under the EDC’s plan.</w:t>
      </w:r>
    </w:p>
    <w:p w14:paraId="6BEC6126" w14:textId="77777777" w:rsidR="006E03F7" w:rsidRPr="00235CED" w:rsidRDefault="006E03F7" w:rsidP="0009548F">
      <w:pPr>
        <w:spacing w:line="360" w:lineRule="auto"/>
        <w:rPr>
          <w:sz w:val="26"/>
          <w:szCs w:val="26"/>
        </w:rPr>
      </w:pPr>
    </w:p>
    <w:p w14:paraId="6657DE5F" w14:textId="29A71EA7" w:rsidR="006E03F7" w:rsidRDefault="006E03F7" w:rsidP="0009548F">
      <w:pPr>
        <w:spacing w:line="360" w:lineRule="auto"/>
        <w:rPr>
          <w:sz w:val="26"/>
          <w:szCs w:val="26"/>
        </w:rPr>
      </w:pPr>
      <w:r w:rsidRPr="00235CED">
        <w:rPr>
          <w:sz w:val="26"/>
          <w:szCs w:val="26"/>
        </w:rPr>
        <w:lastRenderedPageBreak/>
        <w:tab/>
        <w:t xml:space="preserve">We </w:t>
      </w:r>
      <w:r>
        <w:rPr>
          <w:sz w:val="26"/>
          <w:szCs w:val="26"/>
        </w:rPr>
        <w:t>also</w:t>
      </w:r>
      <w:r w:rsidRPr="00235CED">
        <w:rPr>
          <w:sz w:val="26"/>
          <w:szCs w:val="26"/>
        </w:rPr>
        <w:t xml:space="preserve"> </w:t>
      </w:r>
      <w:r>
        <w:rPr>
          <w:sz w:val="26"/>
          <w:szCs w:val="26"/>
        </w:rPr>
        <w:t xml:space="preserve">propose </w:t>
      </w:r>
      <w:r w:rsidRPr="00235CED">
        <w:rPr>
          <w:sz w:val="26"/>
          <w:szCs w:val="26"/>
        </w:rPr>
        <w:t>requir</w:t>
      </w:r>
      <w:r>
        <w:rPr>
          <w:sz w:val="26"/>
          <w:szCs w:val="26"/>
        </w:rPr>
        <w:t>ing</w:t>
      </w:r>
      <w:r w:rsidRPr="00235CED">
        <w:rPr>
          <w:sz w:val="26"/>
          <w:szCs w:val="26"/>
        </w:rPr>
        <w:t xml:space="preserve"> each EDC to provide a careful estimate of the costs relating to all EE&amp;C programs and measures as set forth in its plan.  </w:t>
      </w:r>
      <w:r w:rsidR="00857889">
        <w:rPr>
          <w:sz w:val="26"/>
          <w:szCs w:val="26"/>
        </w:rPr>
        <w:t xml:space="preserve">All EE&amp;C program costs can be classified as either incentive or administrative (e.g. non-incentive). </w:t>
      </w:r>
      <w:r w:rsidR="0053414D">
        <w:rPr>
          <w:sz w:val="26"/>
          <w:szCs w:val="26"/>
        </w:rPr>
        <w:t xml:space="preserve">Administrative costs may </w:t>
      </w:r>
      <w:r w:rsidR="00712FCA">
        <w:rPr>
          <w:sz w:val="26"/>
          <w:szCs w:val="26"/>
        </w:rPr>
        <w:t>include</w:t>
      </w:r>
      <w:r w:rsidR="0053414D">
        <w:rPr>
          <w:sz w:val="26"/>
          <w:szCs w:val="26"/>
        </w:rPr>
        <w:t xml:space="preserve"> </w:t>
      </w:r>
      <w:r w:rsidRPr="00235CED">
        <w:rPr>
          <w:sz w:val="26"/>
          <w:szCs w:val="26"/>
        </w:rPr>
        <w:t xml:space="preserve">capital expenditures for any equipment and facilities that may be required to implement the EE&amp;C </w:t>
      </w:r>
      <w:r w:rsidR="00413B8F">
        <w:rPr>
          <w:sz w:val="26"/>
          <w:szCs w:val="26"/>
        </w:rPr>
        <w:t>Plan</w:t>
      </w:r>
      <w:r w:rsidRPr="00235CED">
        <w:rPr>
          <w:sz w:val="26"/>
          <w:szCs w:val="26"/>
        </w:rPr>
        <w:t>, as well as depreciation, operating and maintenance expenses, a return component based on the</w:t>
      </w:r>
      <w:r w:rsidR="005F1725">
        <w:rPr>
          <w:sz w:val="26"/>
          <w:szCs w:val="26"/>
        </w:rPr>
        <w:t xml:space="preserve"> EDC’s weighted cost of capital</w:t>
      </w:r>
      <w:r w:rsidRPr="00235CED">
        <w:rPr>
          <w:sz w:val="26"/>
          <w:szCs w:val="26"/>
        </w:rPr>
        <w:t xml:space="preserve"> and taxes.  Administrative costs would </w:t>
      </w:r>
      <w:r w:rsidR="0053414D">
        <w:rPr>
          <w:sz w:val="26"/>
          <w:szCs w:val="26"/>
        </w:rPr>
        <w:t xml:space="preserve">also </w:t>
      </w:r>
      <w:r w:rsidRPr="00235CED">
        <w:rPr>
          <w:sz w:val="26"/>
          <w:szCs w:val="26"/>
        </w:rPr>
        <w:t xml:space="preserve">include, but not be limited to, costs relating to plan and program development, </w:t>
      </w:r>
      <w:r w:rsidR="0053414D">
        <w:rPr>
          <w:sz w:val="26"/>
          <w:szCs w:val="26"/>
        </w:rPr>
        <w:t xml:space="preserve">CSP </w:t>
      </w:r>
      <w:r w:rsidR="007F5640">
        <w:rPr>
          <w:sz w:val="26"/>
          <w:szCs w:val="26"/>
        </w:rPr>
        <w:t xml:space="preserve">non-incentive </w:t>
      </w:r>
      <w:r w:rsidR="0053414D">
        <w:rPr>
          <w:sz w:val="26"/>
          <w:szCs w:val="26"/>
        </w:rPr>
        <w:t>program delivery</w:t>
      </w:r>
      <w:r w:rsidR="007F5640">
        <w:rPr>
          <w:sz w:val="26"/>
          <w:szCs w:val="26"/>
        </w:rPr>
        <w:t xml:space="preserve"> fees,</w:t>
      </w:r>
      <w:r w:rsidR="0053414D">
        <w:rPr>
          <w:sz w:val="26"/>
          <w:szCs w:val="26"/>
        </w:rPr>
        <w:t xml:space="preserve"> </w:t>
      </w:r>
      <w:r w:rsidRPr="00235CED">
        <w:rPr>
          <w:sz w:val="26"/>
          <w:szCs w:val="26"/>
        </w:rPr>
        <w:t>cost-benefit analysi</w:t>
      </w:r>
      <w:r w:rsidR="005F1725">
        <w:rPr>
          <w:sz w:val="26"/>
          <w:szCs w:val="26"/>
        </w:rPr>
        <w:t>s, measurement and verification</w:t>
      </w:r>
      <w:r w:rsidRPr="00235CED">
        <w:rPr>
          <w:sz w:val="26"/>
          <w:szCs w:val="26"/>
        </w:rPr>
        <w:t xml:space="preserve"> and reporting.  The EDC must also provide ample support to demonstrate that all such costs are reasonable and prudent in light of its plan and the goals of the Act, keeping in mind that the total level of these costs must not exceed the two percent limitation as previously </w:t>
      </w:r>
      <w:r>
        <w:rPr>
          <w:sz w:val="26"/>
          <w:szCs w:val="26"/>
        </w:rPr>
        <w:t>articulated</w:t>
      </w:r>
      <w:r w:rsidRPr="00235CED">
        <w:rPr>
          <w:sz w:val="26"/>
          <w:szCs w:val="26"/>
        </w:rPr>
        <w:t>.</w:t>
      </w:r>
    </w:p>
    <w:p w14:paraId="0A39E303" w14:textId="69C6AE6C" w:rsidR="007F5640" w:rsidRDefault="007F5640" w:rsidP="0009548F">
      <w:pPr>
        <w:spacing w:line="360" w:lineRule="auto"/>
        <w:rPr>
          <w:sz w:val="26"/>
          <w:szCs w:val="26"/>
        </w:rPr>
      </w:pPr>
    </w:p>
    <w:p w14:paraId="061E5841" w14:textId="68E37E00" w:rsidR="007F5640" w:rsidRPr="00235CED" w:rsidRDefault="007F5640" w:rsidP="007F5640">
      <w:pPr>
        <w:spacing w:line="360" w:lineRule="auto"/>
        <w:ind w:firstLine="720"/>
        <w:rPr>
          <w:sz w:val="26"/>
          <w:szCs w:val="26"/>
        </w:rPr>
      </w:pPr>
      <w:r>
        <w:rPr>
          <w:sz w:val="26"/>
          <w:szCs w:val="26"/>
        </w:rPr>
        <w:t>A common crit</w:t>
      </w:r>
      <w:r w:rsidR="002A6198">
        <w:rPr>
          <w:sz w:val="26"/>
          <w:szCs w:val="26"/>
        </w:rPr>
        <w:t xml:space="preserve">ique of </w:t>
      </w:r>
      <w:r w:rsidR="00413B8F">
        <w:rPr>
          <w:sz w:val="26"/>
          <w:szCs w:val="26"/>
        </w:rPr>
        <w:t>EDC</w:t>
      </w:r>
      <w:r w:rsidR="002A6198">
        <w:rPr>
          <w:sz w:val="26"/>
          <w:szCs w:val="26"/>
        </w:rPr>
        <w:t xml:space="preserve"> EE&amp;C </w:t>
      </w:r>
      <w:r w:rsidR="00413B8F">
        <w:rPr>
          <w:sz w:val="26"/>
          <w:szCs w:val="26"/>
        </w:rPr>
        <w:t xml:space="preserve">Plans </w:t>
      </w:r>
      <w:r w:rsidR="002A6198">
        <w:rPr>
          <w:sz w:val="26"/>
          <w:szCs w:val="26"/>
        </w:rPr>
        <w:t xml:space="preserve">is the </w:t>
      </w:r>
      <w:r w:rsidR="001B0661">
        <w:rPr>
          <w:sz w:val="26"/>
          <w:szCs w:val="26"/>
        </w:rPr>
        <w:t>share</w:t>
      </w:r>
      <w:r w:rsidR="002A6198">
        <w:rPr>
          <w:sz w:val="26"/>
          <w:szCs w:val="26"/>
        </w:rPr>
        <w:t xml:space="preserve"> of budgets that are distributed to program participants in the form of incentives. </w:t>
      </w:r>
      <w:r w:rsidR="00B359B4">
        <w:rPr>
          <w:sz w:val="26"/>
          <w:szCs w:val="26"/>
        </w:rPr>
        <w:t xml:space="preserve"> </w:t>
      </w:r>
      <w:r w:rsidR="00CA64A0">
        <w:rPr>
          <w:sz w:val="26"/>
          <w:szCs w:val="26"/>
        </w:rPr>
        <w:t>T</w:t>
      </w:r>
      <w:r w:rsidR="00B07147">
        <w:rPr>
          <w:sz w:val="26"/>
          <w:szCs w:val="26"/>
        </w:rPr>
        <w:t>he 2021 TRC Test Final Order</w:t>
      </w:r>
      <w:r w:rsidR="00B07147">
        <w:rPr>
          <w:rStyle w:val="FootnoteReference"/>
          <w:sz w:val="26"/>
          <w:szCs w:val="26"/>
        </w:rPr>
        <w:footnoteReference w:id="97"/>
      </w:r>
      <w:r w:rsidR="00CA64A0">
        <w:rPr>
          <w:sz w:val="26"/>
          <w:szCs w:val="26"/>
        </w:rPr>
        <w:t xml:space="preserve"> provided instructions regarding categorization of program costs as incentives versus administration.  With these clarifications regarding categorization of costs in mind, we propose </w:t>
      </w:r>
      <w:r w:rsidR="00D71259">
        <w:rPr>
          <w:sz w:val="26"/>
          <w:szCs w:val="26"/>
        </w:rPr>
        <w:t xml:space="preserve">for Phase IV </w:t>
      </w:r>
      <w:r w:rsidR="00CA64A0">
        <w:rPr>
          <w:sz w:val="26"/>
          <w:szCs w:val="26"/>
        </w:rPr>
        <w:t>that EDCs be required to submit a</w:t>
      </w:r>
      <w:r w:rsidR="00311B5E">
        <w:rPr>
          <w:sz w:val="26"/>
          <w:szCs w:val="26"/>
        </w:rPr>
        <w:t>n E</w:t>
      </w:r>
      <w:r w:rsidR="00C82F7D">
        <w:rPr>
          <w:sz w:val="26"/>
          <w:szCs w:val="26"/>
        </w:rPr>
        <w:t xml:space="preserve">E&amp;C Plan which shows at least 50% of all spending allocated to incentives and less than 50% of all spending allocated to non-incentive cost categories.  </w:t>
      </w:r>
      <w:r w:rsidR="00C82F7D" w:rsidRPr="00C82F7D">
        <w:rPr>
          <w:sz w:val="26"/>
          <w:szCs w:val="26"/>
        </w:rPr>
        <w:t xml:space="preserve">However, </w:t>
      </w:r>
      <w:r w:rsidR="00C82F7D">
        <w:rPr>
          <w:sz w:val="26"/>
          <w:szCs w:val="26"/>
        </w:rPr>
        <w:t xml:space="preserve">we propose </w:t>
      </w:r>
      <w:r w:rsidR="00C82F7D" w:rsidRPr="00C82F7D">
        <w:rPr>
          <w:sz w:val="26"/>
          <w:szCs w:val="26"/>
        </w:rPr>
        <w:t xml:space="preserve">this requirement be limited to the Commission’s review and approval of the EE&amp;C Plans and not as </w:t>
      </w:r>
      <w:r w:rsidR="00EA064D">
        <w:rPr>
          <w:sz w:val="26"/>
          <w:szCs w:val="26"/>
        </w:rPr>
        <w:t xml:space="preserve">a </w:t>
      </w:r>
      <w:r w:rsidR="00C82F7D" w:rsidRPr="00C82F7D">
        <w:rPr>
          <w:sz w:val="26"/>
          <w:szCs w:val="26"/>
        </w:rPr>
        <w:t>target subjected to the penalty provisions at subsection 2806.1(f) of the Act</w:t>
      </w:r>
      <w:r w:rsidR="00413B8F">
        <w:rPr>
          <w:sz w:val="26"/>
          <w:szCs w:val="26"/>
        </w:rPr>
        <w:t xml:space="preserve">, 66 Pa. C.S. § </w:t>
      </w:r>
      <w:r w:rsidR="003A3506">
        <w:rPr>
          <w:sz w:val="26"/>
          <w:szCs w:val="26"/>
        </w:rPr>
        <w:t>2806.1(f)</w:t>
      </w:r>
      <w:r w:rsidR="00C82F7D" w:rsidRPr="00C82F7D">
        <w:rPr>
          <w:sz w:val="26"/>
          <w:szCs w:val="26"/>
        </w:rPr>
        <w:t>.</w:t>
      </w:r>
    </w:p>
    <w:p w14:paraId="53FACE2F" w14:textId="77777777" w:rsidR="006E03F7" w:rsidRPr="00235CED" w:rsidRDefault="006E03F7" w:rsidP="0009548F">
      <w:pPr>
        <w:spacing w:line="360" w:lineRule="auto"/>
        <w:rPr>
          <w:sz w:val="26"/>
          <w:szCs w:val="26"/>
        </w:rPr>
      </w:pPr>
    </w:p>
    <w:p w14:paraId="57C4BB96" w14:textId="0A56BC8C" w:rsidR="006E03F7" w:rsidRPr="00235CED" w:rsidRDefault="006E03F7" w:rsidP="00EB6FDF">
      <w:pPr>
        <w:pStyle w:val="StyleLinespacing15lines"/>
      </w:pPr>
      <w:r w:rsidRPr="00235CED">
        <w:tab/>
      </w:r>
      <w:r>
        <w:t xml:space="preserve">As in </w:t>
      </w:r>
      <w:r w:rsidR="003A3506">
        <w:t xml:space="preserve">prior </w:t>
      </w:r>
      <w:r>
        <w:t xml:space="preserve">Phases, we propose </w:t>
      </w:r>
      <w:r w:rsidR="00D00C2F">
        <w:t>for Phase IV</w:t>
      </w:r>
      <w:r>
        <w:t xml:space="preserve"> that EDCs be permitted</w:t>
      </w:r>
      <w:r w:rsidRPr="00235CED">
        <w:t xml:space="preserve"> to recover both the ongoing costs of its plan, as well as </w:t>
      </w:r>
      <w:r>
        <w:t xml:space="preserve">incremental </w:t>
      </w:r>
      <w:r w:rsidRPr="00235CED">
        <w:t xml:space="preserve">costs incurred to design, create and obtain Commission approval of the plan.  However, all costs submitted for recovery </w:t>
      </w:r>
      <w:r w:rsidRPr="00235CED">
        <w:lastRenderedPageBreak/>
        <w:t xml:space="preserve">in an EDC’s plan </w:t>
      </w:r>
      <w:r>
        <w:t>would</w:t>
      </w:r>
      <w:r w:rsidRPr="00235CED">
        <w:t xml:space="preserve"> be subject to review by the Commission to determine whether the costs are prudent and </w:t>
      </w:r>
      <w:r w:rsidR="00A223C1" w:rsidRPr="00235CED">
        <w:t>reasonable and</w:t>
      </w:r>
      <w:r w:rsidRPr="00235CED">
        <w:t xml:space="preserve"> are directly related to the development and implementation of the plan.  Furthermore, EE&amp;C measures and associated costs that are approved by the Commission </w:t>
      </w:r>
      <w:r>
        <w:t>would again be</w:t>
      </w:r>
      <w:r w:rsidRPr="00235CED">
        <w:t xml:space="preserve"> subject to after-the-fact scrutiny.  In this regard, we note that the Act provides that:</w:t>
      </w:r>
    </w:p>
    <w:p w14:paraId="315D5384" w14:textId="77777777" w:rsidR="006E03F7" w:rsidRPr="00235CED" w:rsidRDefault="006E03F7" w:rsidP="006E03F7">
      <w:pPr>
        <w:rPr>
          <w:sz w:val="26"/>
          <w:szCs w:val="26"/>
        </w:rPr>
      </w:pPr>
    </w:p>
    <w:p w14:paraId="6459C99D" w14:textId="10C118EB" w:rsidR="006E03F7" w:rsidRPr="00235CED" w:rsidRDefault="006E03F7" w:rsidP="0009548F">
      <w:pPr>
        <w:ind w:left="720" w:right="1267"/>
        <w:rPr>
          <w:sz w:val="26"/>
          <w:szCs w:val="26"/>
        </w:rPr>
      </w:pPr>
      <w:r w:rsidRPr="00235CED">
        <w:rPr>
          <w:sz w:val="26"/>
          <w:szCs w:val="26"/>
        </w:rPr>
        <w:t xml:space="preserve">The Commission shall direct an [EDC] to modify or terminate any part of a plan approved under this section if, after an adequate period for implementation, the Commission determines that an </w:t>
      </w:r>
      <w:r w:rsidR="00BB28EA">
        <w:rPr>
          <w:sz w:val="26"/>
          <w:szCs w:val="26"/>
        </w:rPr>
        <w:t>[EE]</w:t>
      </w:r>
      <w:r w:rsidRPr="00235CED">
        <w:rPr>
          <w:sz w:val="26"/>
          <w:szCs w:val="26"/>
        </w:rPr>
        <w:t xml:space="preserve"> or conservation measure included in the plan will not achieve the required reductions in consumption in a cost-effective manner under [66 Pa. C.S. §§ 2806.1(c) &amp; (d)].  </w:t>
      </w:r>
    </w:p>
    <w:p w14:paraId="639883FE" w14:textId="77777777" w:rsidR="006E03F7" w:rsidRPr="00235CED" w:rsidRDefault="006E03F7" w:rsidP="006E03F7">
      <w:pPr>
        <w:spacing w:line="360" w:lineRule="auto"/>
        <w:rPr>
          <w:sz w:val="26"/>
          <w:szCs w:val="26"/>
        </w:rPr>
      </w:pPr>
    </w:p>
    <w:p w14:paraId="6D0CA00E" w14:textId="77777777" w:rsidR="006E03F7" w:rsidRDefault="006E03F7" w:rsidP="0009548F">
      <w:pPr>
        <w:spacing w:line="360" w:lineRule="auto"/>
        <w:rPr>
          <w:sz w:val="26"/>
          <w:szCs w:val="26"/>
        </w:rPr>
      </w:pPr>
      <w:r w:rsidRPr="00235CED">
        <w:rPr>
          <w:sz w:val="26"/>
          <w:szCs w:val="26"/>
        </w:rPr>
        <w:t>66 Pa. C.S. § 2806.1(b)(2).  Thus, plan measures and their associated costs that may be tentatively approved, will, in fact, be subject to ongoing review and possible modification or termination if it is determined that such measures are not or have not been cost effective.</w:t>
      </w:r>
    </w:p>
    <w:p w14:paraId="186531CC" w14:textId="77777777" w:rsidR="006E03F7" w:rsidRPr="00235CED" w:rsidRDefault="006E03F7" w:rsidP="0009548F">
      <w:pPr>
        <w:spacing w:line="360" w:lineRule="auto"/>
        <w:rPr>
          <w:sz w:val="26"/>
          <w:szCs w:val="26"/>
        </w:rPr>
      </w:pPr>
    </w:p>
    <w:p w14:paraId="7D342A8F" w14:textId="5EFE9EB5" w:rsidR="006E03F7" w:rsidRDefault="006E03F7" w:rsidP="0009548F">
      <w:pPr>
        <w:pStyle w:val="p3"/>
        <w:widowControl/>
        <w:tabs>
          <w:tab w:val="clear" w:pos="204"/>
        </w:tabs>
        <w:spacing w:line="360" w:lineRule="auto"/>
        <w:rPr>
          <w:szCs w:val="26"/>
        </w:rPr>
      </w:pPr>
      <w:r w:rsidRPr="00235CED">
        <w:rPr>
          <w:szCs w:val="26"/>
        </w:rPr>
        <w:tab/>
      </w:r>
      <w:r w:rsidR="002C3908" w:rsidRPr="00235CED">
        <w:rPr>
          <w:szCs w:val="26"/>
        </w:rPr>
        <w:t>Regarding</w:t>
      </w:r>
      <w:r w:rsidRPr="00235CED">
        <w:rPr>
          <w:szCs w:val="26"/>
        </w:rPr>
        <w:t xml:space="preserve"> the two percent limitation provision of the Act, we </w:t>
      </w:r>
      <w:r>
        <w:rPr>
          <w:szCs w:val="26"/>
        </w:rPr>
        <w:t xml:space="preserve">propose </w:t>
      </w:r>
      <w:r w:rsidR="00AC73C3">
        <w:rPr>
          <w:szCs w:val="26"/>
        </w:rPr>
        <w:t xml:space="preserve">for Phase IV </w:t>
      </w:r>
      <w:r w:rsidR="00253899">
        <w:rPr>
          <w:szCs w:val="26"/>
        </w:rPr>
        <w:t xml:space="preserve">to </w:t>
      </w:r>
      <w:r w:rsidR="00C93160">
        <w:rPr>
          <w:szCs w:val="26"/>
        </w:rPr>
        <w:t>continue to use the</w:t>
      </w:r>
      <w:r>
        <w:rPr>
          <w:szCs w:val="26"/>
        </w:rPr>
        <w:t xml:space="preserve"> interpretation </w:t>
      </w:r>
      <w:r w:rsidR="00341DA8">
        <w:rPr>
          <w:szCs w:val="26"/>
        </w:rPr>
        <w:t>of</w:t>
      </w:r>
      <w:r>
        <w:rPr>
          <w:szCs w:val="26"/>
        </w:rPr>
        <w:t xml:space="preserve"> “total cost of any plan” </w:t>
      </w:r>
      <w:r w:rsidRPr="00235CED">
        <w:rPr>
          <w:szCs w:val="26"/>
        </w:rPr>
        <w:t>as an annual amount, rather than an amount for the full</w:t>
      </w:r>
      <w:r>
        <w:rPr>
          <w:szCs w:val="26"/>
        </w:rPr>
        <w:t>, proposed</w:t>
      </w:r>
      <w:r w:rsidRPr="00235CED">
        <w:rPr>
          <w:szCs w:val="26"/>
        </w:rPr>
        <w:t xml:space="preserve"> </w:t>
      </w:r>
      <w:r>
        <w:rPr>
          <w:szCs w:val="26"/>
        </w:rPr>
        <w:t>five</w:t>
      </w:r>
      <w:r w:rsidRPr="00235CED">
        <w:rPr>
          <w:szCs w:val="26"/>
        </w:rPr>
        <w:t xml:space="preserve">-year period.  Since the </w:t>
      </w:r>
      <w:r>
        <w:rPr>
          <w:szCs w:val="26"/>
        </w:rPr>
        <w:t xml:space="preserve">statutory </w:t>
      </w:r>
      <w:r w:rsidRPr="00235CED">
        <w:rPr>
          <w:szCs w:val="26"/>
        </w:rPr>
        <w:t xml:space="preserve">limitation </w:t>
      </w:r>
      <w:r>
        <w:rPr>
          <w:szCs w:val="26"/>
        </w:rPr>
        <w:t xml:space="preserve">in this subsection </w:t>
      </w:r>
      <w:r w:rsidRPr="00235CED">
        <w:rPr>
          <w:szCs w:val="26"/>
        </w:rPr>
        <w:t>is computed based on annual revenues as of December 31, 2006, we believe it is reasonable to require that the resulting allowable cost figure be applied on an annual basis as well.</w:t>
      </w:r>
      <w:r>
        <w:rPr>
          <w:szCs w:val="26"/>
        </w:rPr>
        <w:t xml:space="preserve">  In addition, we note that the plans are subject to annual review and annual cost recovery under the Act, 66 Pa. C.S. §§ 2806.1(h) and (k).  </w:t>
      </w:r>
      <w:r w:rsidR="00981A1E">
        <w:rPr>
          <w:szCs w:val="26"/>
        </w:rPr>
        <w:t xml:space="preserve">The SWE market potential studies used to inform the proposed Phase IV </w:t>
      </w:r>
      <w:r w:rsidR="00067F27">
        <w:rPr>
          <w:szCs w:val="26"/>
        </w:rPr>
        <w:t>reduction requirements</w:t>
      </w:r>
      <w:r w:rsidR="00981A1E">
        <w:rPr>
          <w:szCs w:val="26"/>
        </w:rPr>
        <w:t xml:space="preserve"> were conducted using this modeling assumption.  The proposed </w:t>
      </w:r>
      <w:r w:rsidR="00A9311F">
        <w:rPr>
          <w:szCs w:val="26"/>
        </w:rPr>
        <w:t>reduction requirements</w:t>
      </w:r>
      <w:r w:rsidR="00981A1E">
        <w:rPr>
          <w:szCs w:val="26"/>
        </w:rPr>
        <w:t xml:space="preserve"> would clearly not be attainable if the two percent funding limitation were spread across the entirety of Phase IV because EDCs would only have 20% of the </w:t>
      </w:r>
      <w:r w:rsidR="002C3908">
        <w:rPr>
          <w:szCs w:val="26"/>
        </w:rPr>
        <w:t xml:space="preserve">EE&amp;C </w:t>
      </w:r>
      <w:r w:rsidR="00981A1E">
        <w:rPr>
          <w:szCs w:val="26"/>
        </w:rPr>
        <w:t xml:space="preserve">funding assumed in the market potential studies. </w:t>
      </w:r>
    </w:p>
    <w:p w14:paraId="4C2578EE" w14:textId="70A83E39" w:rsidR="007E657B" w:rsidRDefault="007E657B" w:rsidP="007E657B">
      <w:pPr>
        <w:pStyle w:val="p3"/>
        <w:widowControl/>
        <w:tabs>
          <w:tab w:val="clear" w:pos="204"/>
        </w:tabs>
        <w:spacing w:line="360" w:lineRule="auto"/>
        <w:ind w:firstLine="720"/>
        <w:rPr>
          <w:szCs w:val="26"/>
        </w:rPr>
      </w:pPr>
      <w:r>
        <w:rPr>
          <w:szCs w:val="26"/>
        </w:rPr>
        <w:lastRenderedPageBreak/>
        <w:t xml:space="preserve">While the cost of an individual EDC’s plan is limited by Act 129 to two percent of the EDC’s total annual revenue as of December 31, 2006, 66 Pa. C.S. § 2806.1(g), the SWE expense is not a cost component of the EDCs’ individual plans, but a cost the Commission incurs in implementing the program.  The Commission is to recover costs related to implementing the program from the EDCs.  In </w:t>
      </w:r>
      <w:r w:rsidR="0078767C">
        <w:rPr>
          <w:szCs w:val="26"/>
        </w:rPr>
        <w:t xml:space="preserve">prior </w:t>
      </w:r>
      <w:r>
        <w:rPr>
          <w:szCs w:val="26"/>
        </w:rPr>
        <w:t>Phases the Commission recovered the SWE expenses</w:t>
      </w:r>
      <w:r w:rsidR="00A61318">
        <w:rPr>
          <w:szCs w:val="26"/>
        </w:rPr>
        <w:t xml:space="preserve">, which </w:t>
      </w:r>
      <w:r w:rsidR="00763865">
        <w:rPr>
          <w:szCs w:val="26"/>
        </w:rPr>
        <w:t>were</w:t>
      </w:r>
      <w:r w:rsidR="00A61318">
        <w:rPr>
          <w:szCs w:val="26"/>
        </w:rPr>
        <w:t xml:space="preserve"> not </w:t>
      </w:r>
      <w:r w:rsidR="005C506B">
        <w:rPr>
          <w:szCs w:val="26"/>
        </w:rPr>
        <w:t>subject to the two percent cap on the cost of each plan,</w:t>
      </w:r>
      <w:r>
        <w:rPr>
          <w:szCs w:val="26"/>
        </w:rPr>
        <w:t xml:space="preserve"> through a proration from the EDCs, </w:t>
      </w:r>
      <w:r w:rsidR="00424B43">
        <w:rPr>
          <w:szCs w:val="26"/>
        </w:rPr>
        <w:t>and</w:t>
      </w:r>
      <w:r w:rsidR="001924E0">
        <w:rPr>
          <w:szCs w:val="26"/>
        </w:rPr>
        <w:t xml:space="preserve"> </w:t>
      </w:r>
      <w:r>
        <w:rPr>
          <w:szCs w:val="26"/>
        </w:rPr>
        <w:t xml:space="preserve">the EDCs were permitted to recover </w:t>
      </w:r>
      <w:r w:rsidR="00964EE7">
        <w:rPr>
          <w:szCs w:val="26"/>
        </w:rPr>
        <w:t xml:space="preserve">the expenses </w:t>
      </w:r>
      <w:r>
        <w:rPr>
          <w:szCs w:val="26"/>
        </w:rPr>
        <w:t>on a full and current basis</w:t>
      </w:r>
      <w:r w:rsidR="00964EE7">
        <w:rPr>
          <w:szCs w:val="26"/>
        </w:rPr>
        <w:t>.</w:t>
      </w:r>
      <w:r>
        <w:rPr>
          <w:szCs w:val="26"/>
        </w:rPr>
        <w:t xml:space="preserve">  The Commission proposes to fund the SWE contract in the same manner for Phase I</w:t>
      </w:r>
      <w:r w:rsidR="00354A59">
        <w:rPr>
          <w:szCs w:val="26"/>
        </w:rPr>
        <w:t>V</w:t>
      </w:r>
      <w:r>
        <w:rPr>
          <w:szCs w:val="26"/>
        </w:rPr>
        <w:t xml:space="preserve">.  </w:t>
      </w:r>
    </w:p>
    <w:p w14:paraId="549D14CE" w14:textId="77777777" w:rsidR="007E657B" w:rsidRDefault="007E657B" w:rsidP="0009548F">
      <w:pPr>
        <w:pStyle w:val="p3"/>
        <w:widowControl/>
        <w:tabs>
          <w:tab w:val="clear" w:pos="204"/>
        </w:tabs>
        <w:spacing w:line="360" w:lineRule="auto"/>
        <w:ind w:firstLine="720"/>
        <w:rPr>
          <w:szCs w:val="26"/>
        </w:rPr>
      </w:pPr>
    </w:p>
    <w:p w14:paraId="29341494" w14:textId="77777777" w:rsidR="006B7A73" w:rsidRDefault="006E03F7" w:rsidP="0009548F">
      <w:pPr>
        <w:spacing w:line="360" w:lineRule="auto"/>
        <w:rPr>
          <w:sz w:val="26"/>
          <w:szCs w:val="26"/>
        </w:rPr>
      </w:pPr>
      <w:r w:rsidRPr="00235CED">
        <w:rPr>
          <w:sz w:val="26"/>
          <w:szCs w:val="26"/>
        </w:rPr>
        <w:tab/>
        <w:t xml:space="preserve">Finally, with respect to the recovery of revenues lost due to reduced energy consumption or changes in demand, we note that the Act clearly states that such revenue losses shall not be a recoverable cost under a reconcilable automatic adjustment clause.  66 Pa. C.S. § 2806.1(k)(2).  The Act does provide, however, that “[d]ecreased revenue and reduced energy consumption may be reflected in revenue and sales data used to calculate rates in a distribution-base rate proceeding filed by an electric distribution company under [66 Pa. C.S. § 1308] (relating to voluntary changes in rates).”  </w:t>
      </w:r>
    </w:p>
    <w:p w14:paraId="4E064144" w14:textId="15CB22CC" w:rsidR="006E03F7" w:rsidRDefault="006E03F7" w:rsidP="0009548F">
      <w:pPr>
        <w:spacing w:line="360" w:lineRule="auto"/>
        <w:rPr>
          <w:sz w:val="26"/>
          <w:szCs w:val="26"/>
        </w:rPr>
      </w:pPr>
      <w:r w:rsidRPr="00235CED">
        <w:rPr>
          <w:sz w:val="26"/>
          <w:szCs w:val="26"/>
        </w:rPr>
        <w:t>66 Pa. C.S. § 2806.1(k)(3).</w:t>
      </w:r>
    </w:p>
    <w:p w14:paraId="2D02B11F" w14:textId="5B51B0E7" w:rsidR="00892889" w:rsidRDefault="00892889" w:rsidP="0009548F">
      <w:pPr>
        <w:spacing w:line="360" w:lineRule="auto"/>
        <w:rPr>
          <w:sz w:val="26"/>
          <w:szCs w:val="26"/>
        </w:rPr>
      </w:pPr>
    </w:p>
    <w:p w14:paraId="4A72CE81" w14:textId="77777777" w:rsidR="00892889" w:rsidRDefault="00892889" w:rsidP="00892889">
      <w:pPr>
        <w:spacing w:line="360" w:lineRule="auto"/>
        <w:rPr>
          <w:sz w:val="26"/>
          <w:szCs w:val="26"/>
        </w:rPr>
      </w:pPr>
      <w:r>
        <w:rPr>
          <w:sz w:val="26"/>
          <w:szCs w:val="26"/>
        </w:rPr>
        <w:tab/>
        <w:t xml:space="preserve">We note that in June of 2018, Act 58 was signed into law, which amended Chapter 13 of the Code, 66 Pa. C.S. §§ 1301 </w:t>
      </w:r>
      <w:r w:rsidRPr="004D4749">
        <w:rPr>
          <w:i/>
          <w:iCs/>
          <w:sz w:val="26"/>
          <w:szCs w:val="26"/>
        </w:rPr>
        <w:t>et seq</w:t>
      </w:r>
      <w:r>
        <w:rPr>
          <w:sz w:val="26"/>
          <w:szCs w:val="26"/>
        </w:rPr>
        <w:t>. (relating to rates and distribution systems).  Specifically, Act 58 added Section 1330, 66 Pa. C.S. § 1330 (relating to alternative ratemaking for utilities), that permits the Commission to approve an application by a utility to establish alternative rates and rate mechanisms.  In particular, Section 1330(b)(1) states the following:</w:t>
      </w:r>
    </w:p>
    <w:p w14:paraId="316902FB" w14:textId="77777777" w:rsidR="00892889" w:rsidRDefault="00892889" w:rsidP="00892889">
      <w:pPr>
        <w:ind w:left="720" w:right="720"/>
        <w:rPr>
          <w:sz w:val="26"/>
          <w:szCs w:val="26"/>
        </w:rPr>
      </w:pPr>
      <w:r>
        <w:rPr>
          <w:sz w:val="26"/>
          <w:szCs w:val="26"/>
        </w:rPr>
        <w:t>Notwithstanding any other provision of law, including, but not limited to, sections 2806.1(k)(2) (relating to energy efficiency and conservation program) . . ., the commission may approve an application by a utility in a base rate proceeding to establish alternative rates and rate mechanisms, including, but not limited to, the following mechanisms:</w:t>
      </w:r>
    </w:p>
    <w:p w14:paraId="24A4220A" w14:textId="2FF42F95" w:rsidR="00892889" w:rsidRDefault="002B4E42" w:rsidP="00892889">
      <w:pPr>
        <w:pStyle w:val="ListParagraph"/>
        <w:numPr>
          <w:ilvl w:val="0"/>
          <w:numId w:val="37"/>
        </w:numPr>
        <w:ind w:right="720"/>
        <w:rPr>
          <w:sz w:val="26"/>
          <w:szCs w:val="26"/>
        </w:rPr>
      </w:pPr>
      <w:r>
        <w:rPr>
          <w:sz w:val="26"/>
          <w:szCs w:val="26"/>
        </w:rPr>
        <w:lastRenderedPageBreak/>
        <w:t xml:space="preserve"> </w:t>
      </w:r>
      <w:r w:rsidR="00892889">
        <w:rPr>
          <w:sz w:val="26"/>
          <w:szCs w:val="26"/>
        </w:rPr>
        <w:t>d</w:t>
      </w:r>
      <w:r w:rsidR="00892889" w:rsidRPr="004D4749">
        <w:rPr>
          <w:sz w:val="26"/>
          <w:szCs w:val="26"/>
        </w:rPr>
        <w:t>ecoupling mechanisms;</w:t>
      </w:r>
    </w:p>
    <w:p w14:paraId="47BA9EB7" w14:textId="70218961" w:rsidR="00892889" w:rsidRPr="002B4E42" w:rsidRDefault="002B4E42" w:rsidP="002B4E42">
      <w:pPr>
        <w:pStyle w:val="ListParagraph"/>
        <w:numPr>
          <w:ilvl w:val="0"/>
          <w:numId w:val="37"/>
        </w:numPr>
        <w:ind w:left="1890" w:right="720" w:hanging="450"/>
        <w:rPr>
          <w:sz w:val="26"/>
          <w:szCs w:val="26"/>
        </w:rPr>
      </w:pPr>
      <w:r>
        <w:rPr>
          <w:sz w:val="26"/>
          <w:szCs w:val="26"/>
        </w:rPr>
        <w:t>performance-based rates;</w:t>
      </w:r>
    </w:p>
    <w:p w14:paraId="27468DB1" w14:textId="38C595AD" w:rsidR="002B4E42" w:rsidRDefault="002B4E42" w:rsidP="00892889">
      <w:pPr>
        <w:pStyle w:val="ListParagraph"/>
        <w:numPr>
          <w:ilvl w:val="0"/>
          <w:numId w:val="37"/>
        </w:numPr>
        <w:tabs>
          <w:tab w:val="left" w:pos="1620"/>
          <w:tab w:val="left" w:pos="1890"/>
          <w:tab w:val="left" w:pos="1980"/>
        </w:tabs>
        <w:ind w:right="720"/>
        <w:rPr>
          <w:sz w:val="26"/>
          <w:szCs w:val="26"/>
        </w:rPr>
      </w:pPr>
      <w:r>
        <w:rPr>
          <w:sz w:val="26"/>
          <w:szCs w:val="26"/>
        </w:rPr>
        <w:t>formula rates;</w:t>
      </w:r>
    </w:p>
    <w:p w14:paraId="0F0BD914" w14:textId="544F16EA" w:rsidR="002B4E42" w:rsidRDefault="002B4E42" w:rsidP="00892889">
      <w:pPr>
        <w:pStyle w:val="ListParagraph"/>
        <w:numPr>
          <w:ilvl w:val="0"/>
          <w:numId w:val="37"/>
        </w:numPr>
        <w:tabs>
          <w:tab w:val="left" w:pos="1620"/>
          <w:tab w:val="left" w:pos="1890"/>
          <w:tab w:val="left" w:pos="1980"/>
        </w:tabs>
        <w:ind w:right="720"/>
        <w:rPr>
          <w:sz w:val="26"/>
          <w:szCs w:val="26"/>
        </w:rPr>
      </w:pPr>
      <w:r>
        <w:rPr>
          <w:sz w:val="26"/>
          <w:szCs w:val="26"/>
        </w:rPr>
        <w:t>multiyear rate plans; or</w:t>
      </w:r>
    </w:p>
    <w:p w14:paraId="20317CCD" w14:textId="1D21396F" w:rsidR="00892889" w:rsidRDefault="00892889" w:rsidP="002B4E42">
      <w:pPr>
        <w:pStyle w:val="ListParagraph"/>
        <w:numPr>
          <w:ilvl w:val="0"/>
          <w:numId w:val="37"/>
        </w:numPr>
        <w:tabs>
          <w:tab w:val="left" w:pos="1620"/>
        </w:tabs>
        <w:ind w:left="1890" w:right="720" w:hanging="450"/>
        <w:rPr>
          <w:sz w:val="26"/>
          <w:szCs w:val="26"/>
        </w:rPr>
      </w:pPr>
      <w:r>
        <w:rPr>
          <w:sz w:val="26"/>
          <w:szCs w:val="26"/>
        </w:rPr>
        <w:t xml:space="preserve">rates based on a combination of more than one of the </w:t>
      </w:r>
      <w:r w:rsidR="002B4E42">
        <w:rPr>
          <w:sz w:val="26"/>
          <w:szCs w:val="26"/>
        </w:rPr>
        <w:t xml:space="preserve">  </w:t>
      </w:r>
      <w:r>
        <w:rPr>
          <w:sz w:val="26"/>
          <w:szCs w:val="26"/>
        </w:rPr>
        <w:t>mechanisms in subparagraphs (i), (ii), (iii) and (iv) or other ratemaking mechanisms as provided under this chapter.</w:t>
      </w:r>
    </w:p>
    <w:p w14:paraId="258D7A59" w14:textId="77777777" w:rsidR="00892889" w:rsidRDefault="00892889" w:rsidP="00892889">
      <w:pPr>
        <w:ind w:right="720"/>
        <w:rPr>
          <w:sz w:val="26"/>
          <w:szCs w:val="26"/>
        </w:rPr>
      </w:pPr>
    </w:p>
    <w:p w14:paraId="3F9B72D0" w14:textId="77777777" w:rsidR="00892889" w:rsidRDefault="00892889" w:rsidP="00892889">
      <w:pPr>
        <w:spacing w:line="360" w:lineRule="auto"/>
        <w:rPr>
          <w:sz w:val="26"/>
          <w:szCs w:val="26"/>
        </w:rPr>
      </w:pPr>
      <w:r>
        <w:rPr>
          <w:sz w:val="26"/>
          <w:szCs w:val="26"/>
        </w:rPr>
        <w:t>66 Pa. C.S. § 1330(b)(1).</w:t>
      </w:r>
    </w:p>
    <w:p w14:paraId="49905E2B" w14:textId="77777777" w:rsidR="00892889" w:rsidRDefault="00892889" w:rsidP="00892889">
      <w:pPr>
        <w:spacing w:line="360" w:lineRule="auto"/>
        <w:rPr>
          <w:sz w:val="26"/>
          <w:szCs w:val="26"/>
        </w:rPr>
      </w:pPr>
    </w:p>
    <w:p w14:paraId="427971D6" w14:textId="77777777" w:rsidR="00892889" w:rsidRPr="004D4749" w:rsidRDefault="00892889" w:rsidP="00892889">
      <w:pPr>
        <w:spacing w:line="360" w:lineRule="auto"/>
        <w:ind w:firstLine="720"/>
        <w:rPr>
          <w:sz w:val="26"/>
          <w:szCs w:val="26"/>
        </w:rPr>
      </w:pPr>
      <w:r>
        <w:rPr>
          <w:sz w:val="26"/>
          <w:szCs w:val="26"/>
        </w:rPr>
        <w:t>On April 25, 2019, the Commission adopted an Implementation Order at Docket No. M</w:t>
      </w:r>
      <w:r>
        <w:rPr>
          <w:sz w:val="26"/>
          <w:szCs w:val="26"/>
        </w:rPr>
        <w:noBreakHyphen/>
        <w:t>2018</w:t>
      </w:r>
      <w:r>
        <w:rPr>
          <w:sz w:val="26"/>
          <w:szCs w:val="26"/>
        </w:rPr>
        <w:noBreakHyphen/>
        <w:t>3003269 in which the Commission stated that Section 1330(b)(1), 66 Pa. C.S. § 1330(b)(1) requires “utilities seeking to obtain Commission approval of an alternative rate or rate mechanism under Section 1330 of the code, to do so initially through a Section 1308(d), 66 Pa. C.S. § 1308(d) (relating to voluntary changes in rates), general rate proceeding.”</w:t>
      </w:r>
      <w:r>
        <w:rPr>
          <w:rStyle w:val="FootnoteReference"/>
          <w:sz w:val="26"/>
          <w:szCs w:val="26"/>
        </w:rPr>
        <w:footnoteReference w:id="98"/>
      </w:r>
      <w:r>
        <w:rPr>
          <w:sz w:val="26"/>
          <w:szCs w:val="26"/>
        </w:rPr>
        <w:t xml:space="preserve">  Accordingly, the Commission will not address or consider alternative rates or rate mechanisms permitted by Section 1330 of the Code, such as decoupling mechanisms or performance</w:t>
      </w:r>
      <w:r>
        <w:rPr>
          <w:sz w:val="26"/>
          <w:szCs w:val="26"/>
        </w:rPr>
        <w:noBreakHyphen/>
        <w:t>based rates, in this proceeding.</w:t>
      </w:r>
    </w:p>
    <w:p w14:paraId="67FC620F" w14:textId="4810ECE4" w:rsidR="00892889" w:rsidRDefault="00892889" w:rsidP="0009548F">
      <w:pPr>
        <w:spacing w:line="360" w:lineRule="auto"/>
        <w:rPr>
          <w:sz w:val="26"/>
          <w:szCs w:val="26"/>
        </w:rPr>
      </w:pPr>
    </w:p>
    <w:p w14:paraId="14FB91A6" w14:textId="737EFE0F" w:rsidR="006E03F7" w:rsidRPr="00072B0D" w:rsidRDefault="006E03F7" w:rsidP="004203D0">
      <w:pPr>
        <w:pStyle w:val="Heading3"/>
      </w:pPr>
      <w:bookmarkStart w:id="358" w:name="_Toc33782028"/>
      <w:r w:rsidRPr="00072B0D">
        <w:t>Application of Excess Phase II</w:t>
      </w:r>
      <w:r w:rsidR="00072B0D">
        <w:t>I</w:t>
      </w:r>
      <w:r w:rsidRPr="00072B0D">
        <w:t xml:space="preserve"> Budget</w:t>
      </w:r>
      <w:bookmarkEnd w:id="358"/>
    </w:p>
    <w:p w14:paraId="120F4C53" w14:textId="7F1ADA37" w:rsidR="006E03F7" w:rsidRPr="00660747" w:rsidRDefault="006E03F7" w:rsidP="0009548F">
      <w:pPr>
        <w:spacing w:line="360" w:lineRule="auto"/>
        <w:ind w:firstLine="720"/>
        <w:rPr>
          <w:sz w:val="26"/>
          <w:szCs w:val="26"/>
        </w:rPr>
      </w:pPr>
      <w:r w:rsidRPr="005F1725">
        <w:rPr>
          <w:sz w:val="26"/>
          <w:szCs w:val="26"/>
        </w:rPr>
        <w:t xml:space="preserve">In Section </w:t>
      </w:r>
      <w:r w:rsidR="00AB48BB" w:rsidRPr="007003DB">
        <w:rPr>
          <w:sz w:val="26"/>
          <w:szCs w:val="26"/>
        </w:rPr>
        <w:fldChar w:fldCharType="begin"/>
      </w:r>
      <w:r w:rsidR="00AB48BB" w:rsidRPr="009F5655">
        <w:rPr>
          <w:sz w:val="26"/>
          <w:szCs w:val="26"/>
        </w:rPr>
        <w:instrText xml:space="preserve"> REF _Ref31469832 \r \h </w:instrText>
      </w:r>
      <w:r w:rsidR="009F5655">
        <w:rPr>
          <w:sz w:val="26"/>
          <w:szCs w:val="26"/>
        </w:rPr>
        <w:instrText xml:space="preserve"> \* MERGEFORMAT </w:instrText>
      </w:r>
      <w:r w:rsidR="00AB48BB" w:rsidRPr="007003DB">
        <w:rPr>
          <w:sz w:val="26"/>
          <w:szCs w:val="26"/>
        </w:rPr>
      </w:r>
      <w:r w:rsidR="00AB48BB" w:rsidRPr="007003DB">
        <w:rPr>
          <w:sz w:val="26"/>
          <w:szCs w:val="26"/>
        </w:rPr>
        <w:fldChar w:fldCharType="separate"/>
      </w:r>
      <w:r w:rsidR="00BB1E55">
        <w:rPr>
          <w:sz w:val="26"/>
          <w:szCs w:val="26"/>
        </w:rPr>
        <w:t>A</w:t>
      </w:r>
      <w:r w:rsidR="00AB48BB" w:rsidRPr="007003DB">
        <w:rPr>
          <w:sz w:val="26"/>
          <w:szCs w:val="26"/>
        </w:rPr>
        <w:fldChar w:fldCharType="end"/>
      </w:r>
      <w:r w:rsidR="00AB48BB">
        <w:rPr>
          <w:sz w:val="26"/>
          <w:szCs w:val="26"/>
        </w:rPr>
        <w:t>.</w:t>
      </w:r>
      <w:r w:rsidR="00AB48BB" w:rsidRPr="007003DB">
        <w:rPr>
          <w:sz w:val="26"/>
          <w:szCs w:val="26"/>
        </w:rPr>
        <w:fldChar w:fldCharType="begin"/>
      </w:r>
      <w:r w:rsidR="00AB48BB" w:rsidRPr="009F5655">
        <w:rPr>
          <w:sz w:val="26"/>
          <w:szCs w:val="26"/>
        </w:rPr>
        <w:instrText xml:space="preserve"> REF _Ref31640494 \r \h </w:instrText>
      </w:r>
      <w:r w:rsidR="009F5655">
        <w:rPr>
          <w:sz w:val="26"/>
          <w:szCs w:val="26"/>
        </w:rPr>
        <w:instrText xml:space="preserve"> \* MERGEFORMAT </w:instrText>
      </w:r>
      <w:r w:rsidR="00AB48BB" w:rsidRPr="007003DB">
        <w:rPr>
          <w:sz w:val="26"/>
          <w:szCs w:val="26"/>
        </w:rPr>
      </w:r>
      <w:r w:rsidR="00AB48BB" w:rsidRPr="007003DB">
        <w:rPr>
          <w:sz w:val="26"/>
          <w:szCs w:val="26"/>
        </w:rPr>
        <w:fldChar w:fldCharType="separate"/>
      </w:r>
      <w:r w:rsidR="00BB1E55">
        <w:rPr>
          <w:sz w:val="26"/>
          <w:szCs w:val="26"/>
        </w:rPr>
        <w:t>5</w:t>
      </w:r>
      <w:r w:rsidR="00AB48BB" w:rsidRPr="007003DB">
        <w:rPr>
          <w:sz w:val="26"/>
          <w:szCs w:val="26"/>
        </w:rPr>
        <w:fldChar w:fldCharType="end"/>
      </w:r>
      <w:r w:rsidR="00AB48BB">
        <w:rPr>
          <w:sz w:val="26"/>
          <w:szCs w:val="26"/>
        </w:rPr>
        <w:t xml:space="preserve">: </w:t>
      </w:r>
      <w:r w:rsidR="00AB48BB" w:rsidRPr="007003DB">
        <w:rPr>
          <w:sz w:val="26"/>
          <w:szCs w:val="26"/>
        </w:rPr>
        <w:fldChar w:fldCharType="begin"/>
      </w:r>
      <w:r w:rsidR="00AB48BB" w:rsidRPr="009F5655">
        <w:rPr>
          <w:sz w:val="26"/>
          <w:szCs w:val="26"/>
        </w:rPr>
        <w:instrText xml:space="preserve"> REF _Ref31640499 \h </w:instrText>
      </w:r>
      <w:r w:rsidR="009F5655">
        <w:rPr>
          <w:sz w:val="26"/>
          <w:szCs w:val="26"/>
        </w:rPr>
        <w:instrText xml:space="preserve"> \* MERGEFORMAT </w:instrText>
      </w:r>
      <w:r w:rsidR="00AB48BB" w:rsidRPr="007003DB">
        <w:rPr>
          <w:sz w:val="26"/>
          <w:szCs w:val="26"/>
        </w:rPr>
      </w:r>
      <w:r w:rsidR="00AB48BB" w:rsidRPr="007003DB">
        <w:rPr>
          <w:sz w:val="26"/>
          <w:szCs w:val="26"/>
        </w:rPr>
        <w:fldChar w:fldCharType="separate"/>
      </w:r>
      <w:r w:rsidR="00BB1E55" w:rsidRPr="00BB1E55">
        <w:rPr>
          <w:sz w:val="26"/>
          <w:szCs w:val="26"/>
        </w:rPr>
        <w:t>Accumulating Savings in Excess of Reduction Requirements</w:t>
      </w:r>
      <w:r w:rsidR="00AB48BB" w:rsidRPr="007003DB">
        <w:rPr>
          <w:sz w:val="26"/>
          <w:szCs w:val="26"/>
        </w:rPr>
        <w:fldChar w:fldCharType="end"/>
      </w:r>
      <w:r w:rsidR="00AB48BB">
        <w:rPr>
          <w:sz w:val="26"/>
          <w:szCs w:val="26"/>
        </w:rPr>
        <w:t xml:space="preserve"> </w:t>
      </w:r>
      <w:r w:rsidRPr="005F1725">
        <w:rPr>
          <w:sz w:val="26"/>
          <w:szCs w:val="26"/>
        </w:rPr>
        <w:t>of this</w:t>
      </w:r>
      <w:r w:rsidRPr="009F502C">
        <w:rPr>
          <w:sz w:val="26"/>
          <w:szCs w:val="26"/>
        </w:rPr>
        <w:t xml:space="preserve"> Tentative Order, the Commission proposes that</w:t>
      </w:r>
      <w:r>
        <w:rPr>
          <w:sz w:val="26"/>
          <w:szCs w:val="26"/>
        </w:rPr>
        <w:t xml:space="preserve"> those</w:t>
      </w:r>
      <w:r w:rsidRPr="009F502C">
        <w:rPr>
          <w:sz w:val="26"/>
          <w:szCs w:val="26"/>
        </w:rPr>
        <w:t xml:space="preserve"> savings</w:t>
      </w:r>
      <w:r>
        <w:rPr>
          <w:sz w:val="26"/>
          <w:szCs w:val="26"/>
        </w:rPr>
        <w:t xml:space="preserve"> generated in Phase II</w:t>
      </w:r>
      <w:r w:rsidR="00072B0D">
        <w:rPr>
          <w:sz w:val="26"/>
          <w:szCs w:val="26"/>
        </w:rPr>
        <w:t>I</w:t>
      </w:r>
      <w:r>
        <w:rPr>
          <w:sz w:val="26"/>
          <w:szCs w:val="26"/>
        </w:rPr>
        <w:t xml:space="preserve"> that are</w:t>
      </w:r>
      <w:r w:rsidRPr="009F502C">
        <w:rPr>
          <w:sz w:val="26"/>
          <w:szCs w:val="26"/>
        </w:rPr>
        <w:t xml:space="preserve"> in excess of an </w:t>
      </w:r>
      <w:r>
        <w:rPr>
          <w:sz w:val="26"/>
          <w:szCs w:val="26"/>
        </w:rPr>
        <w:t>EDC’s</w:t>
      </w:r>
      <w:r w:rsidRPr="009F502C">
        <w:rPr>
          <w:sz w:val="26"/>
          <w:szCs w:val="26"/>
        </w:rPr>
        <w:t xml:space="preserve"> consumption reduction target be applied towards that EDC’s Phase I</w:t>
      </w:r>
      <w:r w:rsidR="00072B0D">
        <w:rPr>
          <w:sz w:val="26"/>
          <w:szCs w:val="26"/>
        </w:rPr>
        <w:t>V</w:t>
      </w:r>
      <w:r w:rsidRPr="009F502C">
        <w:rPr>
          <w:sz w:val="26"/>
          <w:szCs w:val="26"/>
        </w:rPr>
        <w:t xml:space="preserve"> consumption reduction target.  The issue of savings in excess of </w:t>
      </w:r>
      <w:r>
        <w:rPr>
          <w:sz w:val="26"/>
          <w:szCs w:val="26"/>
        </w:rPr>
        <w:t>the targets</w:t>
      </w:r>
      <w:r w:rsidRPr="003A3803">
        <w:rPr>
          <w:sz w:val="26"/>
          <w:szCs w:val="26"/>
        </w:rPr>
        <w:t xml:space="preserve"> also raises issues regarding Phase I</w:t>
      </w:r>
      <w:r>
        <w:rPr>
          <w:sz w:val="26"/>
          <w:szCs w:val="26"/>
        </w:rPr>
        <w:t>I</w:t>
      </w:r>
      <w:r w:rsidR="00F05260">
        <w:rPr>
          <w:sz w:val="26"/>
          <w:szCs w:val="26"/>
        </w:rPr>
        <w:t>I</w:t>
      </w:r>
      <w:r w:rsidRPr="003A3803">
        <w:rPr>
          <w:sz w:val="26"/>
          <w:szCs w:val="26"/>
        </w:rPr>
        <w:t xml:space="preserve"> and Phase I</w:t>
      </w:r>
      <w:r w:rsidR="00F05260">
        <w:rPr>
          <w:sz w:val="26"/>
          <w:szCs w:val="26"/>
        </w:rPr>
        <w:t>V</w:t>
      </w:r>
      <w:r w:rsidRPr="003A3803">
        <w:rPr>
          <w:sz w:val="26"/>
          <w:szCs w:val="26"/>
        </w:rPr>
        <w:t xml:space="preserve"> budgets.  Specifically, if an EDC has excess savings that carry into Phase I</w:t>
      </w:r>
      <w:r w:rsidR="00F05260">
        <w:rPr>
          <w:sz w:val="26"/>
          <w:szCs w:val="26"/>
        </w:rPr>
        <w:t>V</w:t>
      </w:r>
      <w:r w:rsidRPr="003A3803">
        <w:rPr>
          <w:sz w:val="26"/>
          <w:szCs w:val="26"/>
        </w:rPr>
        <w:t xml:space="preserve">, the Commission must decide </w:t>
      </w:r>
      <w:r w:rsidR="00622E5B" w:rsidRPr="003A3803">
        <w:rPr>
          <w:sz w:val="26"/>
          <w:szCs w:val="26"/>
        </w:rPr>
        <w:t>whether</w:t>
      </w:r>
      <w:r w:rsidRPr="003A3803">
        <w:rPr>
          <w:sz w:val="26"/>
          <w:szCs w:val="26"/>
        </w:rPr>
        <w:t xml:space="preserve"> that EDC should then have a reduced budget for Phase I</w:t>
      </w:r>
      <w:r w:rsidR="00622E5B">
        <w:rPr>
          <w:sz w:val="26"/>
          <w:szCs w:val="26"/>
        </w:rPr>
        <w:t>V</w:t>
      </w:r>
      <w:r w:rsidRPr="003A3803">
        <w:rPr>
          <w:sz w:val="26"/>
          <w:szCs w:val="26"/>
        </w:rPr>
        <w:t xml:space="preserve"> as it needs to acquire fewer savings to meet its cons</w:t>
      </w:r>
      <w:r>
        <w:rPr>
          <w:sz w:val="26"/>
          <w:szCs w:val="26"/>
        </w:rPr>
        <w:t xml:space="preserve">umption reduction targets.  Additionally, </w:t>
      </w:r>
      <w:r w:rsidRPr="003A3803">
        <w:rPr>
          <w:sz w:val="26"/>
          <w:szCs w:val="26"/>
        </w:rPr>
        <w:t xml:space="preserve">if an EDC has achieved </w:t>
      </w:r>
      <w:r w:rsidRPr="003A3803">
        <w:rPr>
          <w:sz w:val="26"/>
          <w:szCs w:val="26"/>
        </w:rPr>
        <w:lastRenderedPageBreak/>
        <w:t xml:space="preserve">its </w:t>
      </w:r>
      <w:r w:rsidRPr="005A26A8">
        <w:rPr>
          <w:sz w:val="26"/>
          <w:szCs w:val="26"/>
        </w:rPr>
        <w:t>Phase II</w:t>
      </w:r>
      <w:r w:rsidR="00622E5B">
        <w:rPr>
          <w:sz w:val="26"/>
          <w:szCs w:val="26"/>
        </w:rPr>
        <w:t>I</w:t>
      </w:r>
      <w:r w:rsidRPr="005A26A8">
        <w:rPr>
          <w:sz w:val="26"/>
          <w:szCs w:val="26"/>
        </w:rPr>
        <w:t xml:space="preserve"> </w:t>
      </w:r>
      <w:r>
        <w:rPr>
          <w:sz w:val="26"/>
          <w:szCs w:val="26"/>
        </w:rPr>
        <w:t>target</w:t>
      </w:r>
      <w:r w:rsidRPr="003A3803">
        <w:rPr>
          <w:sz w:val="26"/>
          <w:szCs w:val="26"/>
        </w:rPr>
        <w:t xml:space="preserve"> with budget left</w:t>
      </w:r>
      <w:r>
        <w:rPr>
          <w:sz w:val="26"/>
          <w:szCs w:val="26"/>
        </w:rPr>
        <w:t xml:space="preserve"> </w:t>
      </w:r>
      <w:r w:rsidRPr="003A3803">
        <w:rPr>
          <w:sz w:val="26"/>
          <w:szCs w:val="26"/>
        </w:rPr>
        <w:t>over, the Commission must decide how that excess budget should be handled (e.g. used in Phase I</w:t>
      </w:r>
      <w:r w:rsidR="00622E5B">
        <w:rPr>
          <w:sz w:val="26"/>
          <w:szCs w:val="26"/>
        </w:rPr>
        <w:t>V</w:t>
      </w:r>
      <w:r w:rsidRPr="003A3803">
        <w:rPr>
          <w:sz w:val="26"/>
          <w:szCs w:val="26"/>
        </w:rPr>
        <w:t xml:space="preserve"> or </w:t>
      </w:r>
      <w:r w:rsidRPr="0017687C">
        <w:rPr>
          <w:sz w:val="26"/>
          <w:szCs w:val="26"/>
        </w:rPr>
        <w:t>paid back to ratepayers).</w:t>
      </w:r>
      <w:r w:rsidRPr="00660747">
        <w:rPr>
          <w:sz w:val="26"/>
          <w:szCs w:val="26"/>
        </w:rPr>
        <w:t xml:space="preserve">  </w:t>
      </w:r>
    </w:p>
    <w:p w14:paraId="6FEFB669" w14:textId="77777777" w:rsidR="006E03F7" w:rsidRDefault="006E03F7" w:rsidP="0009548F">
      <w:pPr>
        <w:spacing w:line="360" w:lineRule="auto"/>
        <w:ind w:firstLine="720"/>
        <w:rPr>
          <w:sz w:val="26"/>
          <w:szCs w:val="26"/>
        </w:rPr>
      </w:pPr>
    </w:p>
    <w:p w14:paraId="7C3C0BF1" w14:textId="1EC7CEEE" w:rsidR="00286EF6" w:rsidRDefault="006E03F7" w:rsidP="0009548F">
      <w:pPr>
        <w:spacing w:line="360" w:lineRule="auto"/>
        <w:ind w:firstLine="720"/>
        <w:rPr>
          <w:sz w:val="26"/>
          <w:szCs w:val="26"/>
        </w:rPr>
      </w:pPr>
      <w:r w:rsidRPr="00660747">
        <w:rPr>
          <w:sz w:val="26"/>
          <w:szCs w:val="26"/>
        </w:rPr>
        <w:t xml:space="preserve">The Commission proposes </w:t>
      </w:r>
      <w:r w:rsidR="00B30E93">
        <w:rPr>
          <w:sz w:val="26"/>
          <w:szCs w:val="26"/>
        </w:rPr>
        <w:t>with this Tentative Order</w:t>
      </w:r>
      <w:r w:rsidRPr="00660747">
        <w:rPr>
          <w:sz w:val="26"/>
          <w:szCs w:val="26"/>
        </w:rPr>
        <w:t xml:space="preserve"> to allow the EDCs the full Phase I</w:t>
      </w:r>
      <w:r w:rsidR="00622E5B">
        <w:rPr>
          <w:sz w:val="26"/>
          <w:szCs w:val="26"/>
        </w:rPr>
        <w:t>V</w:t>
      </w:r>
      <w:r w:rsidRPr="00660747">
        <w:rPr>
          <w:sz w:val="26"/>
          <w:szCs w:val="26"/>
        </w:rPr>
        <w:t xml:space="preserve"> budget, regardless of Phase </w:t>
      </w:r>
      <w:r>
        <w:rPr>
          <w:sz w:val="26"/>
          <w:szCs w:val="26"/>
        </w:rPr>
        <w:t>I</w:t>
      </w:r>
      <w:r w:rsidRPr="00660747">
        <w:rPr>
          <w:sz w:val="26"/>
          <w:szCs w:val="26"/>
        </w:rPr>
        <w:t>I</w:t>
      </w:r>
      <w:r w:rsidR="00622E5B">
        <w:rPr>
          <w:sz w:val="26"/>
          <w:szCs w:val="26"/>
        </w:rPr>
        <w:t>I</w:t>
      </w:r>
      <w:r w:rsidRPr="00660747">
        <w:rPr>
          <w:sz w:val="26"/>
          <w:szCs w:val="26"/>
        </w:rPr>
        <w:t xml:space="preserve"> spending and consumption reduction </w:t>
      </w:r>
      <w:r w:rsidR="005F1725">
        <w:rPr>
          <w:sz w:val="26"/>
          <w:szCs w:val="26"/>
        </w:rPr>
        <w:t xml:space="preserve">target </w:t>
      </w:r>
      <w:r w:rsidRPr="00660747">
        <w:rPr>
          <w:sz w:val="26"/>
          <w:szCs w:val="26"/>
        </w:rPr>
        <w:t xml:space="preserve">attainment.  </w:t>
      </w:r>
      <w:r w:rsidR="00622E5B">
        <w:rPr>
          <w:sz w:val="26"/>
          <w:szCs w:val="26"/>
        </w:rPr>
        <w:t xml:space="preserve">This proposal is consistent with the proposed targets, which </w:t>
      </w:r>
      <w:r w:rsidR="00794F9B">
        <w:rPr>
          <w:sz w:val="26"/>
          <w:szCs w:val="26"/>
        </w:rPr>
        <w:t>are</w:t>
      </w:r>
      <w:r w:rsidR="00622E5B">
        <w:rPr>
          <w:sz w:val="26"/>
          <w:szCs w:val="26"/>
        </w:rPr>
        <w:t xml:space="preserve"> the</w:t>
      </w:r>
      <w:r w:rsidR="00794F9B">
        <w:rPr>
          <w:sz w:val="26"/>
          <w:szCs w:val="26"/>
        </w:rPr>
        <w:t xml:space="preserve"> product of the</w:t>
      </w:r>
      <w:r w:rsidR="00622E5B">
        <w:rPr>
          <w:sz w:val="26"/>
          <w:szCs w:val="26"/>
        </w:rPr>
        <w:t xml:space="preserve"> </w:t>
      </w:r>
      <w:r w:rsidR="00794F9B">
        <w:rPr>
          <w:sz w:val="26"/>
          <w:szCs w:val="26"/>
        </w:rPr>
        <w:t xml:space="preserve">Phase IV </w:t>
      </w:r>
      <w:r w:rsidR="00622E5B">
        <w:rPr>
          <w:sz w:val="26"/>
          <w:szCs w:val="26"/>
        </w:rPr>
        <w:t>acquisition cost</w:t>
      </w:r>
      <w:r w:rsidR="00794F9B">
        <w:rPr>
          <w:sz w:val="26"/>
          <w:szCs w:val="26"/>
        </w:rPr>
        <w:t>s</w:t>
      </w:r>
      <w:r w:rsidR="00622E5B">
        <w:rPr>
          <w:sz w:val="26"/>
          <w:szCs w:val="26"/>
        </w:rPr>
        <w:t xml:space="preserve"> ($/MWh) </w:t>
      </w:r>
      <w:r w:rsidR="00794F9B">
        <w:rPr>
          <w:sz w:val="26"/>
          <w:szCs w:val="26"/>
        </w:rPr>
        <w:t>determined by</w:t>
      </w:r>
      <w:r w:rsidR="00622E5B">
        <w:rPr>
          <w:sz w:val="26"/>
          <w:szCs w:val="26"/>
        </w:rPr>
        <w:t xml:space="preserve"> the </w:t>
      </w:r>
      <w:r w:rsidR="00C47561">
        <w:rPr>
          <w:sz w:val="26"/>
          <w:szCs w:val="26"/>
        </w:rPr>
        <w:t xml:space="preserve">EEPDR Potential </w:t>
      </w:r>
      <w:r w:rsidR="00B30E93">
        <w:rPr>
          <w:sz w:val="26"/>
          <w:szCs w:val="26"/>
        </w:rPr>
        <w:t>S</w:t>
      </w:r>
      <w:r w:rsidR="00622E5B">
        <w:rPr>
          <w:sz w:val="26"/>
          <w:szCs w:val="26"/>
        </w:rPr>
        <w:t xml:space="preserve">tudy and </w:t>
      </w:r>
      <w:r w:rsidR="00286EF6">
        <w:rPr>
          <w:sz w:val="26"/>
          <w:szCs w:val="26"/>
        </w:rPr>
        <w:t xml:space="preserve">the </w:t>
      </w:r>
      <w:r w:rsidR="00622E5B">
        <w:rPr>
          <w:sz w:val="26"/>
          <w:szCs w:val="26"/>
        </w:rPr>
        <w:t xml:space="preserve">full two percent spending limit for each EDC.  </w:t>
      </w:r>
      <w:r w:rsidRPr="00660747">
        <w:rPr>
          <w:sz w:val="26"/>
          <w:szCs w:val="26"/>
        </w:rPr>
        <w:t>The Commission recognizes that the EDCs are at risk of potential penalties s</w:t>
      </w:r>
      <w:r>
        <w:rPr>
          <w:sz w:val="26"/>
          <w:szCs w:val="26"/>
        </w:rPr>
        <w:t>hould they fail to meet their</w:t>
      </w:r>
      <w:r w:rsidRPr="00660747">
        <w:rPr>
          <w:sz w:val="26"/>
          <w:szCs w:val="26"/>
        </w:rPr>
        <w:t xml:space="preserve"> targets</w:t>
      </w:r>
      <w:r w:rsidR="00794F9B">
        <w:rPr>
          <w:sz w:val="26"/>
          <w:szCs w:val="26"/>
        </w:rPr>
        <w:t xml:space="preserve"> and a reduction in budget without a commensurate reduction </w:t>
      </w:r>
      <w:r w:rsidR="00210E1B">
        <w:rPr>
          <w:sz w:val="26"/>
          <w:szCs w:val="26"/>
        </w:rPr>
        <w:t xml:space="preserve">in </w:t>
      </w:r>
      <w:r w:rsidR="00794F9B">
        <w:rPr>
          <w:sz w:val="26"/>
          <w:szCs w:val="26"/>
        </w:rPr>
        <w:t xml:space="preserve">targets would </w:t>
      </w:r>
      <w:r w:rsidR="00286EF6">
        <w:rPr>
          <w:sz w:val="26"/>
          <w:szCs w:val="26"/>
        </w:rPr>
        <w:t>significantly increase this risk</w:t>
      </w:r>
      <w:r w:rsidRPr="00660747">
        <w:rPr>
          <w:sz w:val="26"/>
          <w:szCs w:val="26"/>
        </w:rPr>
        <w:t xml:space="preserve">.  Additionally, the Commission recognizes the importance of a smooth transition from Phase </w:t>
      </w:r>
      <w:r>
        <w:rPr>
          <w:sz w:val="26"/>
          <w:szCs w:val="26"/>
        </w:rPr>
        <w:t>I</w:t>
      </w:r>
      <w:r w:rsidRPr="00660747">
        <w:rPr>
          <w:sz w:val="26"/>
          <w:szCs w:val="26"/>
        </w:rPr>
        <w:t>I</w:t>
      </w:r>
      <w:r w:rsidR="00286EF6">
        <w:rPr>
          <w:sz w:val="26"/>
          <w:szCs w:val="26"/>
        </w:rPr>
        <w:t>I</w:t>
      </w:r>
      <w:r w:rsidRPr="00660747">
        <w:rPr>
          <w:sz w:val="26"/>
          <w:szCs w:val="26"/>
        </w:rPr>
        <w:t xml:space="preserve"> to Phase </w:t>
      </w:r>
      <w:r>
        <w:rPr>
          <w:sz w:val="26"/>
          <w:szCs w:val="26"/>
        </w:rPr>
        <w:t>I</w:t>
      </w:r>
      <w:r w:rsidR="00286EF6">
        <w:rPr>
          <w:sz w:val="26"/>
          <w:szCs w:val="26"/>
        </w:rPr>
        <w:t>V</w:t>
      </w:r>
      <w:r w:rsidRPr="00660747">
        <w:rPr>
          <w:sz w:val="26"/>
          <w:szCs w:val="26"/>
        </w:rPr>
        <w:t xml:space="preserve"> and the importance of </w:t>
      </w:r>
      <w:r>
        <w:rPr>
          <w:sz w:val="26"/>
          <w:szCs w:val="26"/>
        </w:rPr>
        <w:t xml:space="preserve">the EDCs’ specific </w:t>
      </w:r>
      <w:r w:rsidRPr="00660747">
        <w:rPr>
          <w:sz w:val="26"/>
          <w:szCs w:val="26"/>
        </w:rPr>
        <w:t xml:space="preserve">programs not </w:t>
      </w:r>
      <w:r w:rsidR="005F1725">
        <w:rPr>
          <w:sz w:val="26"/>
          <w:szCs w:val="26"/>
        </w:rPr>
        <w:t xml:space="preserve">“going </w:t>
      </w:r>
      <w:r w:rsidRPr="00660747">
        <w:rPr>
          <w:sz w:val="26"/>
          <w:szCs w:val="26"/>
        </w:rPr>
        <w:t>dark.”  As such, the Commission believes it would be more beneficial to all parties</w:t>
      </w:r>
      <w:r>
        <w:rPr>
          <w:sz w:val="26"/>
          <w:szCs w:val="26"/>
        </w:rPr>
        <w:t>, including ratepayers,</w:t>
      </w:r>
      <w:r w:rsidRPr="00660747">
        <w:rPr>
          <w:sz w:val="26"/>
          <w:szCs w:val="26"/>
        </w:rPr>
        <w:t xml:space="preserve"> for the EDCs to be allowed to spend Phase I</w:t>
      </w:r>
      <w:r w:rsidR="00286EF6">
        <w:rPr>
          <w:sz w:val="26"/>
          <w:szCs w:val="26"/>
        </w:rPr>
        <w:t>II</w:t>
      </w:r>
      <w:r w:rsidRPr="00660747">
        <w:rPr>
          <w:sz w:val="26"/>
          <w:szCs w:val="26"/>
        </w:rPr>
        <w:t xml:space="preserve"> budget</w:t>
      </w:r>
      <w:r>
        <w:rPr>
          <w:sz w:val="26"/>
          <w:szCs w:val="26"/>
        </w:rPr>
        <w:t>s</w:t>
      </w:r>
      <w:r w:rsidRPr="00660747">
        <w:rPr>
          <w:sz w:val="26"/>
          <w:szCs w:val="26"/>
        </w:rPr>
        <w:t xml:space="preserve"> to attain savings </w:t>
      </w:r>
      <w:r>
        <w:rPr>
          <w:sz w:val="26"/>
          <w:szCs w:val="26"/>
        </w:rPr>
        <w:t xml:space="preserve">in excess of compliance targets, which could then be </w:t>
      </w:r>
      <w:r w:rsidRPr="00660747">
        <w:rPr>
          <w:sz w:val="26"/>
          <w:szCs w:val="26"/>
        </w:rPr>
        <w:t>used in Phase I</w:t>
      </w:r>
      <w:r w:rsidR="00286EF6">
        <w:rPr>
          <w:sz w:val="26"/>
          <w:szCs w:val="26"/>
        </w:rPr>
        <w:t>V</w:t>
      </w:r>
      <w:r>
        <w:rPr>
          <w:sz w:val="26"/>
          <w:szCs w:val="26"/>
        </w:rPr>
        <w:t xml:space="preserve"> for compliance, without a commensurate reduction in Phase I</w:t>
      </w:r>
      <w:r w:rsidR="00286EF6">
        <w:rPr>
          <w:sz w:val="26"/>
          <w:szCs w:val="26"/>
        </w:rPr>
        <w:t>V</w:t>
      </w:r>
      <w:r>
        <w:rPr>
          <w:sz w:val="26"/>
          <w:szCs w:val="26"/>
        </w:rPr>
        <w:t xml:space="preserve"> budgets.</w:t>
      </w:r>
      <w:r w:rsidRPr="000B6F1A">
        <w:rPr>
          <w:sz w:val="26"/>
          <w:szCs w:val="26"/>
        </w:rPr>
        <w:t xml:space="preserve"> </w:t>
      </w:r>
      <w:r>
        <w:rPr>
          <w:sz w:val="26"/>
          <w:szCs w:val="26"/>
        </w:rPr>
        <w:t xml:space="preserve"> </w:t>
      </w:r>
    </w:p>
    <w:p w14:paraId="5A1FEF08" w14:textId="77777777" w:rsidR="00286EF6" w:rsidRDefault="00286EF6" w:rsidP="0009548F">
      <w:pPr>
        <w:spacing w:line="360" w:lineRule="auto"/>
        <w:ind w:firstLine="720"/>
        <w:rPr>
          <w:sz w:val="26"/>
          <w:szCs w:val="26"/>
        </w:rPr>
      </w:pPr>
    </w:p>
    <w:p w14:paraId="5A35C511" w14:textId="38EECA13" w:rsidR="00FA6F30" w:rsidRDefault="006E03F7" w:rsidP="0009548F">
      <w:pPr>
        <w:spacing w:line="360" w:lineRule="auto"/>
        <w:ind w:firstLine="720"/>
        <w:rPr>
          <w:sz w:val="26"/>
          <w:szCs w:val="26"/>
        </w:rPr>
      </w:pPr>
      <w:r>
        <w:rPr>
          <w:sz w:val="26"/>
          <w:szCs w:val="26"/>
        </w:rPr>
        <w:t>The Commission recognizes that program measures installed and commercially operable on or before May 31, 20</w:t>
      </w:r>
      <w:r w:rsidR="00286EF6">
        <w:rPr>
          <w:sz w:val="26"/>
          <w:szCs w:val="26"/>
        </w:rPr>
        <w:t>21</w:t>
      </w:r>
      <w:r>
        <w:rPr>
          <w:sz w:val="26"/>
          <w:szCs w:val="26"/>
        </w:rPr>
        <w:t>, as well as CSP or administrative fees related to Phase II</w:t>
      </w:r>
      <w:r w:rsidR="00286EF6">
        <w:rPr>
          <w:sz w:val="26"/>
          <w:szCs w:val="26"/>
        </w:rPr>
        <w:t>I</w:t>
      </w:r>
      <w:r>
        <w:rPr>
          <w:sz w:val="26"/>
          <w:szCs w:val="26"/>
        </w:rPr>
        <w:t xml:space="preserve"> are considered Phase II</w:t>
      </w:r>
      <w:r w:rsidR="00286EF6">
        <w:rPr>
          <w:sz w:val="26"/>
          <w:szCs w:val="26"/>
        </w:rPr>
        <w:t>I</w:t>
      </w:r>
      <w:r>
        <w:rPr>
          <w:sz w:val="26"/>
          <w:szCs w:val="26"/>
        </w:rPr>
        <w:t xml:space="preserve"> expenses.  As such, the Commission proposes allowing EDCs to utilize their Phase II</w:t>
      </w:r>
      <w:r w:rsidR="00181C71">
        <w:rPr>
          <w:sz w:val="26"/>
          <w:szCs w:val="26"/>
        </w:rPr>
        <w:t>I</w:t>
      </w:r>
      <w:r>
        <w:rPr>
          <w:sz w:val="26"/>
          <w:szCs w:val="26"/>
        </w:rPr>
        <w:t xml:space="preserve"> budgets past May 31, 20</w:t>
      </w:r>
      <w:r w:rsidR="00181C71">
        <w:rPr>
          <w:sz w:val="26"/>
          <w:szCs w:val="26"/>
        </w:rPr>
        <w:t>2</w:t>
      </w:r>
      <w:r w:rsidR="00B11748">
        <w:rPr>
          <w:sz w:val="26"/>
          <w:szCs w:val="26"/>
        </w:rPr>
        <w:t>1</w:t>
      </w:r>
      <w:r>
        <w:rPr>
          <w:sz w:val="26"/>
          <w:szCs w:val="26"/>
        </w:rPr>
        <w:t xml:space="preserve"> to account for program measures installed and commercially operable on or before May 31, 20</w:t>
      </w:r>
      <w:r w:rsidR="00181C71">
        <w:rPr>
          <w:sz w:val="26"/>
          <w:szCs w:val="26"/>
        </w:rPr>
        <w:t>21</w:t>
      </w:r>
      <w:r>
        <w:rPr>
          <w:sz w:val="26"/>
          <w:szCs w:val="26"/>
        </w:rPr>
        <w:t>, and to finalize CSP</w:t>
      </w:r>
      <w:r w:rsidR="00181C71">
        <w:rPr>
          <w:sz w:val="26"/>
          <w:szCs w:val="26"/>
        </w:rPr>
        <w:t>, EM&amp;V, and reporting</w:t>
      </w:r>
      <w:r>
        <w:rPr>
          <w:sz w:val="26"/>
          <w:szCs w:val="26"/>
        </w:rPr>
        <w:t xml:space="preserve"> </w:t>
      </w:r>
      <w:r w:rsidR="00181C71">
        <w:rPr>
          <w:sz w:val="26"/>
          <w:szCs w:val="26"/>
        </w:rPr>
        <w:t>expenditures</w:t>
      </w:r>
      <w:r>
        <w:rPr>
          <w:sz w:val="26"/>
          <w:szCs w:val="26"/>
        </w:rPr>
        <w:t xml:space="preserve"> related to Phase II</w:t>
      </w:r>
      <w:r w:rsidR="00B11748">
        <w:rPr>
          <w:sz w:val="26"/>
          <w:szCs w:val="26"/>
        </w:rPr>
        <w:t>I</w:t>
      </w:r>
      <w:r>
        <w:rPr>
          <w:sz w:val="26"/>
          <w:szCs w:val="26"/>
        </w:rPr>
        <w:t>.</w:t>
      </w:r>
      <w:r w:rsidRPr="00660747">
        <w:rPr>
          <w:sz w:val="26"/>
          <w:szCs w:val="26"/>
        </w:rPr>
        <w:t xml:space="preserve">  </w:t>
      </w:r>
    </w:p>
    <w:p w14:paraId="3B9D18AD" w14:textId="3D51A932" w:rsidR="006E03F7" w:rsidRDefault="006E03F7" w:rsidP="0009548F">
      <w:pPr>
        <w:spacing w:line="360" w:lineRule="auto"/>
        <w:ind w:firstLine="720"/>
        <w:rPr>
          <w:sz w:val="26"/>
          <w:szCs w:val="26"/>
        </w:rPr>
      </w:pPr>
      <w:r>
        <w:rPr>
          <w:sz w:val="26"/>
          <w:szCs w:val="26"/>
        </w:rPr>
        <w:t>The Commission proposes that EDCs begin Phase I</w:t>
      </w:r>
      <w:r w:rsidR="00B11748">
        <w:rPr>
          <w:sz w:val="26"/>
          <w:szCs w:val="26"/>
        </w:rPr>
        <w:t>V</w:t>
      </w:r>
      <w:r>
        <w:rPr>
          <w:sz w:val="26"/>
          <w:szCs w:val="26"/>
        </w:rPr>
        <w:t xml:space="preserve"> utilizing solely their Phase I</w:t>
      </w:r>
      <w:r w:rsidR="00B11748">
        <w:rPr>
          <w:sz w:val="26"/>
          <w:szCs w:val="26"/>
        </w:rPr>
        <w:t>V</w:t>
      </w:r>
      <w:r>
        <w:rPr>
          <w:sz w:val="26"/>
          <w:szCs w:val="26"/>
        </w:rPr>
        <w:t xml:space="preserve"> budgets.  We do not believe it to be sound policy to continue spending Phase II</w:t>
      </w:r>
      <w:r w:rsidR="007F796E">
        <w:rPr>
          <w:sz w:val="26"/>
          <w:szCs w:val="26"/>
        </w:rPr>
        <w:t>I</w:t>
      </w:r>
      <w:r>
        <w:rPr>
          <w:sz w:val="26"/>
          <w:szCs w:val="26"/>
        </w:rPr>
        <w:t xml:space="preserve"> budgets in Phase I</w:t>
      </w:r>
      <w:r w:rsidR="007F796E">
        <w:rPr>
          <w:sz w:val="26"/>
          <w:szCs w:val="26"/>
        </w:rPr>
        <w:t>V</w:t>
      </w:r>
      <w:r>
        <w:rPr>
          <w:sz w:val="26"/>
          <w:szCs w:val="26"/>
        </w:rPr>
        <w:t xml:space="preserve"> </w:t>
      </w:r>
      <w:r w:rsidR="00EE1C94">
        <w:rPr>
          <w:sz w:val="26"/>
          <w:szCs w:val="26"/>
        </w:rPr>
        <w:t xml:space="preserve">on Phase IV plan implementation </w:t>
      </w:r>
      <w:r>
        <w:rPr>
          <w:sz w:val="26"/>
          <w:szCs w:val="26"/>
        </w:rPr>
        <w:t xml:space="preserve">when those monies </w:t>
      </w:r>
      <w:r w:rsidR="007F796E">
        <w:rPr>
          <w:sz w:val="26"/>
          <w:szCs w:val="26"/>
        </w:rPr>
        <w:t>c</w:t>
      </w:r>
      <w:r>
        <w:rPr>
          <w:sz w:val="26"/>
          <w:szCs w:val="26"/>
        </w:rPr>
        <w:t>ould be refunded back to the appropriate rate classes.  To clarify, we propose that on June 1, 20</w:t>
      </w:r>
      <w:r w:rsidR="007E414C">
        <w:rPr>
          <w:sz w:val="26"/>
          <w:szCs w:val="26"/>
        </w:rPr>
        <w:t>21</w:t>
      </w:r>
      <w:r>
        <w:rPr>
          <w:sz w:val="26"/>
          <w:szCs w:val="26"/>
        </w:rPr>
        <w:t>, the EDCs would only use Phase I</w:t>
      </w:r>
      <w:r w:rsidR="007E414C">
        <w:rPr>
          <w:sz w:val="26"/>
          <w:szCs w:val="26"/>
        </w:rPr>
        <w:t>I</w:t>
      </w:r>
      <w:r>
        <w:rPr>
          <w:sz w:val="26"/>
          <w:szCs w:val="26"/>
        </w:rPr>
        <w:t xml:space="preserve">I budgets to </w:t>
      </w:r>
      <w:r w:rsidR="007E414C">
        <w:rPr>
          <w:sz w:val="26"/>
          <w:szCs w:val="26"/>
        </w:rPr>
        <w:t>close out program delivery, EM&amp;V, and reporting obligations for measures</w:t>
      </w:r>
      <w:r>
        <w:rPr>
          <w:sz w:val="26"/>
          <w:szCs w:val="26"/>
        </w:rPr>
        <w:t xml:space="preserve"> installed and commercially operable on or before </w:t>
      </w:r>
      <w:r>
        <w:rPr>
          <w:sz w:val="26"/>
          <w:szCs w:val="26"/>
        </w:rPr>
        <w:lastRenderedPageBreak/>
        <w:t>May 31, 20</w:t>
      </w:r>
      <w:r w:rsidR="007E414C">
        <w:rPr>
          <w:sz w:val="26"/>
          <w:szCs w:val="26"/>
        </w:rPr>
        <w:t>21</w:t>
      </w:r>
      <w:r>
        <w:rPr>
          <w:sz w:val="26"/>
          <w:szCs w:val="26"/>
        </w:rPr>
        <w:t>.  The EDCs would not be allowed to use Phase II</w:t>
      </w:r>
      <w:r w:rsidR="007E414C">
        <w:rPr>
          <w:sz w:val="26"/>
          <w:szCs w:val="26"/>
        </w:rPr>
        <w:t>I</w:t>
      </w:r>
      <w:r>
        <w:rPr>
          <w:sz w:val="26"/>
          <w:szCs w:val="26"/>
        </w:rPr>
        <w:t xml:space="preserve"> funds for Phase I</w:t>
      </w:r>
      <w:r w:rsidR="007E414C">
        <w:rPr>
          <w:sz w:val="26"/>
          <w:szCs w:val="26"/>
        </w:rPr>
        <w:t>V</w:t>
      </w:r>
      <w:r>
        <w:rPr>
          <w:sz w:val="26"/>
          <w:szCs w:val="26"/>
        </w:rPr>
        <w:t xml:space="preserve"> </w:t>
      </w:r>
      <w:r w:rsidR="00EE1C94">
        <w:rPr>
          <w:sz w:val="26"/>
          <w:szCs w:val="26"/>
        </w:rPr>
        <w:t>plans</w:t>
      </w:r>
      <w:r>
        <w:rPr>
          <w:sz w:val="26"/>
          <w:szCs w:val="26"/>
        </w:rPr>
        <w:t xml:space="preserve">.  </w:t>
      </w:r>
    </w:p>
    <w:p w14:paraId="14C877A5" w14:textId="77777777" w:rsidR="006E03F7" w:rsidRDefault="006E03F7" w:rsidP="0009548F">
      <w:pPr>
        <w:spacing w:line="360" w:lineRule="auto"/>
        <w:ind w:firstLine="720"/>
        <w:rPr>
          <w:sz w:val="26"/>
          <w:szCs w:val="26"/>
        </w:rPr>
      </w:pPr>
    </w:p>
    <w:p w14:paraId="69A2C3C4" w14:textId="00D4AC7C" w:rsidR="006E03F7" w:rsidRDefault="006E03F7" w:rsidP="00867138">
      <w:pPr>
        <w:spacing w:line="360" w:lineRule="auto"/>
        <w:ind w:firstLine="720"/>
        <w:rPr>
          <w:sz w:val="26"/>
          <w:szCs w:val="26"/>
        </w:rPr>
      </w:pPr>
      <w:r>
        <w:rPr>
          <w:sz w:val="26"/>
          <w:szCs w:val="26"/>
        </w:rPr>
        <w:t>Similarly, the Commission proposes that an EDC be allowed to continue spending Phase I</w:t>
      </w:r>
      <w:r w:rsidR="00625E29">
        <w:rPr>
          <w:sz w:val="26"/>
          <w:szCs w:val="26"/>
        </w:rPr>
        <w:t>V</w:t>
      </w:r>
      <w:r>
        <w:rPr>
          <w:sz w:val="26"/>
          <w:szCs w:val="26"/>
        </w:rPr>
        <w:t xml:space="preserve"> budgets on their EE&amp;C Program even if that EDC attains its consumption reduction goal before May 31, 202</w:t>
      </w:r>
      <w:r w:rsidR="00F60D09">
        <w:rPr>
          <w:sz w:val="26"/>
          <w:szCs w:val="26"/>
        </w:rPr>
        <w:t>6</w:t>
      </w:r>
      <w:r>
        <w:rPr>
          <w:sz w:val="26"/>
          <w:szCs w:val="26"/>
        </w:rPr>
        <w:t>.  Again, we propose allowing EDCs to utilize their Phase I</w:t>
      </w:r>
      <w:r w:rsidR="00625E29">
        <w:rPr>
          <w:sz w:val="26"/>
          <w:szCs w:val="26"/>
        </w:rPr>
        <w:t>V</w:t>
      </w:r>
      <w:r>
        <w:rPr>
          <w:sz w:val="26"/>
          <w:szCs w:val="26"/>
        </w:rPr>
        <w:t xml:space="preserve"> budgets past May 31, 202</w:t>
      </w:r>
      <w:r w:rsidR="00F60D09">
        <w:rPr>
          <w:sz w:val="26"/>
          <w:szCs w:val="26"/>
        </w:rPr>
        <w:t>6</w:t>
      </w:r>
      <w:r>
        <w:rPr>
          <w:sz w:val="26"/>
          <w:szCs w:val="26"/>
        </w:rPr>
        <w:t>, solely to account for those program measures installed and commercially operable on or before May 31, 202</w:t>
      </w:r>
      <w:r w:rsidR="00F60D09">
        <w:rPr>
          <w:sz w:val="26"/>
          <w:szCs w:val="26"/>
        </w:rPr>
        <w:t>6</w:t>
      </w:r>
      <w:r>
        <w:rPr>
          <w:sz w:val="26"/>
          <w:szCs w:val="26"/>
        </w:rPr>
        <w:t xml:space="preserve">, and to finalize the CSP and administrative fees related to </w:t>
      </w:r>
      <w:r w:rsidRPr="00583FEB">
        <w:rPr>
          <w:sz w:val="26"/>
          <w:szCs w:val="26"/>
        </w:rPr>
        <w:t>Phase I</w:t>
      </w:r>
      <w:r w:rsidR="00FF1665">
        <w:rPr>
          <w:sz w:val="26"/>
          <w:szCs w:val="26"/>
        </w:rPr>
        <w:t>V</w:t>
      </w:r>
      <w:r w:rsidRPr="00583FEB">
        <w:rPr>
          <w:sz w:val="26"/>
          <w:szCs w:val="26"/>
        </w:rPr>
        <w:t>.  Upon the completion of EDC accounting for Phase I</w:t>
      </w:r>
      <w:r w:rsidR="00FF1665">
        <w:rPr>
          <w:sz w:val="26"/>
          <w:szCs w:val="26"/>
        </w:rPr>
        <w:t>V</w:t>
      </w:r>
      <w:r w:rsidRPr="00583FEB">
        <w:rPr>
          <w:sz w:val="26"/>
          <w:szCs w:val="26"/>
        </w:rPr>
        <w:t>, the Commission proposes that its Bureau of Audits reconcile Phase I</w:t>
      </w:r>
      <w:r w:rsidR="00FF1665">
        <w:rPr>
          <w:sz w:val="26"/>
          <w:szCs w:val="26"/>
        </w:rPr>
        <w:t>V</w:t>
      </w:r>
      <w:r w:rsidRPr="00583FEB">
        <w:rPr>
          <w:sz w:val="26"/>
          <w:szCs w:val="26"/>
        </w:rPr>
        <w:t xml:space="preserve"> funds collected by the EDCs compared to Phase I</w:t>
      </w:r>
      <w:r w:rsidR="00FF1665">
        <w:rPr>
          <w:sz w:val="26"/>
          <w:szCs w:val="26"/>
        </w:rPr>
        <w:t>V</w:t>
      </w:r>
      <w:r w:rsidRPr="00583FEB">
        <w:rPr>
          <w:sz w:val="26"/>
          <w:szCs w:val="26"/>
        </w:rPr>
        <w:t xml:space="preserve"> expenditures and direct the EDCs to refund all over-collections to the appropriate rate classes.  </w:t>
      </w:r>
      <w:r>
        <w:rPr>
          <w:sz w:val="26"/>
          <w:szCs w:val="26"/>
        </w:rPr>
        <w:t>To clarify, we propose that on June 1, 202</w:t>
      </w:r>
      <w:r w:rsidR="00FF1665">
        <w:rPr>
          <w:sz w:val="26"/>
          <w:szCs w:val="26"/>
        </w:rPr>
        <w:t>6</w:t>
      </w:r>
      <w:r>
        <w:rPr>
          <w:sz w:val="26"/>
          <w:szCs w:val="26"/>
        </w:rPr>
        <w:t>, the EDCs would only use Phase I</w:t>
      </w:r>
      <w:r w:rsidR="00FF1665">
        <w:rPr>
          <w:sz w:val="26"/>
          <w:szCs w:val="26"/>
        </w:rPr>
        <w:t>V</w:t>
      </w:r>
      <w:r>
        <w:rPr>
          <w:sz w:val="26"/>
          <w:szCs w:val="26"/>
        </w:rPr>
        <w:t xml:space="preserve"> budgets to finalize any measures installed and commercially operable on or before May 31, 202</w:t>
      </w:r>
      <w:r w:rsidR="00FF1665">
        <w:rPr>
          <w:sz w:val="26"/>
          <w:szCs w:val="26"/>
        </w:rPr>
        <w:t>6</w:t>
      </w:r>
      <w:r>
        <w:rPr>
          <w:sz w:val="26"/>
          <w:szCs w:val="26"/>
        </w:rPr>
        <w:t>, and to finalize any contracts and other Phase I</w:t>
      </w:r>
      <w:r w:rsidR="00FF1665">
        <w:rPr>
          <w:sz w:val="26"/>
          <w:szCs w:val="26"/>
        </w:rPr>
        <w:t>V</w:t>
      </w:r>
      <w:r>
        <w:rPr>
          <w:sz w:val="26"/>
          <w:szCs w:val="26"/>
        </w:rPr>
        <w:t xml:space="preserve"> administrative obligations.  The EDCs would not be allowed to use Phase I</w:t>
      </w:r>
      <w:r w:rsidR="00FF1665">
        <w:rPr>
          <w:sz w:val="26"/>
          <w:szCs w:val="26"/>
        </w:rPr>
        <w:t>V</w:t>
      </w:r>
      <w:r>
        <w:rPr>
          <w:sz w:val="26"/>
          <w:szCs w:val="26"/>
        </w:rPr>
        <w:t xml:space="preserve"> funds for any potential Phase V </w:t>
      </w:r>
      <w:r w:rsidR="00B43746">
        <w:rPr>
          <w:sz w:val="26"/>
          <w:szCs w:val="26"/>
        </w:rPr>
        <w:t>plans</w:t>
      </w:r>
      <w:r>
        <w:rPr>
          <w:sz w:val="26"/>
          <w:szCs w:val="26"/>
        </w:rPr>
        <w:t xml:space="preserve">.  </w:t>
      </w:r>
    </w:p>
    <w:p w14:paraId="243D1357" w14:textId="77777777" w:rsidR="006E03F7" w:rsidRPr="00AB4A05" w:rsidRDefault="006E03F7" w:rsidP="00867138">
      <w:pPr>
        <w:spacing w:line="360" w:lineRule="auto"/>
      </w:pPr>
    </w:p>
    <w:p w14:paraId="561BC1FA" w14:textId="41DD0EDD" w:rsidR="006E03F7" w:rsidRDefault="006E03F7" w:rsidP="00867138">
      <w:pPr>
        <w:pStyle w:val="Heading3"/>
      </w:pPr>
      <w:bookmarkStart w:id="359" w:name="_Toc33782029"/>
      <w:r>
        <w:t>Rebate Application Deadlines</w:t>
      </w:r>
      <w:bookmarkEnd w:id="359"/>
    </w:p>
    <w:p w14:paraId="5BA1B3BE" w14:textId="4FBBCD48" w:rsidR="002B168B" w:rsidRPr="002B168B" w:rsidRDefault="002B168B" w:rsidP="002B168B">
      <w:pPr>
        <w:spacing w:line="360" w:lineRule="auto"/>
        <w:ind w:firstLine="720"/>
        <w:rPr>
          <w:sz w:val="26"/>
          <w:szCs w:val="26"/>
        </w:rPr>
      </w:pPr>
      <w:r w:rsidRPr="002B168B">
        <w:rPr>
          <w:sz w:val="26"/>
          <w:szCs w:val="26"/>
        </w:rPr>
        <w:t xml:space="preserve">Applications for EE&amp;C measure rebates </w:t>
      </w:r>
      <w:r>
        <w:rPr>
          <w:sz w:val="26"/>
          <w:szCs w:val="26"/>
        </w:rPr>
        <w:t xml:space="preserve">are typically submitted following the installation of the efficient equipment. </w:t>
      </w:r>
      <w:r w:rsidR="00A9401C">
        <w:rPr>
          <w:sz w:val="26"/>
          <w:szCs w:val="26"/>
        </w:rPr>
        <w:t xml:space="preserve"> For administrative efficiency</w:t>
      </w:r>
      <w:r w:rsidR="00F35492">
        <w:rPr>
          <w:sz w:val="26"/>
          <w:szCs w:val="26"/>
        </w:rPr>
        <w:t>,</w:t>
      </w:r>
      <w:r w:rsidR="00A9401C">
        <w:rPr>
          <w:sz w:val="26"/>
          <w:szCs w:val="26"/>
        </w:rPr>
        <w:t xml:space="preserve"> and to </w:t>
      </w:r>
      <w:r w:rsidR="00F35492">
        <w:rPr>
          <w:sz w:val="26"/>
          <w:szCs w:val="26"/>
        </w:rPr>
        <w:t>limit</w:t>
      </w:r>
      <w:r w:rsidR="00A9401C">
        <w:rPr>
          <w:sz w:val="26"/>
          <w:szCs w:val="26"/>
        </w:rPr>
        <w:t xml:space="preserve"> the use of EE&amp;C program funds on measures that were not influenced by the EE&amp;C Program, it is beneficial for rebate applications to be submitted and processed within a finite period following the in-service date of the measure.  During the proceedings for many of the EDCs’ Phase II EE&amp;C Plans, the Commission recognized the need for such deadlines and directed the EDCs to amend their Plans accordingly.</w:t>
      </w:r>
      <w:r w:rsidR="00A9401C">
        <w:rPr>
          <w:rStyle w:val="FootnoteReference"/>
          <w:sz w:val="26"/>
          <w:szCs w:val="26"/>
        </w:rPr>
        <w:footnoteReference w:id="99"/>
      </w:r>
      <w:r w:rsidR="00A9401C">
        <w:rPr>
          <w:sz w:val="26"/>
          <w:szCs w:val="26"/>
        </w:rPr>
        <w:t xml:space="preserve">  </w:t>
      </w:r>
    </w:p>
    <w:p w14:paraId="26CBB401" w14:textId="774648A7" w:rsidR="006E03F7" w:rsidRDefault="00B43746" w:rsidP="00A9401C">
      <w:pPr>
        <w:spacing w:line="360" w:lineRule="auto"/>
        <w:ind w:firstLine="720"/>
        <w:rPr>
          <w:sz w:val="26"/>
          <w:szCs w:val="26"/>
        </w:rPr>
      </w:pPr>
      <w:r>
        <w:rPr>
          <w:sz w:val="26"/>
          <w:szCs w:val="26"/>
        </w:rPr>
        <w:lastRenderedPageBreak/>
        <w:t>W</w:t>
      </w:r>
      <w:r w:rsidR="006E03F7" w:rsidRPr="00A9401C">
        <w:rPr>
          <w:sz w:val="26"/>
          <w:szCs w:val="26"/>
        </w:rPr>
        <w:t xml:space="preserve">e propose </w:t>
      </w:r>
      <w:r w:rsidR="00002B29">
        <w:rPr>
          <w:sz w:val="26"/>
          <w:szCs w:val="26"/>
        </w:rPr>
        <w:t>with this Tentative Order</w:t>
      </w:r>
      <w:r w:rsidR="006E03F7" w:rsidRPr="00A9401C">
        <w:rPr>
          <w:sz w:val="26"/>
          <w:szCs w:val="26"/>
        </w:rPr>
        <w:t xml:space="preserve"> that the EDCs be required to develop deadlines for their programs within their Phase I</w:t>
      </w:r>
      <w:r w:rsidR="007D468B">
        <w:rPr>
          <w:sz w:val="26"/>
          <w:szCs w:val="26"/>
        </w:rPr>
        <w:t>V</w:t>
      </w:r>
      <w:r w:rsidR="006E03F7" w:rsidRPr="00A9401C">
        <w:rPr>
          <w:sz w:val="26"/>
          <w:szCs w:val="26"/>
        </w:rPr>
        <w:t xml:space="preserve"> EE&amp;C Plans.  We propose that the EDCs have the flexibility to determine whether such deadlines should differ at the end of the phase, but that all deadlines (both within the phase and at the end) </w:t>
      </w:r>
      <w:r w:rsidR="00786971" w:rsidRPr="00A9401C">
        <w:rPr>
          <w:sz w:val="26"/>
          <w:szCs w:val="26"/>
        </w:rPr>
        <w:t xml:space="preserve">must </w:t>
      </w:r>
      <w:r w:rsidR="006E03F7" w:rsidRPr="00A9401C">
        <w:rPr>
          <w:sz w:val="26"/>
          <w:szCs w:val="26"/>
        </w:rPr>
        <w:t>be outlined in the EE&amp;C Plans.</w:t>
      </w:r>
      <w:r w:rsidR="006E03F7">
        <w:rPr>
          <w:sz w:val="26"/>
          <w:szCs w:val="26"/>
        </w:rPr>
        <w:t xml:space="preserve">  </w:t>
      </w:r>
      <w:r w:rsidR="007D468B">
        <w:rPr>
          <w:sz w:val="26"/>
          <w:szCs w:val="26"/>
        </w:rPr>
        <w:t>T</w:t>
      </w:r>
      <w:r w:rsidR="006E03F7">
        <w:rPr>
          <w:sz w:val="26"/>
          <w:szCs w:val="26"/>
        </w:rPr>
        <w:t xml:space="preserve">he Commission will still retain the authority to approve or deny the proposed deadlines as part of the EE&amp;C Plan proceedings.  </w:t>
      </w:r>
      <w:r w:rsidR="006E03F7" w:rsidRPr="007D468B">
        <w:rPr>
          <w:sz w:val="26"/>
          <w:szCs w:val="26"/>
        </w:rPr>
        <w:t xml:space="preserve">We suggest that the EDCs consider 180 days as a </w:t>
      </w:r>
      <w:r w:rsidR="006E03F7" w:rsidRPr="00E91016">
        <w:rPr>
          <w:iCs/>
          <w:sz w:val="26"/>
          <w:szCs w:val="26"/>
        </w:rPr>
        <w:t>maximum</w:t>
      </w:r>
      <w:r w:rsidR="006E03F7" w:rsidRPr="007D468B">
        <w:rPr>
          <w:sz w:val="26"/>
          <w:szCs w:val="26"/>
        </w:rPr>
        <w:t xml:space="preserve"> length of time for an application to be submitted as we believe any longer may affect reporting and reconciliation timeframes.</w:t>
      </w:r>
      <w:r w:rsidR="00156864">
        <w:rPr>
          <w:sz w:val="26"/>
          <w:szCs w:val="26"/>
        </w:rPr>
        <w:t xml:space="preserve">  </w:t>
      </w:r>
      <w:r w:rsidR="00690B34">
        <w:rPr>
          <w:sz w:val="26"/>
          <w:szCs w:val="26"/>
        </w:rPr>
        <w:t xml:space="preserve">The Commission proposes that, </w:t>
      </w:r>
      <w:r w:rsidR="00690B34" w:rsidRPr="00440F95">
        <w:rPr>
          <w:sz w:val="26"/>
          <w:szCs w:val="26"/>
        </w:rPr>
        <w:t>if an EDC includes a deadline longer than 180 days in their EE&amp;C Plan, that EDC</w:t>
      </w:r>
      <w:r w:rsidR="00690B34">
        <w:rPr>
          <w:sz w:val="26"/>
          <w:szCs w:val="26"/>
        </w:rPr>
        <w:t xml:space="preserve"> </w:t>
      </w:r>
      <w:r w:rsidR="00922344">
        <w:rPr>
          <w:sz w:val="26"/>
          <w:szCs w:val="26"/>
        </w:rPr>
        <w:t>has the burden to</w:t>
      </w:r>
      <w:r w:rsidR="00922344" w:rsidRPr="00440F95">
        <w:rPr>
          <w:sz w:val="26"/>
          <w:szCs w:val="26"/>
        </w:rPr>
        <w:t xml:space="preserve"> </w:t>
      </w:r>
      <w:r w:rsidR="00690B34" w:rsidRPr="00440F95">
        <w:rPr>
          <w:sz w:val="26"/>
          <w:szCs w:val="26"/>
        </w:rPr>
        <w:t>provide clear and reasonable rationale for the longer timeframe.</w:t>
      </w:r>
      <w:r w:rsidR="00690B34">
        <w:rPr>
          <w:sz w:val="26"/>
          <w:szCs w:val="26"/>
        </w:rPr>
        <w:t xml:space="preserve">  </w:t>
      </w:r>
      <w:r w:rsidR="00156864">
        <w:rPr>
          <w:sz w:val="26"/>
          <w:szCs w:val="26"/>
        </w:rPr>
        <w:t>The timeline for EDC</w:t>
      </w:r>
      <w:r w:rsidR="00156864" w:rsidRPr="00D7185E">
        <w:rPr>
          <w:sz w:val="26"/>
          <w:szCs w:val="26"/>
        </w:rPr>
        <w:t xml:space="preserve"> </w:t>
      </w:r>
      <w:r w:rsidR="008E3044">
        <w:rPr>
          <w:sz w:val="26"/>
          <w:szCs w:val="26"/>
        </w:rPr>
        <w:t>Final</w:t>
      </w:r>
      <w:r w:rsidR="00156864">
        <w:rPr>
          <w:sz w:val="26"/>
          <w:szCs w:val="26"/>
        </w:rPr>
        <w:t xml:space="preserve"> Annual Reports proposed in Section </w:t>
      </w:r>
      <w:r w:rsidR="00C913CD" w:rsidRPr="00117531">
        <w:rPr>
          <w:sz w:val="26"/>
          <w:szCs w:val="26"/>
        </w:rPr>
        <w:fldChar w:fldCharType="begin"/>
      </w:r>
      <w:r w:rsidR="00C913CD" w:rsidRPr="00D7185E">
        <w:rPr>
          <w:sz w:val="26"/>
          <w:szCs w:val="26"/>
        </w:rPr>
        <w:instrText xml:space="preserve"> REF _Ref31640615 \r \h </w:instrText>
      </w:r>
      <w:r w:rsidR="00D7185E">
        <w:rPr>
          <w:sz w:val="26"/>
          <w:szCs w:val="26"/>
        </w:rPr>
        <w:instrText xml:space="preserve"> \* MERGEFORMAT </w:instrText>
      </w:r>
      <w:r w:rsidR="00C913CD" w:rsidRPr="00117531">
        <w:rPr>
          <w:sz w:val="26"/>
          <w:szCs w:val="26"/>
        </w:rPr>
      </w:r>
      <w:r w:rsidR="00C913CD" w:rsidRPr="00117531">
        <w:rPr>
          <w:sz w:val="26"/>
          <w:szCs w:val="26"/>
        </w:rPr>
        <w:fldChar w:fldCharType="separate"/>
      </w:r>
      <w:r w:rsidR="00BB1E55">
        <w:rPr>
          <w:sz w:val="26"/>
          <w:szCs w:val="26"/>
        </w:rPr>
        <w:t>D</w:t>
      </w:r>
      <w:r w:rsidR="00C913CD" w:rsidRPr="00117531">
        <w:rPr>
          <w:sz w:val="26"/>
          <w:szCs w:val="26"/>
        </w:rPr>
        <w:fldChar w:fldCharType="end"/>
      </w:r>
      <w:r w:rsidR="00C913CD" w:rsidRPr="00D7185E">
        <w:rPr>
          <w:sz w:val="26"/>
          <w:szCs w:val="26"/>
        </w:rPr>
        <w:t>.</w:t>
      </w:r>
      <w:r w:rsidR="00C913CD" w:rsidRPr="00117531">
        <w:rPr>
          <w:sz w:val="26"/>
          <w:szCs w:val="26"/>
        </w:rPr>
        <w:fldChar w:fldCharType="begin"/>
      </w:r>
      <w:r w:rsidR="00C913CD" w:rsidRPr="00D7185E">
        <w:rPr>
          <w:sz w:val="26"/>
          <w:szCs w:val="26"/>
        </w:rPr>
        <w:instrText xml:space="preserve"> REF _Ref30575412 \r \h </w:instrText>
      </w:r>
      <w:r w:rsidR="00D7185E">
        <w:rPr>
          <w:sz w:val="26"/>
          <w:szCs w:val="26"/>
        </w:rPr>
        <w:instrText xml:space="preserve"> \* MERGEFORMAT </w:instrText>
      </w:r>
      <w:r w:rsidR="00C913CD" w:rsidRPr="00117531">
        <w:rPr>
          <w:sz w:val="26"/>
          <w:szCs w:val="26"/>
        </w:rPr>
      </w:r>
      <w:r w:rsidR="00C913CD" w:rsidRPr="00117531">
        <w:rPr>
          <w:sz w:val="26"/>
          <w:szCs w:val="26"/>
        </w:rPr>
        <w:fldChar w:fldCharType="separate"/>
      </w:r>
      <w:r w:rsidR="00BB1E55">
        <w:rPr>
          <w:sz w:val="26"/>
          <w:szCs w:val="26"/>
        </w:rPr>
        <w:t>3</w:t>
      </w:r>
      <w:r w:rsidR="00C913CD" w:rsidRPr="00117531">
        <w:rPr>
          <w:sz w:val="26"/>
          <w:szCs w:val="26"/>
        </w:rPr>
        <w:fldChar w:fldCharType="end"/>
      </w:r>
      <w:r w:rsidR="00C913CD">
        <w:rPr>
          <w:sz w:val="26"/>
          <w:szCs w:val="26"/>
        </w:rPr>
        <w:t xml:space="preserve">: </w:t>
      </w:r>
      <w:r w:rsidR="00C913CD" w:rsidRPr="00117531">
        <w:rPr>
          <w:sz w:val="26"/>
          <w:szCs w:val="26"/>
        </w:rPr>
        <w:fldChar w:fldCharType="begin"/>
      </w:r>
      <w:r w:rsidR="00C913CD" w:rsidRPr="00D7185E">
        <w:rPr>
          <w:sz w:val="26"/>
          <w:szCs w:val="26"/>
        </w:rPr>
        <w:instrText xml:space="preserve"> REF _Ref30575412 \h </w:instrText>
      </w:r>
      <w:r w:rsidR="00D7185E">
        <w:rPr>
          <w:sz w:val="26"/>
          <w:szCs w:val="26"/>
        </w:rPr>
        <w:instrText xml:space="preserve"> \* MERGEFORMAT </w:instrText>
      </w:r>
      <w:r w:rsidR="00C913CD" w:rsidRPr="00117531">
        <w:rPr>
          <w:sz w:val="26"/>
          <w:szCs w:val="26"/>
        </w:rPr>
      </w:r>
      <w:r w:rsidR="00C913CD" w:rsidRPr="00117531">
        <w:rPr>
          <w:sz w:val="26"/>
          <w:szCs w:val="26"/>
        </w:rPr>
        <w:fldChar w:fldCharType="separate"/>
      </w:r>
      <w:r w:rsidR="00BB1E55" w:rsidRPr="00BB1E55">
        <w:rPr>
          <w:sz w:val="26"/>
          <w:szCs w:val="26"/>
        </w:rPr>
        <w:t>EDC and SWE Reports</w:t>
      </w:r>
      <w:r w:rsidR="00C913CD" w:rsidRPr="00117531">
        <w:rPr>
          <w:sz w:val="26"/>
          <w:szCs w:val="26"/>
        </w:rPr>
        <w:fldChar w:fldCharType="end"/>
      </w:r>
      <w:r w:rsidR="00156864">
        <w:rPr>
          <w:sz w:val="26"/>
          <w:szCs w:val="26"/>
        </w:rPr>
        <w:t xml:space="preserve"> may affect </w:t>
      </w:r>
      <w:r w:rsidR="00440F95">
        <w:rPr>
          <w:sz w:val="26"/>
          <w:szCs w:val="26"/>
        </w:rPr>
        <w:t xml:space="preserve">EDC thinking on this topic as the earlier </w:t>
      </w:r>
      <w:r w:rsidR="00690B34">
        <w:rPr>
          <w:sz w:val="26"/>
          <w:szCs w:val="26"/>
        </w:rPr>
        <w:t xml:space="preserve">due date for EDC </w:t>
      </w:r>
      <w:r w:rsidR="008E3044">
        <w:rPr>
          <w:sz w:val="26"/>
          <w:szCs w:val="26"/>
        </w:rPr>
        <w:t xml:space="preserve">Final </w:t>
      </w:r>
      <w:r w:rsidR="00690B34">
        <w:rPr>
          <w:sz w:val="26"/>
          <w:szCs w:val="26"/>
        </w:rPr>
        <w:t>A</w:t>
      </w:r>
      <w:r w:rsidR="00440F95">
        <w:rPr>
          <w:sz w:val="26"/>
          <w:szCs w:val="26"/>
        </w:rPr>
        <w:t xml:space="preserve">nnual </w:t>
      </w:r>
      <w:r w:rsidR="00690B34">
        <w:rPr>
          <w:sz w:val="26"/>
          <w:szCs w:val="26"/>
        </w:rPr>
        <w:t>R</w:t>
      </w:r>
      <w:r w:rsidR="00440F95">
        <w:rPr>
          <w:sz w:val="26"/>
          <w:szCs w:val="26"/>
        </w:rPr>
        <w:t>eports would shorten the amount of time available to EDC evaluation contractors to conduct EM&amp;V activities on measures installed within given program year</w:t>
      </w:r>
      <w:r w:rsidR="00BE5604">
        <w:rPr>
          <w:sz w:val="26"/>
          <w:szCs w:val="26"/>
        </w:rPr>
        <w:t>s</w:t>
      </w:r>
      <w:r w:rsidR="00440F95">
        <w:rPr>
          <w:sz w:val="26"/>
          <w:szCs w:val="26"/>
        </w:rPr>
        <w:t xml:space="preserve">. </w:t>
      </w:r>
    </w:p>
    <w:p w14:paraId="7A19905F" w14:textId="29920B1F" w:rsidR="00744541" w:rsidRDefault="00744541" w:rsidP="00A9401C">
      <w:pPr>
        <w:spacing w:line="360" w:lineRule="auto"/>
        <w:ind w:firstLine="720"/>
        <w:rPr>
          <w:sz w:val="26"/>
          <w:szCs w:val="26"/>
        </w:rPr>
      </w:pPr>
    </w:p>
    <w:p w14:paraId="2950A045" w14:textId="2C8836B5" w:rsidR="00DB4CDE" w:rsidRPr="00D23634" w:rsidRDefault="00D83ABD" w:rsidP="00DB4CDE">
      <w:pPr>
        <w:spacing w:line="360" w:lineRule="auto"/>
        <w:ind w:firstLine="720"/>
        <w:rPr>
          <w:sz w:val="26"/>
          <w:szCs w:val="26"/>
        </w:rPr>
      </w:pPr>
      <w:r>
        <w:rPr>
          <w:sz w:val="26"/>
          <w:szCs w:val="26"/>
        </w:rPr>
        <w:t>Lastly</w:t>
      </w:r>
      <w:r w:rsidRPr="00D83ABD">
        <w:rPr>
          <w:sz w:val="26"/>
          <w:szCs w:val="26"/>
        </w:rPr>
        <w:t xml:space="preserve">, we </w:t>
      </w:r>
      <w:r>
        <w:rPr>
          <w:sz w:val="26"/>
          <w:szCs w:val="26"/>
        </w:rPr>
        <w:t xml:space="preserve">propose that </w:t>
      </w:r>
      <w:r w:rsidRPr="00D83ABD">
        <w:rPr>
          <w:sz w:val="26"/>
          <w:szCs w:val="26"/>
        </w:rPr>
        <w:t xml:space="preserve">EDCs include </w:t>
      </w:r>
      <w:r w:rsidR="00FB40CF">
        <w:rPr>
          <w:sz w:val="26"/>
          <w:szCs w:val="26"/>
        </w:rPr>
        <w:t xml:space="preserve">clear </w:t>
      </w:r>
      <w:r w:rsidRPr="00D83ABD">
        <w:rPr>
          <w:sz w:val="26"/>
          <w:szCs w:val="26"/>
        </w:rPr>
        <w:t xml:space="preserve">deadlines on </w:t>
      </w:r>
      <w:r w:rsidR="00FB40CF">
        <w:rPr>
          <w:sz w:val="26"/>
          <w:szCs w:val="26"/>
        </w:rPr>
        <w:t xml:space="preserve">all </w:t>
      </w:r>
      <w:r w:rsidRPr="00D83ABD">
        <w:rPr>
          <w:sz w:val="26"/>
          <w:szCs w:val="26"/>
        </w:rPr>
        <w:t>rebate forms</w:t>
      </w:r>
      <w:r w:rsidR="00C93B56">
        <w:rPr>
          <w:sz w:val="26"/>
          <w:szCs w:val="26"/>
        </w:rPr>
        <w:t xml:space="preserve"> and </w:t>
      </w:r>
      <w:r w:rsidRPr="00D83ABD">
        <w:rPr>
          <w:sz w:val="26"/>
          <w:szCs w:val="26"/>
        </w:rPr>
        <w:t xml:space="preserve">applications to ensure that participating customers are aware of the deadlines associated with the program.  </w:t>
      </w:r>
      <w:r w:rsidR="00FB40CF">
        <w:rPr>
          <w:sz w:val="26"/>
          <w:szCs w:val="26"/>
        </w:rPr>
        <w:t xml:space="preserve">We propose that program </w:t>
      </w:r>
      <w:r w:rsidR="00D23634">
        <w:rPr>
          <w:sz w:val="26"/>
          <w:szCs w:val="26"/>
        </w:rPr>
        <w:t xml:space="preserve">delivery </w:t>
      </w:r>
      <w:r w:rsidR="00FB40CF">
        <w:rPr>
          <w:sz w:val="26"/>
          <w:szCs w:val="26"/>
        </w:rPr>
        <w:t xml:space="preserve">CSP contracts </w:t>
      </w:r>
      <w:r w:rsidR="00D23634">
        <w:rPr>
          <w:sz w:val="26"/>
          <w:szCs w:val="26"/>
        </w:rPr>
        <w:t>clearly delineate responsibilities for maintaining up-to-date forms and website information i</w:t>
      </w:r>
      <w:r w:rsidRPr="00D83ABD">
        <w:rPr>
          <w:sz w:val="26"/>
          <w:szCs w:val="26"/>
        </w:rPr>
        <w:t>n the event of rebate deadline changes.</w:t>
      </w:r>
      <w:r w:rsidRPr="004D2067">
        <w:rPr>
          <w:sz w:val="26"/>
          <w:szCs w:val="26"/>
        </w:rPr>
        <w:t xml:space="preserve">  </w:t>
      </w:r>
    </w:p>
    <w:p w14:paraId="6FC54E3F" w14:textId="77777777" w:rsidR="009E160A" w:rsidRPr="00A30B75" w:rsidRDefault="009E160A" w:rsidP="0009548F">
      <w:pPr>
        <w:spacing w:line="360" w:lineRule="auto"/>
        <w:rPr>
          <w:sz w:val="26"/>
          <w:szCs w:val="26"/>
        </w:rPr>
      </w:pPr>
    </w:p>
    <w:p w14:paraId="7F57B674" w14:textId="77777777" w:rsidR="006E03F7" w:rsidRPr="00A30B75" w:rsidRDefault="006E03F7" w:rsidP="00DD1373">
      <w:pPr>
        <w:pStyle w:val="Heading3"/>
      </w:pPr>
      <w:bookmarkStart w:id="360" w:name="_Toc33782030"/>
      <w:r w:rsidRPr="00A30B75">
        <w:lastRenderedPageBreak/>
        <w:t>Allocation of Costs to Customer Classes</w:t>
      </w:r>
      <w:bookmarkEnd w:id="360"/>
    </w:p>
    <w:p w14:paraId="433E7416" w14:textId="1344DDAD" w:rsidR="006E03F7" w:rsidRPr="00E833C5" w:rsidRDefault="006E03F7" w:rsidP="00EB6FDF">
      <w:pPr>
        <w:pStyle w:val="StyleLinespacing15lines"/>
      </w:pPr>
      <w:r w:rsidRPr="00E833C5">
        <w:tab/>
        <w:t xml:space="preserve">The Act requires that all approved EE&amp;C measures be financed by the customer class that receives the direct energy and conservation benefit of such measures.  </w:t>
      </w:r>
      <w:r w:rsidR="00542E16" w:rsidRPr="00010BF9">
        <w:rPr>
          <w:i/>
        </w:rPr>
        <w:t>See</w:t>
      </w:r>
      <w:r w:rsidR="00542E16">
        <w:t xml:space="preserve"> 66</w:t>
      </w:r>
      <w:r w:rsidR="009E160A">
        <w:t> </w:t>
      </w:r>
      <w:r w:rsidR="00542E16">
        <w:t xml:space="preserve">Pa. C.S. § 2806.1(a)(11).  </w:t>
      </w:r>
      <w:r w:rsidRPr="00E833C5">
        <w:t xml:space="preserve">In order to ensure that all approved EE&amp;C measures are financed by the customer classes that receive the benefit of such measures, it will be necessary to first assign the costs relating to each measure to those classes to whom it benefits.  Therefore, once the EDC has developed an estimate of its total EE&amp;C costs as directed above, we </w:t>
      </w:r>
      <w:r>
        <w:t>propose that the EDC be</w:t>
      </w:r>
      <w:r w:rsidRPr="00E833C5">
        <w:t xml:space="preserve"> require</w:t>
      </w:r>
      <w:r>
        <w:t>d</w:t>
      </w:r>
      <w:r w:rsidRPr="00E833C5">
        <w:t xml:space="preserve"> to allocate those costs to each of its customer classes that will benefit from the measures </w:t>
      </w:r>
      <w:r w:rsidR="00407D1A">
        <w:t>or</w:t>
      </w:r>
      <w:r w:rsidR="00057906">
        <w:t xml:space="preserve"> programs </w:t>
      </w:r>
      <w:r w:rsidRPr="00E833C5">
        <w:t>to which the costs relate.  Those costs that</w:t>
      </w:r>
      <w:r w:rsidR="00120132">
        <w:t xml:space="preserve"> </w:t>
      </w:r>
      <w:r w:rsidRPr="00E833C5">
        <w:t>demonstra</w:t>
      </w:r>
      <w:r w:rsidR="00120132">
        <w:t>bl</w:t>
      </w:r>
      <w:r w:rsidR="009F0D76">
        <w:t>y</w:t>
      </w:r>
      <w:r w:rsidR="00DE440D">
        <w:t xml:space="preserve"> and </w:t>
      </w:r>
      <w:r w:rsidR="00DE440D" w:rsidRPr="00E833C5">
        <w:t xml:space="preserve">exclusively </w:t>
      </w:r>
      <w:r w:rsidRPr="00E833C5">
        <w:t xml:space="preserve">relate to measures </w:t>
      </w:r>
      <w:r w:rsidR="00407D1A">
        <w:t xml:space="preserve">or programs </w:t>
      </w:r>
      <w:r w:rsidRPr="00E833C5">
        <w:t xml:space="preserve">that have been dedicated to a specific customer class should be assigned solely to that class.  Those costs that relate to measures </w:t>
      </w:r>
      <w:r w:rsidR="00827095">
        <w:t xml:space="preserve">or programs </w:t>
      </w:r>
      <w:r w:rsidRPr="00E833C5">
        <w:t xml:space="preserve">that are applicable to more than one class, or that can be shown to provide system-wide benefits, </w:t>
      </w:r>
      <w:r>
        <w:t>should</w:t>
      </w:r>
      <w:r w:rsidRPr="00E833C5">
        <w:t xml:space="preserve"> be allocated using reasonable and generally acceptable cost of service principles as are commonly utilized in base rate proceedings.</w:t>
      </w:r>
      <w:r w:rsidRPr="00E833C5">
        <w:rPr>
          <w:rStyle w:val="FootnoteReference"/>
          <w:szCs w:val="26"/>
        </w:rPr>
        <w:footnoteReference w:id="100"/>
      </w:r>
      <w:r w:rsidRPr="00E833C5">
        <w:t xml:space="preserve">  Administrative costs should also be allocated using reasonable and generally acceptable cost-of-service principles.</w:t>
      </w:r>
    </w:p>
    <w:p w14:paraId="4DF84B2E" w14:textId="77777777" w:rsidR="006E03F7" w:rsidRPr="00E833C5" w:rsidRDefault="006E03F7" w:rsidP="0009548F">
      <w:pPr>
        <w:tabs>
          <w:tab w:val="left" w:pos="-2070"/>
        </w:tabs>
        <w:spacing w:line="360" w:lineRule="auto"/>
        <w:rPr>
          <w:sz w:val="26"/>
          <w:szCs w:val="26"/>
        </w:rPr>
      </w:pPr>
    </w:p>
    <w:p w14:paraId="4968FFB9" w14:textId="00A792CE" w:rsidR="006E03F7" w:rsidRDefault="006E03F7" w:rsidP="0009548F">
      <w:pPr>
        <w:tabs>
          <w:tab w:val="left" w:pos="-2070"/>
        </w:tabs>
        <w:spacing w:line="360" w:lineRule="auto"/>
        <w:rPr>
          <w:sz w:val="26"/>
          <w:szCs w:val="26"/>
        </w:rPr>
      </w:pPr>
      <w:r w:rsidRPr="00E833C5">
        <w:rPr>
          <w:sz w:val="26"/>
          <w:szCs w:val="26"/>
        </w:rPr>
        <w:tab/>
      </w:r>
      <w:r w:rsidR="00B74090" w:rsidRPr="00E833C5">
        <w:rPr>
          <w:sz w:val="26"/>
          <w:szCs w:val="26"/>
        </w:rPr>
        <w:t>Regarding</w:t>
      </w:r>
      <w:r w:rsidRPr="00E833C5">
        <w:rPr>
          <w:sz w:val="26"/>
          <w:szCs w:val="26"/>
        </w:rPr>
        <w:t xml:space="preserve"> the assignment of EE&amp;C costs to low-income customers, the Act requires EE&amp;C measures to be financed by the same customer class that will receive the direct energy and conservation benefits from them.  66 Pa. C.S. § 2806.1(a)(11).  The Act does not provide for the exclusion of low-income customers from EE&amp;C cost recovery, and in any event, it would be difficult to determine a way to exclude such customers from the allocation of EE&amp;C costs within their </w:t>
      </w:r>
      <w:r w:rsidR="00B74090" w:rsidRPr="00E833C5">
        <w:rPr>
          <w:sz w:val="26"/>
          <w:szCs w:val="26"/>
        </w:rPr>
        <w:t>customer</w:t>
      </w:r>
      <w:r w:rsidRPr="00E833C5">
        <w:rPr>
          <w:sz w:val="26"/>
          <w:szCs w:val="26"/>
        </w:rPr>
        <w:t xml:space="preserve"> class.  Although we have great concern for the difficulties experienced by low</w:t>
      </w:r>
      <w:r w:rsidRPr="00E833C5">
        <w:rPr>
          <w:sz w:val="26"/>
          <w:szCs w:val="26"/>
        </w:rPr>
        <w:noBreakHyphen/>
        <w:t xml:space="preserve">income customers in paying their energy bills, </w:t>
      </w:r>
      <w:r>
        <w:rPr>
          <w:sz w:val="26"/>
          <w:szCs w:val="26"/>
        </w:rPr>
        <w:t xml:space="preserve">we propose </w:t>
      </w:r>
      <w:r w:rsidR="00860956">
        <w:rPr>
          <w:sz w:val="26"/>
          <w:szCs w:val="26"/>
        </w:rPr>
        <w:t xml:space="preserve">with this Tentative Order </w:t>
      </w:r>
      <w:r>
        <w:rPr>
          <w:sz w:val="26"/>
          <w:szCs w:val="26"/>
        </w:rPr>
        <w:t xml:space="preserve">that such customers </w:t>
      </w:r>
      <w:r w:rsidR="00B74090">
        <w:rPr>
          <w:sz w:val="26"/>
          <w:szCs w:val="26"/>
        </w:rPr>
        <w:t>are not</w:t>
      </w:r>
      <w:r>
        <w:rPr>
          <w:sz w:val="26"/>
          <w:szCs w:val="26"/>
        </w:rPr>
        <w:t xml:space="preserve"> exempted from contributing toward the recovery of </w:t>
      </w:r>
      <w:r w:rsidR="00B74090">
        <w:rPr>
          <w:sz w:val="26"/>
          <w:szCs w:val="26"/>
        </w:rPr>
        <w:t>fairly</w:t>
      </w:r>
      <w:r w:rsidR="002740B2">
        <w:rPr>
          <w:sz w:val="26"/>
          <w:szCs w:val="26"/>
        </w:rPr>
        <w:t xml:space="preserve"> </w:t>
      </w:r>
      <w:r w:rsidR="00B74090">
        <w:rPr>
          <w:sz w:val="26"/>
          <w:szCs w:val="26"/>
        </w:rPr>
        <w:t>allocated</w:t>
      </w:r>
      <w:r>
        <w:rPr>
          <w:sz w:val="26"/>
          <w:szCs w:val="26"/>
        </w:rPr>
        <w:t xml:space="preserve"> EE&amp;C costs</w:t>
      </w:r>
      <w:r w:rsidRPr="00E833C5">
        <w:rPr>
          <w:sz w:val="26"/>
          <w:szCs w:val="26"/>
        </w:rPr>
        <w:t xml:space="preserve">.  We point out that </w:t>
      </w:r>
      <w:r w:rsidRPr="00E833C5">
        <w:rPr>
          <w:sz w:val="26"/>
          <w:szCs w:val="26"/>
        </w:rPr>
        <w:lastRenderedPageBreak/>
        <w:t>low</w:t>
      </w:r>
      <w:r w:rsidR="00506DB9">
        <w:rPr>
          <w:sz w:val="26"/>
          <w:szCs w:val="26"/>
        </w:rPr>
        <w:noBreakHyphen/>
      </w:r>
      <w:r w:rsidRPr="00E833C5">
        <w:rPr>
          <w:sz w:val="26"/>
          <w:szCs w:val="26"/>
        </w:rPr>
        <w:t xml:space="preserve">income customers will stand to benefit financially from well-designed EE&amp;C measures implemented by the EDCs.  Moreover, such customers can take advantage of the many programs currently available to help low-income </w:t>
      </w:r>
      <w:r w:rsidRPr="00A30B75">
        <w:rPr>
          <w:sz w:val="26"/>
          <w:szCs w:val="26"/>
        </w:rPr>
        <w:t>and payment-troubled customers pay their energy bills.</w:t>
      </w:r>
    </w:p>
    <w:p w14:paraId="61489064" w14:textId="37D82BCA" w:rsidR="00DB4CDE" w:rsidRDefault="00DB4CDE" w:rsidP="0009548F">
      <w:pPr>
        <w:tabs>
          <w:tab w:val="left" w:pos="-2070"/>
        </w:tabs>
        <w:spacing w:line="360" w:lineRule="auto"/>
        <w:rPr>
          <w:sz w:val="26"/>
          <w:szCs w:val="26"/>
        </w:rPr>
      </w:pPr>
    </w:p>
    <w:p w14:paraId="626E496F" w14:textId="310F80E5" w:rsidR="00DB4CDE" w:rsidRPr="00DD1373" w:rsidRDefault="00DB4CDE" w:rsidP="00841187">
      <w:pPr>
        <w:pStyle w:val="Heading3"/>
        <w:spacing w:line="240" w:lineRule="auto"/>
      </w:pPr>
      <w:bookmarkStart w:id="361" w:name="_Ref31466380"/>
      <w:bookmarkStart w:id="362" w:name="_Toc33782031"/>
      <w:r w:rsidRPr="00A30B75">
        <w:t>Bidding Peak</w:t>
      </w:r>
      <w:r>
        <w:t xml:space="preserve"> Demand</w:t>
      </w:r>
      <w:r w:rsidRPr="00F93D6F">
        <w:t xml:space="preserve"> </w:t>
      </w:r>
      <w:r w:rsidR="00E22D96">
        <w:t xml:space="preserve">from Energy Efficiency </w:t>
      </w:r>
      <w:r w:rsidRPr="00F93D6F">
        <w:t>Resources into the PJM Capacity Market</w:t>
      </w:r>
      <w:bookmarkEnd w:id="361"/>
      <w:bookmarkEnd w:id="362"/>
    </w:p>
    <w:p w14:paraId="11675293" w14:textId="4F627781" w:rsidR="00363091" w:rsidRDefault="00DB4CDE" w:rsidP="00841187">
      <w:pPr>
        <w:tabs>
          <w:tab w:val="left" w:pos="-2070"/>
        </w:tabs>
        <w:spacing w:before="200" w:line="360" w:lineRule="auto"/>
        <w:rPr>
          <w:bCs/>
          <w:sz w:val="26"/>
          <w:szCs w:val="26"/>
        </w:rPr>
      </w:pPr>
      <w:r>
        <w:rPr>
          <w:bCs/>
          <w:sz w:val="26"/>
          <w:szCs w:val="26"/>
        </w:rPr>
        <w:tab/>
      </w:r>
      <w:r w:rsidR="00B74090">
        <w:rPr>
          <w:bCs/>
          <w:sz w:val="26"/>
          <w:szCs w:val="26"/>
        </w:rPr>
        <w:t>Peak demand s</w:t>
      </w:r>
      <w:r w:rsidRPr="0090595F">
        <w:rPr>
          <w:bCs/>
          <w:sz w:val="26"/>
          <w:szCs w:val="26"/>
        </w:rPr>
        <w:t xml:space="preserve">avings from qualified </w:t>
      </w:r>
      <w:r w:rsidR="00F314EB">
        <w:rPr>
          <w:bCs/>
          <w:sz w:val="26"/>
          <w:szCs w:val="26"/>
        </w:rPr>
        <w:t>EE</w:t>
      </w:r>
      <w:r>
        <w:rPr>
          <w:bCs/>
          <w:sz w:val="26"/>
          <w:szCs w:val="26"/>
        </w:rPr>
        <w:t xml:space="preserve"> resources </w:t>
      </w:r>
      <w:r w:rsidRPr="0090595F">
        <w:rPr>
          <w:bCs/>
          <w:sz w:val="26"/>
          <w:szCs w:val="26"/>
        </w:rPr>
        <w:t xml:space="preserve">may be bid into the PJM </w:t>
      </w:r>
      <w:r>
        <w:rPr>
          <w:bCs/>
          <w:sz w:val="26"/>
          <w:szCs w:val="26"/>
        </w:rPr>
        <w:t>c</w:t>
      </w:r>
      <w:r w:rsidRPr="0090595F">
        <w:rPr>
          <w:bCs/>
          <w:sz w:val="26"/>
          <w:szCs w:val="26"/>
        </w:rPr>
        <w:t xml:space="preserve">apacity </w:t>
      </w:r>
      <w:r>
        <w:rPr>
          <w:bCs/>
          <w:sz w:val="26"/>
          <w:szCs w:val="26"/>
        </w:rPr>
        <w:t>m</w:t>
      </w:r>
      <w:r w:rsidRPr="0090595F">
        <w:rPr>
          <w:bCs/>
          <w:sz w:val="26"/>
          <w:szCs w:val="26"/>
        </w:rPr>
        <w:t xml:space="preserve">arket </w:t>
      </w:r>
      <w:r w:rsidR="004A0987">
        <w:rPr>
          <w:bCs/>
          <w:sz w:val="26"/>
          <w:szCs w:val="26"/>
        </w:rPr>
        <w:t xml:space="preserve">as supply alongside traditional generators </w:t>
      </w:r>
      <w:r w:rsidRPr="0090595F">
        <w:rPr>
          <w:bCs/>
          <w:sz w:val="26"/>
          <w:szCs w:val="26"/>
        </w:rPr>
        <w:t xml:space="preserve">if </w:t>
      </w:r>
      <w:r>
        <w:rPr>
          <w:bCs/>
          <w:sz w:val="26"/>
          <w:szCs w:val="26"/>
        </w:rPr>
        <w:t xml:space="preserve">those </w:t>
      </w:r>
      <w:r w:rsidRPr="0090595F">
        <w:rPr>
          <w:bCs/>
          <w:sz w:val="26"/>
          <w:szCs w:val="26"/>
        </w:rPr>
        <w:t>projects meet the criteria and requirements set by PJM</w:t>
      </w:r>
      <w:r w:rsidR="00C74BF3">
        <w:rPr>
          <w:bCs/>
          <w:sz w:val="26"/>
          <w:szCs w:val="26"/>
        </w:rPr>
        <w:t>.</w:t>
      </w:r>
      <w:r w:rsidR="001F3A61">
        <w:rPr>
          <w:rStyle w:val="FootnoteReference"/>
          <w:bCs/>
          <w:sz w:val="26"/>
          <w:szCs w:val="26"/>
        </w:rPr>
        <w:footnoteReference w:id="101"/>
      </w:r>
      <w:r w:rsidRPr="0090595F">
        <w:rPr>
          <w:bCs/>
          <w:sz w:val="26"/>
          <w:szCs w:val="26"/>
        </w:rPr>
        <w:t xml:space="preserve">  </w:t>
      </w:r>
      <w:r>
        <w:rPr>
          <w:bCs/>
          <w:sz w:val="26"/>
          <w:szCs w:val="26"/>
        </w:rPr>
        <w:t xml:space="preserve">The issue of </w:t>
      </w:r>
      <w:r w:rsidR="00B74090">
        <w:rPr>
          <w:bCs/>
          <w:sz w:val="26"/>
          <w:szCs w:val="26"/>
        </w:rPr>
        <w:t>whether</w:t>
      </w:r>
      <w:r>
        <w:rPr>
          <w:bCs/>
          <w:sz w:val="26"/>
          <w:szCs w:val="26"/>
        </w:rPr>
        <w:t xml:space="preserve"> </w:t>
      </w:r>
      <w:r w:rsidRPr="0090595F">
        <w:rPr>
          <w:bCs/>
          <w:sz w:val="26"/>
          <w:szCs w:val="26"/>
        </w:rPr>
        <w:t>EDCs</w:t>
      </w:r>
      <w:r>
        <w:rPr>
          <w:bCs/>
          <w:sz w:val="26"/>
          <w:szCs w:val="26"/>
        </w:rPr>
        <w:t xml:space="preserve"> should</w:t>
      </w:r>
      <w:r w:rsidRPr="0090595F">
        <w:rPr>
          <w:bCs/>
          <w:sz w:val="26"/>
          <w:szCs w:val="26"/>
        </w:rPr>
        <w:t xml:space="preserve"> be required to bid qualified resources into the PJM </w:t>
      </w:r>
      <w:r w:rsidR="00B57506">
        <w:rPr>
          <w:bCs/>
          <w:sz w:val="26"/>
          <w:szCs w:val="26"/>
        </w:rPr>
        <w:t xml:space="preserve">FCM </w:t>
      </w:r>
      <w:r>
        <w:rPr>
          <w:bCs/>
          <w:sz w:val="26"/>
          <w:szCs w:val="26"/>
        </w:rPr>
        <w:t>must be addressed for Phase I</w:t>
      </w:r>
      <w:r w:rsidR="00B74090">
        <w:rPr>
          <w:bCs/>
          <w:sz w:val="26"/>
          <w:szCs w:val="26"/>
        </w:rPr>
        <w:t>V</w:t>
      </w:r>
      <w:r>
        <w:rPr>
          <w:bCs/>
          <w:sz w:val="26"/>
          <w:szCs w:val="26"/>
        </w:rPr>
        <w:t xml:space="preserve">.  Additionally, if those resources are to be bid into the PJM </w:t>
      </w:r>
      <w:r w:rsidR="00C93120">
        <w:rPr>
          <w:bCs/>
          <w:sz w:val="26"/>
          <w:szCs w:val="26"/>
        </w:rPr>
        <w:t>FCM</w:t>
      </w:r>
      <w:r>
        <w:rPr>
          <w:bCs/>
          <w:sz w:val="26"/>
          <w:szCs w:val="26"/>
        </w:rPr>
        <w:t>, the</w:t>
      </w:r>
      <w:r w:rsidRPr="0090595F">
        <w:rPr>
          <w:bCs/>
          <w:sz w:val="26"/>
          <w:szCs w:val="26"/>
        </w:rPr>
        <w:t xml:space="preserve"> disposition of </w:t>
      </w:r>
      <w:r>
        <w:rPr>
          <w:bCs/>
          <w:sz w:val="26"/>
          <w:szCs w:val="26"/>
        </w:rPr>
        <w:t>revenues</w:t>
      </w:r>
      <w:r w:rsidRPr="0090595F">
        <w:rPr>
          <w:bCs/>
          <w:sz w:val="26"/>
          <w:szCs w:val="26"/>
        </w:rPr>
        <w:t xml:space="preserve"> from resources that clear the auctions</w:t>
      </w:r>
      <w:r>
        <w:rPr>
          <w:bCs/>
          <w:sz w:val="26"/>
          <w:szCs w:val="26"/>
        </w:rPr>
        <w:t xml:space="preserve"> must be addressed.</w:t>
      </w:r>
    </w:p>
    <w:p w14:paraId="527887B5" w14:textId="0E5A4DD6" w:rsidR="000E5A2B" w:rsidRDefault="003D40D8" w:rsidP="00841187">
      <w:pPr>
        <w:tabs>
          <w:tab w:val="left" w:pos="-2070"/>
        </w:tabs>
        <w:spacing w:before="240" w:line="360" w:lineRule="auto"/>
        <w:rPr>
          <w:bCs/>
          <w:sz w:val="26"/>
          <w:szCs w:val="26"/>
        </w:rPr>
      </w:pPr>
      <w:r>
        <w:rPr>
          <w:bCs/>
          <w:sz w:val="26"/>
          <w:szCs w:val="26"/>
        </w:rPr>
        <w:tab/>
      </w:r>
      <w:r w:rsidR="00363091">
        <w:rPr>
          <w:bCs/>
          <w:sz w:val="26"/>
          <w:szCs w:val="26"/>
        </w:rPr>
        <w:t xml:space="preserve">In prior </w:t>
      </w:r>
      <w:r w:rsidR="00DA5493">
        <w:rPr>
          <w:bCs/>
          <w:sz w:val="26"/>
          <w:szCs w:val="26"/>
        </w:rPr>
        <w:t>Phases</w:t>
      </w:r>
      <w:r w:rsidR="00363091">
        <w:rPr>
          <w:bCs/>
          <w:sz w:val="26"/>
          <w:szCs w:val="26"/>
        </w:rPr>
        <w:t>, we have</w:t>
      </w:r>
      <w:r w:rsidR="00DB4CDE">
        <w:rPr>
          <w:bCs/>
          <w:sz w:val="26"/>
          <w:szCs w:val="26"/>
        </w:rPr>
        <w:t xml:space="preserve"> not </w:t>
      </w:r>
      <w:r w:rsidR="00363091">
        <w:rPr>
          <w:bCs/>
          <w:sz w:val="26"/>
          <w:szCs w:val="26"/>
        </w:rPr>
        <w:t xml:space="preserve">required </w:t>
      </w:r>
      <w:r w:rsidR="00DB4CDE">
        <w:rPr>
          <w:bCs/>
          <w:sz w:val="26"/>
          <w:szCs w:val="26"/>
        </w:rPr>
        <w:t xml:space="preserve">EDCs to bid </w:t>
      </w:r>
      <w:r w:rsidR="00363091">
        <w:rPr>
          <w:bCs/>
          <w:sz w:val="26"/>
          <w:szCs w:val="26"/>
        </w:rPr>
        <w:t>the peak demand reductions of their</w:t>
      </w:r>
      <w:r w:rsidR="00DB4CDE">
        <w:rPr>
          <w:bCs/>
          <w:sz w:val="26"/>
          <w:szCs w:val="26"/>
        </w:rPr>
        <w:t xml:space="preserve"> </w:t>
      </w:r>
      <w:r w:rsidR="00DA5493">
        <w:rPr>
          <w:bCs/>
          <w:sz w:val="26"/>
          <w:szCs w:val="26"/>
        </w:rPr>
        <w:t>EE&amp;C Plans</w:t>
      </w:r>
      <w:r w:rsidR="00DB4CDE">
        <w:rPr>
          <w:bCs/>
          <w:sz w:val="26"/>
          <w:szCs w:val="26"/>
        </w:rPr>
        <w:t xml:space="preserve"> into </w:t>
      </w:r>
      <w:r w:rsidR="00363091">
        <w:rPr>
          <w:bCs/>
          <w:sz w:val="26"/>
          <w:szCs w:val="26"/>
        </w:rPr>
        <w:t xml:space="preserve">PJM’s </w:t>
      </w:r>
      <w:r w:rsidR="00991760">
        <w:rPr>
          <w:bCs/>
          <w:sz w:val="26"/>
          <w:szCs w:val="26"/>
        </w:rPr>
        <w:t>FCM,</w:t>
      </w:r>
      <w:r w:rsidR="00363091">
        <w:rPr>
          <w:bCs/>
          <w:sz w:val="26"/>
          <w:szCs w:val="26"/>
        </w:rPr>
        <w:t xml:space="preserve"> but allowed </w:t>
      </w:r>
      <w:r w:rsidR="00C93120">
        <w:rPr>
          <w:bCs/>
          <w:sz w:val="26"/>
          <w:szCs w:val="26"/>
        </w:rPr>
        <w:t>EDCs</w:t>
      </w:r>
      <w:r w:rsidR="00DB4CDE">
        <w:rPr>
          <w:bCs/>
          <w:sz w:val="26"/>
          <w:szCs w:val="26"/>
        </w:rPr>
        <w:t xml:space="preserve"> the flexibility to voluntarily bid </w:t>
      </w:r>
      <w:r w:rsidR="00DA5493">
        <w:rPr>
          <w:bCs/>
          <w:sz w:val="26"/>
          <w:szCs w:val="26"/>
        </w:rPr>
        <w:t>them in</w:t>
      </w:r>
      <w:r w:rsidR="00363091">
        <w:rPr>
          <w:bCs/>
          <w:sz w:val="26"/>
          <w:szCs w:val="26"/>
        </w:rPr>
        <w:t>.</w:t>
      </w:r>
      <w:r w:rsidR="00DB4CDE">
        <w:rPr>
          <w:bCs/>
          <w:sz w:val="26"/>
          <w:szCs w:val="26"/>
        </w:rPr>
        <w:t xml:space="preserve">  In such cases, we </w:t>
      </w:r>
      <w:r w:rsidR="00363091">
        <w:rPr>
          <w:bCs/>
          <w:sz w:val="26"/>
          <w:szCs w:val="26"/>
        </w:rPr>
        <w:t>ordered</w:t>
      </w:r>
      <w:r w:rsidR="00DB4CDE">
        <w:rPr>
          <w:bCs/>
          <w:sz w:val="26"/>
          <w:szCs w:val="26"/>
        </w:rPr>
        <w:t xml:space="preserve"> that the EDC be required to allocate the revenue received from successful bidding of resources to the customer class from which the savings were acquired.</w:t>
      </w:r>
      <w:r w:rsidR="000E5A2B">
        <w:rPr>
          <w:rStyle w:val="FootnoteReference"/>
          <w:bCs/>
          <w:sz w:val="26"/>
          <w:szCs w:val="26"/>
        </w:rPr>
        <w:footnoteReference w:id="102"/>
      </w:r>
      <w:r w:rsidR="00363091">
        <w:rPr>
          <w:bCs/>
          <w:sz w:val="26"/>
          <w:szCs w:val="26"/>
        </w:rPr>
        <w:t xml:space="preserve">  </w:t>
      </w:r>
    </w:p>
    <w:p w14:paraId="07295645" w14:textId="0B4FA3AB" w:rsidR="004A0987" w:rsidRPr="004A0987" w:rsidRDefault="003D40D8" w:rsidP="000E5A2B">
      <w:pPr>
        <w:tabs>
          <w:tab w:val="left" w:pos="-2070"/>
        </w:tabs>
        <w:spacing w:before="240" w:line="360" w:lineRule="auto"/>
        <w:ind w:firstLine="720"/>
        <w:rPr>
          <w:bCs/>
          <w:sz w:val="26"/>
          <w:szCs w:val="26"/>
        </w:rPr>
      </w:pPr>
      <w:r>
        <w:rPr>
          <w:bCs/>
          <w:sz w:val="26"/>
          <w:szCs w:val="26"/>
        </w:rPr>
        <w:t xml:space="preserve">In </w:t>
      </w:r>
      <w:r w:rsidR="0018100B">
        <w:rPr>
          <w:bCs/>
          <w:sz w:val="26"/>
          <w:szCs w:val="26"/>
        </w:rPr>
        <w:t xml:space="preserve">preparation for the 2021 TRC Test Order the Commission requested the SWE </w:t>
      </w:r>
      <w:r w:rsidR="00DA5493">
        <w:rPr>
          <w:bCs/>
          <w:sz w:val="26"/>
          <w:szCs w:val="26"/>
        </w:rPr>
        <w:t xml:space="preserve">to </w:t>
      </w:r>
      <w:r w:rsidR="0018100B">
        <w:rPr>
          <w:bCs/>
          <w:sz w:val="26"/>
          <w:szCs w:val="26"/>
        </w:rPr>
        <w:t xml:space="preserve">review how peak demand reductions from other states in organized markets like PJM </w:t>
      </w:r>
      <w:r w:rsidR="00C93120">
        <w:rPr>
          <w:bCs/>
          <w:sz w:val="26"/>
          <w:szCs w:val="26"/>
        </w:rPr>
        <w:t>and ISO</w:t>
      </w:r>
      <w:r w:rsidR="0018100B">
        <w:rPr>
          <w:bCs/>
          <w:sz w:val="26"/>
          <w:szCs w:val="26"/>
        </w:rPr>
        <w:t xml:space="preserve">-New England are </w:t>
      </w:r>
      <w:r w:rsidR="004A0987">
        <w:rPr>
          <w:bCs/>
          <w:sz w:val="26"/>
          <w:szCs w:val="26"/>
        </w:rPr>
        <w:t>handled.</w:t>
      </w:r>
      <w:r w:rsidR="002A1BA4">
        <w:rPr>
          <w:bCs/>
          <w:sz w:val="26"/>
          <w:szCs w:val="26"/>
        </w:rPr>
        <w:t xml:space="preserve">  Table </w:t>
      </w:r>
      <w:r w:rsidR="004451AB">
        <w:rPr>
          <w:bCs/>
          <w:sz w:val="26"/>
          <w:szCs w:val="26"/>
        </w:rPr>
        <w:t>20</w:t>
      </w:r>
      <w:r w:rsidR="004A0987" w:rsidRPr="004A0987">
        <w:rPr>
          <w:bCs/>
          <w:sz w:val="26"/>
          <w:szCs w:val="26"/>
        </w:rPr>
        <w:t xml:space="preserve"> provides a list of states in these markets with EE</w:t>
      </w:r>
      <w:r w:rsidR="00DA5493">
        <w:rPr>
          <w:bCs/>
          <w:sz w:val="26"/>
          <w:szCs w:val="26"/>
        </w:rPr>
        <w:t>&amp;C</w:t>
      </w:r>
      <w:r w:rsidR="004A0987" w:rsidRPr="004A0987">
        <w:rPr>
          <w:bCs/>
          <w:sz w:val="26"/>
          <w:szCs w:val="26"/>
        </w:rPr>
        <w:t xml:space="preserve"> programs and our understanding of how </w:t>
      </w:r>
      <w:r w:rsidR="00363091">
        <w:rPr>
          <w:bCs/>
          <w:sz w:val="26"/>
          <w:szCs w:val="26"/>
        </w:rPr>
        <w:t xml:space="preserve">peak demand reductions </w:t>
      </w:r>
      <w:r w:rsidR="00C93120">
        <w:rPr>
          <w:bCs/>
          <w:sz w:val="26"/>
          <w:szCs w:val="26"/>
        </w:rPr>
        <w:t xml:space="preserve">from at least a subset of </w:t>
      </w:r>
      <w:r w:rsidR="00DA5493">
        <w:rPr>
          <w:bCs/>
          <w:sz w:val="26"/>
          <w:szCs w:val="26"/>
        </w:rPr>
        <w:t>their</w:t>
      </w:r>
      <w:r w:rsidR="00DA5493" w:rsidRPr="004A0987">
        <w:rPr>
          <w:bCs/>
          <w:sz w:val="26"/>
          <w:szCs w:val="26"/>
        </w:rPr>
        <w:t xml:space="preserve"> </w:t>
      </w:r>
      <w:r w:rsidR="004A0987" w:rsidRPr="004A0987">
        <w:rPr>
          <w:bCs/>
          <w:sz w:val="26"/>
          <w:szCs w:val="26"/>
        </w:rPr>
        <w:t xml:space="preserve">programs are treated in those states. </w:t>
      </w:r>
      <w:r w:rsidR="00DA5493">
        <w:rPr>
          <w:bCs/>
          <w:sz w:val="26"/>
          <w:szCs w:val="26"/>
        </w:rPr>
        <w:t xml:space="preserve"> </w:t>
      </w:r>
      <w:r w:rsidR="004A0987" w:rsidRPr="004A0987">
        <w:rPr>
          <w:bCs/>
          <w:sz w:val="26"/>
          <w:szCs w:val="26"/>
        </w:rPr>
        <w:t>Pennsylvania appear</w:t>
      </w:r>
      <w:r w:rsidR="00C93120">
        <w:rPr>
          <w:bCs/>
          <w:sz w:val="26"/>
          <w:szCs w:val="26"/>
        </w:rPr>
        <w:t>s</w:t>
      </w:r>
      <w:r w:rsidR="004A0987" w:rsidRPr="004A0987">
        <w:rPr>
          <w:bCs/>
          <w:sz w:val="26"/>
          <w:szCs w:val="26"/>
        </w:rPr>
        <w:t xml:space="preserve"> to be in the minority on this issue</w:t>
      </w:r>
      <w:r w:rsidR="00363091">
        <w:rPr>
          <w:bCs/>
          <w:sz w:val="26"/>
          <w:szCs w:val="26"/>
        </w:rPr>
        <w:t xml:space="preserve">, which </w:t>
      </w:r>
      <w:r w:rsidR="004A0987" w:rsidRPr="004A0987">
        <w:rPr>
          <w:sz w:val="26"/>
          <w:szCs w:val="26"/>
        </w:rPr>
        <w:t xml:space="preserve">suggests further consideration of the advantages and disadvantages of the </w:t>
      </w:r>
      <w:r w:rsidR="00363091">
        <w:rPr>
          <w:sz w:val="26"/>
          <w:szCs w:val="26"/>
        </w:rPr>
        <w:t>status quo</w:t>
      </w:r>
      <w:r w:rsidR="004A0987" w:rsidRPr="004A0987">
        <w:rPr>
          <w:sz w:val="26"/>
          <w:szCs w:val="26"/>
        </w:rPr>
        <w:t xml:space="preserve"> position is warranted.</w:t>
      </w:r>
    </w:p>
    <w:p w14:paraId="57DF440C" w14:textId="0946970A" w:rsidR="004A0987" w:rsidRPr="001C4984" w:rsidRDefault="004A0987" w:rsidP="000F45BB">
      <w:pPr>
        <w:pStyle w:val="Caption"/>
        <w:keepNext/>
        <w:spacing w:line="264" w:lineRule="auto"/>
        <w:jc w:val="center"/>
        <w:rPr>
          <w:b/>
          <w:bCs/>
          <w:i w:val="0"/>
          <w:iCs w:val="0"/>
          <w:color w:val="auto"/>
          <w:sz w:val="26"/>
          <w:szCs w:val="26"/>
        </w:rPr>
      </w:pPr>
      <w:bookmarkStart w:id="363" w:name="_Ref488248071"/>
      <w:r w:rsidRPr="001C4984">
        <w:rPr>
          <w:b/>
          <w:bCs/>
          <w:i w:val="0"/>
          <w:iCs w:val="0"/>
          <w:color w:val="auto"/>
          <w:sz w:val="26"/>
          <w:szCs w:val="26"/>
        </w:rPr>
        <w:lastRenderedPageBreak/>
        <w:t>T</w:t>
      </w:r>
      <w:bookmarkEnd w:id="363"/>
      <w:r w:rsidR="002A1BA4">
        <w:rPr>
          <w:b/>
          <w:bCs/>
          <w:i w:val="0"/>
          <w:iCs w:val="0"/>
          <w:color w:val="auto"/>
          <w:sz w:val="26"/>
          <w:szCs w:val="26"/>
        </w:rPr>
        <w:t xml:space="preserve">able </w:t>
      </w:r>
      <w:r w:rsidR="004451AB">
        <w:rPr>
          <w:b/>
          <w:bCs/>
          <w:i w:val="0"/>
          <w:iCs w:val="0"/>
          <w:color w:val="auto"/>
          <w:sz w:val="26"/>
          <w:szCs w:val="26"/>
        </w:rPr>
        <w:t>20</w:t>
      </w:r>
      <w:r w:rsidRPr="001C4984">
        <w:rPr>
          <w:b/>
          <w:bCs/>
          <w:i w:val="0"/>
          <w:iCs w:val="0"/>
          <w:color w:val="auto"/>
          <w:sz w:val="26"/>
          <w:szCs w:val="26"/>
        </w:rPr>
        <w:t>: EE Forward Capacity Market Participation by State</w:t>
      </w:r>
    </w:p>
    <w:tbl>
      <w:tblPr>
        <w:tblStyle w:val="ListTable3"/>
        <w:tblW w:w="5000" w:type="pct"/>
        <w:jc w:val="center"/>
        <w:tblLook w:val="04A0" w:firstRow="1" w:lastRow="0" w:firstColumn="1" w:lastColumn="0" w:noHBand="0" w:noVBand="1"/>
      </w:tblPr>
      <w:tblGrid>
        <w:gridCol w:w="4682"/>
        <w:gridCol w:w="4668"/>
      </w:tblGrid>
      <w:tr w:rsidR="004A0987" w:rsidRPr="001A0124" w14:paraId="06E47227" w14:textId="77777777" w:rsidTr="00F729E6">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100" w:firstRow="0" w:lastRow="0" w:firstColumn="1" w:lastColumn="0" w:oddVBand="0" w:evenVBand="0" w:oddHBand="0" w:evenHBand="0" w:firstRowFirstColumn="1" w:firstRowLastColumn="0" w:lastRowFirstColumn="0" w:lastRowLastColumn="0"/>
            <w:tcW w:w="0" w:type="pct"/>
            <w:tcBorders>
              <w:top w:val="single" w:sz="4" w:space="0" w:color="000000" w:themeColor="text1"/>
              <w:bottom w:val="single" w:sz="4" w:space="0" w:color="000000" w:themeColor="text1"/>
              <w:right w:val="single" w:sz="4" w:space="0" w:color="FFFFFF" w:themeColor="background1"/>
            </w:tcBorders>
          </w:tcPr>
          <w:p w14:paraId="2B4255EE" w14:textId="75B9B452" w:rsidR="004A0987" w:rsidRPr="001A0124" w:rsidRDefault="004A0987" w:rsidP="005B11CD">
            <w:pPr>
              <w:keepNext/>
              <w:spacing w:line="264" w:lineRule="auto"/>
              <w:jc w:val="center"/>
            </w:pPr>
            <w:r w:rsidRPr="001A0124">
              <w:t xml:space="preserve">States Where EE Programs are Bid into </w:t>
            </w:r>
            <w:r w:rsidR="00B57506">
              <w:t>FCM</w:t>
            </w:r>
          </w:p>
        </w:tc>
        <w:tc>
          <w:tcPr>
            <w:tcW w:w="0" w:type="pct"/>
            <w:tcBorders>
              <w:top w:val="single" w:sz="4" w:space="0" w:color="000000" w:themeColor="text1"/>
              <w:left w:val="single" w:sz="4" w:space="0" w:color="FFFFFF" w:themeColor="background1"/>
              <w:bottom w:val="single" w:sz="4" w:space="0" w:color="000000" w:themeColor="text1"/>
            </w:tcBorders>
          </w:tcPr>
          <w:p w14:paraId="2AE74F93" w14:textId="74A82F7C" w:rsidR="004A0987" w:rsidRPr="001A0124" w:rsidRDefault="004A0987" w:rsidP="005B11CD">
            <w:pPr>
              <w:keepNext/>
              <w:spacing w:line="264" w:lineRule="auto"/>
              <w:jc w:val="center"/>
              <w:cnfStyle w:val="100000000000" w:firstRow="1" w:lastRow="0" w:firstColumn="0" w:lastColumn="0" w:oddVBand="0" w:evenVBand="0" w:oddHBand="0" w:evenHBand="0" w:firstRowFirstColumn="0" w:firstRowLastColumn="0" w:lastRowFirstColumn="0" w:lastRowLastColumn="0"/>
            </w:pPr>
            <w:r w:rsidRPr="001A0124">
              <w:t xml:space="preserve">States Where EE Programs are Not Bid into </w:t>
            </w:r>
            <w:r w:rsidR="00B57506">
              <w:t>FCM</w:t>
            </w:r>
          </w:p>
        </w:tc>
      </w:tr>
      <w:tr w:rsidR="004A0987" w:rsidRPr="001A0124" w14:paraId="46EC048D" w14:textId="77777777" w:rsidTr="00F729E6">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0" w:type="pct"/>
            <w:tcBorders>
              <w:bottom w:val="nil"/>
              <w:right w:val="single" w:sz="4" w:space="0" w:color="000000" w:themeColor="text1"/>
            </w:tcBorders>
          </w:tcPr>
          <w:p w14:paraId="04FBFB0B" w14:textId="0A6E058A" w:rsidR="004A0987" w:rsidRPr="001A0124" w:rsidRDefault="004A0987" w:rsidP="005B11CD">
            <w:pPr>
              <w:keepNext/>
              <w:spacing w:line="264" w:lineRule="auto"/>
              <w:jc w:val="center"/>
              <w:rPr>
                <w:b w:val="0"/>
                <w:bCs w:val="0"/>
              </w:rPr>
            </w:pPr>
            <w:r w:rsidRPr="001A0124">
              <w:rPr>
                <w:b w:val="0"/>
                <w:bCs w:val="0"/>
              </w:rPr>
              <w:t>Maryland</w:t>
            </w:r>
          </w:p>
        </w:tc>
        <w:tc>
          <w:tcPr>
            <w:tcW w:w="0" w:type="pct"/>
            <w:tcBorders>
              <w:left w:val="single" w:sz="4" w:space="0" w:color="000000" w:themeColor="text1"/>
              <w:bottom w:val="nil"/>
            </w:tcBorders>
          </w:tcPr>
          <w:p w14:paraId="51DA834D" w14:textId="77777777" w:rsidR="004A0987" w:rsidRPr="001A0124" w:rsidRDefault="004A0987" w:rsidP="005B11CD">
            <w:pPr>
              <w:keepNext/>
              <w:spacing w:line="264" w:lineRule="auto"/>
              <w:jc w:val="center"/>
              <w:cnfStyle w:val="000000100000" w:firstRow="0" w:lastRow="0" w:firstColumn="0" w:lastColumn="0" w:oddVBand="0" w:evenVBand="0" w:oddHBand="1" w:evenHBand="0" w:firstRowFirstColumn="0" w:firstRowLastColumn="0" w:lastRowFirstColumn="0" w:lastRowLastColumn="0"/>
            </w:pPr>
            <w:r w:rsidRPr="001A0124">
              <w:t>Pennsylvania</w:t>
            </w:r>
          </w:p>
        </w:tc>
      </w:tr>
      <w:tr w:rsidR="004A0987" w:rsidRPr="001A0124" w14:paraId="3AEC5C06" w14:textId="77777777" w:rsidTr="00F729E6">
        <w:trPr>
          <w:trHeight w:val="360"/>
          <w:jc w:val="center"/>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right w:val="single" w:sz="4" w:space="0" w:color="000000" w:themeColor="text1"/>
            </w:tcBorders>
          </w:tcPr>
          <w:p w14:paraId="67777E6B" w14:textId="6EAB9276" w:rsidR="004A0987" w:rsidRPr="001A0124" w:rsidRDefault="004A0987" w:rsidP="005B11CD">
            <w:pPr>
              <w:keepNext/>
              <w:spacing w:line="264" w:lineRule="auto"/>
              <w:jc w:val="center"/>
              <w:rPr>
                <w:b w:val="0"/>
                <w:bCs w:val="0"/>
              </w:rPr>
            </w:pPr>
            <w:r w:rsidRPr="001A0124">
              <w:rPr>
                <w:b w:val="0"/>
                <w:bCs w:val="0"/>
              </w:rPr>
              <w:t>Maine</w:t>
            </w:r>
          </w:p>
        </w:tc>
        <w:tc>
          <w:tcPr>
            <w:tcW w:w="0" w:type="pct"/>
            <w:tcBorders>
              <w:top w:val="nil"/>
              <w:left w:val="single" w:sz="4" w:space="0" w:color="000000" w:themeColor="text1"/>
              <w:bottom w:val="nil"/>
            </w:tcBorders>
          </w:tcPr>
          <w:p w14:paraId="6E39CFF8" w14:textId="77777777" w:rsidR="004A0987" w:rsidRPr="001A0124" w:rsidRDefault="004A0987" w:rsidP="005B11CD">
            <w:pPr>
              <w:keepNext/>
              <w:spacing w:line="264" w:lineRule="auto"/>
              <w:jc w:val="center"/>
              <w:cnfStyle w:val="000000000000" w:firstRow="0" w:lastRow="0" w:firstColumn="0" w:lastColumn="0" w:oddVBand="0" w:evenVBand="0" w:oddHBand="0" w:evenHBand="0" w:firstRowFirstColumn="0" w:firstRowLastColumn="0" w:lastRowFirstColumn="0" w:lastRowLastColumn="0"/>
            </w:pPr>
            <w:r w:rsidRPr="001A0124">
              <w:t>Kentucky</w:t>
            </w:r>
          </w:p>
        </w:tc>
      </w:tr>
      <w:tr w:rsidR="004A0987" w:rsidRPr="001A0124" w14:paraId="3FCDEE6B" w14:textId="77777777" w:rsidTr="00F729E6">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right w:val="single" w:sz="4" w:space="0" w:color="000000" w:themeColor="text1"/>
            </w:tcBorders>
          </w:tcPr>
          <w:p w14:paraId="189320A2" w14:textId="12D44262" w:rsidR="004A0987" w:rsidRPr="001A0124" w:rsidRDefault="004A0987" w:rsidP="005B11CD">
            <w:pPr>
              <w:keepNext/>
              <w:spacing w:line="264" w:lineRule="auto"/>
              <w:jc w:val="center"/>
              <w:rPr>
                <w:b w:val="0"/>
                <w:bCs w:val="0"/>
              </w:rPr>
            </w:pPr>
            <w:r w:rsidRPr="001A0124">
              <w:rPr>
                <w:b w:val="0"/>
                <w:bCs w:val="0"/>
              </w:rPr>
              <w:t>Illinois (ComEd)</w:t>
            </w:r>
          </w:p>
        </w:tc>
        <w:tc>
          <w:tcPr>
            <w:tcW w:w="0" w:type="pct"/>
            <w:tcBorders>
              <w:top w:val="nil"/>
              <w:left w:val="single" w:sz="4" w:space="0" w:color="000000" w:themeColor="text1"/>
              <w:bottom w:val="nil"/>
            </w:tcBorders>
          </w:tcPr>
          <w:p w14:paraId="5F57A125" w14:textId="77777777" w:rsidR="004A0987" w:rsidRPr="001A0124" w:rsidRDefault="004A0987" w:rsidP="005B11CD">
            <w:pPr>
              <w:keepNext/>
              <w:spacing w:line="264" w:lineRule="auto"/>
              <w:jc w:val="center"/>
              <w:cnfStyle w:val="000000100000" w:firstRow="0" w:lastRow="0" w:firstColumn="0" w:lastColumn="0" w:oddVBand="0" w:evenVBand="0" w:oddHBand="1" w:evenHBand="0" w:firstRowFirstColumn="0" w:firstRowLastColumn="0" w:lastRowFirstColumn="0" w:lastRowLastColumn="0"/>
            </w:pPr>
            <w:r w:rsidRPr="001A0124">
              <w:t>Indiana</w:t>
            </w:r>
          </w:p>
        </w:tc>
      </w:tr>
      <w:tr w:rsidR="004A0987" w:rsidRPr="001A0124" w14:paraId="659DA7DA" w14:textId="77777777" w:rsidTr="00F729E6">
        <w:trPr>
          <w:trHeight w:val="360"/>
          <w:jc w:val="center"/>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right w:val="single" w:sz="4" w:space="0" w:color="000000" w:themeColor="text1"/>
            </w:tcBorders>
          </w:tcPr>
          <w:p w14:paraId="5A4060E0" w14:textId="69BF614C" w:rsidR="004A0987" w:rsidRPr="001A0124" w:rsidRDefault="004A0987" w:rsidP="005B11CD">
            <w:pPr>
              <w:keepNext/>
              <w:spacing w:line="264" w:lineRule="auto"/>
              <w:jc w:val="center"/>
              <w:rPr>
                <w:b w:val="0"/>
                <w:bCs w:val="0"/>
              </w:rPr>
            </w:pPr>
            <w:r w:rsidRPr="001A0124">
              <w:rPr>
                <w:b w:val="0"/>
                <w:bCs w:val="0"/>
              </w:rPr>
              <w:t>Connecticut</w:t>
            </w:r>
          </w:p>
        </w:tc>
        <w:tc>
          <w:tcPr>
            <w:tcW w:w="0" w:type="pct"/>
            <w:tcBorders>
              <w:top w:val="nil"/>
              <w:left w:val="single" w:sz="4" w:space="0" w:color="000000" w:themeColor="text1"/>
              <w:bottom w:val="nil"/>
            </w:tcBorders>
          </w:tcPr>
          <w:p w14:paraId="72D161B1" w14:textId="66E757D6" w:rsidR="004A0987" w:rsidRPr="001A0124" w:rsidRDefault="004A0987" w:rsidP="005B11CD">
            <w:pPr>
              <w:keepNext/>
              <w:spacing w:line="264" w:lineRule="auto"/>
              <w:jc w:val="center"/>
              <w:cnfStyle w:val="000000000000" w:firstRow="0" w:lastRow="0" w:firstColumn="0" w:lastColumn="0" w:oddVBand="0" w:evenVBand="0" w:oddHBand="0" w:evenHBand="0" w:firstRowFirstColumn="0" w:firstRowLastColumn="0" w:lastRowFirstColumn="0" w:lastRowLastColumn="0"/>
            </w:pPr>
            <w:r w:rsidRPr="001A0124">
              <w:t>New Jersey</w:t>
            </w:r>
            <w:r w:rsidR="001A0124" w:rsidRPr="001A0124">
              <w:t xml:space="preserve"> (under consideration)</w:t>
            </w:r>
          </w:p>
        </w:tc>
      </w:tr>
      <w:tr w:rsidR="004A0987" w:rsidRPr="001A0124" w14:paraId="5DDF0E3B" w14:textId="77777777" w:rsidTr="00F729E6">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right w:val="single" w:sz="4" w:space="0" w:color="000000" w:themeColor="text1"/>
            </w:tcBorders>
          </w:tcPr>
          <w:p w14:paraId="6C3D4D67" w14:textId="77777777" w:rsidR="004A0987" w:rsidRPr="001A0124" w:rsidRDefault="004A0987" w:rsidP="005B11CD">
            <w:pPr>
              <w:keepNext/>
              <w:spacing w:line="264" w:lineRule="auto"/>
              <w:jc w:val="center"/>
              <w:rPr>
                <w:b w:val="0"/>
                <w:bCs w:val="0"/>
              </w:rPr>
            </w:pPr>
            <w:r w:rsidRPr="001A0124">
              <w:rPr>
                <w:b w:val="0"/>
                <w:bCs w:val="0"/>
              </w:rPr>
              <w:t>Massachusetts</w:t>
            </w:r>
          </w:p>
        </w:tc>
        <w:tc>
          <w:tcPr>
            <w:tcW w:w="0" w:type="pct"/>
            <w:tcBorders>
              <w:top w:val="nil"/>
              <w:left w:val="single" w:sz="4" w:space="0" w:color="000000" w:themeColor="text1"/>
              <w:bottom w:val="nil"/>
            </w:tcBorders>
          </w:tcPr>
          <w:p w14:paraId="06CF6840" w14:textId="77777777" w:rsidR="004A0987" w:rsidRPr="001A0124" w:rsidRDefault="004A0987" w:rsidP="005B11CD">
            <w:pPr>
              <w:keepNext/>
              <w:spacing w:line="264" w:lineRule="auto"/>
              <w:jc w:val="center"/>
              <w:cnfStyle w:val="000000100000" w:firstRow="0" w:lastRow="0" w:firstColumn="0" w:lastColumn="0" w:oddVBand="0" w:evenVBand="0" w:oddHBand="1" w:evenHBand="0" w:firstRowFirstColumn="0" w:firstRowLastColumn="0" w:lastRowFirstColumn="0" w:lastRowLastColumn="0"/>
            </w:pPr>
          </w:p>
        </w:tc>
      </w:tr>
      <w:tr w:rsidR="004A0987" w:rsidRPr="001A0124" w14:paraId="53951D11" w14:textId="77777777" w:rsidTr="00F729E6">
        <w:trPr>
          <w:trHeight w:val="360"/>
          <w:jc w:val="center"/>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right w:val="single" w:sz="4" w:space="0" w:color="000000" w:themeColor="text1"/>
            </w:tcBorders>
          </w:tcPr>
          <w:p w14:paraId="5131C300" w14:textId="1630582D" w:rsidR="004A0987" w:rsidRPr="001A0124" w:rsidRDefault="004A0987" w:rsidP="005B11CD">
            <w:pPr>
              <w:keepNext/>
              <w:spacing w:line="264" w:lineRule="auto"/>
              <w:jc w:val="center"/>
              <w:rPr>
                <w:b w:val="0"/>
                <w:bCs w:val="0"/>
              </w:rPr>
            </w:pPr>
            <w:r w:rsidRPr="001A0124">
              <w:rPr>
                <w:b w:val="0"/>
                <w:bCs w:val="0"/>
              </w:rPr>
              <w:t>Rhode Island</w:t>
            </w:r>
          </w:p>
        </w:tc>
        <w:tc>
          <w:tcPr>
            <w:tcW w:w="0" w:type="pct"/>
            <w:tcBorders>
              <w:top w:val="nil"/>
              <w:left w:val="single" w:sz="4" w:space="0" w:color="000000" w:themeColor="text1"/>
              <w:bottom w:val="nil"/>
            </w:tcBorders>
          </w:tcPr>
          <w:p w14:paraId="7D12C178" w14:textId="77777777" w:rsidR="004A0987" w:rsidRPr="001A0124" w:rsidRDefault="004A0987" w:rsidP="005B11CD">
            <w:pPr>
              <w:keepNext/>
              <w:spacing w:line="264" w:lineRule="auto"/>
              <w:jc w:val="center"/>
              <w:cnfStyle w:val="000000000000" w:firstRow="0" w:lastRow="0" w:firstColumn="0" w:lastColumn="0" w:oddVBand="0" w:evenVBand="0" w:oddHBand="0" w:evenHBand="0" w:firstRowFirstColumn="0" w:firstRowLastColumn="0" w:lastRowFirstColumn="0" w:lastRowLastColumn="0"/>
            </w:pPr>
          </w:p>
        </w:tc>
      </w:tr>
      <w:tr w:rsidR="004A0987" w:rsidRPr="001A0124" w14:paraId="2F97F325" w14:textId="77777777" w:rsidTr="00F729E6">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right w:val="single" w:sz="4" w:space="0" w:color="000000" w:themeColor="text1"/>
            </w:tcBorders>
          </w:tcPr>
          <w:p w14:paraId="1A88F46A" w14:textId="37BDF4F2" w:rsidR="004A0987" w:rsidRPr="001A0124" w:rsidRDefault="004A0987" w:rsidP="005B11CD">
            <w:pPr>
              <w:keepNext/>
              <w:spacing w:line="264" w:lineRule="auto"/>
              <w:jc w:val="center"/>
              <w:rPr>
                <w:b w:val="0"/>
                <w:bCs w:val="0"/>
              </w:rPr>
            </w:pPr>
            <w:r w:rsidRPr="001A0124">
              <w:rPr>
                <w:b w:val="0"/>
                <w:bCs w:val="0"/>
              </w:rPr>
              <w:t>Vermont</w:t>
            </w:r>
          </w:p>
        </w:tc>
        <w:tc>
          <w:tcPr>
            <w:tcW w:w="0" w:type="pct"/>
            <w:tcBorders>
              <w:top w:val="nil"/>
              <w:left w:val="single" w:sz="4" w:space="0" w:color="000000" w:themeColor="text1"/>
              <w:bottom w:val="nil"/>
            </w:tcBorders>
          </w:tcPr>
          <w:p w14:paraId="131534D1" w14:textId="77777777" w:rsidR="004A0987" w:rsidRPr="001A0124" w:rsidRDefault="004A0987" w:rsidP="005B11CD">
            <w:pPr>
              <w:keepNext/>
              <w:spacing w:line="264" w:lineRule="auto"/>
              <w:jc w:val="center"/>
              <w:cnfStyle w:val="000000100000" w:firstRow="0" w:lastRow="0" w:firstColumn="0" w:lastColumn="0" w:oddVBand="0" w:evenVBand="0" w:oddHBand="1" w:evenHBand="0" w:firstRowFirstColumn="0" w:firstRowLastColumn="0" w:lastRowFirstColumn="0" w:lastRowLastColumn="0"/>
            </w:pPr>
          </w:p>
        </w:tc>
      </w:tr>
      <w:tr w:rsidR="004A0987" w:rsidRPr="001A0124" w14:paraId="5322FD0C" w14:textId="77777777" w:rsidTr="00F729E6">
        <w:trPr>
          <w:trHeight w:val="360"/>
          <w:jc w:val="center"/>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right w:val="single" w:sz="4" w:space="0" w:color="000000" w:themeColor="text1"/>
            </w:tcBorders>
          </w:tcPr>
          <w:p w14:paraId="73579546" w14:textId="0C07694F" w:rsidR="004A0987" w:rsidRPr="001A0124" w:rsidRDefault="004A0987" w:rsidP="005B11CD">
            <w:pPr>
              <w:keepNext/>
              <w:spacing w:line="264" w:lineRule="auto"/>
              <w:jc w:val="center"/>
              <w:rPr>
                <w:b w:val="0"/>
                <w:bCs w:val="0"/>
              </w:rPr>
            </w:pPr>
            <w:r w:rsidRPr="001A0124">
              <w:rPr>
                <w:b w:val="0"/>
                <w:bCs w:val="0"/>
              </w:rPr>
              <w:t>New Hampshire</w:t>
            </w:r>
          </w:p>
        </w:tc>
        <w:tc>
          <w:tcPr>
            <w:tcW w:w="0" w:type="pct"/>
            <w:tcBorders>
              <w:top w:val="nil"/>
              <w:left w:val="single" w:sz="4" w:space="0" w:color="000000" w:themeColor="text1"/>
              <w:bottom w:val="nil"/>
            </w:tcBorders>
          </w:tcPr>
          <w:p w14:paraId="02069F89" w14:textId="77777777" w:rsidR="004A0987" w:rsidRPr="001A0124" w:rsidRDefault="004A0987" w:rsidP="005B11CD">
            <w:pPr>
              <w:keepNext/>
              <w:spacing w:line="264" w:lineRule="auto"/>
              <w:jc w:val="center"/>
              <w:cnfStyle w:val="000000000000" w:firstRow="0" w:lastRow="0" w:firstColumn="0" w:lastColumn="0" w:oddVBand="0" w:evenVBand="0" w:oddHBand="0" w:evenHBand="0" w:firstRowFirstColumn="0" w:firstRowLastColumn="0" w:lastRowFirstColumn="0" w:lastRowLastColumn="0"/>
            </w:pPr>
          </w:p>
        </w:tc>
      </w:tr>
      <w:tr w:rsidR="004A0987" w:rsidRPr="001A0124" w14:paraId="1D17DFE3" w14:textId="77777777" w:rsidTr="00F729E6">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right w:val="single" w:sz="4" w:space="0" w:color="000000" w:themeColor="text1"/>
            </w:tcBorders>
          </w:tcPr>
          <w:p w14:paraId="00528AA2" w14:textId="77777777" w:rsidR="004A0987" w:rsidRPr="001A0124" w:rsidRDefault="004A0987" w:rsidP="005B11CD">
            <w:pPr>
              <w:keepNext/>
              <w:spacing w:line="264" w:lineRule="auto"/>
              <w:jc w:val="center"/>
              <w:rPr>
                <w:b w:val="0"/>
                <w:bCs w:val="0"/>
              </w:rPr>
            </w:pPr>
            <w:r w:rsidRPr="001A0124">
              <w:rPr>
                <w:b w:val="0"/>
                <w:bCs w:val="0"/>
              </w:rPr>
              <w:t>Delaware</w:t>
            </w:r>
          </w:p>
        </w:tc>
        <w:tc>
          <w:tcPr>
            <w:tcW w:w="0" w:type="pct"/>
            <w:tcBorders>
              <w:top w:val="nil"/>
              <w:left w:val="single" w:sz="4" w:space="0" w:color="000000" w:themeColor="text1"/>
              <w:bottom w:val="nil"/>
            </w:tcBorders>
          </w:tcPr>
          <w:p w14:paraId="799D2816" w14:textId="77777777" w:rsidR="004A0987" w:rsidRPr="001A0124" w:rsidRDefault="004A0987" w:rsidP="005B11CD">
            <w:pPr>
              <w:keepNext/>
              <w:spacing w:line="264" w:lineRule="auto"/>
              <w:jc w:val="center"/>
              <w:cnfStyle w:val="000000100000" w:firstRow="0" w:lastRow="0" w:firstColumn="0" w:lastColumn="0" w:oddVBand="0" w:evenVBand="0" w:oddHBand="1" w:evenHBand="0" w:firstRowFirstColumn="0" w:firstRowLastColumn="0" w:lastRowFirstColumn="0" w:lastRowLastColumn="0"/>
            </w:pPr>
          </w:p>
        </w:tc>
      </w:tr>
      <w:tr w:rsidR="004A0987" w:rsidRPr="001A0124" w14:paraId="6838251B" w14:textId="77777777" w:rsidTr="00F729E6">
        <w:trPr>
          <w:trHeight w:val="360"/>
          <w:jc w:val="center"/>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right w:val="single" w:sz="4" w:space="0" w:color="000000" w:themeColor="text1"/>
            </w:tcBorders>
          </w:tcPr>
          <w:p w14:paraId="37F4CE1F" w14:textId="4F64C5B2" w:rsidR="004A0987" w:rsidRPr="001A0124" w:rsidRDefault="004A0987" w:rsidP="005B11CD">
            <w:pPr>
              <w:keepNext/>
              <w:spacing w:line="264" w:lineRule="auto"/>
              <w:jc w:val="center"/>
              <w:rPr>
                <w:b w:val="0"/>
                <w:bCs w:val="0"/>
              </w:rPr>
            </w:pPr>
            <w:r w:rsidRPr="001A0124">
              <w:rPr>
                <w:b w:val="0"/>
                <w:bCs w:val="0"/>
              </w:rPr>
              <w:t>Washington D.C. (DC SEU)</w:t>
            </w:r>
          </w:p>
        </w:tc>
        <w:tc>
          <w:tcPr>
            <w:tcW w:w="0" w:type="pct"/>
            <w:tcBorders>
              <w:top w:val="nil"/>
              <w:left w:val="single" w:sz="4" w:space="0" w:color="000000" w:themeColor="text1"/>
              <w:bottom w:val="nil"/>
            </w:tcBorders>
          </w:tcPr>
          <w:p w14:paraId="4594601D" w14:textId="77777777" w:rsidR="004A0987" w:rsidRPr="001A0124" w:rsidRDefault="004A0987" w:rsidP="005B11CD">
            <w:pPr>
              <w:keepNext/>
              <w:spacing w:line="264" w:lineRule="auto"/>
              <w:jc w:val="center"/>
              <w:cnfStyle w:val="000000000000" w:firstRow="0" w:lastRow="0" w:firstColumn="0" w:lastColumn="0" w:oddVBand="0" w:evenVBand="0" w:oddHBand="0" w:evenHBand="0" w:firstRowFirstColumn="0" w:firstRowLastColumn="0" w:lastRowFirstColumn="0" w:lastRowLastColumn="0"/>
            </w:pPr>
          </w:p>
        </w:tc>
      </w:tr>
      <w:tr w:rsidR="004A0987" w:rsidRPr="001A0124" w14:paraId="0B46EA2C" w14:textId="77777777" w:rsidTr="00F729E6">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0" w:type="pct"/>
            <w:tcBorders>
              <w:top w:val="nil"/>
              <w:right w:val="single" w:sz="4" w:space="0" w:color="000000" w:themeColor="text1"/>
            </w:tcBorders>
          </w:tcPr>
          <w:p w14:paraId="4CF45E37" w14:textId="437DA48A" w:rsidR="004A0987" w:rsidRPr="001A0124" w:rsidRDefault="004A0987" w:rsidP="005B11CD">
            <w:pPr>
              <w:keepNext/>
              <w:spacing w:line="264" w:lineRule="auto"/>
              <w:jc w:val="center"/>
              <w:rPr>
                <w:b w:val="0"/>
                <w:bCs w:val="0"/>
              </w:rPr>
            </w:pPr>
            <w:r w:rsidRPr="001A0124">
              <w:rPr>
                <w:b w:val="0"/>
                <w:bCs w:val="0"/>
              </w:rPr>
              <w:t>Ohio</w:t>
            </w:r>
          </w:p>
        </w:tc>
        <w:tc>
          <w:tcPr>
            <w:tcW w:w="0" w:type="pct"/>
            <w:tcBorders>
              <w:top w:val="nil"/>
              <w:left w:val="single" w:sz="4" w:space="0" w:color="000000" w:themeColor="text1"/>
            </w:tcBorders>
          </w:tcPr>
          <w:p w14:paraId="55CF42EA" w14:textId="77777777" w:rsidR="004A0987" w:rsidRPr="001A0124" w:rsidRDefault="004A0987" w:rsidP="005B11CD">
            <w:pPr>
              <w:keepNext/>
              <w:spacing w:line="264" w:lineRule="auto"/>
              <w:jc w:val="center"/>
              <w:cnfStyle w:val="000000100000" w:firstRow="0" w:lastRow="0" w:firstColumn="0" w:lastColumn="0" w:oddVBand="0" w:evenVBand="0" w:oddHBand="1" w:evenHBand="0" w:firstRowFirstColumn="0" w:firstRowLastColumn="0" w:lastRowFirstColumn="0" w:lastRowLastColumn="0"/>
            </w:pPr>
          </w:p>
        </w:tc>
      </w:tr>
    </w:tbl>
    <w:p w14:paraId="31D7672F" w14:textId="77777777" w:rsidR="000E5A2B" w:rsidRDefault="000E5A2B" w:rsidP="0009548F">
      <w:pPr>
        <w:tabs>
          <w:tab w:val="left" w:pos="-2070"/>
        </w:tabs>
        <w:spacing w:line="360" w:lineRule="auto"/>
        <w:rPr>
          <w:bCs/>
          <w:sz w:val="26"/>
          <w:szCs w:val="26"/>
        </w:rPr>
      </w:pPr>
    </w:p>
    <w:p w14:paraId="7B14A797" w14:textId="3F05E9E7" w:rsidR="00DB4CDE" w:rsidRPr="00AF5BCE" w:rsidRDefault="00F70D65" w:rsidP="007E1B5C">
      <w:pPr>
        <w:tabs>
          <w:tab w:val="left" w:pos="-2070"/>
        </w:tabs>
        <w:spacing w:before="200" w:after="200" w:line="360" w:lineRule="auto"/>
        <w:ind w:firstLine="720"/>
        <w:rPr>
          <w:bCs/>
          <w:sz w:val="26"/>
          <w:szCs w:val="26"/>
        </w:rPr>
      </w:pPr>
      <w:r>
        <w:rPr>
          <w:bCs/>
          <w:sz w:val="26"/>
          <w:szCs w:val="26"/>
        </w:rPr>
        <w:t>The</w:t>
      </w:r>
      <w:r w:rsidR="000E5A2B">
        <w:rPr>
          <w:bCs/>
          <w:sz w:val="26"/>
          <w:szCs w:val="26"/>
        </w:rPr>
        <w:t xml:space="preserve"> </w:t>
      </w:r>
      <w:r w:rsidR="00C47561">
        <w:rPr>
          <w:bCs/>
          <w:sz w:val="26"/>
          <w:szCs w:val="26"/>
        </w:rPr>
        <w:t xml:space="preserve">EEPDR Potential </w:t>
      </w:r>
      <w:r w:rsidR="00F87524">
        <w:rPr>
          <w:bCs/>
          <w:sz w:val="26"/>
          <w:szCs w:val="26"/>
        </w:rPr>
        <w:t>Study</w:t>
      </w:r>
      <w:r w:rsidR="000E5A2B">
        <w:rPr>
          <w:bCs/>
          <w:sz w:val="26"/>
          <w:szCs w:val="26"/>
        </w:rPr>
        <w:t xml:space="preserve"> estimates </w:t>
      </w:r>
      <w:r w:rsidR="00754B17">
        <w:rPr>
          <w:bCs/>
          <w:sz w:val="26"/>
          <w:szCs w:val="26"/>
        </w:rPr>
        <w:t xml:space="preserve">that </w:t>
      </w:r>
      <w:r w:rsidR="00A46635">
        <w:rPr>
          <w:bCs/>
          <w:sz w:val="26"/>
          <w:szCs w:val="26"/>
        </w:rPr>
        <w:t xml:space="preserve">the </w:t>
      </w:r>
      <w:r w:rsidR="00C60246">
        <w:rPr>
          <w:bCs/>
          <w:sz w:val="26"/>
          <w:szCs w:val="26"/>
        </w:rPr>
        <w:t xml:space="preserve">associated peak demand reduction </w:t>
      </w:r>
      <w:r w:rsidR="000E5A2B">
        <w:rPr>
          <w:bCs/>
          <w:sz w:val="26"/>
          <w:szCs w:val="26"/>
        </w:rPr>
        <w:t xml:space="preserve">programs will </w:t>
      </w:r>
      <w:r w:rsidR="00912C40">
        <w:rPr>
          <w:bCs/>
          <w:sz w:val="26"/>
          <w:szCs w:val="26"/>
        </w:rPr>
        <w:t>generate</w:t>
      </w:r>
      <w:r w:rsidR="000E5A2B">
        <w:rPr>
          <w:bCs/>
          <w:sz w:val="26"/>
          <w:szCs w:val="26"/>
        </w:rPr>
        <w:t xml:space="preserve"> </w:t>
      </w:r>
      <w:r w:rsidR="001C4C31">
        <w:rPr>
          <w:bCs/>
          <w:sz w:val="26"/>
          <w:szCs w:val="26"/>
        </w:rPr>
        <w:t>87</w:t>
      </w:r>
      <w:r w:rsidR="0054481A">
        <w:rPr>
          <w:bCs/>
          <w:sz w:val="26"/>
          <w:szCs w:val="26"/>
        </w:rPr>
        <w:t>8</w:t>
      </w:r>
      <w:r w:rsidR="000E5A2B">
        <w:rPr>
          <w:bCs/>
          <w:sz w:val="26"/>
          <w:szCs w:val="26"/>
        </w:rPr>
        <w:t xml:space="preserve"> </w:t>
      </w:r>
      <w:r w:rsidR="00B57506">
        <w:rPr>
          <w:bCs/>
          <w:sz w:val="26"/>
          <w:szCs w:val="26"/>
        </w:rPr>
        <w:t>M</w:t>
      </w:r>
      <w:r w:rsidR="000E5A2B">
        <w:rPr>
          <w:bCs/>
          <w:sz w:val="26"/>
          <w:szCs w:val="26"/>
        </w:rPr>
        <w:t xml:space="preserve">W of incremental annual </w:t>
      </w:r>
      <w:r w:rsidR="00EF7A69">
        <w:rPr>
          <w:bCs/>
          <w:sz w:val="26"/>
          <w:szCs w:val="26"/>
        </w:rPr>
        <w:t>coincident peak demand reduction</w:t>
      </w:r>
      <w:r w:rsidR="001C4C31">
        <w:rPr>
          <w:bCs/>
          <w:sz w:val="26"/>
          <w:szCs w:val="26"/>
        </w:rPr>
        <w:t xml:space="preserve"> statewide</w:t>
      </w:r>
      <w:r w:rsidR="00B57506">
        <w:rPr>
          <w:bCs/>
          <w:sz w:val="26"/>
          <w:szCs w:val="26"/>
        </w:rPr>
        <w:t xml:space="preserve">.  We recognize that not all the measures and programs included in the study or an EDC’s EE&amp;C plan would be well-suited to bidding into PJM’s FCM.  Additionally, the </w:t>
      </w:r>
      <w:r w:rsidR="00E00B64">
        <w:rPr>
          <w:bCs/>
          <w:sz w:val="26"/>
          <w:szCs w:val="26"/>
        </w:rPr>
        <w:t>2021</w:t>
      </w:r>
      <w:r w:rsidR="00B57506">
        <w:rPr>
          <w:bCs/>
          <w:sz w:val="26"/>
          <w:szCs w:val="26"/>
        </w:rPr>
        <w:t xml:space="preserve"> TRM utilizes a summer peak demand definition, while PJM’s FCM uses </w:t>
      </w:r>
      <w:r w:rsidR="001C4C31">
        <w:rPr>
          <w:bCs/>
          <w:sz w:val="26"/>
          <w:szCs w:val="26"/>
        </w:rPr>
        <w:t xml:space="preserve">a </w:t>
      </w:r>
      <w:r w:rsidR="00B57506">
        <w:rPr>
          <w:bCs/>
          <w:sz w:val="26"/>
          <w:szCs w:val="26"/>
        </w:rPr>
        <w:t>definition of peak that includes both summer and winter.  However</w:t>
      </w:r>
      <w:r w:rsidR="0017033B">
        <w:rPr>
          <w:bCs/>
          <w:sz w:val="26"/>
          <w:szCs w:val="26"/>
        </w:rPr>
        <w:t>,</w:t>
      </w:r>
      <w:r w:rsidR="00B57506">
        <w:rPr>
          <w:bCs/>
          <w:sz w:val="26"/>
          <w:szCs w:val="26"/>
        </w:rPr>
        <w:t xml:space="preserve"> the Commission asserts that certain measure categories like C&amp;I lighting would </w:t>
      </w:r>
      <w:r w:rsidR="007A1FC6">
        <w:rPr>
          <w:bCs/>
          <w:sz w:val="26"/>
          <w:szCs w:val="26"/>
        </w:rPr>
        <w:t xml:space="preserve">be </w:t>
      </w:r>
      <w:r w:rsidR="00B57506">
        <w:rPr>
          <w:bCs/>
          <w:sz w:val="26"/>
          <w:szCs w:val="26"/>
        </w:rPr>
        <w:t>extremely well-suited to FCM bidding</w:t>
      </w:r>
      <w:r w:rsidR="0017033B">
        <w:rPr>
          <w:bCs/>
          <w:sz w:val="26"/>
          <w:szCs w:val="26"/>
        </w:rPr>
        <w:t xml:space="preserve"> based</w:t>
      </w:r>
      <w:r w:rsidR="007B635E">
        <w:rPr>
          <w:bCs/>
          <w:sz w:val="26"/>
          <w:szCs w:val="26"/>
        </w:rPr>
        <w:t xml:space="preserve"> on </w:t>
      </w:r>
      <w:r w:rsidR="00065F8C">
        <w:rPr>
          <w:bCs/>
          <w:sz w:val="26"/>
          <w:szCs w:val="26"/>
        </w:rPr>
        <w:t xml:space="preserve">the expected contribution to Phase IV EE&amp;C plans and </w:t>
      </w:r>
      <w:r w:rsidR="0017033B">
        <w:rPr>
          <w:bCs/>
          <w:sz w:val="26"/>
          <w:szCs w:val="26"/>
        </w:rPr>
        <w:t>a review of the 8760 load shapes</w:t>
      </w:r>
      <w:r w:rsidR="00905A53">
        <w:rPr>
          <w:rStyle w:val="FootnoteReference"/>
          <w:bCs/>
          <w:sz w:val="26"/>
          <w:szCs w:val="26"/>
        </w:rPr>
        <w:footnoteReference w:id="103"/>
      </w:r>
      <w:r w:rsidR="0017033B">
        <w:rPr>
          <w:bCs/>
          <w:sz w:val="26"/>
          <w:szCs w:val="26"/>
        </w:rPr>
        <w:t xml:space="preserve"> developed by the SWE as part of the 201</w:t>
      </w:r>
      <w:r w:rsidR="00905A53">
        <w:rPr>
          <w:bCs/>
          <w:sz w:val="26"/>
          <w:szCs w:val="26"/>
        </w:rPr>
        <w:t>4 Commercial and Residential Light Metering Study.</w:t>
      </w:r>
      <w:r w:rsidR="00905A53">
        <w:rPr>
          <w:rStyle w:val="FootnoteReference"/>
          <w:bCs/>
          <w:sz w:val="26"/>
          <w:szCs w:val="26"/>
        </w:rPr>
        <w:footnoteReference w:id="104"/>
      </w:r>
      <w:r w:rsidR="00905A53">
        <w:rPr>
          <w:bCs/>
          <w:sz w:val="26"/>
          <w:szCs w:val="26"/>
        </w:rPr>
        <w:t xml:space="preserve"> </w:t>
      </w:r>
      <w:r w:rsidR="00065F8C">
        <w:rPr>
          <w:bCs/>
          <w:sz w:val="26"/>
          <w:szCs w:val="26"/>
        </w:rPr>
        <w:t xml:space="preserve"> The Commission believes </w:t>
      </w:r>
      <w:r w:rsidR="00B00224">
        <w:rPr>
          <w:bCs/>
          <w:sz w:val="26"/>
          <w:szCs w:val="26"/>
        </w:rPr>
        <w:t xml:space="preserve">C&amp;I lighting </w:t>
      </w:r>
      <w:r w:rsidR="00065F8C">
        <w:rPr>
          <w:bCs/>
          <w:sz w:val="26"/>
          <w:szCs w:val="26"/>
        </w:rPr>
        <w:t xml:space="preserve">programs will be large and homogenous enough that </w:t>
      </w:r>
      <w:r w:rsidR="00B00224">
        <w:rPr>
          <w:bCs/>
          <w:sz w:val="26"/>
          <w:szCs w:val="26"/>
        </w:rPr>
        <w:t xml:space="preserve">the </w:t>
      </w:r>
      <w:r w:rsidR="00065F8C">
        <w:rPr>
          <w:bCs/>
          <w:sz w:val="26"/>
          <w:szCs w:val="26"/>
        </w:rPr>
        <w:t xml:space="preserve">FCM </w:t>
      </w:r>
      <w:r w:rsidR="00B00224">
        <w:rPr>
          <w:bCs/>
          <w:sz w:val="26"/>
          <w:szCs w:val="26"/>
        </w:rPr>
        <w:t xml:space="preserve">proceeds </w:t>
      </w:r>
      <w:r w:rsidR="006D1F69">
        <w:rPr>
          <w:bCs/>
          <w:sz w:val="26"/>
          <w:szCs w:val="26"/>
        </w:rPr>
        <w:t>will more than</w:t>
      </w:r>
      <w:r w:rsidR="00B00224">
        <w:rPr>
          <w:bCs/>
          <w:sz w:val="26"/>
          <w:szCs w:val="26"/>
        </w:rPr>
        <w:t xml:space="preserve"> offset the </w:t>
      </w:r>
      <w:r w:rsidR="006D1F69">
        <w:rPr>
          <w:bCs/>
          <w:sz w:val="26"/>
          <w:szCs w:val="26"/>
        </w:rPr>
        <w:t xml:space="preserve">incremental </w:t>
      </w:r>
      <w:r w:rsidR="00016930">
        <w:rPr>
          <w:bCs/>
          <w:sz w:val="26"/>
          <w:szCs w:val="26"/>
        </w:rPr>
        <w:t>measurement and verification</w:t>
      </w:r>
      <w:r w:rsidR="006D1F69">
        <w:rPr>
          <w:bCs/>
          <w:sz w:val="26"/>
          <w:szCs w:val="26"/>
        </w:rPr>
        <w:t xml:space="preserve"> </w:t>
      </w:r>
      <w:r w:rsidR="00B00224">
        <w:rPr>
          <w:bCs/>
          <w:sz w:val="26"/>
          <w:szCs w:val="26"/>
        </w:rPr>
        <w:t>cost</w:t>
      </w:r>
      <w:r w:rsidR="006D1F69">
        <w:rPr>
          <w:bCs/>
          <w:sz w:val="26"/>
          <w:szCs w:val="26"/>
        </w:rPr>
        <w:t>s</w:t>
      </w:r>
      <w:r w:rsidR="00B00224">
        <w:rPr>
          <w:bCs/>
          <w:sz w:val="26"/>
          <w:szCs w:val="26"/>
        </w:rPr>
        <w:t xml:space="preserve"> associated with FCM resources.  </w:t>
      </w:r>
    </w:p>
    <w:p w14:paraId="265D4650" w14:textId="36C96F81" w:rsidR="007E1B5C" w:rsidRPr="008C75C9" w:rsidRDefault="007E1B5C" w:rsidP="008C75C9">
      <w:pPr>
        <w:tabs>
          <w:tab w:val="left" w:pos="-2070"/>
        </w:tabs>
        <w:spacing w:before="200" w:after="200" w:line="360" w:lineRule="auto"/>
        <w:ind w:firstLine="720"/>
        <w:rPr>
          <w:sz w:val="26"/>
          <w:szCs w:val="26"/>
        </w:rPr>
      </w:pPr>
      <w:r>
        <w:rPr>
          <w:bCs/>
          <w:sz w:val="26"/>
          <w:szCs w:val="26"/>
        </w:rPr>
        <w:lastRenderedPageBreak/>
        <w:t xml:space="preserve">The Commission proposes that for Phase IV </w:t>
      </w:r>
      <w:r w:rsidR="00641A10">
        <w:rPr>
          <w:bCs/>
          <w:sz w:val="26"/>
          <w:szCs w:val="26"/>
        </w:rPr>
        <w:t>the</w:t>
      </w:r>
      <w:r>
        <w:rPr>
          <w:bCs/>
          <w:sz w:val="26"/>
          <w:szCs w:val="26"/>
        </w:rPr>
        <w:t xml:space="preserve"> EDCs be required to nominate at least a portion of the expected peak demand reductions of their EE&amp;C Plan. </w:t>
      </w:r>
      <w:r w:rsidR="005A58C8">
        <w:rPr>
          <w:bCs/>
          <w:sz w:val="26"/>
          <w:szCs w:val="26"/>
        </w:rPr>
        <w:t xml:space="preserve"> We propose that the proceeds </w:t>
      </w:r>
      <w:r w:rsidR="00757C1B">
        <w:rPr>
          <w:bCs/>
          <w:sz w:val="26"/>
          <w:szCs w:val="26"/>
        </w:rPr>
        <w:t>from</w:t>
      </w:r>
      <w:r w:rsidR="005A58C8">
        <w:rPr>
          <w:bCs/>
          <w:sz w:val="26"/>
          <w:szCs w:val="26"/>
        </w:rPr>
        <w:t xml:space="preserve"> resources that clear in </w:t>
      </w:r>
      <w:r w:rsidR="007C780F">
        <w:rPr>
          <w:bCs/>
          <w:sz w:val="26"/>
          <w:szCs w:val="26"/>
        </w:rPr>
        <w:t>the</w:t>
      </w:r>
      <w:r w:rsidR="005A58C8">
        <w:rPr>
          <w:bCs/>
          <w:sz w:val="26"/>
          <w:szCs w:val="26"/>
        </w:rPr>
        <w:t xml:space="preserve"> </w:t>
      </w:r>
      <w:r w:rsidR="00200F07">
        <w:rPr>
          <w:bCs/>
          <w:sz w:val="26"/>
          <w:szCs w:val="26"/>
        </w:rPr>
        <w:t xml:space="preserve">PJM </w:t>
      </w:r>
      <w:r w:rsidR="005A58C8">
        <w:rPr>
          <w:bCs/>
          <w:sz w:val="26"/>
          <w:szCs w:val="26"/>
        </w:rPr>
        <w:t xml:space="preserve">FCM be used to reduce Act 129 surcharges </w:t>
      </w:r>
      <w:r w:rsidR="00AC5698">
        <w:rPr>
          <w:bCs/>
          <w:sz w:val="26"/>
          <w:szCs w:val="26"/>
        </w:rPr>
        <w:t>and collections for</w:t>
      </w:r>
      <w:r w:rsidR="005A58C8">
        <w:rPr>
          <w:bCs/>
          <w:sz w:val="26"/>
          <w:szCs w:val="26"/>
        </w:rPr>
        <w:t xml:space="preserve"> customer class</w:t>
      </w:r>
      <w:r w:rsidR="00AC5698">
        <w:rPr>
          <w:bCs/>
          <w:sz w:val="26"/>
          <w:szCs w:val="26"/>
        </w:rPr>
        <w:t>es</w:t>
      </w:r>
      <w:r w:rsidR="005A58C8">
        <w:rPr>
          <w:bCs/>
          <w:sz w:val="26"/>
          <w:szCs w:val="26"/>
        </w:rPr>
        <w:t xml:space="preserve"> from which the savings were acquired</w:t>
      </w:r>
      <w:r w:rsidR="00AC5698">
        <w:rPr>
          <w:bCs/>
          <w:sz w:val="26"/>
          <w:szCs w:val="26"/>
        </w:rPr>
        <w:t>,</w:t>
      </w:r>
      <w:r w:rsidR="005A58C8">
        <w:rPr>
          <w:bCs/>
          <w:sz w:val="26"/>
          <w:szCs w:val="26"/>
        </w:rPr>
        <w:t xml:space="preserve"> via the </w:t>
      </w:r>
      <w:r w:rsidR="00757C1B">
        <w:rPr>
          <w:bCs/>
          <w:sz w:val="26"/>
          <w:szCs w:val="26"/>
        </w:rPr>
        <w:t xml:space="preserve">reconciliation for over-under collections process proposed in the following section.  Resources that clear in </w:t>
      </w:r>
      <w:r w:rsidR="00AC5698">
        <w:rPr>
          <w:bCs/>
          <w:sz w:val="26"/>
          <w:szCs w:val="26"/>
        </w:rPr>
        <w:t xml:space="preserve">the </w:t>
      </w:r>
      <w:r w:rsidR="00200F07">
        <w:rPr>
          <w:bCs/>
          <w:sz w:val="26"/>
          <w:szCs w:val="26"/>
        </w:rPr>
        <w:t xml:space="preserve">PJM </w:t>
      </w:r>
      <w:r w:rsidR="00757C1B">
        <w:rPr>
          <w:bCs/>
          <w:sz w:val="26"/>
          <w:szCs w:val="26"/>
        </w:rPr>
        <w:t>FCM</w:t>
      </w:r>
      <w:r w:rsidR="00B00224">
        <w:rPr>
          <w:bCs/>
          <w:sz w:val="26"/>
          <w:szCs w:val="26"/>
        </w:rPr>
        <w:t xml:space="preserve"> and are </w:t>
      </w:r>
      <w:r w:rsidR="0054481A">
        <w:rPr>
          <w:bCs/>
          <w:sz w:val="26"/>
          <w:szCs w:val="26"/>
        </w:rPr>
        <w:t>not installed or</w:t>
      </w:r>
      <w:r w:rsidR="00B00224">
        <w:rPr>
          <w:bCs/>
          <w:sz w:val="26"/>
          <w:szCs w:val="26"/>
        </w:rPr>
        <w:t xml:space="preserve"> determined to under-perform </w:t>
      </w:r>
      <w:r w:rsidR="00AC5698">
        <w:rPr>
          <w:bCs/>
          <w:sz w:val="26"/>
          <w:szCs w:val="26"/>
        </w:rPr>
        <w:t xml:space="preserve">by PJM </w:t>
      </w:r>
      <w:r w:rsidR="00B00224">
        <w:rPr>
          <w:bCs/>
          <w:sz w:val="26"/>
          <w:szCs w:val="26"/>
        </w:rPr>
        <w:t xml:space="preserve">are subject to </w:t>
      </w:r>
      <w:r w:rsidR="00365375">
        <w:rPr>
          <w:bCs/>
          <w:sz w:val="26"/>
          <w:szCs w:val="26"/>
        </w:rPr>
        <w:t>deficiency charges</w:t>
      </w:r>
      <w:r w:rsidR="00365375">
        <w:rPr>
          <w:rStyle w:val="FootnoteReference"/>
          <w:bCs/>
          <w:sz w:val="26"/>
          <w:szCs w:val="26"/>
        </w:rPr>
        <w:footnoteReference w:id="105"/>
      </w:r>
      <w:r w:rsidR="00365375">
        <w:rPr>
          <w:bCs/>
          <w:sz w:val="26"/>
          <w:szCs w:val="26"/>
        </w:rPr>
        <w:t xml:space="preserve"> from PJM</w:t>
      </w:r>
      <w:r w:rsidR="00B00224">
        <w:rPr>
          <w:bCs/>
          <w:sz w:val="26"/>
          <w:szCs w:val="26"/>
        </w:rPr>
        <w:t xml:space="preserve">.  We propose that </w:t>
      </w:r>
      <w:r w:rsidR="00FC6A92">
        <w:rPr>
          <w:bCs/>
          <w:sz w:val="26"/>
          <w:szCs w:val="26"/>
        </w:rPr>
        <w:t xml:space="preserve">any </w:t>
      </w:r>
      <w:r w:rsidR="00B00224">
        <w:rPr>
          <w:bCs/>
          <w:sz w:val="26"/>
          <w:szCs w:val="26"/>
        </w:rPr>
        <w:t xml:space="preserve">such </w:t>
      </w:r>
      <w:r w:rsidR="00200F07">
        <w:rPr>
          <w:bCs/>
          <w:sz w:val="26"/>
          <w:szCs w:val="26"/>
        </w:rPr>
        <w:t xml:space="preserve">PJM </w:t>
      </w:r>
      <w:r w:rsidR="00E343AC">
        <w:rPr>
          <w:bCs/>
          <w:sz w:val="26"/>
          <w:szCs w:val="26"/>
        </w:rPr>
        <w:t xml:space="preserve">deficiency charges </w:t>
      </w:r>
      <w:r w:rsidR="00B00224">
        <w:rPr>
          <w:bCs/>
          <w:sz w:val="26"/>
          <w:szCs w:val="26"/>
        </w:rPr>
        <w:t xml:space="preserve">be handled symmetrically with </w:t>
      </w:r>
      <w:r w:rsidR="00FC6A92">
        <w:rPr>
          <w:bCs/>
          <w:sz w:val="26"/>
          <w:szCs w:val="26"/>
        </w:rPr>
        <w:t xml:space="preserve">FCM </w:t>
      </w:r>
      <w:r w:rsidR="00B00224">
        <w:rPr>
          <w:bCs/>
          <w:sz w:val="26"/>
          <w:szCs w:val="26"/>
        </w:rPr>
        <w:t>proceed</w:t>
      </w:r>
      <w:r w:rsidR="00E343AC">
        <w:rPr>
          <w:bCs/>
          <w:sz w:val="26"/>
          <w:szCs w:val="26"/>
        </w:rPr>
        <w:t>s</w:t>
      </w:r>
      <w:r w:rsidR="00B00224">
        <w:rPr>
          <w:bCs/>
          <w:sz w:val="26"/>
          <w:szCs w:val="26"/>
        </w:rPr>
        <w:t xml:space="preserve"> and </w:t>
      </w:r>
      <w:r w:rsidR="00FC6A92">
        <w:rPr>
          <w:bCs/>
          <w:sz w:val="26"/>
          <w:szCs w:val="26"/>
        </w:rPr>
        <w:t xml:space="preserve">be </w:t>
      </w:r>
      <w:r w:rsidR="00B00224">
        <w:rPr>
          <w:bCs/>
          <w:sz w:val="26"/>
          <w:szCs w:val="26"/>
        </w:rPr>
        <w:t>born</w:t>
      </w:r>
      <w:r w:rsidR="00E343AC">
        <w:rPr>
          <w:bCs/>
          <w:sz w:val="26"/>
          <w:szCs w:val="26"/>
        </w:rPr>
        <w:t>e</w:t>
      </w:r>
      <w:r w:rsidR="00B00224">
        <w:rPr>
          <w:bCs/>
          <w:sz w:val="26"/>
          <w:szCs w:val="26"/>
        </w:rPr>
        <w:t xml:space="preserve"> by the relevant customer class.  We encourage </w:t>
      </w:r>
      <w:r w:rsidR="00F87484">
        <w:rPr>
          <w:bCs/>
          <w:sz w:val="26"/>
          <w:szCs w:val="26"/>
        </w:rPr>
        <w:t>the</w:t>
      </w:r>
      <w:r w:rsidR="00B00224">
        <w:rPr>
          <w:bCs/>
          <w:sz w:val="26"/>
          <w:szCs w:val="26"/>
        </w:rPr>
        <w:t xml:space="preserve"> EDCs to carefully consider their nomination levels and adopt a conservative bidding strategy to limit the likelihood of </w:t>
      </w:r>
      <w:r w:rsidR="004373F3">
        <w:rPr>
          <w:bCs/>
          <w:sz w:val="26"/>
          <w:szCs w:val="26"/>
        </w:rPr>
        <w:t>deficiency charges</w:t>
      </w:r>
      <w:r w:rsidR="00C93120">
        <w:rPr>
          <w:bCs/>
          <w:sz w:val="26"/>
          <w:szCs w:val="26"/>
        </w:rPr>
        <w:t xml:space="preserve"> or nominated resources not clearing</w:t>
      </w:r>
      <w:r w:rsidR="00B00224">
        <w:rPr>
          <w:bCs/>
          <w:sz w:val="26"/>
          <w:szCs w:val="26"/>
        </w:rPr>
        <w:t xml:space="preserve">. </w:t>
      </w:r>
      <w:r w:rsidR="00065F8C">
        <w:rPr>
          <w:bCs/>
          <w:sz w:val="26"/>
          <w:szCs w:val="26"/>
        </w:rPr>
        <w:t xml:space="preserve"> </w:t>
      </w:r>
      <w:r w:rsidR="00254AFD">
        <w:rPr>
          <w:bCs/>
          <w:sz w:val="26"/>
          <w:szCs w:val="26"/>
        </w:rPr>
        <w:t xml:space="preserve">Lastly, we propose that each EDC clearly identify in their Phase IV EE&amp;C Plan the programs, measure categories, or solutions from which they intend to nominate peak demand reduction into PJM’s FCM along with the projected MW totals to be bid by year. </w:t>
      </w:r>
    </w:p>
    <w:p w14:paraId="1169020C" w14:textId="16A66CE4" w:rsidR="00892889" w:rsidRDefault="00065F8C" w:rsidP="00892889">
      <w:pPr>
        <w:tabs>
          <w:tab w:val="left" w:pos="-2070"/>
        </w:tabs>
        <w:spacing w:before="200" w:line="360" w:lineRule="auto"/>
        <w:ind w:firstLine="720"/>
        <w:rPr>
          <w:bCs/>
          <w:sz w:val="26"/>
          <w:szCs w:val="26"/>
        </w:rPr>
      </w:pPr>
      <w:r>
        <w:rPr>
          <w:bCs/>
          <w:sz w:val="26"/>
          <w:szCs w:val="26"/>
        </w:rPr>
        <w:t xml:space="preserve">We anticipate </w:t>
      </w:r>
      <w:r w:rsidR="00AC0F94">
        <w:rPr>
          <w:bCs/>
          <w:sz w:val="26"/>
          <w:szCs w:val="26"/>
        </w:rPr>
        <w:t>that</w:t>
      </w:r>
      <w:r>
        <w:rPr>
          <w:bCs/>
          <w:sz w:val="26"/>
          <w:szCs w:val="26"/>
        </w:rPr>
        <w:t xml:space="preserve"> stakeholders will suggest that proceeds from </w:t>
      </w:r>
      <w:r w:rsidR="00200F07">
        <w:rPr>
          <w:bCs/>
          <w:sz w:val="26"/>
          <w:szCs w:val="26"/>
        </w:rPr>
        <w:t xml:space="preserve">PJM </w:t>
      </w:r>
      <w:r>
        <w:rPr>
          <w:bCs/>
          <w:sz w:val="26"/>
          <w:szCs w:val="26"/>
        </w:rPr>
        <w:t xml:space="preserve">FCM bids should be used to increase EE&amp;C </w:t>
      </w:r>
      <w:r w:rsidR="00200F07">
        <w:rPr>
          <w:bCs/>
          <w:sz w:val="26"/>
          <w:szCs w:val="26"/>
        </w:rPr>
        <w:t xml:space="preserve">plan </w:t>
      </w:r>
      <w:r>
        <w:rPr>
          <w:bCs/>
          <w:sz w:val="26"/>
          <w:szCs w:val="26"/>
        </w:rPr>
        <w:t>budgets rather than reduce collections from ratepayers</w:t>
      </w:r>
      <w:r w:rsidR="00627519">
        <w:rPr>
          <w:bCs/>
          <w:sz w:val="26"/>
          <w:szCs w:val="26"/>
        </w:rPr>
        <w:t xml:space="preserve">.  </w:t>
      </w:r>
      <w:r w:rsidR="006D7497">
        <w:rPr>
          <w:bCs/>
          <w:sz w:val="26"/>
          <w:szCs w:val="26"/>
        </w:rPr>
        <w:t>O</w:t>
      </w:r>
      <w:r w:rsidR="000C6EA6">
        <w:rPr>
          <w:bCs/>
          <w:sz w:val="26"/>
          <w:szCs w:val="26"/>
        </w:rPr>
        <w:t xml:space="preserve">ur proposal to use </w:t>
      </w:r>
      <w:r>
        <w:rPr>
          <w:bCs/>
          <w:sz w:val="26"/>
          <w:szCs w:val="26"/>
        </w:rPr>
        <w:t xml:space="preserve">FCM proceeds </w:t>
      </w:r>
      <w:r w:rsidR="000C6EA6">
        <w:rPr>
          <w:bCs/>
          <w:sz w:val="26"/>
          <w:szCs w:val="26"/>
        </w:rPr>
        <w:t>to</w:t>
      </w:r>
      <w:r>
        <w:rPr>
          <w:bCs/>
          <w:sz w:val="26"/>
          <w:szCs w:val="26"/>
        </w:rPr>
        <w:t xml:space="preserve"> </w:t>
      </w:r>
      <w:r w:rsidR="006D7497">
        <w:rPr>
          <w:bCs/>
          <w:sz w:val="26"/>
          <w:szCs w:val="26"/>
        </w:rPr>
        <w:t>offset</w:t>
      </w:r>
      <w:r w:rsidR="00554868">
        <w:rPr>
          <w:bCs/>
          <w:sz w:val="26"/>
          <w:szCs w:val="26"/>
        </w:rPr>
        <w:t xml:space="preserve"> customer payments to the </w:t>
      </w:r>
      <w:r w:rsidR="002632C8">
        <w:rPr>
          <w:bCs/>
          <w:sz w:val="26"/>
          <w:szCs w:val="26"/>
        </w:rPr>
        <w:t>EDCs</w:t>
      </w:r>
      <w:r w:rsidR="000C6EA6">
        <w:rPr>
          <w:bCs/>
          <w:sz w:val="26"/>
          <w:szCs w:val="26"/>
        </w:rPr>
        <w:t xml:space="preserve"> will place downward pressure on </w:t>
      </w:r>
      <w:r w:rsidR="00E06865">
        <w:rPr>
          <w:bCs/>
          <w:sz w:val="26"/>
          <w:szCs w:val="26"/>
        </w:rPr>
        <w:t xml:space="preserve">free </w:t>
      </w:r>
      <w:r w:rsidR="000C6EA6">
        <w:rPr>
          <w:bCs/>
          <w:sz w:val="26"/>
          <w:szCs w:val="26"/>
        </w:rPr>
        <w:t>riders</w:t>
      </w:r>
      <w:r w:rsidR="005A6016">
        <w:rPr>
          <w:bCs/>
          <w:sz w:val="26"/>
          <w:szCs w:val="26"/>
        </w:rPr>
        <w:t xml:space="preserve">, </w:t>
      </w:r>
      <w:r>
        <w:rPr>
          <w:bCs/>
          <w:sz w:val="26"/>
          <w:szCs w:val="26"/>
        </w:rPr>
        <w:t xml:space="preserve">which </w:t>
      </w:r>
      <w:r w:rsidR="005A6016">
        <w:rPr>
          <w:bCs/>
          <w:sz w:val="26"/>
          <w:szCs w:val="26"/>
        </w:rPr>
        <w:t>is</w:t>
      </w:r>
      <w:r>
        <w:rPr>
          <w:bCs/>
          <w:sz w:val="26"/>
          <w:szCs w:val="26"/>
        </w:rPr>
        <w:t xml:space="preserve"> a common concern among</w:t>
      </w:r>
      <w:r w:rsidR="00100376">
        <w:rPr>
          <w:bCs/>
          <w:sz w:val="26"/>
          <w:szCs w:val="26"/>
        </w:rPr>
        <w:t xml:space="preserve"> </w:t>
      </w:r>
      <w:r>
        <w:rPr>
          <w:bCs/>
          <w:sz w:val="26"/>
          <w:szCs w:val="26"/>
        </w:rPr>
        <w:t>stakeholders in the non-residential sector.</w:t>
      </w:r>
    </w:p>
    <w:p w14:paraId="09AC2DDD" w14:textId="77777777" w:rsidR="00892889" w:rsidRDefault="00892889" w:rsidP="00892889">
      <w:pPr>
        <w:tabs>
          <w:tab w:val="left" w:pos="-2070"/>
        </w:tabs>
        <w:spacing w:line="360" w:lineRule="auto"/>
        <w:ind w:firstLine="720"/>
        <w:rPr>
          <w:bCs/>
          <w:sz w:val="26"/>
          <w:szCs w:val="26"/>
        </w:rPr>
      </w:pPr>
    </w:p>
    <w:p w14:paraId="67A1B868" w14:textId="77777777" w:rsidR="006E03F7" w:rsidRPr="00A30B75" w:rsidRDefault="006E03F7" w:rsidP="00A71AC9">
      <w:pPr>
        <w:pStyle w:val="Heading3"/>
      </w:pPr>
      <w:bookmarkStart w:id="364" w:name="_Toc33782032"/>
      <w:r w:rsidRPr="00A30B75">
        <w:t xml:space="preserve">Cost Recovery Tariff </w:t>
      </w:r>
      <w:r w:rsidRPr="00A71AC9">
        <w:t>Mechanism</w:t>
      </w:r>
      <w:bookmarkEnd w:id="364"/>
    </w:p>
    <w:p w14:paraId="422C6D3C" w14:textId="77777777" w:rsidR="006E03F7" w:rsidRDefault="006E03F7" w:rsidP="0009548F">
      <w:pPr>
        <w:spacing w:line="360" w:lineRule="auto"/>
        <w:rPr>
          <w:sz w:val="26"/>
          <w:szCs w:val="26"/>
        </w:rPr>
      </w:pPr>
      <w:r w:rsidRPr="00A30B75">
        <w:rPr>
          <w:sz w:val="26"/>
          <w:szCs w:val="26"/>
        </w:rPr>
        <w:tab/>
        <w:t>The Act allows all EDCs to recover, on a full and current basis from customers, through a reconcilable adjustment clause under 66 Pa. C.S. § 1307, all reasonable and prudent costs incurred in the provision or management of its plan.  The Act also requires</w:t>
      </w:r>
      <w:r w:rsidR="00F65498">
        <w:rPr>
          <w:sz w:val="26"/>
          <w:szCs w:val="26"/>
        </w:rPr>
        <w:t xml:space="preserve"> that each EDC’</w:t>
      </w:r>
      <w:r w:rsidRPr="00A30B75">
        <w:rPr>
          <w:sz w:val="26"/>
          <w:szCs w:val="26"/>
        </w:rPr>
        <w:t>s plan include a proposed cost</w:t>
      </w:r>
      <w:r w:rsidRPr="00235CED">
        <w:rPr>
          <w:sz w:val="26"/>
          <w:szCs w:val="26"/>
        </w:rPr>
        <w:noBreakHyphen/>
        <w:t xml:space="preserve">recovery tariff mechanism, in accordance with 66 Pa. C.S. § 1307 (relating to sliding scale of rates; adjustments), to fund all </w:t>
      </w:r>
      <w:r w:rsidRPr="00235CED">
        <w:rPr>
          <w:sz w:val="26"/>
          <w:szCs w:val="26"/>
        </w:rPr>
        <w:lastRenderedPageBreak/>
        <w:t>measures and to ensure</w:t>
      </w:r>
      <w:r>
        <w:rPr>
          <w:sz w:val="26"/>
          <w:szCs w:val="26"/>
        </w:rPr>
        <w:t xml:space="preserve"> a</w:t>
      </w:r>
      <w:r w:rsidRPr="00235CED">
        <w:rPr>
          <w:sz w:val="26"/>
          <w:szCs w:val="26"/>
        </w:rPr>
        <w:t xml:space="preserve"> full and current recovery of prudent and reasonable costs, including administrative costs, as approved by the Commission</w:t>
      </w:r>
      <w:r>
        <w:rPr>
          <w:sz w:val="26"/>
          <w:szCs w:val="26"/>
        </w:rPr>
        <w:t>.</w:t>
      </w:r>
    </w:p>
    <w:p w14:paraId="75A5462C" w14:textId="360F3538" w:rsidR="006E03F7" w:rsidRDefault="006E03F7" w:rsidP="00EB6FDF">
      <w:pPr>
        <w:pStyle w:val="StyleLinespacing15lines"/>
      </w:pPr>
    </w:p>
    <w:p w14:paraId="6081F793" w14:textId="23654C6B" w:rsidR="006E03F7" w:rsidRDefault="006E03F7" w:rsidP="00EB6FDF">
      <w:pPr>
        <w:pStyle w:val="StyleLinespacing15lines"/>
      </w:pPr>
      <w:r>
        <w:rPr>
          <w:b/>
        </w:rPr>
        <w:tab/>
      </w:r>
      <w:r>
        <w:t xml:space="preserve">The Commission proposes the use of a standardized reconciliation </w:t>
      </w:r>
      <w:r w:rsidR="00E72DF1">
        <w:t xml:space="preserve">that will enable </w:t>
      </w:r>
      <w:r w:rsidR="0027731A">
        <w:t xml:space="preserve">the </w:t>
      </w:r>
      <w:r w:rsidR="00E72DF1">
        <w:t>EDCs and ratepayers to compare</w:t>
      </w:r>
      <w:r>
        <w:t xml:space="preserve"> the cost recovery of program expenditures of all EDCs on an equal basis.  We also believe it is beneficial to the EDCs and ratepayers </w:t>
      </w:r>
      <w:r w:rsidRPr="00AA6850">
        <w:t xml:space="preserve">that, </w:t>
      </w:r>
      <w:r>
        <w:t xml:space="preserve">with the implementation of </w:t>
      </w:r>
      <w:r w:rsidRPr="00AA6850">
        <w:t xml:space="preserve">Phase </w:t>
      </w:r>
      <w:r>
        <w:t>I</w:t>
      </w:r>
      <w:r w:rsidR="00E62DF0">
        <w:t>V</w:t>
      </w:r>
      <w:r w:rsidRPr="00AA6850">
        <w:t xml:space="preserve">, the annual surcharge should be based on the projected </w:t>
      </w:r>
      <w:r>
        <w:t xml:space="preserve">program </w:t>
      </w:r>
      <w:r w:rsidRPr="00AA6850">
        <w:t>costs</w:t>
      </w:r>
      <w:r>
        <w:t xml:space="preserve"> that the EDC anticipates will be incurred over the surcharge application year</w:t>
      </w:r>
      <w:r w:rsidRPr="00AA6850">
        <w:t xml:space="preserve"> to attain the </w:t>
      </w:r>
      <w:r w:rsidR="005B6C87">
        <w:t>conservation</w:t>
      </w:r>
      <w:r w:rsidRPr="00AA6850">
        <w:t xml:space="preserve"> target</w:t>
      </w:r>
      <w:r w:rsidR="005B6C87">
        <w:t>s</w:t>
      </w:r>
      <w:r>
        <w:t>.</w:t>
      </w:r>
      <w:r w:rsidRPr="00AA6850">
        <w:t xml:space="preserve"> </w:t>
      </w:r>
      <w:r>
        <w:t xml:space="preserve"> </w:t>
      </w:r>
    </w:p>
    <w:p w14:paraId="7503AA53" w14:textId="77777777" w:rsidR="00FB00A6" w:rsidRDefault="00FB00A6" w:rsidP="0009548F">
      <w:pPr>
        <w:spacing w:line="360" w:lineRule="auto"/>
        <w:rPr>
          <w:sz w:val="26"/>
          <w:szCs w:val="26"/>
        </w:rPr>
      </w:pPr>
    </w:p>
    <w:p w14:paraId="0C7A5EAD" w14:textId="00315D39" w:rsidR="006E03F7" w:rsidRDefault="006E03F7" w:rsidP="005C7D61">
      <w:pPr>
        <w:spacing w:line="360" w:lineRule="auto"/>
        <w:ind w:firstLine="720"/>
        <w:rPr>
          <w:sz w:val="26"/>
          <w:szCs w:val="26"/>
        </w:rPr>
      </w:pPr>
      <w:r>
        <w:rPr>
          <w:sz w:val="26"/>
          <w:szCs w:val="26"/>
        </w:rPr>
        <w:t>The development of the surcharge using</w:t>
      </w:r>
      <w:r w:rsidRPr="00E75649">
        <w:rPr>
          <w:sz w:val="26"/>
          <w:szCs w:val="26"/>
        </w:rPr>
        <w:t xml:space="preserve"> </w:t>
      </w:r>
      <w:r w:rsidRPr="00AA6850">
        <w:rPr>
          <w:sz w:val="26"/>
          <w:szCs w:val="26"/>
        </w:rPr>
        <w:t>the projected</w:t>
      </w:r>
      <w:r>
        <w:rPr>
          <w:sz w:val="26"/>
          <w:szCs w:val="26"/>
        </w:rPr>
        <w:t xml:space="preserve"> program </w:t>
      </w:r>
      <w:r w:rsidRPr="00AA6850">
        <w:rPr>
          <w:sz w:val="26"/>
          <w:szCs w:val="26"/>
        </w:rPr>
        <w:t>costs</w:t>
      </w:r>
      <w:r>
        <w:rPr>
          <w:sz w:val="26"/>
          <w:szCs w:val="26"/>
        </w:rPr>
        <w:t xml:space="preserve"> rather than the authorized budget amount will mitigate over- or under-recoveries of costs during the surcharge application period.  Additionally, we believe</w:t>
      </w:r>
      <w:r w:rsidRPr="00AA6850">
        <w:rPr>
          <w:sz w:val="26"/>
          <w:szCs w:val="26"/>
        </w:rPr>
        <w:t xml:space="preserve"> that actual expenses incurred should be reconciled to actual revenues</w:t>
      </w:r>
      <w:r>
        <w:rPr>
          <w:sz w:val="26"/>
          <w:szCs w:val="26"/>
        </w:rPr>
        <w:t xml:space="preserve"> received.  </w:t>
      </w:r>
      <w:r w:rsidR="006C694D">
        <w:rPr>
          <w:sz w:val="26"/>
          <w:szCs w:val="26"/>
        </w:rPr>
        <w:t xml:space="preserve">Furthermore, for transparency purposes, the </w:t>
      </w:r>
      <w:r w:rsidR="006C694D" w:rsidRPr="00AA6850">
        <w:rPr>
          <w:sz w:val="26"/>
          <w:szCs w:val="26"/>
        </w:rPr>
        <w:t xml:space="preserve">1307(e) </w:t>
      </w:r>
      <w:r w:rsidR="006C694D">
        <w:rPr>
          <w:sz w:val="26"/>
          <w:szCs w:val="26"/>
        </w:rPr>
        <w:t xml:space="preserve">reconciliation statement should clearly identify </w:t>
      </w:r>
      <w:r w:rsidR="00913C0C">
        <w:rPr>
          <w:sz w:val="26"/>
          <w:szCs w:val="26"/>
        </w:rPr>
        <w:t xml:space="preserve">PJM </w:t>
      </w:r>
      <w:r w:rsidR="006C694D">
        <w:rPr>
          <w:sz w:val="26"/>
          <w:szCs w:val="26"/>
        </w:rPr>
        <w:t xml:space="preserve">FCM proceeds as cost reductions and </w:t>
      </w:r>
      <w:r w:rsidR="00913C0C">
        <w:rPr>
          <w:sz w:val="26"/>
          <w:szCs w:val="26"/>
        </w:rPr>
        <w:t xml:space="preserve">PJM </w:t>
      </w:r>
      <w:r w:rsidR="006C694D">
        <w:rPr>
          <w:sz w:val="26"/>
          <w:szCs w:val="26"/>
        </w:rPr>
        <w:t xml:space="preserve">FCM deficiency charges as cost increases.  </w:t>
      </w:r>
      <w:r>
        <w:rPr>
          <w:sz w:val="26"/>
          <w:szCs w:val="26"/>
        </w:rPr>
        <w:t>A</w:t>
      </w:r>
      <w:r w:rsidRPr="00E96AF2">
        <w:rPr>
          <w:sz w:val="26"/>
          <w:szCs w:val="26"/>
        </w:rPr>
        <w:t xml:space="preserve"> reconciliation methodology based upon actual expenditures </w:t>
      </w:r>
      <w:r>
        <w:rPr>
          <w:sz w:val="26"/>
          <w:szCs w:val="26"/>
        </w:rPr>
        <w:t>is</w:t>
      </w:r>
      <w:r w:rsidRPr="003957EA">
        <w:rPr>
          <w:sz w:val="26"/>
          <w:szCs w:val="26"/>
        </w:rPr>
        <w:t xml:space="preserve"> </w:t>
      </w:r>
      <w:r w:rsidRPr="00AA6850">
        <w:rPr>
          <w:sz w:val="26"/>
          <w:szCs w:val="26"/>
        </w:rPr>
        <w:t xml:space="preserve">pursuant to Section 1307(e) of the Public Utility Code, </w:t>
      </w:r>
      <w:r>
        <w:rPr>
          <w:sz w:val="26"/>
          <w:szCs w:val="26"/>
        </w:rPr>
        <w:t xml:space="preserve">66 Pa. C.S. § 1307(e) and </w:t>
      </w:r>
      <w:r w:rsidRPr="00E96AF2">
        <w:rPr>
          <w:sz w:val="26"/>
          <w:szCs w:val="26"/>
        </w:rPr>
        <w:t>allows for the provision of interest on over</w:t>
      </w:r>
      <w:r>
        <w:rPr>
          <w:sz w:val="26"/>
          <w:szCs w:val="26"/>
        </w:rPr>
        <w:t>-</w:t>
      </w:r>
      <w:r w:rsidRPr="00E96AF2">
        <w:rPr>
          <w:sz w:val="26"/>
          <w:szCs w:val="26"/>
        </w:rPr>
        <w:t xml:space="preserve"> or under</w:t>
      </w:r>
      <w:r>
        <w:rPr>
          <w:sz w:val="26"/>
          <w:szCs w:val="26"/>
        </w:rPr>
        <w:t>-</w:t>
      </w:r>
      <w:r w:rsidRPr="00E96AF2">
        <w:rPr>
          <w:sz w:val="26"/>
          <w:szCs w:val="26"/>
        </w:rPr>
        <w:t>recoveries</w:t>
      </w:r>
      <w:r>
        <w:rPr>
          <w:sz w:val="26"/>
          <w:szCs w:val="26"/>
        </w:rPr>
        <w:t xml:space="preserve">.  </w:t>
      </w:r>
      <w:r w:rsidR="005C7D61" w:rsidRPr="005C7D61">
        <w:rPr>
          <w:sz w:val="26"/>
          <w:szCs w:val="26"/>
        </w:rPr>
        <w:t xml:space="preserve">We believe these measures will mitigate the over- or under-recovery of costs during the surcharge application period.  As such, </w:t>
      </w:r>
      <w:r w:rsidR="00076463">
        <w:rPr>
          <w:sz w:val="26"/>
          <w:szCs w:val="26"/>
        </w:rPr>
        <w:t>consistent with our determination in the Phase III Final Implementation Order</w:t>
      </w:r>
      <w:r w:rsidR="00AB7AA9">
        <w:rPr>
          <w:sz w:val="26"/>
          <w:szCs w:val="26"/>
        </w:rPr>
        <w:t>,</w:t>
      </w:r>
      <w:r w:rsidR="0096749C">
        <w:rPr>
          <w:rStyle w:val="FootnoteReference"/>
          <w:sz w:val="26"/>
          <w:szCs w:val="26"/>
        </w:rPr>
        <w:footnoteReference w:id="106"/>
      </w:r>
      <w:r w:rsidR="00076463">
        <w:rPr>
          <w:sz w:val="26"/>
          <w:szCs w:val="26"/>
        </w:rPr>
        <w:t xml:space="preserve"> </w:t>
      </w:r>
      <w:r w:rsidR="005C7D61" w:rsidRPr="005C7D61">
        <w:rPr>
          <w:sz w:val="26"/>
          <w:szCs w:val="26"/>
        </w:rPr>
        <w:t xml:space="preserve">the Commission </w:t>
      </w:r>
      <w:r w:rsidR="005C7D61">
        <w:rPr>
          <w:sz w:val="26"/>
          <w:szCs w:val="26"/>
        </w:rPr>
        <w:t xml:space="preserve">proposes </w:t>
      </w:r>
      <w:r w:rsidR="00D218A1">
        <w:rPr>
          <w:sz w:val="26"/>
          <w:szCs w:val="26"/>
        </w:rPr>
        <w:t xml:space="preserve">for Phase IV </w:t>
      </w:r>
      <w:r w:rsidR="005C7D61">
        <w:rPr>
          <w:sz w:val="26"/>
          <w:szCs w:val="26"/>
        </w:rPr>
        <w:t>to not</w:t>
      </w:r>
      <w:r w:rsidR="005C7D61" w:rsidRPr="005C7D61">
        <w:rPr>
          <w:sz w:val="26"/>
          <w:szCs w:val="26"/>
        </w:rPr>
        <w:t xml:space="preserve"> require the provision of interest on over- or under-recoveries.</w:t>
      </w:r>
      <w:r w:rsidR="005C7D61" w:rsidRPr="005C7D61">
        <w:rPr>
          <w:szCs w:val="26"/>
        </w:rPr>
        <w:t xml:space="preserve">  </w:t>
      </w:r>
    </w:p>
    <w:p w14:paraId="4D8ECC78" w14:textId="77777777" w:rsidR="006E03F7" w:rsidRDefault="006E03F7" w:rsidP="0009548F">
      <w:pPr>
        <w:spacing w:line="360" w:lineRule="auto"/>
        <w:ind w:firstLine="720"/>
        <w:rPr>
          <w:sz w:val="26"/>
          <w:szCs w:val="26"/>
        </w:rPr>
      </w:pPr>
    </w:p>
    <w:p w14:paraId="7A46E537" w14:textId="6ACD65BB" w:rsidR="006E03F7" w:rsidRDefault="006E03F7" w:rsidP="0009548F">
      <w:pPr>
        <w:spacing w:line="360" w:lineRule="auto"/>
        <w:ind w:firstLine="720"/>
        <w:rPr>
          <w:sz w:val="26"/>
          <w:szCs w:val="26"/>
        </w:rPr>
      </w:pPr>
      <w:r w:rsidRPr="000D0475">
        <w:rPr>
          <w:sz w:val="26"/>
          <w:szCs w:val="26"/>
        </w:rPr>
        <w:t xml:space="preserve">To further standardize the filing process, we propose that the EDCs file </w:t>
      </w:r>
      <w:r>
        <w:rPr>
          <w:sz w:val="26"/>
          <w:szCs w:val="26"/>
        </w:rPr>
        <w:t xml:space="preserve">by May 1, </w:t>
      </w:r>
      <w:r w:rsidRPr="000D0475">
        <w:rPr>
          <w:sz w:val="26"/>
          <w:szCs w:val="26"/>
        </w:rPr>
        <w:t xml:space="preserve">the annual rate adjustment </w:t>
      </w:r>
      <w:r>
        <w:rPr>
          <w:sz w:val="26"/>
          <w:szCs w:val="26"/>
        </w:rPr>
        <w:t>for the rate to become effective J</w:t>
      </w:r>
      <w:r w:rsidRPr="000D0475">
        <w:rPr>
          <w:sz w:val="26"/>
          <w:szCs w:val="26"/>
        </w:rPr>
        <w:t>une 1</w:t>
      </w:r>
      <w:r>
        <w:rPr>
          <w:sz w:val="26"/>
          <w:szCs w:val="26"/>
        </w:rPr>
        <w:t>.</w:t>
      </w:r>
      <w:r w:rsidRPr="000D0475">
        <w:rPr>
          <w:sz w:val="26"/>
          <w:szCs w:val="26"/>
        </w:rPr>
        <w:t xml:space="preserve">  Concurrent with the annual rate adjustment, the EDCs would submit, in a separate filing, the annual </w:t>
      </w:r>
      <w:r w:rsidRPr="000D0475">
        <w:rPr>
          <w:sz w:val="26"/>
          <w:szCs w:val="26"/>
        </w:rPr>
        <w:lastRenderedPageBreak/>
        <w:t>reconciliation statement thirty days following the end of the reconciliation period in accordance with Section 1307(e) of the Public Utility Code, 66 Pa. C. S. § 1307(e).</w:t>
      </w:r>
    </w:p>
    <w:p w14:paraId="0CD47614" w14:textId="77777777" w:rsidR="006E03F7" w:rsidRPr="00E96AF2" w:rsidRDefault="006E03F7" w:rsidP="0009548F">
      <w:pPr>
        <w:spacing w:line="360" w:lineRule="auto"/>
        <w:ind w:firstLine="720"/>
        <w:rPr>
          <w:sz w:val="26"/>
          <w:szCs w:val="26"/>
        </w:rPr>
      </w:pPr>
    </w:p>
    <w:p w14:paraId="5A1297B0" w14:textId="37E4E8E4" w:rsidR="00EB310C" w:rsidRDefault="006E03F7" w:rsidP="0009548F">
      <w:pPr>
        <w:pStyle w:val="p3"/>
        <w:widowControl/>
        <w:spacing w:line="360" w:lineRule="auto"/>
        <w:rPr>
          <w:szCs w:val="26"/>
        </w:rPr>
      </w:pPr>
      <w:r>
        <w:rPr>
          <w:szCs w:val="26"/>
        </w:rPr>
        <w:tab/>
      </w:r>
      <w:r>
        <w:rPr>
          <w:szCs w:val="26"/>
        </w:rPr>
        <w:tab/>
      </w:r>
      <w:r w:rsidRPr="3792F7D5">
        <w:t xml:space="preserve">The Commission agrees </w:t>
      </w:r>
      <w:r w:rsidR="00E62DF0" w:rsidRPr="3792F7D5">
        <w:t>with comments filed on this topic in prior proceedings that</w:t>
      </w:r>
      <w:r w:rsidRPr="3792F7D5">
        <w:t xml:space="preserve"> surcharges should be combined into a single surcharge and tariff with the implementation of Phase I</w:t>
      </w:r>
      <w:r w:rsidR="00E62DF0" w:rsidRPr="3792F7D5">
        <w:t>V</w:t>
      </w:r>
      <w:r w:rsidRPr="3792F7D5">
        <w:t>.  In order to transition from Phase II</w:t>
      </w:r>
      <w:r w:rsidR="00E62DF0" w:rsidRPr="3792F7D5">
        <w:t>I</w:t>
      </w:r>
      <w:r w:rsidRPr="3792F7D5">
        <w:t>, ending May 31, 20</w:t>
      </w:r>
      <w:r w:rsidR="00E62DF0" w:rsidRPr="3792F7D5">
        <w:t>21</w:t>
      </w:r>
      <w:r w:rsidRPr="3792F7D5">
        <w:t>, to Phase I</w:t>
      </w:r>
      <w:r w:rsidR="00E62DF0" w:rsidRPr="3792F7D5">
        <w:t>V</w:t>
      </w:r>
      <w:r w:rsidRPr="3792F7D5">
        <w:t>, beginning on June 1, 20</w:t>
      </w:r>
      <w:r w:rsidR="00E62DF0" w:rsidRPr="3792F7D5">
        <w:t>21</w:t>
      </w:r>
      <w:r w:rsidRPr="3792F7D5">
        <w:t>, we propose that each EDC reconcile its total actual recoverable EE&amp;C Plan expenditures incurred through March 31, 20</w:t>
      </w:r>
      <w:r w:rsidR="00E62DF0" w:rsidRPr="3792F7D5">
        <w:t>21</w:t>
      </w:r>
      <w:r w:rsidRPr="3792F7D5">
        <w:t>, with its actual EE&amp;C Plan revenues received through March 31, 20</w:t>
      </w:r>
      <w:r w:rsidR="00E62DF0" w:rsidRPr="3792F7D5">
        <w:t>21</w:t>
      </w:r>
      <w:r>
        <w:rPr>
          <w:szCs w:val="26"/>
        </w:rPr>
        <w:t>.</w:t>
      </w:r>
      <w:r w:rsidRPr="3792F7D5">
        <w:rPr>
          <w:rStyle w:val="FootnoteReference"/>
        </w:rPr>
        <w:footnoteReference w:id="107"/>
      </w:r>
      <w:r w:rsidRPr="3792F7D5">
        <w:t xml:space="preserve">  In addition, each EDC should include, as part of the calculation of the Phase I</w:t>
      </w:r>
      <w:r w:rsidR="00B2462D" w:rsidRPr="3792F7D5">
        <w:t>V</w:t>
      </w:r>
      <w:r w:rsidRPr="3792F7D5">
        <w:t xml:space="preserve"> rates to become effective June 1, 20</w:t>
      </w:r>
      <w:r w:rsidR="00B2462D" w:rsidRPr="3792F7D5">
        <w:t>21</w:t>
      </w:r>
      <w:r w:rsidRPr="3792F7D5">
        <w:t>, as clearly identified separate line items, projections of the expenses to finalize any measures installed and commercially operable on or before May 31, 20</w:t>
      </w:r>
      <w:r w:rsidR="00B2462D" w:rsidRPr="3792F7D5">
        <w:t>21</w:t>
      </w:r>
      <w:r w:rsidRPr="3792F7D5">
        <w:t>; expenses to finalize any contracts; and other Phase II</w:t>
      </w:r>
      <w:r w:rsidR="00B2462D" w:rsidRPr="3792F7D5">
        <w:t>I</w:t>
      </w:r>
      <w:r w:rsidRPr="3792F7D5">
        <w:t xml:space="preserve"> administrative obligations.  The Phase II</w:t>
      </w:r>
      <w:r w:rsidR="00B2462D" w:rsidRPr="3792F7D5">
        <w:t>I</w:t>
      </w:r>
      <w:r w:rsidRPr="3792F7D5">
        <w:t xml:space="preserve"> rate that becomes effective June 1, 20</w:t>
      </w:r>
      <w:r w:rsidR="00B2462D" w:rsidRPr="3792F7D5">
        <w:t>20</w:t>
      </w:r>
      <w:r w:rsidRPr="3792F7D5">
        <w:t xml:space="preserve"> will remain effective through May 31, 20</w:t>
      </w:r>
      <w:r w:rsidR="00B2462D" w:rsidRPr="3792F7D5">
        <w:t>21</w:t>
      </w:r>
      <w:r>
        <w:rPr>
          <w:szCs w:val="26"/>
        </w:rPr>
        <w:t>.</w:t>
      </w:r>
      <w:r w:rsidR="00913C0C">
        <w:rPr>
          <w:szCs w:val="26"/>
        </w:rPr>
        <w:t xml:space="preserve">   </w:t>
      </w:r>
      <w:r>
        <w:rPr>
          <w:szCs w:val="26"/>
        </w:rPr>
        <w:t>The revenues and expenses of the remaining two months of Phase II</w:t>
      </w:r>
      <w:r w:rsidR="00B2462D">
        <w:rPr>
          <w:szCs w:val="26"/>
        </w:rPr>
        <w:t>I</w:t>
      </w:r>
      <w:r>
        <w:rPr>
          <w:szCs w:val="26"/>
        </w:rPr>
        <w:t xml:space="preserve"> (i.e., April 20</w:t>
      </w:r>
      <w:r w:rsidR="00B2462D">
        <w:rPr>
          <w:szCs w:val="26"/>
        </w:rPr>
        <w:t>2</w:t>
      </w:r>
      <w:r w:rsidR="005462D0">
        <w:rPr>
          <w:szCs w:val="26"/>
        </w:rPr>
        <w:t>1</w:t>
      </w:r>
      <w:r>
        <w:rPr>
          <w:szCs w:val="26"/>
        </w:rPr>
        <w:t xml:space="preserve"> and May 20</w:t>
      </w:r>
      <w:r w:rsidR="00B2462D">
        <w:rPr>
          <w:szCs w:val="26"/>
        </w:rPr>
        <w:t>21</w:t>
      </w:r>
      <w:r>
        <w:rPr>
          <w:szCs w:val="26"/>
        </w:rPr>
        <w:t>); expenses to finalize any measures installed and commercially operable on or before May 31, 20</w:t>
      </w:r>
      <w:r w:rsidR="00B2462D">
        <w:rPr>
          <w:szCs w:val="26"/>
        </w:rPr>
        <w:t>21</w:t>
      </w:r>
      <w:r>
        <w:rPr>
          <w:szCs w:val="26"/>
        </w:rPr>
        <w:t>; expenses to finalize any contracts; and other Phase II</w:t>
      </w:r>
      <w:r w:rsidR="007909BD">
        <w:rPr>
          <w:szCs w:val="26"/>
        </w:rPr>
        <w:t>I</w:t>
      </w:r>
      <w:r>
        <w:rPr>
          <w:szCs w:val="26"/>
        </w:rPr>
        <w:t xml:space="preserve"> administrative obligations should be included, as clearly identified separate line items, in the reconciliation for the period April 1, 20</w:t>
      </w:r>
      <w:r w:rsidR="00D23233">
        <w:rPr>
          <w:szCs w:val="26"/>
        </w:rPr>
        <w:t>2</w:t>
      </w:r>
      <w:r w:rsidR="00C43BB8">
        <w:rPr>
          <w:szCs w:val="26"/>
        </w:rPr>
        <w:t>1</w:t>
      </w:r>
      <w:r>
        <w:rPr>
          <w:szCs w:val="26"/>
        </w:rPr>
        <w:t xml:space="preserve"> through March 31, 20</w:t>
      </w:r>
      <w:r w:rsidR="00D23233">
        <w:rPr>
          <w:szCs w:val="26"/>
        </w:rPr>
        <w:t>2</w:t>
      </w:r>
      <w:r w:rsidR="00C43BB8">
        <w:rPr>
          <w:szCs w:val="26"/>
        </w:rPr>
        <w:t>2</w:t>
      </w:r>
      <w:r w:rsidR="00EB310C">
        <w:rPr>
          <w:szCs w:val="26"/>
        </w:rPr>
        <w:t>.</w:t>
      </w:r>
    </w:p>
    <w:p w14:paraId="02A05C11" w14:textId="0A076DF9" w:rsidR="006E03F7" w:rsidRDefault="006E03F7" w:rsidP="0009548F">
      <w:pPr>
        <w:pStyle w:val="p3"/>
        <w:widowControl/>
        <w:spacing w:line="360" w:lineRule="auto"/>
        <w:rPr>
          <w:szCs w:val="26"/>
        </w:rPr>
      </w:pPr>
      <w:r>
        <w:rPr>
          <w:szCs w:val="26"/>
        </w:rPr>
        <w:t xml:space="preserve">   </w:t>
      </w:r>
      <w:r>
        <w:rPr>
          <w:szCs w:val="26"/>
        </w:rPr>
        <w:tab/>
      </w:r>
      <w:r>
        <w:rPr>
          <w:szCs w:val="26"/>
        </w:rPr>
        <w:tab/>
        <w:t xml:space="preserve"> </w:t>
      </w:r>
    </w:p>
    <w:p w14:paraId="6FA92023" w14:textId="33E0B278" w:rsidR="00D23233" w:rsidRDefault="006E03F7" w:rsidP="0009548F">
      <w:pPr>
        <w:pStyle w:val="p3"/>
        <w:widowControl/>
        <w:tabs>
          <w:tab w:val="clear" w:pos="204"/>
        </w:tabs>
        <w:spacing w:line="360" w:lineRule="auto"/>
        <w:rPr>
          <w:rFonts w:cs="Arial"/>
          <w:szCs w:val="26"/>
        </w:rPr>
      </w:pPr>
      <w:r>
        <w:rPr>
          <w:rFonts w:cs="Arial"/>
          <w:szCs w:val="26"/>
        </w:rPr>
        <w:tab/>
        <w:t>We propose that t</w:t>
      </w:r>
      <w:r w:rsidRPr="00410C1B">
        <w:rPr>
          <w:rFonts w:cs="Arial"/>
          <w:szCs w:val="26"/>
        </w:rPr>
        <w:t xml:space="preserve">he </w:t>
      </w:r>
      <w:r>
        <w:rPr>
          <w:rFonts w:cs="Arial"/>
          <w:szCs w:val="26"/>
        </w:rPr>
        <w:t xml:space="preserve">standardized reconciliation process and the calculation of the annual surcharge will be set forth by each EDC in a supplement or supplements to </w:t>
      </w:r>
      <w:r w:rsidRPr="00270544">
        <w:rPr>
          <w:szCs w:val="26"/>
        </w:rPr>
        <w:t>the EDC’s tariff</w:t>
      </w:r>
      <w:r>
        <w:rPr>
          <w:szCs w:val="26"/>
        </w:rPr>
        <w:t xml:space="preserve"> to become effective June 1, 20</w:t>
      </w:r>
      <w:r w:rsidR="00D23233">
        <w:rPr>
          <w:szCs w:val="26"/>
        </w:rPr>
        <w:t>21</w:t>
      </w:r>
      <w:r w:rsidRPr="00270544">
        <w:rPr>
          <w:szCs w:val="26"/>
        </w:rPr>
        <w:t xml:space="preserve">, </w:t>
      </w:r>
      <w:r>
        <w:rPr>
          <w:szCs w:val="26"/>
        </w:rPr>
        <w:t xml:space="preserve">be </w:t>
      </w:r>
      <w:r w:rsidRPr="00270544">
        <w:rPr>
          <w:szCs w:val="26"/>
        </w:rPr>
        <w:t xml:space="preserve">accompanied by a </w:t>
      </w:r>
      <w:r w:rsidRPr="009B4EB8">
        <w:rPr>
          <w:rFonts w:cs="Arial"/>
          <w:szCs w:val="26"/>
        </w:rPr>
        <w:t xml:space="preserve">full and clear explanation as to their operation and applicability to each customer class.  The EE&amp;C rates </w:t>
      </w:r>
      <w:r>
        <w:rPr>
          <w:rFonts w:cs="Arial"/>
          <w:szCs w:val="26"/>
        </w:rPr>
        <w:t>are</w:t>
      </w:r>
      <w:r w:rsidRPr="009B4EB8">
        <w:rPr>
          <w:rFonts w:cs="Arial"/>
          <w:szCs w:val="26"/>
        </w:rPr>
        <w:t xml:space="preserve"> subject to continuous Commission review and audit as well as reconciliation reports in accordance with Section 1307(e) of the Public Utility Code, 66 Pa.</w:t>
      </w:r>
      <w:r w:rsidR="00786971">
        <w:rPr>
          <w:rFonts w:cs="Arial"/>
          <w:szCs w:val="26"/>
        </w:rPr>
        <w:t xml:space="preserve"> </w:t>
      </w:r>
      <w:r w:rsidRPr="009B4EB8">
        <w:rPr>
          <w:rFonts w:cs="Arial"/>
          <w:szCs w:val="26"/>
        </w:rPr>
        <w:t xml:space="preserve">C.S. § </w:t>
      </w:r>
      <w:r w:rsidRPr="009B4EB8">
        <w:rPr>
          <w:rFonts w:cs="Arial"/>
          <w:szCs w:val="26"/>
        </w:rPr>
        <w:lastRenderedPageBreak/>
        <w:t>1307(e).</w:t>
      </w:r>
      <w:r w:rsidR="00EB310C">
        <w:rPr>
          <w:rFonts w:cs="Arial"/>
          <w:szCs w:val="26"/>
        </w:rPr>
        <w:t xml:space="preserve">  </w:t>
      </w:r>
      <w:r w:rsidR="00D23233">
        <w:rPr>
          <w:rFonts w:cs="Arial"/>
          <w:szCs w:val="26"/>
        </w:rPr>
        <w:t xml:space="preserve">Lastly, we propose that </w:t>
      </w:r>
      <w:r w:rsidR="00D23233" w:rsidRPr="00D23233">
        <w:rPr>
          <w:rFonts w:cs="Arial"/>
          <w:szCs w:val="26"/>
        </w:rPr>
        <w:t xml:space="preserve">under no circumstances will </w:t>
      </w:r>
      <w:r w:rsidR="00D23233">
        <w:rPr>
          <w:rFonts w:cs="Arial"/>
          <w:szCs w:val="26"/>
        </w:rPr>
        <w:t xml:space="preserve">an </w:t>
      </w:r>
      <w:r w:rsidR="00D23233" w:rsidRPr="00D23233">
        <w:rPr>
          <w:rFonts w:cs="Arial"/>
          <w:szCs w:val="26"/>
        </w:rPr>
        <w:t>EDC be permitted to recover, in the automatic adjustment clause, any EE&amp;C</w:t>
      </w:r>
      <w:r w:rsidR="00EB310C">
        <w:rPr>
          <w:rFonts w:cs="Arial"/>
          <w:szCs w:val="26"/>
        </w:rPr>
        <w:t xml:space="preserve"> Plan</w:t>
      </w:r>
      <w:r w:rsidR="00D23233" w:rsidRPr="00D23233">
        <w:rPr>
          <w:rFonts w:cs="Arial"/>
          <w:szCs w:val="26"/>
        </w:rPr>
        <w:t>-related costs that have been claimed and permitted recovery in base rates.</w:t>
      </w:r>
    </w:p>
    <w:p w14:paraId="422E7BF4" w14:textId="77777777" w:rsidR="00EB3586" w:rsidRDefault="00EB3586" w:rsidP="00D23233">
      <w:pPr>
        <w:pStyle w:val="p3"/>
        <w:widowControl/>
        <w:spacing w:line="360" w:lineRule="auto"/>
        <w:rPr>
          <w:b/>
          <w:szCs w:val="26"/>
        </w:rPr>
      </w:pPr>
    </w:p>
    <w:p w14:paraId="0C562AA4" w14:textId="77777777" w:rsidR="002719B7" w:rsidRPr="00235CED" w:rsidRDefault="002719B7" w:rsidP="00A71AC9">
      <w:pPr>
        <w:pStyle w:val="Heading1"/>
      </w:pPr>
      <w:bookmarkStart w:id="365" w:name="_Toc33782033"/>
      <w:r w:rsidRPr="00235CED">
        <w:t>CONCLUSION</w:t>
      </w:r>
      <w:bookmarkEnd w:id="365"/>
    </w:p>
    <w:p w14:paraId="60AE97BD" w14:textId="4E2B7C6F" w:rsidR="002719B7" w:rsidRPr="00235CED" w:rsidRDefault="002719B7" w:rsidP="009E160A">
      <w:pPr>
        <w:pStyle w:val="p3"/>
        <w:widowControl/>
        <w:tabs>
          <w:tab w:val="clear" w:pos="204"/>
        </w:tabs>
        <w:spacing w:line="360" w:lineRule="auto"/>
        <w:rPr>
          <w:b/>
          <w:szCs w:val="26"/>
        </w:rPr>
      </w:pPr>
      <w:r>
        <w:rPr>
          <w:szCs w:val="26"/>
        </w:rPr>
        <w:tab/>
      </w:r>
      <w:r w:rsidR="00F93D6F" w:rsidRPr="3792F7D5">
        <w:t>With t</w:t>
      </w:r>
      <w:r w:rsidRPr="3792F7D5">
        <w:t xml:space="preserve">his </w:t>
      </w:r>
      <w:r w:rsidR="0017687C" w:rsidRPr="3792F7D5">
        <w:t>T</w:t>
      </w:r>
      <w:r w:rsidR="00F93D6F" w:rsidRPr="3792F7D5">
        <w:t xml:space="preserve">entative </w:t>
      </w:r>
      <w:r w:rsidR="0017687C" w:rsidRPr="3792F7D5">
        <w:t>O</w:t>
      </w:r>
      <w:r w:rsidRPr="3792F7D5">
        <w:t>rder</w:t>
      </w:r>
      <w:r w:rsidR="00915138" w:rsidRPr="3792F7D5">
        <w:t>, the Commission</w:t>
      </w:r>
      <w:r>
        <w:rPr>
          <w:szCs w:val="26"/>
        </w:rPr>
        <w:t xml:space="preserve"> </w:t>
      </w:r>
      <w:r w:rsidR="00F93D6F" w:rsidRPr="3792F7D5">
        <w:t xml:space="preserve">begins the process of </w:t>
      </w:r>
      <w:r w:rsidRPr="3792F7D5">
        <w:t>establish</w:t>
      </w:r>
      <w:r w:rsidR="00F93D6F" w:rsidRPr="3792F7D5">
        <w:t xml:space="preserve">ing the Phase </w:t>
      </w:r>
      <w:r w:rsidR="003C4D40" w:rsidRPr="3792F7D5">
        <w:t xml:space="preserve">IV </w:t>
      </w:r>
      <w:r w:rsidR="004C7A8C">
        <w:t>EE&amp;C</w:t>
      </w:r>
      <w:r w:rsidRPr="3792F7D5">
        <w:t xml:space="preserve"> </w:t>
      </w:r>
      <w:r w:rsidR="00EB310C">
        <w:t>P</w:t>
      </w:r>
      <w:r w:rsidR="00EB310C" w:rsidRPr="3792F7D5">
        <w:t xml:space="preserve">rogram </w:t>
      </w:r>
      <w:r w:rsidRPr="3792F7D5">
        <w:t>that requires electric distribution companies with at least 100,000 customers to adopt and implement cost</w:t>
      </w:r>
      <w:r w:rsidRPr="3792F7D5">
        <w:noBreakHyphen/>
        <w:t xml:space="preserve">effective plans to reduce energy consumption and peak demand within this Commonwealth.  </w:t>
      </w:r>
      <w:r w:rsidR="00F93D6F" w:rsidRPr="3792F7D5">
        <w:t xml:space="preserve">This </w:t>
      </w:r>
      <w:r w:rsidR="0017687C" w:rsidRPr="3792F7D5">
        <w:t>T</w:t>
      </w:r>
      <w:r w:rsidR="00F93D6F" w:rsidRPr="3792F7D5">
        <w:t xml:space="preserve">entative </w:t>
      </w:r>
      <w:r w:rsidR="0017687C" w:rsidRPr="3792F7D5">
        <w:t>O</w:t>
      </w:r>
      <w:r w:rsidR="00F93D6F" w:rsidRPr="3792F7D5">
        <w:t xml:space="preserve">rder </w:t>
      </w:r>
      <w:r w:rsidR="00C86E1E" w:rsidRPr="3792F7D5">
        <w:t>proposes required consumption</w:t>
      </w:r>
      <w:r w:rsidR="00F61DDB" w:rsidRPr="3792F7D5">
        <w:t xml:space="preserve"> and peak demand</w:t>
      </w:r>
      <w:r w:rsidR="00C86E1E" w:rsidRPr="3792F7D5">
        <w:t xml:space="preserve"> reductions for each electric distribution company</w:t>
      </w:r>
      <w:r w:rsidR="003A3803">
        <w:rPr>
          <w:szCs w:val="26"/>
        </w:rPr>
        <w:t>,</w:t>
      </w:r>
      <w:r w:rsidR="00C86E1E" w:rsidRPr="3792F7D5">
        <w:t xml:space="preserve"> as well as guidelines for implementing Phase </w:t>
      </w:r>
      <w:r w:rsidR="273214EB" w:rsidRPr="3792F7D5">
        <w:t>I</w:t>
      </w:r>
      <w:r w:rsidR="7ED39A11" w:rsidRPr="3792F7D5">
        <w:t>V</w:t>
      </w:r>
      <w:r w:rsidR="00C86E1E" w:rsidRPr="3792F7D5">
        <w:t xml:space="preserve"> of the </w:t>
      </w:r>
      <w:r w:rsidR="00061252">
        <w:t>EE&amp;C</w:t>
      </w:r>
      <w:r w:rsidR="00C86E1E" w:rsidRPr="3792F7D5">
        <w:t xml:space="preserve"> program</w:t>
      </w:r>
      <w:r>
        <w:rPr>
          <w:szCs w:val="26"/>
        </w:rPr>
        <w:t>.</w:t>
      </w:r>
      <w:r w:rsidR="00C86E1E" w:rsidRPr="3792F7D5">
        <w:t xml:space="preserve">  The Commission seeks comments on these proposals.  This </w:t>
      </w:r>
      <w:r w:rsidR="0017687C" w:rsidRPr="3792F7D5">
        <w:t>T</w:t>
      </w:r>
      <w:r w:rsidR="00C86E1E" w:rsidRPr="3792F7D5">
        <w:t xml:space="preserve">entative </w:t>
      </w:r>
      <w:r w:rsidR="0017687C" w:rsidRPr="3792F7D5">
        <w:t>O</w:t>
      </w:r>
      <w:r w:rsidR="00C86E1E" w:rsidRPr="3792F7D5">
        <w:t>rder</w:t>
      </w:r>
      <w:r w:rsidR="008F0C44" w:rsidRPr="3792F7D5">
        <w:t xml:space="preserve"> </w:t>
      </w:r>
      <w:r w:rsidR="00F61DDB" w:rsidRPr="3792F7D5">
        <w:t>w</w:t>
      </w:r>
      <w:r w:rsidR="00C86E1E" w:rsidRPr="3792F7D5">
        <w:t>ill be made available to the public on the Commission’s Act 129 Information web page</w:t>
      </w:r>
      <w:r w:rsidR="009E160A">
        <w:rPr>
          <w:szCs w:val="26"/>
        </w:rPr>
        <w:t>;</w:t>
      </w:r>
      <w:r w:rsidR="00FC612F" w:rsidRPr="3792F7D5">
        <w:rPr>
          <w:rStyle w:val="FootnoteReference"/>
        </w:rPr>
        <w:footnoteReference w:id="108"/>
      </w:r>
      <w:r w:rsidR="009E160A">
        <w:rPr>
          <w:szCs w:val="26"/>
        </w:rPr>
        <w:t xml:space="preserve"> </w:t>
      </w:r>
      <w:r w:rsidRPr="3792F7D5">
        <w:rPr>
          <w:b/>
        </w:rPr>
        <w:t>THEREFORE,</w:t>
      </w:r>
    </w:p>
    <w:p w14:paraId="4B554310" w14:textId="77777777" w:rsidR="001F0EC6" w:rsidRDefault="002719B7" w:rsidP="002719B7">
      <w:pPr>
        <w:spacing w:line="360" w:lineRule="auto"/>
        <w:rPr>
          <w:b/>
          <w:bCs/>
          <w:sz w:val="26"/>
          <w:szCs w:val="26"/>
        </w:rPr>
      </w:pPr>
      <w:r w:rsidRPr="00235CED">
        <w:rPr>
          <w:b/>
          <w:bCs/>
          <w:sz w:val="26"/>
          <w:szCs w:val="26"/>
        </w:rPr>
        <w:tab/>
      </w:r>
    </w:p>
    <w:p w14:paraId="25001669" w14:textId="234B5202" w:rsidR="002719B7" w:rsidRPr="00235CED" w:rsidRDefault="002719B7" w:rsidP="00F10A66">
      <w:pPr>
        <w:spacing w:line="360" w:lineRule="auto"/>
        <w:ind w:firstLine="720"/>
        <w:rPr>
          <w:b/>
          <w:bCs/>
          <w:sz w:val="26"/>
          <w:szCs w:val="26"/>
        </w:rPr>
      </w:pPr>
      <w:r w:rsidRPr="00235CED">
        <w:rPr>
          <w:b/>
          <w:bCs/>
          <w:sz w:val="26"/>
          <w:szCs w:val="26"/>
        </w:rPr>
        <w:t>IT IS ORDERED:</w:t>
      </w:r>
      <w:r w:rsidR="00F10A66">
        <w:rPr>
          <w:b/>
          <w:bCs/>
          <w:sz w:val="26"/>
          <w:szCs w:val="26"/>
        </w:rPr>
        <w:t xml:space="preserve"> </w:t>
      </w:r>
    </w:p>
    <w:p w14:paraId="0F689170" w14:textId="77777777" w:rsidR="002719B7" w:rsidRPr="00235CED" w:rsidRDefault="002719B7" w:rsidP="002719B7">
      <w:pPr>
        <w:spacing w:line="360" w:lineRule="auto"/>
        <w:rPr>
          <w:b/>
          <w:bCs/>
          <w:sz w:val="26"/>
          <w:szCs w:val="26"/>
        </w:rPr>
      </w:pPr>
    </w:p>
    <w:p w14:paraId="39A0409E" w14:textId="3B7038A5" w:rsidR="002719B7" w:rsidRDefault="00F61DDB" w:rsidP="002719B7">
      <w:pPr>
        <w:spacing w:line="360" w:lineRule="auto"/>
        <w:ind w:firstLine="720"/>
        <w:rPr>
          <w:bCs/>
          <w:sz w:val="26"/>
          <w:szCs w:val="26"/>
        </w:rPr>
      </w:pPr>
      <w:r>
        <w:rPr>
          <w:bCs/>
          <w:sz w:val="26"/>
          <w:szCs w:val="26"/>
        </w:rPr>
        <w:t>1</w:t>
      </w:r>
      <w:r w:rsidR="002719B7">
        <w:rPr>
          <w:bCs/>
          <w:sz w:val="26"/>
          <w:szCs w:val="26"/>
        </w:rPr>
        <w:t>.</w:t>
      </w:r>
      <w:r w:rsidR="002719B7">
        <w:rPr>
          <w:bCs/>
          <w:sz w:val="26"/>
          <w:szCs w:val="26"/>
        </w:rPr>
        <w:tab/>
      </w:r>
      <w:r w:rsidR="002719B7" w:rsidRPr="00235CED">
        <w:rPr>
          <w:bCs/>
          <w:sz w:val="26"/>
          <w:szCs w:val="26"/>
        </w:rPr>
        <w:t xml:space="preserve">That </w:t>
      </w:r>
      <w:r w:rsidR="00C86E1E">
        <w:rPr>
          <w:bCs/>
          <w:sz w:val="26"/>
          <w:szCs w:val="26"/>
        </w:rPr>
        <w:t>a copy of this Tentative Order shall be served upon the Office of Consumer Advocate, the Office of Small Business Advocate, the Commission’s Bureau o</w:t>
      </w:r>
      <w:r>
        <w:rPr>
          <w:bCs/>
          <w:sz w:val="26"/>
          <w:szCs w:val="26"/>
        </w:rPr>
        <w:t xml:space="preserve">f Investigation and Enforcement, </w:t>
      </w:r>
      <w:r w:rsidR="00C86E1E">
        <w:rPr>
          <w:bCs/>
          <w:sz w:val="26"/>
          <w:szCs w:val="26"/>
        </w:rPr>
        <w:t xml:space="preserve">the jurisdictional electric distribution companies subject to the </w:t>
      </w:r>
      <w:r w:rsidR="00061252">
        <w:rPr>
          <w:bCs/>
          <w:sz w:val="26"/>
          <w:szCs w:val="26"/>
        </w:rPr>
        <w:t>EE&amp;C</w:t>
      </w:r>
      <w:r w:rsidR="00C86E1E">
        <w:rPr>
          <w:bCs/>
          <w:sz w:val="26"/>
          <w:szCs w:val="26"/>
        </w:rPr>
        <w:t xml:space="preserve"> Program requirements</w:t>
      </w:r>
      <w:r>
        <w:rPr>
          <w:bCs/>
          <w:sz w:val="26"/>
          <w:szCs w:val="26"/>
        </w:rPr>
        <w:t xml:space="preserve"> and all parties of record at Docket </w:t>
      </w:r>
      <w:r w:rsidR="002E7B20">
        <w:rPr>
          <w:bCs/>
          <w:sz w:val="26"/>
          <w:szCs w:val="26"/>
        </w:rPr>
        <w:t>Number</w:t>
      </w:r>
      <w:r>
        <w:rPr>
          <w:bCs/>
          <w:sz w:val="26"/>
          <w:szCs w:val="26"/>
        </w:rPr>
        <w:t xml:space="preserve"> </w:t>
      </w:r>
      <w:r w:rsidR="001B2EF6" w:rsidRPr="001B2EF6">
        <w:rPr>
          <w:bCs/>
          <w:sz w:val="26"/>
          <w:szCs w:val="26"/>
        </w:rPr>
        <w:t>M-2020-3015228</w:t>
      </w:r>
      <w:r w:rsidR="002719B7" w:rsidRPr="00235CED">
        <w:rPr>
          <w:bCs/>
          <w:sz w:val="26"/>
          <w:szCs w:val="26"/>
        </w:rPr>
        <w:t>.</w:t>
      </w:r>
    </w:p>
    <w:p w14:paraId="53DBB973" w14:textId="77777777" w:rsidR="002719B7" w:rsidRDefault="002719B7" w:rsidP="002719B7">
      <w:pPr>
        <w:spacing w:line="360" w:lineRule="auto"/>
        <w:rPr>
          <w:bCs/>
          <w:sz w:val="26"/>
          <w:szCs w:val="26"/>
        </w:rPr>
      </w:pPr>
    </w:p>
    <w:p w14:paraId="2F6658A1" w14:textId="56E10266" w:rsidR="002719B7" w:rsidRDefault="002719B7" w:rsidP="00EB6FDF">
      <w:pPr>
        <w:pStyle w:val="StyleLinespacing15lines"/>
      </w:pPr>
      <w:r>
        <w:rPr>
          <w:bCs/>
        </w:rPr>
        <w:tab/>
      </w:r>
      <w:r w:rsidR="00F61DDB">
        <w:rPr>
          <w:bCs/>
        </w:rPr>
        <w:t>2</w:t>
      </w:r>
      <w:r w:rsidRPr="00B47E2A">
        <w:rPr>
          <w:bCs/>
        </w:rPr>
        <w:t>.</w:t>
      </w:r>
      <w:r w:rsidRPr="00B47E2A">
        <w:rPr>
          <w:bCs/>
        </w:rPr>
        <w:tab/>
      </w:r>
      <w:r w:rsidRPr="00B47E2A">
        <w:t xml:space="preserve">That </w:t>
      </w:r>
      <w:r w:rsidR="00C86E1E">
        <w:t xml:space="preserve">the </w:t>
      </w:r>
      <w:r w:rsidR="00EB310C">
        <w:t xml:space="preserve">Law Bureau </w:t>
      </w:r>
      <w:r w:rsidR="00C86E1E">
        <w:t xml:space="preserve">shall deposit a notice of </w:t>
      </w:r>
      <w:r w:rsidR="00F03504">
        <w:t>this</w:t>
      </w:r>
      <w:r w:rsidR="00C86E1E">
        <w:t xml:space="preserve"> Tentative Order with the Legislative Reference Bureau for publication in the </w:t>
      </w:r>
      <w:r w:rsidR="00C86E1E" w:rsidRPr="00C86E1E">
        <w:rPr>
          <w:i/>
        </w:rPr>
        <w:t>Pennsylvania Bulletin</w:t>
      </w:r>
      <w:r w:rsidRPr="00B47E2A">
        <w:t>.</w:t>
      </w:r>
    </w:p>
    <w:p w14:paraId="0462E8E4" w14:textId="77777777" w:rsidR="009E160A" w:rsidRDefault="009E160A" w:rsidP="002719B7">
      <w:pPr>
        <w:spacing w:line="360" w:lineRule="auto"/>
        <w:rPr>
          <w:sz w:val="26"/>
          <w:szCs w:val="26"/>
        </w:rPr>
      </w:pPr>
    </w:p>
    <w:p w14:paraId="618D227B" w14:textId="038F4095" w:rsidR="002719B7" w:rsidRDefault="002719B7" w:rsidP="00EB6FDF">
      <w:pPr>
        <w:pStyle w:val="StyleLinespacing15lines"/>
      </w:pPr>
      <w:r>
        <w:lastRenderedPageBreak/>
        <w:tab/>
      </w:r>
      <w:r w:rsidR="00F61DDB">
        <w:t>3</w:t>
      </w:r>
      <w:r>
        <w:t>.</w:t>
      </w:r>
      <w:r>
        <w:tab/>
      </w:r>
      <w:r w:rsidR="00290FA1" w:rsidRPr="00522FC0">
        <w:t xml:space="preserve">That interested parties shall have </w:t>
      </w:r>
      <w:r w:rsidR="00943103">
        <w:t>thirty</w:t>
      </w:r>
      <w:r w:rsidR="00290FA1" w:rsidRPr="00522FC0">
        <w:t xml:space="preserve"> </w:t>
      </w:r>
      <w:r w:rsidR="00503304">
        <w:t>(</w:t>
      </w:r>
      <w:r w:rsidR="00290FA1" w:rsidRPr="00522FC0">
        <w:t>30</w:t>
      </w:r>
      <w:r w:rsidR="00503304">
        <w:t>)</w:t>
      </w:r>
      <w:r w:rsidR="00290FA1" w:rsidRPr="00522FC0">
        <w:t xml:space="preserve"> days from the date the notice </w:t>
      </w:r>
      <w:r w:rsidR="00F03504">
        <w:t xml:space="preserve">of this Tentative Order </w:t>
      </w:r>
      <w:r w:rsidR="00290FA1" w:rsidRPr="00522FC0">
        <w:t xml:space="preserve">is published in the </w:t>
      </w:r>
      <w:r w:rsidR="00290FA1" w:rsidRPr="00522FC0">
        <w:rPr>
          <w:i/>
        </w:rPr>
        <w:t>Pennsylvania Bulletin</w:t>
      </w:r>
      <w:r w:rsidR="00290FA1" w:rsidRPr="00522FC0">
        <w:t xml:space="preserve"> to file written comments referencing Docket Number M</w:t>
      </w:r>
      <w:r w:rsidR="00290FA1">
        <w:t>-</w:t>
      </w:r>
      <w:r w:rsidR="00C35073" w:rsidRPr="001B2EF6">
        <w:rPr>
          <w:bCs/>
        </w:rPr>
        <w:t>2020-3015228</w:t>
      </w:r>
      <w:r w:rsidR="00B763C2">
        <w:rPr>
          <w:bCs/>
        </w:rPr>
        <w:t xml:space="preserve"> </w:t>
      </w:r>
      <w:r w:rsidR="00290FA1">
        <w:t>with</w:t>
      </w:r>
      <w:r w:rsidR="00AB7AC1">
        <w:t xml:space="preserve"> the </w:t>
      </w:r>
      <w:r w:rsidR="003427F7" w:rsidRPr="00F04E00">
        <w:t xml:space="preserve">Pennsylvania Public Utility Commission, Attn: Secretary Rosemary Chiavetta, Commonwealth Keystone Building, Second Floor, 400 North Street, Harrisburg, Pennsylvania </w:t>
      </w:r>
      <w:r w:rsidR="003C06E7" w:rsidRPr="003C06E7">
        <w:t>17120</w:t>
      </w:r>
      <w:r w:rsidR="0009675A">
        <w:t>.</w:t>
      </w:r>
      <w:r w:rsidR="003064FE">
        <w:t xml:space="preserve">  </w:t>
      </w:r>
      <w:r w:rsidR="003064FE" w:rsidRPr="005C3312">
        <w:t>Comments may also be filed electronically through the Commission</w:t>
      </w:r>
      <w:r w:rsidR="003064FE">
        <w:t>’s e-File System.</w:t>
      </w:r>
    </w:p>
    <w:p w14:paraId="7E70B69A" w14:textId="77777777" w:rsidR="002719B7" w:rsidRDefault="002719B7" w:rsidP="002719B7">
      <w:pPr>
        <w:spacing w:line="360" w:lineRule="auto"/>
        <w:rPr>
          <w:sz w:val="26"/>
          <w:szCs w:val="26"/>
        </w:rPr>
      </w:pPr>
    </w:p>
    <w:p w14:paraId="451A1DB1" w14:textId="44B9E690" w:rsidR="002719B7" w:rsidRDefault="002719B7" w:rsidP="00EB6FDF">
      <w:pPr>
        <w:pStyle w:val="StyleLinespacing15lines"/>
      </w:pPr>
      <w:r>
        <w:tab/>
      </w:r>
      <w:r w:rsidR="00765404">
        <w:t>4</w:t>
      </w:r>
      <w:r>
        <w:t>.</w:t>
      </w:r>
      <w:r>
        <w:tab/>
      </w:r>
      <w:r w:rsidR="00290FA1" w:rsidRPr="00522FC0">
        <w:t>That interested par</w:t>
      </w:r>
      <w:r w:rsidR="00290FA1">
        <w:t xml:space="preserve">ties shall have </w:t>
      </w:r>
      <w:r w:rsidR="00503304">
        <w:t>forty-five (</w:t>
      </w:r>
      <w:r w:rsidR="00290FA1">
        <w:t>45</w:t>
      </w:r>
      <w:r w:rsidR="00503304">
        <w:t>)</w:t>
      </w:r>
      <w:r w:rsidR="00290FA1" w:rsidRPr="00522FC0">
        <w:t xml:space="preserve"> days from the date the notice </w:t>
      </w:r>
      <w:r w:rsidR="00692361">
        <w:t xml:space="preserve">of this Tentative Order </w:t>
      </w:r>
      <w:r w:rsidR="00290FA1" w:rsidRPr="00522FC0">
        <w:t xml:space="preserve">is published in the </w:t>
      </w:r>
      <w:r w:rsidR="00290FA1" w:rsidRPr="00522FC0">
        <w:rPr>
          <w:i/>
        </w:rPr>
        <w:t>Pennsylvania Bulletin</w:t>
      </w:r>
      <w:r w:rsidR="00290FA1" w:rsidRPr="00522FC0">
        <w:t xml:space="preserve"> to file written </w:t>
      </w:r>
      <w:r w:rsidR="00D50FA4">
        <w:t xml:space="preserve">reply </w:t>
      </w:r>
      <w:r w:rsidR="00290FA1" w:rsidRPr="00522FC0">
        <w:t>comments referencing Docket Number M</w:t>
      </w:r>
      <w:r w:rsidR="00290FA1">
        <w:t>-</w:t>
      </w:r>
      <w:r w:rsidR="00C35073" w:rsidRPr="001B2EF6">
        <w:rPr>
          <w:bCs/>
        </w:rPr>
        <w:t>2020-3015228</w:t>
      </w:r>
      <w:r w:rsidR="00C35073">
        <w:rPr>
          <w:bCs/>
        </w:rPr>
        <w:t xml:space="preserve"> </w:t>
      </w:r>
      <w:r w:rsidR="00290FA1">
        <w:t xml:space="preserve">with the Pennsylvania Public Utility Commission, </w:t>
      </w:r>
      <w:r w:rsidR="008B38D7" w:rsidRPr="00A743D9">
        <w:rPr>
          <w:bCs/>
        </w:rPr>
        <w:t xml:space="preserve">Attn: Secretary Rosemary Chiavetta, Commonwealth Keystone Building, Second Floor, 400 North Street, Harrisburg, Pennsylvania </w:t>
      </w:r>
      <w:r w:rsidR="008B38D7" w:rsidRPr="003C06E7">
        <w:t>17120</w:t>
      </w:r>
      <w:r w:rsidR="0009675A">
        <w:t>.</w:t>
      </w:r>
      <w:r w:rsidR="003064FE" w:rsidRPr="003064FE">
        <w:t xml:space="preserve"> </w:t>
      </w:r>
      <w:r w:rsidR="003064FE">
        <w:t xml:space="preserve"> Reply c</w:t>
      </w:r>
      <w:r w:rsidR="003064FE" w:rsidRPr="005C3312">
        <w:t>omments may also be filed electronically through the Commission</w:t>
      </w:r>
      <w:r w:rsidR="003064FE">
        <w:t>’s e-File System.</w:t>
      </w:r>
    </w:p>
    <w:p w14:paraId="15F1F0EF" w14:textId="77777777" w:rsidR="002719B7" w:rsidRDefault="002719B7" w:rsidP="002719B7">
      <w:pPr>
        <w:spacing w:line="360" w:lineRule="auto"/>
        <w:rPr>
          <w:sz w:val="26"/>
          <w:szCs w:val="26"/>
        </w:rPr>
      </w:pPr>
    </w:p>
    <w:p w14:paraId="7DB4CE4C" w14:textId="1BB58F30" w:rsidR="002719B7" w:rsidRDefault="002719B7" w:rsidP="00EB6FDF">
      <w:pPr>
        <w:pStyle w:val="StyleLinespacing15lines"/>
      </w:pPr>
      <w:r>
        <w:tab/>
      </w:r>
      <w:r w:rsidR="00765404">
        <w:t>5</w:t>
      </w:r>
      <w:r>
        <w:t>.</w:t>
      </w:r>
      <w:r>
        <w:tab/>
        <w:t xml:space="preserve">That </w:t>
      </w:r>
      <w:r w:rsidR="00FC612F">
        <w:t xml:space="preserve">a </w:t>
      </w:r>
      <w:r w:rsidR="00601542">
        <w:t>Word-formatted</w:t>
      </w:r>
      <w:r w:rsidR="00FC612F">
        <w:t xml:space="preserve"> copy of </w:t>
      </w:r>
      <w:r w:rsidR="00405E11">
        <w:t xml:space="preserve">comments and reply comments shall be electronically mailed to </w:t>
      </w:r>
      <w:r w:rsidR="000D11DC">
        <w:t>Joseph Sherrick</w:t>
      </w:r>
      <w:r w:rsidR="00405E11">
        <w:t xml:space="preserve"> at </w:t>
      </w:r>
      <w:hyperlink r:id="rId12" w:history="1">
        <w:r w:rsidR="009067A1" w:rsidRPr="00F93A53">
          <w:rPr>
            <w:rStyle w:val="Hyperlink"/>
            <w:szCs w:val="26"/>
          </w:rPr>
          <w:t>josherrick@pa.gov</w:t>
        </w:r>
      </w:hyperlink>
      <w:r w:rsidR="009067A1">
        <w:t xml:space="preserve"> </w:t>
      </w:r>
      <w:r w:rsidR="00405E11">
        <w:t xml:space="preserve">and </w:t>
      </w:r>
      <w:r w:rsidR="00751D40">
        <w:t xml:space="preserve">to </w:t>
      </w:r>
      <w:r w:rsidR="004D3E5D">
        <w:t>Adam Young</w:t>
      </w:r>
      <w:r w:rsidR="00405E11">
        <w:t xml:space="preserve"> at </w:t>
      </w:r>
      <w:hyperlink r:id="rId13" w:history="1">
        <w:r w:rsidR="004D3E5D" w:rsidRPr="000B03B0">
          <w:rPr>
            <w:rStyle w:val="Hyperlink"/>
            <w:szCs w:val="26"/>
          </w:rPr>
          <w:t>adyoung@pa.gov</w:t>
        </w:r>
      </w:hyperlink>
      <w:r w:rsidR="00405E11">
        <w:t xml:space="preserve">.  Attachments may not exceed three </w:t>
      </w:r>
      <w:r w:rsidR="0028336C">
        <w:t xml:space="preserve">(3) </w:t>
      </w:r>
      <w:r w:rsidR="00405E11">
        <w:t>megabytes</w:t>
      </w:r>
      <w:r>
        <w:t>.</w:t>
      </w:r>
      <w:r w:rsidR="002B4E42">
        <w:t xml:space="preserve"> </w:t>
      </w:r>
    </w:p>
    <w:p w14:paraId="1C5B32C5" w14:textId="77777777" w:rsidR="002719B7" w:rsidRDefault="002719B7" w:rsidP="002719B7">
      <w:pPr>
        <w:spacing w:line="360" w:lineRule="auto"/>
        <w:rPr>
          <w:sz w:val="26"/>
          <w:szCs w:val="26"/>
        </w:rPr>
      </w:pPr>
    </w:p>
    <w:p w14:paraId="277B7F56" w14:textId="6AE4F365" w:rsidR="002719B7" w:rsidRDefault="002719B7" w:rsidP="00EB6FDF">
      <w:pPr>
        <w:pStyle w:val="StyleLinespacing15lines"/>
      </w:pPr>
      <w:r>
        <w:tab/>
      </w:r>
      <w:r w:rsidR="00765404">
        <w:t>6</w:t>
      </w:r>
      <w:r w:rsidR="00833A40">
        <w:t>.</w:t>
      </w:r>
      <w:r>
        <w:tab/>
      </w:r>
      <w:r w:rsidRPr="00B47E2A">
        <w:t xml:space="preserve">That </w:t>
      </w:r>
      <w:r w:rsidR="00405E11">
        <w:t xml:space="preserve">this Tentative </w:t>
      </w:r>
      <w:r w:rsidR="00FC612F">
        <w:t>Order</w:t>
      </w:r>
      <w:r w:rsidR="00405E11">
        <w:t xml:space="preserve"> </w:t>
      </w:r>
      <w:r w:rsidR="00AB43EA">
        <w:t>and all filed comments and reply comments related to</w:t>
      </w:r>
      <w:r w:rsidRPr="00B47E2A">
        <w:t xml:space="preserve"> </w:t>
      </w:r>
      <w:r w:rsidR="00405E11">
        <w:t xml:space="preserve">this Tentative </w:t>
      </w:r>
      <w:r w:rsidR="00FC612F">
        <w:t>Order</w:t>
      </w:r>
      <w:r w:rsidR="00405E11">
        <w:t xml:space="preserve"> be published on the Commission’s website</w:t>
      </w:r>
      <w:r w:rsidR="00FC612F">
        <w:t xml:space="preserve"> at </w:t>
      </w:r>
      <w:hyperlink r:id="rId14" w:history="1">
        <w:r w:rsidR="00FC612F" w:rsidRPr="00E365CA">
          <w:rPr>
            <w:rStyle w:val="Hyperlink"/>
            <w:szCs w:val="26"/>
          </w:rPr>
          <w:t>http://www.puc.pa.gov/filing_resources/issues_laws_regulations/act_129_information/energy_efficiency_and_conservation_ee_c_program.aspx</w:t>
        </w:r>
      </w:hyperlink>
      <w:r w:rsidRPr="00B47E2A">
        <w:t>.</w:t>
      </w:r>
    </w:p>
    <w:p w14:paraId="6C5A6505" w14:textId="77777777" w:rsidR="002B4E42" w:rsidRDefault="002B4E42" w:rsidP="00EB6FDF">
      <w:pPr>
        <w:pStyle w:val="StyleLinespacing15lines"/>
      </w:pPr>
    </w:p>
    <w:p w14:paraId="314E6D07" w14:textId="774D132C" w:rsidR="002719B7" w:rsidRPr="00803CFD" w:rsidRDefault="00FC612F" w:rsidP="00EB6FDF">
      <w:pPr>
        <w:pStyle w:val="StyleLinespacing15lines"/>
      </w:pPr>
      <w:r>
        <w:tab/>
      </w:r>
      <w:r w:rsidR="00765404">
        <w:t>7</w:t>
      </w:r>
      <w:r w:rsidR="002719B7" w:rsidRPr="00803CFD">
        <w:t>.</w:t>
      </w:r>
      <w:r w:rsidR="002719B7" w:rsidRPr="00803CFD">
        <w:tab/>
        <w:t xml:space="preserve">That </w:t>
      </w:r>
      <w:r w:rsidR="00405E11" w:rsidRPr="00803CFD">
        <w:t xml:space="preserve">the contact person for technical issues related to this Tentative Order is </w:t>
      </w:r>
      <w:r w:rsidR="00E33587">
        <w:t>Joseph Sherrick</w:t>
      </w:r>
      <w:r w:rsidR="00405E11" w:rsidRPr="00803CFD">
        <w:t>, Bureau of Technical Utility Services, 717-</w:t>
      </w:r>
      <w:r w:rsidR="00E33587">
        <w:t>787</w:t>
      </w:r>
      <w:r w:rsidR="00405E11" w:rsidRPr="00803CFD">
        <w:t>-</w:t>
      </w:r>
      <w:r w:rsidR="00D4306F">
        <w:t>5369</w:t>
      </w:r>
      <w:r w:rsidR="00405E11" w:rsidRPr="00803CFD">
        <w:t xml:space="preserve"> or </w:t>
      </w:r>
      <w:hyperlink r:id="rId15" w:history="1">
        <w:r w:rsidR="004D3E5D" w:rsidRPr="000B03B0">
          <w:rPr>
            <w:rStyle w:val="Hyperlink"/>
          </w:rPr>
          <w:t>josherrick@pa.gov</w:t>
        </w:r>
      </w:hyperlink>
      <w:r w:rsidR="004D3E5D">
        <w:t xml:space="preserve">. </w:t>
      </w:r>
      <w:r w:rsidR="00405E11" w:rsidRPr="00803CFD">
        <w:t xml:space="preserve">  The contact person for legal and process issues related to this Tentative Order is </w:t>
      </w:r>
      <w:r w:rsidR="004D3E5D">
        <w:t>Adam Young</w:t>
      </w:r>
      <w:r w:rsidR="00405E11" w:rsidRPr="00803CFD">
        <w:t>, Law Bureau, 717-78</w:t>
      </w:r>
      <w:r w:rsidR="004D3E5D">
        <w:t>3</w:t>
      </w:r>
      <w:r w:rsidR="00405E11" w:rsidRPr="00803CFD">
        <w:t>-</w:t>
      </w:r>
      <w:r w:rsidR="004D3E5D">
        <w:t>3968</w:t>
      </w:r>
      <w:r w:rsidR="00405E11" w:rsidRPr="00803CFD">
        <w:t xml:space="preserve"> or </w:t>
      </w:r>
      <w:hyperlink r:id="rId16" w:history="1">
        <w:r w:rsidR="004D3E5D" w:rsidRPr="000B03B0">
          <w:rPr>
            <w:rStyle w:val="Hyperlink"/>
            <w:szCs w:val="26"/>
          </w:rPr>
          <w:t>adyoung@pa.gov</w:t>
        </w:r>
      </w:hyperlink>
      <w:r w:rsidR="00405E11" w:rsidRPr="00803CFD">
        <w:t>.</w:t>
      </w:r>
    </w:p>
    <w:p w14:paraId="28B980BC" w14:textId="77777777" w:rsidR="002719B7" w:rsidRPr="00235CED" w:rsidRDefault="002719B7" w:rsidP="002719B7">
      <w:pPr>
        <w:tabs>
          <w:tab w:val="left" w:pos="4320"/>
        </w:tabs>
        <w:rPr>
          <w:sz w:val="26"/>
          <w:szCs w:val="26"/>
        </w:rPr>
      </w:pPr>
    </w:p>
    <w:p w14:paraId="6F8C61F1" w14:textId="77777777" w:rsidR="002719B7" w:rsidRPr="00235CED" w:rsidRDefault="002719B7" w:rsidP="002719B7">
      <w:pPr>
        <w:tabs>
          <w:tab w:val="left" w:pos="742"/>
        </w:tabs>
        <w:rPr>
          <w:sz w:val="26"/>
          <w:szCs w:val="26"/>
        </w:rPr>
      </w:pPr>
    </w:p>
    <w:p w14:paraId="77965CD9" w14:textId="5DB2EB49" w:rsidR="002719B7" w:rsidRDefault="0012419D" w:rsidP="002719B7">
      <w:pPr>
        <w:pStyle w:val="p17"/>
        <w:widowControl/>
        <w:ind w:left="5057"/>
        <w:rPr>
          <w:b/>
          <w:bCs/>
          <w:szCs w:val="26"/>
        </w:rPr>
      </w:pPr>
      <w:r>
        <w:rPr>
          <w:noProof/>
        </w:rPr>
        <w:drawing>
          <wp:anchor distT="0" distB="0" distL="114300" distR="114300" simplePos="0" relativeHeight="251659264" behindDoc="1" locked="0" layoutInCell="1" allowOverlap="1" wp14:anchorId="573E7852" wp14:editId="4BEA388B">
            <wp:simplePos x="0" y="0"/>
            <wp:positionH relativeFrom="column">
              <wp:posOffset>3228975</wp:posOffset>
            </wp:positionH>
            <wp:positionV relativeFrom="paragraph">
              <wp:posOffset>92075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9B7" w:rsidRPr="3792F7D5">
        <w:rPr>
          <w:b/>
        </w:rPr>
        <w:t>BY THE COMMISSION</w:t>
      </w:r>
    </w:p>
    <w:p w14:paraId="5E74EC3D" w14:textId="69537A31" w:rsidR="00787BF0" w:rsidRPr="00235CED" w:rsidRDefault="00787BF0" w:rsidP="002719B7">
      <w:pPr>
        <w:pStyle w:val="p17"/>
        <w:widowControl/>
        <w:ind w:left="5057"/>
        <w:rPr>
          <w:b/>
          <w:bCs/>
          <w:szCs w:val="26"/>
        </w:rPr>
      </w:pPr>
    </w:p>
    <w:p w14:paraId="4697C04B" w14:textId="7676334A" w:rsidR="002719B7" w:rsidRPr="00235CED" w:rsidRDefault="002719B7" w:rsidP="002719B7">
      <w:pPr>
        <w:tabs>
          <w:tab w:val="left" w:pos="5057"/>
        </w:tabs>
        <w:rPr>
          <w:bCs/>
          <w:sz w:val="26"/>
          <w:szCs w:val="26"/>
        </w:rPr>
      </w:pPr>
    </w:p>
    <w:p w14:paraId="46B8D8CF" w14:textId="418C77F8" w:rsidR="002719B7" w:rsidRPr="00235CED" w:rsidRDefault="002719B7" w:rsidP="002719B7">
      <w:pPr>
        <w:tabs>
          <w:tab w:val="left" w:pos="5057"/>
        </w:tabs>
        <w:rPr>
          <w:bCs/>
          <w:sz w:val="26"/>
          <w:szCs w:val="26"/>
        </w:rPr>
      </w:pPr>
    </w:p>
    <w:p w14:paraId="3C6255B1" w14:textId="7DA929BB" w:rsidR="002719B7" w:rsidRPr="00235CED" w:rsidRDefault="00E2625D" w:rsidP="002719B7">
      <w:pPr>
        <w:tabs>
          <w:tab w:val="left" w:pos="5057"/>
        </w:tabs>
        <w:rPr>
          <w:bCs/>
          <w:sz w:val="26"/>
          <w:szCs w:val="26"/>
        </w:rPr>
      </w:pPr>
      <w:r>
        <w:rPr>
          <w:bCs/>
          <w:sz w:val="26"/>
          <w:szCs w:val="26"/>
        </w:rPr>
        <w:tab/>
        <w:t>Rosemary Chiavetta</w:t>
      </w:r>
    </w:p>
    <w:p w14:paraId="237E2EA2" w14:textId="77777777" w:rsidR="002719B7" w:rsidRPr="00235CED" w:rsidRDefault="002719B7" w:rsidP="002719B7">
      <w:pPr>
        <w:pStyle w:val="p18"/>
        <w:widowControl/>
        <w:ind w:left="5062"/>
        <w:rPr>
          <w:szCs w:val="26"/>
        </w:rPr>
      </w:pPr>
      <w:r w:rsidRPr="00235CED">
        <w:rPr>
          <w:szCs w:val="26"/>
        </w:rPr>
        <w:t>Secretary</w:t>
      </w:r>
    </w:p>
    <w:p w14:paraId="3ACFD3B2" w14:textId="77777777" w:rsidR="002719B7" w:rsidRDefault="00E2625D" w:rsidP="002719B7">
      <w:pPr>
        <w:tabs>
          <w:tab w:val="left" w:pos="5062"/>
        </w:tabs>
        <w:rPr>
          <w:sz w:val="26"/>
          <w:szCs w:val="26"/>
        </w:rPr>
      </w:pPr>
      <w:r>
        <w:rPr>
          <w:sz w:val="26"/>
          <w:szCs w:val="26"/>
        </w:rPr>
        <w:tab/>
      </w:r>
    </w:p>
    <w:p w14:paraId="51F91B25" w14:textId="77777777" w:rsidR="00B26763" w:rsidRDefault="00B26763" w:rsidP="002719B7">
      <w:pPr>
        <w:tabs>
          <w:tab w:val="left" w:pos="5062"/>
        </w:tabs>
        <w:rPr>
          <w:sz w:val="26"/>
          <w:szCs w:val="26"/>
        </w:rPr>
      </w:pPr>
    </w:p>
    <w:p w14:paraId="5C933F38" w14:textId="77777777" w:rsidR="00B26763" w:rsidRPr="00235CED" w:rsidRDefault="00B26763" w:rsidP="002719B7">
      <w:pPr>
        <w:tabs>
          <w:tab w:val="left" w:pos="5062"/>
        </w:tabs>
        <w:rPr>
          <w:sz w:val="26"/>
          <w:szCs w:val="26"/>
        </w:rPr>
      </w:pPr>
    </w:p>
    <w:p w14:paraId="17ED2CF3" w14:textId="77777777" w:rsidR="002719B7" w:rsidRPr="00235CED" w:rsidRDefault="002719B7" w:rsidP="002719B7">
      <w:pPr>
        <w:pStyle w:val="p14"/>
        <w:widowControl/>
        <w:rPr>
          <w:szCs w:val="26"/>
        </w:rPr>
      </w:pPr>
      <w:r w:rsidRPr="00235CED">
        <w:rPr>
          <w:szCs w:val="26"/>
        </w:rPr>
        <w:t>(SEAL)</w:t>
      </w:r>
    </w:p>
    <w:p w14:paraId="00E22572" w14:textId="77777777" w:rsidR="002719B7" w:rsidRPr="00235CED" w:rsidRDefault="002719B7" w:rsidP="002719B7">
      <w:pPr>
        <w:tabs>
          <w:tab w:val="left" w:pos="204"/>
        </w:tabs>
        <w:rPr>
          <w:sz w:val="26"/>
          <w:szCs w:val="26"/>
        </w:rPr>
      </w:pPr>
    </w:p>
    <w:p w14:paraId="7EC33E9B" w14:textId="13E90399" w:rsidR="002719B7" w:rsidRPr="00235CED" w:rsidRDefault="002719B7" w:rsidP="002719B7">
      <w:pPr>
        <w:pStyle w:val="p14"/>
        <w:widowControl/>
        <w:rPr>
          <w:rFonts w:ascii="Times New (W1)" w:hAnsi="Times New (W1)"/>
          <w:szCs w:val="26"/>
        </w:rPr>
      </w:pPr>
      <w:r w:rsidRPr="00235CED">
        <w:rPr>
          <w:szCs w:val="26"/>
        </w:rPr>
        <w:t xml:space="preserve">ORDER ADOPTED:  </w:t>
      </w:r>
      <w:r w:rsidR="00FC612F">
        <w:rPr>
          <w:rFonts w:ascii="Times New (W1)" w:hAnsi="Times New (W1)"/>
          <w:szCs w:val="26"/>
        </w:rPr>
        <w:t xml:space="preserve">March </w:t>
      </w:r>
      <w:r w:rsidR="00794FA1">
        <w:rPr>
          <w:rFonts w:ascii="Times New (W1)" w:hAnsi="Times New (W1)"/>
          <w:szCs w:val="26"/>
        </w:rPr>
        <w:t>12</w:t>
      </w:r>
      <w:r w:rsidR="00FC612F">
        <w:rPr>
          <w:rFonts w:ascii="Times New (W1)" w:hAnsi="Times New (W1)"/>
          <w:szCs w:val="26"/>
        </w:rPr>
        <w:t>, 20</w:t>
      </w:r>
      <w:r w:rsidR="00EA237E">
        <w:rPr>
          <w:rFonts w:ascii="Times New (W1)" w:hAnsi="Times New (W1)"/>
          <w:szCs w:val="26"/>
        </w:rPr>
        <w:t>20</w:t>
      </w:r>
    </w:p>
    <w:p w14:paraId="2345C95B" w14:textId="77777777" w:rsidR="002719B7" w:rsidRPr="00235CED" w:rsidRDefault="002719B7" w:rsidP="002719B7">
      <w:pPr>
        <w:pStyle w:val="p14"/>
        <w:widowControl/>
        <w:rPr>
          <w:szCs w:val="26"/>
        </w:rPr>
      </w:pPr>
    </w:p>
    <w:p w14:paraId="474A6F9D" w14:textId="508B7D53" w:rsidR="002719B7" w:rsidRPr="00235CED" w:rsidRDefault="002719B7" w:rsidP="002719B7">
      <w:pPr>
        <w:pStyle w:val="p14"/>
        <w:widowControl/>
        <w:rPr>
          <w:szCs w:val="26"/>
        </w:rPr>
      </w:pPr>
      <w:r w:rsidRPr="00235CED">
        <w:rPr>
          <w:szCs w:val="26"/>
        </w:rPr>
        <w:t xml:space="preserve">ORDER ENTERED:  </w:t>
      </w:r>
      <w:r w:rsidR="0012419D">
        <w:rPr>
          <w:szCs w:val="26"/>
        </w:rPr>
        <w:t>March 12, 2020</w:t>
      </w:r>
    </w:p>
    <w:p w14:paraId="0DA8C5C9" w14:textId="77777777" w:rsidR="00864D61" w:rsidRDefault="00864D61"/>
    <w:sectPr w:rsidR="00864D61" w:rsidSect="00333082">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087B0" w14:textId="77777777" w:rsidR="00176250" w:rsidRDefault="00176250">
      <w:r>
        <w:separator/>
      </w:r>
    </w:p>
  </w:endnote>
  <w:endnote w:type="continuationSeparator" w:id="0">
    <w:p w14:paraId="36C68CCA" w14:textId="77777777" w:rsidR="00176250" w:rsidRDefault="00176250">
      <w:r>
        <w:continuationSeparator/>
      </w:r>
    </w:p>
  </w:endnote>
  <w:endnote w:type="continuationNotice" w:id="1">
    <w:p w14:paraId="677D7AB6" w14:textId="77777777" w:rsidR="00176250" w:rsidRDefault="00176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EE987" w14:textId="77777777" w:rsidR="00892889" w:rsidRDefault="00892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F1BDDB" w14:textId="77777777" w:rsidR="00892889" w:rsidRDefault="00892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4587" w14:textId="77777777" w:rsidR="00892889" w:rsidRPr="0098639D" w:rsidRDefault="00892889">
    <w:pPr>
      <w:pStyle w:val="Footer"/>
      <w:framePr w:wrap="around" w:vAnchor="text" w:hAnchor="margin" w:xAlign="center" w:y="1"/>
      <w:rPr>
        <w:rStyle w:val="PageNumber"/>
        <w:sz w:val="22"/>
        <w:szCs w:val="22"/>
      </w:rPr>
    </w:pPr>
    <w:r w:rsidRPr="0098639D">
      <w:rPr>
        <w:rStyle w:val="PageNumber"/>
        <w:sz w:val="22"/>
        <w:szCs w:val="22"/>
      </w:rPr>
      <w:fldChar w:fldCharType="begin"/>
    </w:r>
    <w:r w:rsidRPr="0098639D">
      <w:rPr>
        <w:rStyle w:val="PageNumber"/>
        <w:sz w:val="22"/>
        <w:szCs w:val="22"/>
      </w:rPr>
      <w:instrText xml:space="preserve">PAGE  </w:instrText>
    </w:r>
    <w:r w:rsidRPr="0098639D">
      <w:rPr>
        <w:rStyle w:val="PageNumber"/>
        <w:sz w:val="22"/>
        <w:szCs w:val="22"/>
      </w:rPr>
      <w:fldChar w:fldCharType="separate"/>
    </w:r>
    <w:r>
      <w:rPr>
        <w:rStyle w:val="PageNumber"/>
        <w:noProof/>
        <w:sz w:val="22"/>
        <w:szCs w:val="22"/>
      </w:rPr>
      <w:t>3</w:t>
    </w:r>
    <w:r w:rsidRPr="0098639D">
      <w:rPr>
        <w:rStyle w:val="PageNumber"/>
        <w:sz w:val="22"/>
        <w:szCs w:val="22"/>
      </w:rPr>
      <w:fldChar w:fldCharType="end"/>
    </w:r>
  </w:p>
  <w:p w14:paraId="2F3107C3" w14:textId="77777777" w:rsidR="00892889" w:rsidRDefault="00892889" w:rsidP="00333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892889" w14:paraId="1F240A6E" w14:textId="77777777" w:rsidTr="3EC46F60">
      <w:tc>
        <w:tcPr>
          <w:tcW w:w="3120" w:type="dxa"/>
        </w:tcPr>
        <w:p w14:paraId="2C2EDF3F" w14:textId="6512E2AC" w:rsidR="00892889" w:rsidRDefault="00892889" w:rsidP="3EC46F60">
          <w:pPr>
            <w:pStyle w:val="Header"/>
            <w:ind w:left="-115"/>
          </w:pPr>
        </w:p>
      </w:tc>
      <w:tc>
        <w:tcPr>
          <w:tcW w:w="3120" w:type="dxa"/>
        </w:tcPr>
        <w:p w14:paraId="01592A71" w14:textId="2FCE7725" w:rsidR="00892889" w:rsidRDefault="00892889" w:rsidP="3EC46F60">
          <w:pPr>
            <w:pStyle w:val="Header"/>
            <w:jc w:val="center"/>
          </w:pPr>
        </w:p>
      </w:tc>
      <w:tc>
        <w:tcPr>
          <w:tcW w:w="3120" w:type="dxa"/>
        </w:tcPr>
        <w:p w14:paraId="0918A834" w14:textId="6C4BB1B4" w:rsidR="00892889" w:rsidRDefault="00892889" w:rsidP="3EC46F60">
          <w:pPr>
            <w:pStyle w:val="Header"/>
            <w:ind w:right="-115"/>
            <w:jc w:val="right"/>
          </w:pPr>
        </w:p>
      </w:tc>
    </w:tr>
  </w:tbl>
  <w:p w14:paraId="499CE117" w14:textId="7EF72A32" w:rsidR="00892889" w:rsidRDefault="00892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6A697" w14:textId="77777777" w:rsidR="00176250" w:rsidRDefault="00176250">
      <w:r>
        <w:separator/>
      </w:r>
    </w:p>
  </w:footnote>
  <w:footnote w:type="continuationSeparator" w:id="0">
    <w:p w14:paraId="0BA21D3C" w14:textId="77777777" w:rsidR="00176250" w:rsidRDefault="00176250">
      <w:r>
        <w:continuationSeparator/>
      </w:r>
    </w:p>
  </w:footnote>
  <w:footnote w:type="continuationNotice" w:id="1">
    <w:p w14:paraId="1F6BFB8B" w14:textId="77777777" w:rsidR="00176250" w:rsidRDefault="00176250"/>
  </w:footnote>
  <w:footnote w:id="2">
    <w:p w14:paraId="4E9E0FCC" w14:textId="6AB53BED" w:rsidR="00892889" w:rsidRPr="0082415C"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Energy Efficiency and Conservation Program</w:t>
      </w:r>
      <w:r w:rsidRPr="0082415C">
        <w:rPr>
          <w:sz w:val="22"/>
          <w:szCs w:val="22"/>
        </w:rPr>
        <w:t xml:space="preserve"> Implementation Order, at Docket No. M</w:t>
      </w:r>
      <w:r>
        <w:rPr>
          <w:sz w:val="22"/>
          <w:szCs w:val="22"/>
        </w:rPr>
        <w:noBreakHyphen/>
      </w:r>
      <w:r w:rsidRPr="0082415C">
        <w:rPr>
          <w:sz w:val="22"/>
          <w:szCs w:val="22"/>
        </w:rPr>
        <w:t>2008</w:t>
      </w:r>
      <w:r>
        <w:rPr>
          <w:sz w:val="22"/>
          <w:szCs w:val="22"/>
        </w:rPr>
        <w:noBreakHyphen/>
      </w:r>
      <w:r w:rsidRPr="0082415C">
        <w:rPr>
          <w:sz w:val="22"/>
          <w:szCs w:val="22"/>
        </w:rPr>
        <w:t>2069887, (Phase I Implementation Order), entered January 16, 2009.</w:t>
      </w:r>
    </w:p>
  </w:footnote>
  <w:footnote w:id="3">
    <w:p w14:paraId="20D0F44E" w14:textId="01956FA4" w:rsidR="00892889" w:rsidRPr="0082415C" w:rsidRDefault="00892889" w:rsidP="00B43C66">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Implementation of Act 129 of 2008 – Total Resource Cost (TRC) Test</w:t>
      </w:r>
      <w:r w:rsidRPr="0082415C">
        <w:rPr>
          <w:sz w:val="22"/>
          <w:szCs w:val="22"/>
        </w:rPr>
        <w:t xml:space="preserve"> Order, at Docket No. M</w:t>
      </w:r>
      <w:r>
        <w:rPr>
          <w:sz w:val="22"/>
          <w:szCs w:val="22"/>
        </w:rPr>
        <w:noBreakHyphen/>
      </w:r>
      <w:r w:rsidRPr="0082415C">
        <w:rPr>
          <w:sz w:val="22"/>
          <w:szCs w:val="22"/>
        </w:rPr>
        <w:t>2009-2108601, entered June 23, 2009.</w:t>
      </w:r>
    </w:p>
  </w:footnote>
  <w:footnote w:id="4">
    <w:p w14:paraId="0B391D18" w14:textId="5CE898C7" w:rsidR="00892889" w:rsidRPr="0082415C" w:rsidRDefault="00892889" w:rsidP="00B43C66">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Implementation of the Alternative Energy Portfolio Standards Act of 2004:  Standards for the Participation of Demand Side Management Resources – Technical Reference Manual Update</w:t>
      </w:r>
      <w:r w:rsidRPr="0082415C">
        <w:rPr>
          <w:sz w:val="22"/>
          <w:szCs w:val="22"/>
        </w:rPr>
        <w:t xml:space="preserve"> Order, at Docket No. M-00051865, entered June 1, 2009.</w:t>
      </w:r>
    </w:p>
  </w:footnote>
  <w:footnote w:id="5">
    <w:p w14:paraId="4497BD00" w14:textId="136C4DA7" w:rsidR="00892889" w:rsidRPr="008045E6" w:rsidRDefault="00892889" w:rsidP="00863707">
      <w:pPr>
        <w:pStyle w:val="FootnoteText"/>
        <w:rPr>
          <w:sz w:val="22"/>
          <w:szCs w:val="22"/>
        </w:rPr>
      </w:pPr>
      <w:r w:rsidRPr="008045E6">
        <w:rPr>
          <w:rStyle w:val="FootnoteReference"/>
          <w:sz w:val="22"/>
          <w:szCs w:val="22"/>
        </w:rPr>
        <w:footnoteRef/>
      </w:r>
      <w:r w:rsidRPr="008045E6">
        <w:rPr>
          <w:sz w:val="22"/>
          <w:szCs w:val="22"/>
        </w:rPr>
        <w:t xml:space="preserve"> </w:t>
      </w:r>
      <w:r w:rsidRPr="008045E6">
        <w:rPr>
          <w:i/>
          <w:sz w:val="22"/>
          <w:szCs w:val="22"/>
        </w:rPr>
        <w:t xml:space="preserve">See </w:t>
      </w:r>
      <w:r w:rsidRPr="00571099">
        <w:rPr>
          <w:i/>
          <w:sz w:val="22"/>
          <w:szCs w:val="22"/>
        </w:rPr>
        <w:t>Energy Efficiency and Conservation Program Implementation Order</w:t>
      </w:r>
      <w:r w:rsidRPr="008045E6">
        <w:rPr>
          <w:sz w:val="22"/>
          <w:szCs w:val="22"/>
        </w:rPr>
        <w:t xml:space="preserve">, </w:t>
      </w:r>
      <w:r>
        <w:rPr>
          <w:sz w:val="22"/>
          <w:szCs w:val="22"/>
        </w:rPr>
        <w:t xml:space="preserve">page 24, </w:t>
      </w:r>
      <w:r w:rsidRPr="008045E6">
        <w:rPr>
          <w:sz w:val="22"/>
          <w:szCs w:val="22"/>
        </w:rPr>
        <w:t>at Docket Nos. M</w:t>
      </w:r>
      <w:r>
        <w:rPr>
          <w:sz w:val="22"/>
          <w:szCs w:val="22"/>
        </w:rPr>
        <w:noBreakHyphen/>
      </w:r>
      <w:r w:rsidRPr="008045E6">
        <w:rPr>
          <w:sz w:val="22"/>
          <w:szCs w:val="22"/>
        </w:rPr>
        <w:t>2012</w:t>
      </w:r>
      <w:r>
        <w:rPr>
          <w:sz w:val="22"/>
          <w:szCs w:val="22"/>
        </w:rPr>
        <w:noBreakHyphen/>
      </w:r>
      <w:r w:rsidRPr="008045E6">
        <w:rPr>
          <w:sz w:val="22"/>
          <w:szCs w:val="22"/>
        </w:rPr>
        <w:t>2289411</w:t>
      </w:r>
      <w:r>
        <w:rPr>
          <w:sz w:val="22"/>
          <w:szCs w:val="22"/>
        </w:rPr>
        <w:t xml:space="preserve"> </w:t>
      </w:r>
      <w:r w:rsidRPr="008045E6">
        <w:rPr>
          <w:sz w:val="22"/>
          <w:szCs w:val="22"/>
        </w:rPr>
        <w:t>and M</w:t>
      </w:r>
      <w:r w:rsidRPr="008045E6">
        <w:rPr>
          <w:sz w:val="22"/>
          <w:szCs w:val="22"/>
        </w:rPr>
        <w:noBreakHyphen/>
        <w:t>2008</w:t>
      </w:r>
      <w:r w:rsidRPr="008045E6">
        <w:rPr>
          <w:sz w:val="22"/>
          <w:szCs w:val="22"/>
        </w:rPr>
        <w:noBreakHyphen/>
        <w:t>2069887</w:t>
      </w:r>
      <w:r>
        <w:rPr>
          <w:sz w:val="22"/>
          <w:szCs w:val="22"/>
        </w:rPr>
        <w:t>, e</w:t>
      </w:r>
      <w:r w:rsidRPr="008045E6">
        <w:rPr>
          <w:sz w:val="22"/>
          <w:szCs w:val="22"/>
        </w:rPr>
        <w:t>ntered Aug. 2, 2014.</w:t>
      </w:r>
    </w:p>
  </w:footnote>
  <w:footnote w:id="6">
    <w:p w14:paraId="0C3A7355" w14:textId="77777777" w:rsidR="00892889" w:rsidRPr="008045E6" w:rsidRDefault="00892889" w:rsidP="00863707">
      <w:pPr>
        <w:pStyle w:val="FootnoteText"/>
        <w:rPr>
          <w:sz w:val="22"/>
          <w:szCs w:val="22"/>
        </w:rPr>
      </w:pPr>
      <w:r w:rsidRPr="008045E6">
        <w:rPr>
          <w:rStyle w:val="FootnoteReference"/>
          <w:sz w:val="22"/>
          <w:szCs w:val="22"/>
        </w:rPr>
        <w:footnoteRef/>
      </w:r>
      <w:r w:rsidRPr="008045E6">
        <w:rPr>
          <w:sz w:val="22"/>
          <w:szCs w:val="22"/>
        </w:rPr>
        <w:t xml:space="preserve"> </w:t>
      </w:r>
      <w:r w:rsidRPr="008045E6">
        <w:rPr>
          <w:i/>
          <w:sz w:val="22"/>
          <w:szCs w:val="22"/>
        </w:rPr>
        <w:t>Id.</w:t>
      </w:r>
      <w:r w:rsidRPr="008045E6">
        <w:rPr>
          <w:sz w:val="22"/>
          <w:szCs w:val="22"/>
        </w:rPr>
        <w:t xml:space="preserve"> at 32, 33, 42 and 43.</w:t>
      </w:r>
    </w:p>
  </w:footnote>
  <w:footnote w:id="7">
    <w:p w14:paraId="757DDC3F" w14:textId="3EAC21CA" w:rsidR="00892889" w:rsidRPr="0082415C" w:rsidRDefault="00892889" w:rsidP="00A91F4C">
      <w:pPr>
        <w:pStyle w:val="FootnoteText"/>
        <w:rPr>
          <w:sz w:val="22"/>
          <w:szCs w:val="22"/>
        </w:rPr>
      </w:pPr>
      <w:r w:rsidRPr="001D570F">
        <w:rPr>
          <w:rStyle w:val="FootnoteReference"/>
          <w:sz w:val="22"/>
          <w:szCs w:val="22"/>
        </w:rPr>
        <w:footnoteRef/>
      </w:r>
      <w:r w:rsidRPr="001D570F">
        <w:rPr>
          <w:sz w:val="22"/>
          <w:szCs w:val="22"/>
        </w:rPr>
        <w:t xml:space="preserve">  </w:t>
      </w:r>
      <w:r w:rsidRPr="001D570F">
        <w:rPr>
          <w:i/>
          <w:sz w:val="22"/>
          <w:szCs w:val="22"/>
        </w:rPr>
        <w:t>See Phase II</w:t>
      </w:r>
      <w:r>
        <w:rPr>
          <w:i/>
          <w:sz w:val="22"/>
          <w:szCs w:val="22"/>
        </w:rPr>
        <w:t>I</w:t>
      </w:r>
      <w:r w:rsidRPr="001D570F">
        <w:rPr>
          <w:i/>
          <w:sz w:val="22"/>
          <w:szCs w:val="22"/>
        </w:rPr>
        <w:t xml:space="preserve"> </w:t>
      </w:r>
      <w:r>
        <w:rPr>
          <w:i/>
          <w:sz w:val="22"/>
          <w:szCs w:val="22"/>
        </w:rPr>
        <w:t xml:space="preserve">Final </w:t>
      </w:r>
      <w:r w:rsidRPr="001D570F">
        <w:rPr>
          <w:i/>
          <w:sz w:val="22"/>
          <w:szCs w:val="22"/>
        </w:rPr>
        <w:t>Implementation</w:t>
      </w:r>
      <w:r w:rsidRPr="0082415C">
        <w:rPr>
          <w:i/>
          <w:sz w:val="22"/>
          <w:szCs w:val="22"/>
        </w:rPr>
        <w:t xml:space="preserve"> Order</w:t>
      </w:r>
      <w:r>
        <w:rPr>
          <w:i/>
          <w:sz w:val="22"/>
          <w:szCs w:val="22"/>
        </w:rPr>
        <w:t xml:space="preserve">, </w:t>
      </w:r>
      <w:r w:rsidRPr="00213667">
        <w:rPr>
          <w:sz w:val="22"/>
          <w:szCs w:val="22"/>
        </w:rPr>
        <w:t>page 12, at Docket No. M-2014-2424864,</w:t>
      </w:r>
      <w:r>
        <w:rPr>
          <w:sz w:val="22"/>
          <w:szCs w:val="22"/>
        </w:rPr>
        <w:t xml:space="preserve"> </w:t>
      </w:r>
      <w:r w:rsidRPr="0082415C">
        <w:rPr>
          <w:sz w:val="22"/>
          <w:szCs w:val="22"/>
        </w:rPr>
        <w:t xml:space="preserve">entered </w:t>
      </w:r>
      <w:r>
        <w:rPr>
          <w:sz w:val="22"/>
          <w:szCs w:val="22"/>
        </w:rPr>
        <w:t>June 19</w:t>
      </w:r>
      <w:r w:rsidRPr="0082415C">
        <w:rPr>
          <w:sz w:val="22"/>
          <w:szCs w:val="22"/>
        </w:rPr>
        <w:t>, 20</w:t>
      </w:r>
      <w:r>
        <w:rPr>
          <w:sz w:val="22"/>
          <w:szCs w:val="22"/>
        </w:rPr>
        <w:t>15</w:t>
      </w:r>
      <w:r w:rsidRPr="0082415C">
        <w:rPr>
          <w:sz w:val="22"/>
          <w:szCs w:val="22"/>
        </w:rPr>
        <w:t>.</w:t>
      </w:r>
    </w:p>
  </w:footnote>
  <w:footnote w:id="8">
    <w:p w14:paraId="0370F67E" w14:textId="3C10638B" w:rsidR="00892889" w:rsidRDefault="00892889" w:rsidP="001550B2">
      <w:pPr>
        <w:pStyle w:val="FootnoteText"/>
        <w:rPr>
          <w:sz w:val="22"/>
          <w:szCs w:val="22"/>
        </w:rPr>
      </w:pPr>
      <w:r w:rsidRPr="0082415C">
        <w:rPr>
          <w:rStyle w:val="FootnoteReference"/>
          <w:sz w:val="22"/>
          <w:szCs w:val="22"/>
        </w:rPr>
        <w:footnoteRef/>
      </w:r>
      <w:r w:rsidRPr="0082415C">
        <w:rPr>
          <w:sz w:val="22"/>
          <w:szCs w:val="22"/>
        </w:rPr>
        <w:t xml:space="preserve">  </w:t>
      </w:r>
      <w:r w:rsidRPr="005518E5">
        <w:rPr>
          <w:i/>
          <w:sz w:val="22"/>
          <w:szCs w:val="22"/>
        </w:rPr>
        <w:t xml:space="preserve">See </w:t>
      </w:r>
      <w:r w:rsidRPr="00EA0E70">
        <w:rPr>
          <w:i/>
          <w:sz w:val="22"/>
          <w:szCs w:val="22"/>
        </w:rPr>
        <w:t xml:space="preserve">Pennsylvania Act 129 - Phase IV Energy Efficiency </w:t>
      </w:r>
      <w:r>
        <w:rPr>
          <w:i/>
          <w:sz w:val="22"/>
          <w:szCs w:val="22"/>
        </w:rPr>
        <w:t xml:space="preserve">and Peak Demand Reduction </w:t>
      </w:r>
      <w:r w:rsidRPr="00EA0E70">
        <w:rPr>
          <w:i/>
          <w:sz w:val="22"/>
          <w:szCs w:val="22"/>
        </w:rPr>
        <w:t>Market Potential Study Report</w:t>
      </w:r>
      <w:r>
        <w:rPr>
          <w:i/>
          <w:sz w:val="22"/>
          <w:szCs w:val="22"/>
        </w:rPr>
        <w:t xml:space="preserve">, </w:t>
      </w:r>
      <w:r w:rsidRPr="005518E5">
        <w:rPr>
          <w:sz w:val="22"/>
          <w:szCs w:val="22"/>
        </w:rPr>
        <w:t xml:space="preserve">submitted by </w:t>
      </w:r>
      <w:r>
        <w:rPr>
          <w:sz w:val="22"/>
          <w:szCs w:val="22"/>
        </w:rPr>
        <w:t>Optimal Energy</w:t>
      </w:r>
      <w:r w:rsidRPr="005518E5">
        <w:rPr>
          <w:sz w:val="22"/>
          <w:szCs w:val="22"/>
        </w:rPr>
        <w:t xml:space="preserve">, Inc., </w:t>
      </w:r>
      <w:r w:rsidRPr="005518E5">
        <w:rPr>
          <w:i/>
          <w:sz w:val="22"/>
          <w:szCs w:val="22"/>
        </w:rPr>
        <w:t>et. al.</w:t>
      </w:r>
      <w:r w:rsidRPr="005518E5">
        <w:rPr>
          <w:sz w:val="22"/>
          <w:szCs w:val="22"/>
        </w:rPr>
        <w:t>, February</w:t>
      </w:r>
      <w:r>
        <w:rPr>
          <w:sz w:val="22"/>
          <w:szCs w:val="22"/>
        </w:rPr>
        <w:t xml:space="preserve"> 28,</w:t>
      </w:r>
      <w:r w:rsidRPr="005518E5">
        <w:rPr>
          <w:sz w:val="22"/>
          <w:szCs w:val="22"/>
        </w:rPr>
        <w:t xml:space="preserve"> 20</w:t>
      </w:r>
      <w:r>
        <w:rPr>
          <w:sz w:val="22"/>
          <w:szCs w:val="22"/>
        </w:rPr>
        <w:t xml:space="preserve">20. </w:t>
      </w:r>
    </w:p>
    <w:p w14:paraId="6856FDB9" w14:textId="1FACEF35" w:rsidR="00892889" w:rsidRPr="0082415C" w:rsidRDefault="00892889" w:rsidP="0082415C">
      <w:pPr>
        <w:pStyle w:val="FootnoteText"/>
        <w:rPr>
          <w:sz w:val="22"/>
          <w:szCs w:val="22"/>
        </w:rPr>
      </w:pPr>
      <w:r w:rsidRPr="00EA0E70">
        <w:rPr>
          <w:i/>
          <w:sz w:val="22"/>
          <w:szCs w:val="22"/>
        </w:rPr>
        <w:t xml:space="preserve">Pennsylvania Act 129 - </w:t>
      </w:r>
      <w:r w:rsidRPr="005518E5">
        <w:rPr>
          <w:i/>
          <w:sz w:val="22"/>
          <w:szCs w:val="22"/>
        </w:rPr>
        <w:t>Phase IV Demand Response Potential Study</w:t>
      </w:r>
      <w:r w:rsidRPr="005518E5">
        <w:rPr>
          <w:sz w:val="22"/>
          <w:szCs w:val="22"/>
        </w:rPr>
        <w:t>,</w:t>
      </w:r>
      <w:r>
        <w:rPr>
          <w:i/>
          <w:sz w:val="22"/>
          <w:szCs w:val="22"/>
        </w:rPr>
        <w:t xml:space="preserve"> </w:t>
      </w:r>
      <w:r w:rsidRPr="007437EE">
        <w:rPr>
          <w:sz w:val="22"/>
          <w:szCs w:val="22"/>
        </w:rPr>
        <w:t xml:space="preserve">submitted by </w:t>
      </w:r>
      <w:r>
        <w:rPr>
          <w:sz w:val="22"/>
          <w:szCs w:val="22"/>
        </w:rPr>
        <w:t>Demand Side Analytics</w:t>
      </w:r>
      <w:r w:rsidRPr="007437EE">
        <w:rPr>
          <w:sz w:val="22"/>
          <w:szCs w:val="22"/>
        </w:rPr>
        <w:t xml:space="preserve">, Inc., </w:t>
      </w:r>
      <w:r w:rsidRPr="007437EE">
        <w:rPr>
          <w:i/>
          <w:sz w:val="22"/>
          <w:szCs w:val="22"/>
        </w:rPr>
        <w:t>et. al.</w:t>
      </w:r>
      <w:r w:rsidRPr="007437EE">
        <w:rPr>
          <w:sz w:val="22"/>
          <w:szCs w:val="22"/>
        </w:rPr>
        <w:t>, February 20</w:t>
      </w:r>
      <w:r>
        <w:rPr>
          <w:sz w:val="22"/>
          <w:szCs w:val="22"/>
        </w:rPr>
        <w:t>20.</w:t>
      </w:r>
    </w:p>
  </w:footnote>
  <w:footnote w:id="9">
    <w:p w14:paraId="6C5094C5" w14:textId="31994113" w:rsidR="00892889" w:rsidRPr="0082415C"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w:t>
      </w:r>
      <w:r w:rsidRPr="001550B2">
        <w:rPr>
          <w:i/>
          <w:sz w:val="22"/>
          <w:szCs w:val="22"/>
        </w:rPr>
        <w:t xml:space="preserve">See Release of the Act 129 Statewide Evaluator Energy Efficiency </w:t>
      </w:r>
      <w:r>
        <w:rPr>
          <w:i/>
          <w:sz w:val="22"/>
          <w:szCs w:val="22"/>
        </w:rPr>
        <w:t xml:space="preserve">and Peak Demand Reduction Market Potential </w:t>
      </w:r>
      <w:r w:rsidRPr="001550B2">
        <w:rPr>
          <w:i/>
          <w:sz w:val="22"/>
          <w:szCs w:val="22"/>
        </w:rPr>
        <w:t>and Demand Response</w:t>
      </w:r>
      <w:r>
        <w:rPr>
          <w:i/>
          <w:sz w:val="22"/>
          <w:szCs w:val="22"/>
        </w:rPr>
        <w:t xml:space="preserve"> </w:t>
      </w:r>
      <w:r w:rsidRPr="001550B2">
        <w:rPr>
          <w:i/>
          <w:sz w:val="22"/>
          <w:szCs w:val="22"/>
        </w:rPr>
        <w:t xml:space="preserve">Potential Studies and Stakeholder Meeting Announcement </w:t>
      </w:r>
      <w:r w:rsidRPr="001550B2">
        <w:rPr>
          <w:sz w:val="22"/>
          <w:szCs w:val="22"/>
        </w:rPr>
        <w:t xml:space="preserve">Secretarial Letter, at Docket No. </w:t>
      </w:r>
      <w:r w:rsidRPr="004159A4">
        <w:rPr>
          <w:sz w:val="22"/>
          <w:szCs w:val="22"/>
        </w:rPr>
        <w:t>M-2020-3015229</w:t>
      </w:r>
      <w:r w:rsidRPr="001550B2">
        <w:rPr>
          <w:sz w:val="22"/>
          <w:szCs w:val="22"/>
        </w:rPr>
        <w:t xml:space="preserve">, served </w:t>
      </w:r>
      <w:r>
        <w:rPr>
          <w:sz w:val="22"/>
          <w:szCs w:val="22"/>
        </w:rPr>
        <w:t xml:space="preserve">March 2 </w:t>
      </w:r>
      <w:r w:rsidRPr="000813BF">
        <w:rPr>
          <w:sz w:val="22"/>
          <w:szCs w:val="22"/>
        </w:rPr>
        <w:t>, 2020</w:t>
      </w:r>
      <w:r w:rsidRPr="001550B2">
        <w:rPr>
          <w:sz w:val="22"/>
          <w:szCs w:val="22"/>
        </w:rPr>
        <w:t>.</w:t>
      </w:r>
    </w:p>
  </w:footnote>
  <w:footnote w:id="10">
    <w:p w14:paraId="5C51BFE0" w14:textId="31FE6751" w:rsidR="00892889" w:rsidRPr="0082415C" w:rsidRDefault="00892889" w:rsidP="00DD1A7A">
      <w:pPr>
        <w:pStyle w:val="FootnoteText"/>
        <w:rPr>
          <w:sz w:val="22"/>
          <w:szCs w:val="22"/>
        </w:rPr>
      </w:pPr>
      <w:r w:rsidRPr="0082415C">
        <w:rPr>
          <w:rStyle w:val="FootnoteReference"/>
          <w:sz w:val="22"/>
          <w:szCs w:val="22"/>
        </w:rPr>
        <w:footnoteRef/>
      </w:r>
      <w:r w:rsidRPr="0082415C">
        <w:rPr>
          <w:sz w:val="22"/>
          <w:szCs w:val="22"/>
        </w:rPr>
        <w:t xml:space="preserve">  </w:t>
      </w:r>
      <w:r w:rsidRPr="00F73BDD">
        <w:rPr>
          <w:i/>
          <w:sz w:val="22"/>
          <w:szCs w:val="22"/>
        </w:rPr>
        <w:t>See</w:t>
      </w:r>
      <w:r w:rsidRPr="2E38D00C">
        <w:rPr>
          <w:sz w:val="22"/>
          <w:szCs w:val="22"/>
        </w:rPr>
        <w:t xml:space="preserve"> </w:t>
      </w:r>
      <w:r w:rsidRPr="2E38D00C">
        <w:rPr>
          <w:i/>
          <w:iCs/>
          <w:sz w:val="22"/>
          <w:szCs w:val="22"/>
        </w:rPr>
        <w:t>E</w:t>
      </w:r>
      <w:r>
        <w:rPr>
          <w:i/>
          <w:iCs/>
          <w:sz w:val="22"/>
          <w:szCs w:val="22"/>
        </w:rPr>
        <w:t>EPDR</w:t>
      </w:r>
      <w:r w:rsidRPr="2E38D00C">
        <w:rPr>
          <w:i/>
          <w:iCs/>
          <w:sz w:val="22"/>
          <w:szCs w:val="22"/>
        </w:rPr>
        <w:t xml:space="preserve"> Potential Study </w:t>
      </w:r>
      <w:r w:rsidRPr="2E38D00C">
        <w:rPr>
          <w:sz w:val="22"/>
          <w:szCs w:val="22"/>
        </w:rPr>
        <w:t>at page 1.</w:t>
      </w:r>
    </w:p>
  </w:footnote>
  <w:footnote w:id="11">
    <w:p w14:paraId="4B27AC0B" w14:textId="77777777" w:rsidR="00892889" w:rsidRPr="0082415C" w:rsidRDefault="00892889" w:rsidP="007B1AF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w:t>
      </w:r>
      <w:r w:rsidRPr="005A05B2">
        <w:rPr>
          <w:i/>
          <w:sz w:val="22"/>
          <w:szCs w:val="22"/>
        </w:rPr>
        <w:t xml:space="preserve"> Pennsylvania Act 129 2018 Residential Baseline Study</w:t>
      </w:r>
      <w:r>
        <w:rPr>
          <w:sz w:val="22"/>
          <w:szCs w:val="22"/>
        </w:rPr>
        <w:t xml:space="preserve">, submitted by NMR Group, Inc., February 12, 2019. </w:t>
      </w:r>
      <w:hyperlink r:id="rId1" w:history="1">
        <w:r w:rsidRPr="00267658">
          <w:rPr>
            <w:rStyle w:val="Hyperlink"/>
            <w:sz w:val="22"/>
            <w:szCs w:val="22"/>
          </w:rPr>
          <w:t>http://www.puc.pa.gov/Electric/pdf/Act129/SWE-Phase3_Res_Baseline_Study_Rpt021219.pdf</w:t>
        </w:r>
      </w:hyperlink>
      <w:r>
        <w:rPr>
          <w:sz w:val="22"/>
          <w:szCs w:val="22"/>
        </w:rPr>
        <w:t xml:space="preserve">. </w:t>
      </w:r>
      <w:hyperlink w:history="1"/>
    </w:p>
  </w:footnote>
  <w:footnote w:id="12">
    <w:p w14:paraId="4BFFFC49" w14:textId="77777777" w:rsidR="00892889" w:rsidRPr="0082415C" w:rsidRDefault="00892889" w:rsidP="007B1AF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 xml:space="preserve">See </w:t>
      </w:r>
      <w:r w:rsidRPr="00D07C53">
        <w:rPr>
          <w:i/>
          <w:sz w:val="22"/>
          <w:szCs w:val="22"/>
        </w:rPr>
        <w:t>Pennsylvania Act 129 2018</w:t>
      </w:r>
      <w:r>
        <w:rPr>
          <w:i/>
          <w:sz w:val="22"/>
          <w:szCs w:val="22"/>
        </w:rPr>
        <w:t xml:space="preserve"> Non-</w:t>
      </w:r>
      <w:r w:rsidRPr="00D07C53">
        <w:rPr>
          <w:i/>
          <w:sz w:val="22"/>
          <w:szCs w:val="22"/>
        </w:rPr>
        <w:t xml:space="preserve">Residential Baseline </w:t>
      </w:r>
      <w:r w:rsidRPr="0082415C" w:rsidDel="00D07C53">
        <w:rPr>
          <w:i/>
          <w:sz w:val="22"/>
          <w:szCs w:val="22"/>
        </w:rPr>
        <w:t>Study</w:t>
      </w:r>
      <w:r w:rsidRPr="0082415C">
        <w:rPr>
          <w:sz w:val="22"/>
          <w:szCs w:val="22"/>
        </w:rPr>
        <w:t xml:space="preserve">, submitted by </w:t>
      </w:r>
      <w:r>
        <w:rPr>
          <w:sz w:val="22"/>
          <w:szCs w:val="22"/>
        </w:rPr>
        <w:t>Demand Side Analytics</w:t>
      </w:r>
      <w:r w:rsidRPr="0082415C">
        <w:rPr>
          <w:sz w:val="22"/>
          <w:szCs w:val="22"/>
        </w:rPr>
        <w:t xml:space="preserve"> </w:t>
      </w:r>
      <w:r w:rsidRPr="0082415C">
        <w:rPr>
          <w:i/>
          <w:sz w:val="22"/>
          <w:szCs w:val="22"/>
        </w:rPr>
        <w:t>et al.</w:t>
      </w:r>
      <w:r w:rsidRPr="0082415C">
        <w:rPr>
          <w:sz w:val="22"/>
          <w:szCs w:val="22"/>
        </w:rPr>
        <w:t xml:space="preserve">, </w:t>
      </w:r>
      <w:r>
        <w:rPr>
          <w:sz w:val="22"/>
          <w:szCs w:val="22"/>
        </w:rPr>
        <w:t xml:space="preserve">February </w:t>
      </w:r>
      <w:r w:rsidRPr="0082415C">
        <w:rPr>
          <w:sz w:val="22"/>
          <w:szCs w:val="22"/>
        </w:rPr>
        <w:t>201</w:t>
      </w:r>
      <w:r>
        <w:rPr>
          <w:sz w:val="22"/>
          <w:szCs w:val="22"/>
        </w:rPr>
        <w:t>9</w:t>
      </w:r>
      <w:r w:rsidRPr="0082415C">
        <w:rPr>
          <w:sz w:val="22"/>
          <w:szCs w:val="22"/>
        </w:rPr>
        <w:t>.</w:t>
      </w:r>
      <w:r>
        <w:rPr>
          <w:sz w:val="22"/>
          <w:szCs w:val="22"/>
        </w:rPr>
        <w:t xml:space="preserve"> </w:t>
      </w:r>
      <w:hyperlink r:id="rId2" w:history="1">
        <w:r w:rsidRPr="00267658">
          <w:rPr>
            <w:rStyle w:val="Hyperlink"/>
            <w:sz w:val="22"/>
            <w:szCs w:val="22"/>
          </w:rPr>
          <w:t>http://www.puc.pa.gov/Electric/pdf/Act129/SWE-Phase3_NonRes_Baseline_Study_Rpt021219.pdf</w:t>
        </w:r>
      </w:hyperlink>
      <w:r>
        <w:rPr>
          <w:sz w:val="22"/>
          <w:szCs w:val="22"/>
        </w:rPr>
        <w:t xml:space="preserve">. </w:t>
      </w:r>
    </w:p>
  </w:footnote>
  <w:footnote w:id="13">
    <w:p w14:paraId="367E51A4" w14:textId="77777777" w:rsidR="00892889" w:rsidRPr="0082415C" w:rsidRDefault="00892889" w:rsidP="007B1AFC">
      <w:pPr>
        <w:pStyle w:val="FootnoteText"/>
        <w:rPr>
          <w:sz w:val="22"/>
          <w:szCs w:val="22"/>
        </w:rPr>
      </w:pPr>
      <w:r w:rsidRPr="0082415C">
        <w:rPr>
          <w:rStyle w:val="FootnoteReference"/>
          <w:sz w:val="22"/>
          <w:szCs w:val="22"/>
        </w:rPr>
        <w:footnoteRef/>
      </w:r>
      <w:r w:rsidRPr="0082415C">
        <w:rPr>
          <w:sz w:val="22"/>
          <w:szCs w:val="22"/>
        </w:rPr>
        <w:t xml:space="preserve">  </w:t>
      </w:r>
      <w:r w:rsidRPr="0082415C" w:rsidDel="00D07C53">
        <w:rPr>
          <w:i/>
          <w:sz w:val="22"/>
          <w:szCs w:val="22"/>
        </w:rPr>
        <w:t xml:space="preserve">See Release of the </w:t>
      </w:r>
      <w:r w:rsidRPr="00C14AFC">
        <w:rPr>
          <w:i/>
          <w:sz w:val="22"/>
          <w:szCs w:val="22"/>
        </w:rPr>
        <w:t>Statewide Evaluator Baseline Studies</w:t>
      </w:r>
      <w:r w:rsidRPr="00D07C53">
        <w:rPr>
          <w:sz w:val="22"/>
          <w:szCs w:val="22"/>
        </w:rPr>
        <w:t xml:space="preserve"> Secretarial Letter</w:t>
      </w:r>
      <w:r>
        <w:rPr>
          <w:sz w:val="22"/>
          <w:szCs w:val="22"/>
        </w:rPr>
        <w:t xml:space="preserve"> at </w:t>
      </w:r>
      <w:r w:rsidRPr="00D07C53">
        <w:rPr>
          <w:sz w:val="22"/>
          <w:szCs w:val="22"/>
        </w:rPr>
        <w:t>Docket No. M-2019-3006866</w:t>
      </w:r>
      <w:r>
        <w:rPr>
          <w:sz w:val="22"/>
          <w:szCs w:val="22"/>
        </w:rPr>
        <w:t xml:space="preserve"> </w:t>
      </w:r>
      <w:r w:rsidRPr="0082415C">
        <w:rPr>
          <w:sz w:val="22"/>
          <w:szCs w:val="22"/>
        </w:rPr>
        <w:t xml:space="preserve">(served </w:t>
      </w:r>
      <w:r>
        <w:rPr>
          <w:sz w:val="22"/>
          <w:szCs w:val="22"/>
        </w:rPr>
        <w:t>February 14,</w:t>
      </w:r>
      <w:r w:rsidRPr="0082415C">
        <w:rPr>
          <w:sz w:val="22"/>
          <w:szCs w:val="22"/>
        </w:rPr>
        <w:t xml:space="preserve"> 201</w:t>
      </w:r>
      <w:r>
        <w:rPr>
          <w:sz w:val="22"/>
          <w:szCs w:val="22"/>
        </w:rPr>
        <w:t>9</w:t>
      </w:r>
      <w:r w:rsidRPr="0082415C">
        <w:rPr>
          <w:sz w:val="22"/>
          <w:szCs w:val="22"/>
        </w:rPr>
        <w:t>)</w:t>
      </w:r>
      <w:r w:rsidRPr="00D07C53">
        <w:rPr>
          <w:sz w:val="22"/>
          <w:szCs w:val="22"/>
        </w:rPr>
        <w:t>.</w:t>
      </w:r>
      <w:r>
        <w:rPr>
          <w:sz w:val="22"/>
          <w:szCs w:val="22"/>
        </w:rPr>
        <w:t xml:space="preserve">  </w:t>
      </w:r>
      <w:hyperlink r:id="rId3" w:history="1">
        <w:r w:rsidRPr="00267658">
          <w:rPr>
            <w:rStyle w:val="Hyperlink"/>
            <w:sz w:val="22"/>
            <w:szCs w:val="22"/>
          </w:rPr>
          <w:t>http://www.puc.pa.gov/pcdocs/1606178.docx</w:t>
        </w:r>
      </w:hyperlink>
      <w:r>
        <w:rPr>
          <w:sz w:val="22"/>
          <w:szCs w:val="22"/>
        </w:rPr>
        <w:t xml:space="preserve">. </w:t>
      </w:r>
    </w:p>
  </w:footnote>
  <w:footnote w:id="14">
    <w:p w14:paraId="55B08768" w14:textId="77777777" w:rsidR="00892889" w:rsidRPr="0082415C" w:rsidRDefault="00892889" w:rsidP="007B1AF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 xml:space="preserve">See </w:t>
      </w:r>
      <w:r>
        <w:rPr>
          <w:i/>
          <w:sz w:val="22"/>
          <w:szCs w:val="22"/>
        </w:rPr>
        <w:t xml:space="preserve">the 2021 TRC, Avoided Cost Calculator </w:t>
      </w:r>
      <w:r w:rsidRPr="001427C5">
        <w:rPr>
          <w:iCs/>
          <w:sz w:val="22"/>
          <w:szCs w:val="22"/>
        </w:rPr>
        <w:t xml:space="preserve">at </w:t>
      </w:r>
      <w:hyperlink r:id="rId4" w:history="1">
        <w:r w:rsidRPr="00006DC8">
          <w:rPr>
            <w:rStyle w:val="Hyperlink"/>
            <w:iCs/>
            <w:sz w:val="22"/>
            <w:szCs w:val="22"/>
          </w:rPr>
          <w:t>http://www.puc.pa.gov/pcdocs/1648144.xlsx</w:t>
        </w:r>
      </w:hyperlink>
      <w:r>
        <w:rPr>
          <w:iCs/>
          <w:sz w:val="22"/>
          <w:szCs w:val="22"/>
        </w:rPr>
        <w:t>.</w:t>
      </w:r>
      <w:r w:rsidRPr="001427C5">
        <w:rPr>
          <w:iCs/>
          <w:sz w:val="22"/>
          <w:szCs w:val="22"/>
        </w:rPr>
        <w:t xml:space="preserve"> </w:t>
      </w:r>
    </w:p>
  </w:footnote>
  <w:footnote w:id="15">
    <w:p w14:paraId="70479465" w14:textId="77777777" w:rsidR="00892889" w:rsidRPr="0082415C" w:rsidRDefault="00892889" w:rsidP="007B1AFC">
      <w:pPr>
        <w:pStyle w:val="FootnoteText"/>
        <w:rPr>
          <w:sz w:val="22"/>
          <w:szCs w:val="22"/>
        </w:rPr>
      </w:pPr>
      <w:r w:rsidRPr="0082415C">
        <w:rPr>
          <w:rStyle w:val="FootnoteReference"/>
          <w:sz w:val="22"/>
          <w:szCs w:val="22"/>
        </w:rPr>
        <w:footnoteRef/>
      </w:r>
      <w:r w:rsidRPr="0082415C">
        <w:rPr>
          <w:sz w:val="22"/>
          <w:szCs w:val="22"/>
        </w:rPr>
        <w:t xml:space="preserve"> </w:t>
      </w:r>
      <w:r>
        <w:rPr>
          <w:sz w:val="22"/>
          <w:szCs w:val="22"/>
        </w:rPr>
        <w:t xml:space="preserve"> </w:t>
      </w:r>
      <w:r w:rsidRPr="0082415C">
        <w:rPr>
          <w:i/>
          <w:sz w:val="22"/>
          <w:szCs w:val="22"/>
        </w:rPr>
        <w:t xml:space="preserve">See </w:t>
      </w:r>
      <w:r w:rsidRPr="00112876">
        <w:rPr>
          <w:i/>
          <w:sz w:val="22"/>
          <w:szCs w:val="22"/>
        </w:rPr>
        <w:t xml:space="preserve">the 2021 TRC Test Final Order, </w:t>
      </w:r>
      <w:r w:rsidRPr="001427C5">
        <w:rPr>
          <w:sz w:val="22"/>
          <w:szCs w:val="22"/>
        </w:rPr>
        <w:t xml:space="preserve">Docket No. M-2019-3006868 at </w:t>
      </w:r>
      <w:hyperlink r:id="rId5" w:history="1">
        <w:r w:rsidRPr="001427C5">
          <w:rPr>
            <w:rStyle w:val="Hyperlink"/>
            <w:sz w:val="22"/>
            <w:szCs w:val="22"/>
          </w:rPr>
          <w:t>http://www.puc.pa.gov/pcdocs/1648126.docx</w:t>
        </w:r>
      </w:hyperlink>
      <w:r>
        <w:rPr>
          <w:i/>
          <w:sz w:val="22"/>
          <w:szCs w:val="22"/>
        </w:rPr>
        <w:t xml:space="preserve">. </w:t>
      </w:r>
    </w:p>
  </w:footnote>
  <w:footnote w:id="16">
    <w:p w14:paraId="473ACC0A" w14:textId="43B08B2B" w:rsidR="00892889" w:rsidRPr="0082415C" w:rsidRDefault="00892889" w:rsidP="00DD1A7A">
      <w:pPr>
        <w:pStyle w:val="FootnoteText"/>
        <w:rPr>
          <w:sz w:val="22"/>
          <w:szCs w:val="22"/>
        </w:rPr>
      </w:pPr>
      <w:r w:rsidRPr="0082415C">
        <w:rPr>
          <w:rStyle w:val="FootnoteReference"/>
          <w:sz w:val="22"/>
          <w:szCs w:val="22"/>
        </w:rPr>
        <w:footnoteRef/>
      </w:r>
      <w:r w:rsidRPr="0082415C">
        <w:rPr>
          <w:sz w:val="22"/>
          <w:szCs w:val="22"/>
        </w:rPr>
        <w:t xml:space="preserve">  </w:t>
      </w:r>
      <w:r w:rsidRPr="00F73BDD">
        <w:rPr>
          <w:i/>
          <w:sz w:val="22"/>
          <w:szCs w:val="22"/>
        </w:rPr>
        <w:t>See</w:t>
      </w:r>
      <w:r w:rsidRPr="2E38D00C">
        <w:rPr>
          <w:sz w:val="22"/>
          <w:szCs w:val="22"/>
        </w:rPr>
        <w:t xml:space="preserve"> </w:t>
      </w:r>
      <w:r w:rsidRPr="2E38D00C">
        <w:rPr>
          <w:i/>
          <w:iCs/>
          <w:sz w:val="22"/>
          <w:szCs w:val="22"/>
        </w:rPr>
        <w:t>E</w:t>
      </w:r>
      <w:r>
        <w:rPr>
          <w:i/>
          <w:iCs/>
          <w:sz w:val="22"/>
          <w:szCs w:val="22"/>
        </w:rPr>
        <w:t>EPDR</w:t>
      </w:r>
      <w:r w:rsidRPr="2E38D00C">
        <w:rPr>
          <w:i/>
          <w:iCs/>
          <w:sz w:val="22"/>
          <w:szCs w:val="22"/>
        </w:rPr>
        <w:t xml:space="preserve"> Potential Study </w:t>
      </w:r>
      <w:r w:rsidRPr="2E38D00C">
        <w:rPr>
          <w:sz w:val="22"/>
          <w:szCs w:val="22"/>
        </w:rPr>
        <w:t>at page 2.</w:t>
      </w:r>
    </w:p>
  </w:footnote>
  <w:footnote w:id="17">
    <w:p w14:paraId="35B28967" w14:textId="77777777" w:rsidR="00892889" w:rsidRPr="0082415C" w:rsidRDefault="00892889" w:rsidP="00DD1A7A">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Id.</w:t>
      </w:r>
    </w:p>
  </w:footnote>
  <w:footnote w:id="18">
    <w:p w14:paraId="1D4E123B" w14:textId="022B51FA" w:rsidR="00892889" w:rsidRPr="0082415C" w:rsidRDefault="00892889" w:rsidP="00DD1A7A">
      <w:pPr>
        <w:pStyle w:val="FootnoteText"/>
        <w:rPr>
          <w:sz w:val="22"/>
          <w:szCs w:val="22"/>
        </w:rPr>
      </w:pPr>
      <w:r w:rsidRPr="0082415C">
        <w:rPr>
          <w:rStyle w:val="FootnoteReference"/>
          <w:sz w:val="22"/>
          <w:szCs w:val="22"/>
        </w:rPr>
        <w:footnoteRef/>
      </w:r>
      <w:r w:rsidRPr="0082415C">
        <w:rPr>
          <w:sz w:val="22"/>
          <w:szCs w:val="22"/>
        </w:rPr>
        <w:t xml:space="preserve">  </w:t>
      </w:r>
      <w:r w:rsidRPr="00F73BDD">
        <w:rPr>
          <w:i/>
          <w:sz w:val="22"/>
          <w:szCs w:val="22"/>
        </w:rPr>
        <w:t>See</w:t>
      </w:r>
      <w:r w:rsidRPr="2E38D00C">
        <w:rPr>
          <w:sz w:val="22"/>
          <w:szCs w:val="22"/>
        </w:rPr>
        <w:t xml:space="preserve"> </w:t>
      </w:r>
      <w:r w:rsidRPr="2E38D00C">
        <w:rPr>
          <w:i/>
          <w:iCs/>
          <w:sz w:val="22"/>
          <w:szCs w:val="22"/>
        </w:rPr>
        <w:t>E</w:t>
      </w:r>
      <w:r>
        <w:rPr>
          <w:i/>
          <w:iCs/>
          <w:sz w:val="22"/>
          <w:szCs w:val="22"/>
        </w:rPr>
        <w:t>EPDR</w:t>
      </w:r>
      <w:r w:rsidRPr="2E38D00C">
        <w:rPr>
          <w:i/>
          <w:iCs/>
          <w:sz w:val="22"/>
          <w:szCs w:val="22"/>
        </w:rPr>
        <w:t xml:space="preserve"> Potential Study </w:t>
      </w:r>
      <w:r w:rsidRPr="2E38D00C">
        <w:rPr>
          <w:sz w:val="22"/>
          <w:szCs w:val="22"/>
        </w:rPr>
        <w:t>at page 3.</w:t>
      </w:r>
    </w:p>
  </w:footnote>
  <w:footnote w:id="19">
    <w:p w14:paraId="571E24CB" w14:textId="3ABDD4E7" w:rsidR="00892889" w:rsidRPr="00225AF0" w:rsidRDefault="00892889" w:rsidP="00DD1A7A">
      <w:pPr>
        <w:pStyle w:val="FootnoteText"/>
        <w:spacing w:line="259" w:lineRule="auto"/>
        <w:rPr>
          <w:sz w:val="22"/>
          <w:szCs w:val="22"/>
        </w:rPr>
      </w:pPr>
      <w:r w:rsidRPr="00225AF0">
        <w:rPr>
          <w:rStyle w:val="FootnoteReference"/>
          <w:sz w:val="22"/>
          <w:szCs w:val="22"/>
        </w:rPr>
        <w:footnoteRef/>
      </w:r>
      <w:r w:rsidRPr="00225AF0">
        <w:rPr>
          <w:sz w:val="22"/>
          <w:szCs w:val="22"/>
        </w:rPr>
        <w:t xml:space="preserve">  </w:t>
      </w:r>
      <w:r w:rsidRPr="00225AF0">
        <w:rPr>
          <w:i/>
          <w:sz w:val="22"/>
          <w:szCs w:val="22"/>
        </w:rPr>
        <w:t>See</w:t>
      </w:r>
      <w:r w:rsidRPr="00225AF0">
        <w:rPr>
          <w:sz w:val="22"/>
          <w:szCs w:val="22"/>
        </w:rPr>
        <w:t xml:space="preserve"> </w:t>
      </w:r>
      <w:r w:rsidRPr="00225AF0">
        <w:rPr>
          <w:i/>
          <w:iCs/>
          <w:sz w:val="22"/>
          <w:szCs w:val="22"/>
        </w:rPr>
        <w:t>E</w:t>
      </w:r>
      <w:r>
        <w:rPr>
          <w:i/>
          <w:iCs/>
          <w:sz w:val="22"/>
          <w:szCs w:val="22"/>
        </w:rPr>
        <w:t>EPDR</w:t>
      </w:r>
      <w:r w:rsidRPr="00225AF0">
        <w:rPr>
          <w:i/>
          <w:iCs/>
          <w:sz w:val="22"/>
          <w:szCs w:val="22"/>
        </w:rPr>
        <w:t xml:space="preserve"> Potential Study </w:t>
      </w:r>
      <w:r w:rsidRPr="00225AF0">
        <w:rPr>
          <w:sz w:val="22"/>
          <w:szCs w:val="22"/>
        </w:rPr>
        <w:t>at page 3.</w:t>
      </w:r>
    </w:p>
  </w:footnote>
  <w:footnote w:id="20">
    <w:p w14:paraId="6D571723" w14:textId="046ED465" w:rsidR="00892889" w:rsidRPr="0082415C" w:rsidRDefault="00892889" w:rsidP="00DD1A7A">
      <w:pPr>
        <w:pStyle w:val="FootnoteText"/>
        <w:rPr>
          <w:sz w:val="22"/>
          <w:szCs w:val="22"/>
        </w:rPr>
      </w:pPr>
      <w:r w:rsidRPr="00225AF0">
        <w:rPr>
          <w:rStyle w:val="FootnoteReference"/>
          <w:sz w:val="22"/>
          <w:szCs w:val="22"/>
        </w:rPr>
        <w:footnoteRef/>
      </w:r>
      <w:r w:rsidRPr="00225AF0">
        <w:rPr>
          <w:sz w:val="22"/>
          <w:szCs w:val="22"/>
        </w:rPr>
        <w:t xml:space="preserve">  </w:t>
      </w:r>
      <w:r w:rsidRPr="00225AF0">
        <w:rPr>
          <w:i/>
          <w:sz w:val="22"/>
          <w:szCs w:val="22"/>
        </w:rPr>
        <w:t>See</w:t>
      </w:r>
      <w:r w:rsidRPr="00225AF0">
        <w:rPr>
          <w:sz w:val="22"/>
          <w:szCs w:val="22"/>
        </w:rPr>
        <w:t xml:space="preserve"> </w:t>
      </w:r>
      <w:r w:rsidRPr="00225AF0">
        <w:rPr>
          <w:i/>
          <w:iCs/>
          <w:sz w:val="22"/>
          <w:szCs w:val="22"/>
        </w:rPr>
        <w:t>E</w:t>
      </w:r>
      <w:r>
        <w:rPr>
          <w:i/>
          <w:iCs/>
          <w:sz w:val="22"/>
          <w:szCs w:val="22"/>
        </w:rPr>
        <w:t>EPDR</w:t>
      </w:r>
      <w:r w:rsidRPr="00225AF0">
        <w:rPr>
          <w:i/>
          <w:iCs/>
          <w:sz w:val="22"/>
          <w:szCs w:val="22"/>
        </w:rPr>
        <w:t xml:space="preserve"> Potential Study </w:t>
      </w:r>
      <w:r w:rsidRPr="006752CF">
        <w:rPr>
          <w:sz w:val="22"/>
          <w:szCs w:val="22"/>
        </w:rPr>
        <w:t>at page 3</w:t>
      </w:r>
      <w:r w:rsidRPr="006752CF">
        <w:rPr>
          <w:i/>
          <w:iCs/>
          <w:sz w:val="22"/>
          <w:szCs w:val="22"/>
        </w:rPr>
        <w:t>.</w:t>
      </w:r>
    </w:p>
  </w:footnote>
  <w:footnote w:id="21">
    <w:p w14:paraId="7A068421" w14:textId="77777777" w:rsidR="00892889" w:rsidRPr="0082415C" w:rsidRDefault="00892889" w:rsidP="006735B2">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 xml:space="preserve">See </w:t>
      </w:r>
      <w:r w:rsidRPr="0082415C">
        <w:rPr>
          <w:sz w:val="22"/>
          <w:szCs w:val="22"/>
        </w:rPr>
        <w:t>66 Pa. C.S. § 2806.1(c).</w:t>
      </w:r>
    </w:p>
  </w:footnote>
  <w:footnote w:id="22">
    <w:p w14:paraId="305C48C4" w14:textId="1B0C0E39" w:rsidR="00892889" w:rsidRPr="0082415C" w:rsidRDefault="00892889" w:rsidP="00BC3AC0">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 xml:space="preserve">See </w:t>
      </w:r>
      <w:r>
        <w:rPr>
          <w:i/>
          <w:sz w:val="22"/>
          <w:szCs w:val="22"/>
        </w:rPr>
        <w:t xml:space="preserve">EEPDR Potential </w:t>
      </w:r>
      <w:r w:rsidRPr="0082415C">
        <w:rPr>
          <w:i/>
          <w:sz w:val="22"/>
          <w:szCs w:val="22"/>
        </w:rPr>
        <w:t>Study</w:t>
      </w:r>
      <w:r w:rsidRPr="0082415C">
        <w:rPr>
          <w:sz w:val="22"/>
          <w:szCs w:val="22"/>
        </w:rPr>
        <w:t xml:space="preserve"> at page 3.</w:t>
      </w:r>
    </w:p>
  </w:footnote>
  <w:footnote w:id="23">
    <w:p w14:paraId="29FA58F3" w14:textId="589D8BBB" w:rsidR="00892889" w:rsidRPr="00AF32E2" w:rsidRDefault="00892889" w:rsidP="00BC3AC0">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Phase II Implementation Order</w:t>
      </w:r>
      <w:r w:rsidRPr="0082415C">
        <w:rPr>
          <w:sz w:val="22"/>
          <w:szCs w:val="22"/>
        </w:rPr>
        <w:t xml:space="preserve"> at page 23</w:t>
      </w:r>
      <w:r>
        <w:rPr>
          <w:sz w:val="22"/>
          <w:szCs w:val="22"/>
        </w:rPr>
        <w:t xml:space="preserve">; </w:t>
      </w:r>
      <w:r>
        <w:rPr>
          <w:i/>
          <w:iCs/>
          <w:sz w:val="22"/>
          <w:szCs w:val="22"/>
        </w:rPr>
        <w:t xml:space="preserve">Phase III Implementation Order </w:t>
      </w:r>
      <w:r>
        <w:rPr>
          <w:sz w:val="22"/>
          <w:szCs w:val="22"/>
        </w:rPr>
        <w:t>at page 50.</w:t>
      </w:r>
    </w:p>
  </w:footnote>
  <w:footnote w:id="24">
    <w:p w14:paraId="5DBB37D3" w14:textId="2DA9E24D" w:rsidR="00892889" w:rsidRDefault="00892889">
      <w:pPr>
        <w:pStyle w:val="FootnoteText"/>
      </w:pPr>
      <w:r w:rsidRPr="00FD6234">
        <w:rPr>
          <w:rStyle w:val="FootnoteReference"/>
          <w:sz w:val="22"/>
          <w:szCs w:val="22"/>
        </w:rPr>
        <w:footnoteRef/>
      </w:r>
      <w:r w:rsidRPr="00FD6234">
        <w:rPr>
          <w:i/>
          <w:iCs/>
          <w:sz w:val="22"/>
          <w:szCs w:val="22"/>
        </w:rPr>
        <w:t xml:space="preserve"> </w:t>
      </w:r>
      <w:r>
        <w:rPr>
          <w:i/>
          <w:sz w:val="22"/>
          <w:szCs w:val="22"/>
        </w:rPr>
        <w:t xml:space="preserve"> </w:t>
      </w:r>
      <w:r w:rsidRPr="00FD6234">
        <w:rPr>
          <w:i/>
          <w:sz w:val="22"/>
          <w:szCs w:val="22"/>
        </w:rPr>
        <w:t xml:space="preserve">See </w:t>
      </w:r>
      <w:r>
        <w:rPr>
          <w:i/>
          <w:sz w:val="22"/>
          <w:szCs w:val="22"/>
        </w:rPr>
        <w:t xml:space="preserve">EEPDR Potential </w:t>
      </w:r>
      <w:r w:rsidRPr="00FD6234">
        <w:rPr>
          <w:i/>
          <w:sz w:val="22"/>
          <w:szCs w:val="22"/>
        </w:rPr>
        <w:t>Study</w:t>
      </w:r>
      <w:r w:rsidRPr="00FD6234">
        <w:rPr>
          <w:sz w:val="22"/>
          <w:szCs w:val="22"/>
        </w:rPr>
        <w:t xml:space="preserve"> at page 3.</w:t>
      </w:r>
    </w:p>
  </w:footnote>
  <w:footnote w:id="25">
    <w:p w14:paraId="48CF150B" w14:textId="7C8FB9D9" w:rsidR="00892889" w:rsidRPr="0082415C" w:rsidRDefault="00892889" w:rsidP="00BC3AC0">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Phase I</w:t>
      </w:r>
      <w:r>
        <w:rPr>
          <w:i/>
          <w:sz w:val="22"/>
          <w:szCs w:val="22"/>
        </w:rPr>
        <w:t>I</w:t>
      </w:r>
      <w:r w:rsidRPr="0082415C">
        <w:rPr>
          <w:i/>
          <w:sz w:val="22"/>
          <w:szCs w:val="22"/>
        </w:rPr>
        <w:t>I Implementation Order</w:t>
      </w:r>
      <w:r w:rsidRPr="0082415C">
        <w:rPr>
          <w:sz w:val="22"/>
          <w:szCs w:val="22"/>
        </w:rPr>
        <w:t xml:space="preserve"> at page </w:t>
      </w:r>
      <w:r>
        <w:rPr>
          <w:sz w:val="22"/>
          <w:szCs w:val="22"/>
        </w:rPr>
        <w:t>61</w:t>
      </w:r>
      <w:r w:rsidRPr="0082415C">
        <w:rPr>
          <w:sz w:val="22"/>
          <w:szCs w:val="22"/>
        </w:rPr>
        <w:t>.</w:t>
      </w:r>
    </w:p>
  </w:footnote>
  <w:footnote w:id="26">
    <w:p w14:paraId="36B40D07" w14:textId="1B569BF9" w:rsidR="00892889" w:rsidRPr="0082415C"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w:t>
      </w:r>
      <w:r w:rsidRPr="0082415C">
        <w:rPr>
          <w:sz w:val="22"/>
          <w:szCs w:val="22"/>
        </w:rPr>
        <w:t xml:space="preserve"> 66 Pa. C.S. § 2806.1(b)(1)(i)(G)</w:t>
      </w:r>
      <w:r>
        <w:rPr>
          <w:sz w:val="22"/>
          <w:szCs w:val="22"/>
        </w:rPr>
        <w:t xml:space="preserve"> and </w:t>
      </w:r>
      <w:r w:rsidRPr="0082415C">
        <w:rPr>
          <w:i/>
          <w:sz w:val="22"/>
          <w:szCs w:val="22"/>
        </w:rPr>
        <w:t>Phase II Implementation Order</w:t>
      </w:r>
      <w:r w:rsidRPr="0082415C">
        <w:rPr>
          <w:sz w:val="22"/>
          <w:szCs w:val="22"/>
        </w:rPr>
        <w:t xml:space="preserve"> at page 54.</w:t>
      </w:r>
    </w:p>
  </w:footnote>
  <w:footnote w:id="27">
    <w:p w14:paraId="346497AA" w14:textId="50DCA39F" w:rsidR="00892889" w:rsidRPr="00927C55"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Phase II Implementation Order</w:t>
      </w:r>
      <w:r w:rsidRPr="0082415C">
        <w:rPr>
          <w:sz w:val="22"/>
          <w:szCs w:val="22"/>
        </w:rPr>
        <w:t xml:space="preserve"> at </w:t>
      </w:r>
      <w:r>
        <w:rPr>
          <w:sz w:val="22"/>
          <w:szCs w:val="22"/>
        </w:rPr>
        <w:t xml:space="preserve">page </w:t>
      </w:r>
      <w:r w:rsidRPr="0082415C">
        <w:rPr>
          <w:sz w:val="22"/>
          <w:szCs w:val="22"/>
        </w:rPr>
        <w:t>54</w:t>
      </w:r>
      <w:r>
        <w:rPr>
          <w:sz w:val="22"/>
          <w:szCs w:val="22"/>
        </w:rPr>
        <w:t>;</w:t>
      </w:r>
      <w:r>
        <w:rPr>
          <w:i/>
          <w:iCs/>
          <w:sz w:val="22"/>
          <w:szCs w:val="22"/>
        </w:rPr>
        <w:t xml:space="preserve">  Phase III Implementation Order </w:t>
      </w:r>
      <w:r>
        <w:rPr>
          <w:sz w:val="22"/>
          <w:szCs w:val="22"/>
        </w:rPr>
        <w:t>at page 69.</w:t>
      </w:r>
    </w:p>
  </w:footnote>
  <w:footnote w:id="28">
    <w:p w14:paraId="15D04CC5" w14:textId="2490CB08" w:rsidR="00892889" w:rsidRPr="000D0B80" w:rsidRDefault="00892889" w:rsidP="0082415C">
      <w:pPr>
        <w:pStyle w:val="FootnoteText"/>
        <w:rPr>
          <w:i/>
          <w:sz w:val="22"/>
          <w:szCs w:val="22"/>
        </w:rPr>
      </w:pPr>
      <w:r w:rsidRPr="0082415C">
        <w:rPr>
          <w:rStyle w:val="FootnoteReference"/>
          <w:sz w:val="22"/>
          <w:szCs w:val="22"/>
        </w:rPr>
        <w:footnoteRef/>
      </w:r>
      <w:r>
        <w:rPr>
          <w:i/>
          <w:sz w:val="22"/>
          <w:szCs w:val="22"/>
        </w:rPr>
        <w:t>See Phase II Implementation Order</w:t>
      </w:r>
      <w:r>
        <w:rPr>
          <w:iCs/>
          <w:sz w:val="22"/>
          <w:szCs w:val="22"/>
        </w:rPr>
        <w:t xml:space="preserve"> at page 54;  </w:t>
      </w:r>
      <w:r>
        <w:rPr>
          <w:i/>
          <w:sz w:val="22"/>
          <w:szCs w:val="22"/>
        </w:rPr>
        <w:t>Phase III Implementation Order</w:t>
      </w:r>
      <w:r>
        <w:rPr>
          <w:iCs/>
          <w:sz w:val="22"/>
          <w:szCs w:val="22"/>
        </w:rPr>
        <w:t xml:space="preserve"> at pages 69-70.</w:t>
      </w:r>
      <w:r>
        <w:rPr>
          <w:i/>
          <w:sz w:val="22"/>
          <w:szCs w:val="22"/>
        </w:rPr>
        <w:t xml:space="preserve"> </w:t>
      </w:r>
    </w:p>
  </w:footnote>
  <w:footnote w:id="29">
    <w:p w14:paraId="6BB6E8E8" w14:textId="24077143" w:rsidR="00892889" w:rsidRPr="0082415C" w:rsidRDefault="00892889" w:rsidP="0082415C">
      <w:pPr>
        <w:pStyle w:val="FootnoteText"/>
        <w:rPr>
          <w:sz w:val="22"/>
          <w:szCs w:val="22"/>
        </w:rPr>
      </w:pPr>
      <w:r w:rsidRPr="0082415C">
        <w:rPr>
          <w:rStyle w:val="FootnoteReference"/>
          <w:sz w:val="22"/>
          <w:szCs w:val="22"/>
        </w:rPr>
        <w:footnoteRef/>
      </w:r>
      <w:r>
        <w:rPr>
          <w:sz w:val="22"/>
          <w:szCs w:val="22"/>
        </w:rPr>
        <w:t xml:space="preserve"> </w:t>
      </w:r>
      <w:r w:rsidRPr="0082415C">
        <w:rPr>
          <w:sz w:val="22"/>
          <w:szCs w:val="22"/>
        </w:rPr>
        <w:t xml:space="preserve"> </w:t>
      </w:r>
      <w:r w:rsidRPr="00645E36">
        <w:rPr>
          <w:i/>
          <w:sz w:val="22"/>
          <w:szCs w:val="22"/>
        </w:rPr>
        <w:t xml:space="preserve">See </w:t>
      </w:r>
      <w:r w:rsidRPr="00EA0E70">
        <w:rPr>
          <w:i/>
          <w:sz w:val="22"/>
          <w:szCs w:val="22"/>
        </w:rPr>
        <w:t>Pennsylvania Act 129 - Phase IV E</w:t>
      </w:r>
      <w:r>
        <w:rPr>
          <w:i/>
          <w:sz w:val="22"/>
          <w:szCs w:val="22"/>
        </w:rPr>
        <w:t>EPDR</w:t>
      </w:r>
      <w:r w:rsidRPr="00EA0E70">
        <w:rPr>
          <w:i/>
          <w:sz w:val="22"/>
          <w:szCs w:val="22"/>
        </w:rPr>
        <w:t xml:space="preserve"> Study Report</w:t>
      </w:r>
      <w:r>
        <w:rPr>
          <w:i/>
          <w:sz w:val="22"/>
          <w:szCs w:val="22"/>
        </w:rPr>
        <w:t xml:space="preserve">, </w:t>
      </w:r>
      <w:r w:rsidRPr="00645E36">
        <w:rPr>
          <w:sz w:val="22"/>
          <w:szCs w:val="22"/>
        </w:rPr>
        <w:t xml:space="preserve">submitted by </w:t>
      </w:r>
      <w:r>
        <w:rPr>
          <w:sz w:val="22"/>
          <w:szCs w:val="22"/>
        </w:rPr>
        <w:t>Optimal Energy</w:t>
      </w:r>
      <w:r w:rsidRPr="00645E36">
        <w:rPr>
          <w:sz w:val="22"/>
          <w:szCs w:val="22"/>
        </w:rPr>
        <w:t xml:space="preserve">, Inc., </w:t>
      </w:r>
      <w:r w:rsidRPr="00645E36">
        <w:rPr>
          <w:i/>
          <w:sz w:val="22"/>
          <w:szCs w:val="22"/>
        </w:rPr>
        <w:t>et. al.</w:t>
      </w:r>
      <w:r w:rsidRPr="00645E36">
        <w:rPr>
          <w:sz w:val="22"/>
          <w:szCs w:val="22"/>
        </w:rPr>
        <w:t>, February</w:t>
      </w:r>
      <w:r>
        <w:rPr>
          <w:sz w:val="22"/>
          <w:szCs w:val="22"/>
        </w:rPr>
        <w:t xml:space="preserve"> 28,</w:t>
      </w:r>
      <w:r w:rsidRPr="00645E36">
        <w:rPr>
          <w:sz w:val="22"/>
          <w:szCs w:val="22"/>
        </w:rPr>
        <w:t xml:space="preserve"> 20</w:t>
      </w:r>
      <w:r>
        <w:rPr>
          <w:sz w:val="22"/>
          <w:szCs w:val="22"/>
        </w:rPr>
        <w:t>20.</w:t>
      </w:r>
    </w:p>
  </w:footnote>
  <w:footnote w:id="30">
    <w:p w14:paraId="1AA6776E" w14:textId="74F4A309" w:rsidR="00892889" w:rsidRPr="002D5D0F" w:rsidRDefault="00892889">
      <w:pPr>
        <w:pStyle w:val="FootnoteText"/>
      </w:pPr>
      <w:r>
        <w:rPr>
          <w:rStyle w:val="FootnoteReference"/>
        </w:rPr>
        <w:footnoteRef/>
      </w:r>
      <w:r>
        <w:t xml:space="preserve">  </w:t>
      </w:r>
      <w:r>
        <w:rPr>
          <w:i/>
          <w:iCs/>
        </w:rPr>
        <w:t xml:space="preserve">See Report of the Act 129 Low-Income Working Group </w:t>
      </w:r>
      <w:r>
        <w:t xml:space="preserve">at Docket No. M-2009-2146801, Table 1 at page 6, that was adopted by the Commission in an April 27, 2010 Secretarial Letter at the same Docket. </w:t>
      </w:r>
    </w:p>
  </w:footnote>
  <w:footnote w:id="31">
    <w:p w14:paraId="41678284" w14:textId="5AE9B1B7" w:rsidR="00892889" w:rsidRPr="000A33AF" w:rsidRDefault="00892889">
      <w:pPr>
        <w:pStyle w:val="FootnoteText"/>
      </w:pPr>
      <w:r>
        <w:rPr>
          <w:rStyle w:val="FootnoteReference"/>
        </w:rPr>
        <w:footnoteRef/>
      </w:r>
      <w:r>
        <w:t xml:space="preserve">  </w:t>
      </w:r>
      <w:r>
        <w:rPr>
          <w:i/>
          <w:iCs/>
        </w:rPr>
        <w:t xml:space="preserve">See Phase II Implementation Order </w:t>
      </w:r>
      <w:r>
        <w:t xml:space="preserve">at pages 53-58; </w:t>
      </w:r>
      <w:r>
        <w:rPr>
          <w:i/>
          <w:iCs/>
        </w:rPr>
        <w:t xml:space="preserve">Phase III Implementation Order </w:t>
      </w:r>
      <w:r>
        <w:t>at pages 61-70.</w:t>
      </w:r>
    </w:p>
  </w:footnote>
  <w:footnote w:id="32">
    <w:p w14:paraId="492BF26E" w14:textId="6B0B3BD3" w:rsidR="00892889" w:rsidRPr="00CF4F7A" w:rsidRDefault="00892889" w:rsidP="0082415C">
      <w:pPr>
        <w:pStyle w:val="FootnoteText"/>
        <w:rPr>
          <w:sz w:val="22"/>
          <w:szCs w:val="22"/>
        </w:rPr>
      </w:pPr>
      <w:r w:rsidRPr="00CF4F7A">
        <w:rPr>
          <w:rStyle w:val="FootnoteReference"/>
          <w:sz w:val="22"/>
          <w:szCs w:val="22"/>
        </w:rPr>
        <w:footnoteRef/>
      </w:r>
      <w:r>
        <w:rPr>
          <w:sz w:val="22"/>
          <w:szCs w:val="22"/>
        </w:rPr>
        <w:t xml:space="preserve"> </w:t>
      </w:r>
      <w:r w:rsidRPr="00CF4F7A">
        <w:rPr>
          <w:sz w:val="22"/>
          <w:szCs w:val="22"/>
        </w:rPr>
        <w:t xml:space="preserve"> The Commission notes that we are not proposing a low-income carve-out for the peak demand reduction requirements.</w:t>
      </w:r>
    </w:p>
  </w:footnote>
  <w:footnote w:id="33">
    <w:p w14:paraId="1E6F9603" w14:textId="2902EC97" w:rsidR="00892889" w:rsidRDefault="00892889">
      <w:pPr>
        <w:pStyle w:val="FootnoteText"/>
      </w:pPr>
      <w:r>
        <w:rPr>
          <w:rStyle w:val="FootnoteReference"/>
        </w:rPr>
        <w:footnoteRef/>
      </w:r>
      <w:r>
        <w:t xml:space="preserve">  </w:t>
      </w:r>
      <w:r w:rsidRPr="0082415C">
        <w:rPr>
          <w:i/>
          <w:sz w:val="22"/>
          <w:szCs w:val="22"/>
        </w:rPr>
        <w:t>See Phase II Implementation Order</w:t>
      </w:r>
      <w:r w:rsidRPr="0082415C">
        <w:rPr>
          <w:sz w:val="22"/>
          <w:szCs w:val="22"/>
        </w:rPr>
        <w:t xml:space="preserve"> at page </w:t>
      </w:r>
      <w:r>
        <w:rPr>
          <w:sz w:val="22"/>
          <w:szCs w:val="22"/>
        </w:rPr>
        <w:t>45</w:t>
      </w:r>
      <w:r w:rsidRPr="0082415C">
        <w:rPr>
          <w:sz w:val="22"/>
          <w:szCs w:val="22"/>
        </w:rPr>
        <w:t>.</w:t>
      </w:r>
      <w:r>
        <w:rPr>
          <w:sz w:val="22"/>
          <w:szCs w:val="22"/>
        </w:rPr>
        <w:t xml:space="preserve"> </w:t>
      </w:r>
    </w:p>
  </w:footnote>
  <w:footnote w:id="34">
    <w:p w14:paraId="1AC0A94E" w14:textId="703B15B9" w:rsidR="00892889" w:rsidRDefault="00892889">
      <w:pPr>
        <w:pStyle w:val="FootnoteText"/>
      </w:pPr>
      <w:r>
        <w:rPr>
          <w:rStyle w:val="FootnoteReference"/>
        </w:rPr>
        <w:footnoteRef/>
      </w:r>
      <w:r>
        <w:t xml:space="preserve">  </w:t>
      </w:r>
      <w:r w:rsidRPr="0082415C">
        <w:rPr>
          <w:i/>
          <w:sz w:val="22"/>
          <w:szCs w:val="22"/>
        </w:rPr>
        <w:t>See Phase I</w:t>
      </w:r>
      <w:r>
        <w:rPr>
          <w:i/>
          <w:sz w:val="22"/>
          <w:szCs w:val="22"/>
        </w:rPr>
        <w:t>I</w:t>
      </w:r>
      <w:r w:rsidRPr="0082415C">
        <w:rPr>
          <w:i/>
          <w:sz w:val="22"/>
          <w:szCs w:val="22"/>
        </w:rPr>
        <w:t>I Implementation Order</w:t>
      </w:r>
      <w:r w:rsidRPr="0082415C">
        <w:rPr>
          <w:sz w:val="22"/>
          <w:szCs w:val="22"/>
        </w:rPr>
        <w:t xml:space="preserve"> at page </w:t>
      </w:r>
      <w:r>
        <w:rPr>
          <w:sz w:val="22"/>
          <w:szCs w:val="22"/>
        </w:rPr>
        <w:t>72</w:t>
      </w:r>
      <w:r w:rsidRPr="0082415C">
        <w:rPr>
          <w:sz w:val="22"/>
          <w:szCs w:val="22"/>
        </w:rPr>
        <w:t>.</w:t>
      </w:r>
    </w:p>
  </w:footnote>
  <w:footnote w:id="35">
    <w:p w14:paraId="442EDB0A" w14:textId="5617F6C0" w:rsidR="00892889" w:rsidRPr="0082415C" w:rsidRDefault="00892889" w:rsidP="0082415C">
      <w:pPr>
        <w:pStyle w:val="FootnoteText"/>
        <w:rPr>
          <w:sz w:val="22"/>
          <w:szCs w:val="22"/>
        </w:rPr>
      </w:pPr>
      <w:r w:rsidRPr="0082415C">
        <w:rPr>
          <w:rStyle w:val="FootnoteReference"/>
          <w:sz w:val="22"/>
          <w:szCs w:val="22"/>
        </w:rPr>
        <w:footnoteRef/>
      </w:r>
      <w:r>
        <w:rPr>
          <w:sz w:val="22"/>
          <w:szCs w:val="22"/>
        </w:rPr>
        <w:t xml:space="preserve"> </w:t>
      </w:r>
      <w:r w:rsidRPr="0082415C">
        <w:rPr>
          <w:sz w:val="22"/>
          <w:szCs w:val="22"/>
        </w:rPr>
        <w:t xml:space="preserve"> </w:t>
      </w:r>
      <w:r w:rsidRPr="00645E36">
        <w:rPr>
          <w:i/>
          <w:sz w:val="22"/>
          <w:szCs w:val="22"/>
        </w:rPr>
        <w:t xml:space="preserve">See </w:t>
      </w:r>
      <w:r w:rsidRPr="00EA0E70">
        <w:rPr>
          <w:i/>
          <w:sz w:val="22"/>
          <w:szCs w:val="22"/>
        </w:rPr>
        <w:t>Pennsylvania Act 129 - Phase IV E</w:t>
      </w:r>
      <w:r>
        <w:rPr>
          <w:i/>
          <w:sz w:val="22"/>
          <w:szCs w:val="22"/>
        </w:rPr>
        <w:t>EPDR</w:t>
      </w:r>
      <w:r w:rsidRPr="00EA0E70">
        <w:rPr>
          <w:i/>
          <w:sz w:val="22"/>
          <w:szCs w:val="22"/>
        </w:rPr>
        <w:t xml:space="preserve"> Potential Study Report</w:t>
      </w:r>
      <w:r>
        <w:rPr>
          <w:i/>
          <w:sz w:val="22"/>
          <w:szCs w:val="22"/>
        </w:rPr>
        <w:t xml:space="preserve">, </w:t>
      </w:r>
      <w:r w:rsidRPr="00645E36">
        <w:rPr>
          <w:sz w:val="22"/>
          <w:szCs w:val="22"/>
        </w:rPr>
        <w:t xml:space="preserve">submitted by </w:t>
      </w:r>
      <w:r>
        <w:rPr>
          <w:sz w:val="22"/>
          <w:szCs w:val="22"/>
        </w:rPr>
        <w:t>Optimal Energy</w:t>
      </w:r>
      <w:r w:rsidRPr="00645E36">
        <w:rPr>
          <w:sz w:val="22"/>
          <w:szCs w:val="22"/>
        </w:rPr>
        <w:t xml:space="preserve">, Inc., </w:t>
      </w:r>
      <w:r w:rsidRPr="00645E36">
        <w:rPr>
          <w:i/>
          <w:sz w:val="22"/>
          <w:szCs w:val="22"/>
        </w:rPr>
        <w:t>et. al.</w:t>
      </w:r>
      <w:r w:rsidRPr="00645E36">
        <w:rPr>
          <w:sz w:val="22"/>
          <w:szCs w:val="22"/>
        </w:rPr>
        <w:t xml:space="preserve">, February </w:t>
      </w:r>
      <w:r>
        <w:rPr>
          <w:sz w:val="22"/>
          <w:szCs w:val="22"/>
        </w:rPr>
        <w:t xml:space="preserve">28, </w:t>
      </w:r>
      <w:r w:rsidRPr="00645E36">
        <w:rPr>
          <w:sz w:val="22"/>
          <w:szCs w:val="22"/>
        </w:rPr>
        <w:t>20</w:t>
      </w:r>
      <w:r>
        <w:rPr>
          <w:sz w:val="22"/>
          <w:szCs w:val="22"/>
        </w:rPr>
        <w:t>20.</w:t>
      </w:r>
    </w:p>
  </w:footnote>
  <w:footnote w:id="36">
    <w:p w14:paraId="1A221E68" w14:textId="6B7BE8E3" w:rsidR="00892889" w:rsidRDefault="00892889">
      <w:pPr>
        <w:pStyle w:val="FootnoteText"/>
      </w:pPr>
      <w:r w:rsidRPr="00AA448A">
        <w:rPr>
          <w:rStyle w:val="FootnoteReference"/>
          <w:sz w:val="22"/>
          <w:szCs w:val="22"/>
        </w:rPr>
        <w:footnoteRef/>
      </w:r>
      <w:r w:rsidRPr="00AA448A">
        <w:rPr>
          <w:sz w:val="22"/>
          <w:szCs w:val="22"/>
        </w:rPr>
        <w:t xml:space="preserve"> </w:t>
      </w:r>
      <w:r>
        <w:rPr>
          <w:sz w:val="22"/>
          <w:szCs w:val="22"/>
        </w:rPr>
        <w:t xml:space="preserve"> </w:t>
      </w:r>
      <w:r w:rsidRPr="00AA448A">
        <w:rPr>
          <w:i/>
          <w:sz w:val="22"/>
          <w:szCs w:val="22"/>
        </w:rPr>
        <w:t>See</w:t>
      </w:r>
      <w:r w:rsidRPr="00AA448A">
        <w:rPr>
          <w:sz w:val="22"/>
          <w:szCs w:val="22"/>
        </w:rPr>
        <w:t xml:space="preserve"> </w:t>
      </w:r>
      <w:r w:rsidRPr="00AA448A">
        <w:rPr>
          <w:i/>
          <w:sz w:val="22"/>
          <w:szCs w:val="22"/>
        </w:rPr>
        <w:t>Pennsylvania Act 129 2018 Non-Residential Baseline Study</w:t>
      </w:r>
      <w:r w:rsidRPr="00AA448A">
        <w:rPr>
          <w:sz w:val="22"/>
          <w:szCs w:val="22"/>
        </w:rPr>
        <w:t>, submitted by Demand Side Analytics, et al. February 14, 2019 pages 106-107</w:t>
      </w:r>
      <w:r>
        <w:t>.</w:t>
      </w:r>
    </w:p>
  </w:footnote>
  <w:footnote w:id="37">
    <w:p w14:paraId="1C19B9EE" w14:textId="0BA2439B" w:rsidR="00892889" w:rsidRPr="0082415C" w:rsidRDefault="00892889" w:rsidP="0082415C">
      <w:pPr>
        <w:pStyle w:val="FootnoteText"/>
        <w:rPr>
          <w:sz w:val="22"/>
          <w:szCs w:val="22"/>
        </w:rPr>
      </w:pPr>
      <w:r w:rsidRPr="0082415C">
        <w:rPr>
          <w:rStyle w:val="FootnoteReference"/>
          <w:sz w:val="22"/>
          <w:szCs w:val="22"/>
        </w:rPr>
        <w:footnoteRef/>
      </w:r>
      <w:r>
        <w:rPr>
          <w:sz w:val="22"/>
          <w:szCs w:val="22"/>
        </w:rPr>
        <w:t xml:space="preserve"> </w:t>
      </w:r>
      <w:r w:rsidRPr="0082415C">
        <w:rPr>
          <w:sz w:val="22"/>
          <w:szCs w:val="22"/>
        </w:rPr>
        <w:t xml:space="preserve"> </w:t>
      </w:r>
      <w:r w:rsidRPr="0082415C">
        <w:rPr>
          <w:i/>
          <w:sz w:val="22"/>
          <w:szCs w:val="22"/>
        </w:rPr>
        <w:t>See Phase II Implementation Order</w:t>
      </w:r>
      <w:r w:rsidRPr="0082415C">
        <w:rPr>
          <w:sz w:val="22"/>
          <w:szCs w:val="22"/>
        </w:rPr>
        <w:t xml:space="preserve"> at pages 58-60.</w:t>
      </w:r>
    </w:p>
  </w:footnote>
  <w:footnote w:id="38">
    <w:p w14:paraId="21FEAB24" w14:textId="1F1BD7B2" w:rsidR="00892889" w:rsidRPr="0082415C" w:rsidRDefault="00892889" w:rsidP="0082415C">
      <w:pPr>
        <w:pStyle w:val="FootnoteText"/>
        <w:rPr>
          <w:sz w:val="22"/>
          <w:szCs w:val="22"/>
        </w:rPr>
      </w:pPr>
      <w:r w:rsidRPr="0082415C">
        <w:rPr>
          <w:rStyle w:val="FootnoteReference"/>
          <w:sz w:val="22"/>
          <w:szCs w:val="22"/>
        </w:rPr>
        <w:footnoteRef/>
      </w:r>
      <w:r>
        <w:rPr>
          <w:sz w:val="22"/>
          <w:szCs w:val="22"/>
        </w:rPr>
        <w:t xml:space="preserve"> </w:t>
      </w:r>
      <w:r w:rsidRPr="0082415C">
        <w:rPr>
          <w:sz w:val="22"/>
          <w:szCs w:val="22"/>
        </w:rPr>
        <w:t xml:space="preserve"> </w:t>
      </w:r>
      <w:r w:rsidRPr="0082415C">
        <w:rPr>
          <w:i/>
          <w:sz w:val="22"/>
          <w:szCs w:val="22"/>
        </w:rPr>
        <w:t>Id.</w:t>
      </w:r>
      <w:r w:rsidRPr="0082415C">
        <w:rPr>
          <w:sz w:val="22"/>
          <w:szCs w:val="22"/>
        </w:rPr>
        <w:t xml:space="preserve"> at 25-26</w:t>
      </w:r>
      <w:r>
        <w:rPr>
          <w:sz w:val="22"/>
          <w:szCs w:val="22"/>
        </w:rPr>
        <w:t xml:space="preserve">; </w:t>
      </w:r>
      <w:r w:rsidRPr="006D77E9">
        <w:rPr>
          <w:i/>
          <w:sz w:val="22"/>
          <w:szCs w:val="22"/>
        </w:rPr>
        <w:t>Phase I</w:t>
      </w:r>
      <w:r>
        <w:rPr>
          <w:i/>
          <w:sz w:val="22"/>
          <w:szCs w:val="22"/>
        </w:rPr>
        <w:t>I</w:t>
      </w:r>
      <w:r w:rsidRPr="006D77E9">
        <w:rPr>
          <w:i/>
          <w:sz w:val="22"/>
          <w:szCs w:val="22"/>
        </w:rPr>
        <w:t>I Implementation</w:t>
      </w:r>
      <w:r w:rsidRPr="0082415C">
        <w:rPr>
          <w:i/>
          <w:sz w:val="22"/>
          <w:szCs w:val="22"/>
        </w:rPr>
        <w:t xml:space="preserve"> Order</w:t>
      </w:r>
      <w:r w:rsidRPr="0082415C">
        <w:rPr>
          <w:sz w:val="22"/>
          <w:szCs w:val="22"/>
        </w:rPr>
        <w:t xml:space="preserve"> at page</w:t>
      </w:r>
      <w:r>
        <w:rPr>
          <w:sz w:val="22"/>
          <w:szCs w:val="22"/>
        </w:rPr>
        <w:t xml:space="preserve"> 83.</w:t>
      </w:r>
    </w:p>
  </w:footnote>
  <w:footnote w:id="39">
    <w:p w14:paraId="680ACBC7" w14:textId="362FB11C" w:rsidR="00892889" w:rsidRPr="0082415C" w:rsidRDefault="00892889" w:rsidP="0082415C">
      <w:pPr>
        <w:pStyle w:val="FootnoteText"/>
        <w:rPr>
          <w:sz w:val="22"/>
          <w:szCs w:val="22"/>
        </w:rPr>
      </w:pPr>
      <w:r w:rsidRPr="00CF4F7A">
        <w:rPr>
          <w:rStyle w:val="FootnoteReference"/>
          <w:sz w:val="22"/>
          <w:szCs w:val="22"/>
        </w:rPr>
        <w:footnoteRef/>
      </w:r>
      <w:r>
        <w:rPr>
          <w:sz w:val="22"/>
          <w:szCs w:val="22"/>
        </w:rPr>
        <w:t xml:space="preserve"> </w:t>
      </w:r>
      <w:r w:rsidRPr="00CF4F7A">
        <w:rPr>
          <w:sz w:val="22"/>
          <w:szCs w:val="22"/>
        </w:rPr>
        <w:t xml:space="preserve"> </w:t>
      </w:r>
      <w:r w:rsidRPr="0082415C">
        <w:rPr>
          <w:i/>
          <w:sz w:val="22"/>
          <w:szCs w:val="22"/>
        </w:rPr>
        <w:t>See Phase II Implementation Order</w:t>
      </w:r>
      <w:r w:rsidRPr="0082415C">
        <w:rPr>
          <w:sz w:val="22"/>
          <w:szCs w:val="22"/>
        </w:rPr>
        <w:t xml:space="preserve"> at pages 30-32.</w:t>
      </w:r>
    </w:p>
  </w:footnote>
  <w:footnote w:id="40">
    <w:p w14:paraId="013890E6" w14:textId="5EAA3E56" w:rsidR="00892889" w:rsidRDefault="00892889">
      <w:pPr>
        <w:pStyle w:val="FootnoteText"/>
      </w:pPr>
      <w:r>
        <w:rPr>
          <w:rStyle w:val="FootnoteReference"/>
        </w:rPr>
        <w:footnoteRef/>
      </w:r>
      <w:r>
        <w:t xml:space="preserve">  </w:t>
      </w:r>
      <w:r w:rsidRPr="0082415C">
        <w:rPr>
          <w:i/>
          <w:sz w:val="22"/>
          <w:szCs w:val="22"/>
        </w:rPr>
        <w:t>See Phase I</w:t>
      </w:r>
      <w:r>
        <w:rPr>
          <w:i/>
          <w:sz w:val="22"/>
          <w:szCs w:val="22"/>
        </w:rPr>
        <w:t>I</w:t>
      </w:r>
      <w:r w:rsidRPr="0082415C">
        <w:rPr>
          <w:i/>
          <w:sz w:val="22"/>
          <w:szCs w:val="22"/>
        </w:rPr>
        <w:t>I Implementation Order</w:t>
      </w:r>
      <w:r w:rsidRPr="0082415C">
        <w:rPr>
          <w:sz w:val="22"/>
          <w:szCs w:val="22"/>
        </w:rPr>
        <w:t xml:space="preserve"> at page</w:t>
      </w:r>
      <w:r>
        <w:rPr>
          <w:sz w:val="22"/>
          <w:szCs w:val="22"/>
        </w:rPr>
        <w:t xml:space="preserve"> 86. </w:t>
      </w:r>
    </w:p>
  </w:footnote>
  <w:footnote w:id="41">
    <w:p w14:paraId="7DF867C4" w14:textId="0E6FA172" w:rsidR="00892889" w:rsidRPr="0082415C" w:rsidRDefault="00892889" w:rsidP="00EE263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Phase II Implementation Order</w:t>
      </w:r>
      <w:r w:rsidRPr="0082415C">
        <w:rPr>
          <w:sz w:val="22"/>
          <w:szCs w:val="22"/>
        </w:rPr>
        <w:t xml:space="preserve"> at page 85</w:t>
      </w:r>
      <w:r>
        <w:rPr>
          <w:sz w:val="22"/>
          <w:szCs w:val="22"/>
        </w:rPr>
        <w:t xml:space="preserve">; </w:t>
      </w:r>
      <w:r w:rsidRPr="00D041AB">
        <w:rPr>
          <w:i/>
          <w:sz w:val="22"/>
          <w:szCs w:val="22"/>
        </w:rPr>
        <w:t xml:space="preserve">Phase III Implementation Order </w:t>
      </w:r>
      <w:r w:rsidRPr="00D041AB">
        <w:rPr>
          <w:iCs/>
          <w:sz w:val="22"/>
          <w:szCs w:val="22"/>
        </w:rPr>
        <w:t>at page 108</w:t>
      </w:r>
      <w:r w:rsidRPr="0082415C">
        <w:rPr>
          <w:sz w:val="22"/>
          <w:szCs w:val="22"/>
        </w:rPr>
        <w:t>.</w:t>
      </w:r>
    </w:p>
  </w:footnote>
  <w:footnote w:id="42">
    <w:p w14:paraId="6C7832EB" w14:textId="77777777" w:rsidR="00892889" w:rsidRPr="001316AF" w:rsidRDefault="00892889" w:rsidP="00DD1A7A">
      <w:pPr>
        <w:pStyle w:val="FootnoteText"/>
        <w:rPr>
          <w:sz w:val="22"/>
          <w:szCs w:val="22"/>
        </w:rPr>
      </w:pPr>
      <w:r w:rsidRPr="001316AF">
        <w:rPr>
          <w:rStyle w:val="FootnoteReference"/>
          <w:sz w:val="22"/>
          <w:szCs w:val="22"/>
        </w:rPr>
        <w:footnoteRef/>
      </w:r>
      <w:r w:rsidRPr="001316AF">
        <w:rPr>
          <w:sz w:val="22"/>
          <w:szCs w:val="22"/>
        </w:rPr>
        <w:t xml:space="preserve"> </w:t>
      </w:r>
      <w:r>
        <w:rPr>
          <w:sz w:val="22"/>
          <w:szCs w:val="22"/>
        </w:rPr>
        <w:t xml:space="preserve"> </w:t>
      </w:r>
      <w:r w:rsidRPr="001316AF">
        <w:rPr>
          <w:i/>
          <w:sz w:val="22"/>
          <w:szCs w:val="22"/>
        </w:rPr>
        <w:t>See Phase III Clarification Order</w:t>
      </w:r>
      <w:r w:rsidRPr="001316AF">
        <w:rPr>
          <w:sz w:val="22"/>
          <w:szCs w:val="22"/>
        </w:rPr>
        <w:t xml:space="preserve"> pages 13-14. Public Meeting of August 20, 2015 at Docket No. M-2014-2424864</w:t>
      </w:r>
    </w:p>
  </w:footnote>
  <w:footnote w:id="43">
    <w:p w14:paraId="5A464DF1" w14:textId="77777777" w:rsidR="00892889" w:rsidRDefault="00892889" w:rsidP="00DD1A7A">
      <w:pPr>
        <w:pStyle w:val="FootnoteText"/>
      </w:pPr>
      <w:r w:rsidRPr="001316AF">
        <w:rPr>
          <w:rStyle w:val="FootnoteReference"/>
          <w:sz w:val="22"/>
          <w:szCs w:val="22"/>
        </w:rPr>
        <w:footnoteRef/>
      </w:r>
      <w:r w:rsidRPr="001316AF">
        <w:rPr>
          <w:sz w:val="22"/>
          <w:szCs w:val="22"/>
        </w:rPr>
        <w:t xml:space="preserve"> </w:t>
      </w:r>
      <w:r>
        <w:rPr>
          <w:sz w:val="22"/>
          <w:szCs w:val="22"/>
        </w:rPr>
        <w:t xml:space="preserve"> </w:t>
      </w:r>
      <w:r w:rsidRPr="001316AF">
        <w:rPr>
          <w:i/>
          <w:sz w:val="22"/>
          <w:szCs w:val="22"/>
        </w:rPr>
        <w:t>See</w:t>
      </w:r>
      <w:r w:rsidRPr="001316AF">
        <w:rPr>
          <w:sz w:val="22"/>
          <w:szCs w:val="22"/>
        </w:rPr>
        <w:t xml:space="preserve"> </w:t>
      </w:r>
      <w:hyperlink r:id="rId6" w:history="1">
        <w:r w:rsidRPr="001316AF">
          <w:rPr>
            <w:rStyle w:val="Hyperlink"/>
            <w:sz w:val="22"/>
            <w:szCs w:val="22"/>
          </w:rPr>
          <w:t>https://www.pjm.com/-/media/committees-groups/subcommittees/las/20181127/20181127-item-04-peak-shaving-forecast-adjustments.ashx</w:t>
        </w:r>
      </w:hyperlink>
    </w:p>
  </w:footnote>
  <w:footnote w:id="44">
    <w:p w14:paraId="5628F808" w14:textId="4C90E664" w:rsidR="00892889" w:rsidRDefault="00892889" w:rsidP="00DD1A7A">
      <w:pPr>
        <w:pStyle w:val="FootnoteText"/>
      </w:pPr>
      <w:r>
        <w:rPr>
          <w:rStyle w:val="FootnoteReference"/>
        </w:rPr>
        <w:footnoteRef/>
      </w:r>
      <w:r>
        <w:t xml:space="preserve">  </w:t>
      </w:r>
      <w:r w:rsidRPr="00F73BDD">
        <w:rPr>
          <w:i/>
          <w:sz w:val="22"/>
          <w:szCs w:val="22"/>
        </w:rPr>
        <w:t>See</w:t>
      </w:r>
      <w:r w:rsidRPr="39767877">
        <w:rPr>
          <w:sz w:val="22"/>
          <w:szCs w:val="22"/>
        </w:rPr>
        <w:t xml:space="preserve"> </w:t>
      </w:r>
      <w:r>
        <w:rPr>
          <w:i/>
          <w:iCs/>
          <w:sz w:val="22"/>
          <w:szCs w:val="22"/>
        </w:rPr>
        <w:t>Demand Response</w:t>
      </w:r>
      <w:r w:rsidRPr="18FCE247">
        <w:rPr>
          <w:i/>
          <w:iCs/>
          <w:sz w:val="22"/>
          <w:szCs w:val="22"/>
        </w:rPr>
        <w:t xml:space="preserve"> Potential Study </w:t>
      </w:r>
      <w:r w:rsidRPr="39767877">
        <w:rPr>
          <w:sz w:val="22"/>
          <w:szCs w:val="22"/>
        </w:rPr>
        <w:t xml:space="preserve">at page </w:t>
      </w:r>
      <w:r>
        <w:rPr>
          <w:sz w:val="22"/>
          <w:szCs w:val="22"/>
        </w:rPr>
        <w:t>11</w:t>
      </w:r>
      <w:r w:rsidRPr="39767877">
        <w:rPr>
          <w:sz w:val="22"/>
          <w:szCs w:val="22"/>
        </w:rPr>
        <w:t>.</w:t>
      </w:r>
    </w:p>
  </w:footnote>
  <w:footnote w:id="45">
    <w:p w14:paraId="7CC030CE" w14:textId="77777777" w:rsidR="00892889" w:rsidRDefault="00892889" w:rsidP="00DD1A7A">
      <w:pPr>
        <w:pStyle w:val="FootnoteText"/>
      </w:pPr>
      <w:r w:rsidRPr="00953EE4">
        <w:rPr>
          <w:rStyle w:val="FootnoteReference"/>
          <w:sz w:val="22"/>
          <w:szCs w:val="22"/>
        </w:rPr>
        <w:footnoteRef/>
      </w:r>
      <w:r w:rsidRPr="00953EE4">
        <w:rPr>
          <w:sz w:val="22"/>
          <w:szCs w:val="22"/>
        </w:rPr>
        <w:t xml:space="preserve"> </w:t>
      </w:r>
      <w:r>
        <w:rPr>
          <w:sz w:val="22"/>
          <w:szCs w:val="22"/>
        </w:rPr>
        <w:t xml:space="preserve"> </w:t>
      </w:r>
      <w:r w:rsidRPr="00953EE4">
        <w:rPr>
          <w:i/>
          <w:sz w:val="22"/>
          <w:szCs w:val="22"/>
        </w:rPr>
        <w:t xml:space="preserve">See 2021 TRC Test </w:t>
      </w:r>
      <w:r w:rsidRPr="00953EE4">
        <w:rPr>
          <w:i/>
          <w:iCs/>
          <w:sz w:val="22"/>
          <w:szCs w:val="22"/>
        </w:rPr>
        <w:t xml:space="preserve">Final </w:t>
      </w:r>
      <w:r w:rsidRPr="00953EE4">
        <w:rPr>
          <w:i/>
          <w:sz w:val="22"/>
          <w:szCs w:val="22"/>
        </w:rPr>
        <w:t>Order</w:t>
      </w:r>
      <w:r w:rsidRPr="00953EE4">
        <w:rPr>
          <w:sz w:val="22"/>
          <w:szCs w:val="22"/>
        </w:rPr>
        <w:t xml:space="preserve"> at page 96.</w:t>
      </w:r>
    </w:p>
  </w:footnote>
  <w:footnote w:id="46">
    <w:p w14:paraId="741D503C" w14:textId="6DE35601" w:rsidR="00892889" w:rsidRDefault="00892889" w:rsidP="00DD1A7A">
      <w:pPr>
        <w:pStyle w:val="FootnoteText"/>
      </w:pPr>
      <w:r>
        <w:rPr>
          <w:rStyle w:val="FootnoteReference"/>
        </w:rPr>
        <w:footnoteRef/>
      </w:r>
      <w:r>
        <w:t xml:space="preserve">  </w:t>
      </w:r>
      <w:r w:rsidRPr="00F73BDD">
        <w:rPr>
          <w:i/>
          <w:sz w:val="22"/>
          <w:szCs w:val="22"/>
        </w:rPr>
        <w:t>See</w:t>
      </w:r>
      <w:r w:rsidRPr="39767877">
        <w:rPr>
          <w:sz w:val="22"/>
          <w:szCs w:val="22"/>
        </w:rPr>
        <w:t xml:space="preserve"> </w:t>
      </w:r>
      <w:r>
        <w:rPr>
          <w:i/>
          <w:iCs/>
          <w:sz w:val="22"/>
          <w:szCs w:val="22"/>
        </w:rPr>
        <w:t>Demand Response</w:t>
      </w:r>
      <w:r w:rsidRPr="18FCE247">
        <w:rPr>
          <w:i/>
          <w:iCs/>
          <w:sz w:val="22"/>
          <w:szCs w:val="22"/>
        </w:rPr>
        <w:t xml:space="preserve"> Potential Study </w:t>
      </w:r>
      <w:r w:rsidRPr="39767877">
        <w:rPr>
          <w:sz w:val="22"/>
          <w:szCs w:val="22"/>
        </w:rPr>
        <w:t xml:space="preserve">at page </w:t>
      </w:r>
      <w:r>
        <w:rPr>
          <w:sz w:val="22"/>
          <w:szCs w:val="22"/>
        </w:rPr>
        <w:t>16</w:t>
      </w:r>
      <w:r w:rsidRPr="39767877">
        <w:rPr>
          <w:sz w:val="22"/>
          <w:szCs w:val="22"/>
        </w:rPr>
        <w:t>.</w:t>
      </w:r>
    </w:p>
  </w:footnote>
  <w:footnote w:id="47">
    <w:p w14:paraId="6A1CC1CB" w14:textId="61C9BB8F" w:rsidR="00892889" w:rsidRDefault="00892889" w:rsidP="001617FD">
      <w:pPr>
        <w:pStyle w:val="FootnoteText"/>
      </w:pPr>
      <w:r w:rsidRPr="00206088">
        <w:rPr>
          <w:rStyle w:val="FootnoteReference"/>
        </w:rPr>
        <w:footnoteRef/>
      </w:r>
      <w:r w:rsidRPr="00206088">
        <w:t xml:space="preserve"> </w:t>
      </w:r>
      <w:r>
        <w:t xml:space="preserve"> </w:t>
      </w:r>
      <w:r w:rsidRPr="00206088">
        <w:rPr>
          <w:i/>
          <w:iCs/>
          <w:sz w:val="22"/>
          <w:szCs w:val="22"/>
        </w:rPr>
        <w:t>See EEP</w:t>
      </w:r>
      <w:r>
        <w:rPr>
          <w:i/>
          <w:iCs/>
          <w:sz w:val="22"/>
          <w:szCs w:val="22"/>
        </w:rPr>
        <w:t>DR</w:t>
      </w:r>
      <w:r w:rsidRPr="00206088">
        <w:rPr>
          <w:i/>
          <w:iCs/>
          <w:sz w:val="22"/>
          <w:szCs w:val="22"/>
        </w:rPr>
        <w:t xml:space="preserve"> Potential Stud</w:t>
      </w:r>
      <w:r>
        <w:rPr>
          <w:i/>
          <w:iCs/>
          <w:sz w:val="22"/>
          <w:szCs w:val="22"/>
        </w:rPr>
        <w:t xml:space="preserve">y </w:t>
      </w:r>
      <w:r>
        <w:rPr>
          <w:sz w:val="22"/>
          <w:szCs w:val="22"/>
        </w:rPr>
        <w:t>at page 3.</w:t>
      </w:r>
    </w:p>
  </w:footnote>
  <w:footnote w:id="48">
    <w:p w14:paraId="058AE979" w14:textId="276AC461" w:rsidR="00892889" w:rsidRPr="00AB4650" w:rsidRDefault="00892889" w:rsidP="001617FD">
      <w:pPr>
        <w:pStyle w:val="FootnoteText"/>
        <w:rPr>
          <w:sz w:val="22"/>
          <w:szCs w:val="22"/>
        </w:rPr>
      </w:pPr>
      <w:r>
        <w:rPr>
          <w:rStyle w:val="FootnoteReference"/>
        </w:rPr>
        <w:footnoteRef/>
      </w:r>
      <w:r>
        <w:t xml:space="preserve">  </w:t>
      </w:r>
      <w:r w:rsidRPr="00F73BDD">
        <w:rPr>
          <w:i/>
          <w:sz w:val="22"/>
          <w:szCs w:val="22"/>
        </w:rPr>
        <w:t>See</w:t>
      </w:r>
      <w:r w:rsidRPr="2E38D00C">
        <w:rPr>
          <w:sz w:val="22"/>
          <w:szCs w:val="22"/>
        </w:rPr>
        <w:t xml:space="preserve"> </w:t>
      </w:r>
      <w:r w:rsidRPr="2E38D00C">
        <w:rPr>
          <w:i/>
          <w:iCs/>
          <w:sz w:val="22"/>
          <w:szCs w:val="22"/>
        </w:rPr>
        <w:t>E</w:t>
      </w:r>
      <w:r>
        <w:rPr>
          <w:i/>
          <w:iCs/>
          <w:sz w:val="22"/>
          <w:szCs w:val="22"/>
        </w:rPr>
        <w:t>EPDR</w:t>
      </w:r>
      <w:r w:rsidRPr="2E38D00C">
        <w:rPr>
          <w:i/>
          <w:iCs/>
          <w:sz w:val="22"/>
          <w:szCs w:val="22"/>
        </w:rPr>
        <w:t xml:space="preserve"> Potential Study </w:t>
      </w:r>
      <w:r w:rsidRPr="2E38D00C">
        <w:rPr>
          <w:sz w:val="22"/>
          <w:szCs w:val="22"/>
        </w:rPr>
        <w:t xml:space="preserve">at page </w:t>
      </w:r>
      <w:r>
        <w:rPr>
          <w:sz w:val="22"/>
          <w:szCs w:val="22"/>
        </w:rPr>
        <w:t>57.</w:t>
      </w:r>
    </w:p>
  </w:footnote>
  <w:footnote w:id="49">
    <w:p w14:paraId="729DE88D" w14:textId="45FC71FD" w:rsidR="00892889" w:rsidRDefault="00892889" w:rsidP="00206088">
      <w:pPr>
        <w:pStyle w:val="FootnoteText"/>
      </w:pPr>
      <w:r>
        <w:rPr>
          <w:rStyle w:val="FootnoteReference"/>
        </w:rPr>
        <w:footnoteRef/>
      </w:r>
      <w:r>
        <w:t xml:space="preserve">  </w:t>
      </w:r>
      <w:r>
        <w:rPr>
          <w:i/>
          <w:sz w:val="22"/>
          <w:szCs w:val="22"/>
        </w:rPr>
        <w:t>See</w:t>
      </w:r>
      <w:r>
        <w:rPr>
          <w:sz w:val="22"/>
          <w:szCs w:val="22"/>
        </w:rPr>
        <w:t xml:space="preserve"> </w:t>
      </w:r>
      <w:r>
        <w:rPr>
          <w:i/>
          <w:iCs/>
          <w:sz w:val="22"/>
          <w:szCs w:val="22"/>
        </w:rPr>
        <w:t xml:space="preserve">EEPDR Potential Study </w:t>
      </w:r>
      <w:r>
        <w:rPr>
          <w:sz w:val="22"/>
          <w:szCs w:val="22"/>
        </w:rPr>
        <w:t>at pages 57-58.</w:t>
      </w:r>
    </w:p>
  </w:footnote>
  <w:footnote w:id="50">
    <w:p w14:paraId="4D7BA3A0" w14:textId="77777777" w:rsidR="00892889" w:rsidRDefault="00892889" w:rsidP="00206088">
      <w:pPr>
        <w:pStyle w:val="FootnoteText"/>
      </w:pPr>
      <w:r>
        <w:rPr>
          <w:rStyle w:val="FootnoteReference"/>
        </w:rPr>
        <w:footnoteRef/>
      </w:r>
      <w:r>
        <w:t xml:space="preserve"> </w:t>
      </w:r>
      <w:r>
        <w:rPr>
          <w:i/>
          <w:sz w:val="22"/>
          <w:szCs w:val="22"/>
        </w:rPr>
        <w:t>See</w:t>
      </w:r>
      <w:r>
        <w:rPr>
          <w:sz w:val="22"/>
          <w:szCs w:val="22"/>
        </w:rPr>
        <w:t xml:space="preserve"> </w:t>
      </w:r>
      <w:r>
        <w:rPr>
          <w:i/>
          <w:iCs/>
          <w:sz w:val="22"/>
          <w:szCs w:val="22"/>
        </w:rPr>
        <w:t xml:space="preserve">EEPDR Potential Study </w:t>
      </w:r>
      <w:r>
        <w:rPr>
          <w:sz w:val="22"/>
          <w:szCs w:val="22"/>
        </w:rPr>
        <w:t>at page 58.</w:t>
      </w:r>
    </w:p>
  </w:footnote>
  <w:footnote w:id="51">
    <w:p w14:paraId="1B410054" w14:textId="77777777" w:rsidR="00892889" w:rsidRDefault="00892889" w:rsidP="00206088">
      <w:pPr>
        <w:pStyle w:val="FootnoteText"/>
      </w:pPr>
      <w:r>
        <w:rPr>
          <w:rStyle w:val="FootnoteReference"/>
        </w:rPr>
        <w:footnoteRef/>
      </w:r>
      <w:r>
        <w:t xml:space="preserve"> </w:t>
      </w:r>
      <w:r>
        <w:rPr>
          <w:i/>
          <w:sz w:val="22"/>
          <w:szCs w:val="22"/>
        </w:rPr>
        <w:t>See</w:t>
      </w:r>
      <w:r>
        <w:rPr>
          <w:sz w:val="22"/>
          <w:szCs w:val="22"/>
        </w:rPr>
        <w:t xml:space="preserve"> </w:t>
      </w:r>
      <w:r>
        <w:rPr>
          <w:i/>
          <w:iCs/>
          <w:sz w:val="22"/>
          <w:szCs w:val="22"/>
        </w:rPr>
        <w:t xml:space="preserve">EEPDR Potential Study </w:t>
      </w:r>
      <w:r>
        <w:rPr>
          <w:sz w:val="22"/>
          <w:szCs w:val="22"/>
        </w:rPr>
        <w:t>at pages 57-58.</w:t>
      </w:r>
    </w:p>
  </w:footnote>
  <w:footnote w:id="52">
    <w:p w14:paraId="5BD31FA4" w14:textId="77777777" w:rsidR="00892889" w:rsidRPr="00E3768A" w:rsidRDefault="00892889" w:rsidP="001617FD">
      <w:pPr>
        <w:pStyle w:val="FootnoteText"/>
        <w:rPr>
          <w:sz w:val="22"/>
          <w:szCs w:val="22"/>
        </w:rPr>
      </w:pPr>
      <w:r w:rsidRPr="00E3768A">
        <w:rPr>
          <w:rStyle w:val="FootnoteReference"/>
          <w:sz w:val="22"/>
          <w:szCs w:val="22"/>
        </w:rPr>
        <w:footnoteRef/>
      </w:r>
      <w:r w:rsidRPr="00E3768A">
        <w:rPr>
          <w:sz w:val="22"/>
          <w:szCs w:val="22"/>
        </w:rPr>
        <w:t xml:space="preserve">  </w:t>
      </w:r>
      <w:r w:rsidRPr="00B941B3">
        <w:rPr>
          <w:i/>
          <w:sz w:val="22"/>
          <w:szCs w:val="22"/>
        </w:rPr>
        <w:t>See</w:t>
      </w:r>
      <w:r w:rsidRPr="00E3768A">
        <w:rPr>
          <w:sz w:val="22"/>
          <w:szCs w:val="22"/>
        </w:rPr>
        <w:t xml:space="preserve"> </w:t>
      </w:r>
      <w:r w:rsidRPr="00B941B3">
        <w:rPr>
          <w:i/>
          <w:sz w:val="22"/>
          <w:szCs w:val="22"/>
        </w:rPr>
        <w:t>2021 Technical Reference Manual, Volume 1</w:t>
      </w:r>
      <w:r>
        <w:rPr>
          <w:sz w:val="22"/>
          <w:szCs w:val="22"/>
        </w:rPr>
        <w:t>,</w:t>
      </w:r>
      <w:r w:rsidRPr="00E3768A">
        <w:rPr>
          <w:sz w:val="22"/>
          <w:szCs w:val="22"/>
        </w:rPr>
        <w:t xml:space="preserve"> page 10</w:t>
      </w:r>
      <w:r>
        <w:rPr>
          <w:sz w:val="22"/>
          <w:szCs w:val="22"/>
        </w:rPr>
        <w:t xml:space="preserve"> at</w:t>
      </w:r>
      <w:r w:rsidRPr="00E3768A" w:rsidDel="00E378F0">
        <w:rPr>
          <w:sz w:val="22"/>
          <w:szCs w:val="22"/>
        </w:rPr>
        <w:t xml:space="preserve"> </w:t>
      </w:r>
      <w:hyperlink r:id="rId7" w:history="1">
        <w:r w:rsidRPr="00267658">
          <w:rPr>
            <w:rStyle w:val="Hyperlink"/>
            <w:sz w:val="22"/>
            <w:szCs w:val="22"/>
          </w:rPr>
          <w:t>http://www.puc.pa.gov/pcdocs/1630967.docx</w:t>
        </w:r>
      </w:hyperlink>
      <w:r w:rsidRPr="00E3768A">
        <w:rPr>
          <w:sz w:val="22"/>
          <w:szCs w:val="22"/>
        </w:rPr>
        <w:t xml:space="preserve"> </w:t>
      </w:r>
    </w:p>
  </w:footnote>
  <w:footnote w:id="53">
    <w:p w14:paraId="4D71C206" w14:textId="77777777" w:rsidR="00892889" w:rsidRDefault="00892889" w:rsidP="001617FD">
      <w:pPr>
        <w:pStyle w:val="FootnoteText"/>
      </w:pPr>
      <w:r>
        <w:rPr>
          <w:rStyle w:val="FootnoteReference"/>
        </w:rPr>
        <w:footnoteRef/>
      </w:r>
      <w:r>
        <w:t xml:space="preserve"> </w:t>
      </w:r>
      <w:r w:rsidRPr="001F0783">
        <w:rPr>
          <w:i/>
          <w:iCs/>
          <w:sz w:val="22"/>
          <w:szCs w:val="22"/>
        </w:rPr>
        <w:t>See</w:t>
      </w:r>
      <w:r w:rsidRPr="001F0783">
        <w:rPr>
          <w:sz w:val="22"/>
          <w:szCs w:val="22"/>
        </w:rPr>
        <w:t xml:space="preserve"> PJM 2020 Load Forecast Report. </w:t>
      </w:r>
      <w:hyperlink r:id="rId8" w:history="1">
        <w:r w:rsidRPr="001F0783">
          <w:rPr>
            <w:rStyle w:val="Hyperlink"/>
            <w:sz w:val="22"/>
            <w:szCs w:val="22"/>
          </w:rPr>
          <w:t>https://www.pjm.com/-/media/library/reports-notices/load-forecast/2020-load-report.ashx</w:t>
        </w:r>
      </w:hyperlink>
    </w:p>
  </w:footnote>
  <w:footnote w:id="54">
    <w:p w14:paraId="3B2F2010" w14:textId="77777777" w:rsidR="00892889" w:rsidRPr="0082415C" w:rsidRDefault="00892889" w:rsidP="006B168D">
      <w:pPr>
        <w:pStyle w:val="FootnoteText"/>
        <w:rPr>
          <w:sz w:val="22"/>
          <w:szCs w:val="22"/>
        </w:rPr>
      </w:pPr>
      <w:r w:rsidRPr="0082415C">
        <w:rPr>
          <w:rStyle w:val="FootnoteReference"/>
          <w:sz w:val="22"/>
          <w:szCs w:val="22"/>
        </w:rPr>
        <w:footnoteRef/>
      </w:r>
      <w:r>
        <w:rPr>
          <w:sz w:val="22"/>
          <w:szCs w:val="22"/>
        </w:rPr>
        <w:t xml:space="preserve"> </w:t>
      </w:r>
      <w:r w:rsidRPr="0082415C">
        <w:rPr>
          <w:sz w:val="22"/>
          <w:szCs w:val="22"/>
        </w:rPr>
        <w:t xml:space="preserve"> </w:t>
      </w:r>
      <w:r w:rsidRPr="0082415C">
        <w:rPr>
          <w:i/>
          <w:sz w:val="22"/>
          <w:szCs w:val="22"/>
        </w:rPr>
        <w:t>See Phase I Implementation Order</w:t>
      </w:r>
      <w:r w:rsidRPr="0082415C">
        <w:rPr>
          <w:sz w:val="22"/>
          <w:szCs w:val="22"/>
        </w:rPr>
        <w:t xml:space="preserve"> at page </w:t>
      </w:r>
      <w:r>
        <w:rPr>
          <w:sz w:val="22"/>
          <w:szCs w:val="22"/>
        </w:rPr>
        <w:t>9</w:t>
      </w:r>
      <w:r w:rsidRPr="0082415C">
        <w:rPr>
          <w:sz w:val="22"/>
          <w:szCs w:val="22"/>
        </w:rPr>
        <w:t>.</w:t>
      </w:r>
      <w:r>
        <w:rPr>
          <w:sz w:val="22"/>
          <w:szCs w:val="22"/>
        </w:rPr>
        <w:t xml:space="preserve"> </w:t>
      </w:r>
    </w:p>
  </w:footnote>
  <w:footnote w:id="55">
    <w:p w14:paraId="4F6C7B53" w14:textId="77777777" w:rsidR="00892889" w:rsidRDefault="00892889" w:rsidP="003F1127">
      <w:pPr>
        <w:pStyle w:val="FootnoteText"/>
      </w:pPr>
      <w:r>
        <w:rPr>
          <w:rStyle w:val="FootnoteReference"/>
        </w:rPr>
        <w:footnoteRef/>
      </w:r>
      <w:r>
        <w:t xml:space="preserve">  </w:t>
      </w:r>
      <w:r w:rsidRPr="00262C4E">
        <w:rPr>
          <w:i/>
          <w:iCs/>
          <w:sz w:val="22"/>
          <w:szCs w:val="22"/>
        </w:rPr>
        <w:t>See 2021 Technical Reference Manual, Volume 1</w:t>
      </w:r>
      <w:r w:rsidRPr="00262C4E">
        <w:rPr>
          <w:sz w:val="22"/>
          <w:szCs w:val="22"/>
        </w:rPr>
        <w:t xml:space="preserve"> at page 10.</w:t>
      </w:r>
    </w:p>
  </w:footnote>
  <w:footnote w:id="56">
    <w:p w14:paraId="36B51603" w14:textId="0AA2A2A3" w:rsidR="00892889" w:rsidRDefault="00892889">
      <w:pPr>
        <w:pStyle w:val="FootnoteText"/>
      </w:pPr>
      <w:r>
        <w:rPr>
          <w:rStyle w:val="FootnoteReference"/>
        </w:rPr>
        <w:footnoteRef/>
      </w:r>
      <w:r>
        <w:t xml:space="preserve">  </w:t>
      </w:r>
      <w:r w:rsidRPr="00262C4E">
        <w:rPr>
          <w:i/>
          <w:iCs/>
          <w:sz w:val="22"/>
          <w:szCs w:val="22"/>
        </w:rPr>
        <w:t>See 2021 Technical Reference Manual, Volume 1</w:t>
      </w:r>
      <w:r w:rsidRPr="00262C4E">
        <w:rPr>
          <w:sz w:val="22"/>
          <w:szCs w:val="22"/>
        </w:rPr>
        <w:t xml:space="preserve"> at page </w:t>
      </w:r>
      <w:r>
        <w:rPr>
          <w:sz w:val="22"/>
          <w:szCs w:val="22"/>
        </w:rPr>
        <w:t>5.</w:t>
      </w:r>
    </w:p>
  </w:footnote>
  <w:footnote w:id="57">
    <w:p w14:paraId="6DB248BE" w14:textId="77777777" w:rsidR="00892889" w:rsidRDefault="00892889" w:rsidP="003F1127">
      <w:pPr>
        <w:pStyle w:val="FootnoteText"/>
      </w:pPr>
      <w:r>
        <w:rPr>
          <w:rStyle w:val="FootnoteReference"/>
        </w:rPr>
        <w:footnoteRef/>
      </w:r>
      <w:r>
        <w:t xml:space="preserve">  </w:t>
      </w:r>
      <w:r w:rsidRPr="0068500B">
        <w:rPr>
          <w:i/>
          <w:sz w:val="22"/>
          <w:szCs w:val="22"/>
        </w:rPr>
        <w:t>See</w:t>
      </w:r>
      <w:r w:rsidRPr="0068500B">
        <w:rPr>
          <w:sz w:val="22"/>
          <w:szCs w:val="22"/>
        </w:rPr>
        <w:t xml:space="preserve"> </w:t>
      </w:r>
      <w:hyperlink r:id="rId9" w:history="1">
        <w:r w:rsidRPr="0068500B">
          <w:rPr>
            <w:rStyle w:val="Hyperlink"/>
            <w:sz w:val="22"/>
            <w:szCs w:val="22"/>
          </w:rPr>
          <w:t>https://www.pjm.com/-/media/documents/manuals/m18b.ashx</w:t>
        </w:r>
      </w:hyperlink>
    </w:p>
  </w:footnote>
  <w:footnote w:id="58">
    <w:p w14:paraId="721B87D7" w14:textId="442647CD" w:rsidR="00892889" w:rsidRPr="0082415C" w:rsidRDefault="00892889" w:rsidP="0082415C">
      <w:pPr>
        <w:pStyle w:val="FootnoteText"/>
        <w:rPr>
          <w:sz w:val="22"/>
          <w:szCs w:val="22"/>
        </w:rPr>
      </w:pPr>
      <w:r w:rsidRPr="0082415C">
        <w:rPr>
          <w:rStyle w:val="FootnoteReference"/>
          <w:sz w:val="22"/>
          <w:szCs w:val="22"/>
        </w:rPr>
        <w:footnoteRef/>
      </w:r>
      <w:r>
        <w:rPr>
          <w:sz w:val="22"/>
          <w:szCs w:val="22"/>
        </w:rPr>
        <w:t xml:space="preserve"> </w:t>
      </w:r>
      <w:r w:rsidRPr="0082415C">
        <w:rPr>
          <w:sz w:val="22"/>
          <w:szCs w:val="22"/>
        </w:rPr>
        <w:t xml:space="preserve"> </w:t>
      </w:r>
      <w:r w:rsidRPr="001E3D56">
        <w:rPr>
          <w:i/>
          <w:sz w:val="22"/>
          <w:szCs w:val="22"/>
        </w:rPr>
        <w:t>See Energy Efficiency and Conservation Program Implementation Order</w:t>
      </w:r>
      <w:r w:rsidRPr="0082415C">
        <w:rPr>
          <w:sz w:val="22"/>
          <w:szCs w:val="22"/>
        </w:rPr>
        <w:t>, at Docket No. M</w:t>
      </w:r>
      <w:r>
        <w:rPr>
          <w:sz w:val="22"/>
          <w:szCs w:val="22"/>
        </w:rPr>
        <w:noBreakHyphen/>
      </w:r>
      <w:r w:rsidRPr="0082415C">
        <w:rPr>
          <w:sz w:val="22"/>
          <w:szCs w:val="22"/>
        </w:rPr>
        <w:t>2008</w:t>
      </w:r>
      <w:r>
        <w:rPr>
          <w:sz w:val="22"/>
          <w:szCs w:val="22"/>
        </w:rPr>
        <w:noBreakHyphen/>
      </w:r>
      <w:r w:rsidRPr="0082415C">
        <w:rPr>
          <w:sz w:val="22"/>
          <w:szCs w:val="22"/>
        </w:rPr>
        <w:t>2069887 (entered January 16, 2009) (</w:t>
      </w:r>
      <w:r w:rsidRPr="0082415C">
        <w:rPr>
          <w:i/>
          <w:sz w:val="22"/>
          <w:szCs w:val="22"/>
        </w:rPr>
        <w:t>Initial Implementation Order</w:t>
      </w:r>
      <w:r w:rsidRPr="0082415C">
        <w:rPr>
          <w:sz w:val="22"/>
          <w:szCs w:val="22"/>
        </w:rPr>
        <w:t xml:space="preserve">) at page 10.  </w:t>
      </w:r>
    </w:p>
  </w:footnote>
  <w:footnote w:id="59">
    <w:p w14:paraId="25373D77" w14:textId="0B9D6628" w:rsidR="00892889" w:rsidRPr="0082415C" w:rsidRDefault="00892889" w:rsidP="0082415C">
      <w:pPr>
        <w:pStyle w:val="FootnoteText"/>
        <w:rPr>
          <w:sz w:val="22"/>
          <w:szCs w:val="22"/>
        </w:rPr>
      </w:pPr>
      <w:r w:rsidRPr="0082415C">
        <w:rPr>
          <w:rStyle w:val="FootnoteReference"/>
          <w:sz w:val="22"/>
          <w:szCs w:val="22"/>
        </w:rPr>
        <w:footnoteRef/>
      </w:r>
      <w:r>
        <w:rPr>
          <w:sz w:val="22"/>
          <w:szCs w:val="22"/>
        </w:rPr>
        <w:t xml:space="preserve"> </w:t>
      </w:r>
      <w:r w:rsidRPr="0082415C">
        <w:rPr>
          <w:sz w:val="22"/>
          <w:szCs w:val="22"/>
        </w:rPr>
        <w:t xml:space="preserve"> OTS is a reference to the Commission’s former Office of Trial Staff.  As of August 11, 2011, OTS was eliminated and its functions and staff transferred to the newly created Bureau of Investigation and Enforcement.  </w:t>
      </w:r>
      <w:r w:rsidRPr="0082415C">
        <w:rPr>
          <w:i/>
          <w:sz w:val="22"/>
          <w:szCs w:val="22"/>
        </w:rPr>
        <w:t>See Implementation of Act 129 of 2008; Organization of Bureaus and Offices</w:t>
      </w:r>
      <w:r w:rsidRPr="0082415C">
        <w:rPr>
          <w:sz w:val="22"/>
          <w:szCs w:val="22"/>
        </w:rPr>
        <w:t>, Final Procedural Order, entered August 11, 2011, at Docket No. M-2008-2071852, at pages 4-5.</w:t>
      </w:r>
    </w:p>
  </w:footnote>
  <w:footnote w:id="60">
    <w:p w14:paraId="6424C0B8" w14:textId="622B464F" w:rsidR="00892889" w:rsidRPr="00EF20CC" w:rsidRDefault="00892889">
      <w:pPr>
        <w:pStyle w:val="FootnoteText"/>
      </w:pPr>
      <w:r>
        <w:rPr>
          <w:rStyle w:val="FootnoteReference"/>
        </w:rPr>
        <w:footnoteRef/>
      </w:r>
      <w:r>
        <w:t xml:space="preserve">  </w:t>
      </w:r>
      <w:r w:rsidRPr="00EF20CC">
        <w:rPr>
          <w:i/>
          <w:iCs/>
          <w:sz w:val="22"/>
          <w:szCs w:val="22"/>
        </w:rPr>
        <w:t>See Phase I</w:t>
      </w:r>
      <w:r>
        <w:rPr>
          <w:i/>
          <w:iCs/>
          <w:sz w:val="22"/>
          <w:szCs w:val="22"/>
        </w:rPr>
        <w:t xml:space="preserve"> Implementation Order </w:t>
      </w:r>
      <w:r>
        <w:rPr>
          <w:sz w:val="22"/>
          <w:szCs w:val="22"/>
        </w:rPr>
        <w:t>at pages 12-13.</w:t>
      </w:r>
    </w:p>
  </w:footnote>
  <w:footnote w:id="61">
    <w:p w14:paraId="533DD512" w14:textId="132D4BFF" w:rsidR="00892889" w:rsidRPr="0046728D" w:rsidRDefault="00892889" w:rsidP="0082415C">
      <w:pPr>
        <w:pStyle w:val="FootnoteText"/>
        <w:rPr>
          <w:sz w:val="22"/>
          <w:szCs w:val="22"/>
        </w:rPr>
      </w:pPr>
      <w:r w:rsidRPr="0082415C">
        <w:rPr>
          <w:rStyle w:val="FootnoteReference"/>
          <w:sz w:val="22"/>
          <w:szCs w:val="22"/>
        </w:rPr>
        <w:footnoteRef/>
      </w:r>
      <w:r>
        <w:rPr>
          <w:sz w:val="22"/>
          <w:szCs w:val="22"/>
        </w:rPr>
        <w:t xml:space="preserve">  </w:t>
      </w:r>
      <w:r w:rsidRPr="0082415C">
        <w:rPr>
          <w:i/>
          <w:sz w:val="22"/>
          <w:szCs w:val="22"/>
        </w:rPr>
        <w:t>See Phase II Implementation Order</w:t>
      </w:r>
      <w:r w:rsidRPr="0082415C">
        <w:rPr>
          <w:sz w:val="22"/>
          <w:szCs w:val="22"/>
        </w:rPr>
        <w:t xml:space="preserve"> at page 61</w:t>
      </w:r>
      <w:r>
        <w:rPr>
          <w:sz w:val="22"/>
          <w:szCs w:val="22"/>
        </w:rPr>
        <w:t>;</w:t>
      </w:r>
      <w:r>
        <w:rPr>
          <w:i/>
          <w:iCs/>
          <w:sz w:val="22"/>
          <w:szCs w:val="22"/>
        </w:rPr>
        <w:t xml:space="preserve"> Phase III Implementation Order </w:t>
      </w:r>
      <w:r>
        <w:rPr>
          <w:sz w:val="22"/>
          <w:szCs w:val="22"/>
        </w:rPr>
        <w:t>at pages 89-91</w:t>
      </w:r>
    </w:p>
  </w:footnote>
  <w:footnote w:id="62">
    <w:p w14:paraId="06240163" w14:textId="452DA8B9" w:rsidR="00892889" w:rsidRPr="0082415C"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The timing of Commission approval of a Public Meeting agenda item is tentative and may change </w:t>
      </w:r>
      <w:r>
        <w:rPr>
          <w:sz w:val="22"/>
          <w:szCs w:val="22"/>
        </w:rPr>
        <w:t xml:space="preserve">at any time at </w:t>
      </w:r>
      <w:r w:rsidRPr="0082415C">
        <w:rPr>
          <w:sz w:val="22"/>
          <w:szCs w:val="22"/>
        </w:rPr>
        <w:t>the Commission’s discretion, unless a statutorily</w:t>
      </w:r>
      <w:r>
        <w:rPr>
          <w:sz w:val="22"/>
          <w:szCs w:val="22"/>
        </w:rPr>
        <w:t xml:space="preserve"> </w:t>
      </w:r>
      <w:r w:rsidRPr="0082415C">
        <w:rPr>
          <w:sz w:val="22"/>
          <w:szCs w:val="22"/>
        </w:rPr>
        <w:t>mandated timeline is associated with that agenda item.</w:t>
      </w:r>
    </w:p>
  </w:footnote>
  <w:footnote w:id="63">
    <w:p w14:paraId="2E55F162" w14:textId="6DCF6A04" w:rsidR="00892889" w:rsidRPr="0082415C"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This proposed date reflects the Commission’s intent to submit this Tentative Order by the deadline necessary for publishing in the March 28, 20</w:t>
      </w:r>
      <w:r>
        <w:rPr>
          <w:sz w:val="22"/>
          <w:szCs w:val="22"/>
        </w:rPr>
        <w:t>20</w:t>
      </w:r>
      <w:r w:rsidRPr="0082415C">
        <w:rPr>
          <w:sz w:val="22"/>
          <w:szCs w:val="22"/>
        </w:rPr>
        <w:t xml:space="preserve"> issue of the </w:t>
      </w:r>
      <w:r w:rsidRPr="0082415C">
        <w:rPr>
          <w:i/>
          <w:sz w:val="22"/>
          <w:szCs w:val="22"/>
        </w:rPr>
        <w:t>Pennsylvania Bulletin</w:t>
      </w:r>
      <w:r w:rsidRPr="0082415C">
        <w:rPr>
          <w:sz w:val="22"/>
          <w:szCs w:val="22"/>
        </w:rPr>
        <w:t>.  It does not reflect deadlines/timelines binding on the Legislative Reference Bureau.</w:t>
      </w:r>
    </w:p>
  </w:footnote>
  <w:footnote w:id="64">
    <w:p w14:paraId="3219FBD8" w14:textId="3B1E223D" w:rsidR="00892889" w:rsidRPr="00340F25" w:rsidRDefault="00892889">
      <w:pPr>
        <w:pStyle w:val="FootnoteText"/>
        <w:rPr>
          <w:sz w:val="22"/>
          <w:szCs w:val="22"/>
        </w:rPr>
      </w:pPr>
      <w:r w:rsidRPr="00D836A7">
        <w:rPr>
          <w:rStyle w:val="FootnoteReference"/>
          <w:sz w:val="22"/>
          <w:szCs w:val="22"/>
        </w:rPr>
        <w:footnoteRef/>
      </w:r>
      <w:r w:rsidRPr="00D836A7">
        <w:rPr>
          <w:sz w:val="22"/>
          <w:szCs w:val="22"/>
        </w:rPr>
        <w:t xml:space="preserve">  The proposed filing deadline for Petitions for Evidentiary Hearings is 15 days following the entry date of the Final Implementation Order, which would be Ju</w:t>
      </w:r>
      <w:r w:rsidRPr="002C6DC8">
        <w:rPr>
          <w:sz w:val="22"/>
          <w:szCs w:val="22"/>
        </w:rPr>
        <w:t>ly 3</w:t>
      </w:r>
      <w:r w:rsidRPr="00D836A7">
        <w:rPr>
          <w:sz w:val="22"/>
          <w:szCs w:val="22"/>
        </w:rPr>
        <w:t>, 20</w:t>
      </w:r>
      <w:r w:rsidRPr="002C6DC8">
        <w:rPr>
          <w:sz w:val="22"/>
          <w:szCs w:val="22"/>
        </w:rPr>
        <w:t>20</w:t>
      </w:r>
      <w:r w:rsidRPr="00D836A7">
        <w:rPr>
          <w:sz w:val="22"/>
          <w:szCs w:val="22"/>
        </w:rPr>
        <w:t>, if the Final Implementation Orde</w:t>
      </w:r>
      <w:r w:rsidRPr="007C5877">
        <w:rPr>
          <w:sz w:val="22"/>
          <w:szCs w:val="22"/>
        </w:rPr>
        <w:t>r is entered on June 1</w:t>
      </w:r>
      <w:r w:rsidRPr="002C6DC8">
        <w:rPr>
          <w:sz w:val="22"/>
          <w:szCs w:val="22"/>
        </w:rPr>
        <w:t>8</w:t>
      </w:r>
      <w:r w:rsidRPr="00D836A7">
        <w:rPr>
          <w:sz w:val="22"/>
          <w:szCs w:val="22"/>
        </w:rPr>
        <w:t>, 20</w:t>
      </w:r>
      <w:r w:rsidRPr="002C6DC8">
        <w:rPr>
          <w:sz w:val="22"/>
          <w:szCs w:val="22"/>
        </w:rPr>
        <w:t>20</w:t>
      </w:r>
      <w:r w:rsidRPr="00D836A7">
        <w:rPr>
          <w:sz w:val="22"/>
          <w:szCs w:val="22"/>
        </w:rPr>
        <w:t>.</w:t>
      </w:r>
      <w:r>
        <w:rPr>
          <w:sz w:val="22"/>
          <w:szCs w:val="22"/>
        </w:rPr>
        <w:t xml:space="preserve">  Because July 3, 2020 is a holiday, we propose July 6, 2020 as the filing deadline. </w:t>
      </w:r>
    </w:p>
  </w:footnote>
  <w:footnote w:id="65">
    <w:p w14:paraId="29DF4CA3" w14:textId="30319B85" w:rsidR="00892889" w:rsidRPr="00340F25" w:rsidRDefault="00892889">
      <w:pPr>
        <w:pStyle w:val="FootnoteText"/>
        <w:rPr>
          <w:sz w:val="22"/>
          <w:szCs w:val="22"/>
        </w:rPr>
      </w:pPr>
      <w:r w:rsidRPr="00340F25">
        <w:rPr>
          <w:rStyle w:val="FootnoteReference"/>
          <w:sz w:val="22"/>
          <w:szCs w:val="22"/>
        </w:rPr>
        <w:footnoteRef/>
      </w:r>
      <w:r w:rsidRPr="00340F25">
        <w:rPr>
          <w:sz w:val="22"/>
          <w:szCs w:val="22"/>
        </w:rPr>
        <w:t xml:space="preserve">  Such filings are at the EDCs’ discretion.  </w:t>
      </w:r>
    </w:p>
  </w:footnote>
  <w:footnote w:id="66">
    <w:p w14:paraId="2D4195E4" w14:textId="5DFE0FA3" w:rsidR="00892889" w:rsidRPr="0082415C" w:rsidRDefault="00892889" w:rsidP="00A269A2">
      <w:pPr>
        <w:pStyle w:val="FootnoteText"/>
        <w:keepLines/>
        <w:rPr>
          <w:color w:val="000000"/>
          <w:sz w:val="22"/>
          <w:szCs w:val="22"/>
        </w:rPr>
      </w:pPr>
      <w:r w:rsidRPr="0082415C">
        <w:rPr>
          <w:rStyle w:val="FootnoteReference"/>
          <w:color w:val="000000"/>
          <w:sz w:val="22"/>
          <w:szCs w:val="22"/>
        </w:rPr>
        <w:footnoteRef/>
      </w:r>
      <w:r w:rsidRPr="0082415C">
        <w:rPr>
          <w:color w:val="000000"/>
          <w:sz w:val="22"/>
          <w:szCs w:val="22"/>
        </w:rPr>
        <w:t xml:space="preserve">  The program must include “standards to ensure that each plan includes a variety of energy efficiency and conservation measures and will provide the measures equitably to all classes of customers.”</w:t>
      </w:r>
    </w:p>
  </w:footnote>
  <w:footnote w:id="67">
    <w:p w14:paraId="482027FD" w14:textId="75D92F1B" w:rsidR="00892889" w:rsidRPr="0082415C" w:rsidRDefault="00892889" w:rsidP="00A269A2">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Energy Efficiency and Conservation Program</w:t>
      </w:r>
      <w:r w:rsidRPr="0082415C">
        <w:rPr>
          <w:sz w:val="22"/>
          <w:szCs w:val="22"/>
        </w:rPr>
        <w:t>, Final Order at Docket No. M-2008-2069887 (entered on June 10, 2011) (Minor Plan Change Order).</w:t>
      </w:r>
    </w:p>
  </w:footnote>
  <w:footnote w:id="68">
    <w:p w14:paraId="14AAFEC9" w14:textId="09679356" w:rsidR="00892889" w:rsidRPr="0082415C" w:rsidRDefault="00892889" w:rsidP="00A269A2">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Phase II Implementation Order</w:t>
      </w:r>
      <w:r w:rsidRPr="0082415C">
        <w:rPr>
          <w:sz w:val="22"/>
          <w:szCs w:val="22"/>
        </w:rPr>
        <w:t xml:space="preserve"> at page 91.</w:t>
      </w:r>
    </w:p>
  </w:footnote>
  <w:footnote w:id="69">
    <w:p w14:paraId="743D7008" w14:textId="148295F5" w:rsidR="00892889" w:rsidRPr="0082415C"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Implementation of the Alternative Energy Portfolio Standards Act of 2004: Standards for the Participation of Demand Side Management Resources – Technical Reference Manual Update</w:t>
      </w:r>
      <w:r w:rsidRPr="0082415C">
        <w:rPr>
          <w:sz w:val="22"/>
          <w:szCs w:val="22"/>
        </w:rPr>
        <w:t>, TRM Annual Update Order, Page 17, (</w:t>
      </w:r>
      <w:r w:rsidRPr="0082415C">
        <w:rPr>
          <w:i/>
          <w:sz w:val="22"/>
          <w:szCs w:val="22"/>
        </w:rPr>
        <w:t>2009 TRM Update Order</w:t>
      </w:r>
      <w:r w:rsidRPr="0082415C">
        <w:rPr>
          <w:sz w:val="22"/>
          <w:szCs w:val="22"/>
        </w:rPr>
        <w:t>) at Docket No. M-00051865, entered June 1, 2009.</w:t>
      </w:r>
    </w:p>
  </w:footnote>
  <w:footnote w:id="70">
    <w:p w14:paraId="73FFCFB3" w14:textId="01577364" w:rsidR="00892889" w:rsidRPr="0082415C"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Phase II Implementation Order</w:t>
      </w:r>
      <w:r w:rsidRPr="0082415C">
        <w:rPr>
          <w:sz w:val="22"/>
          <w:szCs w:val="22"/>
        </w:rPr>
        <w:t xml:space="preserve"> at pages 72-75.</w:t>
      </w:r>
    </w:p>
  </w:footnote>
  <w:footnote w:id="71">
    <w:p w14:paraId="6D6D7D1B" w14:textId="2EAE2E27" w:rsidR="00892889" w:rsidRDefault="00892889">
      <w:pPr>
        <w:pStyle w:val="FootnoteText"/>
      </w:pPr>
      <w:r>
        <w:rPr>
          <w:rStyle w:val="FootnoteReference"/>
        </w:rPr>
        <w:footnoteRef/>
      </w:r>
      <w:r>
        <w:t xml:space="preserve">  </w:t>
      </w:r>
      <w:r w:rsidRPr="00D051FA">
        <w:rPr>
          <w:i/>
          <w:sz w:val="22"/>
          <w:szCs w:val="22"/>
        </w:rPr>
        <w:t>See 2021 TRM Final Order</w:t>
      </w:r>
      <w:r w:rsidRPr="00D051FA">
        <w:rPr>
          <w:sz w:val="22"/>
          <w:szCs w:val="22"/>
        </w:rPr>
        <w:t xml:space="preserve"> at pages 6-8. </w:t>
      </w:r>
      <w:hyperlink r:id="rId10" w:history="1">
        <w:r w:rsidRPr="00006DC8">
          <w:rPr>
            <w:rStyle w:val="Hyperlink"/>
            <w:sz w:val="22"/>
            <w:szCs w:val="22"/>
          </w:rPr>
          <w:t>http://www.puc.pa.gov/pcdocs/1631001.docx</w:t>
        </w:r>
      </w:hyperlink>
      <w:r>
        <w:rPr>
          <w:sz w:val="22"/>
          <w:szCs w:val="22"/>
        </w:rPr>
        <w:t xml:space="preserve"> </w:t>
      </w:r>
    </w:p>
    <w:p w14:paraId="3719FCA4" w14:textId="77777777" w:rsidR="00892889" w:rsidRDefault="00892889">
      <w:pPr>
        <w:pStyle w:val="FootnoteText"/>
      </w:pPr>
    </w:p>
  </w:footnote>
  <w:footnote w:id="72">
    <w:p w14:paraId="1C98D602" w14:textId="3A663EA0" w:rsidR="00892889" w:rsidRPr="0082415C"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After November 30, 2013, and every five years thereafter, we are to evaluate the costs and benefits of the program established under 66 Pa. C.S. § 2806.1(a) and of approved </w:t>
      </w:r>
      <w:r>
        <w:rPr>
          <w:sz w:val="22"/>
          <w:szCs w:val="22"/>
        </w:rPr>
        <w:t>EE&amp;C</w:t>
      </w:r>
      <w:r w:rsidRPr="0082415C">
        <w:rPr>
          <w:sz w:val="22"/>
          <w:szCs w:val="22"/>
        </w:rPr>
        <w:t xml:space="preserve"> plans using a total resource cost test or a cost-benefit analysis of our determination.  66</w:t>
      </w:r>
      <w:r>
        <w:rPr>
          <w:sz w:val="22"/>
          <w:szCs w:val="22"/>
        </w:rPr>
        <w:t> </w:t>
      </w:r>
      <w:r w:rsidRPr="0082415C">
        <w:rPr>
          <w:sz w:val="22"/>
          <w:szCs w:val="22"/>
        </w:rPr>
        <w:t>Pa.</w:t>
      </w:r>
      <w:r>
        <w:rPr>
          <w:sz w:val="22"/>
          <w:szCs w:val="22"/>
        </w:rPr>
        <w:t> </w:t>
      </w:r>
      <w:r w:rsidRPr="0082415C">
        <w:rPr>
          <w:sz w:val="22"/>
          <w:szCs w:val="22"/>
        </w:rPr>
        <w:t>C.S. § 2806.1(c)(3).</w:t>
      </w:r>
    </w:p>
  </w:footnote>
  <w:footnote w:id="73">
    <w:p w14:paraId="5204F477" w14:textId="1C87422D" w:rsidR="00892889" w:rsidRDefault="00892889">
      <w:pPr>
        <w:pStyle w:val="FootnoteText"/>
      </w:pPr>
      <w:r w:rsidRPr="00960D79">
        <w:rPr>
          <w:rStyle w:val="FootnoteReference"/>
          <w:sz w:val="22"/>
          <w:szCs w:val="22"/>
        </w:rPr>
        <w:footnoteRef/>
      </w:r>
      <w:r w:rsidRPr="00960D79">
        <w:rPr>
          <w:sz w:val="22"/>
          <w:szCs w:val="22"/>
        </w:rPr>
        <w:t xml:space="preserve">  </w:t>
      </w:r>
      <w:hyperlink r:id="rId11" w:history="1">
        <w:r w:rsidRPr="00D523EA">
          <w:rPr>
            <w:rStyle w:val="Hyperlink"/>
            <w:sz w:val="22"/>
            <w:szCs w:val="22"/>
          </w:rPr>
          <w:t>http://www.puc.pa.gov/pcdocs/1648126.docx</w:t>
        </w:r>
      </w:hyperlink>
      <w:r>
        <w:t xml:space="preserve"> </w:t>
      </w:r>
    </w:p>
  </w:footnote>
  <w:footnote w:id="74">
    <w:p w14:paraId="23235DC9" w14:textId="59ACE116" w:rsidR="00892889" w:rsidRPr="00960D79" w:rsidRDefault="00892889" w:rsidP="00350E28">
      <w:pPr>
        <w:pStyle w:val="FootnoteText"/>
        <w:rPr>
          <w:sz w:val="22"/>
          <w:szCs w:val="22"/>
        </w:rPr>
      </w:pPr>
      <w:r w:rsidRPr="00717DCB">
        <w:rPr>
          <w:rStyle w:val="FootnoteReference"/>
          <w:sz w:val="22"/>
          <w:szCs w:val="22"/>
        </w:rPr>
        <w:footnoteRef/>
      </w:r>
      <w:r w:rsidRPr="00717DCB">
        <w:rPr>
          <w:sz w:val="22"/>
          <w:szCs w:val="22"/>
        </w:rPr>
        <w:t xml:space="preserve">  </w:t>
      </w:r>
      <w:r w:rsidRPr="00960D79">
        <w:rPr>
          <w:sz w:val="22"/>
          <w:szCs w:val="22"/>
        </w:rPr>
        <w:t xml:space="preserve">Violette, Daniel and Pamela Rathbun, “Chapter 21: Estimating Net Savings: Common Practices,” in </w:t>
      </w:r>
      <w:r w:rsidRPr="00960D79">
        <w:rPr>
          <w:i/>
          <w:sz w:val="22"/>
          <w:szCs w:val="22"/>
        </w:rPr>
        <w:t>The Uniform Methods Project: Methods for Determining Energy Efficiency Savings for Specific</w:t>
      </w:r>
      <w:r>
        <w:rPr>
          <w:i/>
          <w:sz w:val="22"/>
          <w:szCs w:val="22"/>
        </w:rPr>
        <w:t xml:space="preserve"> </w:t>
      </w:r>
      <w:r w:rsidRPr="00960D79">
        <w:rPr>
          <w:i/>
          <w:sz w:val="22"/>
          <w:szCs w:val="22"/>
        </w:rPr>
        <w:t xml:space="preserve">Measures. </w:t>
      </w:r>
      <w:r w:rsidRPr="00960D79">
        <w:rPr>
          <w:sz w:val="22"/>
          <w:szCs w:val="22"/>
        </w:rPr>
        <w:t xml:space="preserve">Prepared for the National Renewable Energy Laboratory, October 2017. </w:t>
      </w:r>
      <w:hyperlink r:id="rId12" w:history="1">
        <w:r w:rsidRPr="00960D79">
          <w:rPr>
            <w:rStyle w:val="Hyperlink"/>
            <w:sz w:val="22"/>
            <w:szCs w:val="22"/>
          </w:rPr>
          <w:t>https://www.nrel.gov/docs/fy17osti/68578.pdf</w:t>
        </w:r>
      </w:hyperlink>
    </w:p>
    <w:p w14:paraId="1ED1B8B8" w14:textId="77777777" w:rsidR="00892889" w:rsidRDefault="00892889">
      <w:pPr>
        <w:pStyle w:val="FootnoteText"/>
      </w:pPr>
    </w:p>
  </w:footnote>
  <w:footnote w:id="75">
    <w:p w14:paraId="6EA8365E" w14:textId="4360B5A6" w:rsidR="00892889" w:rsidRPr="0082415C"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Implementation of Act 129 of 2008 – Total Resource Cost (TRC) Test</w:t>
      </w:r>
      <w:r w:rsidRPr="0082415C">
        <w:rPr>
          <w:sz w:val="22"/>
          <w:szCs w:val="22"/>
        </w:rPr>
        <w:t xml:space="preserve"> Order, at Docket No. M</w:t>
      </w:r>
      <w:r>
        <w:rPr>
          <w:sz w:val="22"/>
          <w:szCs w:val="22"/>
        </w:rPr>
        <w:noBreakHyphen/>
      </w:r>
      <w:r w:rsidRPr="0082415C">
        <w:rPr>
          <w:sz w:val="22"/>
          <w:szCs w:val="22"/>
        </w:rPr>
        <w:t>2009-2108601 (2009 TRC Test), entered June 23, 2009,</w:t>
      </w:r>
      <w:r w:rsidRPr="0082415C">
        <w:rPr>
          <w:i/>
          <w:sz w:val="22"/>
          <w:szCs w:val="22"/>
        </w:rPr>
        <w:t xml:space="preserve"> </w:t>
      </w:r>
      <w:r w:rsidRPr="0082415C">
        <w:rPr>
          <w:sz w:val="22"/>
          <w:szCs w:val="22"/>
        </w:rPr>
        <w:t>at page 27.</w:t>
      </w:r>
    </w:p>
  </w:footnote>
  <w:footnote w:id="76">
    <w:p w14:paraId="463AB7F2" w14:textId="01F72702" w:rsidR="00892889" w:rsidRPr="0082415C"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Implementation of Act 129 of 2008 – Total Resource Cost (TRC) Test - 2011 Revisions</w:t>
      </w:r>
      <w:r w:rsidRPr="0082415C">
        <w:rPr>
          <w:sz w:val="22"/>
          <w:szCs w:val="22"/>
        </w:rPr>
        <w:t xml:space="preserve"> Final Order, at Docket No. M-2009-2108601 (2011 TRC Test Order), entered August 2, 2011, at page 25.</w:t>
      </w:r>
    </w:p>
  </w:footnote>
  <w:footnote w:id="77">
    <w:p w14:paraId="55AFAC3C" w14:textId="6A5C0BA5" w:rsidR="00892889" w:rsidRPr="0082415C"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w:t>
      </w:r>
      <w:r w:rsidRPr="0068500B">
        <w:rPr>
          <w:i/>
          <w:sz w:val="22"/>
          <w:szCs w:val="22"/>
        </w:rPr>
        <w:t>See</w:t>
      </w:r>
      <w:r w:rsidRPr="0082415C">
        <w:rPr>
          <w:sz w:val="22"/>
          <w:szCs w:val="22"/>
        </w:rPr>
        <w:t xml:space="preserve"> Pennsylvania Statewide Evaluation Team, report titled “Net Savings: An Overview</w:t>
      </w:r>
      <w:r>
        <w:rPr>
          <w:sz w:val="22"/>
          <w:szCs w:val="22"/>
        </w:rPr>
        <w:t>,</w:t>
      </w:r>
      <w:r w:rsidRPr="0082415C">
        <w:rPr>
          <w:sz w:val="22"/>
          <w:szCs w:val="22"/>
        </w:rPr>
        <w:t>” prepared by the Pennsylvania Phase I Statewide Evaluation Team, October 2011. In this 2011 report, the Phase I SWE “recommended that NTG studies be conducted for Act 129 EE&amp;C programs for the purposes of acquiring data to improve program effectiveness and electricity savings.” The report recommended using verified gross savings to set kWh and kilowatt (kW) savings goals and to determine whether these goals have been attained. The SWE did not recommend using net savings to determine if program goals/savings targets have been attained, or to determine if a utility should get a financial incentive reward or penalty.</w:t>
      </w:r>
    </w:p>
  </w:footnote>
  <w:footnote w:id="78">
    <w:p w14:paraId="4F6F5429" w14:textId="3ED9E7CB" w:rsidR="00892889" w:rsidRPr="0082415C"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Phase II Implementation Order</w:t>
      </w:r>
      <w:r w:rsidRPr="0082415C">
        <w:rPr>
          <w:sz w:val="22"/>
          <w:szCs w:val="22"/>
        </w:rPr>
        <w:t xml:space="preserve"> at pages 82-83.</w:t>
      </w:r>
    </w:p>
  </w:footnote>
  <w:footnote w:id="79">
    <w:p w14:paraId="7CFC84FA" w14:textId="2A7B32F1" w:rsidR="00892889" w:rsidRPr="0082415C"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Id.</w:t>
      </w:r>
      <w:r w:rsidRPr="0082415C">
        <w:rPr>
          <w:sz w:val="22"/>
          <w:szCs w:val="22"/>
        </w:rPr>
        <w:t xml:space="preserve"> at 82.</w:t>
      </w:r>
    </w:p>
  </w:footnote>
  <w:footnote w:id="80">
    <w:p w14:paraId="7E867416" w14:textId="4A8ABF46" w:rsidR="00892889" w:rsidRPr="0082415C"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Id.</w:t>
      </w:r>
      <w:r w:rsidRPr="0082415C">
        <w:rPr>
          <w:sz w:val="22"/>
          <w:szCs w:val="22"/>
        </w:rPr>
        <w:t xml:space="preserve"> at 83.</w:t>
      </w:r>
    </w:p>
  </w:footnote>
  <w:footnote w:id="81">
    <w:p w14:paraId="07206735" w14:textId="2027D7E1" w:rsidR="00892889" w:rsidRDefault="00892889">
      <w:pPr>
        <w:pStyle w:val="FootnoteText"/>
      </w:pPr>
      <w:r>
        <w:rPr>
          <w:rStyle w:val="FootnoteReference"/>
        </w:rPr>
        <w:footnoteRef/>
      </w:r>
      <w:r>
        <w:t xml:space="preserve">  </w:t>
      </w:r>
      <w:r w:rsidRPr="00BC5C63">
        <w:rPr>
          <w:i/>
          <w:iCs/>
        </w:rPr>
        <w:t>See</w:t>
      </w:r>
      <w:r>
        <w:t xml:space="preserve"> </w:t>
      </w:r>
      <w:r w:rsidRPr="0082415C">
        <w:rPr>
          <w:i/>
          <w:sz w:val="22"/>
          <w:szCs w:val="22"/>
        </w:rPr>
        <w:t>Phase II</w:t>
      </w:r>
      <w:r>
        <w:rPr>
          <w:i/>
          <w:sz w:val="22"/>
          <w:szCs w:val="22"/>
        </w:rPr>
        <w:t>I</w:t>
      </w:r>
      <w:r w:rsidRPr="0082415C">
        <w:rPr>
          <w:i/>
          <w:sz w:val="22"/>
          <w:szCs w:val="22"/>
        </w:rPr>
        <w:t xml:space="preserve"> Implementation Order</w:t>
      </w:r>
      <w:r w:rsidRPr="0082415C">
        <w:rPr>
          <w:sz w:val="22"/>
          <w:szCs w:val="22"/>
        </w:rPr>
        <w:t xml:space="preserve"> at </w:t>
      </w:r>
      <w:r>
        <w:rPr>
          <w:sz w:val="22"/>
          <w:szCs w:val="22"/>
        </w:rPr>
        <w:t>page 107.</w:t>
      </w:r>
    </w:p>
  </w:footnote>
  <w:footnote w:id="82">
    <w:p w14:paraId="51906FE9" w14:textId="41C0611E" w:rsidR="00892889" w:rsidRPr="0082415C"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w:t>
      </w:r>
      <w:r w:rsidRPr="0082415C">
        <w:rPr>
          <w:sz w:val="22"/>
          <w:szCs w:val="22"/>
        </w:rPr>
        <w:t xml:space="preserve"> </w:t>
      </w:r>
      <w:r w:rsidRPr="005B55A4">
        <w:rPr>
          <w:sz w:val="22"/>
          <w:szCs w:val="22"/>
        </w:rPr>
        <w:t xml:space="preserve">66 Pa. C.S. § 2806.1(a)(7). </w:t>
      </w:r>
      <w:r w:rsidRPr="0082415C">
        <w:rPr>
          <w:sz w:val="22"/>
          <w:szCs w:val="22"/>
        </w:rPr>
        <w:t xml:space="preserve"> </w:t>
      </w:r>
    </w:p>
  </w:footnote>
  <w:footnote w:id="83">
    <w:p w14:paraId="2D223083" w14:textId="45474033" w:rsidR="00892889" w:rsidRPr="0082415C"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 xml:space="preserve">See </w:t>
      </w:r>
      <w:r w:rsidRPr="005B55A4">
        <w:rPr>
          <w:sz w:val="22"/>
          <w:szCs w:val="22"/>
        </w:rPr>
        <w:t>66 Pa. C.S. § 2806.1(a)(8).</w:t>
      </w:r>
      <w:r w:rsidRPr="0082415C">
        <w:rPr>
          <w:sz w:val="22"/>
          <w:szCs w:val="22"/>
        </w:rPr>
        <w:t xml:space="preserve">  </w:t>
      </w:r>
    </w:p>
  </w:footnote>
  <w:footnote w:id="84">
    <w:p w14:paraId="13ABD687" w14:textId="447B0156" w:rsidR="00892889" w:rsidRPr="0082415C"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iCs/>
          <w:sz w:val="22"/>
          <w:szCs w:val="22"/>
        </w:rPr>
        <w:t>Id</w:t>
      </w:r>
      <w:r w:rsidRPr="0082415C">
        <w:rPr>
          <w:sz w:val="22"/>
          <w:szCs w:val="22"/>
        </w:rPr>
        <w:t xml:space="preserve">.  </w:t>
      </w:r>
    </w:p>
  </w:footnote>
  <w:footnote w:id="85">
    <w:p w14:paraId="36EB1122" w14:textId="06A12398" w:rsidR="00892889" w:rsidRPr="0046728D" w:rsidRDefault="00892889">
      <w:pPr>
        <w:pStyle w:val="FootnoteText"/>
        <w:rPr>
          <w:sz w:val="22"/>
          <w:szCs w:val="22"/>
        </w:rPr>
      </w:pPr>
      <w:r w:rsidRPr="0046728D">
        <w:rPr>
          <w:rStyle w:val="FootnoteReference"/>
          <w:sz w:val="22"/>
          <w:szCs w:val="22"/>
        </w:rPr>
        <w:footnoteRef/>
      </w:r>
      <w:r w:rsidRPr="0046728D">
        <w:rPr>
          <w:sz w:val="22"/>
          <w:szCs w:val="22"/>
        </w:rPr>
        <w:t xml:space="preserve">  </w:t>
      </w:r>
      <w:r>
        <w:rPr>
          <w:sz w:val="22"/>
          <w:szCs w:val="22"/>
        </w:rPr>
        <w:t xml:space="preserve">The CSP registry is available on the Commission’s website at </w:t>
      </w:r>
      <w:hyperlink r:id="rId13" w:history="1">
        <w:r w:rsidRPr="00DA3F58">
          <w:rPr>
            <w:rStyle w:val="Hyperlink"/>
            <w:sz w:val="22"/>
            <w:szCs w:val="22"/>
          </w:rPr>
          <w:t>http://www.puc.pa.gov/utility_industry/electricity/conservation_service_providers_registry.aspx</w:t>
        </w:r>
      </w:hyperlink>
      <w:r>
        <w:rPr>
          <w:sz w:val="22"/>
          <w:szCs w:val="22"/>
        </w:rPr>
        <w:t xml:space="preserve"> </w:t>
      </w:r>
    </w:p>
  </w:footnote>
  <w:footnote w:id="86">
    <w:p w14:paraId="79CE3302" w14:textId="0F0787B2" w:rsidR="00892889" w:rsidRPr="0082415C"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See </w:t>
      </w:r>
      <w:r w:rsidRPr="005B55A4">
        <w:rPr>
          <w:sz w:val="22"/>
          <w:szCs w:val="22"/>
        </w:rPr>
        <w:t>66 Pa. C.S. § 2806.1(b)(1)(i)(E).</w:t>
      </w:r>
      <w:r w:rsidRPr="0082415C">
        <w:rPr>
          <w:sz w:val="22"/>
          <w:szCs w:val="22"/>
        </w:rPr>
        <w:t xml:space="preserve">  </w:t>
      </w:r>
    </w:p>
  </w:footnote>
  <w:footnote w:id="87">
    <w:p w14:paraId="7687C0BF" w14:textId="7B24CD1E" w:rsidR="00892889" w:rsidRPr="0082415C"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Phase II Final Implementation Order</w:t>
      </w:r>
      <w:r w:rsidRPr="0082415C">
        <w:rPr>
          <w:sz w:val="22"/>
          <w:szCs w:val="22"/>
        </w:rPr>
        <w:t xml:space="preserve"> at pages 93-94</w:t>
      </w:r>
      <w:r>
        <w:rPr>
          <w:sz w:val="22"/>
          <w:szCs w:val="22"/>
        </w:rPr>
        <w:t xml:space="preserve"> and </w:t>
      </w:r>
      <w:r w:rsidRPr="0082415C">
        <w:rPr>
          <w:i/>
          <w:sz w:val="22"/>
          <w:szCs w:val="22"/>
        </w:rPr>
        <w:t>Phase II Final Implementation Order</w:t>
      </w:r>
      <w:r w:rsidRPr="0082415C">
        <w:rPr>
          <w:sz w:val="22"/>
          <w:szCs w:val="22"/>
        </w:rPr>
        <w:t xml:space="preserve"> at page </w:t>
      </w:r>
      <w:r>
        <w:rPr>
          <w:sz w:val="22"/>
          <w:szCs w:val="22"/>
        </w:rPr>
        <w:t>125</w:t>
      </w:r>
      <w:r w:rsidRPr="0082415C">
        <w:rPr>
          <w:sz w:val="22"/>
          <w:szCs w:val="22"/>
        </w:rPr>
        <w:t>.</w:t>
      </w:r>
      <w:r>
        <w:rPr>
          <w:sz w:val="22"/>
          <w:szCs w:val="22"/>
        </w:rPr>
        <w:t xml:space="preserve">  </w:t>
      </w:r>
    </w:p>
  </w:footnote>
  <w:footnote w:id="88">
    <w:p w14:paraId="033CF575" w14:textId="45F0BDF0" w:rsidR="00892889" w:rsidRDefault="00892889">
      <w:pPr>
        <w:pStyle w:val="FootnoteText"/>
      </w:pPr>
      <w:r>
        <w:rPr>
          <w:rStyle w:val="FootnoteReference"/>
        </w:rPr>
        <w:footnoteRef/>
      </w:r>
      <w:r>
        <w:t xml:space="preserve">  </w:t>
      </w:r>
      <w:r w:rsidRPr="0082415C">
        <w:rPr>
          <w:i/>
          <w:sz w:val="22"/>
          <w:szCs w:val="22"/>
        </w:rPr>
        <w:t>See Phase II</w:t>
      </w:r>
      <w:r>
        <w:rPr>
          <w:i/>
          <w:sz w:val="22"/>
          <w:szCs w:val="22"/>
        </w:rPr>
        <w:t>I</w:t>
      </w:r>
      <w:r w:rsidRPr="0082415C">
        <w:rPr>
          <w:i/>
          <w:sz w:val="22"/>
          <w:szCs w:val="22"/>
        </w:rPr>
        <w:t xml:space="preserve"> Implementation Order</w:t>
      </w:r>
      <w:r w:rsidRPr="0082415C">
        <w:rPr>
          <w:sz w:val="22"/>
          <w:szCs w:val="22"/>
        </w:rPr>
        <w:t xml:space="preserve"> at pages </w:t>
      </w:r>
      <w:r>
        <w:rPr>
          <w:sz w:val="22"/>
          <w:szCs w:val="22"/>
        </w:rPr>
        <w:t>126-127</w:t>
      </w:r>
      <w:r w:rsidRPr="0082415C">
        <w:rPr>
          <w:sz w:val="22"/>
          <w:szCs w:val="22"/>
        </w:rPr>
        <w:t>.</w:t>
      </w:r>
    </w:p>
  </w:footnote>
  <w:footnote w:id="89">
    <w:p w14:paraId="20F871A3" w14:textId="656BE7D4" w:rsidR="00892889" w:rsidRPr="0082415C"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 xml:space="preserve">See </w:t>
      </w:r>
      <w:r w:rsidRPr="006B7A73">
        <w:rPr>
          <w:sz w:val="22"/>
          <w:szCs w:val="22"/>
        </w:rPr>
        <w:t>66 Pa. C.S. §</w:t>
      </w:r>
      <w:r>
        <w:rPr>
          <w:sz w:val="22"/>
          <w:szCs w:val="22"/>
        </w:rPr>
        <w:t xml:space="preserve"> </w:t>
      </w:r>
      <w:r w:rsidRPr="006B7A73">
        <w:rPr>
          <w:sz w:val="22"/>
          <w:szCs w:val="22"/>
        </w:rPr>
        <w:t>2806.1(a)(10).</w:t>
      </w:r>
      <w:r w:rsidRPr="0082415C">
        <w:rPr>
          <w:sz w:val="22"/>
          <w:szCs w:val="22"/>
        </w:rPr>
        <w:t xml:space="preserve"> </w:t>
      </w:r>
    </w:p>
  </w:footnote>
  <w:footnote w:id="90">
    <w:p w14:paraId="762C2FDC" w14:textId="3270DD69" w:rsidR="00892889" w:rsidRPr="0082415C" w:rsidRDefault="00892889" w:rsidP="009E160A">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 xml:space="preserve">See </w:t>
      </w:r>
      <w:r w:rsidRPr="006B7A73">
        <w:rPr>
          <w:sz w:val="22"/>
          <w:szCs w:val="22"/>
        </w:rPr>
        <w:t>66 Pa. C.S. §</w:t>
      </w:r>
      <w:r>
        <w:rPr>
          <w:sz w:val="22"/>
          <w:szCs w:val="22"/>
        </w:rPr>
        <w:t xml:space="preserve"> </w:t>
      </w:r>
      <w:r w:rsidRPr="006B7A73">
        <w:rPr>
          <w:sz w:val="22"/>
          <w:szCs w:val="22"/>
        </w:rPr>
        <w:t>2806.2(a).</w:t>
      </w:r>
      <w:r w:rsidRPr="0082415C">
        <w:rPr>
          <w:sz w:val="22"/>
          <w:szCs w:val="22"/>
        </w:rPr>
        <w:t xml:space="preserve">  </w:t>
      </w:r>
    </w:p>
  </w:footnote>
  <w:footnote w:id="91">
    <w:p w14:paraId="18350D3A" w14:textId="6F8B9F8B" w:rsidR="00892889" w:rsidRPr="006B7A73" w:rsidRDefault="00892889" w:rsidP="009E160A">
      <w:pPr>
        <w:pStyle w:val="p3"/>
        <w:widowControl/>
        <w:tabs>
          <w:tab w:val="clear" w:pos="204"/>
        </w:tabs>
        <w:rPr>
          <w:sz w:val="22"/>
          <w:szCs w:val="22"/>
        </w:rPr>
      </w:pPr>
      <w:r w:rsidRPr="0082415C">
        <w:rPr>
          <w:rStyle w:val="FootnoteReference"/>
          <w:sz w:val="22"/>
          <w:szCs w:val="22"/>
        </w:rPr>
        <w:footnoteRef/>
      </w:r>
      <w:r w:rsidRPr="0082415C">
        <w:rPr>
          <w:sz w:val="22"/>
          <w:szCs w:val="22"/>
        </w:rPr>
        <w:t xml:space="preserve">  </w:t>
      </w:r>
      <w:r>
        <w:rPr>
          <w:i/>
          <w:iCs/>
          <w:sz w:val="22"/>
          <w:szCs w:val="22"/>
        </w:rPr>
        <w:t xml:space="preserve">See </w:t>
      </w:r>
      <w:r w:rsidRPr="006B7A73">
        <w:rPr>
          <w:sz w:val="22"/>
          <w:szCs w:val="22"/>
        </w:rPr>
        <w:t>66 Pa. C.S. §</w:t>
      </w:r>
      <w:r>
        <w:rPr>
          <w:sz w:val="22"/>
          <w:szCs w:val="22"/>
        </w:rPr>
        <w:t xml:space="preserve"> </w:t>
      </w:r>
      <w:r w:rsidRPr="006B7A73">
        <w:rPr>
          <w:sz w:val="22"/>
          <w:szCs w:val="22"/>
        </w:rPr>
        <w:t>2806.2(b).</w:t>
      </w:r>
    </w:p>
  </w:footnote>
  <w:footnote w:id="92">
    <w:p w14:paraId="464918C0" w14:textId="1FC601C8" w:rsidR="00892889" w:rsidRPr="0082415C" w:rsidRDefault="00892889" w:rsidP="009E160A">
      <w:pPr>
        <w:pStyle w:val="FootnoteText"/>
        <w:rPr>
          <w:sz w:val="22"/>
          <w:szCs w:val="22"/>
        </w:rPr>
      </w:pPr>
      <w:r w:rsidRPr="0082415C">
        <w:rPr>
          <w:rStyle w:val="FootnoteReference"/>
          <w:sz w:val="22"/>
          <w:szCs w:val="22"/>
        </w:rPr>
        <w:footnoteRef/>
      </w:r>
      <w:r w:rsidRPr="0082415C">
        <w:rPr>
          <w:sz w:val="22"/>
          <w:szCs w:val="22"/>
        </w:rPr>
        <w:t xml:space="preserve">  </w:t>
      </w:r>
      <w:r w:rsidRPr="0082415C">
        <w:rPr>
          <w:i/>
          <w:iCs/>
          <w:sz w:val="22"/>
          <w:szCs w:val="22"/>
        </w:rPr>
        <w:t>See Implementation of Act 129 of 2008 Phase 2 – Registry of Conservation Service Providers</w:t>
      </w:r>
      <w:r w:rsidRPr="0082415C">
        <w:rPr>
          <w:sz w:val="22"/>
          <w:szCs w:val="22"/>
        </w:rPr>
        <w:t>, Final Order at Docket No. M-2008-2074154 (entered February 5, 2009) (</w:t>
      </w:r>
      <w:r w:rsidRPr="0082415C">
        <w:rPr>
          <w:i/>
          <w:iCs/>
          <w:sz w:val="22"/>
          <w:szCs w:val="22"/>
        </w:rPr>
        <w:t>CSP Registry Order</w:t>
      </w:r>
      <w:r w:rsidRPr="0082415C">
        <w:rPr>
          <w:sz w:val="22"/>
          <w:szCs w:val="22"/>
        </w:rPr>
        <w:t>).</w:t>
      </w:r>
    </w:p>
  </w:footnote>
  <w:footnote w:id="93">
    <w:p w14:paraId="7D475DCE" w14:textId="692B6637" w:rsidR="00892889" w:rsidRPr="0082415C"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 xml:space="preserve">See Implementation of Act 129 of 2008 – Registry of Conservation Service Providers, </w:t>
      </w:r>
      <w:r w:rsidRPr="0082415C">
        <w:rPr>
          <w:sz w:val="22"/>
          <w:szCs w:val="22"/>
        </w:rPr>
        <w:t>Final Order</w:t>
      </w:r>
      <w:r w:rsidRPr="0082415C">
        <w:rPr>
          <w:i/>
          <w:sz w:val="22"/>
          <w:szCs w:val="22"/>
        </w:rPr>
        <w:t xml:space="preserve"> </w:t>
      </w:r>
      <w:r w:rsidRPr="0082415C">
        <w:rPr>
          <w:sz w:val="22"/>
          <w:szCs w:val="22"/>
        </w:rPr>
        <w:t xml:space="preserve">(2013 </w:t>
      </w:r>
      <w:r>
        <w:rPr>
          <w:sz w:val="22"/>
          <w:szCs w:val="22"/>
        </w:rPr>
        <w:t xml:space="preserve">and 2015 </w:t>
      </w:r>
      <w:r w:rsidRPr="0082415C">
        <w:rPr>
          <w:sz w:val="22"/>
          <w:szCs w:val="22"/>
        </w:rPr>
        <w:t>CSP Registry Order</w:t>
      </w:r>
      <w:r>
        <w:rPr>
          <w:sz w:val="22"/>
          <w:szCs w:val="22"/>
        </w:rPr>
        <w:t>s</w:t>
      </w:r>
      <w:r w:rsidRPr="0082415C">
        <w:rPr>
          <w:sz w:val="22"/>
          <w:szCs w:val="22"/>
        </w:rPr>
        <w:t>) at Docket No. M-2008-2074154, entered on July 16, 2013</w:t>
      </w:r>
      <w:r>
        <w:rPr>
          <w:sz w:val="22"/>
          <w:szCs w:val="22"/>
        </w:rPr>
        <w:t xml:space="preserve"> and May 8, 2015</w:t>
      </w:r>
      <w:r w:rsidRPr="0082415C">
        <w:rPr>
          <w:sz w:val="22"/>
          <w:szCs w:val="22"/>
        </w:rPr>
        <w:t>.</w:t>
      </w:r>
    </w:p>
  </w:footnote>
  <w:footnote w:id="94">
    <w:p w14:paraId="35E6A2CB" w14:textId="50E0C918" w:rsidR="00892889" w:rsidRPr="0082415C"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 xml:space="preserve">See </w:t>
      </w:r>
      <w:r w:rsidRPr="009B3F0A">
        <w:rPr>
          <w:i/>
          <w:sz w:val="22"/>
          <w:szCs w:val="22"/>
        </w:rPr>
        <w:t>2013 CSP Registry Order</w:t>
      </w:r>
      <w:r w:rsidRPr="0082415C">
        <w:rPr>
          <w:sz w:val="22"/>
          <w:szCs w:val="22"/>
        </w:rPr>
        <w:t xml:space="preserve"> at 8-10.</w:t>
      </w:r>
    </w:p>
  </w:footnote>
  <w:footnote w:id="95">
    <w:p w14:paraId="7E154EE7" w14:textId="0459F18F" w:rsidR="00892889" w:rsidRPr="00857889" w:rsidRDefault="00892889">
      <w:pPr>
        <w:pStyle w:val="FootnoteText"/>
        <w:rPr>
          <w:sz w:val="22"/>
          <w:szCs w:val="22"/>
        </w:rPr>
      </w:pPr>
      <w:r w:rsidRPr="00857889">
        <w:rPr>
          <w:rStyle w:val="FootnoteReference"/>
          <w:sz w:val="22"/>
          <w:szCs w:val="22"/>
        </w:rPr>
        <w:footnoteRef/>
      </w:r>
      <w:r w:rsidRPr="00857889">
        <w:rPr>
          <w:sz w:val="22"/>
          <w:szCs w:val="22"/>
        </w:rPr>
        <w:t xml:space="preserve">  </w:t>
      </w:r>
      <w:r w:rsidRPr="00857889">
        <w:rPr>
          <w:i/>
          <w:iCs/>
          <w:sz w:val="22"/>
          <w:szCs w:val="22"/>
        </w:rPr>
        <w:t xml:space="preserve">See Phase III Implementation Order </w:t>
      </w:r>
      <w:r w:rsidRPr="00857889">
        <w:rPr>
          <w:sz w:val="22"/>
          <w:szCs w:val="22"/>
        </w:rPr>
        <w:t>at pages 133-134.</w:t>
      </w:r>
    </w:p>
  </w:footnote>
  <w:footnote w:id="96">
    <w:p w14:paraId="5C35CA40" w14:textId="52C196BD" w:rsidR="00892889" w:rsidRPr="0082415C" w:rsidRDefault="00892889" w:rsidP="0082415C">
      <w:pPr>
        <w:pStyle w:val="FootnoteText"/>
        <w:rPr>
          <w:sz w:val="22"/>
          <w:szCs w:val="22"/>
        </w:rPr>
      </w:pPr>
      <w:r w:rsidRPr="00857889">
        <w:rPr>
          <w:rStyle w:val="FootnoteReference"/>
          <w:sz w:val="22"/>
          <w:szCs w:val="22"/>
        </w:rPr>
        <w:footnoteRef/>
      </w:r>
      <w:r w:rsidRPr="00857889">
        <w:rPr>
          <w:sz w:val="22"/>
          <w:szCs w:val="22"/>
        </w:rPr>
        <w:t xml:space="preserve">  </w:t>
      </w:r>
      <w:r w:rsidRPr="00857889">
        <w:rPr>
          <w:i/>
          <w:sz w:val="22"/>
          <w:szCs w:val="22"/>
        </w:rPr>
        <w:t xml:space="preserve">See Phase I Implementation Order </w:t>
      </w:r>
      <w:r w:rsidRPr="00857889">
        <w:rPr>
          <w:sz w:val="22"/>
          <w:szCs w:val="22"/>
        </w:rPr>
        <w:t>at pages 32-36.</w:t>
      </w:r>
    </w:p>
  </w:footnote>
  <w:footnote w:id="97">
    <w:p w14:paraId="2732465A" w14:textId="54372905" w:rsidR="00892889" w:rsidRPr="007C5B20" w:rsidRDefault="00892889">
      <w:pPr>
        <w:pStyle w:val="FootnoteText"/>
        <w:rPr>
          <w:sz w:val="22"/>
          <w:szCs w:val="22"/>
        </w:rPr>
      </w:pPr>
      <w:r w:rsidRPr="007C5B20">
        <w:rPr>
          <w:rStyle w:val="FootnoteReference"/>
          <w:sz w:val="22"/>
          <w:szCs w:val="22"/>
        </w:rPr>
        <w:footnoteRef/>
      </w:r>
      <w:r w:rsidRPr="007C5B20">
        <w:rPr>
          <w:sz w:val="22"/>
          <w:szCs w:val="22"/>
        </w:rPr>
        <w:t xml:space="preserve"> </w:t>
      </w:r>
      <w:r>
        <w:rPr>
          <w:sz w:val="22"/>
          <w:szCs w:val="22"/>
        </w:rPr>
        <w:t xml:space="preserve"> </w:t>
      </w:r>
      <w:r w:rsidRPr="007C5B20">
        <w:rPr>
          <w:i/>
          <w:sz w:val="22"/>
          <w:szCs w:val="22"/>
        </w:rPr>
        <w:t>See 2021 TRC Test Final Order</w:t>
      </w:r>
      <w:r w:rsidRPr="007C5B20">
        <w:rPr>
          <w:sz w:val="22"/>
          <w:szCs w:val="22"/>
        </w:rPr>
        <w:t xml:space="preserve"> at pages 73-75 and 77-78</w:t>
      </w:r>
    </w:p>
  </w:footnote>
  <w:footnote w:id="98">
    <w:p w14:paraId="4C5CD1FA" w14:textId="77777777" w:rsidR="00892889" w:rsidRPr="004D4749" w:rsidRDefault="00892889" w:rsidP="00892889">
      <w:pPr>
        <w:pStyle w:val="FootnoteText"/>
        <w:rPr>
          <w:sz w:val="22"/>
          <w:szCs w:val="22"/>
        </w:rPr>
      </w:pPr>
      <w:r w:rsidRPr="004D4749">
        <w:rPr>
          <w:rStyle w:val="FootnoteReference"/>
          <w:sz w:val="22"/>
          <w:szCs w:val="22"/>
        </w:rPr>
        <w:footnoteRef/>
      </w:r>
      <w:r w:rsidRPr="004D4749">
        <w:rPr>
          <w:sz w:val="22"/>
          <w:szCs w:val="22"/>
        </w:rPr>
        <w:t xml:space="preserve"> </w:t>
      </w:r>
      <w:r w:rsidRPr="004D4749">
        <w:rPr>
          <w:i/>
          <w:iCs/>
          <w:sz w:val="22"/>
          <w:szCs w:val="22"/>
        </w:rPr>
        <w:t>See Implementation of Act 58 of 2018 Alternative Ratemaking for Utilities</w:t>
      </w:r>
      <w:r w:rsidRPr="004D4749">
        <w:rPr>
          <w:sz w:val="22"/>
          <w:szCs w:val="22"/>
        </w:rPr>
        <w:t>, Implementation Order at Docket No. M</w:t>
      </w:r>
      <w:r w:rsidRPr="004D4749">
        <w:rPr>
          <w:sz w:val="22"/>
          <w:szCs w:val="22"/>
        </w:rPr>
        <w:noBreakHyphen/>
        <w:t>2018</w:t>
      </w:r>
      <w:r w:rsidRPr="004D4749">
        <w:rPr>
          <w:sz w:val="22"/>
          <w:szCs w:val="22"/>
        </w:rPr>
        <w:noBreakHyphen/>
        <w:t>3003269 (entered April 25, 2019) at 9-10.</w:t>
      </w:r>
    </w:p>
  </w:footnote>
  <w:footnote w:id="99">
    <w:p w14:paraId="5E1124D1" w14:textId="7FF97BA9" w:rsidR="00892889" w:rsidRPr="0082415C" w:rsidRDefault="00892889" w:rsidP="00A9401C">
      <w:pPr>
        <w:pStyle w:val="FootnoteText"/>
        <w:rPr>
          <w:sz w:val="22"/>
          <w:szCs w:val="22"/>
        </w:rPr>
      </w:pPr>
      <w:r w:rsidRPr="0082415C">
        <w:rPr>
          <w:rStyle w:val="FootnoteReference"/>
          <w:sz w:val="22"/>
          <w:szCs w:val="22"/>
        </w:rPr>
        <w:footnoteRef/>
      </w:r>
      <w:r w:rsidRPr="0082415C">
        <w:rPr>
          <w:sz w:val="22"/>
          <w:szCs w:val="22"/>
        </w:rPr>
        <w:t xml:space="preserve">  </w:t>
      </w:r>
      <w:r w:rsidRPr="0082415C">
        <w:rPr>
          <w:i/>
          <w:sz w:val="22"/>
          <w:szCs w:val="22"/>
        </w:rPr>
        <w:t>See Petition of Duquesne Light Company for Approval of its Energy Efficiency and Conservation Phase II Plan</w:t>
      </w:r>
      <w:r w:rsidRPr="0082415C">
        <w:rPr>
          <w:sz w:val="22"/>
          <w:szCs w:val="22"/>
        </w:rPr>
        <w:t xml:space="preserve"> Opinion and Order, at Docket No. M-2012-2334399, entered March 14, 2013, at page 48.  </w:t>
      </w:r>
      <w:r w:rsidRPr="0082415C">
        <w:rPr>
          <w:i/>
          <w:sz w:val="22"/>
          <w:szCs w:val="22"/>
        </w:rPr>
        <w:t>See Joint Petition of Metropolitan Edison Company, Pennsylvania Electric Company, Pennsylvania Power Company, and West Penn Power Company for Consolidation of Proceedings and Approval of Act 129 Phase II Energy Efficiency and Conservation Plans</w:t>
      </w:r>
      <w:r w:rsidRPr="0082415C">
        <w:rPr>
          <w:sz w:val="22"/>
          <w:szCs w:val="22"/>
        </w:rPr>
        <w:t xml:space="preserve"> Opinion and Order, at Docket Nos. M</w:t>
      </w:r>
      <w:r>
        <w:rPr>
          <w:sz w:val="22"/>
          <w:szCs w:val="22"/>
        </w:rPr>
        <w:noBreakHyphen/>
      </w:r>
      <w:r w:rsidRPr="0082415C">
        <w:rPr>
          <w:sz w:val="22"/>
          <w:szCs w:val="22"/>
        </w:rPr>
        <w:t>2012</w:t>
      </w:r>
      <w:r>
        <w:rPr>
          <w:sz w:val="22"/>
          <w:szCs w:val="22"/>
        </w:rPr>
        <w:noBreakHyphen/>
      </w:r>
      <w:r w:rsidRPr="0082415C">
        <w:rPr>
          <w:sz w:val="22"/>
          <w:szCs w:val="22"/>
        </w:rPr>
        <w:t xml:space="preserve">2334387, </w:t>
      </w:r>
      <w:r w:rsidRPr="0082415C">
        <w:rPr>
          <w:i/>
          <w:sz w:val="22"/>
          <w:szCs w:val="22"/>
        </w:rPr>
        <w:t>et al.</w:t>
      </w:r>
      <w:r w:rsidRPr="0082415C">
        <w:rPr>
          <w:sz w:val="22"/>
          <w:szCs w:val="22"/>
        </w:rPr>
        <w:t xml:space="preserve">, entered March 14, 2013, at pages 41-42.  </w:t>
      </w:r>
      <w:r w:rsidRPr="0082415C">
        <w:rPr>
          <w:i/>
          <w:sz w:val="22"/>
          <w:szCs w:val="22"/>
        </w:rPr>
        <w:t>See Petition of PECO Energy Company for Approval of its Act 129 Phase II Energy Efficiency and Conservation Plan</w:t>
      </w:r>
      <w:r w:rsidRPr="0082415C">
        <w:rPr>
          <w:sz w:val="22"/>
          <w:szCs w:val="22"/>
        </w:rPr>
        <w:t xml:space="preserve"> Opinion and Order, at Docket No. M-2012-2333992, entered February 28, 2013, at pages 38-39.  </w:t>
      </w:r>
      <w:r w:rsidRPr="0082415C">
        <w:rPr>
          <w:i/>
          <w:sz w:val="22"/>
          <w:szCs w:val="22"/>
        </w:rPr>
        <w:t>See Petition of PPL Electric Utilities Corporation for Approval of its Act 129 Phase II Energy Efficiency and Conservation Plan</w:t>
      </w:r>
      <w:r w:rsidRPr="0082415C">
        <w:rPr>
          <w:sz w:val="22"/>
          <w:szCs w:val="22"/>
        </w:rPr>
        <w:t xml:space="preserve"> Opinion and Order, at Docket No. M-2012-2334388, entered March 14, 2013, at page 85.</w:t>
      </w:r>
    </w:p>
  </w:footnote>
  <w:footnote w:id="100">
    <w:p w14:paraId="3DCD4951" w14:textId="118E6AB0" w:rsidR="00892889" w:rsidRPr="0082415C"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As the General Assembly declared in its Act 129 policy statement “[i]t is in the public interest to adopt </w:t>
      </w:r>
      <w:r>
        <w:rPr>
          <w:sz w:val="22"/>
          <w:szCs w:val="22"/>
        </w:rPr>
        <w:t>[EE&amp;C]</w:t>
      </w:r>
      <w:r w:rsidRPr="0082415C">
        <w:rPr>
          <w:sz w:val="22"/>
          <w:szCs w:val="22"/>
        </w:rPr>
        <w:t xml:space="preserve"> measures and to implement energy procurement requirements designed to ensure that electricity obtained reduces the possibility of electric price instability, promotes economic growth and ensures affordable and available electric service to all residents.”</w:t>
      </w:r>
    </w:p>
  </w:footnote>
  <w:footnote w:id="101">
    <w:p w14:paraId="068CF1B1" w14:textId="229B3348" w:rsidR="00892889" w:rsidRDefault="00892889">
      <w:pPr>
        <w:pStyle w:val="FootnoteText"/>
      </w:pPr>
      <w:r w:rsidRPr="007C5B20">
        <w:rPr>
          <w:rStyle w:val="FootnoteReference"/>
          <w:sz w:val="22"/>
          <w:szCs w:val="22"/>
        </w:rPr>
        <w:footnoteRef/>
      </w:r>
      <w:r w:rsidRPr="007C5B20">
        <w:rPr>
          <w:sz w:val="22"/>
          <w:szCs w:val="22"/>
        </w:rPr>
        <w:t xml:space="preserve"> </w:t>
      </w:r>
      <w:r>
        <w:rPr>
          <w:sz w:val="22"/>
          <w:szCs w:val="22"/>
        </w:rPr>
        <w:t xml:space="preserve"> </w:t>
      </w:r>
      <w:r w:rsidRPr="007C5B20">
        <w:rPr>
          <w:i/>
          <w:sz w:val="22"/>
          <w:szCs w:val="22"/>
        </w:rPr>
        <w:t>See PJM Manual 18B: Energy Efficiency Measurement and Verification</w:t>
      </w:r>
      <w:r w:rsidRPr="007C5B20">
        <w:rPr>
          <w:sz w:val="22"/>
          <w:szCs w:val="22"/>
        </w:rPr>
        <w:t xml:space="preserve">. </w:t>
      </w:r>
      <w:hyperlink r:id="rId14" w:history="1">
        <w:r w:rsidRPr="007C5B20">
          <w:rPr>
            <w:rStyle w:val="Hyperlink"/>
            <w:sz w:val="22"/>
            <w:szCs w:val="22"/>
          </w:rPr>
          <w:t>https://www.pjm.com/-/media/documents/manuals/m18b.ashx</w:t>
        </w:r>
      </w:hyperlink>
    </w:p>
  </w:footnote>
  <w:footnote w:id="102">
    <w:p w14:paraId="750BABE1" w14:textId="1F9175FB" w:rsidR="00892889" w:rsidRDefault="00892889">
      <w:pPr>
        <w:pStyle w:val="FootnoteText"/>
      </w:pPr>
      <w:r w:rsidRPr="0074623E">
        <w:rPr>
          <w:rStyle w:val="FootnoteReference"/>
          <w:sz w:val="22"/>
          <w:szCs w:val="22"/>
        </w:rPr>
        <w:footnoteRef/>
      </w:r>
      <w:r w:rsidRPr="0074623E">
        <w:rPr>
          <w:sz w:val="22"/>
          <w:szCs w:val="22"/>
        </w:rPr>
        <w:t xml:space="preserve"> </w:t>
      </w:r>
      <w:r>
        <w:rPr>
          <w:sz w:val="22"/>
          <w:szCs w:val="22"/>
        </w:rPr>
        <w:t xml:space="preserve"> </w:t>
      </w:r>
      <w:r w:rsidRPr="0074623E">
        <w:rPr>
          <w:i/>
          <w:sz w:val="22"/>
          <w:szCs w:val="22"/>
        </w:rPr>
        <w:t>See Phase III Implementation Order</w:t>
      </w:r>
      <w:r w:rsidRPr="0074623E">
        <w:rPr>
          <w:sz w:val="22"/>
          <w:szCs w:val="22"/>
        </w:rPr>
        <w:t>. Pages 142-144</w:t>
      </w:r>
    </w:p>
  </w:footnote>
  <w:footnote w:id="103">
    <w:p w14:paraId="0EFF6ADF" w14:textId="6C966712" w:rsidR="00892889" w:rsidRPr="0074623E" w:rsidRDefault="00892889">
      <w:pPr>
        <w:pStyle w:val="FootnoteText"/>
        <w:rPr>
          <w:sz w:val="22"/>
          <w:szCs w:val="22"/>
        </w:rPr>
      </w:pPr>
      <w:r>
        <w:rPr>
          <w:rStyle w:val="FootnoteReference"/>
        </w:rPr>
        <w:footnoteRef/>
      </w:r>
      <w:r>
        <w:t xml:space="preserve">  </w:t>
      </w:r>
      <w:r w:rsidRPr="0074623E">
        <w:rPr>
          <w:i/>
          <w:sz w:val="22"/>
          <w:szCs w:val="22"/>
        </w:rPr>
        <w:t>See</w:t>
      </w:r>
      <w:r w:rsidRPr="0074623E">
        <w:rPr>
          <w:sz w:val="22"/>
          <w:szCs w:val="22"/>
        </w:rPr>
        <w:t xml:space="preserve"> </w:t>
      </w:r>
      <w:hyperlink r:id="rId15" w:history="1">
        <w:r w:rsidRPr="00B71261">
          <w:rPr>
            <w:rStyle w:val="Hyperlink"/>
            <w:sz w:val="22"/>
            <w:szCs w:val="22"/>
          </w:rPr>
          <w:t>http://www.puc.pa.gov/Electric/xls/Act129/SWE-Light_Metering_Study-AppendixB-Commercial_Load_Shapes.xlsx</w:t>
        </w:r>
      </w:hyperlink>
      <w:r>
        <w:rPr>
          <w:sz w:val="22"/>
          <w:szCs w:val="22"/>
        </w:rPr>
        <w:t xml:space="preserve"> </w:t>
      </w:r>
    </w:p>
  </w:footnote>
  <w:footnote w:id="104">
    <w:p w14:paraId="3D0EA00A" w14:textId="0EE08780" w:rsidR="00892889" w:rsidRDefault="00892889">
      <w:pPr>
        <w:pStyle w:val="FootnoteText"/>
      </w:pPr>
      <w:r w:rsidRPr="0074623E">
        <w:rPr>
          <w:rStyle w:val="FootnoteReference"/>
          <w:sz w:val="22"/>
          <w:szCs w:val="22"/>
        </w:rPr>
        <w:footnoteRef/>
      </w:r>
      <w:r w:rsidRPr="0074623E">
        <w:rPr>
          <w:sz w:val="22"/>
          <w:szCs w:val="22"/>
        </w:rPr>
        <w:t xml:space="preserve"> </w:t>
      </w:r>
      <w:r>
        <w:rPr>
          <w:sz w:val="22"/>
          <w:szCs w:val="22"/>
        </w:rPr>
        <w:t xml:space="preserve"> </w:t>
      </w:r>
      <w:r w:rsidRPr="0074623E">
        <w:rPr>
          <w:i/>
          <w:sz w:val="22"/>
          <w:szCs w:val="22"/>
        </w:rPr>
        <w:t>See</w:t>
      </w:r>
      <w:r w:rsidRPr="0074623E">
        <w:rPr>
          <w:sz w:val="22"/>
          <w:szCs w:val="22"/>
        </w:rPr>
        <w:t xml:space="preserve"> </w:t>
      </w:r>
      <w:hyperlink r:id="rId16" w:history="1">
        <w:r w:rsidRPr="0074623E">
          <w:rPr>
            <w:rStyle w:val="Hyperlink"/>
            <w:sz w:val="22"/>
            <w:szCs w:val="22"/>
          </w:rPr>
          <w:t>http://www.puc.pa.gov/pcdocs/1340978.pdf</w:t>
        </w:r>
      </w:hyperlink>
    </w:p>
  </w:footnote>
  <w:footnote w:id="105">
    <w:p w14:paraId="6633FAAB" w14:textId="4A5D054C" w:rsidR="00892889" w:rsidRDefault="00892889">
      <w:pPr>
        <w:pStyle w:val="FootnoteText"/>
      </w:pPr>
      <w:r>
        <w:rPr>
          <w:rStyle w:val="FootnoteReference"/>
        </w:rPr>
        <w:footnoteRef/>
      </w:r>
      <w:r>
        <w:t xml:space="preserve">  </w:t>
      </w:r>
      <w:r w:rsidRPr="0074623E">
        <w:rPr>
          <w:i/>
          <w:sz w:val="22"/>
          <w:szCs w:val="22"/>
        </w:rPr>
        <w:t>See</w:t>
      </w:r>
      <w:r w:rsidRPr="0074623E">
        <w:rPr>
          <w:sz w:val="22"/>
          <w:szCs w:val="22"/>
        </w:rPr>
        <w:t xml:space="preserve"> </w:t>
      </w:r>
      <w:r w:rsidRPr="0074623E">
        <w:rPr>
          <w:i/>
          <w:sz w:val="22"/>
          <w:szCs w:val="22"/>
        </w:rPr>
        <w:t>PJM Manual 18</w:t>
      </w:r>
      <w:r w:rsidRPr="0074623E">
        <w:rPr>
          <w:sz w:val="22"/>
          <w:szCs w:val="22"/>
        </w:rPr>
        <w:t xml:space="preserve"> pages 157-158. </w:t>
      </w:r>
      <w:hyperlink r:id="rId17" w:history="1">
        <w:r w:rsidRPr="0074623E">
          <w:rPr>
            <w:rStyle w:val="Hyperlink"/>
            <w:sz w:val="22"/>
            <w:szCs w:val="22"/>
          </w:rPr>
          <w:t>https://www.pjm.com/-/media/documents/manuals/m18.ashx</w:t>
        </w:r>
      </w:hyperlink>
    </w:p>
  </w:footnote>
  <w:footnote w:id="106">
    <w:p w14:paraId="70482654" w14:textId="06BE5067" w:rsidR="00892889" w:rsidRDefault="00892889">
      <w:pPr>
        <w:pStyle w:val="FootnoteText"/>
      </w:pPr>
      <w:r>
        <w:rPr>
          <w:rStyle w:val="FootnoteReference"/>
        </w:rPr>
        <w:footnoteRef/>
      </w:r>
      <w:r>
        <w:t xml:space="preserve">  </w:t>
      </w:r>
      <w:r w:rsidRPr="0082415C">
        <w:rPr>
          <w:i/>
          <w:sz w:val="22"/>
          <w:szCs w:val="22"/>
        </w:rPr>
        <w:t>See Phase I</w:t>
      </w:r>
      <w:r>
        <w:rPr>
          <w:i/>
          <w:sz w:val="22"/>
          <w:szCs w:val="22"/>
        </w:rPr>
        <w:t>I</w:t>
      </w:r>
      <w:r w:rsidRPr="0082415C">
        <w:rPr>
          <w:i/>
          <w:sz w:val="22"/>
          <w:szCs w:val="22"/>
        </w:rPr>
        <w:t>I Implementation Order</w:t>
      </w:r>
      <w:r w:rsidRPr="0082415C">
        <w:rPr>
          <w:sz w:val="22"/>
          <w:szCs w:val="22"/>
        </w:rPr>
        <w:t xml:space="preserve"> at page </w:t>
      </w:r>
      <w:r>
        <w:rPr>
          <w:sz w:val="22"/>
          <w:szCs w:val="22"/>
        </w:rPr>
        <w:t>149</w:t>
      </w:r>
      <w:r w:rsidRPr="0082415C">
        <w:rPr>
          <w:sz w:val="22"/>
          <w:szCs w:val="22"/>
        </w:rPr>
        <w:t>.</w:t>
      </w:r>
    </w:p>
  </w:footnote>
  <w:footnote w:id="107">
    <w:p w14:paraId="078283C4" w14:textId="3D413FE9" w:rsidR="00892889" w:rsidRPr="0082415C"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Due to the timing of the filing, the reconciliation statement will contain 10 months of revenues and expenses.  The remaining two months of </w:t>
      </w:r>
      <w:r>
        <w:rPr>
          <w:sz w:val="22"/>
          <w:szCs w:val="22"/>
        </w:rPr>
        <w:t>Program Year 12</w:t>
      </w:r>
      <w:r w:rsidRPr="0082415C">
        <w:rPr>
          <w:sz w:val="22"/>
          <w:szCs w:val="22"/>
        </w:rPr>
        <w:t xml:space="preserve"> will be reconciled with the </w:t>
      </w:r>
      <w:r>
        <w:rPr>
          <w:sz w:val="22"/>
          <w:szCs w:val="22"/>
        </w:rPr>
        <w:t>Program Year 13</w:t>
      </w:r>
      <w:r w:rsidRPr="0082415C">
        <w:rPr>
          <w:sz w:val="22"/>
          <w:szCs w:val="22"/>
        </w:rPr>
        <w:t xml:space="preserve"> revenues and expenses.</w:t>
      </w:r>
    </w:p>
  </w:footnote>
  <w:footnote w:id="108">
    <w:p w14:paraId="3505B9CA" w14:textId="51D70F36" w:rsidR="00892889" w:rsidRPr="0082415C" w:rsidRDefault="00892889" w:rsidP="0082415C">
      <w:pPr>
        <w:pStyle w:val="FootnoteText"/>
        <w:rPr>
          <w:sz w:val="22"/>
          <w:szCs w:val="22"/>
        </w:rPr>
      </w:pPr>
      <w:r w:rsidRPr="0082415C">
        <w:rPr>
          <w:rStyle w:val="FootnoteReference"/>
          <w:sz w:val="22"/>
          <w:szCs w:val="22"/>
        </w:rPr>
        <w:footnoteRef/>
      </w:r>
      <w:r w:rsidRPr="0082415C">
        <w:rPr>
          <w:sz w:val="22"/>
          <w:szCs w:val="22"/>
        </w:rPr>
        <w:t xml:space="preserve"> </w:t>
      </w:r>
      <w:r>
        <w:rPr>
          <w:sz w:val="22"/>
          <w:szCs w:val="22"/>
        </w:rPr>
        <w:t xml:space="preserve"> </w:t>
      </w:r>
      <w:hyperlink r:id="rId18" w:history="1">
        <w:r w:rsidRPr="00DA3F58">
          <w:rPr>
            <w:rStyle w:val="Hyperlink"/>
            <w:sz w:val="22"/>
            <w:szCs w:val="22"/>
          </w:rPr>
          <w:t>http://www.puc.pa.gov/filing_resources/issues_laws_regulations/act_129_information/energy_efficiency_and_conservation_ee_c_program.aspx</w:t>
        </w:r>
      </w:hyperlink>
      <w:r>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8AF00" w14:textId="77777777" w:rsidR="00892889" w:rsidRDefault="00892889" w:rsidP="003330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892889" w14:paraId="3978E04D" w14:textId="77777777" w:rsidTr="3EC46F60">
      <w:tc>
        <w:tcPr>
          <w:tcW w:w="3120" w:type="dxa"/>
        </w:tcPr>
        <w:p w14:paraId="79380D05" w14:textId="5B937D37" w:rsidR="00892889" w:rsidRDefault="00892889" w:rsidP="3EC46F60">
          <w:pPr>
            <w:pStyle w:val="Header"/>
            <w:ind w:left="-115"/>
          </w:pPr>
        </w:p>
      </w:tc>
      <w:tc>
        <w:tcPr>
          <w:tcW w:w="3120" w:type="dxa"/>
        </w:tcPr>
        <w:p w14:paraId="75514735" w14:textId="385379F3" w:rsidR="00892889" w:rsidRDefault="00892889" w:rsidP="3EC46F60">
          <w:pPr>
            <w:pStyle w:val="Header"/>
            <w:jc w:val="center"/>
          </w:pPr>
        </w:p>
      </w:tc>
      <w:tc>
        <w:tcPr>
          <w:tcW w:w="3120" w:type="dxa"/>
        </w:tcPr>
        <w:p w14:paraId="304E2B6F" w14:textId="421CB69A" w:rsidR="00892889" w:rsidRDefault="00892889" w:rsidP="3EC46F60">
          <w:pPr>
            <w:pStyle w:val="Header"/>
            <w:ind w:right="-115"/>
            <w:jc w:val="right"/>
          </w:pPr>
        </w:p>
      </w:tc>
    </w:tr>
  </w:tbl>
  <w:p w14:paraId="3E364936" w14:textId="047070BA" w:rsidR="00892889" w:rsidRDefault="00892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4F9F"/>
    <w:multiLevelType w:val="hybridMultilevel"/>
    <w:tmpl w:val="ABE271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03C3A"/>
    <w:multiLevelType w:val="hybridMultilevel"/>
    <w:tmpl w:val="73EA53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932D2"/>
    <w:multiLevelType w:val="hybridMultilevel"/>
    <w:tmpl w:val="B576095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B5FBB"/>
    <w:multiLevelType w:val="hybridMultilevel"/>
    <w:tmpl w:val="B742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65AE2"/>
    <w:multiLevelType w:val="hybridMultilevel"/>
    <w:tmpl w:val="97BEC2DE"/>
    <w:lvl w:ilvl="0" w:tplc="B4268782">
      <w:start w:val="1"/>
      <w:numFmt w:val="decimal"/>
      <w:pStyle w:val="Heading3"/>
      <w:lvlText w:val="%1."/>
      <w:lvlJc w:val="left"/>
      <w:pPr>
        <w:ind w:left="1080" w:hanging="360"/>
      </w:pPr>
      <w:rPr>
        <w:rFonts w:hint="default"/>
        <w:b/>
      </w:rPr>
    </w:lvl>
    <w:lvl w:ilvl="1" w:tplc="59A4819C">
      <w:start w:val="1"/>
      <w:numFmt w:val="lowerLetter"/>
      <w:pStyle w:val="Heading4"/>
      <w:lvlText w:val="%2."/>
      <w:lvlJc w:val="left"/>
      <w:pPr>
        <w:ind w:left="180" w:hanging="360"/>
      </w:pPr>
      <w:rPr>
        <w:b/>
      </w:rPr>
    </w:lvl>
    <w:lvl w:ilvl="2" w:tplc="0409001B">
      <w:start w:val="1"/>
      <w:numFmt w:val="lowerRoman"/>
      <w:lvlText w:val="%3."/>
      <w:lvlJc w:val="right"/>
      <w:pPr>
        <w:ind w:left="990" w:hanging="180"/>
      </w:pPr>
    </w:lvl>
    <w:lvl w:ilvl="3" w:tplc="628AE6E0">
      <w:numFmt w:val="bullet"/>
      <w:lvlText w:val="•"/>
      <w:lvlJc w:val="left"/>
      <w:pPr>
        <w:ind w:left="1710" w:hanging="360"/>
      </w:pPr>
      <w:rPr>
        <w:rFonts w:ascii="Times New Roman" w:eastAsia="Times New Roman" w:hAnsi="Times New Roman" w:cs="Times New Roman" w:hint="default"/>
      </w:r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5" w15:restartNumberingAfterBreak="0">
    <w:nsid w:val="1786132B"/>
    <w:multiLevelType w:val="hybridMultilevel"/>
    <w:tmpl w:val="1D3C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E29F2"/>
    <w:multiLevelType w:val="hybridMultilevel"/>
    <w:tmpl w:val="C5501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A7B8B"/>
    <w:multiLevelType w:val="hybridMultilevel"/>
    <w:tmpl w:val="6D82815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B09CC"/>
    <w:multiLevelType w:val="hybridMultilevel"/>
    <w:tmpl w:val="EBFCDC5E"/>
    <w:lvl w:ilvl="0" w:tplc="BC327C40">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52F95"/>
    <w:multiLevelType w:val="hybridMultilevel"/>
    <w:tmpl w:val="4B904370"/>
    <w:lvl w:ilvl="0" w:tplc="BC327C40">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9270D3"/>
    <w:multiLevelType w:val="hybridMultilevel"/>
    <w:tmpl w:val="4C62A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3D1A3C"/>
    <w:multiLevelType w:val="hybridMultilevel"/>
    <w:tmpl w:val="47EE081C"/>
    <w:lvl w:ilvl="0" w:tplc="2050041E">
      <w:start w:val="1"/>
      <w:numFmt w:val="lowerRoman"/>
      <w:pStyle w:val="Heading5"/>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4170DCC"/>
    <w:multiLevelType w:val="hybridMultilevel"/>
    <w:tmpl w:val="FFA8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F1DF5"/>
    <w:multiLevelType w:val="hybridMultilevel"/>
    <w:tmpl w:val="1E483564"/>
    <w:lvl w:ilvl="0" w:tplc="CB88DEA0">
      <w:start w:val="1"/>
      <w:numFmt w:val="upperLetter"/>
      <w:pStyle w:val="Heading2"/>
      <w:lvlText w:val="%1."/>
      <w:lvlJc w:val="left"/>
      <w:pPr>
        <w:ind w:left="720" w:hanging="360"/>
      </w:pPr>
      <w:rPr>
        <w:rFonts w:hint="default"/>
        <w:b/>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8128565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E0C2A"/>
    <w:multiLevelType w:val="hybridMultilevel"/>
    <w:tmpl w:val="B5AC34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3A761E6"/>
    <w:multiLevelType w:val="hybridMultilevel"/>
    <w:tmpl w:val="AC42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01B17"/>
    <w:multiLevelType w:val="hybridMultilevel"/>
    <w:tmpl w:val="04DA606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203CE"/>
    <w:multiLevelType w:val="hybridMultilevel"/>
    <w:tmpl w:val="D5D4AB3A"/>
    <w:lvl w:ilvl="0" w:tplc="8446E890">
      <w:start w:val="1"/>
      <w:numFmt w:val="lowerRoman"/>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015C9E"/>
    <w:multiLevelType w:val="hybridMultilevel"/>
    <w:tmpl w:val="BE6002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73DC0078"/>
    <w:multiLevelType w:val="hybridMultilevel"/>
    <w:tmpl w:val="C4E8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37BAC"/>
    <w:multiLevelType w:val="hybridMultilevel"/>
    <w:tmpl w:val="38D6D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2B7C13"/>
    <w:multiLevelType w:val="hybridMultilevel"/>
    <w:tmpl w:val="6ECE3A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18"/>
  </w:num>
  <w:num w:numId="4">
    <w:abstractNumId w:val="11"/>
  </w:num>
  <w:num w:numId="5">
    <w:abstractNumId w:val="13"/>
  </w:num>
  <w:num w:numId="6">
    <w:abstractNumId w:val="4"/>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5"/>
  </w:num>
  <w:num w:numId="14">
    <w:abstractNumId w:val="10"/>
  </w:num>
  <w:num w:numId="15">
    <w:abstractNumId w:val="4"/>
    <w:lvlOverride w:ilvl="0">
      <w:startOverride w:val="1"/>
    </w:lvlOverride>
  </w:num>
  <w:num w:numId="16">
    <w:abstractNumId w:val="21"/>
  </w:num>
  <w:num w:numId="17">
    <w:abstractNumId w:val="15"/>
  </w:num>
  <w:num w:numId="18">
    <w:abstractNumId w:val="12"/>
  </w:num>
  <w:num w:numId="19">
    <w:abstractNumId w:val="4"/>
    <w:lvlOverride w:ilvl="0">
      <w:startOverride w:val="1"/>
    </w:lvlOverride>
  </w:num>
  <w:num w:numId="20">
    <w:abstractNumId w:val="3"/>
  </w:num>
  <w:num w:numId="21">
    <w:abstractNumId w:val="1"/>
  </w:num>
  <w:num w:numId="22">
    <w:abstractNumId w:val="4"/>
    <w:lvlOverride w:ilvl="0">
      <w:startOverride w:val="1"/>
    </w:lvlOverride>
  </w:num>
  <w:num w:numId="23">
    <w:abstractNumId w:val="4"/>
  </w:num>
  <w:num w:numId="24">
    <w:abstractNumId w:val="4"/>
    <w:lvlOverride w:ilvl="0">
      <w:startOverride w:val="1"/>
    </w:lvlOverride>
  </w:num>
  <w:num w:numId="25">
    <w:abstractNumId w:val="4"/>
  </w:num>
  <w:num w:numId="26">
    <w:abstractNumId w:val="20"/>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6"/>
  </w:num>
  <w:num w:numId="31">
    <w:abstractNumId w:val="7"/>
  </w:num>
  <w:num w:numId="32">
    <w:abstractNumId w:val="14"/>
  </w:num>
  <w:num w:numId="33">
    <w:abstractNumId w:val="2"/>
  </w:num>
  <w:num w:numId="34">
    <w:abstractNumId w:val="8"/>
  </w:num>
  <w:num w:numId="35">
    <w:abstractNumId w:val="16"/>
  </w:num>
  <w:num w:numId="36">
    <w:abstractNumId w:val="0"/>
  </w:num>
  <w:num w:numId="37">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0sTQwNTMyMjcxN7dU0lEKTi0uzszPAykwrAUAUJ3QEiwAAAA="/>
  </w:docVars>
  <w:rsids>
    <w:rsidRoot w:val="002719B7"/>
    <w:rsid w:val="000001EA"/>
    <w:rsid w:val="00000422"/>
    <w:rsid w:val="0000045C"/>
    <w:rsid w:val="00000473"/>
    <w:rsid w:val="000005D2"/>
    <w:rsid w:val="0000095A"/>
    <w:rsid w:val="00000985"/>
    <w:rsid w:val="00000A01"/>
    <w:rsid w:val="00000FEB"/>
    <w:rsid w:val="000010A2"/>
    <w:rsid w:val="00001104"/>
    <w:rsid w:val="000011F8"/>
    <w:rsid w:val="00001208"/>
    <w:rsid w:val="00001389"/>
    <w:rsid w:val="00001587"/>
    <w:rsid w:val="000017BF"/>
    <w:rsid w:val="00001A1A"/>
    <w:rsid w:val="00001C6D"/>
    <w:rsid w:val="00001E5E"/>
    <w:rsid w:val="00001ED7"/>
    <w:rsid w:val="00002060"/>
    <w:rsid w:val="00002080"/>
    <w:rsid w:val="0000219C"/>
    <w:rsid w:val="000027A0"/>
    <w:rsid w:val="0000287E"/>
    <w:rsid w:val="000029DE"/>
    <w:rsid w:val="000029EB"/>
    <w:rsid w:val="00002B29"/>
    <w:rsid w:val="00003240"/>
    <w:rsid w:val="000032FA"/>
    <w:rsid w:val="000034FD"/>
    <w:rsid w:val="00003638"/>
    <w:rsid w:val="000037D3"/>
    <w:rsid w:val="0000388F"/>
    <w:rsid w:val="000038C3"/>
    <w:rsid w:val="00003CB8"/>
    <w:rsid w:val="00003D51"/>
    <w:rsid w:val="00003F56"/>
    <w:rsid w:val="00004004"/>
    <w:rsid w:val="0000406E"/>
    <w:rsid w:val="000041B1"/>
    <w:rsid w:val="000046C2"/>
    <w:rsid w:val="00004944"/>
    <w:rsid w:val="000049CC"/>
    <w:rsid w:val="00004D01"/>
    <w:rsid w:val="00004E1D"/>
    <w:rsid w:val="00004FE6"/>
    <w:rsid w:val="000050AE"/>
    <w:rsid w:val="000051ED"/>
    <w:rsid w:val="00005217"/>
    <w:rsid w:val="000053E9"/>
    <w:rsid w:val="000055F2"/>
    <w:rsid w:val="00005657"/>
    <w:rsid w:val="00005C00"/>
    <w:rsid w:val="00005D62"/>
    <w:rsid w:val="00005F24"/>
    <w:rsid w:val="00006485"/>
    <w:rsid w:val="0000660E"/>
    <w:rsid w:val="00006857"/>
    <w:rsid w:val="00006881"/>
    <w:rsid w:val="000069A6"/>
    <w:rsid w:val="00006F3B"/>
    <w:rsid w:val="00006F46"/>
    <w:rsid w:val="000079DD"/>
    <w:rsid w:val="00007A11"/>
    <w:rsid w:val="00007A3F"/>
    <w:rsid w:val="00007AF2"/>
    <w:rsid w:val="00007B62"/>
    <w:rsid w:val="00007CCE"/>
    <w:rsid w:val="00010272"/>
    <w:rsid w:val="00010370"/>
    <w:rsid w:val="00010A35"/>
    <w:rsid w:val="00010B29"/>
    <w:rsid w:val="00010BF9"/>
    <w:rsid w:val="00010CEC"/>
    <w:rsid w:val="00010DAE"/>
    <w:rsid w:val="0001121F"/>
    <w:rsid w:val="00011399"/>
    <w:rsid w:val="0001155C"/>
    <w:rsid w:val="0001165D"/>
    <w:rsid w:val="00011EC6"/>
    <w:rsid w:val="00011F7A"/>
    <w:rsid w:val="00012010"/>
    <w:rsid w:val="000122BD"/>
    <w:rsid w:val="000124FD"/>
    <w:rsid w:val="0001267C"/>
    <w:rsid w:val="000126CE"/>
    <w:rsid w:val="00012AA6"/>
    <w:rsid w:val="00012B02"/>
    <w:rsid w:val="00012D56"/>
    <w:rsid w:val="00012F84"/>
    <w:rsid w:val="00012FC7"/>
    <w:rsid w:val="0001313D"/>
    <w:rsid w:val="000134D4"/>
    <w:rsid w:val="00013528"/>
    <w:rsid w:val="0001380F"/>
    <w:rsid w:val="00013CCF"/>
    <w:rsid w:val="00013EF3"/>
    <w:rsid w:val="00013F1B"/>
    <w:rsid w:val="000140B8"/>
    <w:rsid w:val="0001438E"/>
    <w:rsid w:val="0001463F"/>
    <w:rsid w:val="00014685"/>
    <w:rsid w:val="00014BA1"/>
    <w:rsid w:val="00014E0D"/>
    <w:rsid w:val="00014E4F"/>
    <w:rsid w:val="00014ECB"/>
    <w:rsid w:val="00014F43"/>
    <w:rsid w:val="00015003"/>
    <w:rsid w:val="000152EB"/>
    <w:rsid w:val="0001541C"/>
    <w:rsid w:val="0001547B"/>
    <w:rsid w:val="0001549A"/>
    <w:rsid w:val="0001552C"/>
    <w:rsid w:val="00015D0E"/>
    <w:rsid w:val="00015D3E"/>
    <w:rsid w:val="00015FAE"/>
    <w:rsid w:val="00016023"/>
    <w:rsid w:val="0001643B"/>
    <w:rsid w:val="0001662F"/>
    <w:rsid w:val="00016930"/>
    <w:rsid w:val="00016B0B"/>
    <w:rsid w:val="00016D8E"/>
    <w:rsid w:val="00016E35"/>
    <w:rsid w:val="00016EC3"/>
    <w:rsid w:val="00017040"/>
    <w:rsid w:val="00017359"/>
    <w:rsid w:val="00017A74"/>
    <w:rsid w:val="00017FFD"/>
    <w:rsid w:val="0002002E"/>
    <w:rsid w:val="000202EC"/>
    <w:rsid w:val="000205B8"/>
    <w:rsid w:val="000205BB"/>
    <w:rsid w:val="00020F63"/>
    <w:rsid w:val="00021037"/>
    <w:rsid w:val="00021755"/>
    <w:rsid w:val="00021A1B"/>
    <w:rsid w:val="00021B58"/>
    <w:rsid w:val="00021D1B"/>
    <w:rsid w:val="00021FD4"/>
    <w:rsid w:val="000221DF"/>
    <w:rsid w:val="00022350"/>
    <w:rsid w:val="00022436"/>
    <w:rsid w:val="00022883"/>
    <w:rsid w:val="00022E68"/>
    <w:rsid w:val="00022E7A"/>
    <w:rsid w:val="000232C2"/>
    <w:rsid w:val="000236D4"/>
    <w:rsid w:val="0002377E"/>
    <w:rsid w:val="00023CAF"/>
    <w:rsid w:val="000243A3"/>
    <w:rsid w:val="0002459A"/>
    <w:rsid w:val="00024785"/>
    <w:rsid w:val="00024BB2"/>
    <w:rsid w:val="00024C7A"/>
    <w:rsid w:val="00024DF9"/>
    <w:rsid w:val="00024F1A"/>
    <w:rsid w:val="0002517C"/>
    <w:rsid w:val="000254A6"/>
    <w:rsid w:val="00025965"/>
    <w:rsid w:val="000259F5"/>
    <w:rsid w:val="00025A20"/>
    <w:rsid w:val="00025C3F"/>
    <w:rsid w:val="00025E6B"/>
    <w:rsid w:val="00025EB5"/>
    <w:rsid w:val="00025FE7"/>
    <w:rsid w:val="000260B6"/>
    <w:rsid w:val="000264FA"/>
    <w:rsid w:val="00026562"/>
    <w:rsid w:val="00026722"/>
    <w:rsid w:val="0002683F"/>
    <w:rsid w:val="00026B0F"/>
    <w:rsid w:val="00026B1E"/>
    <w:rsid w:val="00026B4F"/>
    <w:rsid w:val="00027250"/>
    <w:rsid w:val="00027B25"/>
    <w:rsid w:val="00027D6B"/>
    <w:rsid w:val="00027EBF"/>
    <w:rsid w:val="00027EC0"/>
    <w:rsid w:val="000301DC"/>
    <w:rsid w:val="00030541"/>
    <w:rsid w:val="0003082A"/>
    <w:rsid w:val="0003088A"/>
    <w:rsid w:val="00030927"/>
    <w:rsid w:val="00030A36"/>
    <w:rsid w:val="00030A55"/>
    <w:rsid w:val="00030CF3"/>
    <w:rsid w:val="00030D31"/>
    <w:rsid w:val="00030D43"/>
    <w:rsid w:val="00030D55"/>
    <w:rsid w:val="00030E0F"/>
    <w:rsid w:val="00030EDD"/>
    <w:rsid w:val="00030FEA"/>
    <w:rsid w:val="0003108E"/>
    <w:rsid w:val="000310BB"/>
    <w:rsid w:val="0003111F"/>
    <w:rsid w:val="000313CE"/>
    <w:rsid w:val="0003183F"/>
    <w:rsid w:val="0003186D"/>
    <w:rsid w:val="00031925"/>
    <w:rsid w:val="00031E15"/>
    <w:rsid w:val="0003224F"/>
    <w:rsid w:val="00032493"/>
    <w:rsid w:val="000329B7"/>
    <w:rsid w:val="000329E6"/>
    <w:rsid w:val="00032CBB"/>
    <w:rsid w:val="00032D7E"/>
    <w:rsid w:val="00032EB7"/>
    <w:rsid w:val="00033210"/>
    <w:rsid w:val="00033757"/>
    <w:rsid w:val="0003393D"/>
    <w:rsid w:val="00033981"/>
    <w:rsid w:val="0003496A"/>
    <w:rsid w:val="00034B44"/>
    <w:rsid w:val="00034BB5"/>
    <w:rsid w:val="00034C01"/>
    <w:rsid w:val="00034EC8"/>
    <w:rsid w:val="00034F9F"/>
    <w:rsid w:val="000352BD"/>
    <w:rsid w:val="000354E3"/>
    <w:rsid w:val="00035DBB"/>
    <w:rsid w:val="00036060"/>
    <w:rsid w:val="0003649B"/>
    <w:rsid w:val="000367A9"/>
    <w:rsid w:val="00036A6F"/>
    <w:rsid w:val="00036BAD"/>
    <w:rsid w:val="00036C16"/>
    <w:rsid w:val="00036FAE"/>
    <w:rsid w:val="00037642"/>
    <w:rsid w:val="0003790E"/>
    <w:rsid w:val="00037CE1"/>
    <w:rsid w:val="00037DF8"/>
    <w:rsid w:val="000401C6"/>
    <w:rsid w:val="000402EA"/>
    <w:rsid w:val="000404B0"/>
    <w:rsid w:val="00040599"/>
    <w:rsid w:val="000410D7"/>
    <w:rsid w:val="000411BE"/>
    <w:rsid w:val="00041470"/>
    <w:rsid w:val="000417E7"/>
    <w:rsid w:val="000418E3"/>
    <w:rsid w:val="0004197E"/>
    <w:rsid w:val="00041C71"/>
    <w:rsid w:val="00041D18"/>
    <w:rsid w:val="00041E90"/>
    <w:rsid w:val="00041E94"/>
    <w:rsid w:val="000420D4"/>
    <w:rsid w:val="000421AB"/>
    <w:rsid w:val="00042420"/>
    <w:rsid w:val="000425A3"/>
    <w:rsid w:val="00042942"/>
    <w:rsid w:val="00042955"/>
    <w:rsid w:val="00042C40"/>
    <w:rsid w:val="0004300B"/>
    <w:rsid w:val="00043493"/>
    <w:rsid w:val="000437C4"/>
    <w:rsid w:val="000439C7"/>
    <w:rsid w:val="000439E3"/>
    <w:rsid w:val="00043E17"/>
    <w:rsid w:val="00043FA7"/>
    <w:rsid w:val="000440B1"/>
    <w:rsid w:val="00044332"/>
    <w:rsid w:val="00044387"/>
    <w:rsid w:val="000443FC"/>
    <w:rsid w:val="00044758"/>
    <w:rsid w:val="00044B00"/>
    <w:rsid w:val="00044B11"/>
    <w:rsid w:val="00044B59"/>
    <w:rsid w:val="00044D50"/>
    <w:rsid w:val="00044DAA"/>
    <w:rsid w:val="00044DBA"/>
    <w:rsid w:val="00044F17"/>
    <w:rsid w:val="000450CA"/>
    <w:rsid w:val="00045544"/>
    <w:rsid w:val="00045912"/>
    <w:rsid w:val="00045AB3"/>
    <w:rsid w:val="00045BAE"/>
    <w:rsid w:val="00045BF3"/>
    <w:rsid w:val="00045C32"/>
    <w:rsid w:val="00045C5D"/>
    <w:rsid w:val="00045D10"/>
    <w:rsid w:val="00045FDC"/>
    <w:rsid w:val="000465C9"/>
    <w:rsid w:val="00046609"/>
    <w:rsid w:val="0004675E"/>
    <w:rsid w:val="00046AFE"/>
    <w:rsid w:val="00046B3A"/>
    <w:rsid w:val="00046C3F"/>
    <w:rsid w:val="00046C88"/>
    <w:rsid w:val="00046CDD"/>
    <w:rsid w:val="00046E78"/>
    <w:rsid w:val="00046EA7"/>
    <w:rsid w:val="00046F38"/>
    <w:rsid w:val="00046F3B"/>
    <w:rsid w:val="00047BC7"/>
    <w:rsid w:val="00047F0C"/>
    <w:rsid w:val="0005027D"/>
    <w:rsid w:val="000507F1"/>
    <w:rsid w:val="0005091B"/>
    <w:rsid w:val="00050998"/>
    <w:rsid w:val="00050B50"/>
    <w:rsid w:val="00050F03"/>
    <w:rsid w:val="00050F26"/>
    <w:rsid w:val="00051099"/>
    <w:rsid w:val="0005109F"/>
    <w:rsid w:val="000510E3"/>
    <w:rsid w:val="000510F6"/>
    <w:rsid w:val="000514BB"/>
    <w:rsid w:val="00051727"/>
    <w:rsid w:val="00051B20"/>
    <w:rsid w:val="00051BC3"/>
    <w:rsid w:val="00051D0C"/>
    <w:rsid w:val="00051D46"/>
    <w:rsid w:val="00051EF2"/>
    <w:rsid w:val="00051F51"/>
    <w:rsid w:val="00051FFA"/>
    <w:rsid w:val="0005209D"/>
    <w:rsid w:val="0005251E"/>
    <w:rsid w:val="00052698"/>
    <w:rsid w:val="00052EB7"/>
    <w:rsid w:val="00053112"/>
    <w:rsid w:val="00053319"/>
    <w:rsid w:val="00053B95"/>
    <w:rsid w:val="00053BD2"/>
    <w:rsid w:val="00053DC8"/>
    <w:rsid w:val="0005416A"/>
    <w:rsid w:val="000543D6"/>
    <w:rsid w:val="000546C3"/>
    <w:rsid w:val="00054806"/>
    <w:rsid w:val="00054B76"/>
    <w:rsid w:val="00054C02"/>
    <w:rsid w:val="00054D1F"/>
    <w:rsid w:val="00054E48"/>
    <w:rsid w:val="00054EC5"/>
    <w:rsid w:val="00054EE8"/>
    <w:rsid w:val="000550FE"/>
    <w:rsid w:val="00055288"/>
    <w:rsid w:val="00055349"/>
    <w:rsid w:val="000553A3"/>
    <w:rsid w:val="00055435"/>
    <w:rsid w:val="00055510"/>
    <w:rsid w:val="000555B8"/>
    <w:rsid w:val="000557CB"/>
    <w:rsid w:val="000558AB"/>
    <w:rsid w:val="00055A1F"/>
    <w:rsid w:val="00055AB2"/>
    <w:rsid w:val="00055D0E"/>
    <w:rsid w:val="00055DC2"/>
    <w:rsid w:val="00055E94"/>
    <w:rsid w:val="000561AC"/>
    <w:rsid w:val="00056A4D"/>
    <w:rsid w:val="00056C7D"/>
    <w:rsid w:val="00057232"/>
    <w:rsid w:val="0005732D"/>
    <w:rsid w:val="0005777B"/>
    <w:rsid w:val="000578C5"/>
    <w:rsid w:val="00057906"/>
    <w:rsid w:val="00057C40"/>
    <w:rsid w:val="00057CEE"/>
    <w:rsid w:val="000600A5"/>
    <w:rsid w:val="000600E0"/>
    <w:rsid w:val="00060446"/>
    <w:rsid w:val="00060881"/>
    <w:rsid w:val="0006096C"/>
    <w:rsid w:val="00060B3E"/>
    <w:rsid w:val="00060C60"/>
    <w:rsid w:val="00060F68"/>
    <w:rsid w:val="00061252"/>
    <w:rsid w:val="000616DC"/>
    <w:rsid w:val="00061CE5"/>
    <w:rsid w:val="000621F1"/>
    <w:rsid w:val="0006272F"/>
    <w:rsid w:val="000628B9"/>
    <w:rsid w:val="00062A9D"/>
    <w:rsid w:val="00062C48"/>
    <w:rsid w:val="00062D76"/>
    <w:rsid w:val="00063191"/>
    <w:rsid w:val="000631B1"/>
    <w:rsid w:val="000637D4"/>
    <w:rsid w:val="00063E06"/>
    <w:rsid w:val="00063E46"/>
    <w:rsid w:val="00064105"/>
    <w:rsid w:val="0006448F"/>
    <w:rsid w:val="000645A5"/>
    <w:rsid w:val="00064B1F"/>
    <w:rsid w:val="00064BD4"/>
    <w:rsid w:val="00064BD9"/>
    <w:rsid w:val="00065310"/>
    <w:rsid w:val="00065525"/>
    <w:rsid w:val="00065797"/>
    <w:rsid w:val="000659AF"/>
    <w:rsid w:val="00065F8C"/>
    <w:rsid w:val="00065F9A"/>
    <w:rsid w:val="000660C0"/>
    <w:rsid w:val="00066103"/>
    <w:rsid w:val="000665D3"/>
    <w:rsid w:val="00067171"/>
    <w:rsid w:val="000672B2"/>
    <w:rsid w:val="000675DD"/>
    <w:rsid w:val="00067E04"/>
    <w:rsid w:val="00067E3A"/>
    <w:rsid w:val="00067F27"/>
    <w:rsid w:val="00070121"/>
    <w:rsid w:val="00070179"/>
    <w:rsid w:val="000701EF"/>
    <w:rsid w:val="0007021B"/>
    <w:rsid w:val="00070709"/>
    <w:rsid w:val="000707B7"/>
    <w:rsid w:val="0007097B"/>
    <w:rsid w:val="00070E03"/>
    <w:rsid w:val="00070FF5"/>
    <w:rsid w:val="000714FE"/>
    <w:rsid w:val="00071ACB"/>
    <w:rsid w:val="00071C3B"/>
    <w:rsid w:val="00072281"/>
    <w:rsid w:val="00072364"/>
    <w:rsid w:val="0007241C"/>
    <w:rsid w:val="0007241E"/>
    <w:rsid w:val="0007252C"/>
    <w:rsid w:val="000728E1"/>
    <w:rsid w:val="000728E5"/>
    <w:rsid w:val="00072A2E"/>
    <w:rsid w:val="00072B0D"/>
    <w:rsid w:val="00072D6E"/>
    <w:rsid w:val="0007307A"/>
    <w:rsid w:val="0007311C"/>
    <w:rsid w:val="00073534"/>
    <w:rsid w:val="00073569"/>
    <w:rsid w:val="0007368D"/>
    <w:rsid w:val="000737A5"/>
    <w:rsid w:val="00073854"/>
    <w:rsid w:val="00073939"/>
    <w:rsid w:val="00073AC6"/>
    <w:rsid w:val="00074026"/>
    <w:rsid w:val="00074164"/>
    <w:rsid w:val="00074245"/>
    <w:rsid w:val="00074272"/>
    <w:rsid w:val="000742E4"/>
    <w:rsid w:val="000742FF"/>
    <w:rsid w:val="0007441E"/>
    <w:rsid w:val="00074702"/>
    <w:rsid w:val="00074769"/>
    <w:rsid w:val="000748A8"/>
    <w:rsid w:val="000749D4"/>
    <w:rsid w:val="00074A6F"/>
    <w:rsid w:val="00074ED4"/>
    <w:rsid w:val="00074F49"/>
    <w:rsid w:val="00075454"/>
    <w:rsid w:val="00075478"/>
    <w:rsid w:val="00075A9F"/>
    <w:rsid w:val="00075D12"/>
    <w:rsid w:val="00075D54"/>
    <w:rsid w:val="00075F96"/>
    <w:rsid w:val="00076108"/>
    <w:rsid w:val="00076328"/>
    <w:rsid w:val="00076372"/>
    <w:rsid w:val="00076463"/>
    <w:rsid w:val="0007656C"/>
    <w:rsid w:val="00076826"/>
    <w:rsid w:val="00076F28"/>
    <w:rsid w:val="00077105"/>
    <w:rsid w:val="000771BF"/>
    <w:rsid w:val="00077786"/>
    <w:rsid w:val="0007782B"/>
    <w:rsid w:val="000779AD"/>
    <w:rsid w:val="00077B9F"/>
    <w:rsid w:val="00077CF4"/>
    <w:rsid w:val="0008035A"/>
    <w:rsid w:val="00080469"/>
    <w:rsid w:val="0008078E"/>
    <w:rsid w:val="000808B7"/>
    <w:rsid w:val="00080922"/>
    <w:rsid w:val="00080ABF"/>
    <w:rsid w:val="00080E55"/>
    <w:rsid w:val="0008114A"/>
    <w:rsid w:val="000813BF"/>
    <w:rsid w:val="00081886"/>
    <w:rsid w:val="00081D52"/>
    <w:rsid w:val="0008204F"/>
    <w:rsid w:val="000821DC"/>
    <w:rsid w:val="00082411"/>
    <w:rsid w:val="00082849"/>
    <w:rsid w:val="00082B0B"/>
    <w:rsid w:val="00082E62"/>
    <w:rsid w:val="00082F8F"/>
    <w:rsid w:val="000831B1"/>
    <w:rsid w:val="00083595"/>
    <w:rsid w:val="0008360E"/>
    <w:rsid w:val="00083707"/>
    <w:rsid w:val="0008398E"/>
    <w:rsid w:val="00083B75"/>
    <w:rsid w:val="00083BB9"/>
    <w:rsid w:val="00083C29"/>
    <w:rsid w:val="00083EB7"/>
    <w:rsid w:val="000842F7"/>
    <w:rsid w:val="0008446E"/>
    <w:rsid w:val="00084808"/>
    <w:rsid w:val="00084CDB"/>
    <w:rsid w:val="00084CFA"/>
    <w:rsid w:val="00084E24"/>
    <w:rsid w:val="00084F67"/>
    <w:rsid w:val="000853CD"/>
    <w:rsid w:val="0008550D"/>
    <w:rsid w:val="00085654"/>
    <w:rsid w:val="000859D7"/>
    <w:rsid w:val="000859F3"/>
    <w:rsid w:val="00085DA5"/>
    <w:rsid w:val="00085E18"/>
    <w:rsid w:val="0008641D"/>
    <w:rsid w:val="000866DD"/>
    <w:rsid w:val="0008674E"/>
    <w:rsid w:val="00086897"/>
    <w:rsid w:val="000868C2"/>
    <w:rsid w:val="000868D2"/>
    <w:rsid w:val="00086A32"/>
    <w:rsid w:val="00086B52"/>
    <w:rsid w:val="00086B5F"/>
    <w:rsid w:val="00086C34"/>
    <w:rsid w:val="00086E17"/>
    <w:rsid w:val="00086EE4"/>
    <w:rsid w:val="00087307"/>
    <w:rsid w:val="00087794"/>
    <w:rsid w:val="00087AF4"/>
    <w:rsid w:val="000905E6"/>
    <w:rsid w:val="00090CC8"/>
    <w:rsid w:val="0009113A"/>
    <w:rsid w:val="0009149F"/>
    <w:rsid w:val="00091882"/>
    <w:rsid w:val="00091F58"/>
    <w:rsid w:val="00091F80"/>
    <w:rsid w:val="00092BA2"/>
    <w:rsid w:val="00092DAA"/>
    <w:rsid w:val="00093073"/>
    <w:rsid w:val="00093409"/>
    <w:rsid w:val="00093428"/>
    <w:rsid w:val="000934EC"/>
    <w:rsid w:val="000935AE"/>
    <w:rsid w:val="000935D9"/>
    <w:rsid w:val="00093AA6"/>
    <w:rsid w:val="00093CF5"/>
    <w:rsid w:val="00093D72"/>
    <w:rsid w:val="00093DBD"/>
    <w:rsid w:val="00094069"/>
    <w:rsid w:val="0009407A"/>
    <w:rsid w:val="000942B3"/>
    <w:rsid w:val="000942BE"/>
    <w:rsid w:val="00094891"/>
    <w:rsid w:val="00094E76"/>
    <w:rsid w:val="00094FF6"/>
    <w:rsid w:val="0009518C"/>
    <w:rsid w:val="00095201"/>
    <w:rsid w:val="00095369"/>
    <w:rsid w:val="000953D3"/>
    <w:rsid w:val="00095431"/>
    <w:rsid w:val="0009548F"/>
    <w:rsid w:val="00095518"/>
    <w:rsid w:val="000956F2"/>
    <w:rsid w:val="00095A37"/>
    <w:rsid w:val="00095A6E"/>
    <w:rsid w:val="00095EE0"/>
    <w:rsid w:val="00095FB7"/>
    <w:rsid w:val="00095FEA"/>
    <w:rsid w:val="00096710"/>
    <w:rsid w:val="0009675A"/>
    <w:rsid w:val="00096D98"/>
    <w:rsid w:val="00096F0D"/>
    <w:rsid w:val="0009753C"/>
    <w:rsid w:val="00097829"/>
    <w:rsid w:val="00097A31"/>
    <w:rsid w:val="00097B4B"/>
    <w:rsid w:val="00097BD8"/>
    <w:rsid w:val="00097DB4"/>
    <w:rsid w:val="00097E01"/>
    <w:rsid w:val="00097F66"/>
    <w:rsid w:val="000A06E8"/>
    <w:rsid w:val="000A07EF"/>
    <w:rsid w:val="000A07FA"/>
    <w:rsid w:val="000A0A63"/>
    <w:rsid w:val="000A12A3"/>
    <w:rsid w:val="000A135C"/>
    <w:rsid w:val="000A138D"/>
    <w:rsid w:val="000A16B1"/>
    <w:rsid w:val="000A1993"/>
    <w:rsid w:val="000A1C0F"/>
    <w:rsid w:val="000A23FB"/>
    <w:rsid w:val="000A24D6"/>
    <w:rsid w:val="000A29D5"/>
    <w:rsid w:val="000A2AA2"/>
    <w:rsid w:val="000A2ADE"/>
    <w:rsid w:val="000A2D71"/>
    <w:rsid w:val="000A3289"/>
    <w:rsid w:val="000A33AF"/>
    <w:rsid w:val="000A3424"/>
    <w:rsid w:val="000A3B8F"/>
    <w:rsid w:val="000A3C46"/>
    <w:rsid w:val="000A3EB3"/>
    <w:rsid w:val="000A3F61"/>
    <w:rsid w:val="000A413A"/>
    <w:rsid w:val="000A4228"/>
    <w:rsid w:val="000A43F0"/>
    <w:rsid w:val="000A476C"/>
    <w:rsid w:val="000A47CF"/>
    <w:rsid w:val="000A4BFE"/>
    <w:rsid w:val="000A4EC4"/>
    <w:rsid w:val="000A6135"/>
    <w:rsid w:val="000A617F"/>
    <w:rsid w:val="000A6355"/>
    <w:rsid w:val="000A657E"/>
    <w:rsid w:val="000A6618"/>
    <w:rsid w:val="000A677C"/>
    <w:rsid w:val="000A67D0"/>
    <w:rsid w:val="000A6847"/>
    <w:rsid w:val="000A6861"/>
    <w:rsid w:val="000A68AA"/>
    <w:rsid w:val="000A69A5"/>
    <w:rsid w:val="000A6B07"/>
    <w:rsid w:val="000A6BB9"/>
    <w:rsid w:val="000A6C8D"/>
    <w:rsid w:val="000A722E"/>
    <w:rsid w:val="000A7AAC"/>
    <w:rsid w:val="000A7DF3"/>
    <w:rsid w:val="000A7F75"/>
    <w:rsid w:val="000B0310"/>
    <w:rsid w:val="000B0340"/>
    <w:rsid w:val="000B0529"/>
    <w:rsid w:val="000B053A"/>
    <w:rsid w:val="000B05F8"/>
    <w:rsid w:val="000B0751"/>
    <w:rsid w:val="000B0826"/>
    <w:rsid w:val="000B0E27"/>
    <w:rsid w:val="000B0F45"/>
    <w:rsid w:val="000B12BA"/>
    <w:rsid w:val="000B12D3"/>
    <w:rsid w:val="000B1465"/>
    <w:rsid w:val="000B1A50"/>
    <w:rsid w:val="000B1A90"/>
    <w:rsid w:val="000B1C5D"/>
    <w:rsid w:val="000B206C"/>
    <w:rsid w:val="000B2666"/>
    <w:rsid w:val="000B2944"/>
    <w:rsid w:val="000B2C69"/>
    <w:rsid w:val="000B2C93"/>
    <w:rsid w:val="000B2CF3"/>
    <w:rsid w:val="000B2DEF"/>
    <w:rsid w:val="000B2E73"/>
    <w:rsid w:val="000B2FAE"/>
    <w:rsid w:val="000B34CD"/>
    <w:rsid w:val="000B3B12"/>
    <w:rsid w:val="000B3D71"/>
    <w:rsid w:val="000B3EA6"/>
    <w:rsid w:val="000B4004"/>
    <w:rsid w:val="000B4065"/>
    <w:rsid w:val="000B436B"/>
    <w:rsid w:val="000B48C8"/>
    <w:rsid w:val="000B48EB"/>
    <w:rsid w:val="000B49E7"/>
    <w:rsid w:val="000B4B11"/>
    <w:rsid w:val="000B4CDA"/>
    <w:rsid w:val="000B4DD3"/>
    <w:rsid w:val="000B5025"/>
    <w:rsid w:val="000B546A"/>
    <w:rsid w:val="000B5502"/>
    <w:rsid w:val="000B5994"/>
    <w:rsid w:val="000B5C25"/>
    <w:rsid w:val="000B5E47"/>
    <w:rsid w:val="000B6110"/>
    <w:rsid w:val="000B61E4"/>
    <w:rsid w:val="000B633D"/>
    <w:rsid w:val="000B7026"/>
    <w:rsid w:val="000B743E"/>
    <w:rsid w:val="000B7AC0"/>
    <w:rsid w:val="000B7C50"/>
    <w:rsid w:val="000B7D53"/>
    <w:rsid w:val="000B7F79"/>
    <w:rsid w:val="000C0131"/>
    <w:rsid w:val="000C0544"/>
    <w:rsid w:val="000C0664"/>
    <w:rsid w:val="000C0668"/>
    <w:rsid w:val="000C072C"/>
    <w:rsid w:val="000C0776"/>
    <w:rsid w:val="000C0838"/>
    <w:rsid w:val="000C0B32"/>
    <w:rsid w:val="000C0BE0"/>
    <w:rsid w:val="000C0E22"/>
    <w:rsid w:val="000C0EC5"/>
    <w:rsid w:val="000C0F01"/>
    <w:rsid w:val="000C182A"/>
    <w:rsid w:val="000C1846"/>
    <w:rsid w:val="000C1C7F"/>
    <w:rsid w:val="000C1D8D"/>
    <w:rsid w:val="000C1E08"/>
    <w:rsid w:val="000C23A0"/>
    <w:rsid w:val="000C24E5"/>
    <w:rsid w:val="000C24E9"/>
    <w:rsid w:val="000C25A4"/>
    <w:rsid w:val="000C2681"/>
    <w:rsid w:val="000C27E6"/>
    <w:rsid w:val="000C28CE"/>
    <w:rsid w:val="000C2C71"/>
    <w:rsid w:val="000C304C"/>
    <w:rsid w:val="000C3246"/>
    <w:rsid w:val="000C33A9"/>
    <w:rsid w:val="000C3939"/>
    <w:rsid w:val="000C3E31"/>
    <w:rsid w:val="000C4547"/>
    <w:rsid w:val="000C4644"/>
    <w:rsid w:val="000C4767"/>
    <w:rsid w:val="000C491F"/>
    <w:rsid w:val="000C4AB5"/>
    <w:rsid w:val="000C4AFA"/>
    <w:rsid w:val="000C4C8A"/>
    <w:rsid w:val="000C4F56"/>
    <w:rsid w:val="000C5195"/>
    <w:rsid w:val="000C523E"/>
    <w:rsid w:val="000C535E"/>
    <w:rsid w:val="000C55BA"/>
    <w:rsid w:val="000C5870"/>
    <w:rsid w:val="000C5987"/>
    <w:rsid w:val="000C5BB8"/>
    <w:rsid w:val="000C5C3B"/>
    <w:rsid w:val="000C5F55"/>
    <w:rsid w:val="000C6354"/>
    <w:rsid w:val="000C66DE"/>
    <w:rsid w:val="000C69A5"/>
    <w:rsid w:val="000C6A1D"/>
    <w:rsid w:val="000C6B0C"/>
    <w:rsid w:val="000C6BF5"/>
    <w:rsid w:val="000C6C79"/>
    <w:rsid w:val="000C6DB2"/>
    <w:rsid w:val="000C6EA6"/>
    <w:rsid w:val="000C7127"/>
    <w:rsid w:val="000C7319"/>
    <w:rsid w:val="000C7440"/>
    <w:rsid w:val="000C7737"/>
    <w:rsid w:val="000C7A78"/>
    <w:rsid w:val="000C7F90"/>
    <w:rsid w:val="000C7FB5"/>
    <w:rsid w:val="000D001D"/>
    <w:rsid w:val="000D011F"/>
    <w:rsid w:val="000D022E"/>
    <w:rsid w:val="000D03F1"/>
    <w:rsid w:val="000D06AB"/>
    <w:rsid w:val="000D073E"/>
    <w:rsid w:val="000D07AC"/>
    <w:rsid w:val="000D0913"/>
    <w:rsid w:val="000D0B80"/>
    <w:rsid w:val="000D0D95"/>
    <w:rsid w:val="000D0E39"/>
    <w:rsid w:val="000D11B9"/>
    <w:rsid w:val="000D11DC"/>
    <w:rsid w:val="000D13C0"/>
    <w:rsid w:val="000D152A"/>
    <w:rsid w:val="000D1580"/>
    <w:rsid w:val="000D19E4"/>
    <w:rsid w:val="000D1EE1"/>
    <w:rsid w:val="000D1F42"/>
    <w:rsid w:val="000D22C4"/>
    <w:rsid w:val="000D27FF"/>
    <w:rsid w:val="000D2A46"/>
    <w:rsid w:val="000D2B5C"/>
    <w:rsid w:val="000D38EE"/>
    <w:rsid w:val="000D4020"/>
    <w:rsid w:val="000D4109"/>
    <w:rsid w:val="000D4193"/>
    <w:rsid w:val="000D4308"/>
    <w:rsid w:val="000D454A"/>
    <w:rsid w:val="000D4826"/>
    <w:rsid w:val="000D482A"/>
    <w:rsid w:val="000D4D10"/>
    <w:rsid w:val="000D5009"/>
    <w:rsid w:val="000D51BF"/>
    <w:rsid w:val="000D5385"/>
    <w:rsid w:val="000D5A64"/>
    <w:rsid w:val="000D5B4B"/>
    <w:rsid w:val="000D608B"/>
    <w:rsid w:val="000D62F5"/>
    <w:rsid w:val="000D630F"/>
    <w:rsid w:val="000D63A3"/>
    <w:rsid w:val="000D6418"/>
    <w:rsid w:val="000D671C"/>
    <w:rsid w:val="000D6A44"/>
    <w:rsid w:val="000D6D36"/>
    <w:rsid w:val="000D6ED5"/>
    <w:rsid w:val="000D7382"/>
    <w:rsid w:val="000D764E"/>
    <w:rsid w:val="000D7918"/>
    <w:rsid w:val="000D7AF3"/>
    <w:rsid w:val="000D7B74"/>
    <w:rsid w:val="000E0181"/>
    <w:rsid w:val="000E03A0"/>
    <w:rsid w:val="000E06BE"/>
    <w:rsid w:val="000E0880"/>
    <w:rsid w:val="000E0C1A"/>
    <w:rsid w:val="000E0DAB"/>
    <w:rsid w:val="000E0E16"/>
    <w:rsid w:val="000E0E80"/>
    <w:rsid w:val="000E0F27"/>
    <w:rsid w:val="000E1032"/>
    <w:rsid w:val="000E1520"/>
    <w:rsid w:val="000E1630"/>
    <w:rsid w:val="000E182D"/>
    <w:rsid w:val="000E19B2"/>
    <w:rsid w:val="000E1D03"/>
    <w:rsid w:val="000E1F78"/>
    <w:rsid w:val="000E21CD"/>
    <w:rsid w:val="000E220F"/>
    <w:rsid w:val="000E2243"/>
    <w:rsid w:val="000E234A"/>
    <w:rsid w:val="000E2557"/>
    <w:rsid w:val="000E2891"/>
    <w:rsid w:val="000E2B83"/>
    <w:rsid w:val="000E2EF2"/>
    <w:rsid w:val="000E3240"/>
    <w:rsid w:val="000E3497"/>
    <w:rsid w:val="000E3AD1"/>
    <w:rsid w:val="000E3E77"/>
    <w:rsid w:val="000E40C0"/>
    <w:rsid w:val="000E41AC"/>
    <w:rsid w:val="000E4249"/>
    <w:rsid w:val="000E49DD"/>
    <w:rsid w:val="000E4CE7"/>
    <w:rsid w:val="000E4DFD"/>
    <w:rsid w:val="000E54AD"/>
    <w:rsid w:val="000E54BA"/>
    <w:rsid w:val="000E56FA"/>
    <w:rsid w:val="000E5A2B"/>
    <w:rsid w:val="000E5D65"/>
    <w:rsid w:val="000E5E48"/>
    <w:rsid w:val="000E5EE5"/>
    <w:rsid w:val="000E633B"/>
    <w:rsid w:val="000E63BC"/>
    <w:rsid w:val="000E6425"/>
    <w:rsid w:val="000E681F"/>
    <w:rsid w:val="000E6A6C"/>
    <w:rsid w:val="000E6D8B"/>
    <w:rsid w:val="000E7145"/>
    <w:rsid w:val="000E7291"/>
    <w:rsid w:val="000E76B2"/>
    <w:rsid w:val="000E7B14"/>
    <w:rsid w:val="000F0123"/>
    <w:rsid w:val="000F041E"/>
    <w:rsid w:val="000F0591"/>
    <w:rsid w:val="000F067C"/>
    <w:rsid w:val="000F071A"/>
    <w:rsid w:val="000F0E8A"/>
    <w:rsid w:val="000F0F97"/>
    <w:rsid w:val="000F12CC"/>
    <w:rsid w:val="000F138D"/>
    <w:rsid w:val="000F1668"/>
    <w:rsid w:val="000F16D2"/>
    <w:rsid w:val="000F1ADB"/>
    <w:rsid w:val="000F1C16"/>
    <w:rsid w:val="000F1D85"/>
    <w:rsid w:val="000F1EB9"/>
    <w:rsid w:val="000F2768"/>
    <w:rsid w:val="000F2CCB"/>
    <w:rsid w:val="000F3504"/>
    <w:rsid w:val="000F3721"/>
    <w:rsid w:val="000F390A"/>
    <w:rsid w:val="000F3C2F"/>
    <w:rsid w:val="000F3DC3"/>
    <w:rsid w:val="000F4044"/>
    <w:rsid w:val="000F411C"/>
    <w:rsid w:val="000F42B8"/>
    <w:rsid w:val="000F4387"/>
    <w:rsid w:val="000F45BB"/>
    <w:rsid w:val="000F477B"/>
    <w:rsid w:val="000F4CCC"/>
    <w:rsid w:val="000F4FA7"/>
    <w:rsid w:val="000F4FCD"/>
    <w:rsid w:val="000F5246"/>
    <w:rsid w:val="000F533B"/>
    <w:rsid w:val="000F56BB"/>
    <w:rsid w:val="000F598C"/>
    <w:rsid w:val="000F59E4"/>
    <w:rsid w:val="000F5CD8"/>
    <w:rsid w:val="000F5D54"/>
    <w:rsid w:val="000F6047"/>
    <w:rsid w:val="000F6211"/>
    <w:rsid w:val="000F63E0"/>
    <w:rsid w:val="000F655E"/>
    <w:rsid w:val="000F65A4"/>
    <w:rsid w:val="000F661E"/>
    <w:rsid w:val="000F6B8A"/>
    <w:rsid w:val="000F6EAB"/>
    <w:rsid w:val="000F70AC"/>
    <w:rsid w:val="000F733C"/>
    <w:rsid w:val="000F74F2"/>
    <w:rsid w:val="000F75FA"/>
    <w:rsid w:val="000F7684"/>
    <w:rsid w:val="000F7DF8"/>
    <w:rsid w:val="00100066"/>
    <w:rsid w:val="001001DC"/>
    <w:rsid w:val="00100320"/>
    <w:rsid w:val="00100376"/>
    <w:rsid w:val="00100460"/>
    <w:rsid w:val="00100963"/>
    <w:rsid w:val="00100B10"/>
    <w:rsid w:val="00100BB9"/>
    <w:rsid w:val="00100C12"/>
    <w:rsid w:val="00100DB1"/>
    <w:rsid w:val="00100FCA"/>
    <w:rsid w:val="00101111"/>
    <w:rsid w:val="0010158F"/>
    <w:rsid w:val="0010160D"/>
    <w:rsid w:val="00101B2B"/>
    <w:rsid w:val="001020A5"/>
    <w:rsid w:val="00102346"/>
    <w:rsid w:val="001023C2"/>
    <w:rsid w:val="001025C8"/>
    <w:rsid w:val="00102887"/>
    <w:rsid w:val="00102DE1"/>
    <w:rsid w:val="00102F4D"/>
    <w:rsid w:val="0010312E"/>
    <w:rsid w:val="0010334E"/>
    <w:rsid w:val="001033A5"/>
    <w:rsid w:val="00103611"/>
    <w:rsid w:val="00103BD8"/>
    <w:rsid w:val="001041D6"/>
    <w:rsid w:val="001048AF"/>
    <w:rsid w:val="00104BA3"/>
    <w:rsid w:val="00104E75"/>
    <w:rsid w:val="00104F43"/>
    <w:rsid w:val="001050E8"/>
    <w:rsid w:val="00105231"/>
    <w:rsid w:val="00105361"/>
    <w:rsid w:val="001058E8"/>
    <w:rsid w:val="00105956"/>
    <w:rsid w:val="00105AD7"/>
    <w:rsid w:val="00105EB3"/>
    <w:rsid w:val="00105FEA"/>
    <w:rsid w:val="00106572"/>
    <w:rsid w:val="00106B21"/>
    <w:rsid w:val="00106B7C"/>
    <w:rsid w:val="00106C52"/>
    <w:rsid w:val="00106DF3"/>
    <w:rsid w:val="00106ECB"/>
    <w:rsid w:val="00106F32"/>
    <w:rsid w:val="00107140"/>
    <w:rsid w:val="00107537"/>
    <w:rsid w:val="001078CD"/>
    <w:rsid w:val="001103EE"/>
    <w:rsid w:val="00110761"/>
    <w:rsid w:val="001107FF"/>
    <w:rsid w:val="00110EE7"/>
    <w:rsid w:val="001116C9"/>
    <w:rsid w:val="00111A39"/>
    <w:rsid w:val="00111A79"/>
    <w:rsid w:val="00111CDB"/>
    <w:rsid w:val="00111F94"/>
    <w:rsid w:val="001127F9"/>
    <w:rsid w:val="00112876"/>
    <w:rsid w:val="00112881"/>
    <w:rsid w:val="001129DA"/>
    <w:rsid w:val="00112C52"/>
    <w:rsid w:val="00112EFB"/>
    <w:rsid w:val="00112F1C"/>
    <w:rsid w:val="00112F81"/>
    <w:rsid w:val="00113235"/>
    <w:rsid w:val="001133DE"/>
    <w:rsid w:val="00113CB1"/>
    <w:rsid w:val="00113E7D"/>
    <w:rsid w:val="00114789"/>
    <w:rsid w:val="001147C1"/>
    <w:rsid w:val="00114864"/>
    <w:rsid w:val="00114874"/>
    <w:rsid w:val="00114CA9"/>
    <w:rsid w:val="001153C7"/>
    <w:rsid w:val="00115403"/>
    <w:rsid w:val="00115605"/>
    <w:rsid w:val="0011567F"/>
    <w:rsid w:val="001159F4"/>
    <w:rsid w:val="00115A34"/>
    <w:rsid w:val="00115C77"/>
    <w:rsid w:val="00115FBB"/>
    <w:rsid w:val="00116271"/>
    <w:rsid w:val="00116417"/>
    <w:rsid w:val="0011663F"/>
    <w:rsid w:val="001166CD"/>
    <w:rsid w:val="00116815"/>
    <w:rsid w:val="00116848"/>
    <w:rsid w:val="001168DB"/>
    <w:rsid w:val="001169B5"/>
    <w:rsid w:val="00116CAC"/>
    <w:rsid w:val="00116D3D"/>
    <w:rsid w:val="00116F4A"/>
    <w:rsid w:val="00117345"/>
    <w:rsid w:val="001173A7"/>
    <w:rsid w:val="001174B2"/>
    <w:rsid w:val="00117531"/>
    <w:rsid w:val="00117BD8"/>
    <w:rsid w:val="00117F51"/>
    <w:rsid w:val="0012003B"/>
    <w:rsid w:val="00120132"/>
    <w:rsid w:val="00120141"/>
    <w:rsid w:val="00120336"/>
    <w:rsid w:val="001205C5"/>
    <w:rsid w:val="00120D2E"/>
    <w:rsid w:val="00120F7E"/>
    <w:rsid w:val="001211C1"/>
    <w:rsid w:val="001211EB"/>
    <w:rsid w:val="0012166C"/>
    <w:rsid w:val="00121872"/>
    <w:rsid w:val="00121B91"/>
    <w:rsid w:val="00121BEC"/>
    <w:rsid w:val="00121E06"/>
    <w:rsid w:val="00121F65"/>
    <w:rsid w:val="0012204F"/>
    <w:rsid w:val="00122072"/>
    <w:rsid w:val="001220A8"/>
    <w:rsid w:val="001223B2"/>
    <w:rsid w:val="00122686"/>
    <w:rsid w:val="001227E0"/>
    <w:rsid w:val="00122BD7"/>
    <w:rsid w:val="00122E59"/>
    <w:rsid w:val="00122FE6"/>
    <w:rsid w:val="001230A6"/>
    <w:rsid w:val="00123281"/>
    <w:rsid w:val="001232C4"/>
    <w:rsid w:val="0012379C"/>
    <w:rsid w:val="0012389E"/>
    <w:rsid w:val="00123DB3"/>
    <w:rsid w:val="0012419D"/>
    <w:rsid w:val="00124218"/>
    <w:rsid w:val="00124323"/>
    <w:rsid w:val="0012476B"/>
    <w:rsid w:val="0012480D"/>
    <w:rsid w:val="00124B2B"/>
    <w:rsid w:val="00124C70"/>
    <w:rsid w:val="00124D1F"/>
    <w:rsid w:val="00124D36"/>
    <w:rsid w:val="00124DB9"/>
    <w:rsid w:val="00124F59"/>
    <w:rsid w:val="001250F2"/>
    <w:rsid w:val="0012536A"/>
    <w:rsid w:val="00125411"/>
    <w:rsid w:val="00125478"/>
    <w:rsid w:val="001255BD"/>
    <w:rsid w:val="001255C5"/>
    <w:rsid w:val="00125C1E"/>
    <w:rsid w:val="00125D17"/>
    <w:rsid w:val="0012646D"/>
    <w:rsid w:val="001265D7"/>
    <w:rsid w:val="001268A0"/>
    <w:rsid w:val="00126D64"/>
    <w:rsid w:val="00126FBE"/>
    <w:rsid w:val="00127058"/>
    <w:rsid w:val="0012715C"/>
    <w:rsid w:val="0012717A"/>
    <w:rsid w:val="00127479"/>
    <w:rsid w:val="0012789F"/>
    <w:rsid w:val="0012797C"/>
    <w:rsid w:val="00127D85"/>
    <w:rsid w:val="00127FBF"/>
    <w:rsid w:val="00127FEA"/>
    <w:rsid w:val="00130110"/>
    <w:rsid w:val="001301A8"/>
    <w:rsid w:val="00130395"/>
    <w:rsid w:val="001307C7"/>
    <w:rsid w:val="0013123A"/>
    <w:rsid w:val="001312CF"/>
    <w:rsid w:val="0013142F"/>
    <w:rsid w:val="00131468"/>
    <w:rsid w:val="0013155E"/>
    <w:rsid w:val="001316AF"/>
    <w:rsid w:val="00131A55"/>
    <w:rsid w:val="00131CA1"/>
    <w:rsid w:val="00131CB6"/>
    <w:rsid w:val="00131DCB"/>
    <w:rsid w:val="00131E56"/>
    <w:rsid w:val="001320A7"/>
    <w:rsid w:val="001320E9"/>
    <w:rsid w:val="001321D3"/>
    <w:rsid w:val="00132499"/>
    <w:rsid w:val="00132703"/>
    <w:rsid w:val="00132728"/>
    <w:rsid w:val="0013292C"/>
    <w:rsid w:val="00132AD3"/>
    <w:rsid w:val="00132B27"/>
    <w:rsid w:val="00132D8A"/>
    <w:rsid w:val="00132E7F"/>
    <w:rsid w:val="0013313C"/>
    <w:rsid w:val="0013360F"/>
    <w:rsid w:val="001336C6"/>
    <w:rsid w:val="001337BD"/>
    <w:rsid w:val="001338A3"/>
    <w:rsid w:val="00133D2E"/>
    <w:rsid w:val="0013421B"/>
    <w:rsid w:val="00134265"/>
    <w:rsid w:val="00134291"/>
    <w:rsid w:val="00134623"/>
    <w:rsid w:val="00134733"/>
    <w:rsid w:val="00134A97"/>
    <w:rsid w:val="00134E3D"/>
    <w:rsid w:val="00134F42"/>
    <w:rsid w:val="001350AF"/>
    <w:rsid w:val="00135285"/>
    <w:rsid w:val="001356B4"/>
    <w:rsid w:val="00135718"/>
    <w:rsid w:val="00135D18"/>
    <w:rsid w:val="00135F2D"/>
    <w:rsid w:val="001364C1"/>
    <w:rsid w:val="0013650F"/>
    <w:rsid w:val="00136A1B"/>
    <w:rsid w:val="00136B58"/>
    <w:rsid w:val="00136D5F"/>
    <w:rsid w:val="00136E4E"/>
    <w:rsid w:val="0013703F"/>
    <w:rsid w:val="001370C1"/>
    <w:rsid w:val="00137260"/>
    <w:rsid w:val="0013771A"/>
    <w:rsid w:val="00137784"/>
    <w:rsid w:val="00137D14"/>
    <w:rsid w:val="00139C8C"/>
    <w:rsid w:val="00140157"/>
    <w:rsid w:val="00140722"/>
    <w:rsid w:val="001409EE"/>
    <w:rsid w:val="0014104A"/>
    <w:rsid w:val="00141066"/>
    <w:rsid w:val="0014107E"/>
    <w:rsid w:val="00141376"/>
    <w:rsid w:val="00141392"/>
    <w:rsid w:val="001414C2"/>
    <w:rsid w:val="00141844"/>
    <w:rsid w:val="00141C61"/>
    <w:rsid w:val="001421DC"/>
    <w:rsid w:val="001422E6"/>
    <w:rsid w:val="001422F2"/>
    <w:rsid w:val="00142314"/>
    <w:rsid w:val="0014279A"/>
    <w:rsid w:val="001427C5"/>
    <w:rsid w:val="00142910"/>
    <w:rsid w:val="001429CE"/>
    <w:rsid w:val="00142A8A"/>
    <w:rsid w:val="00142E1C"/>
    <w:rsid w:val="00142EBB"/>
    <w:rsid w:val="00142FFF"/>
    <w:rsid w:val="001430FF"/>
    <w:rsid w:val="0014325C"/>
    <w:rsid w:val="001432E9"/>
    <w:rsid w:val="0014339D"/>
    <w:rsid w:val="001434A6"/>
    <w:rsid w:val="00143689"/>
    <w:rsid w:val="00143A62"/>
    <w:rsid w:val="00144081"/>
    <w:rsid w:val="00144119"/>
    <w:rsid w:val="00144178"/>
    <w:rsid w:val="00144249"/>
    <w:rsid w:val="00144257"/>
    <w:rsid w:val="00144325"/>
    <w:rsid w:val="001444AE"/>
    <w:rsid w:val="001447CC"/>
    <w:rsid w:val="00144CCE"/>
    <w:rsid w:val="00145089"/>
    <w:rsid w:val="001453E5"/>
    <w:rsid w:val="001454AE"/>
    <w:rsid w:val="001455A1"/>
    <w:rsid w:val="0014580E"/>
    <w:rsid w:val="00145D46"/>
    <w:rsid w:val="00145E51"/>
    <w:rsid w:val="00145F3F"/>
    <w:rsid w:val="001461C9"/>
    <w:rsid w:val="0014624C"/>
    <w:rsid w:val="0014628F"/>
    <w:rsid w:val="0014672D"/>
    <w:rsid w:val="00146AC8"/>
    <w:rsid w:val="00146CE5"/>
    <w:rsid w:val="00146FDF"/>
    <w:rsid w:val="00147067"/>
    <w:rsid w:val="001471B6"/>
    <w:rsid w:val="00147339"/>
    <w:rsid w:val="00147B98"/>
    <w:rsid w:val="00147D9C"/>
    <w:rsid w:val="0015034F"/>
    <w:rsid w:val="00150371"/>
    <w:rsid w:val="00150AD7"/>
    <w:rsid w:val="001510A8"/>
    <w:rsid w:val="001510AE"/>
    <w:rsid w:val="001511BC"/>
    <w:rsid w:val="001517F0"/>
    <w:rsid w:val="00151FA0"/>
    <w:rsid w:val="001523BF"/>
    <w:rsid w:val="001529F3"/>
    <w:rsid w:val="00152A7F"/>
    <w:rsid w:val="00152F45"/>
    <w:rsid w:val="001532AA"/>
    <w:rsid w:val="0015356B"/>
    <w:rsid w:val="001536AA"/>
    <w:rsid w:val="001536FE"/>
    <w:rsid w:val="0015372D"/>
    <w:rsid w:val="001537E9"/>
    <w:rsid w:val="00153C13"/>
    <w:rsid w:val="00153D20"/>
    <w:rsid w:val="0015461F"/>
    <w:rsid w:val="001546A3"/>
    <w:rsid w:val="00154982"/>
    <w:rsid w:val="00154A9F"/>
    <w:rsid w:val="00154D8F"/>
    <w:rsid w:val="00154E96"/>
    <w:rsid w:val="00154F3F"/>
    <w:rsid w:val="001550B2"/>
    <w:rsid w:val="00155157"/>
    <w:rsid w:val="00155349"/>
    <w:rsid w:val="0015596F"/>
    <w:rsid w:val="00155D11"/>
    <w:rsid w:val="00155D4C"/>
    <w:rsid w:val="00155D9B"/>
    <w:rsid w:val="00155DC1"/>
    <w:rsid w:val="00155DC8"/>
    <w:rsid w:val="00155DF0"/>
    <w:rsid w:val="001560EE"/>
    <w:rsid w:val="00156225"/>
    <w:rsid w:val="00156864"/>
    <w:rsid w:val="00156907"/>
    <w:rsid w:val="001569E2"/>
    <w:rsid w:val="00156B1B"/>
    <w:rsid w:val="001571B6"/>
    <w:rsid w:val="001578B6"/>
    <w:rsid w:val="001579EB"/>
    <w:rsid w:val="00157EBE"/>
    <w:rsid w:val="00157F82"/>
    <w:rsid w:val="00157FDE"/>
    <w:rsid w:val="00160058"/>
    <w:rsid w:val="001600BE"/>
    <w:rsid w:val="0016031A"/>
    <w:rsid w:val="001608B4"/>
    <w:rsid w:val="00160BE7"/>
    <w:rsid w:val="00160F6D"/>
    <w:rsid w:val="0016100F"/>
    <w:rsid w:val="001612AC"/>
    <w:rsid w:val="0016157E"/>
    <w:rsid w:val="00161746"/>
    <w:rsid w:val="001617FD"/>
    <w:rsid w:val="00161A07"/>
    <w:rsid w:val="00161CA8"/>
    <w:rsid w:val="0016217C"/>
    <w:rsid w:val="001622F8"/>
    <w:rsid w:val="00162519"/>
    <w:rsid w:val="00162757"/>
    <w:rsid w:val="001628F0"/>
    <w:rsid w:val="0016304B"/>
    <w:rsid w:val="00163114"/>
    <w:rsid w:val="001632AC"/>
    <w:rsid w:val="00163314"/>
    <w:rsid w:val="0016370E"/>
    <w:rsid w:val="00163D7C"/>
    <w:rsid w:val="00163D84"/>
    <w:rsid w:val="0016427A"/>
    <w:rsid w:val="001642C1"/>
    <w:rsid w:val="00164452"/>
    <w:rsid w:val="0016462A"/>
    <w:rsid w:val="00164731"/>
    <w:rsid w:val="00164DFA"/>
    <w:rsid w:val="001655AC"/>
    <w:rsid w:val="00165607"/>
    <w:rsid w:val="001658EC"/>
    <w:rsid w:val="00165AAE"/>
    <w:rsid w:val="00165FD9"/>
    <w:rsid w:val="00166033"/>
    <w:rsid w:val="0016623F"/>
    <w:rsid w:val="001663F0"/>
    <w:rsid w:val="001665F8"/>
    <w:rsid w:val="00166609"/>
    <w:rsid w:val="0016671E"/>
    <w:rsid w:val="00166883"/>
    <w:rsid w:val="00166912"/>
    <w:rsid w:val="00166916"/>
    <w:rsid w:val="00166A3E"/>
    <w:rsid w:val="001672CB"/>
    <w:rsid w:val="00167741"/>
    <w:rsid w:val="001679FF"/>
    <w:rsid w:val="00167A27"/>
    <w:rsid w:val="00167AAB"/>
    <w:rsid w:val="00167B42"/>
    <w:rsid w:val="00167B70"/>
    <w:rsid w:val="00170093"/>
    <w:rsid w:val="00170125"/>
    <w:rsid w:val="0017016B"/>
    <w:rsid w:val="00170176"/>
    <w:rsid w:val="0017033B"/>
    <w:rsid w:val="00170355"/>
    <w:rsid w:val="00170789"/>
    <w:rsid w:val="00170BEC"/>
    <w:rsid w:val="00170C09"/>
    <w:rsid w:val="00170D8F"/>
    <w:rsid w:val="00170E06"/>
    <w:rsid w:val="0017122C"/>
    <w:rsid w:val="00171620"/>
    <w:rsid w:val="001717D6"/>
    <w:rsid w:val="001717F0"/>
    <w:rsid w:val="0017199C"/>
    <w:rsid w:val="00171CDE"/>
    <w:rsid w:val="00171D2D"/>
    <w:rsid w:val="0017222C"/>
    <w:rsid w:val="0017226F"/>
    <w:rsid w:val="0017241C"/>
    <w:rsid w:val="00172902"/>
    <w:rsid w:val="00172C11"/>
    <w:rsid w:val="0017300C"/>
    <w:rsid w:val="00173259"/>
    <w:rsid w:val="00173A80"/>
    <w:rsid w:val="00173F15"/>
    <w:rsid w:val="00173FBC"/>
    <w:rsid w:val="0017449D"/>
    <w:rsid w:val="001745C0"/>
    <w:rsid w:val="001745E7"/>
    <w:rsid w:val="0017485A"/>
    <w:rsid w:val="001749C1"/>
    <w:rsid w:val="00174B7D"/>
    <w:rsid w:val="00174C02"/>
    <w:rsid w:val="00174F05"/>
    <w:rsid w:val="001750C7"/>
    <w:rsid w:val="0017544B"/>
    <w:rsid w:val="001755D6"/>
    <w:rsid w:val="00175657"/>
    <w:rsid w:val="00175666"/>
    <w:rsid w:val="00175F08"/>
    <w:rsid w:val="00176250"/>
    <w:rsid w:val="001766B4"/>
    <w:rsid w:val="0017687C"/>
    <w:rsid w:val="00176A76"/>
    <w:rsid w:val="00176CCE"/>
    <w:rsid w:val="00176EC0"/>
    <w:rsid w:val="00177384"/>
    <w:rsid w:val="0017774E"/>
    <w:rsid w:val="0017794B"/>
    <w:rsid w:val="00177A52"/>
    <w:rsid w:val="00180587"/>
    <w:rsid w:val="00180A28"/>
    <w:rsid w:val="00180BFD"/>
    <w:rsid w:val="0018100B"/>
    <w:rsid w:val="00181508"/>
    <w:rsid w:val="001815BC"/>
    <w:rsid w:val="00181C2B"/>
    <w:rsid w:val="00181C71"/>
    <w:rsid w:val="00181CA5"/>
    <w:rsid w:val="00181DBB"/>
    <w:rsid w:val="0018210F"/>
    <w:rsid w:val="00182622"/>
    <w:rsid w:val="001826DE"/>
    <w:rsid w:val="00182735"/>
    <w:rsid w:val="001827C4"/>
    <w:rsid w:val="00182AD5"/>
    <w:rsid w:val="00183031"/>
    <w:rsid w:val="0018329D"/>
    <w:rsid w:val="001832FC"/>
    <w:rsid w:val="00183416"/>
    <w:rsid w:val="00183646"/>
    <w:rsid w:val="001836BA"/>
    <w:rsid w:val="00183927"/>
    <w:rsid w:val="00183B7A"/>
    <w:rsid w:val="00183C7F"/>
    <w:rsid w:val="00183CFD"/>
    <w:rsid w:val="00183EE2"/>
    <w:rsid w:val="00183FB4"/>
    <w:rsid w:val="0018422F"/>
    <w:rsid w:val="001842DB"/>
    <w:rsid w:val="001843EC"/>
    <w:rsid w:val="001846E7"/>
    <w:rsid w:val="00184A02"/>
    <w:rsid w:val="00185186"/>
    <w:rsid w:val="00185393"/>
    <w:rsid w:val="001854AE"/>
    <w:rsid w:val="00185571"/>
    <w:rsid w:val="00185D1C"/>
    <w:rsid w:val="0018615B"/>
    <w:rsid w:val="00186B79"/>
    <w:rsid w:val="00186C6C"/>
    <w:rsid w:val="00186D39"/>
    <w:rsid w:val="00186DA9"/>
    <w:rsid w:val="00186F31"/>
    <w:rsid w:val="00186F63"/>
    <w:rsid w:val="00187050"/>
    <w:rsid w:val="00187771"/>
    <w:rsid w:val="00187AF7"/>
    <w:rsid w:val="00190088"/>
    <w:rsid w:val="001900FE"/>
    <w:rsid w:val="00190223"/>
    <w:rsid w:val="00190445"/>
    <w:rsid w:val="00190690"/>
    <w:rsid w:val="00190BF8"/>
    <w:rsid w:val="00190E86"/>
    <w:rsid w:val="00191132"/>
    <w:rsid w:val="00191181"/>
    <w:rsid w:val="00191BAE"/>
    <w:rsid w:val="00191CEE"/>
    <w:rsid w:val="001924E0"/>
    <w:rsid w:val="001926DE"/>
    <w:rsid w:val="001927E3"/>
    <w:rsid w:val="00192B0E"/>
    <w:rsid w:val="00192C50"/>
    <w:rsid w:val="00192D99"/>
    <w:rsid w:val="00192DE1"/>
    <w:rsid w:val="00193082"/>
    <w:rsid w:val="001930F5"/>
    <w:rsid w:val="0019331E"/>
    <w:rsid w:val="00193606"/>
    <w:rsid w:val="0019393E"/>
    <w:rsid w:val="001939D5"/>
    <w:rsid w:val="00193D5C"/>
    <w:rsid w:val="00193FA8"/>
    <w:rsid w:val="00193FFC"/>
    <w:rsid w:val="0019479F"/>
    <w:rsid w:val="001948ED"/>
    <w:rsid w:val="00194DBF"/>
    <w:rsid w:val="00194DED"/>
    <w:rsid w:val="0019546C"/>
    <w:rsid w:val="00195788"/>
    <w:rsid w:val="00195A37"/>
    <w:rsid w:val="00195EBA"/>
    <w:rsid w:val="0019602F"/>
    <w:rsid w:val="0019639B"/>
    <w:rsid w:val="00196412"/>
    <w:rsid w:val="0019690D"/>
    <w:rsid w:val="00196C58"/>
    <w:rsid w:val="00196DF2"/>
    <w:rsid w:val="001970A3"/>
    <w:rsid w:val="001970E6"/>
    <w:rsid w:val="00197406"/>
    <w:rsid w:val="00197AA6"/>
    <w:rsid w:val="00197C86"/>
    <w:rsid w:val="00197CDE"/>
    <w:rsid w:val="00197D2E"/>
    <w:rsid w:val="00197E61"/>
    <w:rsid w:val="00197EDD"/>
    <w:rsid w:val="00197F6A"/>
    <w:rsid w:val="001A0124"/>
    <w:rsid w:val="001A0289"/>
    <w:rsid w:val="001A039F"/>
    <w:rsid w:val="001A05B6"/>
    <w:rsid w:val="001A07A3"/>
    <w:rsid w:val="001A07CE"/>
    <w:rsid w:val="001A0C10"/>
    <w:rsid w:val="001A1808"/>
    <w:rsid w:val="001A1851"/>
    <w:rsid w:val="001A1E12"/>
    <w:rsid w:val="001A24D6"/>
    <w:rsid w:val="001A25B4"/>
    <w:rsid w:val="001A27CA"/>
    <w:rsid w:val="001A2860"/>
    <w:rsid w:val="001A2EE3"/>
    <w:rsid w:val="001A306C"/>
    <w:rsid w:val="001A3839"/>
    <w:rsid w:val="001A3AAB"/>
    <w:rsid w:val="001A3AD4"/>
    <w:rsid w:val="001A3B2D"/>
    <w:rsid w:val="001A3BC5"/>
    <w:rsid w:val="001A3F27"/>
    <w:rsid w:val="001A421E"/>
    <w:rsid w:val="001A4499"/>
    <w:rsid w:val="001A455E"/>
    <w:rsid w:val="001A46EB"/>
    <w:rsid w:val="001A4715"/>
    <w:rsid w:val="001A4744"/>
    <w:rsid w:val="001A4927"/>
    <w:rsid w:val="001A4F38"/>
    <w:rsid w:val="001A56A0"/>
    <w:rsid w:val="001A56FA"/>
    <w:rsid w:val="001A57AD"/>
    <w:rsid w:val="001A57C0"/>
    <w:rsid w:val="001A594B"/>
    <w:rsid w:val="001A5B9F"/>
    <w:rsid w:val="001A5C07"/>
    <w:rsid w:val="001A5E89"/>
    <w:rsid w:val="001A5F77"/>
    <w:rsid w:val="001A627A"/>
    <w:rsid w:val="001A67C3"/>
    <w:rsid w:val="001A6930"/>
    <w:rsid w:val="001A6A0A"/>
    <w:rsid w:val="001A6B6B"/>
    <w:rsid w:val="001A6C31"/>
    <w:rsid w:val="001A6FA3"/>
    <w:rsid w:val="001A7132"/>
    <w:rsid w:val="001A724E"/>
    <w:rsid w:val="001A7251"/>
    <w:rsid w:val="001A725A"/>
    <w:rsid w:val="001A7443"/>
    <w:rsid w:val="001A7475"/>
    <w:rsid w:val="001A754B"/>
    <w:rsid w:val="001A7583"/>
    <w:rsid w:val="001A7601"/>
    <w:rsid w:val="001A780B"/>
    <w:rsid w:val="001A7844"/>
    <w:rsid w:val="001A7AC6"/>
    <w:rsid w:val="001A7D06"/>
    <w:rsid w:val="001A7D1B"/>
    <w:rsid w:val="001A7E48"/>
    <w:rsid w:val="001A7F85"/>
    <w:rsid w:val="001B012E"/>
    <w:rsid w:val="001B015D"/>
    <w:rsid w:val="001B02BD"/>
    <w:rsid w:val="001B0415"/>
    <w:rsid w:val="001B0526"/>
    <w:rsid w:val="001B05B7"/>
    <w:rsid w:val="001B0661"/>
    <w:rsid w:val="001B0699"/>
    <w:rsid w:val="001B0751"/>
    <w:rsid w:val="001B0DB2"/>
    <w:rsid w:val="001B112C"/>
    <w:rsid w:val="001B1280"/>
    <w:rsid w:val="001B1359"/>
    <w:rsid w:val="001B15EF"/>
    <w:rsid w:val="001B1635"/>
    <w:rsid w:val="001B1847"/>
    <w:rsid w:val="001B186F"/>
    <w:rsid w:val="001B1A90"/>
    <w:rsid w:val="001B1D11"/>
    <w:rsid w:val="001B1D89"/>
    <w:rsid w:val="001B1DBE"/>
    <w:rsid w:val="001B1DE5"/>
    <w:rsid w:val="001B204F"/>
    <w:rsid w:val="001B2D35"/>
    <w:rsid w:val="001B2EF6"/>
    <w:rsid w:val="001B3236"/>
    <w:rsid w:val="001B33CC"/>
    <w:rsid w:val="001B36EF"/>
    <w:rsid w:val="001B3AE2"/>
    <w:rsid w:val="001B3B41"/>
    <w:rsid w:val="001B43C3"/>
    <w:rsid w:val="001B47F0"/>
    <w:rsid w:val="001B4C0E"/>
    <w:rsid w:val="001B4D0E"/>
    <w:rsid w:val="001B5105"/>
    <w:rsid w:val="001B52D4"/>
    <w:rsid w:val="001B56FF"/>
    <w:rsid w:val="001B582F"/>
    <w:rsid w:val="001B59F1"/>
    <w:rsid w:val="001B5C05"/>
    <w:rsid w:val="001B5CD8"/>
    <w:rsid w:val="001B5FFC"/>
    <w:rsid w:val="001B6010"/>
    <w:rsid w:val="001B609B"/>
    <w:rsid w:val="001B6125"/>
    <w:rsid w:val="001B62C5"/>
    <w:rsid w:val="001B640E"/>
    <w:rsid w:val="001B674A"/>
    <w:rsid w:val="001B682A"/>
    <w:rsid w:val="001B6DDD"/>
    <w:rsid w:val="001B7208"/>
    <w:rsid w:val="001B7448"/>
    <w:rsid w:val="001B79AE"/>
    <w:rsid w:val="001B7A8D"/>
    <w:rsid w:val="001B7D49"/>
    <w:rsid w:val="001B7FFE"/>
    <w:rsid w:val="001C0113"/>
    <w:rsid w:val="001C01CC"/>
    <w:rsid w:val="001C058A"/>
    <w:rsid w:val="001C0766"/>
    <w:rsid w:val="001C08CE"/>
    <w:rsid w:val="001C0B53"/>
    <w:rsid w:val="001C0B8F"/>
    <w:rsid w:val="001C0BA5"/>
    <w:rsid w:val="001C1029"/>
    <w:rsid w:val="001C1231"/>
    <w:rsid w:val="001C13F1"/>
    <w:rsid w:val="001C156F"/>
    <w:rsid w:val="001C1971"/>
    <w:rsid w:val="001C1B3A"/>
    <w:rsid w:val="001C1BCB"/>
    <w:rsid w:val="001C1D57"/>
    <w:rsid w:val="001C1F0E"/>
    <w:rsid w:val="001C20DB"/>
    <w:rsid w:val="001C24C1"/>
    <w:rsid w:val="001C2540"/>
    <w:rsid w:val="001C2A8F"/>
    <w:rsid w:val="001C2B9C"/>
    <w:rsid w:val="001C2D66"/>
    <w:rsid w:val="001C2DBA"/>
    <w:rsid w:val="001C3594"/>
    <w:rsid w:val="001C36D0"/>
    <w:rsid w:val="001C36E9"/>
    <w:rsid w:val="001C38C5"/>
    <w:rsid w:val="001C38CD"/>
    <w:rsid w:val="001C3BFC"/>
    <w:rsid w:val="001C3C9B"/>
    <w:rsid w:val="001C3DB3"/>
    <w:rsid w:val="001C4177"/>
    <w:rsid w:val="001C4593"/>
    <w:rsid w:val="001C45C6"/>
    <w:rsid w:val="001C467F"/>
    <w:rsid w:val="001C4984"/>
    <w:rsid w:val="001C4B16"/>
    <w:rsid w:val="001C4BF8"/>
    <w:rsid w:val="001C4C31"/>
    <w:rsid w:val="001C5451"/>
    <w:rsid w:val="001C55DA"/>
    <w:rsid w:val="001C5E5C"/>
    <w:rsid w:val="001C5F8A"/>
    <w:rsid w:val="001C610A"/>
    <w:rsid w:val="001C669D"/>
    <w:rsid w:val="001C66E0"/>
    <w:rsid w:val="001C6714"/>
    <w:rsid w:val="001C6BD0"/>
    <w:rsid w:val="001C6D8C"/>
    <w:rsid w:val="001C6E43"/>
    <w:rsid w:val="001C6F85"/>
    <w:rsid w:val="001C6FD5"/>
    <w:rsid w:val="001C77A4"/>
    <w:rsid w:val="001C782B"/>
    <w:rsid w:val="001C79F0"/>
    <w:rsid w:val="001C79FA"/>
    <w:rsid w:val="001C7A43"/>
    <w:rsid w:val="001C7F41"/>
    <w:rsid w:val="001C7FD0"/>
    <w:rsid w:val="001D04F5"/>
    <w:rsid w:val="001D0578"/>
    <w:rsid w:val="001D0634"/>
    <w:rsid w:val="001D06AB"/>
    <w:rsid w:val="001D0870"/>
    <w:rsid w:val="001D0C22"/>
    <w:rsid w:val="001D0D03"/>
    <w:rsid w:val="001D10A1"/>
    <w:rsid w:val="001D1997"/>
    <w:rsid w:val="001D1A2B"/>
    <w:rsid w:val="001D1EB2"/>
    <w:rsid w:val="001D2072"/>
    <w:rsid w:val="001D2541"/>
    <w:rsid w:val="001D25AF"/>
    <w:rsid w:val="001D25D6"/>
    <w:rsid w:val="001D2E73"/>
    <w:rsid w:val="001D3829"/>
    <w:rsid w:val="001D39BF"/>
    <w:rsid w:val="001D3AC4"/>
    <w:rsid w:val="001D3C28"/>
    <w:rsid w:val="001D3F0E"/>
    <w:rsid w:val="001D4191"/>
    <w:rsid w:val="001D4223"/>
    <w:rsid w:val="001D4242"/>
    <w:rsid w:val="001D4909"/>
    <w:rsid w:val="001D4DB1"/>
    <w:rsid w:val="001D4DE2"/>
    <w:rsid w:val="001D4DEB"/>
    <w:rsid w:val="001D53D3"/>
    <w:rsid w:val="001D5655"/>
    <w:rsid w:val="001D56D7"/>
    <w:rsid w:val="001D570F"/>
    <w:rsid w:val="001D5762"/>
    <w:rsid w:val="001D5CC5"/>
    <w:rsid w:val="001D5D43"/>
    <w:rsid w:val="001D5FC9"/>
    <w:rsid w:val="001D618C"/>
    <w:rsid w:val="001D61CC"/>
    <w:rsid w:val="001D631B"/>
    <w:rsid w:val="001D670B"/>
    <w:rsid w:val="001D6725"/>
    <w:rsid w:val="001D673A"/>
    <w:rsid w:val="001D6760"/>
    <w:rsid w:val="001D6993"/>
    <w:rsid w:val="001D6F76"/>
    <w:rsid w:val="001D73CB"/>
    <w:rsid w:val="001D74B4"/>
    <w:rsid w:val="001D74CA"/>
    <w:rsid w:val="001D757C"/>
    <w:rsid w:val="001D77BB"/>
    <w:rsid w:val="001D77CC"/>
    <w:rsid w:val="001D7A13"/>
    <w:rsid w:val="001D7C7E"/>
    <w:rsid w:val="001E035A"/>
    <w:rsid w:val="001E0778"/>
    <w:rsid w:val="001E08EF"/>
    <w:rsid w:val="001E0A30"/>
    <w:rsid w:val="001E0A32"/>
    <w:rsid w:val="001E0E6B"/>
    <w:rsid w:val="001E0F4B"/>
    <w:rsid w:val="001E0FB3"/>
    <w:rsid w:val="001E0FF0"/>
    <w:rsid w:val="001E106F"/>
    <w:rsid w:val="001E10A5"/>
    <w:rsid w:val="001E122C"/>
    <w:rsid w:val="001E1364"/>
    <w:rsid w:val="001E139D"/>
    <w:rsid w:val="001E15BE"/>
    <w:rsid w:val="001E163D"/>
    <w:rsid w:val="001E1802"/>
    <w:rsid w:val="001E22CC"/>
    <w:rsid w:val="001E233D"/>
    <w:rsid w:val="001E2614"/>
    <w:rsid w:val="001E272E"/>
    <w:rsid w:val="001E27D9"/>
    <w:rsid w:val="001E2BDC"/>
    <w:rsid w:val="001E2C8B"/>
    <w:rsid w:val="001E2C90"/>
    <w:rsid w:val="001E2D84"/>
    <w:rsid w:val="001E2DA1"/>
    <w:rsid w:val="001E314C"/>
    <w:rsid w:val="001E328D"/>
    <w:rsid w:val="001E328F"/>
    <w:rsid w:val="001E3741"/>
    <w:rsid w:val="001E3A53"/>
    <w:rsid w:val="001E3D56"/>
    <w:rsid w:val="001E3E41"/>
    <w:rsid w:val="001E4002"/>
    <w:rsid w:val="001E42B4"/>
    <w:rsid w:val="001E47F4"/>
    <w:rsid w:val="001E4BE3"/>
    <w:rsid w:val="001E4EF0"/>
    <w:rsid w:val="001E54F1"/>
    <w:rsid w:val="001E61AE"/>
    <w:rsid w:val="001E6272"/>
    <w:rsid w:val="001E6870"/>
    <w:rsid w:val="001E6BE6"/>
    <w:rsid w:val="001E6E52"/>
    <w:rsid w:val="001E702A"/>
    <w:rsid w:val="001E7150"/>
    <w:rsid w:val="001E7158"/>
    <w:rsid w:val="001E71DA"/>
    <w:rsid w:val="001E7200"/>
    <w:rsid w:val="001E7205"/>
    <w:rsid w:val="001E72AD"/>
    <w:rsid w:val="001E74B3"/>
    <w:rsid w:val="001E74EB"/>
    <w:rsid w:val="001E7E1C"/>
    <w:rsid w:val="001E7EDF"/>
    <w:rsid w:val="001F0268"/>
    <w:rsid w:val="001F0637"/>
    <w:rsid w:val="001F0720"/>
    <w:rsid w:val="001F0783"/>
    <w:rsid w:val="001F095E"/>
    <w:rsid w:val="001F0AC7"/>
    <w:rsid w:val="001F0B83"/>
    <w:rsid w:val="001F0BB3"/>
    <w:rsid w:val="001F0EC6"/>
    <w:rsid w:val="001F1132"/>
    <w:rsid w:val="001F12F0"/>
    <w:rsid w:val="001F19C3"/>
    <w:rsid w:val="001F1CBB"/>
    <w:rsid w:val="001F1CD5"/>
    <w:rsid w:val="001F1CF3"/>
    <w:rsid w:val="001F1F42"/>
    <w:rsid w:val="001F20B1"/>
    <w:rsid w:val="001F20F1"/>
    <w:rsid w:val="001F21FF"/>
    <w:rsid w:val="001F2556"/>
    <w:rsid w:val="001F257D"/>
    <w:rsid w:val="001F28B1"/>
    <w:rsid w:val="001F28E6"/>
    <w:rsid w:val="001F2BE9"/>
    <w:rsid w:val="001F2D60"/>
    <w:rsid w:val="001F2E72"/>
    <w:rsid w:val="001F2F41"/>
    <w:rsid w:val="001F2FC9"/>
    <w:rsid w:val="001F322F"/>
    <w:rsid w:val="001F32B7"/>
    <w:rsid w:val="001F32B8"/>
    <w:rsid w:val="001F3370"/>
    <w:rsid w:val="001F3721"/>
    <w:rsid w:val="001F37D3"/>
    <w:rsid w:val="001F3A61"/>
    <w:rsid w:val="001F3FA0"/>
    <w:rsid w:val="001F4060"/>
    <w:rsid w:val="001F4375"/>
    <w:rsid w:val="001F4478"/>
    <w:rsid w:val="001F4690"/>
    <w:rsid w:val="001F4F2B"/>
    <w:rsid w:val="001F50DF"/>
    <w:rsid w:val="001F5143"/>
    <w:rsid w:val="001F5199"/>
    <w:rsid w:val="001F5232"/>
    <w:rsid w:val="001F5916"/>
    <w:rsid w:val="001F5AF1"/>
    <w:rsid w:val="001F600C"/>
    <w:rsid w:val="001F60A6"/>
    <w:rsid w:val="001F61E1"/>
    <w:rsid w:val="001F61F8"/>
    <w:rsid w:val="001F6231"/>
    <w:rsid w:val="001F62F1"/>
    <w:rsid w:val="001F6524"/>
    <w:rsid w:val="001F66BE"/>
    <w:rsid w:val="001F670B"/>
    <w:rsid w:val="001F67D1"/>
    <w:rsid w:val="001F69F3"/>
    <w:rsid w:val="001F6A26"/>
    <w:rsid w:val="001F6F65"/>
    <w:rsid w:val="001F73AE"/>
    <w:rsid w:val="001F7490"/>
    <w:rsid w:val="001F751E"/>
    <w:rsid w:val="001F7A4C"/>
    <w:rsid w:val="001F7D78"/>
    <w:rsid w:val="00200119"/>
    <w:rsid w:val="00200147"/>
    <w:rsid w:val="00200454"/>
    <w:rsid w:val="00200495"/>
    <w:rsid w:val="0020080E"/>
    <w:rsid w:val="00200893"/>
    <w:rsid w:val="00200A4E"/>
    <w:rsid w:val="00200F07"/>
    <w:rsid w:val="00201109"/>
    <w:rsid w:val="002013F3"/>
    <w:rsid w:val="0020149D"/>
    <w:rsid w:val="00201603"/>
    <w:rsid w:val="0020174D"/>
    <w:rsid w:val="00201D9D"/>
    <w:rsid w:val="00201F3F"/>
    <w:rsid w:val="0020233F"/>
    <w:rsid w:val="0020289C"/>
    <w:rsid w:val="00202995"/>
    <w:rsid w:val="002032D0"/>
    <w:rsid w:val="0020350E"/>
    <w:rsid w:val="00203606"/>
    <w:rsid w:val="00203629"/>
    <w:rsid w:val="00203703"/>
    <w:rsid w:val="00203956"/>
    <w:rsid w:val="00203ABF"/>
    <w:rsid w:val="00203B7A"/>
    <w:rsid w:val="00203BD9"/>
    <w:rsid w:val="00203DD9"/>
    <w:rsid w:val="00203EB4"/>
    <w:rsid w:val="002040C0"/>
    <w:rsid w:val="00204A6B"/>
    <w:rsid w:val="00204B52"/>
    <w:rsid w:val="00204EE0"/>
    <w:rsid w:val="00205029"/>
    <w:rsid w:val="00205087"/>
    <w:rsid w:val="00205139"/>
    <w:rsid w:val="002056BE"/>
    <w:rsid w:val="00205990"/>
    <w:rsid w:val="00205D2A"/>
    <w:rsid w:val="00205E27"/>
    <w:rsid w:val="00205E29"/>
    <w:rsid w:val="00205F30"/>
    <w:rsid w:val="0020602C"/>
    <w:rsid w:val="00206088"/>
    <w:rsid w:val="00206185"/>
    <w:rsid w:val="00206504"/>
    <w:rsid w:val="00206905"/>
    <w:rsid w:val="00206BC0"/>
    <w:rsid w:val="0020702B"/>
    <w:rsid w:val="0020726A"/>
    <w:rsid w:val="0020737D"/>
    <w:rsid w:val="00207411"/>
    <w:rsid w:val="00207435"/>
    <w:rsid w:val="002074CE"/>
    <w:rsid w:val="0020771B"/>
    <w:rsid w:val="00207A7A"/>
    <w:rsid w:val="00207D14"/>
    <w:rsid w:val="00210106"/>
    <w:rsid w:val="0021053B"/>
    <w:rsid w:val="00210AAB"/>
    <w:rsid w:val="00210BA3"/>
    <w:rsid w:val="00210BCD"/>
    <w:rsid w:val="00210E1B"/>
    <w:rsid w:val="00210E44"/>
    <w:rsid w:val="00211005"/>
    <w:rsid w:val="0021127F"/>
    <w:rsid w:val="00211306"/>
    <w:rsid w:val="00211386"/>
    <w:rsid w:val="00211613"/>
    <w:rsid w:val="0021180E"/>
    <w:rsid w:val="00211849"/>
    <w:rsid w:val="002119A3"/>
    <w:rsid w:val="00211D7A"/>
    <w:rsid w:val="00211F7A"/>
    <w:rsid w:val="00211FC1"/>
    <w:rsid w:val="00212091"/>
    <w:rsid w:val="00212209"/>
    <w:rsid w:val="00212548"/>
    <w:rsid w:val="00212AD9"/>
    <w:rsid w:val="00212B12"/>
    <w:rsid w:val="00212DCA"/>
    <w:rsid w:val="002130BD"/>
    <w:rsid w:val="002131E0"/>
    <w:rsid w:val="00213206"/>
    <w:rsid w:val="00213667"/>
    <w:rsid w:val="00213691"/>
    <w:rsid w:val="00213B9E"/>
    <w:rsid w:val="00213BA2"/>
    <w:rsid w:val="00213E23"/>
    <w:rsid w:val="00214325"/>
    <w:rsid w:val="00214510"/>
    <w:rsid w:val="0021476A"/>
    <w:rsid w:val="002148AF"/>
    <w:rsid w:val="00214CA9"/>
    <w:rsid w:val="00214FBD"/>
    <w:rsid w:val="0021533C"/>
    <w:rsid w:val="002156D5"/>
    <w:rsid w:val="002158CD"/>
    <w:rsid w:val="00215A76"/>
    <w:rsid w:val="00215E90"/>
    <w:rsid w:val="00215EDD"/>
    <w:rsid w:val="002163F4"/>
    <w:rsid w:val="00216502"/>
    <w:rsid w:val="0021650D"/>
    <w:rsid w:val="00216974"/>
    <w:rsid w:val="00216A6D"/>
    <w:rsid w:val="00216C24"/>
    <w:rsid w:val="00216FA3"/>
    <w:rsid w:val="00217070"/>
    <w:rsid w:val="00217285"/>
    <w:rsid w:val="002173B9"/>
    <w:rsid w:val="0021749A"/>
    <w:rsid w:val="002175DE"/>
    <w:rsid w:val="002175E1"/>
    <w:rsid w:val="00217740"/>
    <w:rsid w:val="00217AEC"/>
    <w:rsid w:val="00217B0A"/>
    <w:rsid w:val="00217B3D"/>
    <w:rsid w:val="00217D78"/>
    <w:rsid w:val="00217E40"/>
    <w:rsid w:val="00220670"/>
    <w:rsid w:val="00220AE8"/>
    <w:rsid w:val="00220E83"/>
    <w:rsid w:val="00221563"/>
    <w:rsid w:val="002218CE"/>
    <w:rsid w:val="002219E3"/>
    <w:rsid w:val="00221E44"/>
    <w:rsid w:val="00221FAF"/>
    <w:rsid w:val="002220D9"/>
    <w:rsid w:val="002227CD"/>
    <w:rsid w:val="002229AE"/>
    <w:rsid w:val="00222AE8"/>
    <w:rsid w:val="00222CEE"/>
    <w:rsid w:val="00222EDA"/>
    <w:rsid w:val="00222FD6"/>
    <w:rsid w:val="00223950"/>
    <w:rsid w:val="00223B1D"/>
    <w:rsid w:val="0022403C"/>
    <w:rsid w:val="002240F6"/>
    <w:rsid w:val="0022413A"/>
    <w:rsid w:val="00224432"/>
    <w:rsid w:val="00224518"/>
    <w:rsid w:val="00224C8D"/>
    <w:rsid w:val="00224D2C"/>
    <w:rsid w:val="00225134"/>
    <w:rsid w:val="00225811"/>
    <w:rsid w:val="00225AF0"/>
    <w:rsid w:val="00225CE4"/>
    <w:rsid w:val="00225DC2"/>
    <w:rsid w:val="002262C3"/>
    <w:rsid w:val="0022664C"/>
    <w:rsid w:val="00226AEE"/>
    <w:rsid w:val="0022722C"/>
    <w:rsid w:val="002273FE"/>
    <w:rsid w:val="00227485"/>
    <w:rsid w:val="0022778B"/>
    <w:rsid w:val="00227BB4"/>
    <w:rsid w:val="00227BB5"/>
    <w:rsid w:val="00227DF3"/>
    <w:rsid w:val="00230041"/>
    <w:rsid w:val="002308CE"/>
    <w:rsid w:val="00230977"/>
    <w:rsid w:val="00230A37"/>
    <w:rsid w:val="00230C0B"/>
    <w:rsid w:val="00230CB5"/>
    <w:rsid w:val="00230E2C"/>
    <w:rsid w:val="002310AC"/>
    <w:rsid w:val="00231117"/>
    <w:rsid w:val="00231402"/>
    <w:rsid w:val="00231A0A"/>
    <w:rsid w:val="00231E57"/>
    <w:rsid w:val="00232005"/>
    <w:rsid w:val="002324DA"/>
    <w:rsid w:val="002329A8"/>
    <w:rsid w:val="00232B6A"/>
    <w:rsid w:val="00232B88"/>
    <w:rsid w:val="00232EF4"/>
    <w:rsid w:val="002333C7"/>
    <w:rsid w:val="0023349B"/>
    <w:rsid w:val="002339A4"/>
    <w:rsid w:val="00233B37"/>
    <w:rsid w:val="00233BC9"/>
    <w:rsid w:val="00233BD2"/>
    <w:rsid w:val="00233BD3"/>
    <w:rsid w:val="00234080"/>
    <w:rsid w:val="00234193"/>
    <w:rsid w:val="0023442C"/>
    <w:rsid w:val="0023450E"/>
    <w:rsid w:val="0023453F"/>
    <w:rsid w:val="002347E9"/>
    <w:rsid w:val="00234827"/>
    <w:rsid w:val="00234C13"/>
    <w:rsid w:val="00234C6C"/>
    <w:rsid w:val="00234DF1"/>
    <w:rsid w:val="00235033"/>
    <w:rsid w:val="0023516F"/>
    <w:rsid w:val="00235631"/>
    <w:rsid w:val="0023591D"/>
    <w:rsid w:val="00235A6E"/>
    <w:rsid w:val="00235B81"/>
    <w:rsid w:val="00235CD4"/>
    <w:rsid w:val="00235E55"/>
    <w:rsid w:val="00235F39"/>
    <w:rsid w:val="00236188"/>
    <w:rsid w:val="0023618A"/>
    <w:rsid w:val="00236228"/>
    <w:rsid w:val="002362E0"/>
    <w:rsid w:val="00236542"/>
    <w:rsid w:val="00236740"/>
    <w:rsid w:val="00236958"/>
    <w:rsid w:val="002372F2"/>
    <w:rsid w:val="00237368"/>
    <w:rsid w:val="002374B3"/>
    <w:rsid w:val="00237824"/>
    <w:rsid w:val="00237F4A"/>
    <w:rsid w:val="0024026B"/>
    <w:rsid w:val="00240410"/>
    <w:rsid w:val="00240675"/>
    <w:rsid w:val="002409AD"/>
    <w:rsid w:val="00240A1F"/>
    <w:rsid w:val="00240D13"/>
    <w:rsid w:val="002410D8"/>
    <w:rsid w:val="002415D0"/>
    <w:rsid w:val="00241853"/>
    <w:rsid w:val="00241854"/>
    <w:rsid w:val="00241973"/>
    <w:rsid w:val="00241986"/>
    <w:rsid w:val="00241BFC"/>
    <w:rsid w:val="00241CAC"/>
    <w:rsid w:val="00242026"/>
    <w:rsid w:val="002421A5"/>
    <w:rsid w:val="00242751"/>
    <w:rsid w:val="0024281A"/>
    <w:rsid w:val="002428B3"/>
    <w:rsid w:val="002428F3"/>
    <w:rsid w:val="00242BE6"/>
    <w:rsid w:val="00242D24"/>
    <w:rsid w:val="00242D32"/>
    <w:rsid w:val="0024304B"/>
    <w:rsid w:val="002430E2"/>
    <w:rsid w:val="00243A1D"/>
    <w:rsid w:val="00243AD3"/>
    <w:rsid w:val="00243BAB"/>
    <w:rsid w:val="002443E5"/>
    <w:rsid w:val="00244506"/>
    <w:rsid w:val="00244529"/>
    <w:rsid w:val="002446EB"/>
    <w:rsid w:val="00244BA7"/>
    <w:rsid w:val="00244C69"/>
    <w:rsid w:val="002455CE"/>
    <w:rsid w:val="00245606"/>
    <w:rsid w:val="002456E9"/>
    <w:rsid w:val="002459F6"/>
    <w:rsid w:val="00245AD2"/>
    <w:rsid w:val="002463B9"/>
    <w:rsid w:val="00246722"/>
    <w:rsid w:val="002468B8"/>
    <w:rsid w:val="002470BC"/>
    <w:rsid w:val="00247261"/>
    <w:rsid w:val="0024748F"/>
    <w:rsid w:val="002474DB"/>
    <w:rsid w:val="0024769D"/>
    <w:rsid w:val="0024792C"/>
    <w:rsid w:val="00247BE0"/>
    <w:rsid w:val="00247E4B"/>
    <w:rsid w:val="00247EC3"/>
    <w:rsid w:val="00247FF8"/>
    <w:rsid w:val="002500A0"/>
    <w:rsid w:val="00250284"/>
    <w:rsid w:val="0025044C"/>
    <w:rsid w:val="002505EA"/>
    <w:rsid w:val="00250731"/>
    <w:rsid w:val="0025095F"/>
    <w:rsid w:val="00250C92"/>
    <w:rsid w:val="00250E86"/>
    <w:rsid w:val="00251159"/>
    <w:rsid w:val="00251217"/>
    <w:rsid w:val="00251435"/>
    <w:rsid w:val="002516F3"/>
    <w:rsid w:val="002517EC"/>
    <w:rsid w:val="0025189D"/>
    <w:rsid w:val="00251B45"/>
    <w:rsid w:val="00251C1B"/>
    <w:rsid w:val="00251D83"/>
    <w:rsid w:val="00251D99"/>
    <w:rsid w:val="002520E2"/>
    <w:rsid w:val="002526F8"/>
    <w:rsid w:val="0025276B"/>
    <w:rsid w:val="002527B5"/>
    <w:rsid w:val="00252A66"/>
    <w:rsid w:val="00252CDB"/>
    <w:rsid w:val="00252D97"/>
    <w:rsid w:val="00253119"/>
    <w:rsid w:val="00253461"/>
    <w:rsid w:val="00253892"/>
    <w:rsid w:val="00253899"/>
    <w:rsid w:val="00253C02"/>
    <w:rsid w:val="00253DC7"/>
    <w:rsid w:val="00254090"/>
    <w:rsid w:val="00254249"/>
    <w:rsid w:val="002543BA"/>
    <w:rsid w:val="00254407"/>
    <w:rsid w:val="00254478"/>
    <w:rsid w:val="002545CE"/>
    <w:rsid w:val="00254656"/>
    <w:rsid w:val="0025494A"/>
    <w:rsid w:val="00254AFD"/>
    <w:rsid w:val="00254B86"/>
    <w:rsid w:val="00254CE9"/>
    <w:rsid w:val="00254F4D"/>
    <w:rsid w:val="00255262"/>
    <w:rsid w:val="002552C8"/>
    <w:rsid w:val="002553C9"/>
    <w:rsid w:val="00255545"/>
    <w:rsid w:val="00255622"/>
    <w:rsid w:val="00255AAF"/>
    <w:rsid w:val="00255B4D"/>
    <w:rsid w:val="00255C10"/>
    <w:rsid w:val="00255F8E"/>
    <w:rsid w:val="00256193"/>
    <w:rsid w:val="0025626B"/>
    <w:rsid w:val="00256732"/>
    <w:rsid w:val="002568A4"/>
    <w:rsid w:val="002569BA"/>
    <w:rsid w:val="00256B54"/>
    <w:rsid w:val="00256FC6"/>
    <w:rsid w:val="0025716F"/>
    <w:rsid w:val="0025730B"/>
    <w:rsid w:val="00257480"/>
    <w:rsid w:val="002574BB"/>
    <w:rsid w:val="002575FB"/>
    <w:rsid w:val="00257746"/>
    <w:rsid w:val="00257799"/>
    <w:rsid w:val="0025786C"/>
    <w:rsid w:val="002579D2"/>
    <w:rsid w:val="00257A5C"/>
    <w:rsid w:val="00257A94"/>
    <w:rsid w:val="00257C19"/>
    <w:rsid w:val="002600E6"/>
    <w:rsid w:val="00260163"/>
    <w:rsid w:val="0026034E"/>
    <w:rsid w:val="0026092C"/>
    <w:rsid w:val="00260A63"/>
    <w:rsid w:val="00260C07"/>
    <w:rsid w:val="00260F05"/>
    <w:rsid w:val="002612BA"/>
    <w:rsid w:val="00261324"/>
    <w:rsid w:val="0026189B"/>
    <w:rsid w:val="00261B5E"/>
    <w:rsid w:val="00261BB5"/>
    <w:rsid w:val="00261BB7"/>
    <w:rsid w:val="00261C43"/>
    <w:rsid w:val="00261EC9"/>
    <w:rsid w:val="0026206A"/>
    <w:rsid w:val="00262321"/>
    <w:rsid w:val="002623BE"/>
    <w:rsid w:val="00262591"/>
    <w:rsid w:val="002625E6"/>
    <w:rsid w:val="00262761"/>
    <w:rsid w:val="002627B5"/>
    <w:rsid w:val="002627DA"/>
    <w:rsid w:val="00262C4E"/>
    <w:rsid w:val="00262C5A"/>
    <w:rsid w:val="00262CAB"/>
    <w:rsid w:val="00262D28"/>
    <w:rsid w:val="00262EA8"/>
    <w:rsid w:val="00263041"/>
    <w:rsid w:val="002632C8"/>
    <w:rsid w:val="00263905"/>
    <w:rsid w:val="00263945"/>
    <w:rsid w:val="00263950"/>
    <w:rsid w:val="00263A54"/>
    <w:rsid w:val="00263C76"/>
    <w:rsid w:val="00263D77"/>
    <w:rsid w:val="00263EF7"/>
    <w:rsid w:val="00263FFD"/>
    <w:rsid w:val="00264501"/>
    <w:rsid w:val="0026469D"/>
    <w:rsid w:val="00264913"/>
    <w:rsid w:val="00264CAF"/>
    <w:rsid w:val="00264FA9"/>
    <w:rsid w:val="002651E4"/>
    <w:rsid w:val="00265298"/>
    <w:rsid w:val="002652A1"/>
    <w:rsid w:val="00265346"/>
    <w:rsid w:val="00265465"/>
    <w:rsid w:val="00265B45"/>
    <w:rsid w:val="00265B9A"/>
    <w:rsid w:val="00265C30"/>
    <w:rsid w:val="00265CA5"/>
    <w:rsid w:val="00265CE6"/>
    <w:rsid w:val="0026623C"/>
    <w:rsid w:val="002663FB"/>
    <w:rsid w:val="00266476"/>
    <w:rsid w:val="002664B0"/>
    <w:rsid w:val="0026665E"/>
    <w:rsid w:val="0026675C"/>
    <w:rsid w:val="00266A23"/>
    <w:rsid w:val="00266F88"/>
    <w:rsid w:val="00267004"/>
    <w:rsid w:val="00267290"/>
    <w:rsid w:val="002672FA"/>
    <w:rsid w:val="00267435"/>
    <w:rsid w:val="002674C3"/>
    <w:rsid w:val="002674DC"/>
    <w:rsid w:val="002674F5"/>
    <w:rsid w:val="00267649"/>
    <w:rsid w:val="00267869"/>
    <w:rsid w:val="00267985"/>
    <w:rsid w:val="00267B7A"/>
    <w:rsid w:val="00267C2E"/>
    <w:rsid w:val="00267E6A"/>
    <w:rsid w:val="00267F38"/>
    <w:rsid w:val="002702A3"/>
    <w:rsid w:val="00270352"/>
    <w:rsid w:val="00270384"/>
    <w:rsid w:val="00270399"/>
    <w:rsid w:val="002704FA"/>
    <w:rsid w:val="002705B1"/>
    <w:rsid w:val="002705CF"/>
    <w:rsid w:val="002706E4"/>
    <w:rsid w:val="00270AD9"/>
    <w:rsid w:val="002719B7"/>
    <w:rsid w:val="00271A3F"/>
    <w:rsid w:val="00271A63"/>
    <w:rsid w:val="00271BB3"/>
    <w:rsid w:val="00271C48"/>
    <w:rsid w:val="00271CD1"/>
    <w:rsid w:val="00271CFD"/>
    <w:rsid w:val="00271E93"/>
    <w:rsid w:val="00271F9D"/>
    <w:rsid w:val="00272076"/>
    <w:rsid w:val="00272321"/>
    <w:rsid w:val="00272899"/>
    <w:rsid w:val="002729C2"/>
    <w:rsid w:val="00272E6D"/>
    <w:rsid w:val="00272F18"/>
    <w:rsid w:val="00273081"/>
    <w:rsid w:val="002732F4"/>
    <w:rsid w:val="00273326"/>
    <w:rsid w:val="00273365"/>
    <w:rsid w:val="002733F0"/>
    <w:rsid w:val="0027344C"/>
    <w:rsid w:val="00273785"/>
    <w:rsid w:val="00273B4C"/>
    <w:rsid w:val="00273CDA"/>
    <w:rsid w:val="00273DFE"/>
    <w:rsid w:val="00273E47"/>
    <w:rsid w:val="002740B2"/>
    <w:rsid w:val="002743F3"/>
    <w:rsid w:val="00274739"/>
    <w:rsid w:val="002747C8"/>
    <w:rsid w:val="0027490F"/>
    <w:rsid w:val="00274941"/>
    <w:rsid w:val="00274953"/>
    <w:rsid w:val="00274A9A"/>
    <w:rsid w:val="00274CF0"/>
    <w:rsid w:val="00274E6E"/>
    <w:rsid w:val="002751A4"/>
    <w:rsid w:val="002751CD"/>
    <w:rsid w:val="0027531A"/>
    <w:rsid w:val="0027565B"/>
    <w:rsid w:val="00275680"/>
    <w:rsid w:val="00275763"/>
    <w:rsid w:val="00275AB4"/>
    <w:rsid w:val="00275B57"/>
    <w:rsid w:val="00275C12"/>
    <w:rsid w:val="00275E0F"/>
    <w:rsid w:val="00275EE6"/>
    <w:rsid w:val="00275FC8"/>
    <w:rsid w:val="0027631F"/>
    <w:rsid w:val="002764BC"/>
    <w:rsid w:val="00276A3E"/>
    <w:rsid w:val="00276C74"/>
    <w:rsid w:val="00276FE1"/>
    <w:rsid w:val="0027731A"/>
    <w:rsid w:val="0027739B"/>
    <w:rsid w:val="00277689"/>
    <w:rsid w:val="002777A7"/>
    <w:rsid w:val="0027790C"/>
    <w:rsid w:val="00277D6F"/>
    <w:rsid w:val="00277DF6"/>
    <w:rsid w:val="00277DF8"/>
    <w:rsid w:val="00277E11"/>
    <w:rsid w:val="00280027"/>
    <w:rsid w:val="002801BE"/>
    <w:rsid w:val="002804F3"/>
    <w:rsid w:val="002807A8"/>
    <w:rsid w:val="002807D9"/>
    <w:rsid w:val="002809EE"/>
    <w:rsid w:val="00280D83"/>
    <w:rsid w:val="00280EAF"/>
    <w:rsid w:val="00280F18"/>
    <w:rsid w:val="002812BB"/>
    <w:rsid w:val="00281400"/>
    <w:rsid w:val="00281805"/>
    <w:rsid w:val="002818BA"/>
    <w:rsid w:val="00281A35"/>
    <w:rsid w:val="00281A75"/>
    <w:rsid w:val="00281E56"/>
    <w:rsid w:val="002821BA"/>
    <w:rsid w:val="002821C2"/>
    <w:rsid w:val="002826B5"/>
    <w:rsid w:val="0028281E"/>
    <w:rsid w:val="0028296E"/>
    <w:rsid w:val="00282AE6"/>
    <w:rsid w:val="00282C91"/>
    <w:rsid w:val="0028336C"/>
    <w:rsid w:val="00283716"/>
    <w:rsid w:val="00283A96"/>
    <w:rsid w:val="00283AA7"/>
    <w:rsid w:val="00283D1E"/>
    <w:rsid w:val="00283FCE"/>
    <w:rsid w:val="00284070"/>
    <w:rsid w:val="00284091"/>
    <w:rsid w:val="002840A5"/>
    <w:rsid w:val="0028431E"/>
    <w:rsid w:val="00284341"/>
    <w:rsid w:val="00284464"/>
    <w:rsid w:val="00284611"/>
    <w:rsid w:val="0028479B"/>
    <w:rsid w:val="002848CA"/>
    <w:rsid w:val="00284B7A"/>
    <w:rsid w:val="00284E80"/>
    <w:rsid w:val="00284F09"/>
    <w:rsid w:val="00284FB1"/>
    <w:rsid w:val="002851E1"/>
    <w:rsid w:val="00285438"/>
    <w:rsid w:val="00285490"/>
    <w:rsid w:val="002856D4"/>
    <w:rsid w:val="002858A5"/>
    <w:rsid w:val="00285AC7"/>
    <w:rsid w:val="00285CD3"/>
    <w:rsid w:val="00285FFC"/>
    <w:rsid w:val="002860B9"/>
    <w:rsid w:val="002860C3"/>
    <w:rsid w:val="00286648"/>
    <w:rsid w:val="002868F9"/>
    <w:rsid w:val="00286BB2"/>
    <w:rsid w:val="00286D87"/>
    <w:rsid w:val="00286EF6"/>
    <w:rsid w:val="002872A5"/>
    <w:rsid w:val="00287481"/>
    <w:rsid w:val="002874AC"/>
    <w:rsid w:val="0028761D"/>
    <w:rsid w:val="00287B40"/>
    <w:rsid w:val="00287CEA"/>
    <w:rsid w:val="00287E71"/>
    <w:rsid w:val="002900C1"/>
    <w:rsid w:val="0029031A"/>
    <w:rsid w:val="002907AB"/>
    <w:rsid w:val="00290FA1"/>
    <w:rsid w:val="00291222"/>
    <w:rsid w:val="0029138D"/>
    <w:rsid w:val="0029140F"/>
    <w:rsid w:val="00291417"/>
    <w:rsid w:val="002914D9"/>
    <w:rsid w:val="002915E8"/>
    <w:rsid w:val="0029160D"/>
    <w:rsid w:val="0029172F"/>
    <w:rsid w:val="002917E9"/>
    <w:rsid w:val="00291821"/>
    <w:rsid w:val="002918ED"/>
    <w:rsid w:val="002919A9"/>
    <w:rsid w:val="00291A20"/>
    <w:rsid w:val="00291F07"/>
    <w:rsid w:val="002923EA"/>
    <w:rsid w:val="0029243D"/>
    <w:rsid w:val="0029245C"/>
    <w:rsid w:val="002926C6"/>
    <w:rsid w:val="0029277D"/>
    <w:rsid w:val="0029291A"/>
    <w:rsid w:val="0029293E"/>
    <w:rsid w:val="00292D28"/>
    <w:rsid w:val="00292F40"/>
    <w:rsid w:val="0029339A"/>
    <w:rsid w:val="00293577"/>
    <w:rsid w:val="00293701"/>
    <w:rsid w:val="00293AEF"/>
    <w:rsid w:val="00293D53"/>
    <w:rsid w:val="0029447E"/>
    <w:rsid w:val="00294796"/>
    <w:rsid w:val="00295052"/>
    <w:rsid w:val="002956B1"/>
    <w:rsid w:val="00295F9C"/>
    <w:rsid w:val="0029604E"/>
    <w:rsid w:val="002961C9"/>
    <w:rsid w:val="002961EE"/>
    <w:rsid w:val="0029650E"/>
    <w:rsid w:val="002969DF"/>
    <w:rsid w:val="00296A6E"/>
    <w:rsid w:val="00296F92"/>
    <w:rsid w:val="002971D6"/>
    <w:rsid w:val="00297209"/>
    <w:rsid w:val="00297759"/>
    <w:rsid w:val="00297B64"/>
    <w:rsid w:val="002A0184"/>
    <w:rsid w:val="002A0457"/>
    <w:rsid w:val="002A049A"/>
    <w:rsid w:val="002A0625"/>
    <w:rsid w:val="002A0720"/>
    <w:rsid w:val="002A083B"/>
    <w:rsid w:val="002A0CF1"/>
    <w:rsid w:val="002A0FB6"/>
    <w:rsid w:val="002A1557"/>
    <w:rsid w:val="002A176D"/>
    <w:rsid w:val="002A1A13"/>
    <w:rsid w:val="002A1BA4"/>
    <w:rsid w:val="002A1C1A"/>
    <w:rsid w:val="002A1C28"/>
    <w:rsid w:val="002A1DEB"/>
    <w:rsid w:val="002A1F8C"/>
    <w:rsid w:val="002A2157"/>
    <w:rsid w:val="002A21D4"/>
    <w:rsid w:val="002A27DF"/>
    <w:rsid w:val="002A2A75"/>
    <w:rsid w:val="002A2B97"/>
    <w:rsid w:val="002A2EB6"/>
    <w:rsid w:val="002A2EC0"/>
    <w:rsid w:val="002A3028"/>
    <w:rsid w:val="002A335F"/>
    <w:rsid w:val="002A33A5"/>
    <w:rsid w:val="002A36EE"/>
    <w:rsid w:val="002A3FBB"/>
    <w:rsid w:val="002A3FF2"/>
    <w:rsid w:val="002A4094"/>
    <w:rsid w:val="002A4096"/>
    <w:rsid w:val="002A40B1"/>
    <w:rsid w:val="002A4346"/>
    <w:rsid w:val="002A4653"/>
    <w:rsid w:val="002A476F"/>
    <w:rsid w:val="002A4807"/>
    <w:rsid w:val="002A483B"/>
    <w:rsid w:val="002A48D2"/>
    <w:rsid w:val="002A48F7"/>
    <w:rsid w:val="002A4A02"/>
    <w:rsid w:val="002A4D77"/>
    <w:rsid w:val="002A4E34"/>
    <w:rsid w:val="002A5056"/>
    <w:rsid w:val="002A538F"/>
    <w:rsid w:val="002A5949"/>
    <w:rsid w:val="002A5A73"/>
    <w:rsid w:val="002A5DF3"/>
    <w:rsid w:val="002A5E46"/>
    <w:rsid w:val="002A5E6E"/>
    <w:rsid w:val="002A6126"/>
    <w:rsid w:val="002A6198"/>
    <w:rsid w:val="002A6248"/>
    <w:rsid w:val="002A6527"/>
    <w:rsid w:val="002A68EC"/>
    <w:rsid w:val="002A6F90"/>
    <w:rsid w:val="002A74D4"/>
    <w:rsid w:val="002A789F"/>
    <w:rsid w:val="002A7BDF"/>
    <w:rsid w:val="002B0106"/>
    <w:rsid w:val="002B080F"/>
    <w:rsid w:val="002B0B4C"/>
    <w:rsid w:val="002B0D1B"/>
    <w:rsid w:val="002B10D7"/>
    <w:rsid w:val="002B12D7"/>
    <w:rsid w:val="002B12E5"/>
    <w:rsid w:val="002B12EE"/>
    <w:rsid w:val="002B1548"/>
    <w:rsid w:val="002B168B"/>
    <w:rsid w:val="002B1A60"/>
    <w:rsid w:val="002B1B05"/>
    <w:rsid w:val="002B1B1F"/>
    <w:rsid w:val="002B1D0A"/>
    <w:rsid w:val="002B2048"/>
    <w:rsid w:val="002B2078"/>
    <w:rsid w:val="002B2880"/>
    <w:rsid w:val="002B2D92"/>
    <w:rsid w:val="002B2E02"/>
    <w:rsid w:val="002B2E5B"/>
    <w:rsid w:val="002B2F3C"/>
    <w:rsid w:val="002B2F89"/>
    <w:rsid w:val="002B3559"/>
    <w:rsid w:val="002B361E"/>
    <w:rsid w:val="002B3995"/>
    <w:rsid w:val="002B3CAE"/>
    <w:rsid w:val="002B3CCE"/>
    <w:rsid w:val="002B3CF9"/>
    <w:rsid w:val="002B3DFF"/>
    <w:rsid w:val="002B3F0F"/>
    <w:rsid w:val="002B4188"/>
    <w:rsid w:val="002B438E"/>
    <w:rsid w:val="002B47C5"/>
    <w:rsid w:val="002B4B15"/>
    <w:rsid w:val="002B4C0F"/>
    <w:rsid w:val="002B4D19"/>
    <w:rsid w:val="002B4E42"/>
    <w:rsid w:val="002B514A"/>
    <w:rsid w:val="002B5152"/>
    <w:rsid w:val="002B51B4"/>
    <w:rsid w:val="002B5267"/>
    <w:rsid w:val="002B531B"/>
    <w:rsid w:val="002B58A0"/>
    <w:rsid w:val="002B5AF7"/>
    <w:rsid w:val="002B5B07"/>
    <w:rsid w:val="002B5C66"/>
    <w:rsid w:val="002B5EA3"/>
    <w:rsid w:val="002B6290"/>
    <w:rsid w:val="002B65F7"/>
    <w:rsid w:val="002B661C"/>
    <w:rsid w:val="002B67A6"/>
    <w:rsid w:val="002B69E5"/>
    <w:rsid w:val="002B6C67"/>
    <w:rsid w:val="002B7187"/>
    <w:rsid w:val="002B7317"/>
    <w:rsid w:val="002B7444"/>
    <w:rsid w:val="002B76CD"/>
    <w:rsid w:val="002B79F3"/>
    <w:rsid w:val="002B7A6C"/>
    <w:rsid w:val="002B7AB2"/>
    <w:rsid w:val="002B7B0A"/>
    <w:rsid w:val="002B7C08"/>
    <w:rsid w:val="002B7F7B"/>
    <w:rsid w:val="002C002D"/>
    <w:rsid w:val="002C00B4"/>
    <w:rsid w:val="002C0317"/>
    <w:rsid w:val="002C0696"/>
    <w:rsid w:val="002C0893"/>
    <w:rsid w:val="002C0EC2"/>
    <w:rsid w:val="002C1186"/>
    <w:rsid w:val="002C136A"/>
    <w:rsid w:val="002C15DE"/>
    <w:rsid w:val="002C1818"/>
    <w:rsid w:val="002C1862"/>
    <w:rsid w:val="002C1912"/>
    <w:rsid w:val="002C1EB0"/>
    <w:rsid w:val="002C23A4"/>
    <w:rsid w:val="002C25D4"/>
    <w:rsid w:val="002C2A19"/>
    <w:rsid w:val="002C2DCE"/>
    <w:rsid w:val="002C2E76"/>
    <w:rsid w:val="002C339D"/>
    <w:rsid w:val="002C33DE"/>
    <w:rsid w:val="002C345C"/>
    <w:rsid w:val="002C36E5"/>
    <w:rsid w:val="002C3718"/>
    <w:rsid w:val="002C37B6"/>
    <w:rsid w:val="002C3908"/>
    <w:rsid w:val="002C39CF"/>
    <w:rsid w:val="002C3C11"/>
    <w:rsid w:val="002C3C57"/>
    <w:rsid w:val="002C3CAA"/>
    <w:rsid w:val="002C3CEA"/>
    <w:rsid w:val="002C3D60"/>
    <w:rsid w:val="002C3F62"/>
    <w:rsid w:val="002C4060"/>
    <w:rsid w:val="002C4212"/>
    <w:rsid w:val="002C4737"/>
    <w:rsid w:val="002C4965"/>
    <w:rsid w:val="002C4A7B"/>
    <w:rsid w:val="002C4E13"/>
    <w:rsid w:val="002C5289"/>
    <w:rsid w:val="002C5707"/>
    <w:rsid w:val="002C64E4"/>
    <w:rsid w:val="002C670A"/>
    <w:rsid w:val="002C6C37"/>
    <w:rsid w:val="002C6CDB"/>
    <w:rsid w:val="002C6DA0"/>
    <w:rsid w:val="002C6DC8"/>
    <w:rsid w:val="002C71EA"/>
    <w:rsid w:val="002C720C"/>
    <w:rsid w:val="002C777C"/>
    <w:rsid w:val="002C7831"/>
    <w:rsid w:val="002C7C84"/>
    <w:rsid w:val="002C7EF3"/>
    <w:rsid w:val="002D0362"/>
    <w:rsid w:val="002D036E"/>
    <w:rsid w:val="002D044D"/>
    <w:rsid w:val="002D04D0"/>
    <w:rsid w:val="002D0A62"/>
    <w:rsid w:val="002D142F"/>
    <w:rsid w:val="002D15FC"/>
    <w:rsid w:val="002D1743"/>
    <w:rsid w:val="002D18CF"/>
    <w:rsid w:val="002D1932"/>
    <w:rsid w:val="002D1A37"/>
    <w:rsid w:val="002D1A6B"/>
    <w:rsid w:val="002D1B59"/>
    <w:rsid w:val="002D2376"/>
    <w:rsid w:val="002D2432"/>
    <w:rsid w:val="002D24AF"/>
    <w:rsid w:val="002D2627"/>
    <w:rsid w:val="002D272A"/>
    <w:rsid w:val="002D2796"/>
    <w:rsid w:val="002D27D1"/>
    <w:rsid w:val="002D28A0"/>
    <w:rsid w:val="002D2AE7"/>
    <w:rsid w:val="002D2D56"/>
    <w:rsid w:val="002D2E6C"/>
    <w:rsid w:val="002D2EB3"/>
    <w:rsid w:val="002D31B1"/>
    <w:rsid w:val="002D3308"/>
    <w:rsid w:val="002D36E4"/>
    <w:rsid w:val="002D36E5"/>
    <w:rsid w:val="002D3709"/>
    <w:rsid w:val="002D39B7"/>
    <w:rsid w:val="002D3C61"/>
    <w:rsid w:val="002D3DE8"/>
    <w:rsid w:val="002D3E19"/>
    <w:rsid w:val="002D404E"/>
    <w:rsid w:val="002D40E3"/>
    <w:rsid w:val="002D426C"/>
    <w:rsid w:val="002D433B"/>
    <w:rsid w:val="002D45CC"/>
    <w:rsid w:val="002D487C"/>
    <w:rsid w:val="002D495A"/>
    <w:rsid w:val="002D4998"/>
    <w:rsid w:val="002D4D7B"/>
    <w:rsid w:val="002D5258"/>
    <w:rsid w:val="002D5D0F"/>
    <w:rsid w:val="002D5E19"/>
    <w:rsid w:val="002D6231"/>
    <w:rsid w:val="002D6356"/>
    <w:rsid w:val="002D63A1"/>
    <w:rsid w:val="002D6533"/>
    <w:rsid w:val="002D6B6F"/>
    <w:rsid w:val="002D6CEE"/>
    <w:rsid w:val="002D6E5C"/>
    <w:rsid w:val="002D701B"/>
    <w:rsid w:val="002D7138"/>
    <w:rsid w:val="002D71B2"/>
    <w:rsid w:val="002D73E8"/>
    <w:rsid w:val="002D747A"/>
    <w:rsid w:val="002D75B1"/>
    <w:rsid w:val="002D7733"/>
    <w:rsid w:val="002D78B5"/>
    <w:rsid w:val="002D7BE6"/>
    <w:rsid w:val="002E016A"/>
    <w:rsid w:val="002E0564"/>
    <w:rsid w:val="002E071C"/>
    <w:rsid w:val="002E08E6"/>
    <w:rsid w:val="002E0D1C"/>
    <w:rsid w:val="002E105D"/>
    <w:rsid w:val="002E122E"/>
    <w:rsid w:val="002E1604"/>
    <w:rsid w:val="002E16A3"/>
    <w:rsid w:val="002E17FC"/>
    <w:rsid w:val="002E18C0"/>
    <w:rsid w:val="002E1F76"/>
    <w:rsid w:val="002E2187"/>
    <w:rsid w:val="002E2286"/>
    <w:rsid w:val="002E2296"/>
    <w:rsid w:val="002E22EE"/>
    <w:rsid w:val="002E27E0"/>
    <w:rsid w:val="002E2D5F"/>
    <w:rsid w:val="002E2E1B"/>
    <w:rsid w:val="002E2EB5"/>
    <w:rsid w:val="002E323E"/>
    <w:rsid w:val="002E3367"/>
    <w:rsid w:val="002E34D9"/>
    <w:rsid w:val="002E39E2"/>
    <w:rsid w:val="002E3C12"/>
    <w:rsid w:val="002E3C96"/>
    <w:rsid w:val="002E3CD4"/>
    <w:rsid w:val="002E3E7F"/>
    <w:rsid w:val="002E4023"/>
    <w:rsid w:val="002E40A2"/>
    <w:rsid w:val="002E4258"/>
    <w:rsid w:val="002E462A"/>
    <w:rsid w:val="002E489C"/>
    <w:rsid w:val="002E4938"/>
    <w:rsid w:val="002E4984"/>
    <w:rsid w:val="002E4DF9"/>
    <w:rsid w:val="002E4ED3"/>
    <w:rsid w:val="002E5060"/>
    <w:rsid w:val="002E50A8"/>
    <w:rsid w:val="002E5425"/>
    <w:rsid w:val="002E5530"/>
    <w:rsid w:val="002E58AE"/>
    <w:rsid w:val="002E5A71"/>
    <w:rsid w:val="002E5BFD"/>
    <w:rsid w:val="002E5E7D"/>
    <w:rsid w:val="002E5F60"/>
    <w:rsid w:val="002E6261"/>
    <w:rsid w:val="002E6356"/>
    <w:rsid w:val="002E6F89"/>
    <w:rsid w:val="002E7010"/>
    <w:rsid w:val="002E7B20"/>
    <w:rsid w:val="002E7E2A"/>
    <w:rsid w:val="002F00E1"/>
    <w:rsid w:val="002F0246"/>
    <w:rsid w:val="002F045D"/>
    <w:rsid w:val="002F0519"/>
    <w:rsid w:val="002F05CB"/>
    <w:rsid w:val="002F0742"/>
    <w:rsid w:val="002F08E4"/>
    <w:rsid w:val="002F10AD"/>
    <w:rsid w:val="002F11D0"/>
    <w:rsid w:val="002F1D49"/>
    <w:rsid w:val="002F1E21"/>
    <w:rsid w:val="002F204A"/>
    <w:rsid w:val="002F22AC"/>
    <w:rsid w:val="002F26DD"/>
    <w:rsid w:val="002F282E"/>
    <w:rsid w:val="002F2C77"/>
    <w:rsid w:val="002F2EE0"/>
    <w:rsid w:val="002F2F77"/>
    <w:rsid w:val="002F3BF3"/>
    <w:rsid w:val="002F41EC"/>
    <w:rsid w:val="002F4739"/>
    <w:rsid w:val="002F4754"/>
    <w:rsid w:val="002F49CA"/>
    <w:rsid w:val="002F4DD7"/>
    <w:rsid w:val="002F565C"/>
    <w:rsid w:val="002F5859"/>
    <w:rsid w:val="002F588B"/>
    <w:rsid w:val="002F5C76"/>
    <w:rsid w:val="002F5EE2"/>
    <w:rsid w:val="002F6B04"/>
    <w:rsid w:val="002F6C9D"/>
    <w:rsid w:val="002F73DE"/>
    <w:rsid w:val="002F7586"/>
    <w:rsid w:val="002F7864"/>
    <w:rsid w:val="002F7D32"/>
    <w:rsid w:val="002F7F70"/>
    <w:rsid w:val="003001C7"/>
    <w:rsid w:val="00300336"/>
    <w:rsid w:val="0030046A"/>
    <w:rsid w:val="00300621"/>
    <w:rsid w:val="003007E4"/>
    <w:rsid w:val="00300823"/>
    <w:rsid w:val="00300EFC"/>
    <w:rsid w:val="00300F81"/>
    <w:rsid w:val="003011A4"/>
    <w:rsid w:val="00301324"/>
    <w:rsid w:val="00301626"/>
    <w:rsid w:val="003017C7"/>
    <w:rsid w:val="003017CD"/>
    <w:rsid w:val="00301877"/>
    <w:rsid w:val="00301ABC"/>
    <w:rsid w:val="00301CAB"/>
    <w:rsid w:val="00301F4F"/>
    <w:rsid w:val="003020C3"/>
    <w:rsid w:val="00302233"/>
    <w:rsid w:val="00302259"/>
    <w:rsid w:val="00302285"/>
    <w:rsid w:val="0030287A"/>
    <w:rsid w:val="00302CF0"/>
    <w:rsid w:val="00303103"/>
    <w:rsid w:val="003031E5"/>
    <w:rsid w:val="003033AE"/>
    <w:rsid w:val="003034ED"/>
    <w:rsid w:val="00303915"/>
    <w:rsid w:val="003039A0"/>
    <w:rsid w:val="003039D8"/>
    <w:rsid w:val="00303D31"/>
    <w:rsid w:val="00303F8A"/>
    <w:rsid w:val="00304117"/>
    <w:rsid w:val="00304125"/>
    <w:rsid w:val="0030431E"/>
    <w:rsid w:val="00304E1F"/>
    <w:rsid w:val="00305061"/>
    <w:rsid w:val="00305237"/>
    <w:rsid w:val="00305300"/>
    <w:rsid w:val="00305337"/>
    <w:rsid w:val="003055AD"/>
    <w:rsid w:val="00305901"/>
    <w:rsid w:val="00305C62"/>
    <w:rsid w:val="00305D40"/>
    <w:rsid w:val="00305F06"/>
    <w:rsid w:val="003060C8"/>
    <w:rsid w:val="00306125"/>
    <w:rsid w:val="003062CB"/>
    <w:rsid w:val="003064FE"/>
    <w:rsid w:val="00306994"/>
    <w:rsid w:val="00306C49"/>
    <w:rsid w:val="00306E26"/>
    <w:rsid w:val="0030700B"/>
    <w:rsid w:val="00307016"/>
    <w:rsid w:val="003071F2"/>
    <w:rsid w:val="003071F6"/>
    <w:rsid w:val="00307529"/>
    <w:rsid w:val="003075CB"/>
    <w:rsid w:val="003075D8"/>
    <w:rsid w:val="00307695"/>
    <w:rsid w:val="003077AF"/>
    <w:rsid w:val="00307936"/>
    <w:rsid w:val="00307AA4"/>
    <w:rsid w:val="00307CAE"/>
    <w:rsid w:val="00307CD1"/>
    <w:rsid w:val="00307D0D"/>
    <w:rsid w:val="00307D70"/>
    <w:rsid w:val="00307F12"/>
    <w:rsid w:val="00310A6C"/>
    <w:rsid w:val="00310B2F"/>
    <w:rsid w:val="00310BE9"/>
    <w:rsid w:val="00310D7A"/>
    <w:rsid w:val="00310E23"/>
    <w:rsid w:val="00310FEB"/>
    <w:rsid w:val="0031120B"/>
    <w:rsid w:val="00311358"/>
    <w:rsid w:val="00311680"/>
    <w:rsid w:val="003118C4"/>
    <w:rsid w:val="0031198C"/>
    <w:rsid w:val="00311B5E"/>
    <w:rsid w:val="00311C16"/>
    <w:rsid w:val="00311FD2"/>
    <w:rsid w:val="00312241"/>
    <w:rsid w:val="0031244A"/>
    <w:rsid w:val="00312482"/>
    <w:rsid w:val="00312701"/>
    <w:rsid w:val="00312722"/>
    <w:rsid w:val="00312852"/>
    <w:rsid w:val="00312C79"/>
    <w:rsid w:val="00312E79"/>
    <w:rsid w:val="00313582"/>
    <w:rsid w:val="003135EF"/>
    <w:rsid w:val="003136F4"/>
    <w:rsid w:val="0031389B"/>
    <w:rsid w:val="003138C6"/>
    <w:rsid w:val="003138DD"/>
    <w:rsid w:val="00313CB2"/>
    <w:rsid w:val="00313CC2"/>
    <w:rsid w:val="00313E07"/>
    <w:rsid w:val="003140EF"/>
    <w:rsid w:val="00314260"/>
    <w:rsid w:val="003142B5"/>
    <w:rsid w:val="003147E7"/>
    <w:rsid w:val="00314921"/>
    <w:rsid w:val="003149B5"/>
    <w:rsid w:val="00314B95"/>
    <w:rsid w:val="0031557A"/>
    <w:rsid w:val="00315842"/>
    <w:rsid w:val="0031599A"/>
    <w:rsid w:val="00315B6F"/>
    <w:rsid w:val="00315EDE"/>
    <w:rsid w:val="00315F9C"/>
    <w:rsid w:val="00316142"/>
    <w:rsid w:val="0031615A"/>
    <w:rsid w:val="0031632C"/>
    <w:rsid w:val="00316502"/>
    <w:rsid w:val="003167FD"/>
    <w:rsid w:val="00317109"/>
    <w:rsid w:val="0031715D"/>
    <w:rsid w:val="003173FF"/>
    <w:rsid w:val="003178E5"/>
    <w:rsid w:val="00317B49"/>
    <w:rsid w:val="00317D4E"/>
    <w:rsid w:val="00317E1F"/>
    <w:rsid w:val="00317E7F"/>
    <w:rsid w:val="00320733"/>
    <w:rsid w:val="0032090B"/>
    <w:rsid w:val="00320943"/>
    <w:rsid w:val="00321097"/>
    <w:rsid w:val="0032158C"/>
    <w:rsid w:val="00321769"/>
    <w:rsid w:val="00321A52"/>
    <w:rsid w:val="00321AD6"/>
    <w:rsid w:val="00321AF2"/>
    <w:rsid w:val="00321F4C"/>
    <w:rsid w:val="00322737"/>
    <w:rsid w:val="00322933"/>
    <w:rsid w:val="00322CC3"/>
    <w:rsid w:val="00322D6D"/>
    <w:rsid w:val="0032307F"/>
    <w:rsid w:val="0032369C"/>
    <w:rsid w:val="00323C57"/>
    <w:rsid w:val="00323CE9"/>
    <w:rsid w:val="00323E2F"/>
    <w:rsid w:val="00323E39"/>
    <w:rsid w:val="0032406F"/>
    <w:rsid w:val="00324087"/>
    <w:rsid w:val="003244F2"/>
    <w:rsid w:val="003246C6"/>
    <w:rsid w:val="00324702"/>
    <w:rsid w:val="00324AAE"/>
    <w:rsid w:val="0032541A"/>
    <w:rsid w:val="003256E3"/>
    <w:rsid w:val="00325B00"/>
    <w:rsid w:val="00325FB3"/>
    <w:rsid w:val="00325FBE"/>
    <w:rsid w:val="003269FE"/>
    <w:rsid w:val="00326C65"/>
    <w:rsid w:val="00326D3F"/>
    <w:rsid w:val="00326EA9"/>
    <w:rsid w:val="003271C7"/>
    <w:rsid w:val="0032765C"/>
    <w:rsid w:val="0032792D"/>
    <w:rsid w:val="00327959"/>
    <w:rsid w:val="00327975"/>
    <w:rsid w:val="003279EF"/>
    <w:rsid w:val="00327FB4"/>
    <w:rsid w:val="00330085"/>
    <w:rsid w:val="0033028B"/>
    <w:rsid w:val="00330737"/>
    <w:rsid w:val="0033092C"/>
    <w:rsid w:val="00330954"/>
    <w:rsid w:val="00331061"/>
    <w:rsid w:val="003314F8"/>
    <w:rsid w:val="003315C8"/>
    <w:rsid w:val="003318D5"/>
    <w:rsid w:val="003319A9"/>
    <w:rsid w:val="00331B27"/>
    <w:rsid w:val="00332458"/>
    <w:rsid w:val="00332730"/>
    <w:rsid w:val="0033290D"/>
    <w:rsid w:val="00332F55"/>
    <w:rsid w:val="00333082"/>
    <w:rsid w:val="003333FA"/>
    <w:rsid w:val="0033340D"/>
    <w:rsid w:val="00333516"/>
    <w:rsid w:val="003335A6"/>
    <w:rsid w:val="003335FE"/>
    <w:rsid w:val="00333CEE"/>
    <w:rsid w:val="003340F4"/>
    <w:rsid w:val="003341F6"/>
    <w:rsid w:val="003343B5"/>
    <w:rsid w:val="00334A98"/>
    <w:rsid w:val="00334FA0"/>
    <w:rsid w:val="003350E9"/>
    <w:rsid w:val="003352D6"/>
    <w:rsid w:val="00335806"/>
    <w:rsid w:val="0033611F"/>
    <w:rsid w:val="003361EC"/>
    <w:rsid w:val="00336CAD"/>
    <w:rsid w:val="003371F7"/>
    <w:rsid w:val="00337302"/>
    <w:rsid w:val="003376D5"/>
    <w:rsid w:val="00337972"/>
    <w:rsid w:val="00337BED"/>
    <w:rsid w:val="00337FCA"/>
    <w:rsid w:val="00337FFD"/>
    <w:rsid w:val="00340696"/>
    <w:rsid w:val="00340811"/>
    <w:rsid w:val="00340A7A"/>
    <w:rsid w:val="00340B72"/>
    <w:rsid w:val="00340B9A"/>
    <w:rsid w:val="00340C58"/>
    <w:rsid w:val="00340F25"/>
    <w:rsid w:val="003410B6"/>
    <w:rsid w:val="003413F4"/>
    <w:rsid w:val="003413FE"/>
    <w:rsid w:val="003416AC"/>
    <w:rsid w:val="003418D6"/>
    <w:rsid w:val="00341959"/>
    <w:rsid w:val="00341DA8"/>
    <w:rsid w:val="00341F00"/>
    <w:rsid w:val="003421F2"/>
    <w:rsid w:val="00342253"/>
    <w:rsid w:val="00342514"/>
    <w:rsid w:val="00342703"/>
    <w:rsid w:val="003427F7"/>
    <w:rsid w:val="00342BE2"/>
    <w:rsid w:val="00342E40"/>
    <w:rsid w:val="00342EC8"/>
    <w:rsid w:val="00342FA9"/>
    <w:rsid w:val="003430E6"/>
    <w:rsid w:val="0034320E"/>
    <w:rsid w:val="003432F0"/>
    <w:rsid w:val="00343741"/>
    <w:rsid w:val="0034393F"/>
    <w:rsid w:val="00343B04"/>
    <w:rsid w:val="00343CC0"/>
    <w:rsid w:val="00343D2B"/>
    <w:rsid w:val="00344132"/>
    <w:rsid w:val="003441CE"/>
    <w:rsid w:val="0034493A"/>
    <w:rsid w:val="00344A11"/>
    <w:rsid w:val="00344B19"/>
    <w:rsid w:val="003459DD"/>
    <w:rsid w:val="00345AAD"/>
    <w:rsid w:val="00345AD2"/>
    <w:rsid w:val="00345C02"/>
    <w:rsid w:val="00345C03"/>
    <w:rsid w:val="00345DEF"/>
    <w:rsid w:val="00345EC2"/>
    <w:rsid w:val="00345F83"/>
    <w:rsid w:val="00345FEC"/>
    <w:rsid w:val="003460C9"/>
    <w:rsid w:val="0034626C"/>
    <w:rsid w:val="00346293"/>
    <w:rsid w:val="00346319"/>
    <w:rsid w:val="00346687"/>
    <w:rsid w:val="0034675E"/>
    <w:rsid w:val="00346C8D"/>
    <w:rsid w:val="00347147"/>
    <w:rsid w:val="00347659"/>
    <w:rsid w:val="003476C6"/>
    <w:rsid w:val="00347736"/>
    <w:rsid w:val="003477A7"/>
    <w:rsid w:val="00347EFC"/>
    <w:rsid w:val="003500EE"/>
    <w:rsid w:val="00350105"/>
    <w:rsid w:val="00350108"/>
    <w:rsid w:val="00350191"/>
    <w:rsid w:val="0035048D"/>
    <w:rsid w:val="00350770"/>
    <w:rsid w:val="0035078A"/>
    <w:rsid w:val="00350966"/>
    <w:rsid w:val="00350CA2"/>
    <w:rsid w:val="00350E28"/>
    <w:rsid w:val="00350E55"/>
    <w:rsid w:val="00351353"/>
    <w:rsid w:val="003516B8"/>
    <w:rsid w:val="003517DE"/>
    <w:rsid w:val="00351B53"/>
    <w:rsid w:val="00351CDE"/>
    <w:rsid w:val="00351DEC"/>
    <w:rsid w:val="00351E41"/>
    <w:rsid w:val="00351F45"/>
    <w:rsid w:val="003520AC"/>
    <w:rsid w:val="0035238F"/>
    <w:rsid w:val="00352669"/>
    <w:rsid w:val="003526A9"/>
    <w:rsid w:val="003526CB"/>
    <w:rsid w:val="003526FF"/>
    <w:rsid w:val="003529A9"/>
    <w:rsid w:val="00352B93"/>
    <w:rsid w:val="00352BC0"/>
    <w:rsid w:val="00352DC7"/>
    <w:rsid w:val="00352F06"/>
    <w:rsid w:val="00353087"/>
    <w:rsid w:val="0035332F"/>
    <w:rsid w:val="00353433"/>
    <w:rsid w:val="00353488"/>
    <w:rsid w:val="00353497"/>
    <w:rsid w:val="00353825"/>
    <w:rsid w:val="00353C76"/>
    <w:rsid w:val="0035408A"/>
    <w:rsid w:val="003542DC"/>
    <w:rsid w:val="003545A4"/>
    <w:rsid w:val="003545E7"/>
    <w:rsid w:val="00354A59"/>
    <w:rsid w:val="00354CB5"/>
    <w:rsid w:val="003551E3"/>
    <w:rsid w:val="0035520A"/>
    <w:rsid w:val="00355545"/>
    <w:rsid w:val="00355688"/>
    <w:rsid w:val="00355F60"/>
    <w:rsid w:val="00356493"/>
    <w:rsid w:val="003564C8"/>
    <w:rsid w:val="003568D9"/>
    <w:rsid w:val="0035692E"/>
    <w:rsid w:val="00356B54"/>
    <w:rsid w:val="00356BB3"/>
    <w:rsid w:val="00356D79"/>
    <w:rsid w:val="00356DC9"/>
    <w:rsid w:val="00356F3D"/>
    <w:rsid w:val="00356FE7"/>
    <w:rsid w:val="00357CCC"/>
    <w:rsid w:val="00360155"/>
    <w:rsid w:val="0036015C"/>
    <w:rsid w:val="003602E9"/>
    <w:rsid w:val="003604B6"/>
    <w:rsid w:val="003608CD"/>
    <w:rsid w:val="00360962"/>
    <w:rsid w:val="00360AE0"/>
    <w:rsid w:val="00360E40"/>
    <w:rsid w:val="00360EDF"/>
    <w:rsid w:val="0036125D"/>
    <w:rsid w:val="0036141A"/>
    <w:rsid w:val="00361B4B"/>
    <w:rsid w:val="00361CAC"/>
    <w:rsid w:val="00362223"/>
    <w:rsid w:val="00362286"/>
    <w:rsid w:val="0036229E"/>
    <w:rsid w:val="0036243D"/>
    <w:rsid w:val="0036248D"/>
    <w:rsid w:val="0036266D"/>
    <w:rsid w:val="0036267F"/>
    <w:rsid w:val="00362680"/>
    <w:rsid w:val="003626D4"/>
    <w:rsid w:val="003628DD"/>
    <w:rsid w:val="0036290A"/>
    <w:rsid w:val="003629C6"/>
    <w:rsid w:val="00362A11"/>
    <w:rsid w:val="00362A8B"/>
    <w:rsid w:val="00362CAC"/>
    <w:rsid w:val="00362EEB"/>
    <w:rsid w:val="00363091"/>
    <w:rsid w:val="003630C9"/>
    <w:rsid w:val="00363326"/>
    <w:rsid w:val="00363350"/>
    <w:rsid w:val="003634FF"/>
    <w:rsid w:val="003638BA"/>
    <w:rsid w:val="003639E8"/>
    <w:rsid w:val="00363BA5"/>
    <w:rsid w:val="00363D09"/>
    <w:rsid w:val="00363DB2"/>
    <w:rsid w:val="00363E75"/>
    <w:rsid w:val="00364312"/>
    <w:rsid w:val="0036451A"/>
    <w:rsid w:val="00364598"/>
    <w:rsid w:val="0036470C"/>
    <w:rsid w:val="00364D00"/>
    <w:rsid w:val="00364FA8"/>
    <w:rsid w:val="00365375"/>
    <w:rsid w:val="003653E9"/>
    <w:rsid w:val="003655CB"/>
    <w:rsid w:val="00365645"/>
    <w:rsid w:val="00365712"/>
    <w:rsid w:val="0036575D"/>
    <w:rsid w:val="003657A3"/>
    <w:rsid w:val="003657B9"/>
    <w:rsid w:val="00365828"/>
    <w:rsid w:val="00365B52"/>
    <w:rsid w:val="00365E48"/>
    <w:rsid w:val="00366241"/>
    <w:rsid w:val="00366336"/>
    <w:rsid w:val="003666C8"/>
    <w:rsid w:val="003669F4"/>
    <w:rsid w:val="00366C34"/>
    <w:rsid w:val="00366D27"/>
    <w:rsid w:val="00366EE8"/>
    <w:rsid w:val="003671CB"/>
    <w:rsid w:val="0036786E"/>
    <w:rsid w:val="00367898"/>
    <w:rsid w:val="0036799C"/>
    <w:rsid w:val="003679DF"/>
    <w:rsid w:val="00367A6E"/>
    <w:rsid w:val="00367D7A"/>
    <w:rsid w:val="00367FEA"/>
    <w:rsid w:val="0037022F"/>
    <w:rsid w:val="00370247"/>
    <w:rsid w:val="00370387"/>
    <w:rsid w:val="00370685"/>
    <w:rsid w:val="00370AB8"/>
    <w:rsid w:val="00370B06"/>
    <w:rsid w:val="00370E00"/>
    <w:rsid w:val="00370E56"/>
    <w:rsid w:val="0037120D"/>
    <w:rsid w:val="003712D0"/>
    <w:rsid w:val="0037158B"/>
    <w:rsid w:val="003715FC"/>
    <w:rsid w:val="00371A8A"/>
    <w:rsid w:val="00371E09"/>
    <w:rsid w:val="00371E5D"/>
    <w:rsid w:val="00371FAB"/>
    <w:rsid w:val="003721DE"/>
    <w:rsid w:val="00372742"/>
    <w:rsid w:val="0037287D"/>
    <w:rsid w:val="00372D0F"/>
    <w:rsid w:val="00372DC1"/>
    <w:rsid w:val="00372EAB"/>
    <w:rsid w:val="00372FD0"/>
    <w:rsid w:val="003731BA"/>
    <w:rsid w:val="00373384"/>
    <w:rsid w:val="0037369A"/>
    <w:rsid w:val="00373726"/>
    <w:rsid w:val="00373A46"/>
    <w:rsid w:val="00373C21"/>
    <w:rsid w:val="00373FEC"/>
    <w:rsid w:val="00374129"/>
    <w:rsid w:val="00374522"/>
    <w:rsid w:val="003745A2"/>
    <w:rsid w:val="003746ED"/>
    <w:rsid w:val="00374750"/>
    <w:rsid w:val="00374828"/>
    <w:rsid w:val="00374D56"/>
    <w:rsid w:val="003750AC"/>
    <w:rsid w:val="003752D9"/>
    <w:rsid w:val="0037557A"/>
    <w:rsid w:val="003757B9"/>
    <w:rsid w:val="00375836"/>
    <w:rsid w:val="0037594A"/>
    <w:rsid w:val="003759C7"/>
    <w:rsid w:val="00375A42"/>
    <w:rsid w:val="00375CB7"/>
    <w:rsid w:val="00376160"/>
    <w:rsid w:val="0037674C"/>
    <w:rsid w:val="00376C0C"/>
    <w:rsid w:val="00376CD4"/>
    <w:rsid w:val="00376DE5"/>
    <w:rsid w:val="00376E96"/>
    <w:rsid w:val="00377110"/>
    <w:rsid w:val="003774C4"/>
    <w:rsid w:val="00377AA9"/>
    <w:rsid w:val="00377B1A"/>
    <w:rsid w:val="00377EC5"/>
    <w:rsid w:val="003802B9"/>
    <w:rsid w:val="003802F6"/>
    <w:rsid w:val="003806A8"/>
    <w:rsid w:val="00380B31"/>
    <w:rsid w:val="00380B36"/>
    <w:rsid w:val="00380E0F"/>
    <w:rsid w:val="00380E53"/>
    <w:rsid w:val="0038111D"/>
    <w:rsid w:val="003815DF"/>
    <w:rsid w:val="00381B03"/>
    <w:rsid w:val="00381B71"/>
    <w:rsid w:val="00381E9D"/>
    <w:rsid w:val="00381EFD"/>
    <w:rsid w:val="00381FF8"/>
    <w:rsid w:val="00382006"/>
    <w:rsid w:val="003826EF"/>
    <w:rsid w:val="00382724"/>
    <w:rsid w:val="00382D76"/>
    <w:rsid w:val="00383470"/>
    <w:rsid w:val="00383559"/>
    <w:rsid w:val="003835E9"/>
    <w:rsid w:val="003836FA"/>
    <w:rsid w:val="00384021"/>
    <w:rsid w:val="00384356"/>
    <w:rsid w:val="003849DC"/>
    <w:rsid w:val="00385154"/>
    <w:rsid w:val="0038520F"/>
    <w:rsid w:val="0038572D"/>
    <w:rsid w:val="003857C6"/>
    <w:rsid w:val="00385C71"/>
    <w:rsid w:val="00385E69"/>
    <w:rsid w:val="00385F1A"/>
    <w:rsid w:val="00385F8C"/>
    <w:rsid w:val="00385F94"/>
    <w:rsid w:val="00386085"/>
    <w:rsid w:val="003863EF"/>
    <w:rsid w:val="00386C41"/>
    <w:rsid w:val="0038703E"/>
    <w:rsid w:val="003870C6"/>
    <w:rsid w:val="00387228"/>
    <w:rsid w:val="00387244"/>
    <w:rsid w:val="0038745B"/>
    <w:rsid w:val="003876BE"/>
    <w:rsid w:val="00387904"/>
    <w:rsid w:val="00387C12"/>
    <w:rsid w:val="00387F5D"/>
    <w:rsid w:val="00390150"/>
    <w:rsid w:val="003902F9"/>
    <w:rsid w:val="0039048D"/>
    <w:rsid w:val="00390B5D"/>
    <w:rsid w:val="00390C2D"/>
    <w:rsid w:val="00390CFC"/>
    <w:rsid w:val="0039106B"/>
    <w:rsid w:val="00391097"/>
    <w:rsid w:val="003913C6"/>
    <w:rsid w:val="0039181A"/>
    <w:rsid w:val="003919A0"/>
    <w:rsid w:val="00391C6C"/>
    <w:rsid w:val="00391CAF"/>
    <w:rsid w:val="00391CD6"/>
    <w:rsid w:val="00391D08"/>
    <w:rsid w:val="00391EDF"/>
    <w:rsid w:val="00392733"/>
    <w:rsid w:val="00392786"/>
    <w:rsid w:val="00393194"/>
    <w:rsid w:val="0039320C"/>
    <w:rsid w:val="00393923"/>
    <w:rsid w:val="003944C5"/>
    <w:rsid w:val="0039462C"/>
    <w:rsid w:val="00394AA9"/>
    <w:rsid w:val="00394B4E"/>
    <w:rsid w:val="0039518E"/>
    <w:rsid w:val="0039583F"/>
    <w:rsid w:val="00395965"/>
    <w:rsid w:val="00395A05"/>
    <w:rsid w:val="00395B0D"/>
    <w:rsid w:val="00395FA7"/>
    <w:rsid w:val="0039643E"/>
    <w:rsid w:val="003964DA"/>
    <w:rsid w:val="00396C51"/>
    <w:rsid w:val="00396DCC"/>
    <w:rsid w:val="00396F24"/>
    <w:rsid w:val="003972CD"/>
    <w:rsid w:val="00397664"/>
    <w:rsid w:val="00397A5B"/>
    <w:rsid w:val="00397C79"/>
    <w:rsid w:val="00397EB6"/>
    <w:rsid w:val="00397F82"/>
    <w:rsid w:val="003A0328"/>
    <w:rsid w:val="003A0475"/>
    <w:rsid w:val="003A05C6"/>
    <w:rsid w:val="003A061C"/>
    <w:rsid w:val="003A0698"/>
    <w:rsid w:val="003A06E0"/>
    <w:rsid w:val="003A0884"/>
    <w:rsid w:val="003A0D8C"/>
    <w:rsid w:val="003A1083"/>
    <w:rsid w:val="003A109E"/>
    <w:rsid w:val="003A1172"/>
    <w:rsid w:val="003A14D1"/>
    <w:rsid w:val="003A1587"/>
    <w:rsid w:val="003A198B"/>
    <w:rsid w:val="003A19A6"/>
    <w:rsid w:val="003A1E80"/>
    <w:rsid w:val="003A307F"/>
    <w:rsid w:val="003A3116"/>
    <w:rsid w:val="003A3405"/>
    <w:rsid w:val="003A3506"/>
    <w:rsid w:val="003A3779"/>
    <w:rsid w:val="003A3803"/>
    <w:rsid w:val="003A3A01"/>
    <w:rsid w:val="003A3E90"/>
    <w:rsid w:val="003A3F07"/>
    <w:rsid w:val="003A42AA"/>
    <w:rsid w:val="003A42D6"/>
    <w:rsid w:val="003A451A"/>
    <w:rsid w:val="003A48D6"/>
    <w:rsid w:val="003A4AB9"/>
    <w:rsid w:val="003A4BDA"/>
    <w:rsid w:val="003A4D69"/>
    <w:rsid w:val="003A4DFD"/>
    <w:rsid w:val="003A505C"/>
    <w:rsid w:val="003A522F"/>
    <w:rsid w:val="003A528A"/>
    <w:rsid w:val="003A5329"/>
    <w:rsid w:val="003A534D"/>
    <w:rsid w:val="003A5510"/>
    <w:rsid w:val="003A5549"/>
    <w:rsid w:val="003A583A"/>
    <w:rsid w:val="003A58DD"/>
    <w:rsid w:val="003A5A95"/>
    <w:rsid w:val="003A5B04"/>
    <w:rsid w:val="003A5CAE"/>
    <w:rsid w:val="003A5F3E"/>
    <w:rsid w:val="003A600A"/>
    <w:rsid w:val="003A6327"/>
    <w:rsid w:val="003A65A9"/>
    <w:rsid w:val="003A6744"/>
    <w:rsid w:val="003A6833"/>
    <w:rsid w:val="003A6A8F"/>
    <w:rsid w:val="003A6DD6"/>
    <w:rsid w:val="003A6F1B"/>
    <w:rsid w:val="003A70BE"/>
    <w:rsid w:val="003A711A"/>
    <w:rsid w:val="003A7331"/>
    <w:rsid w:val="003A756D"/>
    <w:rsid w:val="003A75A5"/>
    <w:rsid w:val="003A7610"/>
    <w:rsid w:val="003A7B48"/>
    <w:rsid w:val="003A7EF2"/>
    <w:rsid w:val="003A7F96"/>
    <w:rsid w:val="003B012D"/>
    <w:rsid w:val="003B018F"/>
    <w:rsid w:val="003B01ED"/>
    <w:rsid w:val="003B01F4"/>
    <w:rsid w:val="003B032B"/>
    <w:rsid w:val="003B04A9"/>
    <w:rsid w:val="003B0583"/>
    <w:rsid w:val="003B065E"/>
    <w:rsid w:val="003B06FB"/>
    <w:rsid w:val="003B07B5"/>
    <w:rsid w:val="003B07F0"/>
    <w:rsid w:val="003B09B6"/>
    <w:rsid w:val="003B0D30"/>
    <w:rsid w:val="003B119E"/>
    <w:rsid w:val="003B12F0"/>
    <w:rsid w:val="003B144B"/>
    <w:rsid w:val="003B164A"/>
    <w:rsid w:val="003B1679"/>
    <w:rsid w:val="003B17A3"/>
    <w:rsid w:val="003B17A7"/>
    <w:rsid w:val="003B1AD1"/>
    <w:rsid w:val="003B1BEE"/>
    <w:rsid w:val="003B1C26"/>
    <w:rsid w:val="003B21E6"/>
    <w:rsid w:val="003B233D"/>
    <w:rsid w:val="003B2426"/>
    <w:rsid w:val="003B2444"/>
    <w:rsid w:val="003B249A"/>
    <w:rsid w:val="003B264F"/>
    <w:rsid w:val="003B292C"/>
    <w:rsid w:val="003B2BFA"/>
    <w:rsid w:val="003B2EFF"/>
    <w:rsid w:val="003B3150"/>
    <w:rsid w:val="003B31EC"/>
    <w:rsid w:val="003B32B3"/>
    <w:rsid w:val="003B32FA"/>
    <w:rsid w:val="003B3732"/>
    <w:rsid w:val="003B3924"/>
    <w:rsid w:val="003B3989"/>
    <w:rsid w:val="003B3E81"/>
    <w:rsid w:val="003B4215"/>
    <w:rsid w:val="003B4386"/>
    <w:rsid w:val="003B4AA3"/>
    <w:rsid w:val="003B4D0C"/>
    <w:rsid w:val="003B4E73"/>
    <w:rsid w:val="003B4F37"/>
    <w:rsid w:val="003B51B3"/>
    <w:rsid w:val="003B5AA6"/>
    <w:rsid w:val="003B6025"/>
    <w:rsid w:val="003B6168"/>
    <w:rsid w:val="003B62D2"/>
    <w:rsid w:val="003B63A8"/>
    <w:rsid w:val="003B6550"/>
    <w:rsid w:val="003B6ABB"/>
    <w:rsid w:val="003B6BD8"/>
    <w:rsid w:val="003B6BE8"/>
    <w:rsid w:val="003B7276"/>
    <w:rsid w:val="003B747A"/>
    <w:rsid w:val="003B79C9"/>
    <w:rsid w:val="003B7D7A"/>
    <w:rsid w:val="003B7D8E"/>
    <w:rsid w:val="003B7E76"/>
    <w:rsid w:val="003C06E7"/>
    <w:rsid w:val="003C0842"/>
    <w:rsid w:val="003C0D4E"/>
    <w:rsid w:val="003C0E3C"/>
    <w:rsid w:val="003C0F52"/>
    <w:rsid w:val="003C0F53"/>
    <w:rsid w:val="003C148F"/>
    <w:rsid w:val="003C14A8"/>
    <w:rsid w:val="003C1540"/>
    <w:rsid w:val="003C1551"/>
    <w:rsid w:val="003C190A"/>
    <w:rsid w:val="003C1946"/>
    <w:rsid w:val="003C1E73"/>
    <w:rsid w:val="003C2123"/>
    <w:rsid w:val="003C23CD"/>
    <w:rsid w:val="003C23D9"/>
    <w:rsid w:val="003C2708"/>
    <w:rsid w:val="003C273E"/>
    <w:rsid w:val="003C28F0"/>
    <w:rsid w:val="003C2A54"/>
    <w:rsid w:val="003C2CD9"/>
    <w:rsid w:val="003C2D1F"/>
    <w:rsid w:val="003C305B"/>
    <w:rsid w:val="003C3101"/>
    <w:rsid w:val="003C33EA"/>
    <w:rsid w:val="003C3626"/>
    <w:rsid w:val="003C3682"/>
    <w:rsid w:val="003C3A96"/>
    <w:rsid w:val="003C3BC0"/>
    <w:rsid w:val="003C3D11"/>
    <w:rsid w:val="003C3D32"/>
    <w:rsid w:val="003C3F4F"/>
    <w:rsid w:val="003C41B5"/>
    <w:rsid w:val="003C42EC"/>
    <w:rsid w:val="003C4740"/>
    <w:rsid w:val="003C47CA"/>
    <w:rsid w:val="003C4D40"/>
    <w:rsid w:val="003C4F09"/>
    <w:rsid w:val="003C53BF"/>
    <w:rsid w:val="003C55B1"/>
    <w:rsid w:val="003C58B3"/>
    <w:rsid w:val="003C5911"/>
    <w:rsid w:val="003C5913"/>
    <w:rsid w:val="003C5A01"/>
    <w:rsid w:val="003C5E37"/>
    <w:rsid w:val="003C5F20"/>
    <w:rsid w:val="003C60A2"/>
    <w:rsid w:val="003C6151"/>
    <w:rsid w:val="003C6238"/>
    <w:rsid w:val="003C624F"/>
    <w:rsid w:val="003C62AD"/>
    <w:rsid w:val="003C63D8"/>
    <w:rsid w:val="003C6617"/>
    <w:rsid w:val="003C6672"/>
    <w:rsid w:val="003C6C12"/>
    <w:rsid w:val="003C6C56"/>
    <w:rsid w:val="003C6D33"/>
    <w:rsid w:val="003C6DA3"/>
    <w:rsid w:val="003C7434"/>
    <w:rsid w:val="003C7449"/>
    <w:rsid w:val="003C75B0"/>
    <w:rsid w:val="003C761E"/>
    <w:rsid w:val="003C7667"/>
    <w:rsid w:val="003C7678"/>
    <w:rsid w:val="003C7FB4"/>
    <w:rsid w:val="003D0024"/>
    <w:rsid w:val="003D00E5"/>
    <w:rsid w:val="003D02BF"/>
    <w:rsid w:val="003D0371"/>
    <w:rsid w:val="003D03F9"/>
    <w:rsid w:val="003D10BC"/>
    <w:rsid w:val="003D1451"/>
    <w:rsid w:val="003D17D7"/>
    <w:rsid w:val="003D1A82"/>
    <w:rsid w:val="003D1B7A"/>
    <w:rsid w:val="003D1FBB"/>
    <w:rsid w:val="003D21EB"/>
    <w:rsid w:val="003D22A5"/>
    <w:rsid w:val="003D23DB"/>
    <w:rsid w:val="003D2720"/>
    <w:rsid w:val="003D28B7"/>
    <w:rsid w:val="003D2937"/>
    <w:rsid w:val="003D2D6A"/>
    <w:rsid w:val="003D2EFC"/>
    <w:rsid w:val="003D33A3"/>
    <w:rsid w:val="003D3594"/>
    <w:rsid w:val="003D3610"/>
    <w:rsid w:val="003D38BC"/>
    <w:rsid w:val="003D38DC"/>
    <w:rsid w:val="003D3D56"/>
    <w:rsid w:val="003D3DEB"/>
    <w:rsid w:val="003D3EAB"/>
    <w:rsid w:val="003D3FC0"/>
    <w:rsid w:val="003D40D8"/>
    <w:rsid w:val="003D43ED"/>
    <w:rsid w:val="003D4510"/>
    <w:rsid w:val="003D48B3"/>
    <w:rsid w:val="003D4E2A"/>
    <w:rsid w:val="003D4F6E"/>
    <w:rsid w:val="003D4F98"/>
    <w:rsid w:val="003D4FA6"/>
    <w:rsid w:val="003D5499"/>
    <w:rsid w:val="003D557B"/>
    <w:rsid w:val="003D59A5"/>
    <w:rsid w:val="003D5D46"/>
    <w:rsid w:val="003D6080"/>
    <w:rsid w:val="003D620F"/>
    <w:rsid w:val="003D6341"/>
    <w:rsid w:val="003D6C6E"/>
    <w:rsid w:val="003D6CDB"/>
    <w:rsid w:val="003D6D1D"/>
    <w:rsid w:val="003D6DD2"/>
    <w:rsid w:val="003D6F60"/>
    <w:rsid w:val="003D710D"/>
    <w:rsid w:val="003D71B1"/>
    <w:rsid w:val="003D725F"/>
    <w:rsid w:val="003D7702"/>
    <w:rsid w:val="003D777F"/>
    <w:rsid w:val="003D77F3"/>
    <w:rsid w:val="003D781E"/>
    <w:rsid w:val="003D782E"/>
    <w:rsid w:val="003D79C4"/>
    <w:rsid w:val="003D79FD"/>
    <w:rsid w:val="003D7CF2"/>
    <w:rsid w:val="003D7ED7"/>
    <w:rsid w:val="003E00FB"/>
    <w:rsid w:val="003E02E9"/>
    <w:rsid w:val="003E071A"/>
    <w:rsid w:val="003E07A9"/>
    <w:rsid w:val="003E098C"/>
    <w:rsid w:val="003E0DE0"/>
    <w:rsid w:val="003E128A"/>
    <w:rsid w:val="003E1463"/>
    <w:rsid w:val="003E149A"/>
    <w:rsid w:val="003E14BE"/>
    <w:rsid w:val="003E1C1B"/>
    <w:rsid w:val="003E206B"/>
    <w:rsid w:val="003E216A"/>
    <w:rsid w:val="003E279D"/>
    <w:rsid w:val="003E2B0E"/>
    <w:rsid w:val="003E2CF6"/>
    <w:rsid w:val="003E2D16"/>
    <w:rsid w:val="003E3267"/>
    <w:rsid w:val="003E355A"/>
    <w:rsid w:val="003E3897"/>
    <w:rsid w:val="003E39A5"/>
    <w:rsid w:val="003E3F21"/>
    <w:rsid w:val="003E3F83"/>
    <w:rsid w:val="003E4033"/>
    <w:rsid w:val="003E40B0"/>
    <w:rsid w:val="003E4251"/>
    <w:rsid w:val="003E4342"/>
    <w:rsid w:val="003E44A7"/>
    <w:rsid w:val="003E49C4"/>
    <w:rsid w:val="003E510D"/>
    <w:rsid w:val="003E516D"/>
    <w:rsid w:val="003E51C5"/>
    <w:rsid w:val="003E5270"/>
    <w:rsid w:val="003E5732"/>
    <w:rsid w:val="003E5D78"/>
    <w:rsid w:val="003E5E05"/>
    <w:rsid w:val="003E5E8B"/>
    <w:rsid w:val="003E6AB4"/>
    <w:rsid w:val="003E6E16"/>
    <w:rsid w:val="003E71F6"/>
    <w:rsid w:val="003E7A50"/>
    <w:rsid w:val="003E7B4D"/>
    <w:rsid w:val="003E7C6A"/>
    <w:rsid w:val="003E7FBC"/>
    <w:rsid w:val="003E7FD8"/>
    <w:rsid w:val="003F022B"/>
    <w:rsid w:val="003F025E"/>
    <w:rsid w:val="003F090F"/>
    <w:rsid w:val="003F0927"/>
    <w:rsid w:val="003F0B9D"/>
    <w:rsid w:val="003F0E5C"/>
    <w:rsid w:val="003F0E6E"/>
    <w:rsid w:val="003F1102"/>
    <w:rsid w:val="003F1114"/>
    <w:rsid w:val="003F1115"/>
    <w:rsid w:val="003F1127"/>
    <w:rsid w:val="003F1338"/>
    <w:rsid w:val="003F15EF"/>
    <w:rsid w:val="003F1614"/>
    <w:rsid w:val="003F19BA"/>
    <w:rsid w:val="003F1DBF"/>
    <w:rsid w:val="003F1EE3"/>
    <w:rsid w:val="003F2029"/>
    <w:rsid w:val="003F2044"/>
    <w:rsid w:val="003F2079"/>
    <w:rsid w:val="003F2267"/>
    <w:rsid w:val="003F23DD"/>
    <w:rsid w:val="003F244B"/>
    <w:rsid w:val="003F2595"/>
    <w:rsid w:val="003F26D9"/>
    <w:rsid w:val="003F27B0"/>
    <w:rsid w:val="003F2B88"/>
    <w:rsid w:val="003F2DC2"/>
    <w:rsid w:val="003F329B"/>
    <w:rsid w:val="003F3371"/>
    <w:rsid w:val="003F3715"/>
    <w:rsid w:val="003F392B"/>
    <w:rsid w:val="003F3C8E"/>
    <w:rsid w:val="003F3CC5"/>
    <w:rsid w:val="003F3D17"/>
    <w:rsid w:val="003F43C5"/>
    <w:rsid w:val="003F43E6"/>
    <w:rsid w:val="003F4441"/>
    <w:rsid w:val="003F4474"/>
    <w:rsid w:val="003F5065"/>
    <w:rsid w:val="003F5441"/>
    <w:rsid w:val="003F55DB"/>
    <w:rsid w:val="003F5604"/>
    <w:rsid w:val="003F5773"/>
    <w:rsid w:val="003F5BD7"/>
    <w:rsid w:val="003F653B"/>
    <w:rsid w:val="003F6A9F"/>
    <w:rsid w:val="003F6BD6"/>
    <w:rsid w:val="003F6BFC"/>
    <w:rsid w:val="003F6C60"/>
    <w:rsid w:val="003F6C81"/>
    <w:rsid w:val="003F6E6C"/>
    <w:rsid w:val="003F6ED9"/>
    <w:rsid w:val="003F6F28"/>
    <w:rsid w:val="003F77ED"/>
    <w:rsid w:val="003F7C2F"/>
    <w:rsid w:val="003F7D62"/>
    <w:rsid w:val="004003F5"/>
    <w:rsid w:val="00400515"/>
    <w:rsid w:val="0040074F"/>
    <w:rsid w:val="0040080B"/>
    <w:rsid w:val="00400873"/>
    <w:rsid w:val="00400B4B"/>
    <w:rsid w:val="00400D3E"/>
    <w:rsid w:val="00400DA9"/>
    <w:rsid w:val="00400E77"/>
    <w:rsid w:val="00400E9D"/>
    <w:rsid w:val="00400EE6"/>
    <w:rsid w:val="0040116B"/>
    <w:rsid w:val="00401341"/>
    <w:rsid w:val="00401949"/>
    <w:rsid w:val="00401C92"/>
    <w:rsid w:val="00401D17"/>
    <w:rsid w:val="00401E99"/>
    <w:rsid w:val="00401F69"/>
    <w:rsid w:val="0040266E"/>
    <w:rsid w:val="0040279F"/>
    <w:rsid w:val="00402A8A"/>
    <w:rsid w:val="00402AC2"/>
    <w:rsid w:val="004030B2"/>
    <w:rsid w:val="00403739"/>
    <w:rsid w:val="004037C7"/>
    <w:rsid w:val="00403A79"/>
    <w:rsid w:val="00403A88"/>
    <w:rsid w:val="00403D46"/>
    <w:rsid w:val="00403F6A"/>
    <w:rsid w:val="00404478"/>
    <w:rsid w:val="0040452D"/>
    <w:rsid w:val="00404856"/>
    <w:rsid w:val="004049D4"/>
    <w:rsid w:val="004049E1"/>
    <w:rsid w:val="00404AF8"/>
    <w:rsid w:val="0040503D"/>
    <w:rsid w:val="004051A3"/>
    <w:rsid w:val="004054CA"/>
    <w:rsid w:val="00405955"/>
    <w:rsid w:val="00405D9C"/>
    <w:rsid w:val="00405E11"/>
    <w:rsid w:val="00406120"/>
    <w:rsid w:val="0040632A"/>
    <w:rsid w:val="00406642"/>
    <w:rsid w:val="00406976"/>
    <w:rsid w:val="00406D83"/>
    <w:rsid w:val="00406F44"/>
    <w:rsid w:val="0040720C"/>
    <w:rsid w:val="004073B3"/>
    <w:rsid w:val="00407556"/>
    <w:rsid w:val="004076FB"/>
    <w:rsid w:val="00407965"/>
    <w:rsid w:val="00407A59"/>
    <w:rsid w:val="00407B00"/>
    <w:rsid w:val="00407D1A"/>
    <w:rsid w:val="0041049D"/>
    <w:rsid w:val="00410703"/>
    <w:rsid w:val="00410CD3"/>
    <w:rsid w:val="00410E31"/>
    <w:rsid w:val="00411163"/>
    <w:rsid w:val="00411190"/>
    <w:rsid w:val="00411682"/>
    <w:rsid w:val="00411878"/>
    <w:rsid w:val="004119C9"/>
    <w:rsid w:val="00411D65"/>
    <w:rsid w:val="00411DA4"/>
    <w:rsid w:val="00411E7E"/>
    <w:rsid w:val="00412053"/>
    <w:rsid w:val="00412091"/>
    <w:rsid w:val="00412165"/>
    <w:rsid w:val="004121D7"/>
    <w:rsid w:val="004122DC"/>
    <w:rsid w:val="004126E6"/>
    <w:rsid w:val="004127B3"/>
    <w:rsid w:val="00412840"/>
    <w:rsid w:val="00412CE9"/>
    <w:rsid w:val="00412DE6"/>
    <w:rsid w:val="00412EA7"/>
    <w:rsid w:val="00412EB0"/>
    <w:rsid w:val="00412EB2"/>
    <w:rsid w:val="00412F20"/>
    <w:rsid w:val="0041317A"/>
    <w:rsid w:val="00413204"/>
    <w:rsid w:val="004133B3"/>
    <w:rsid w:val="00413605"/>
    <w:rsid w:val="00413675"/>
    <w:rsid w:val="00413976"/>
    <w:rsid w:val="00413B00"/>
    <w:rsid w:val="00413B8F"/>
    <w:rsid w:val="00413E7E"/>
    <w:rsid w:val="00414372"/>
    <w:rsid w:val="00414459"/>
    <w:rsid w:val="0041456D"/>
    <w:rsid w:val="00414B60"/>
    <w:rsid w:val="00414C15"/>
    <w:rsid w:val="00415291"/>
    <w:rsid w:val="004154DB"/>
    <w:rsid w:val="004154E1"/>
    <w:rsid w:val="0041558F"/>
    <w:rsid w:val="0041562A"/>
    <w:rsid w:val="004156E0"/>
    <w:rsid w:val="004158DE"/>
    <w:rsid w:val="004159A4"/>
    <w:rsid w:val="004159F0"/>
    <w:rsid w:val="00415B1F"/>
    <w:rsid w:val="00415B84"/>
    <w:rsid w:val="00415E09"/>
    <w:rsid w:val="00416078"/>
    <w:rsid w:val="00416279"/>
    <w:rsid w:val="0041654E"/>
    <w:rsid w:val="0041667A"/>
    <w:rsid w:val="004167EB"/>
    <w:rsid w:val="0041681E"/>
    <w:rsid w:val="00416BC2"/>
    <w:rsid w:val="00416F70"/>
    <w:rsid w:val="004171A3"/>
    <w:rsid w:val="004171C8"/>
    <w:rsid w:val="004171FC"/>
    <w:rsid w:val="004173C9"/>
    <w:rsid w:val="00417867"/>
    <w:rsid w:val="0041789C"/>
    <w:rsid w:val="00417928"/>
    <w:rsid w:val="00417B85"/>
    <w:rsid w:val="00417C4E"/>
    <w:rsid w:val="00417C6C"/>
    <w:rsid w:val="00420367"/>
    <w:rsid w:val="004203D0"/>
    <w:rsid w:val="004204E6"/>
    <w:rsid w:val="00420548"/>
    <w:rsid w:val="0042075A"/>
    <w:rsid w:val="00420875"/>
    <w:rsid w:val="00420904"/>
    <w:rsid w:val="00420A54"/>
    <w:rsid w:val="00420E6F"/>
    <w:rsid w:val="00420EFA"/>
    <w:rsid w:val="004212CE"/>
    <w:rsid w:val="00421315"/>
    <w:rsid w:val="004213CB"/>
    <w:rsid w:val="004215E0"/>
    <w:rsid w:val="004215E4"/>
    <w:rsid w:val="0042166A"/>
    <w:rsid w:val="004216CE"/>
    <w:rsid w:val="00421AA1"/>
    <w:rsid w:val="00421AF7"/>
    <w:rsid w:val="00422126"/>
    <w:rsid w:val="0042215B"/>
    <w:rsid w:val="004221F4"/>
    <w:rsid w:val="004223A1"/>
    <w:rsid w:val="00422629"/>
    <w:rsid w:val="004226C3"/>
    <w:rsid w:val="00422A81"/>
    <w:rsid w:val="00422B59"/>
    <w:rsid w:val="00422DDF"/>
    <w:rsid w:val="00422EE8"/>
    <w:rsid w:val="00423306"/>
    <w:rsid w:val="00423670"/>
    <w:rsid w:val="0042387D"/>
    <w:rsid w:val="004239B0"/>
    <w:rsid w:val="00423BED"/>
    <w:rsid w:val="00423F21"/>
    <w:rsid w:val="00424151"/>
    <w:rsid w:val="004241CB"/>
    <w:rsid w:val="00424293"/>
    <w:rsid w:val="0042439F"/>
    <w:rsid w:val="004243D9"/>
    <w:rsid w:val="0042472F"/>
    <w:rsid w:val="00424A0C"/>
    <w:rsid w:val="00424B43"/>
    <w:rsid w:val="00424D71"/>
    <w:rsid w:val="00424EEC"/>
    <w:rsid w:val="00424F64"/>
    <w:rsid w:val="0042507B"/>
    <w:rsid w:val="0042514A"/>
    <w:rsid w:val="00425160"/>
    <w:rsid w:val="0042535B"/>
    <w:rsid w:val="004254EA"/>
    <w:rsid w:val="00425557"/>
    <w:rsid w:val="0042560F"/>
    <w:rsid w:val="0042564C"/>
    <w:rsid w:val="0042596D"/>
    <w:rsid w:val="0042598B"/>
    <w:rsid w:val="004259C3"/>
    <w:rsid w:val="004259C8"/>
    <w:rsid w:val="00425AF4"/>
    <w:rsid w:val="00425C61"/>
    <w:rsid w:val="004261AB"/>
    <w:rsid w:val="0042666B"/>
    <w:rsid w:val="0042680E"/>
    <w:rsid w:val="0042682A"/>
    <w:rsid w:val="00426855"/>
    <w:rsid w:val="00426AAB"/>
    <w:rsid w:val="00426D06"/>
    <w:rsid w:val="00427224"/>
    <w:rsid w:val="0042725E"/>
    <w:rsid w:val="00427377"/>
    <w:rsid w:val="004278EB"/>
    <w:rsid w:val="004279C3"/>
    <w:rsid w:val="00427C4E"/>
    <w:rsid w:val="00427E9E"/>
    <w:rsid w:val="00427FF3"/>
    <w:rsid w:val="00430045"/>
    <w:rsid w:val="004303CA"/>
    <w:rsid w:val="004304A4"/>
    <w:rsid w:val="004305BF"/>
    <w:rsid w:val="00430755"/>
    <w:rsid w:val="00430803"/>
    <w:rsid w:val="00430A39"/>
    <w:rsid w:val="00430A80"/>
    <w:rsid w:val="00430E2B"/>
    <w:rsid w:val="00430F36"/>
    <w:rsid w:val="00431138"/>
    <w:rsid w:val="004314AB"/>
    <w:rsid w:val="00431569"/>
    <w:rsid w:val="004315EF"/>
    <w:rsid w:val="00431910"/>
    <w:rsid w:val="00431C04"/>
    <w:rsid w:val="00431D74"/>
    <w:rsid w:val="00431EBB"/>
    <w:rsid w:val="00431EDF"/>
    <w:rsid w:val="004324A2"/>
    <w:rsid w:val="0043293E"/>
    <w:rsid w:val="00432A9A"/>
    <w:rsid w:val="00432AA3"/>
    <w:rsid w:val="00432DE1"/>
    <w:rsid w:val="00433536"/>
    <w:rsid w:val="0043371E"/>
    <w:rsid w:val="004337A2"/>
    <w:rsid w:val="00433CB8"/>
    <w:rsid w:val="00433CF7"/>
    <w:rsid w:val="00434076"/>
    <w:rsid w:val="00434116"/>
    <w:rsid w:val="00434127"/>
    <w:rsid w:val="0043424B"/>
    <w:rsid w:val="0043430A"/>
    <w:rsid w:val="004344AE"/>
    <w:rsid w:val="00434530"/>
    <w:rsid w:val="00434632"/>
    <w:rsid w:val="00434664"/>
    <w:rsid w:val="00434757"/>
    <w:rsid w:val="004348B4"/>
    <w:rsid w:val="00434B5D"/>
    <w:rsid w:val="00434B7B"/>
    <w:rsid w:val="00434BB0"/>
    <w:rsid w:val="00434C52"/>
    <w:rsid w:val="00435079"/>
    <w:rsid w:val="004350FC"/>
    <w:rsid w:val="00435444"/>
    <w:rsid w:val="00435C1D"/>
    <w:rsid w:val="00435F1E"/>
    <w:rsid w:val="00436B34"/>
    <w:rsid w:val="00436CB3"/>
    <w:rsid w:val="00436E81"/>
    <w:rsid w:val="00437051"/>
    <w:rsid w:val="00437256"/>
    <w:rsid w:val="004373F3"/>
    <w:rsid w:val="00437D43"/>
    <w:rsid w:val="00440252"/>
    <w:rsid w:val="0044068D"/>
    <w:rsid w:val="004409A0"/>
    <w:rsid w:val="00440F95"/>
    <w:rsid w:val="00440FE9"/>
    <w:rsid w:val="00440FEB"/>
    <w:rsid w:val="0044122B"/>
    <w:rsid w:val="00441300"/>
    <w:rsid w:val="00441339"/>
    <w:rsid w:val="004414BB"/>
    <w:rsid w:val="00441507"/>
    <w:rsid w:val="00441CF6"/>
    <w:rsid w:val="00441E96"/>
    <w:rsid w:val="00441EC2"/>
    <w:rsid w:val="00441FE8"/>
    <w:rsid w:val="00442109"/>
    <w:rsid w:val="0044250B"/>
    <w:rsid w:val="00442884"/>
    <w:rsid w:val="00442A34"/>
    <w:rsid w:val="00442CC7"/>
    <w:rsid w:val="00442F9C"/>
    <w:rsid w:val="004430EA"/>
    <w:rsid w:val="00443F13"/>
    <w:rsid w:val="0044438B"/>
    <w:rsid w:val="00444431"/>
    <w:rsid w:val="004444A4"/>
    <w:rsid w:val="004446AC"/>
    <w:rsid w:val="00444753"/>
    <w:rsid w:val="00444E49"/>
    <w:rsid w:val="00444E62"/>
    <w:rsid w:val="004451AB"/>
    <w:rsid w:val="004451D9"/>
    <w:rsid w:val="00445343"/>
    <w:rsid w:val="004457D7"/>
    <w:rsid w:val="00445C39"/>
    <w:rsid w:val="00445CFD"/>
    <w:rsid w:val="004463B8"/>
    <w:rsid w:val="004465AA"/>
    <w:rsid w:val="0044677A"/>
    <w:rsid w:val="004467C4"/>
    <w:rsid w:val="00446A5D"/>
    <w:rsid w:val="00446A65"/>
    <w:rsid w:val="004470D5"/>
    <w:rsid w:val="00447223"/>
    <w:rsid w:val="00447308"/>
    <w:rsid w:val="00447394"/>
    <w:rsid w:val="00447649"/>
    <w:rsid w:val="004477A2"/>
    <w:rsid w:val="004477DB"/>
    <w:rsid w:val="00447976"/>
    <w:rsid w:val="00447A59"/>
    <w:rsid w:val="00447C23"/>
    <w:rsid w:val="00447CD5"/>
    <w:rsid w:val="0045000F"/>
    <w:rsid w:val="00450020"/>
    <w:rsid w:val="00450149"/>
    <w:rsid w:val="004506B3"/>
    <w:rsid w:val="00450CBD"/>
    <w:rsid w:val="00450CE2"/>
    <w:rsid w:val="00451076"/>
    <w:rsid w:val="00451574"/>
    <w:rsid w:val="00451746"/>
    <w:rsid w:val="00451B71"/>
    <w:rsid w:val="00451E05"/>
    <w:rsid w:val="004523CE"/>
    <w:rsid w:val="00452515"/>
    <w:rsid w:val="00452689"/>
    <w:rsid w:val="004529B4"/>
    <w:rsid w:val="00452F31"/>
    <w:rsid w:val="00453042"/>
    <w:rsid w:val="00453192"/>
    <w:rsid w:val="004533E0"/>
    <w:rsid w:val="0045362A"/>
    <w:rsid w:val="00453743"/>
    <w:rsid w:val="004538EF"/>
    <w:rsid w:val="00453933"/>
    <w:rsid w:val="0045398E"/>
    <w:rsid w:val="00453A30"/>
    <w:rsid w:val="004541D7"/>
    <w:rsid w:val="004545D5"/>
    <w:rsid w:val="004545EB"/>
    <w:rsid w:val="00454BA8"/>
    <w:rsid w:val="00454DAA"/>
    <w:rsid w:val="00454DC6"/>
    <w:rsid w:val="004554F2"/>
    <w:rsid w:val="00455D27"/>
    <w:rsid w:val="00456233"/>
    <w:rsid w:val="004562B8"/>
    <w:rsid w:val="0045634D"/>
    <w:rsid w:val="004567D3"/>
    <w:rsid w:val="00456C81"/>
    <w:rsid w:val="00456CA9"/>
    <w:rsid w:val="00456F66"/>
    <w:rsid w:val="0045710A"/>
    <w:rsid w:val="0045716B"/>
    <w:rsid w:val="00457369"/>
    <w:rsid w:val="004573A6"/>
    <w:rsid w:val="00457508"/>
    <w:rsid w:val="00457590"/>
    <w:rsid w:val="00457BDB"/>
    <w:rsid w:val="00457DE4"/>
    <w:rsid w:val="00457FB0"/>
    <w:rsid w:val="00457FC0"/>
    <w:rsid w:val="004601DE"/>
    <w:rsid w:val="004604B2"/>
    <w:rsid w:val="00460959"/>
    <w:rsid w:val="00460CE8"/>
    <w:rsid w:val="00460D75"/>
    <w:rsid w:val="004610D5"/>
    <w:rsid w:val="00461298"/>
    <w:rsid w:val="0046135C"/>
    <w:rsid w:val="004613E4"/>
    <w:rsid w:val="0046179C"/>
    <w:rsid w:val="00461B4F"/>
    <w:rsid w:val="00461D4A"/>
    <w:rsid w:val="00461F4B"/>
    <w:rsid w:val="004621E5"/>
    <w:rsid w:val="00462257"/>
    <w:rsid w:val="004626DD"/>
    <w:rsid w:val="00462B48"/>
    <w:rsid w:val="00462EFC"/>
    <w:rsid w:val="00462F4D"/>
    <w:rsid w:val="00463350"/>
    <w:rsid w:val="00463432"/>
    <w:rsid w:val="004639C9"/>
    <w:rsid w:val="00463B70"/>
    <w:rsid w:val="00463DC8"/>
    <w:rsid w:val="00464070"/>
    <w:rsid w:val="00464133"/>
    <w:rsid w:val="00464A9A"/>
    <w:rsid w:val="00464AA1"/>
    <w:rsid w:val="00464BB2"/>
    <w:rsid w:val="00464EB4"/>
    <w:rsid w:val="004658DA"/>
    <w:rsid w:val="00465BCE"/>
    <w:rsid w:val="00466085"/>
    <w:rsid w:val="0046625D"/>
    <w:rsid w:val="004662B8"/>
    <w:rsid w:val="004663C3"/>
    <w:rsid w:val="004663FC"/>
    <w:rsid w:val="00466429"/>
    <w:rsid w:val="00466448"/>
    <w:rsid w:val="004665AF"/>
    <w:rsid w:val="004666F5"/>
    <w:rsid w:val="0046674E"/>
    <w:rsid w:val="0046683A"/>
    <w:rsid w:val="004668DF"/>
    <w:rsid w:val="00466907"/>
    <w:rsid w:val="00466A41"/>
    <w:rsid w:val="00466D50"/>
    <w:rsid w:val="00466EAC"/>
    <w:rsid w:val="0046728D"/>
    <w:rsid w:val="004673B3"/>
    <w:rsid w:val="00467903"/>
    <w:rsid w:val="00467BBE"/>
    <w:rsid w:val="00467D0C"/>
    <w:rsid w:val="00467F06"/>
    <w:rsid w:val="0047009E"/>
    <w:rsid w:val="0047013E"/>
    <w:rsid w:val="0047040D"/>
    <w:rsid w:val="00470589"/>
    <w:rsid w:val="0047076F"/>
    <w:rsid w:val="00470D00"/>
    <w:rsid w:val="00470F41"/>
    <w:rsid w:val="00471103"/>
    <w:rsid w:val="00471114"/>
    <w:rsid w:val="00471336"/>
    <w:rsid w:val="00471346"/>
    <w:rsid w:val="00471689"/>
    <w:rsid w:val="00471808"/>
    <w:rsid w:val="00471867"/>
    <w:rsid w:val="00471BC8"/>
    <w:rsid w:val="00471C47"/>
    <w:rsid w:val="00471D6A"/>
    <w:rsid w:val="00471F8C"/>
    <w:rsid w:val="004720F4"/>
    <w:rsid w:val="00472574"/>
    <w:rsid w:val="00472AA9"/>
    <w:rsid w:val="00472B4E"/>
    <w:rsid w:val="00472BB0"/>
    <w:rsid w:val="00472EE2"/>
    <w:rsid w:val="004733B4"/>
    <w:rsid w:val="004738EF"/>
    <w:rsid w:val="00473957"/>
    <w:rsid w:val="00473A53"/>
    <w:rsid w:val="00473AB7"/>
    <w:rsid w:val="00473EB0"/>
    <w:rsid w:val="0047405D"/>
    <w:rsid w:val="00474063"/>
    <w:rsid w:val="00474297"/>
    <w:rsid w:val="004742CC"/>
    <w:rsid w:val="004742D7"/>
    <w:rsid w:val="00474577"/>
    <w:rsid w:val="00474912"/>
    <w:rsid w:val="004749D8"/>
    <w:rsid w:val="00474A9B"/>
    <w:rsid w:val="00474DA7"/>
    <w:rsid w:val="00474F22"/>
    <w:rsid w:val="00474F98"/>
    <w:rsid w:val="00474FB1"/>
    <w:rsid w:val="00475374"/>
    <w:rsid w:val="004758A9"/>
    <w:rsid w:val="00475A3B"/>
    <w:rsid w:val="00475D4D"/>
    <w:rsid w:val="00476067"/>
    <w:rsid w:val="004760B9"/>
    <w:rsid w:val="00476434"/>
    <w:rsid w:val="004764A1"/>
    <w:rsid w:val="004766DD"/>
    <w:rsid w:val="00476CDC"/>
    <w:rsid w:val="00476E7E"/>
    <w:rsid w:val="004773E8"/>
    <w:rsid w:val="004777D2"/>
    <w:rsid w:val="0047783C"/>
    <w:rsid w:val="0047786A"/>
    <w:rsid w:val="004779BF"/>
    <w:rsid w:val="00477A4D"/>
    <w:rsid w:val="00477A85"/>
    <w:rsid w:val="00477C3A"/>
    <w:rsid w:val="00477F87"/>
    <w:rsid w:val="0048066C"/>
    <w:rsid w:val="00480750"/>
    <w:rsid w:val="004807F1"/>
    <w:rsid w:val="00480926"/>
    <w:rsid w:val="00480A8C"/>
    <w:rsid w:val="00480F65"/>
    <w:rsid w:val="00481480"/>
    <w:rsid w:val="004814CD"/>
    <w:rsid w:val="004815DC"/>
    <w:rsid w:val="00481BBC"/>
    <w:rsid w:val="00481FE4"/>
    <w:rsid w:val="004820D0"/>
    <w:rsid w:val="00482190"/>
    <w:rsid w:val="0048280F"/>
    <w:rsid w:val="004828BD"/>
    <w:rsid w:val="004828C0"/>
    <w:rsid w:val="004829ED"/>
    <w:rsid w:val="00482ADF"/>
    <w:rsid w:val="00482F22"/>
    <w:rsid w:val="00482FAF"/>
    <w:rsid w:val="00483CDB"/>
    <w:rsid w:val="00484146"/>
    <w:rsid w:val="004842AF"/>
    <w:rsid w:val="004848DF"/>
    <w:rsid w:val="004853F5"/>
    <w:rsid w:val="004854B3"/>
    <w:rsid w:val="0048558B"/>
    <w:rsid w:val="00485599"/>
    <w:rsid w:val="004855B2"/>
    <w:rsid w:val="00485646"/>
    <w:rsid w:val="004856FD"/>
    <w:rsid w:val="00485962"/>
    <w:rsid w:val="00485C5A"/>
    <w:rsid w:val="00485D08"/>
    <w:rsid w:val="00485F3F"/>
    <w:rsid w:val="00485FE7"/>
    <w:rsid w:val="004864E3"/>
    <w:rsid w:val="00486527"/>
    <w:rsid w:val="00486AFC"/>
    <w:rsid w:val="00486E11"/>
    <w:rsid w:val="00486E32"/>
    <w:rsid w:val="0048712E"/>
    <w:rsid w:val="00487149"/>
    <w:rsid w:val="0048714B"/>
    <w:rsid w:val="0048717E"/>
    <w:rsid w:val="0048770C"/>
    <w:rsid w:val="00487880"/>
    <w:rsid w:val="00487B07"/>
    <w:rsid w:val="00487BC6"/>
    <w:rsid w:val="004903B4"/>
    <w:rsid w:val="00490740"/>
    <w:rsid w:val="004907D1"/>
    <w:rsid w:val="00490A63"/>
    <w:rsid w:val="00490A83"/>
    <w:rsid w:val="00490F9A"/>
    <w:rsid w:val="004913EA"/>
    <w:rsid w:val="004914CD"/>
    <w:rsid w:val="00491872"/>
    <w:rsid w:val="004919FF"/>
    <w:rsid w:val="00491CC2"/>
    <w:rsid w:val="00491DCB"/>
    <w:rsid w:val="0049229C"/>
    <w:rsid w:val="00492339"/>
    <w:rsid w:val="00492345"/>
    <w:rsid w:val="00492578"/>
    <w:rsid w:val="004927CE"/>
    <w:rsid w:val="00492B2F"/>
    <w:rsid w:val="00492B83"/>
    <w:rsid w:val="00492DAA"/>
    <w:rsid w:val="00492E55"/>
    <w:rsid w:val="00493001"/>
    <w:rsid w:val="004935CA"/>
    <w:rsid w:val="00493619"/>
    <w:rsid w:val="004937CB"/>
    <w:rsid w:val="00493990"/>
    <w:rsid w:val="00493A71"/>
    <w:rsid w:val="00493AB9"/>
    <w:rsid w:val="00493DCE"/>
    <w:rsid w:val="00493EEA"/>
    <w:rsid w:val="00494214"/>
    <w:rsid w:val="00494239"/>
    <w:rsid w:val="00494561"/>
    <w:rsid w:val="004948D6"/>
    <w:rsid w:val="00494C08"/>
    <w:rsid w:val="00494DF9"/>
    <w:rsid w:val="00494E84"/>
    <w:rsid w:val="004950DA"/>
    <w:rsid w:val="0049553C"/>
    <w:rsid w:val="004956B2"/>
    <w:rsid w:val="00495795"/>
    <w:rsid w:val="004957E4"/>
    <w:rsid w:val="00495DC2"/>
    <w:rsid w:val="00495F1E"/>
    <w:rsid w:val="00496730"/>
    <w:rsid w:val="004967E7"/>
    <w:rsid w:val="004967FE"/>
    <w:rsid w:val="00496863"/>
    <w:rsid w:val="00496995"/>
    <w:rsid w:val="00496AAA"/>
    <w:rsid w:val="00496B87"/>
    <w:rsid w:val="00496F73"/>
    <w:rsid w:val="004970A2"/>
    <w:rsid w:val="004972A9"/>
    <w:rsid w:val="00497961"/>
    <w:rsid w:val="00497B26"/>
    <w:rsid w:val="00497D77"/>
    <w:rsid w:val="00497F52"/>
    <w:rsid w:val="004A00B1"/>
    <w:rsid w:val="004A032C"/>
    <w:rsid w:val="004A0562"/>
    <w:rsid w:val="004A059C"/>
    <w:rsid w:val="004A0987"/>
    <w:rsid w:val="004A09B0"/>
    <w:rsid w:val="004A0FC5"/>
    <w:rsid w:val="004A13EA"/>
    <w:rsid w:val="004A1797"/>
    <w:rsid w:val="004A1826"/>
    <w:rsid w:val="004A19DE"/>
    <w:rsid w:val="004A1A03"/>
    <w:rsid w:val="004A1C66"/>
    <w:rsid w:val="004A1C8F"/>
    <w:rsid w:val="004A1DD7"/>
    <w:rsid w:val="004A2006"/>
    <w:rsid w:val="004A211B"/>
    <w:rsid w:val="004A2152"/>
    <w:rsid w:val="004A2502"/>
    <w:rsid w:val="004A256B"/>
    <w:rsid w:val="004A2730"/>
    <w:rsid w:val="004A27FA"/>
    <w:rsid w:val="004A2A55"/>
    <w:rsid w:val="004A2A6A"/>
    <w:rsid w:val="004A2C59"/>
    <w:rsid w:val="004A3004"/>
    <w:rsid w:val="004A3290"/>
    <w:rsid w:val="004A3374"/>
    <w:rsid w:val="004A33F6"/>
    <w:rsid w:val="004A3400"/>
    <w:rsid w:val="004A348E"/>
    <w:rsid w:val="004A3626"/>
    <w:rsid w:val="004A37A5"/>
    <w:rsid w:val="004A3896"/>
    <w:rsid w:val="004A3969"/>
    <w:rsid w:val="004A44D7"/>
    <w:rsid w:val="004A476E"/>
    <w:rsid w:val="004A4F7B"/>
    <w:rsid w:val="004A561A"/>
    <w:rsid w:val="004A5721"/>
    <w:rsid w:val="004A57BA"/>
    <w:rsid w:val="004A5D16"/>
    <w:rsid w:val="004A63E8"/>
    <w:rsid w:val="004A64CB"/>
    <w:rsid w:val="004A675C"/>
    <w:rsid w:val="004A6D5D"/>
    <w:rsid w:val="004A6F3B"/>
    <w:rsid w:val="004A706D"/>
    <w:rsid w:val="004A7089"/>
    <w:rsid w:val="004A70A3"/>
    <w:rsid w:val="004A7110"/>
    <w:rsid w:val="004A7320"/>
    <w:rsid w:val="004A740F"/>
    <w:rsid w:val="004A7463"/>
    <w:rsid w:val="004A757B"/>
    <w:rsid w:val="004A799E"/>
    <w:rsid w:val="004A7B1C"/>
    <w:rsid w:val="004A7B46"/>
    <w:rsid w:val="004A7B4F"/>
    <w:rsid w:val="004B01BF"/>
    <w:rsid w:val="004B06CF"/>
    <w:rsid w:val="004B083F"/>
    <w:rsid w:val="004B0BE3"/>
    <w:rsid w:val="004B0C4D"/>
    <w:rsid w:val="004B13B7"/>
    <w:rsid w:val="004B14F5"/>
    <w:rsid w:val="004B166D"/>
    <w:rsid w:val="004B1A25"/>
    <w:rsid w:val="004B1A96"/>
    <w:rsid w:val="004B1B10"/>
    <w:rsid w:val="004B1BA5"/>
    <w:rsid w:val="004B25D1"/>
    <w:rsid w:val="004B2BCE"/>
    <w:rsid w:val="004B2FA9"/>
    <w:rsid w:val="004B30A3"/>
    <w:rsid w:val="004B3257"/>
    <w:rsid w:val="004B34C4"/>
    <w:rsid w:val="004B360B"/>
    <w:rsid w:val="004B380F"/>
    <w:rsid w:val="004B399B"/>
    <w:rsid w:val="004B3AF5"/>
    <w:rsid w:val="004B3F92"/>
    <w:rsid w:val="004B436A"/>
    <w:rsid w:val="004B44A9"/>
    <w:rsid w:val="004B4DC3"/>
    <w:rsid w:val="004B4F4B"/>
    <w:rsid w:val="004B5307"/>
    <w:rsid w:val="004B5344"/>
    <w:rsid w:val="004B57BE"/>
    <w:rsid w:val="004B5999"/>
    <w:rsid w:val="004B5D61"/>
    <w:rsid w:val="004B6057"/>
    <w:rsid w:val="004B674A"/>
    <w:rsid w:val="004B675E"/>
    <w:rsid w:val="004B688D"/>
    <w:rsid w:val="004B69EB"/>
    <w:rsid w:val="004B6A38"/>
    <w:rsid w:val="004B6F47"/>
    <w:rsid w:val="004B70EC"/>
    <w:rsid w:val="004B77A5"/>
    <w:rsid w:val="004B7A4F"/>
    <w:rsid w:val="004B7B2B"/>
    <w:rsid w:val="004C002F"/>
    <w:rsid w:val="004C008E"/>
    <w:rsid w:val="004C0121"/>
    <w:rsid w:val="004C0263"/>
    <w:rsid w:val="004C06C6"/>
    <w:rsid w:val="004C0917"/>
    <w:rsid w:val="004C0989"/>
    <w:rsid w:val="004C0D8A"/>
    <w:rsid w:val="004C10B1"/>
    <w:rsid w:val="004C182F"/>
    <w:rsid w:val="004C1BB9"/>
    <w:rsid w:val="004C1D66"/>
    <w:rsid w:val="004C1F82"/>
    <w:rsid w:val="004C2298"/>
    <w:rsid w:val="004C2B6C"/>
    <w:rsid w:val="004C2CD3"/>
    <w:rsid w:val="004C2E6C"/>
    <w:rsid w:val="004C2E80"/>
    <w:rsid w:val="004C3330"/>
    <w:rsid w:val="004C35B5"/>
    <w:rsid w:val="004C35E5"/>
    <w:rsid w:val="004C36CB"/>
    <w:rsid w:val="004C370C"/>
    <w:rsid w:val="004C3769"/>
    <w:rsid w:val="004C3AE4"/>
    <w:rsid w:val="004C3B11"/>
    <w:rsid w:val="004C3DF9"/>
    <w:rsid w:val="004C4012"/>
    <w:rsid w:val="004C44EE"/>
    <w:rsid w:val="004C469C"/>
    <w:rsid w:val="004C4712"/>
    <w:rsid w:val="004C48C7"/>
    <w:rsid w:val="004C4ACB"/>
    <w:rsid w:val="004C4FA2"/>
    <w:rsid w:val="004C517B"/>
    <w:rsid w:val="004C5197"/>
    <w:rsid w:val="004C5285"/>
    <w:rsid w:val="004C550F"/>
    <w:rsid w:val="004C5526"/>
    <w:rsid w:val="004C5601"/>
    <w:rsid w:val="004C5604"/>
    <w:rsid w:val="004C5649"/>
    <w:rsid w:val="004C5685"/>
    <w:rsid w:val="004C597F"/>
    <w:rsid w:val="004C5A2B"/>
    <w:rsid w:val="004C5AEF"/>
    <w:rsid w:val="004C5B43"/>
    <w:rsid w:val="004C5DA7"/>
    <w:rsid w:val="004C6199"/>
    <w:rsid w:val="004C61D8"/>
    <w:rsid w:val="004C62CE"/>
    <w:rsid w:val="004C630B"/>
    <w:rsid w:val="004C6404"/>
    <w:rsid w:val="004C6539"/>
    <w:rsid w:val="004C6560"/>
    <w:rsid w:val="004C65AD"/>
    <w:rsid w:val="004C6849"/>
    <w:rsid w:val="004C6B38"/>
    <w:rsid w:val="004C6EDD"/>
    <w:rsid w:val="004C70C3"/>
    <w:rsid w:val="004C7421"/>
    <w:rsid w:val="004C7670"/>
    <w:rsid w:val="004C7A8C"/>
    <w:rsid w:val="004D00E9"/>
    <w:rsid w:val="004D07B0"/>
    <w:rsid w:val="004D0887"/>
    <w:rsid w:val="004D0BCC"/>
    <w:rsid w:val="004D0F9F"/>
    <w:rsid w:val="004D1036"/>
    <w:rsid w:val="004D1118"/>
    <w:rsid w:val="004D143C"/>
    <w:rsid w:val="004D14FC"/>
    <w:rsid w:val="004D1607"/>
    <w:rsid w:val="004D1944"/>
    <w:rsid w:val="004D1986"/>
    <w:rsid w:val="004D1BE1"/>
    <w:rsid w:val="004D2047"/>
    <w:rsid w:val="004D2B50"/>
    <w:rsid w:val="004D2C7A"/>
    <w:rsid w:val="004D2F20"/>
    <w:rsid w:val="004D320E"/>
    <w:rsid w:val="004D325B"/>
    <w:rsid w:val="004D3312"/>
    <w:rsid w:val="004D38EA"/>
    <w:rsid w:val="004D3955"/>
    <w:rsid w:val="004D3E02"/>
    <w:rsid w:val="004D3E5D"/>
    <w:rsid w:val="004D438E"/>
    <w:rsid w:val="004D4616"/>
    <w:rsid w:val="004D4638"/>
    <w:rsid w:val="004D48B7"/>
    <w:rsid w:val="004D4A07"/>
    <w:rsid w:val="004D4D05"/>
    <w:rsid w:val="004D4FA1"/>
    <w:rsid w:val="004D5031"/>
    <w:rsid w:val="004D5175"/>
    <w:rsid w:val="004D5ACD"/>
    <w:rsid w:val="004D5DF8"/>
    <w:rsid w:val="004D5FAB"/>
    <w:rsid w:val="004D619B"/>
    <w:rsid w:val="004D61A1"/>
    <w:rsid w:val="004D61B7"/>
    <w:rsid w:val="004D641D"/>
    <w:rsid w:val="004D65A5"/>
    <w:rsid w:val="004D66AD"/>
    <w:rsid w:val="004D6BBC"/>
    <w:rsid w:val="004D6CEA"/>
    <w:rsid w:val="004D6DE3"/>
    <w:rsid w:val="004D70F2"/>
    <w:rsid w:val="004D741F"/>
    <w:rsid w:val="004D7976"/>
    <w:rsid w:val="004D7FF9"/>
    <w:rsid w:val="004E014F"/>
    <w:rsid w:val="004E065C"/>
    <w:rsid w:val="004E0858"/>
    <w:rsid w:val="004E0B7B"/>
    <w:rsid w:val="004E0C03"/>
    <w:rsid w:val="004E10D8"/>
    <w:rsid w:val="004E138F"/>
    <w:rsid w:val="004E166A"/>
    <w:rsid w:val="004E16AE"/>
    <w:rsid w:val="004E1981"/>
    <w:rsid w:val="004E1A57"/>
    <w:rsid w:val="004E1D8B"/>
    <w:rsid w:val="004E1EDE"/>
    <w:rsid w:val="004E22B0"/>
    <w:rsid w:val="004E2340"/>
    <w:rsid w:val="004E2493"/>
    <w:rsid w:val="004E266D"/>
    <w:rsid w:val="004E295B"/>
    <w:rsid w:val="004E2B6A"/>
    <w:rsid w:val="004E2C49"/>
    <w:rsid w:val="004E2E93"/>
    <w:rsid w:val="004E2FAB"/>
    <w:rsid w:val="004E3155"/>
    <w:rsid w:val="004E324F"/>
    <w:rsid w:val="004E32A1"/>
    <w:rsid w:val="004E32FB"/>
    <w:rsid w:val="004E33BF"/>
    <w:rsid w:val="004E3486"/>
    <w:rsid w:val="004E3522"/>
    <w:rsid w:val="004E35CF"/>
    <w:rsid w:val="004E3D79"/>
    <w:rsid w:val="004E3DDA"/>
    <w:rsid w:val="004E40BC"/>
    <w:rsid w:val="004E41C6"/>
    <w:rsid w:val="004E436E"/>
    <w:rsid w:val="004E454C"/>
    <w:rsid w:val="004E4587"/>
    <w:rsid w:val="004E4843"/>
    <w:rsid w:val="004E48D5"/>
    <w:rsid w:val="004E4AC6"/>
    <w:rsid w:val="004E4B71"/>
    <w:rsid w:val="004E4C1B"/>
    <w:rsid w:val="004E4C5C"/>
    <w:rsid w:val="004E50D9"/>
    <w:rsid w:val="004E5269"/>
    <w:rsid w:val="004E5370"/>
    <w:rsid w:val="004E53C9"/>
    <w:rsid w:val="004E5832"/>
    <w:rsid w:val="004E602A"/>
    <w:rsid w:val="004E609E"/>
    <w:rsid w:val="004E60A8"/>
    <w:rsid w:val="004E62C3"/>
    <w:rsid w:val="004E6577"/>
    <w:rsid w:val="004E6615"/>
    <w:rsid w:val="004E675A"/>
    <w:rsid w:val="004E6B66"/>
    <w:rsid w:val="004E6B7B"/>
    <w:rsid w:val="004E6D10"/>
    <w:rsid w:val="004E6EC5"/>
    <w:rsid w:val="004E7087"/>
    <w:rsid w:val="004E720A"/>
    <w:rsid w:val="004E7301"/>
    <w:rsid w:val="004E73F8"/>
    <w:rsid w:val="004E7B43"/>
    <w:rsid w:val="004E7F41"/>
    <w:rsid w:val="004F01F1"/>
    <w:rsid w:val="004F0212"/>
    <w:rsid w:val="004F054B"/>
    <w:rsid w:val="004F05DC"/>
    <w:rsid w:val="004F0605"/>
    <w:rsid w:val="004F0607"/>
    <w:rsid w:val="004F08D6"/>
    <w:rsid w:val="004F0EA6"/>
    <w:rsid w:val="004F10F6"/>
    <w:rsid w:val="004F1222"/>
    <w:rsid w:val="004F1551"/>
    <w:rsid w:val="004F1839"/>
    <w:rsid w:val="004F1BE2"/>
    <w:rsid w:val="004F230F"/>
    <w:rsid w:val="004F248F"/>
    <w:rsid w:val="004F28DC"/>
    <w:rsid w:val="004F2913"/>
    <w:rsid w:val="004F2EA6"/>
    <w:rsid w:val="004F3158"/>
    <w:rsid w:val="004F35BE"/>
    <w:rsid w:val="004F366F"/>
    <w:rsid w:val="004F37F3"/>
    <w:rsid w:val="004F39D8"/>
    <w:rsid w:val="004F44C5"/>
    <w:rsid w:val="004F47F9"/>
    <w:rsid w:val="004F4888"/>
    <w:rsid w:val="004F48C6"/>
    <w:rsid w:val="004F4A64"/>
    <w:rsid w:val="004F4E55"/>
    <w:rsid w:val="004F59F7"/>
    <w:rsid w:val="004F5C97"/>
    <w:rsid w:val="004F5E90"/>
    <w:rsid w:val="004F61DC"/>
    <w:rsid w:val="004F63EF"/>
    <w:rsid w:val="004F660D"/>
    <w:rsid w:val="004F6756"/>
    <w:rsid w:val="004F6784"/>
    <w:rsid w:val="004F6AD3"/>
    <w:rsid w:val="004F6EF8"/>
    <w:rsid w:val="004F7342"/>
    <w:rsid w:val="004F73E7"/>
    <w:rsid w:val="004F758A"/>
    <w:rsid w:val="004F763D"/>
    <w:rsid w:val="004F764B"/>
    <w:rsid w:val="004F76F3"/>
    <w:rsid w:val="004F7889"/>
    <w:rsid w:val="004F79F2"/>
    <w:rsid w:val="004F7C55"/>
    <w:rsid w:val="004F7DBE"/>
    <w:rsid w:val="0050007E"/>
    <w:rsid w:val="005000A8"/>
    <w:rsid w:val="00500B8D"/>
    <w:rsid w:val="00500BD9"/>
    <w:rsid w:val="00500CA1"/>
    <w:rsid w:val="00500EC0"/>
    <w:rsid w:val="005010F1"/>
    <w:rsid w:val="0050132D"/>
    <w:rsid w:val="005014AC"/>
    <w:rsid w:val="005015D4"/>
    <w:rsid w:val="00501650"/>
    <w:rsid w:val="00501651"/>
    <w:rsid w:val="00501A5E"/>
    <w:rsid w:val="00501B2D"/>
    <w:rsid w:val="00501BA9"/>
    <w:rsid w:val="00501C81"/>
    <w:rsid w:val="00502384"/>
    <w:rsid w:val="0050284E"/>
    <w:rsid w:val="00502C34"/>
    <w:rsid w:val="00502C50"/>
    <w:rsid w:val="00502E18"/>
    <w:rsid w:val="00502E51"/>
    <w:rsid w:val="00502EFB"/>
    <w:rsid w:val="00502F3B"/>
    <w:rsid w:val="00503143"/>
    <w:rsid w:val="00503206"/>
    <w:rsid w:val="005032C7"/>
    <w:rsid w:val="00503304"/>
    <w:rsid w:val="00503326"/>
    <w:rsid w:val="00503602"/>
    <w:rsid w:val="00503765"/>
    <w:rsid w:val="005037F9"/>
    <w:rsid w:val="00503C00"/>
    <w:rsid w:val="00503C62"/>
    <w:rsid w:val="00504151"/>
    <w:rsid w:val="0050464F"/>
    <w:rsid w:val="0050482E"/>
    <w:rsid w:val="00504894"/>
    <w:rsid w:val="00504BB8"/>
    <w:rsid w:val="00504D94"/>
    <w:rsid w:val="005052B1"/>
    <w:rsid w:val="0050543F"/>
    <w:rsid w:val="00505448"/>
    <w:rsid w:val="005054D9"/>
    <w:rsid w:val="005055AF"/>
    <w:rsid w:val="00505AB2"/>
    <w:rsid w:val="00505BE0"/>
    <w:rsid w:val="00505D7D"/>
    <w:rsid w:val="005062F0"/>
    <w:rsid w:val="00506589"/>
    <w:rsid w:val="005066BE"/>
    <w:rsid w:val="00506741"/>
    <w:rsid w:val="00506BBA"/>
    <w:rsid w:val="00506C3D"/>
    <w:rsid w:val="00506D0C"/>
    <w:rsid w:val="00506D72"/>
    <w:rsid w:val="00506D9E"/>
    <w:rsid w:val="00506DB9"/>
    <w:rsid w:val="00507057"/>
    <w:rsid w:val="0050741E"/>
    <w:rsid w:val="005076A1"/>
    <w:rsid w:val="0050772B"/>
    <w:rsid w:val="0050775F"/>
    <w:rsid w:val="005079B7"/>
    <w:rsid w:val="005079E5"/>
    <w:rsid w:val="00507BDA"/>
    <w:rsid w:val="00507FB8"/>
    <w:rsid w:val="0051014F"/>
    <w:rsid w:val="00510305"/>
    <w:rsid w:val="005105FB"/>
    <w:rsid w:val="00510737"/>
    <w:rsid w:val="0051086D"/>
    <w:rsid w:val="005108B9"/>
    <w:rsid w:val="005108E5"/>
    <w:rsid w:val="00510C32"/>
    <w:rsid w:val="00510E70"/>
    <w:rsid w:val="00510EC2"/>
    <w:rsid w:val="005112B7"/>
    <w:rsid w:val="00511325"/>
    <w:rsid w:val="00511363"/>
    <w:rsid w:val="00511447"/>
    <w:rsid w:val="0051167F"/>
    <w:rsid w:val="005116D1"/>
    <w:rsid w:val="00511744"/>
    <w:rsid w:val="00511A31"/>
    <w:rsid w:val="00511DDC"/>
    <w:rsid w:val="00512380"/>
    <w:rsid w:val="005124AE"/>
    <w:rsid w:val="005124D2"/>
    <w:rsid w:val="00512731"/>
    <w:rsid w:val="00512909"/>
    <w:rsid w:val="00512C89"/>
    <w:rsid w:val="00512CA3"/>
    <w:rsid w:val="00512DA4"/>
    <w:rsid w:val="005130AE"/>
    <w:rsid w:val="00513C9B"/>
    <w:rsid w:val="00513FED"/>
    <w:rsid w:val="00514046"/>
    <w:rsid w:val="005141C9"/>
    <w:rsid w:val="00514217"/>
    <w:rsid w:val="00514605"/>
    <w:rsid w:val="0051466D"/>
    <w:rsid w:val="005146DB"/>
    <w:rsid w:val="005146EE"/>
    <w:rsid w:val="00514B4F"/>
    <w:rsid w:val="00514E89"/>
    <w:rsid w:val="00514F55"/>
    <w:rsid w:val="00515202"/>
    <w:rsid w:val="00515203"/>
    <w:rsid w:val="00515300"/>
    <w:rsid w:val="00515379"/>
    <w:rsid w:val="00515A4C"/>
    <w:rsid w:val="00515D6E"/>
    <w:rsid w:val="00515F88"/>
    <w:rsid w:val="00516153"/>
    <w:rsid w:val="00516184"/>
    <w:rsid w:val="005162DE"/>
    <w:rsid w:val="00516C01"/>
    <w:rsid w:val="00516DB4"/>
    <w:rsid w:val="00516F36"/>
    <w:rsid w:val="00516FAE"/>
    <w:rsid w:val="00516FBF"/>
    <w:rsid w:val="00517137"/>
    <w:rsid w:val="00517580"/>
    <w:rsid w:val="00517BBC"/>
    <w:rsid w:val="00517CF4"/>
    <w:rsid w:val="00517FD3"/>
    <w:rsid w:val="0052004E"/>
    <w:rsid w:val="0052028E"/>
    <w:rsid w:val="0052047A"/>
    <w:rsid w:val="005208DA"/>
    <w:rsid w:val="00520A2D"/>
    <w:rsid w:val="00520ACA"/>
    <w:rsid w:val="00520CCF"/>
    <w:rsid w:val="0052108E"/>
    <w:rsid w:val="00521189"/>
    <w:rsid w:val="00521253"/>
    <w:rsid w:val="005214A0"/>
    <w:rsid w:val="00521793"/>
    <w:rsid w:val="00521885"/>
    <w:rsid w:val="00521922"/>
    <w:rsid w:val="00521A8B"/>
    <w:rsid w:val="00521C6D"/>
    <w:rsid w:val="00521D16"/>
    <w:rsid w:val="00521EF0"/>
    <w:rsid w:val="00522240"/>
    <w:rsid w:val="005222DA"/>
    <w:rsid w:val="005223D0"/>
    <w:rsid w:val="005227D0"/>
    <w:rsid w:val="0052290D"/>
    <w:rsid w:val="00522987"/>
    <w:rsid w:val="00522BA5"/>
    <w:rsid w:val="00522EE8"/>
    <w:rsid w:val="005232B6"/>
    <w:rsid w:val="005234CD"/>
    <w:rsid w:val="005235B2"/>
    <w:rsid w:val="005237A0"/>
    <w:rsid w:val="00523871"/>
    <w:rsid w:val="00523A15"/>
    <w:rsid w:val="00523F41"/>
    <w:rsid w:val="00523F8B"/>
    <w:rsid w:val="00523FB1"/>
    <w:rsid w:val="00524063"/>
    <w:rsid w:val="00524067"/>
    <w:rsid w:val="0052484E"/>
    <w:rsid w:val="005249EF"/>
    <w:rsid w:val="00524EF3"/>
    <w:rsid w:val="00524F3E"/>
    <w:rsid w:val="0052518C"/>
    <w:rsid w:val="005255E9"/>
    <w:rsid w:val="00525748"/>
    <w:rsid w:val="00525929"/>
    <w:rsid w:val="00525EF1"/>
    <w:rsid w:val="0052640F"/>
    <w:rsid w:val="005265CF"/>
    <w:rsid w:val="005268AA"/>
    <w:rsid w:val="00526E7B"/>
    <w:rsid w:val="00527233"/>
    <w:rsid w:val="0052736C"/>
    <w:rsid w:val="0052739E"/>
    <w:rsid w:val="0052739F"/>
    <w:rsid w:val="005276F9"/>
    <w:rsid w:val="00527710"/>
    <w:rsid w:val="005278C0"/>
    <w:rsid w:val="00527C9B"/>
    <w:rsid w:val="00527FE8"/>
    <w:rsid w:val="005302A8"/>
    <w:rsid w:val="005304E7"/>
    <w:rsid w:val="0053075A"/>
    <w:rsid w:val="00530912"/>
    <w:rsid w:val="00530C15"/>
    <w:rsid w:val="00530F82"/>
    <w:rsid w:val="00530F85"/>
    <w:rsid w:val="005313A0"/>
    <w:rsid w:val="005317DD"/>
    <w:rsid w:val="0053184E"/>
    <w:rsid w:val="00531F41"/>
    <w:rsid w:val="00532072"/>
    <w:rsid w:val="00532287"/>
    <w:rsid w:val="0053237C"/>
    <w:rsid w:val="0053238D"/>
    <w:rsid w:val="0053249B"/>
    <w:rsid w:val="0053250C"/>
    <w:rsid w:val="00532781"/>
    <w:rsid w:val="00532BA0"/>
    <w:rsid w:val="00532E0A"/>
    <w:rsid w:val="00532F53"/>
    <w:rsid w:val="00532F8D"/>
    <w:rsid w:val="005330FF"/>
    <w:rsid w:val="00533298"/>
    <w:rsid w:val="0053334D"/>
    <w:rsid w:val="00533A83"/>
    <w:rsid w:val="00533D06"/>
    <w:rsid w:val="00533E3A"/>
    <w:rsid w:val="0053414D"/>
    <w:rsid w:val="00534252"/>
    <w:rsid w:val="0053463C"/>
    <w:rsid w:val="00534945"/>
    <w:rsid w:val="00534BE0"/>
    <w:rsid w:val="00534BED"/>
    <w:rsid w:val="00534C3A"/>
    <w:rsid w:val="0053538D"/>
    <w:rsid w:val="00535648"/>
    <w:rsid w:val="00535B82"/>
    <w:rsid w:val="00535F9C"/>
    <w:rsid w:val="00536026"/>
    <w:rsid w:val="005360F7"/>
    <w:rsid w:val="0053619F"/>
    <w:rsid w:val="0053632D"/>
    <w:rsid w:val="00536572"/>
    <w:rsid w:val="0053662E"/>
    <w:rsid w:val="00536672"/>
    <w:rsid w:val="005367A9"/>
    <w:rsid w:val="00536870"/>
    <w:rsid w:val="005368D9"/>
    <w:rsid w:val="005370F5"/>
    <w:rsid w:val="0053713C"/>
    <w:rsid w:val="005371E8"/>
    <w:rsid w:val="00537215"/>
    <w:rsid w:val="005373D8"/>
    <w:rsid w:val="00537A9F"/>
    <w:rsid w:val="005401B7"/>
    <w:rsid w:val="005401CC"/>
    <w:rsid w:val="005402BD"/>
    <w:rsid w:val="005403E4"/>
    <w:rsid w:val="005404C7"/>
    <w:rsid w:val="0054087B"/>
    <w:rsid w:val="00540DEC"/>
    <w:rsid w:val="005410F5"/>
    <w:rsid w:val="005411CA"/>
    <w:rsid w:val="00541409"/>
    <w:rsid w:val="0054145B"/>
    <w:rsid w:val="005414E8"/>
    <w:rsid w:val="005417D3"/>
    <w:rsid w:val="00541C8D"/>
    <w:rsid w:val="00541CBB"/>
    <w:rsid w:val="005420C3"/>
    <w:rsid w:val="005420F3"/>
    <w:rsid w:val="0054228F"/>
    <w:rsid w:val="00542576"/>
    <w:rsid w:val="0054270E"/>
    <w:rsid w:val="00542754"/>
    <w:rsid w:val="0054297E"/>
    <w:rsid w:val="00542B9D"/>
    <w:rsid w:val="00542C3E"/>
    <w:rsid w:val="00542D3E"/>
    <w:rsid w:val="00542D92"/>
    <w:rsid w:val="00542E16"/>
    <w:rsid w:val="00543191"/>
    <w:rsid w:val="00543198"/>
    <w:rsid w:val="005431B6"/>
    <w:rsid w:val="0054322E"/>
    <w:rsid w:val="0054332D"/>
    <w:rsid w:val="005434D1"/>
    <w:rsid w:val="005437CD"/>
    <w:rsid w:val="005439D0"/>
    <w:rsid w:val="00543AA2"/>
    <w:rsid w:val="00543B2F"/>
    <w:rsid w:val="00543BDA"/>
    <w:rsid w:val="00543CF2"/>
    <w:rsid w:val="00543DDE"/>
    <w:rsid w:val="00543F96"/>
    <w:rsid w:val="005441B8"/>
    <w:rsid w:val="0054431F"/>
    <w:rsid w:val="00544421"/>
    <w:rsid w:val="005444B7"/>
    <w:rsid w:val="00544596"/>
    <w:rsid w:val="00544606"/>
    <w:rsid w:val="0054466F"/>
    <w:rsid w:val="00544764"/>
    <w:rsid w:val="0054481A"/>
    <w:rsid w:val="00544851"/>
    <w:rsid w:val="005448A9"/>
    <w:rsid w:val="00544998"/>
    <w:rsid w:val="00544A70"/>
    <w:rsid w:val="00544CA6"/>
    <w:rsid w:val="00544E2A"/>
    <w:rsid w:val="00544FB1"/>
    <w:rsid w:val="00544FD1"/>
    <w:rsid w:val="005450A4"/>
    <w:rsid w:val="00545159"/>
    <w:rsid w:val="005452B4"/>
    <w:rsid w:val="005453C9"/>
    <w:rsid w:val="005455D3"/>
    <w:rsid w:val="0054563C"/>
    <w:rsid w:val="005457EE"/>
    <w:rsid w:val="00545932"/>
    <w:rsid w:val="00545A9E"/>
    <w:rsid w:val="00545BD1"/>
    <w:rsid w:val="00545D0D"/>
    <w:rsid w:val="00545E3E"/>
    <w:rsid w:val="005462D0"/>
    <w:rsid w:val="005464F6"/>
    <w:rsid w:val="00546EFF"/>
    <w:rsid w:val="00546F1D"/>
    <w:rsid w:val="0054717C"/>
    <w:rsid w:val="00547239"/>
    <w:rsid w:val="0054774C"/>
    <w:rsid w:val="00547780"/>
    <w:rsid w:val="005477AA"/>
    <w:rsid w:val="00547C39"/>
    <w:rsid w:val="00547D25"/>
    <w:rsid w:val="00547EAD"/>
    <w:rsid w:val="0055018A"/>
    <w:rsid w:val="00550209"/>
    <w:rsid w:val="005507AA"/>
    <w:rsid w:val="005508F3"/>
    <w:rsid w:val="005509AA"/>
    <w:rsid w:val="00550BA8"/>
    <w:rsid w:val="00550F8C"/>
    <w:rsid w:val="00551892"/>
    <w:rsid w:val="005518E5"/>
    <w:rsid w:val="00551B5C"/>
    <w:rsid w:val="00551F69"/>
    <w:rsid w:val="00551FFD"/>
    <w:rsid w:val="005521AB"/>
    <w:rsid w:val="005521BF"/>
    <w:rsid w:val="0055227A"/>
    <w:rsid w:val="00552A1A"/>
    <w:rsid w:val="00552B06"/>
    <w:rsid w:val="00552CC2"/>
    <w:rsid w:val="00552D7D"/>
    <w:rsid w:val="00553102"/>
    <w:rsid w:val="00553171"/>
    <w:rsid w:val="0055331D"/>
    <w:rsid w:val="00553A7B"/>
    <w:rsid w:val="00553E34"/>
    <w:rsid w:val="00553E82"/>
    <w:rsid w:val="00554138"/>
    <w:rsid w:val="005542EE"/>
    <w:rsid w:val="00554382"/>
    <w:rsid w:val="00554465"/>
    <w:rsid w:val="005544CE"/>
    <w:rsid w:val="005544E3"/>
    <w:rsid w:val="00554868"/>
    <w:rsid w:val="00554C4F"/>
    <w:rsid w:val="00554D35"/>
    <w:rsid w:val="00554E55"/>
    <w:rsid w:val="00554E6F"/>
    <w:rsid w:val="00554FE5"/>
    <w:rsid w:val="00555321"/>
    <w:rsid w:val="00555A74"/>
    <w:rsid w:val="00556152"/>
    <w:rsid w:val="005564C7"/>
    <w:rsid w:val="00556D24"/>
    <w:rsid w:val="00556DA2"/>
    <w:rsid w:val="005570B4"/>
    <w:rsid w:val="00557517"/>
    <w:rsid w:val="00557551"/>
    <w:rsid w:val="00557A45"/>
    <w:rsid w:val="00557B1B"/>
    <w:rsid w:val="00557B5E"/>
    <w:rsid w:val="00557CFE"/>
    <w:rsid w:val="0056026F"/>
    <w:rsid w:val="0056060C"/>
    <w:rsid w:val="00560714"/>
    <w:rsid w:val="00560AD5"/>
    <w:rsid w:val="00560DC0"/>
    <w:rsid w:val="00560EA5"/>
    <w:rsid w:val="00560F0A"/>
    <w:rsid w:val="0056100B"/>
    <w:rsid w:val="0056147B"/>
    <w:rsid w:val="005615A6"/>
    <w:rsid w:val="00561644"/>
    <w:rsid w:val="00561678"/>
    <w:rsid w:val="005619B1"/>
    <w:rsid w:val="005619D3"/>
    <w:rsid w:val="00561E76"/>
    <w:rsid w:val="005622CD"/>
    <w:rsid w:val="005623A1"/>
    <w:rsid w:val="0056241D"/>
    <w:rsid w:val="005624D3"/>
    <w:rsid w:val="005628F9"/>
    <w:rsid w:val="00562B75"/>
    <w:rsid w:val="00562E66"/>
    <w:rsid w:val="00563AFC"/>
    <w:rsid w:val="00563E49"/>
    <w:rsid w:val="00564159"/>
    <w:rsid w:val="00564392"/>
    <w:rsid w:val="00564B7F"/>
    <w:rsid w:val="005651DC"/>
    <w:rsid w:val="005652CC"/>
    <w:rsid w:val="005652E8"/>
    <w:rsid w:val="0056557F"/>
    <w:rsid w:val="00565666"/>
    <w:rsid w:val="00565999"/>
    <w:rsid w:val="00565A4B"/>
    <w:rsid w:val="00565AEE"/>
    <w:rsid w:val="00565DB6"/>
    <w:rsid w:val="00565E9D"/>
    <w:rsid w:val="00566580"/>
    <w:rsid w:val="005668F6"/>
    <w:rsid w:val="00566AE5"/>
    <w:rsid w:val="00566BBA"/>
    <w:rsid w:val="00566DD1"/>
    <w:rsid w:val="00566E79"/>
    <w:rsid w:val="00566F5B"/>
    <w:rsid w:val="00566FAB"/>
    <w:rsid w:val="00567296"/>
    <w:rsid w:val="005679A9"/>
    <w:rsid w:val="00567BF0"/>
    <w:rsid w:val="00567C6F"/>
    <w:rsid w:val="00567D1D"/>
    <w:rsid w:val="00567E4B"/>
    <w:rsid w:val="00567FCA"/>
    <w:rsid w:val="00570578"/>
    <w:rsid w:val="00570A03"/>
    <w:rsid w:val="00570D03"/>
    <w:rsid w:val="00570D7E"/>
    <w:rsid w:val="00571099"/>
    <w:rsid w:val="00571795"/>
    <w:rsid w:val="005719C4"/>
    <w:rsid w:val="00571BD9"/>
    <w:rsid w:val="00571D9F"/>
    <w:rsid w:val="00571EC4"/>
    <w:rsid w:val="00571ED4"/>
    <w:rsid w:val="00572036"/>
    <w:rsid w:val="00572299"/>
    <w:rsid w:val="00572508"/>
    <w:rsid w:val="0057263C"/>
    <w:rsid w:val="00572657"/>
    <w:rsid w:val="0057272E"/>
    <w:rsid w:val="0057285A"/>
    <w:rsid w:val="005729B2"/>
    <w:rsid w:val="00572AE8"/>
    <w:rsid w:val="00572B5E"/>
    <w:rsid w:val="00572DFE"/>
    <w:rsid w:val="00572E56"/>
    <w:rsid w:val="00573158"/>
    <w:rsid w:val="00573269"/>
    <w:rsid w:val="005732F0"/>
    <w:rsid w:val="005734FD"/>
    <w:rsid w:val="00573509"/>
    <w:rsid w:val="00573AE6"/>
    <w:rsid w:val="00573B81"/>
    <w:rsid w:val="00573BDA"/>
    <w:rsid w:val="00573C2A"/>
    <w:rsid w:val="00573D33"/>
    <w:rsid w:val="00573FE9"/>
    <w:rsid w:val="005741A4"/>
    <w:rsid w:val="0057456B"/>
    <w:rsid w:val="00574698"/>
    <w:rsid w:val="00574793"/>
    <w:rsid w:val="00574A23"/>
    <w:rsid w:val="00574AFE"/>
    <w:rsid w:val="00574CDC"/>
    <w:rsid w:val="00574FFD"/>
    <w:rsid w:val="005754BB"/>
    <w:rsid w:val="00575911"/>
    <w:rsid w:val="00575A48"/>
    <w:rsid w:val="00575B05"/>
    <w:rsid w:val="00575C33"/>
    <w:rsid w:val="00576227"/>
    <w:rsid w:val="005762DB"/>
    <w:rsid w:val="00576355"/>
    <w:rsid w:val="005764FC"/>
    <w:rsid w:val="00576502"/>
    <w:rsid w:val="0057657B"/>
    <w:rsid w:val="005765D2"/>
    <w:rsid w:val="005765F8"/>
    <w:rsid w:val="005766B3"/>
    <w:rsid w:val="005767D2"/>
    <w:rsid w:val="0057682F"/>
    <w:rsid w:val="00576958"/>
    <w:rsid w:val="00576ABA"/>
    <w:rsid w:val="00576B6B"/>
    <w:rsid w:val="00576BB0"/>
    <w:rsid w:val="00576C11"/>
    <w:rsid w:val="00576C24"/>
    <w:rsid w:val="00576FEC"/>
    <w:rsid w:val="00577217"/>
    <w:rsid w:val="0057724F"/>
    <w:rsid w:val="00577282"/>
    <w:rsid w:val="005777D3"/>
    <w:rsid w:val="0057793C"/>
    <w:rsid w:val="0058026B"/>
    <w:rsid w:val="00580322"/>
    <w:rsid w:val="005808DD"/>
    <w:rsid w:val="00580D87"/>
    <w:rsid w:val="0058148C"/>
    <w:rsid w:val="0058175F"/>
    <w:rsid w:val="00581E7B"/>
    <w:rsid w:val="00581EB2"/>
    <w:rsid w:val="00581FC1"/>
    <w:rsid w:val="0058211B"/>
    <w:rsid w:val="00582144"/>
    <w:rsid w:val="0058222F"/>
    <w:rsid w:val="005824C6"/>
    <w:rsid w:val="0058268E"/>
    <w:rsid w:val="0058274F"/>
    <w:rsid w:val="005828A7"/>
    <w:rsid w:val="00582AA4"/>
    <w:rsid w:val="00582AEE"/>
    <w:rsid w:val="00582C65"/>
    <w:rsid w:val="00582D14"/>
    <w:rsid w:val="00582D66"/>
    <w:rsid w:val="00582E6A"/>
    <w:rsid w:val="00583094"/>
    <w:rsid w:val="005830E1"/>
    <w:rsid w:val="005838A7"/>
    <w:rsid w:val="0058392A"/>
    <w:rsid w:val="00583B22"/>
    <w:rsid w:val="00583DAF"/>
    <w:rsid w:val="005844C5"/>
    <w:rsid w:val="00584607"/>
    <w:rsid w:val="0058464D"/>
    <w:rsid w:val="00584A58"/>
    <w:rsid w:val="00584ABE"/>
    <w:rsid w:val="00584B28"/>
    <w:rsid w:val="00584B7D"/>
    <w:rsid w:val="00584CC5"/>
    <w:rsid w:val="00584D8E"/>
    <w:rsid w:val="00585329"/>
    <w:rsid w:val="005854D8"/>
    <w:rsid w:val="0058578A"/>
    <w:rsid w:val="00585797"/>
    <w:rsid w:val="0058590F"/>
    <w:rsid w:val="00585BFC"/>
    <w:rsid w:val="00585D16"/>
    <w:rsid w:val="00585D1B"/>
    <w:rsid w:val="00585FE8"/>
    <w:rsid w:val="00586025"/>
    <w:rsid w:val="005860E9"/>
    <w:rsid w:val="0058612E"/>
    <w:rsid w:val="005863CE"/>
    <w:rsid w:val="0058645D"/>
    <w:rsid w:val="005864C3"/>
    <w:rsid w:val="00586D4E"/>
    <w:rsid w:val="00586D89"/>
    <w:rsid w:val="00586F84"/>
    <w:rsid w:val="005874EC"/>
    <w:rsid w:val="005875E3"/>
    <w:rsid w:val="005879A4"/>
    <w:rsid w:val="00587E80"/>
    <w:rsid w:val="00587FB7"/>
    <w:rsid w:val="00590144"/>
    <w:rsid w:val="0059027C"/>
    <w:rsid w:val="005905FC"/>
    <w:rsid w:val="00590CB8"/>
    <w:rsid w:val="00590DE6"/>
    <w:rsid w:val="00590FD1"/>
    <w:rsid w:val="005910FB"/>
    <w:rsid w:val="00591154"/>
    <w:rsid w:val="0059134C"/>
    <w:rsid w:val="005914C6"/>
    <w:rsid w:val="0059157D"/>
    <w:rsid w:val="00591B1E"/>
    <w:rsid w:val="00591C4D"/>
    <w:rsid w:val="00591F90"/>
    <w:rsid w:val="00591FC4"/>
    <w:rsid w:val="0059202B"/>
    <w:rsid w:val="00592146"/>
    <w:rsid w:val="005928FA"/>
    <w:rsid w:val="00592FF0"/>
    <w:rsid w:val="00592FFC"/>
    <w:rsid w:val="0059357F"/>
    <w:rsid w:val="00593920"/>
    <w:rsid w:val="00593B0D"/>
    <w:rsid w:val="00593C7B"/>
    <w:rsid w:val="005943C8"/>
    <w:rsid w:val="005945B0"/>
    <w:rsid w:val="0059472F"/>
    <w:rsid w:val="0059497B"/>
    <w:rsid w:val="00594D0F"/>
    <w:rsid w:val="00595028"/>
    <w:rsid w:val="00595175"/>
    <w:rsid w:val="005951B9"/>
    <w:rsid w:val="00595383"/>
    <w:rsid w:val="00595388"/>
    <w:rsid w:val="0059553D"/>
    <w:rsid w:val="005955D5"/>
    <w:rsid w:val="0059576B"/>
    <w:rsid w:val="00595999"/>
    <w:rsid w:val="0059599D"/>
    <w:rsid w:val="00595D06"/>
    <w:rsid w:val="0059690B"/>
    <w:rsid w:val="005972E3"/>
    <w:rsid w:val="00597513"/>
    <w:rsid w:val="005975C6"/>
    <w:rsid w:val="00597647"/>
    <w:rsid w:val="005976EA"/>
    <w:rsid w:val="005978B1"/>
    <w:rsid w:val="005978EF"/>
    <w:rsid w:val="00597E5B"/>
    <w:rsid w:val="00597F0E"/>
    <w:rsid w:val="005A015F"/>
    <w:rsid w:val="005A0161"/>
    <w:rsid w:val="005A03BA"/>
    <w:rsid w:val="005A03C7"/>
    <w:rsid w:val="005A05B2"/>
    <w:rsid w:val="005A0656"/>
    <w:rsid w:val="005A06D0"/>
    <w:rsid w:val="005A07D8"/>
    <w:rsid w:val="005A095E"/>
    <w:rsid w:val="005A0B88"/>
    <w:rsid w:val="005A0C56"/>
    <w:rsid w:val="005A0F8C"/>
    <w:rsid w:val="005A19A1"/>
    <w:rsid w:val="005A19A2"/>
    <w:rsid w:val="005A1E57"/>
    <w:rsid w:val="005A1ED8"/>
    <w:rsid w:val="005A1EF3"/>
    <w:rsid w:val="005A27AD"/>
    <w:rsid w:val="005A287A"/>
    <w:rsid w:val="005A2A1B"/>
    <w:rsid w:val="005A2BB9"/>
    <w:rsid w:val="005A2C39"/>
    <w:rsid w:val="005A304D"/>
    <w:rsid w:val="005A31C1"/>
    <w:rsid w:val="005A3437"/>
    <w:rsid w:val="005A343E"/>
    <w:rsid w:val="005A378E"/>
    <w:rsid w:val="005A389A"/>
    <w:rsid w:val="005A3AD0"/>
    <w:rsid w:val="005A3C13"/>
    <w:rsid w:val="005A40D0"/>
    <w:rsid w:val="005A40F1"/>
    <w:rsid w:val="005A42B3"/>
    <w:rsid w:val="005A4538"/>
    <w:rsid w:val="005A45DE"/>
    <w:rsid w:val="005A46E6"/>
    <w:rsid w:val="005A48AE"/>
    <w:rsid w:val="005A496C"/>
    <w:rsid w:val="005A4AA8"/>
    <w:rsid w:val="005A50E0"/>
    <w:rsid w:val="005A5270"/>
    <w:rsid w:val="005A53AA"/>
    <w:rsid w:val="005A5467"/>
    <w:rsid w:val="005A58C8"/>
    <w:rsid w:val="005A5B3E"/>
    <w:rsid w:val="005A5E07"/>
    <w:rsid w:val="005A6016"/>
    <w:rsid w:val="005A65F5"/>
    <w:rsid w:val="005A6B67"/>
    <w:rsid w:val="005A6F35"/>
    <w:rsid w:val="005A7024"/>
    <w:rsid w:val="005A72F2"/>
    <w:rsid w:val="005A73C9"/>
    <w:rsid w:val="005A786E"/>
    <w:rsid w:val="005A7989"/>
    <w:rsid w:val="005A7A6A"/>
    <w:rsid w:val="005A7E41"/>
    <w:rsid w:val="005A7FBD"/>
    <w:rsid w:val="005A7FFD"/>
    <w:rsid w:val="005B011C"/>
    <w:rsid w:val="005B0223"/>
    <w:rsid w:val="005B06F9"/>
    <w:rsid w:val="005B06FE"/>
    <w:rsid w:val="005B08EB"/>
    <w:rsid w:val="005B0C94"/>
    <w:rsid w:val="005B0CD0"/>
    <w:rsid w:val="005B0DA9"/>
    <w:rsid w:val="005B1065"/>
    <w:rsid w:val="005B1157"/>
    <w:rsid w:val="005B11CD"/>
    <w:rsid w:val="005B17B0"/>
    <w:rsid w:val="005B1EB7"/>
    <w:rsid w:val="005B22EE"/>
    <w:rsid w:val="005B24A7"/>
    <w:rsid w:val="005B24DE"/>
    <w:rsid w:val="005B2626"/>
    <w:rsid w:val="005B264C"/>
    <w:rsid w:val="005B2B46"/>
    <w:rsid w:val="005B2F30"/>
    <w:rsid w:val="005B2FCC"/>
    <w:rsid w:val="005B2FF8"/>
    <w:rsid w:val="005B30CA"/>
    <w:rsid w:val="005B34DC"/>
    <w:rsid w:val="005B3590"/>
    <w:rsid w:val="005B36DB"/>
    <w:rsid w:val="005B385C"/>
    <w:rsid w:val="005B3FD1"/>
    <w:rsid w:val="005B412D"/>
    <w:rsid w:val="005B4794"/>
    <w:rsid w:val="005B4D52"/>
    <w:rsid w:val="005B4E66"/>
    <w:rsid w:val="005B50F6"/>
    <w:rsid w:val="005B51EB"/>
    <w:rsid w:val="005B5336"/>
    <w:rsid w:val="005B540A"/>
    <w:rsid w:val="005B55A4"/>
    <w:rsid w:val="005B5A07"/>
    <w:rsid w:val="005B5C43"/>
    <w:rsid w:val="005B5E45"/>
    <w:rsid w:val="005B6026"/>
    <w:rsid w:val="005B6444"/>
    <w:rsid w:val="005B64E8"/>
    <w:rsid w:val="005B678D"/>
    <w:rsid w:val="005B6AC1"/>
    <w:rsid w:val="005B6BD2"/>
    <w:rsid w:val="005B6C87"/>
    <w:rsid w:val="005B6CD3"/>
    <w:rsid w:val="005B6D83"/>
    <w:rsid w:val="005B6E38"/>
    <w:rsid w:val="005B70B4"/>
    <w:rsid w:val="005B724B"/>
    <w:rsid w:val="005B72A3"/>
    <w:rsid w:val="005B7418"/>
    <w:rsid w:val="005B7544"/>
    <w:rsid w:val="005B7591"/>
    <w:rsid w:val="005B7736"/>
    <w:rsid w:val="005B782C"/>
    <w:rsid w:val="005B7E98"/>
    <w:rsid w:val="005C0113"/>
    <w:rsid w:val="005C0634"/>
    <w:rsid w:val="005C0735"/>
    <w:rsid w:val="005C07B7"/>
    <w:rsid w:val="005C0840"/>
    <w:rsid w:val="005C0A20"/>
    <w:rsid w:val="005C0AB3"/>
    <w:rsid w:val="005C0C36"/>
    <w:rsid w:val="005C0EBC"/>
    <w:rsid w:val="005C0F17"/>
    <w:rsid w:val="005C10DC"/>
    <w:rsid w:val="005C1296"/>
    <w:rsid w:val="005C153F"/>
    <w:rsid w:val="005C1D46"/>
    <w:rsid w:val="005C1EBE"/>
    <w:rsid w:val="005C1FB2"/>
    <w:rsid w:val="005C2049"/>
    <w:rsid w:val="005C2479"/>
    <w:rsid w:val="005C25E9"/>
    <w:rsid w:val="005C26E6"/>
    <w:rsid w:val="005C2FB5"/>
    <w:rsid w:val="005C3201"/>
    <w:rsid w:val="005C34BB"/>
    <w:rsid w:val="005C385B"/>
    <w:rsid w:val="005C3D3E"/>
    <w:rsid w:val="005C3E2A"/>
    <w:rsid w:val="005C4331"/>
    <w:rsid w:val="005C434E"/>
    <w:rsid w:val="005C4405"/>
    <w:rsid w:val="005C46A7"/>
    <w:rsid w:val="005C477F"/>
    <w:rsid w:val="005C4B04"/>
    <w:rsid w:val="005C4FD5"/>
    <w:rsid w:val="005C4FD8"/>
    <w:rsid w:val="005C506B"/>
    <w:rsid w:val="005C511A"/>
    <w:rsid w:val="005C5175"/>
    <w:rsid w:val="005C51CE"/>
    <w:rsid w:val="005C53E7"/>
    <w:rsid w:val="005C541D"/>
    <w:rsid w:val="005C592A"/>
    <w:rsid w:val="005C5933"/>
    <w:rsid w:val="005C59A6"/>
    <w:rsid w:val="005C59FD"/>
    <w:rsid w:val="005C5A00"/>
    <w:rsid w:val="005C5E48"/>
    <w:rsid w:val="005C648D"/>
    <w:rsid w:val="005C6598"/>
    <w:rsid w:val="005C6899"/>
    <w:rsid w:val="005C6E1B"/>
    <w:rsid w:val="005C6F29"/>
    <w:rsid w:val="005C6F3B"/>
    <w:rsid w:val="005C7428"/>
    <w:rsid w:val="005C76D3"/>
    <w:rsid w:val="005C7A55"/>
    <w:rsid w:val="005C7A72"/>
    <w:rsid w:val="005C7D61"/>
    <w:rsid w:val="005C7D67"/>
    <w:rsid w:val="005C7EA6"/>
    <w:rsid w:val="005C7EFF"/>
    <w:rsid w:val="005D0242"/>
    <w:rsid w:val="005D0295"/>
    <w:rsid w:val="005D0306"/>
    <w:rsid w:val="005D03E4"/>
    <w:rsid w:val="005D04F6"/>
    <w:rsid w:val="005D06E5"/>
    <w:rsid w:val="005D0919"/>
    <w:rsid w:val="005D0999"/>
    <w:rsid w:val="005D0A8F"/>
    <w:rsid w:val="005D0C87"/>
    <w:rsid w:val="005D0F52"/>
    <w:rsid w:val="005D1086"/>
    <w:rsid w:val="005D11AD"/>
    <w:rsid w:val="005D12C7"/>
    <w:rsid w:val="005D1377"/>
    <w:rsid w:val="005D146E"/>
    <w:rsid w:val="005D1EA9"/>
    <w:rsid w:val="005D207F"/>
    <w:rsid w:val="005D2189"/>
    <w:rsid w:val="005D25AD"/>
    <w:rsid w:val="005D26CB"/>
    <w:rsid w:val="005D2758"/>
    <w:rsid w:val="005D28BE"/>
    <w:rsid w:val="005D3434"/>
    <w:rsid w:val="005D34BB"/>
    <w:rsid w:val="005D3837"/>
    <w:rsid w:val="005D39B7"/>
    <w:rsid w:val="005D3A0E"/>
    <w:rsid w:val="005D3AD5"/>
    <w:rsid w:val="005D3CAB"/>
    <w:rsid w:val="005D3ED7"/>
    <w:rsid w:val="005D4219"/>
    <w:rsid w:val="005D4269"/>
    <w:rsid w:val="005D4573"/>
    <w:rsid w:val="005D4839"/>
    <w:rsid w:val="005D48D8"/>
    <w:rsid w:val="005D48E3"/>
    <w:rsid w:val="005D4A58"/>
    <w:rsid w:val="005D4F5A"/>
    <w:rsid w:val="005D4F76"/>
    <w:rsid w:val="005D5274"/>
    <w:rsid w:val="005D5392"/>
    <w:rsid w:val="005D53B4"/>
    <w:rsid w:val="005D53D0"/>
    <w:rsid w:val="005D5590"/>
    <w:rsid w:val="005D5788"/>
    <w:rsid w:val="005D58FF"/>
    <w:rsid w:val="005D63ED"/>
    <w:rsid w:val="005D6405"/>
    <w:rsid w:val="005D6742"/>
    <w:rsid w:val="005D6930"/>
    <w:rsid w:val="005D72BD"/>
    <w:rsid w:val="005D74A5"/>
    <w:rsid w:val="005D78F0"/>
    <w:rsid w:val="005D7C37"/>
    <w:rsid w:val="005D7C46"/>
    <w:rsid w:val="005D7D1F"/>
    <w:rsid w:val="005D7D2D"/>
    <w:rsid w:val="005D7D49"/>
    <w:rsid w:val="005D7E2D"/>
    <w:rsid w:val="005D7ED0"/>
    <w:rsid w:val="005E02DD"/>
    <w:rsid w:val="005E05BA"/>
    <w:rsid w:val="005E0857"/>
    <w:rsid w:val="005E0CF6"/>
    <w:rsid w:val="005E1161"/>
    <w:rsid w:val="005E16D2"/>
    <w:rsid w:val="005E16ED"/>
    <w:rsid w:val="005E1FFD"/>
    <w:rsid w:val="005E2089"/>
    <w:rsid w:val="005E2275"/>
    <w:rsid w:val="005E248E"/>
    <w:rsid w:val="005E249C"/>
    <w:rsid w:val="005E24D1"/>
    <w:rsid w:val="005E2646"/>
    <w:rsid w:val="005E2690"/>
    <w:rsid w:val="005E274B"/>
    <w:rsid w:val="005E292F"/>
    <w:rsid w:val="005E2A92"/>
    <w:rsid w:val="005E2C87"/>
    <w:rsid w:val="005E2ED7"/>
    <w:rsid w:val="005E331A"/>
    <w:rsid w:val="005E349D"/>
    <w:rsid w:val="005E351C"/>
    <w:rsid w:val="005E39F5"/>
    <w:rsid w:val="005E3BB4"/>
    <w:rsid w:val="005E3CAF"/>
    <w:rsid w:val="005E3D61"/>
    <w:rsid w:val="005E3E18"/>
    <w:rsid w:val="005E43C7"/>
    <w:rsid w:val="005E470C"/>
    <w:rsid w:val="005E4B08"/>
    <w:rsid w:val="005E4B84"/>
    <w:rsid w:val="005E4C4C"/>
    <w:rsid w:val="005E4CB2"/>
    <w:rsid w:val="005E4FBA"/>
    <w:rsid w:val="005E5191"/>
    <w:rsid w:val="005E51A5"/>
    <w:rsid w:val="005E566A"/>
    <w:rsid w:val="005E5795"/>
    <w:rsid w:val="005E57CF"/>
    <w:rsid w:val="005E59D4"/>
    <w:rsid w:val="005E5A55"/>
    <w:rsid w:val="005E5D5E"/>
    <w:rsid w:val="005E5E02"/>
    <w:rsid w:val="005E61BD"/>
    <w:rsid w:val="005E61DD"/>
    <w:rsid w:val="005E6620"/>
    <w:rsid w:val="005E6843"/>
    <w:rsid w:val="005E6A8A"/>
    <w:rsid w:val="005E6F9D"/>
    <w:rsid w:val="005E6FF9"/>
    <w:rsid w:val="005E70C1"/>
    <w:rsid w:val="005E7402"/>
    <w:rsid w:val="005E755E"/>
    <w:rsid w:val="005E75BC"/>
    <w:rsid w:val="005E7701"/>
    <w:rsid w:val="005E7AA5"/>
    <w:rsid w:val="005E7F14"/>
    <w:rsid w:val="005E7F8E"/>
    <w:rsid w:val="005F012E"/>
    <w:rsid w:val="005F0755"/>
    <w:rsid w:val="005F08D9"/>
    <w:rsid w:val="005F094D"/>
    <w:rsid w:val="005F0C13"/>
    <w:rsid w:val="005F1725"/>
    <w:rsid w:val="005F17FA"/>
    <w:rsid w:val="005F19C4"/>
    <w:rsid w:val="005F1C9F"/>
    <w:rsid w:val="005F1D10"/>
    <w:rsid w:val="005F1E7F"/>
    <w:rsid w:val="005F1F52"/>
    <w:rsid w:val="005F1FA0"/>
    <w:rsid w:val="005F235F"/>
    <w:rsid w:val="005F271E"/>
    <w:rsid w:val="005F2C42"/>
    <w:rsid w:val="005F2D9B"/>
    <w:rsid w:val="005F3A42"/>
    <w:rsid w:val="005F3BAF"/>
    <w:rsid w:val="005F3E3F"/>
    <w:rsid w:val="005F3EE6"/>
    <w:rsid w:val="005F40C5"/>
    <w:rsid w:val="005F41CB"/>
    <w:rsid w:val="005F43DE"/>
    <w:rsid w:val="005F4503"/>
    <w:rsid w:val="005F470D"/>
    <w:rsid w:val="005F48BE"/>
    <w:rsid w:val="005F4A35"/>
    <w:rsid w:val="005F5197"/>
    <w:rsid w:val="005F51A1"/>
    <w:rsid w:val="005F51D9"/>
    <w:rsid w:val="005F5756"/>
    <w:rsid w:val="005F5A8B"/>
    <w:rsid w:val="005F5F2B"/>
    <w:rsid w:val="005F6490"/>
    <w:rsid w:val="005F64CE"/>
    <w:rsid w:val="005F6622"/>
    <w:rsid w:val="005F66F1"/>
    <w:rsid w:val="005F68AA"/>
    <w:rsid w:val="005F6E90"/>
    <w:rsid w:val="005F72B1"/>
    <w:rsid w:val="005F7351"/>
    <w:rsid w:val="005F7799"/>
    <w:rsid w:val="005F7B47"/>
    <w:rsid w:val="00600303"/>
    <w:rsid w:val="00600718"/>
    <w:rsid w:val="0060075F"/>
    <w:rsid w:val="00600767"/>
    <w:rsid w:val="00600926"/>
    <w:rsid w:val="00600936"/>
    <w:rsid w:val="00600C14"/>
    <w:rsid w:val="00600D1F"/>
    <w:rsid w:val="006012C9"/>
    <w:rsid w:val="006014F5"/>
    <w:rsid w:val="00601542"/>
    <w:rsid w:val="006015A8"/>
    <w:rsid w:val="006015C6"/>
    <w:rsid w:val="006015C7"/>
    <w:rsid w:val="006016E0"/>
    <w:rsid w:val="006017F6"/>
    <w:rsid w:val="00601904"/>
    <w:rsid w:val="00601935"/>
    <w:rsid w:val="00601C5E"/>
    <w:rsid w:val="00601D72"/>
    <w:rsid w:val="00601E69"/>
    <w:rsid w:val="00601F6D"/>
    <w:rsid w:val="006020B8"/>
    <w:rsid w:val="0060223D"/>
    <w:rsid w:val="0060286A"/>
    <w:rsid w:val="00602C01"/>
    <w:rsid w:val="00602DE3"/>
    <w:rsid w:val="00602E72"/>
    <w:rsid w:val="00602FF3"/>
    <w:rsid w:val="00603145"/>
    <w:rsid w:val="006033F4"/>
    <w:rsid w:val="00603CF8"/>
    <w:rsid w:val="0060419D"/>
    <w:rsid w:val="00604232"/>
    <w:rsid w:val="0060426D"/>
    <w:rsid w:val="006045D4"/>
    <w:rsid w:val="006048E8"/>
    <w:rsid w:val="0060497D"/>
    <w:rsid w:val="006049AE"/>
    <w:rsid w:val="00604FE9"/>
    <w:rsid w:val="00605701"/>
    <w:rsid w:val="00605D45"/>
    <w:rsid w:val="00605E21"/>
    <w:rsid w:val="00605E25"/>
    <w:rsid w:val="00605F45"/>
    <w:rsid w:val="00605FD4"/>
    <w:rsid w:val="0060603F"/>
    <w:rsid w:val="006065BE"/>
    <w:rsid w:val="00606731"/>
    <w:rsid w:val="00606861"/>
    <w:rsid w:val="00606A13"/>
    <w:rsid w:val="00606CB4"/>
    <w:rsid w:val="00606DCA"/>
    <w:rsid w:val="00606F3E"/>
    <w:rsid w:val="00606FF7"/>
    <w:rsid w:val="0060711B"/>
    <w:rsid w:val="00607274"/>
    <w:rsid w:val="0060728C"/>
    <w:rsid w:val="00607303"/>
    <w:rsid w:val="00607306"/>
    <w:rsid w:val="006073C8"/>
    <w:rsid w:val="0060751C"/>
    <w:rsid w:val="00607B05"/>
    <w:rsid w:val="00607B66"/>
    <w:rsid w:val="00607C2D"/>
    <w:rsid w:val="00607DAD"/>
    <w:rsid w:val="00607E18"/>
    <w:rsid w:val="006101F1"/>
    <w:rsid w:val="0061022C"/>
    <w:rsid w:val="00610414"/>
    <w:rsid w:val="00610511"/>
    <w:rsid w:val="006105FF"/>
    <w:rsid w:val="00610A21"/>
    <w:rsid w:val="00610B6B"/>
    <w:rsid w:val="00610B7B"/>
    <w:rsid w:val="00611072"/>
    <w:rsid w:val="00611220"/>
    <w:rsid w:val="00611323"/>
    <w:rsid w:val="00611412"/>
    <w:rsid w:val="00611469"/>
    <w:rsid w:val="006119F8"/>
    <w:rsid w:val="00611A99"/>
    <w:rsid w:val="00611CA0"/>
    <w:rsid w:val="00611D67"/>
    <w:rsid w:val="00611E4B"/>
    <w:rsid w:val="00611F3B"/>
    <w:rsid w:val="00611FEE"/>
    <w:rsid w:val="00612178"/>
    <w:rsid w:val="00612257"/>
    <w:rsid w:val="00612331"/>
    <w:rsid w:val="0061237B"/>
    <w:rsid w:val="006125EC"/>
    <w:rsid w:val="00612A4E"/>
    <w:rsid w:val="0061314C"/>
    <w:rsid w:val="0061343F"/>
    <w:rsid w:val="006135C4"/>
    <w:rsid w:val="00613662"/>
    <w:rsid w:val="006137A8"/>
    <w:rsid w:val="00613BBF"/>
    <w:rsid w:val="00613D2D"/>
    <w:rsid w:val="00613DDD"/>
    <w:rsid w:val="00613E45"/>
    <w:rsid w:val="00613EFA"/>
    <w:rsid w:val="00613FA5"/>
    <w:rsid w:val="0061401B"/>
    <w:rsid w:val="006143EB"/>
    <w:rsid w:val="006145E1"/>
    <w:rsid w:val="00614859"/>
    <w:rsid w:val="00614BDD"/>
    <w:rsid w:val="00614CD9"/>
    <w:rsid w:val="006150A0"/>
    <w:rsid w:val="00615250"/>
    <w:rsid w:val="0061538A"/>
    <w:rsid w:val="006153A3"/>
    <w:rsid w:val="006154B7"/>
    <w:rsid w:val="0061555C"/>
    <w:rsid w:val="0061585B"/>
    <w:rsid w:val="0061591B"/>
    <w:rsid w:val="00615A5A"/>
    <w:rsid w:val="00615AFB"/>
    <w:rsid w:val="00615CAA"/>
    <w:rsid w:val="00615D6E"/>
    <w:rsid w:val="006164FA"/>
    <w:rsid w:val="0061660D"/>
    <w:rsid w:val="00616724"/>
    <w:rsid w:val="00616CA7"/>
    <w:rsid w:val="00616D31"/>
    <w:rsid w:val="00616F65"/>
    <w:rsid w:val="00617342"/>
    <w:rsid w:val="0061734D"/>
    <w:rsid w:val="00617356"/>
    <w:rsid w:val="0061750C"/>
    <w:rsid w:val="006176B1"/>
    <w:rsid w:val="00617839"/>
    <w:rsid w:val="006178FF"/>
    <w:rsid w:val="00617949"/>
    <w:rsid w:val="006179F1"/>
    <w:rsid w:val="006179F6"/>
    <w:rsid w:val="00617AFE"/>
    <w:rsid w:val="00617C09"/>
    <w:rsid w:val="00617D6D"/>
    <w:rsid w:val="00617DEB"/>
    <w:rsid w:val="00617E9C"/>
    <w:rsid w:val="00617EE7"/>
    <w:rsid w:val="0062066A"/>
    <w:rsid w:val="006208BB"/>
    <w:rsid w:val="00620A4A"/>
    <w:rsid w:val="00620BBC"/>
    <w:rsid w:val="00620E91"/>
    <w:rsid w:val="00620F69"/>
    <w:rsid w:val="00621C81"/>
    <w:rsid w:val="00621D66"/>
    <w:rsid w:val="00621F2F"/>
    <w:rsid w:val="00622077"/>
    <w:rsid w:val="006220C5"/>
    <w:rsid w:val="00622385"/>
    <w:rsid w:val="0062242F"/>
    <w:rsid w:val="0062267A"/>
    <w:rsid w:val="00622681"/>
    <w:rsid w:val="00622803"/>
    <w:rsid w:val="00622B26"/>
    <w:rsid w:val="00622BF7"/>
    <w:rsid w:val="00622C41"/>
    <w:rsid w:val="00622D78"/>
    <w:rsid w:val="00622E4C"/>
    <w:rsid w:val="00622E5B"/>
    <w:rsid w:val="00622EF5"/>
    <w:rsid w:val="00623213"/>
    <w:rsid w:val="0062321C"/>
    <w:rsid w:val="0062340E"/>
    <w:rsid w:val="00623458"/>
    <w:rsid w:val="006235C4"/>
    <w:rsid w:val="0062367E"/>
    <w:rsid w:val="00623AA0"/>
    <w:rsid w:val="00623BD6"/>
    <w:rsid w:val="00623CC4"/>
    <w:rsid w:val="00623E69"/>
    <w:rsid w:val="006247B9"/>
    <w:rsid w:val="00624ADB"/>
    <w:rsid w:val="00624C5F"/>
    <w:rsid w:val="00624D28"/>
    <w:rsid w:val="006252FD"/>
    <w:rsid w:val="00625E29"/>
    <w:rsid w:val="006263FC"/>
    <w:rsid w:val="0062661F"/>
    <w:rsid w:val="00626657"/>
    <w:rsid w:val="006268CD"/>
    <w:rsid w:val="00626F35"/>
    <w:rsid w:val="006271C6"/>
    <w:rsid w:val="00627519"/>
    <w:rsid w:val="0062787A"/>
    <w:rsid w:val="006278B8"/>
    <w:rsid w:val="00630668"/>
    <w:rsid w:val="006306CF"/>
    <w:rsid w:val="00630790"/>
    <w:rsid w:val="006309A2"/>
    <w:rsid w:val="00630B5D"/>
    <w:rsid w:val="00630BE9"/>
    <w:rsid w:val="00630C54"/>
    <w:rsid w:val="006311D5"/>
    <w:rsid w:val="00631215"/>
    <w:rsid w:val="006312EA"/>
    <w:rsid w:val="006313C0"/>
    <w:rsid w:val="006313DC"/>
    <w:rsid w:val="0063141B"/>
    <w:rsid w:val="006314BD"/>
    <w:rsid w:val="006315DB"/>
    <w:rsid w:val="00631888"/>
    <w:rsid w:val="00631A96"/>
    <w:rsid w:val="00631CB7"/>
    <w:rsid w:val="006321CE"/>
    <w:rsid w:val="00632326"/>
    <w:rsid w:val="0063235D"/>
    <w:rsid w:val="00632708"/>
    <w:rsid w:val="0063272F"/>
    <w:rsid w:val="0063275E"/>
    <w:rsid w:val="006329E4"/>
    <w:rsid w:val="00632C35"/>
    <w:rsid w:val="00633175"/>
    <w:rsid w:val="00633411"/>
    <w:rsid w:val="00633477"/>
    <w:rsid w:val="0063353F"/>
    <w:rsid w:val="0063360A"/>
    <w:rsid w:val="00633A03"/>
    <w:rsid w:val="0063401B"/>
    <w:rsid w:val="00634225"/>
    <w:rsid w:val="006343BD"/>
    <w:rsid w:val="00634646"/>
    <w:rsid w:val="00634689"/>
    <w:rsid w:val="006346D6"/>
    <w:rsid w:val="00634863"/>
    <w:rsid w:val="006348B0"/>
    <w:rsid w:val="00634B69"/>
    <w:rsid w:val="00635716"/>
    <w:rsid w:val="00635726"/>
    <w:rsid w:val="00635A77"/>
    <w:rsid w:val="00635B3E"/>
    <w:rsid w:val="00635C37"/>
    <w:rsid w:val="00635D01"/>
    <w:rsid w:val="00635E23"/>
    <w:rsid w:val="00635F3F"/>
    <w:rsid w:val="00635FBF"/>
    <w:rsid w:val="00635FF0"/>
    <w:rsid w:val="0063620D"/>
    <w:rsid w:val="00636595"/>
    <w:rsid w:val="00636856"/>
    <w:rsid w:val="006368FD"/>
    <w:rsid w:val="00636A8B"/>
    <w:rsid w:val="00637155"/>
    <w:rsid w:val="0063716A"/>
    <w:rsid w:val="0063718C"/>
    <w:rsid w:val="00637198"/>
    <w:rsid w:val="006371C5"/>
    <w:rsid w:val="006372AE"/>
    <w:rsid w:val="00637BCE"/>
    <w:rsid w:val="00637FF7"/>
    <w:rsid w:val="006400B3"/>
    <w:rsid w:val="006406ED"/>
    <w:rsid w:val="00640884"/>
    <w:rsid w:val="006409CA"/>
    <w:rsid w:val="00640AE1"/>
    <w:rsid w:val="00640C73"/>
    <w:rsid w:val="00640D27"/>
    <w:rsid w:val="00640F3E"/>
    <w:rsid w:val="006412D6"/>
    <w:rsid w:val="006414C9"/>
    <w:rsid w:val="00641852"/>
    <w:rsid w:val="00641879"/>
    <w:rsid w:val="0064192E"/>
    <w:rsid w:val="006419D2"/>
    <w:rsid w:val="00641A10"/>
    <w:rsid w:val="00641BE3"/>
    <w:rsid w:val="00641E03"/>
    <w:rsid w:val="0064211F"/>
    <w:rsid w:val="00642334"/>
    <w:rsid w:val="006423FB"/>
    <w:rsid w:val="0064261A"/>
    <w:rsid w:val="0064282C"/>
    <w:rsid w:val="0064294B"/>
    <w:rsid w:val="0064295D"/>
    <w:rsid w:val="0064299C"/>
    <w:rsid w:val="00642CE6"/>
    <w:rsid w:val="00642D64"/>
    <w:rsid w:val="00642DC9"/>
    <w:rsid w:val="006435E2"/>
    <w:rsid w:val="00643764"/>
    <w:rsid w:val="00643868"/>
    <w:rsid w:val="00643A27"/>
    <w:rsid w:val="00643B8F"/>
    <w:rsid w:val="00643D54"/>
    <w:rsid w:val="00643E3B"/>
    <w:rsid w:val="0064419A"/>
    <w:rsid w:val="006441E5"/>
    <w:rsid w:val="00644259"/>
    <w:rsid w:val="006442C6"/>
    <w:rsid w:val="006442F3"/>
    <w:rsid w:val="006443F9"/>
    <w:rsid w:val="006446EF"/>
    <w:rsid w:val="0064475A"/>
    <w:rsid w:val="00644777"/>
    <w:rsid w:val="006448B4"/>
    <w:rsid w:val="0064523F"/>
    <w:rsid w:val="0064539D"/>
    <w:rsid w:val="0064585C"/>
    <w:rsid w:val="006458A5"/>
    <w:rsid w:val="006459E8"/>
    <w:rsid w:val="00645A59"/>
    <w:rsid w:val="00645A75"/>
    <w:rsid w:val="00645C21"/>
    <w:rsid w:val="00645CC4"/>
    <w:rsid w:val="00646022"/>
    <w:rsid w:val="00646257"/>
    <w:rsid w:val="00646363"/>
    <w:rsid w:val="006464A9"/>
    <w:rsid w:val="00646523"/>
    <w:rsid w:val="00646845"/>
    <w:rsid w:val="00646871"/>
    <w:rsid w:val="006469C5"/>
    <w:rsid w:val="00646C8B"/>
    <w:rsid w:val="00646DA3"/>
    <w:rsid w:val="00647013"/>
    <w:rsid w:val="00647310"/>
    <w:rsid w:val="00647814"/>
    <w:rsid w:val="00647AE1"/>
    <w:rsid w:val="00647BF2"/>
    <w:rsid w:val="0065019F"/>
    <w:rsid w:val="00650233"/>
    <w:rsid w:val="006505AA"/>
    <w:rsid w:val="0065076B"/>
    <w:rsid w:val="006507F6"/>
    <w:rsid w:val="006508A3"/>
    <w:rsid w:val="00650AF9"/>
    <w:rsid w:val="00650F09"/>
    <w:rsid w:val="006511F1"/>
    <w:rsid w:val="006514EC"/>
    <w:rsid w:val="00651745"/>
    <w:rsid w:val="00651E4D"/>
    <w:rsid w:val="00652197"/>
    <w:rsid w:val="006522DD"/>
    <w:rsid w:val="00652454"/>
    <w:rsid w:val="0065246B"/>
    <w:rsid w:val="00652645"/>
    <w:rsid w:val="00652CC1"/>
    <w:rsid w:val="00652E1D"/>
    <w:rsid w:val="00652E66"/>
    <w:rsid w:val="00652EC5"/>
    <w:rsid w:val="00652FFF"/>
    <w:rsid w:val="0065334A"/>
    <w:rsid w:val="0065340A"/>
    <w:rsid w:val="00653595"/>
    <w:rsid w:val="0065359B"/>
    <w:rsid w:val="0065381C"/>
    <w:rsid w:val="00653ABA"/>
    <w:rsid w:val="00653BB4"/>
    <w:rsid w:val="00653D02"/>
    <w:rsid w:val="00654129"/>
    <w:rsid w:val="00654655"/>
    <w:rsid w:val="00654B8F"/>
    <w:rsid w:val="00654E3B"/>
    <w:rsid w:val="00654E51"/>
    <w:rsid w:val="00654F94"/>
    <w:rsid w:val="006551EC"/>
    <w:rsid w:val="0065594A"/>
    <w:rsid w:val="00655983"/>
    <w:rsid w:val="00656146"/>
    <w:rsid w:val="00656235"/>
    <w:rsid w:val="0065640B"/>
    <w:rsid w:val="00656465"/>
    <w:rsid w:val="00656A9F"/>
    <w:rsid w:val="00656B8A"/>
    <w:rsid w:val="00656EDC"/>
    <w:rsid w:val="00657045"/>
    <w:rsid w:val="0065731E"/>
    <w:rsid w:val="006573B8"/>
    <w:rsid w:val="0065761F"/>
    <w:rsid w:val="00657834"/>
    <w:rsid w:val="00657EB6"/>
    <w:rsid w:val="00660005"/>
    <w:rsid w:val="00660071"/>
    <w:rsid w:val="00660702"/>
    <w:rsid w:val="0066070F"/>
    <w:rsid w:val="006609E4"/>
    <w:rsid w:val="00660A78"/>
    <w:rsid w:val="00660B07"/>
    <w:rsid w:val="00660B65"/>
    <w:rsid w:val="00660F0A"/>
    <w:rsid w:val="00660F6B"/>
    <w:rsid w:val="00660F7A"/>
    <w:rsid w:val="00661079"/>
    <w:rsid w:val="006610A2"/>
    <w:rsid w:val="00661244"/>
    <w:rsid w:val="00661274"/>
    <w:rsid w:val="00661415"/>
    <w:rsid w:val="006614AC"/>
    <w:rsid w:val="006615D0"/>
    <w:rsid w:val="00661C62"/>
    <w:rsid w:val="00661D96"/>
    <w:rsid w:val="00661F7C"/>
    <w:rsid w:val="006628C8"/>
    <w:rsid w:val="0066291C"/>
    <w:rsid w:val="00662BDB"/>
    <w:rsid w:val="00662E32"/>
    <w:rsid w:val="00662E7C"/>
    <w:rsid w:val="006633A4"/>
    <w:rsid w:val="006634F7"/>
    <w:rsid w:val="00663753"/>
    <w:rsid w:val="006637AF"/>
    <w:rsid w:val="0066391D"/>
    <w:rsid w:val="00663968"/>
    <w:rsid w:val="00663B9A"/>
    <w:rsid w:val="006641B5"/>
    <w:rsid w:val="00664220"/>
    <w:rsid w:val="00664402"/>
    <w:rsid w:val="0066466F"/>
    <w:rsid w:val="00664671"/>
    <w:rsid w:val="006646B3"/>
    <w:rsid w:val="00664854"/>
    <w:rsid w:val="0066497C"/>
    <w:rsid w:val="006649F6"/>
    <w:rsid w:val="00664A45"/>
    <w:rsid w:val="00664D96"/>
    <w:rsid w:val="00664EAA"/>
    <w:rsid w:val="00664F31"/>
    <w:rsid w:val="00665004"/>
    <w:rsid w:val="00665668"/>
    <w:rsid w:val="006656DC"/>
    <w:rsid w:val="00665F8C"/>
    <w:rsid w:val="00665FD0"/>
    <w:rsid w:val="006662DD"/>
    <w:rsid w:val="00666460"/>
    <w:rsid w:val="00666A13"/>
    <w:rsid w:val="00666E40"/>
    <w:rsid w:val="00666E7F"/>
    <w:rsid w:val="006673C4"/>
    <w:rsid w:val="006676A3"/>
    <w:rsid w:val="0066770B"/>
    <w:rsid w:val="0066773C"/>
    <w:rsid w:val="00667762"/>
    <w:rsid w:val="00667C18"/>
    <w:rsid w:val="00667D7A"/>
    <w:rsid w:val="00667E69"/>
    <w:rsid w:val="00667E9A"/>
    <w:rsid w:val="006700D0"/>
    <w:rsid w:val="0067014C"/>
    <w:rsid w:val="00670926"/>
    <w:rsid w:val="00670952"/>
    <w:rsid w:val="00670A50"/>
    <w:rsid w:val="00670F15"/>
    <w:rsid w:val="006714DA"/>
    <w:rsid w:val="006715E0"/>
    <w:rsid w:val="00671652"/>
    <w:rsid w:val="006716B8"/>
    <w:rsid w:val="00671804"/>
    <w:rsid w:val="00671989"/>
    <w:rsid w:val="00671BC1"/>
    <w:rsid w:val="00671FC6"/>
    <w:rsid w:val="0067205E"/>
    <w:rsid w:val="00672414"/>
    <w:rsid w:val="00672AEC"/>
    <w:rsid w:val="00672F60"/>
    <w:rsid w:val="006733FA"/>
    <w:rsid w:val="006735B2"/>
    <w:rsid w:val="00673FD4"/>
    <w:rsid w:val="006743C8"/>
    <w:rsid w:val="00674A89"/>
    <w:rsid w:val="00674B3B"/>
    <w:rsid w:val="00674B89"/>
    <w:rsid w:val="00674BB6"/>
    <w:rsid w:val="00674C64"/>
    <w:rsid w:val="00674CCF"/>
    <w:rsid w:val="00674E14"/>
    <w:rsid w:val="00674FA4"/>
    <w:rsid w:val="0067522E"/>
    <w:rsid w:val="006752CF"/>
    <w:rsid w:val="00675688"/>
    <w:rsid w:val="00675814"/>
    <w:rsid w:val="00675941"/>
    <w:rsid w:val="00675B20"/>
    <w:rsid w:val="00675FE5"/>
    <w:rsid w:val="006761D8"/>
    <w:rsid w:val="006764A9"/>
    <w:rsid w:val="0067680C"/>
    <w:rsid w:val="00676E4F"/>
    <w:rsid w:val="00676EF2"/>
    <w:rsid w:val="00676F27"/>
    <w:rsid w:val="00677429"/>
    <w:rsid w:val="00677447"/>
    <w:rsid w:val="00677451"/>
    <w:rsid w:val="006778BA"/>
    <w:rsid w:val="00677A80"/>
    <w:rsid w:val="00677AA2"/>
    <w:rsid w:val="00677CC1"/>
    <w:rsid w:val="00677DC5"/>
    <w:rsid w:val="0068007A"/>
    <w:rsid w:val="006800AA"/>
    <w:rsid w:val="00680373"/>
    <w:rsid w:val="0068038A"/>
    <w:rsid w:val="00680542"/>
    <w:rsid w:val="00680650"/>
    <w:rsid w:val="006806A9"/>
    <w:rsid w:val="00680709"/>
    <w:rsid w:val="00680821"/>
    <w:rsid w:val="00680971"/>
    <w:rsid w:val="00680C6F"/>
    <w:rsid w:val="00680F7B"/>
    <w:rsid w:val="0068116F"/>
    <w:rsid w:val="00681467"/>
    <w:rsid w:val="00681712"/>
    <w:rsid w:val="00681A5C"/>
    <w:rsid w:val="00681CAA"/>
    <w:rsid w:val="00681EE5"/>
    <w:rsid w:val="00681FFD"/>
    <w:rsid w:val="00682145"/>
    <w:rsid w:val="0068248A"/>
    <w:rsid w:val="00682812"/>
    <w:rsid w:val="006828BA"/>
    <w:rsid w:val="00682B2E"/>
    <w:rsid w:val="00682DD8"/>
    <w:rsid w:val="00682E19"/>
    <w:rsid w:val="00682F4D"/>
    <w:rsid w:val="00682F55"/>
    <w:rsid w:val="0068351C"/>
    <w:rsid w:val="0068358D"/>
    <w:rsid w:val="0068376A"/>
    <w:rsid w:val="006842EB"/>
    <w:rsid w:val="00684334"/>
    <w:rsid w:val="00684788"/>
    <w:rsid w:val="00684BE6"/>
    <w:rsid w:val="00684D9E"/>
    <w:rsid w:val="00684DBF"/>
    <w:rsid w:val="00684EBF"/>
    <w:rsid w:val="00684FE6"/>
    <w:rsid w:val="0068500B"/>
    <w:rsid w:val="00685222"/>
    <w:rsid w:val="00685480"/>
    <w:rsid w:val="00685B35"/>
    <w:rsid w:val="00685CF4"/>
    <w:rsid w:val="00685F84"/>
    <w:rsid w:val="0068632D"/>
    <w:rsid w:val="00686381"/>
    <w:rsid w:val="006864B9"/>
    <w:rsid w:val="00686584"/>
    <w:rsid w:val="0068664F"/>
    <w:rsid w:val="00686FB4"/>
    <w:rsid w:val="006871F3"/>
    <w:rsid w:val="00687462"/>
    <w:rsid w:val="006877BF"/>
    <w:rsid w:val="00687800"/>
    <w:rsid w:val="00687B0F"/>
    <w:rsid w:val="00687D0F"/>
    <w:rsid w:val="00687D41"/>
    <w:rsid w:val="00687D8E"/>
    <w:rsid w:val="00687E93"/>
    <w:rsid w:val="006900A0"/>
    <w:rsid w:val="006902D1"/>
    <w:rsid w:val="006906E4"/>
    <w:rsid w:val="00690886"/>
    <w:rsid w:val="00690B26"/>
    <w:rsid w:val="00690B34"/>
    <w:rsid w:val="00690E5D"/>
    <w:rsid w:val="0069100C"/>
    <w:rsid w:val="00691401"/>
    <w:rsid w:val="00691715"/>
    <w:rsid w:val="0069197F"/>
    <w:rsid w:val="006919F1"/>
    <w:rsid w:val="006921D9"/>
    <w:rsid w:val="00692361"/>
    <w:rsid w:val="0069257C"/>
    <w:rsid w:val="006925AE"/>
    <w:rsid w:val="006926D1"/>
    <w:rsid w:val="00692A30"/>
    <w:rsid w:val="00692A5C"/>
    <w:rsid w:val="006933C3"/>
    <w:rsid w:val="006933F6"/>
    <w:rsid w:val="0069340A"/>
    <w:rsid w:val="00693472"/>
    <w:rsid w:val="00693508"/>
    <w:rsid w:val="006935E2"/>
    <w:rsid w:val="0069362D"/>
    <w:rsid w:val="006938D9"/>
    <w:rsid w:val="00693EA9"/>
    <w:rsid w:val="00693F5B"/>
    <w:rsid w:val="00694231"/>
    <w:rsid w:val="006944AF"/>
    <w:rsid w:val="006944B8"/>
    <w:rsid w:val="0069462F"/>
    <w:rsid w:val="00694793"/>
    <w:rsid w:val="0069485E"/>
    <w:rsid w:val="00694905"/>
    <w:rsid w:val="00694EF4"/>
    <w:rsid w:val="006951AB"/>
    <w:rsid w:val="0069539C"/>
    <w:rsid w:val="006953E8"/>
    <w:rsid w:val="0069559A"/>
    <w:rsid w:val="0069562E"/>
    <w:rsid w:val="00695744"/>
    <w:rsid w:val="00695966"/>
    <w:rsid w:val="00695991"/>
    <w:rsid w:val="00695D1A"/>
    <w:rsid w:val="00695D4C"/>
    <w:rsid w:val="006968EB"/>
    <w:rsid w:val="00696A74"/>
    <w:rsid w:val="00696AF2"/>
    <w:rsid w:val="00696B84"/>
    <w:rsid w:val="00696E1A"/>
    <w:rsid w:val="00696F26"/>
    <w:rsid w:val="00697032"/>
    <w:rsid w:val="0069734E"/>
    <w:rsid w:val="00697794"/>
    <w:rsid w:val="00697898"/>
    <w:rsid w:val="00697CA8"/>
    <w:rsid w:val="00697D1C"/>
    <w:rsid w:val="00697DED"/>
    <w:rsid w:val="006A05F2"/>
    <w:rsid w:val="006A0723"/>
    <w:rsid w:val="006A072A"/>
    <w:rsid w:val="006A0A4C"/>
    <w:rsid w:val="006A0CC9"/>
    <w:rsid w:val="006A1188"/>
    <w:rsid w:val="006A11C8"/>
    <w:rsid w:val="006A1528"/>
    <w:rsid w:val="006A18BB"/>
    <w:rsid w:val="006A1C9F"/>
    <w:rsid w:val="006A1E0F"/>
    <w:rsid w:val="006A203D"/>
    <w:rsid w:val="006A210E"/>
    <w:rsid w:val="006A235F"/>
    <w:rsid w:val="006A251D"/>
    <w:rsid w:val="006A25DB"/>
    <w:rsid w:val="006A2AAF"/>
    <w:rsid w:val="006A2B52"/>
    <w:rsid w:val="006A2C28"/>
    <w:rsid w:val="006A2C2F"/>
    <w:rsid w:val="006A2CF8"/>
    <w:rsid w:val="006A2D02"/>
    <w:rsid w:val="006A2FAF"/>
    <w:rsid w:val="006A3012"/>
    <w:rsid w:val="006A310A"/>
    <w:rsid w:val="006A31AF"/>
    <w:rsid w:val="006A349A"/>
    <w:rsid w:val="006A38B7"/>
    <w:rsid w:val="006A3A5A"/>
    <w:rsid w:val="006A3C64"/>
    <w:rsid w:val="006A3F25"/>
    <w:rsid w:val="006A40E5"/>
    <w:rsid w:val="006A424F"/>
    <w:rsid w:val="006A4626"/>
    <w:rsid w:val="006A4850"/>
    <w:rsid w:val="006A5205"/>
    <w:rsid w:val="006A53DA"/>
    <w:rsid w:val="006A56C8"/>
    <w:rsid w:val="006A5AE7"/>
    <w:rsid w:val="006A5B01"/>
    <w:rsid w:val="006A5B6F"/>
    <w:rsid w:val="006A5EAD"/>
    <w:rsid w:val="006A607B"/>
    <w:rsid w:val="006A637A"/>
    <w:rsid w:val="006A63E6"/>
    <w:rsid w:val="006A6559"/>
    <w:rsid w:val="006A65F5"/>
    <w:rsid w:val="006A6EF2"/>
    <w:rsid w:val="006A71C9"/>
    <w:rsid w:val="006A71E0"/>
    <w:rsid w:val="006A74DA"/>
    <w:rsid w:val="006A78FA"/>
    <w:rsid w:val="006A7F68"/>
    <w:rsid w:val="006B01F2"/>
    <w:rsid w:val="006B0222"/>
    <w:rsid w:val="006B0228"/>
    <w:rsid w:val="006B0561"/>
    <w:rsid w:val="006B05A6"/>
    <w:rsid w:val="006B0711"/>
    <w:rsid w:val="006B0744"/>
    <w:rsid w:val="006B077E"/>
    <w:rsid w:val="006B07AF"/>
    <w:rsid w:val="006B08E7"/>
    <w:rsid w:val="006B0BD0"/>
    <w:rsid w:val="006B0ECA"/>
    <w:rsid w:val="006B0ED6"/>
    <w:rsid w:val="006B0F81"/>
    <w:rsid w:val="006B13AB"/>
    <w:rsid w:val="006B165A"/>
    <w:rsid w:val="006B168D"/>
    <w:rsid w:val="006B1A51"/>
    <w:rsid w:val="006B1BA4"/>
    <w:rsid w:val="006B1BE6"/>
    <w:rsid w:val="006B1D8F"/>
    <w:rsid w:val="006B1DC8"/>
    <w:rsid w:val="006B1E11"/>
    <w:rsid w:val="006B1EC4"/>
    <w:rsid w:val="006B1F0A"/>
    <w:rsid w:val="006B22CE"/>
    <w:rsid w:val="006B2574"/>
    <w:rsid w:val="006B270F"/>
    <w:rsid w:val="006B2791"/>
    <w:rsid w:val="006B27A5"/>
    <w:rsid w:val="006B2DDD"/>
    <w:rsid w:val="006B2FC7"/>
    <w:rsid w:val="006B33BD"/>
    <w:rsid w:val="006B34E8"/>
    <w:rsid w:val="006B36E5"/>
    <w:rsid w:val="006B3774"/>
    <w:rsid w:val="006B37C3"/>
    <w:rsid w:val="006B3852"/>
    <w:rsid w:val="006B3AD5"/>
    <w:rsid w:val="006B3C30"/>
    <w:rsid w:val="006B3E49"/>
    <w:rsid w:val="006B4312"/>
    <w:rsid w:val="006B4431"/>
    <w:rsid w:val="006B44ED"/>
    <w:rsid w:val="006B45D2"/>
    <w:rsid w:val="006B4694"/>
    <w:rsid w:val="006B4E32"/>
    <w:rsid w:val="006B4E3D"/>
    <w:rsid w:val="006B52B1"/>
    <w:rsid w:val="006B5376"/>
    <w:rsid w:val="006B5416"/>
    <w:rsid w:val="006B5453"/>
    <w:rsid w:val="006B5B9B"/>
    <w:rsid w:val="006B5DF4"/>
    <w:rsid w:val="006B5E01"/>
    <w:rsid w:val="006B6080"/>
    <w:rsid w:val="006B626E"/>
    <w:rsid w:val="006B65FA"/>
    <w:rsid w:val="006B6652"/>
    <w:rsid w:val="006B67E4"/>
    <w:rsid w:val="006B68B2"/>
    <w:rsid w:val="006B6B11"/>
    <w:rsid w:val="006B6C9D"/>
    <w:rsid w:val="006B7073"/>
    <w:rsid w:val="006B71EC"/>
    <w:rsid w:val="006B7224"/>
    <w:rsid w:val="006B72C7"/>
    <w:rsid w:val="006B7532"/>
    <w:rsid w:val="006B7579"/>
    <w:rsid w:val="006B7713"/>
    <w:rsid w:val="006B7814"/>
    <w:rsid w:val="006B7A73"/>
    <w:rsid w:val="006B7C78"/>
    <w:rsid w:val="006B7DBE"/>
    <w:rsid w:val="006C0191"/>
    <w:rsid w:val="006C072A"/>
    <w:rsid w:val="006C07DB"/>
    <w:rsid w:val="006C08BC"/>
    <w:rsid w:val="006C08D8"/>
    <w:rsid w:val="006C0CE7"/>
    <w:rsid w:val="006C0F11"/>
    <w:rsid w:val="006C0F20"/>
    <w:rsid w:val="006C110B"/>
    <w:rsid w:val="006C11D7"/>
    <w:rsid w:val="006C125D"/>
    <w:rsid w:val="006C1530"/>
    <w:rsid w:val="006C15E8"/>
    <w:rsid w:val="006C165B"/>
    <w:rsid w:val="006C17E0"/>
    <w:rsid w:val="006C1902"/>
    <w:rsid w:val="006C1B1C"/>
    <w:rsid w:val="006C1C14"/>
    <w:rsid w:val="006C1DC7"/>
    <w:rsid w:val="006C1F2F"/>
    <w:rsid w:val="006C202B"/>
    <w:rsid w:val="006C21B8"/>
    <w:rsid w:val="006C23E0"/>
    <w:rsid w:val="006C2518"/>
    <w:rsid w:val="006C2735"/>
    <w:rsid w:val="006C2760"/>
    <w:rsid w:val="006C296B"/>
    <w:rsid w:val="006C2C25"/>
    <w:rsid w:val="006C2C68"/>
    <w:rsid w:val="006C30B0"/>
    <w:rsid w:val="006C3468"/>
    <w:rsid w:val="006C34D5"/>
    <w:rsid w:val="006C363E"/>
    <w:rsid w:val="006C36F5"/>
    <w:rsid w:val="006C397C"/>
    <w:rsid w:val="006C39F3"/>
    <w:rsid w:val="006C3AF3"/>
    <w:rsid w:val="006C3B7E"/>
    <w:rsid w:val="006C3D7D"/>
    <w:rsid w:val="006C3ED8"/>
    <w:rsid w:val="006C43AE"/>
    <w:rsid w:val="006C43DA"/>
    <w:rsid w:val="006C4482"/>
    <w:rsid w:val="006C4782"/>
    <w:rsid w:val="006C4A69"/>
    <w:rsid w:val="006C4BBE"/>
    <w:rsid w:val="006C4E40"/>
    <w:rsid w:val="006C5024"/>
    <w:rsid w:val="006C5057"/>
    <w:rsid w:val="006C5243"/>
    <w:rsid w:val="006C541C"/>
    <w:rsid w:val="006C544B"/>
    <w:rsid w:val="006C54AD"/>
    <w:rsid w:val="006C565B"/>
    <w:rsid w:val="006C5855"/>
    <w:rsid w:val="006C5913"/>
    <w:rsid w:val="006C5B97"/>
    <w:rsid w:val="006C5DE7"/>
    <w:rsid w:val="006C61F5"/>
    <w:rsid w:val="006C6410"/>
    <w:rsid w:val="006C6507"/>
    <w:rsid w:val="006C6544"/>
    <w:rsid w:val="006C65E6"/>
    <w:rsid w:val="006C6662"/>
    <w:rsid w:val="006C66F9"/>
    <w:rsid w:val="006C689A"/>
    <w:rsid w:val="006C6917"/>
    <w:rsid w:val="006C694D"/>
    <w:rsid w:val="006C6B1C"/>
    <w:rsid w:val="006C6FCF"/>
    <w:rsid w:val="006C729D"/>
    <w:rsid w:val="006C73B2"/>
    <w:rsid w:val="006C77C9"/>
    <w:rsid w:val="006C7845"/>
    <w:rsid w:val="006D060D"/>
    <w:rsid w:val="006D068A"/>
    <w:rsid w:val="006D095D"/>
    <w:rsid w:val="006D09AF"/>
    <w:rsid w:val="006D0BB7"/>
    <w:rsid w:val="006D10F2"/>
    <w:rsid w:val="006D111A"/>
    <w:rsid w:val="006D1405"/>
    <w:rsid w:val="006D16CF"/>
    <w:rsid w:val="006D1B23"/>
    <w:rsid w:val="006D1B2B"/>
    <w:rsid w:val="006D1E9E"/>
    <w:rsid w:val="006D1F69"/>
    <w:rsid w:val="006D2115"/>
    <w:rsid w:val="006D2174"/>
    <w:rsid w:val="006D21FB"/>
    <w:rsid w:val="006D23B4"/>
    <w:rsid w:val="006D2727"/>
    <w:rsid w:val="006D27AC"/>
    <w:rsid w:val="006D2803"/>
    <w:rsid w:val="006D2933"/>
    <w:rsid w:val="006D2B9D"/>
    <w:rsid w:val="006D2CC8"/>
    <w:rsid w:val="006D2EDB"/>
    <w:rsid w:val="006D2F45"/>
    <w:rsid w:val="006D2F80"/>
    <w:rsid w:val="006D35ED"/>
    <w:rsid w:val="006D379B"/>
    <w:rsid w:val="006D389D"/>
    <w:rsid w:val="006D3968"/>
    <w:rsid w:val="006D39B5"/>
    <w:rsid w:val="006D3E74"/>
    <w:rsid w:val="006D43DB"/>
    <w:rsid w:val="006D45C9"/>
    <w:rsid w:val="006D465D"/>
    <w:rsid w:val="006D4795"/>
    <w:rsid w:val="006D4995"/>
    <w:rsid w:val="006D49AA"/>
    <w:rsid w:val="006D4C0E"/>
    <w:rsid w:val="006D4E47"/>
    <w:rsid w:val="006D4E99"/>
    <w:rsid w:val="006D4EF7"/>
    <w:rsid w:val="006D4FB5"/>
    <w:rsid w:val="006D5637"/>
    <w:rsid w:val="006D573E"/>
    <w:rsid w:val="006D5CC7"/>
    <w:rsid w:val="006D6694"/>
    <w:rsid w:val="006D6CDD"/>
    <w:rsid w:val="006D6D04"/>
    <w:rsid w:val="006D7093"/>
    <w:rsid w:val="006D7497"/>
    <w:rsid w:val="006D77E9"/>
    <w:rsid w:val="006D788E"/>
    <w:rsid w:val="006E009F"/>
    <w:rsid w:val="006E00B6"/>
    <w:rsid w:val="006E03F7"/>
    <w:rsid w:val="006E041A"/>
    <w:rsid w:val="006E07CC"/>
    <w:rsid w:val="006E081D"/>
    <w:rsid w:val="006E0939"/>
    <w:rsid w:val="006E1187"/>
    <w:rsid w:val="006E167D"/>
    <w:rsid w:val="006E171C"/>
    <w:rsid w:val="006E17E8"/>
    <w:rsid w:val="006E1ABB"/>
    <w:rsid w:val="006E1F1F"/>
    <w:rsid w:val="006E20AE"/>
    <w:rsid w:val="006E2152"/>
    <w:rsid w:val="006E2348"/>
    <w:rsid w:val="006E23F4"/>
    <w:rsid w:val="006E24BB"/>
    <w:rsid w:val="006E26FE"/>
    <w:rsid w:val="006E289C"/>
    <w:rsid w:val="006E2BB4"/>
    <w:rsid w:val="006E2D54"/>
    <w:rsid w:val="006E2DE2"/>
    <w:rsid w:val="006E2DEA"/>
    <w:rsid w:val="006E2F03"/>
    <w:rsid w:val="006E3757"/>
    <w:rsid w:val="006E3DA8"/>
    <w:rsid w:val="006E4071"/>
    <w:rsid w:val="006E4175"/>
    <w:rsid w:val="006E44C6"/>
    <w:rsid w:val="006E46D3"/>
    <w:rsid w:val="006E470C"/>
    <w:rsid w:val="006E4839"/>
    <w:rsid w:val="006E4AD8"/>
    <w:rsid w:val="006E4AEF"/>
    <w:rsid w:val="006E4AFE"/>
    <w:rsid w:val="006E4B4D"/>
    <w:rsid w:val="006E4D9D"/>
    <w:rsid w:val="006E50B5"/>
    <w:rsid w:val="006E54E5"/>
    <w:rsid w:val="006E5EF3"/>
    <w:rsid w:val="006E60C3"/>
    <w:rsid w:val="006E6231"/>
    <w:rsid w:val="006E64B0"/>
    <w:rsid w:val="006E64EB"/>
    <w:rsid w:val="006E6592"/>
    <w:rsid w:val="006E6646"/>
    <w:rsid w:val="006E66EA"/>
    <w:rsid w:val="006E6716"/>
    <w:rsid w:val="006E6A1D"/>
    <w:rsid w:val="006E6C1D"/>
    <w:rsid w:val="006E6CAD"/>
    <w:rsid w:val="006E6D03"/>
    <w:rsid w:val="006E6D25"/>
    <w:rsid w:val="006E6E08"/>
    <w:rsid w:val="006E7214"/>
    <w:rsid w:val="006E7406"/>
    <w:rsid w:val="006E77A8"/>
    <w:rsid w:val="006E7948"/>
    <w:rsid w:val="006E79EF"/>
    <w:rsid w:val="006E7E07"/>
    <w:rsid w:val="006E7E5E"/>
    <w:rsid w:val="006E7E8A"/>
    <w:rsid w:val="006E7F45"/>
    <w:rsid w:val="006F0185"/>
    <w:rsid w:val="006F0556"/>
    <w:rsid w:val="006F0580"/>
    <w:rsid w:val="006F05E9"/>
    <w:rsid w:val="006F05F3"/>
    <w:rsid w:val="006F06EC"/>
    <w:rsid w:val="006F0DDE"/>
    <w:rsid w:val="006F0E90"/>
    <w:rsid w:val="006F0FC1"/>
    <w:rsid w:val="006F1186"/>
    <w:rsid w:val="006F12EC"/>
    <w:rsid w:val="006F13E5"/>
    <w:rsid w:val="006F143A"/>
    <w:rsid w:val="006F148F"/>
    <w:rsid w:val="006F185C"/>
    <w:rsid w:val="006F18FD"/>
    <w:rsid w:val="006F1A35"/>
    <w:rsid w:val="006F1D3B"/>
    <w:rsid w:val="006F1F1E"/>
    <w:rsid w:val="006F2281"/>
    <w:rsid w:val="006F241C"/>
    <w:rsid w:val="006F2449"/>
    <w:rsid w:val="006F2555"/>
    <w:rsid w:val="006F27E7"/>
    <w:rsid w:val="006F28FE"/>
    <w:rsid w:val="006F2A29"/>
    <w:rsid w:val="006F2D11"/>
    <w:rsid w:val="006F3019"/>
    <w:rsid w:val="006F334E"/>
    <w:rsid w:val="006F3377"/>
    <w:rsid w:val="006F3591"/>
    <w:rsid w:val="006F39D3"/>
    <w:rsid w:val="006F3AA5"/>
    <w:rsid w:val="006F3B2F"/>
    <w:rsid w:val="006F3C0E"/>
    <w:rsid w:val="006F3CF1"/>
    <w:rsid w:val="006F3D3E"/>
    <w:rsid w:val="006F3F77"/>
    <w:rsid w:val="006F41BB"/>
    <w:rsid w:val="006F4381"/>
    <w:rsid w:val="006F442D"/>
    <w:rsid w:val="006F52C0"/>
    <w:rsid w:val="006F55E9"/>
    <w:rsid w:val="006F564F"/>
    <w:rsid w:val="006F56D9"/>
    <w:rsid w:val="006F5F0A"/>
    <w:rsid w:val="006F5F4D"/>
    <w:rsid w:val="006F603C"/>
    <w:rsid w:val="006F60CB"/>
    <w:rsid w:val="006F635A"/>
    <w:rsid w:val="006F6A12"/>
    <w:rsid w:val="006F6FB5"/>
    <w:rsid w:val="006F711A"/>
    <w:rsid w:val="006F7898"/>
    <w:rsid w:val="006F7CB2"/>
    <w:rsid w:val="006F7FD1"/>
    <w:rsid w:val="0070008C"/>
    <w:rsid w:val="00700277"/>
    <w:rsid w:val="007003DB"/>
    <w:rsid w:val="007007C8"/>
    <w:rsid w:val="00700914"/>
    <w:rsid w:val="00700B83"/>
    <w:rsid w:val="00700CCB"/>
    <w:rsid w:val="00700DCB"/>
    <w:rsid w:val="00700F77"/>
    <w:rsid w:val="00701186"/>
    <w:rsid w:val="00701714"/>
    <w:rsid w:val="0070185C"/>
    <w:rsid w:val="00701D0C"/>
    <w:rsid w:val="00701E4B"/>
    <w:rsid w:val="00701FB3"/>
    <w:rsid w:val="007020D7"/>
    <w:rsid w:val="007021CA"/>
    <w:rsid w:val="00702445"/>
    <w:rsid w:val="00702581"/>
    <w:rsid w:val="007026B7"/>
    <w:rsid w:val="007026F9"/>
    <w:rsid w:val="007026FA"/>
    <w:rsid w:val="00702B1F"/>
    <w:rsid w:val="00702B6A"/>
    <w:rsid w:val="00702F8D"/>
    <w:rsid w:val="00702F93"/>
    <w:rsid w:val="0070301C"/>
    <w:rsid w:val="00703311"/>
    <w:rsid w:val="00703546"/>
    <w:rsid w:val="00703750"/>
    <w:rsid w:val="00703CE4"/>
    <w:rsid w:val="00703D48"/>
    <w:rsid w:val="00703DEC"/>
    <w:rsid w:val="00704218"/>
    <w:rsid w:val="0070438A"/>
    <w:rsid w:val="007043C8"/>
    <w:rsid w:val="00704590"/>
    <w:rsid w:val="0070484D"/>
    <w:rsid w:val="00704D22"/>
    <w:rsid w:val="00705074"/>
    <w:rsid w:val="007053C8"/>
    <w:rsid w:val="0070557D"/>
    <w:rsid w:val="0070559B"/>
    <w:rsid w:val="00705709"/>
    <w:rsid w:val="00705946"/>
    <w:rsid w:val="00705B2B"/>
    <w:rsid w:val="00705B36"/>
    <w:rsid w:val="00705D1F"/>
    <w:rsid w:val="00705E61"/>
    <w:rsid w:val="00705E77"/>
    <w:rsid w:val="0070672D"/>
    <w:rsid w:val="00706878"/>
    <w:rsid w:val="00706A0F"/>
    <w:rsid w:val="00706BE2"/>
    <w:rsid w:val="00706F54"/>
    <w:rsid w:val="00707146"/>
    <w:rsid w:val="00707214"/>
    <w:rsid w:val="00707624"/>
    <w:rsid w:val="00707BAA"/>
    <w:rsid w:val="00707C58"/>
    <w:rsid w:val="00707CE7"/>
    <w:rsid w:val="00707E58"/>
    <w:rsid w:val="00707E5D"/>
    <w:rsid w:val="00707E69"/>
    <w:rsid w:val="00707E89"/>
    <w:rsid w:val="00707F58"/>
    <w:rsid w:val="00710314"/>
    <w:rsid w:val="00710805"/>
    <w:rsid w:val="00710847"/>
    <w:rsid w:val="00710D2A"/>
    <w:rsid w:val="00710F89"/>
    <w:rsid w:val="00710F8C"/>
    <w:rsid w:val="007110D4"/>
    <w:rsid w:val="00711124"/>
    <w:rsid w:val="007113E2"/>
    <w:rsid w:val="00711832"/>
    <w:rsid w:val="007119B5"/>
    <w:rsid w:val="00711A55"/>
    <w:rsid w:val="00711C2A"/>
    <w:rsid w:val="0071256A"/>
    <w:rsid w:val="0071264A"/>
    <w:rsid w:val="00712765"/>
    <w:rsid w:val="0071280A"/>
    <w:rsid w:val="00712845"/>
    <w:rsid w:val="00712A0C"/>
    <w:rsid w:val="00712B50"/>
    <w:rsid w:val="00712B68"/>
    <w:rsid w:val="00712E07"/>
    <w:rsid w:val="00712FB6"/>
    <w:rsid w:val="00712FCA"/>
    <w:rsid w:val="007132BE"/>
    <w:rsid w:val="00713537"/>
    <w:rsid w:val="00713814"/>
    <w:rsid w:val="00713BAA"/>
    <w:rsid w:val="00713C7E"/>
    <w:rsid w:val="00713EF7"/>
    <w:rsid w:val="00713F15"/>
    <w:rsid w:val="007144E9"/>
    <w:rsid w:val="00714668"/>
    <w:rsid w:val="00714773"/>
    <w:rsid w:val="00714982"/>
    <w:rsid w:val="00714BAA"/>
    <w:rsid w:val="00715096"/>
    <w:rsid w:val="0071557B"/>
    <w:rsid w:val="00715C7C"/>
    <w:rsid w:val="0071619E"/>
    <w:rsid w:val="007161B5"/>
    <w:rsid w:val="007163A6"/>
    <w:rsid w:val="007169D4"/>
    <w:rsid w:val="007169F8"/>
    <w:rsid w:val="00716B9B"/>
    <w:rsid w:val="00716BF8"/>
    <w:rsid w:val="007172E7"/>
    <w:rsid w:val="00717375"/>
    <w:rsid w:val="0071746A"/>
    <w:rsid w:val="007174D4"/>
    <w:rsid w:val="0071782F"/>
    <w:rsid w:val="0071791D"/>
    <w:rsid w:val="00717A74"/>
    <w:rsid w:val="00717B1C"/>
    <w:rsid w:val="00717CDA"/>
    <w:rsid w:val="00717DCB"/>
    <w:rsid w:val="0072007A"/>
    <w:rsid w:val="00720224"/>
    <w:rsid w:val="007202EE"/>
    <w:rsid w:val="00720A96"/>
    <w:rsid w:val="00720D42"/>
    <w:rsid w:val="00720DF7"/>
    <w:rsid w:val="00720FEB"/>
    <w:rsid w:val="00721025"/>
    <w:rsid w:val="007214CC"/>
    <w:rsid w:val="007216DD"/>
    <w:rsid w:val="00721724"/>
    <w:rsid w:val="00721AE9"/>
    <w:rsid w:val="00721C32"/>
    <w:rsid w:val="00721C70"/>
    <w:rsid w:val="00721F76"/>
    <w:rsid w:val="00721F7B"/>
    <w:rsid w:val="00722089"/>
    <w:rsid w:val="007226AC"/>
    <w:rsid w:val="00722B61"/>
    <w:rsid w:val="00722DC3"/>
    <w:rsid w:val="00722DC5"/>
    <w:rsid w:val="00722F5C"/>
    <w:rsid w:val="00722F78"/>
    <w:rsid w:val="0072303F"/>
    <w:rsid w:val="00723460"/>
    <w:rsid w:val="00723B2C"/>
    <w:rsid w:val="00723D6A"/>
    <w:rsid w:val="00723E9E"/>
    <w:rsid w:val="00723EFA"/>
    <w:rsid w:val="00724028"/>
    <w:rsid w:val="00724435"/>
    <w:rsid w:val="00724549"/>
    <w:rsid w:val="007245B6"/>
    <w:rsid w:val="00724620"/>
    <w:rsid w:val="00724707"/>
    <w:rsid w:val="0072477E"/>
    <w:rsid w:val="007248EE"/>
    <w:rsid w:val="00724B4E"/>
    <w:rsid w:val="00724BAD"/>
    <w:rsid w:val="00724C3F"/>
    <w:rsid w:val="00724C6F"/>
    <w:rsid w:val="00725044"/>
    <w:rsid w:val="0072567C"/>
    <w:rsid w:val="00725C11"/>
    <w:rsid w:val="007262A6"/>
    <w:rsid w:val="0072667B"/>
    <w:rsid w:val="0072670C"/>
    <w:rsid w:val="00726974"/>
    <w:rsid w:val="00726AFA"/>
    <w:rsid w:val="00727148"/>
    <w:rsid w:val="00727268"/>
    <w:rsid w:val="00727A84"/>
    <w:rsid w:val="00727C40"/>
    <w:rsid w:val="00727FA1"/>
    <w:rsid w:val="0073006E"/>
    <w:rsid w:val="007308F3"/>
    <w:rsid w:val="00730E5B"/>
    <w:rsid w:val="0073163C"/>
    <w:rsid w:val="00731A16"/>
    <w:rsid w:val="00731A41"/>
    <w:rsid w:val="00731BD4"/>
    <w:rsid w:val="00731C8D"/>
    <w:rsid w:val="00731C9E"/>
    <w:rsid w:val="00731F49"/>
    <w:rsid w:val="00731F58"/>
    <w:rsid w:val="0073214F"/>
    <w:rsid w:val="00732319"/>
    <w:rsid w:val="0073251D"/>
    <w:rsid w:val="007325D2"/>
    <w:rsid w:val="007325F2"/>
    <w:rsid w:val="007327E4"/>
    <w:rsid w:val="00732AA9"/>
    <w:rsid w:val="00732ABC"/>
    <w:rsid w:val="00732CBB"/>
    <w:rsid w:val="00733225"/>
    <w:rsid w:val="007338FB"/>
    <w:rsid w:val="00733ADF"/>
    <w:rsid w:val="00733BA8"/>
    <w:rsid w:val="00733DBB"/>
    <w:rsid w:val="007342BB"/>
    <w:rsid w:val="00734778"/>
    <w:rsid w:val="00734B11"/>
    <w:rsid w:val="00734C27"/>
    <w:rsid w:val="00735098"/>
    <w:rsid w:val="00735173"/>
    <w:rsid w:val="00735429"/>
    <w:rsid w:val="00735819"/>
    <w:rsid w:val="00735866"/>
    <w:rsid w:val="00735BDE"/>
    <w:rsid w:val="007364A8"/>
    <w:rsid w:val="007366DE"/>
    <w:rsid w:val="0073672F"/>
    <w:rsid w:val="0073691F"/>
    <w:rsid w:val="00736A67"/>
    <w:rsid w:val="00736B5E"/>
    <w:rsid w:val="007370AE"/>
    <w:rsid w:val="00737270"/>
    <w:rsid w:val="007374AE"/>
    <w:rsid w:val="007376A6"/>
    <w:rsid w:val="0073771E"/>
    <w:rsid w:val="0073786C"/>
    <w:rsid w:val="00737944"/>
    <w:rsid w:val="00737A4E"/>
    <w:rsid w:val="00737AAA"/>
    <w:rsid w:val="00737AE4"/>
    <w:rsid w:val="00737D37"/>
    <w:rsid w:val="00737D6A"/>
    <w:rsid w:val="00740553"/>
    <w:rsid w:val="007405B9"/>
    <w:rsid w:val="00740947"/>
    <w:rsid w:val="007409C5"/>
    <w:rsid w:val="00740D9A"/>
    <w:rsid w:val="00740E2A"/>
    <w:rsid w:val="00740F9B"/>
    <w:rsid w:val="00740FE8"/>
    <w:rsid w:val="0074115F"/>
    <w:rsid w:val="00741371"/>
    <w:rsid w:val="0074137C"/>
    <w:rsid w:val="007415F7"/>
    <w:rsid w:val="007419E6"/>
    <w:rsid w:val="00741F1E"/>
    <w:rsid w:val="00742094"/>
    <w:rsid w:val="0074209D"/>
    <w:rsid w:val="00742429"/>
    <w:rsid w:val="00742601"/>
    <w:rsid w:val="00742769"/>
    <w:rsid w:val="007429A8"/>
    <w:rsid w:val="00742A50"/>
    <w:rsid w:val="00742B06"/>
    <w:rsid w:val="00742B84"/>
    <w:rsid w:val="00742C71"/>
    <w:rsid w:val="00742EEB"/>
    <w:rsid w:val="00742F6F"/>
    <w:rsid w:val="00742FB5"/>
    <w:rsid w:val="007434A7"/>
    <w:rsid w:val="007437CE"/>
    <w:rsid w:val="00743807"/>
    <w:rsid w:val="0074389F"/>
    <w:rsid w:val="007438E6"/>
    <w:rsid w:val="0074392C"/>
    <w:rsid w:val="00743B7F"/>
    <w:rsid w:val="00743C41"/>
    <w:rsid w:val="00743E87"/>
    <w:rsid w:val="00743EE8"/>
    <w:rsid w:val="007440B9"/>
    <w:rsid w:val="007444BA"/>
    <w:rsid w:val="00744541"/>
    <w:rsid w:val="007445E4"/>
    <w:rsid w:val="00744854"/>
    <w:rsid w:val="00744ACF"/>
    <w:rsid w:val="00744AD0"/>
    <w:rsid w:val="00744D73"/>
    <w:rsid w:val="00744DA5"/>
    <w:rsid w:val="00744DDD"/>
    <w:rsid w:val="00744DF1"/>
    <w:rsid w:val="00745145"/>
    <w:rsid w:val="00745164"/>
    <w:rsid w:val="007452A2"/>
    <w:rsid w:val="007459A8"/>
    <w:rsid w:val="00745EF1"/>
    <w:rsid w:val="00746110"/>
    <w:rsid w:val="00746159"/>
    <w:rsid w:val="0074623E"/>
    <w:rsid w:val="007463D4"/>
    <w:rsid w:val="00746A37"/>
    <w:rsid w:val="00746B02"/>
    <w:rsid w:val="00746B17"/>
    <w:rsid w:val="007474EA"/>
    <w:rsid w:val="007477BA"/>
    <w:rsid w:val="00747882"/>
    <w:rsid w:val="00747BD9"/>
    <w:rsid w:val="0075006D"/>
    <w:rsid w:val="007504F5"/>
    <w:rsid w:val="007506DD"/>
    <w:rsid w:val="007506F1"/>
    <w:rsid w:val="0075093B"/>
    <w:rsid w:val="00750A1B"/>
    <w:rsid w:val="00750B51"/>
    <w:rsid w:val="00750BAD"/>
    <w:rsid w:val="0075104C"/>
    <w:rsid w:val="007512B9"/>
    <w:rsid w:val="0075134F"/>
    <w:rsid w:val="00751530"/>
    <w:rsid w:val="0075178A"/>
    <w:rsid w:val="00751D40"/>
    <w:rsid w:val="00751E28"/>
    <w:rsid w:val="00751E99"/>
    <w:rsid w:val="00751FC9"/>
    <w:rsid w:val="0075216B"/>
    <w:rsid w:val="0075263A"/>
    <w:rsid w:val="00752655"/>
    <w:rsid w:val="00752801"/>
    <w:rsid w:val="00752845"/>
    <w:rsid w:val="0075297F"/>
    <w:rsid w:val="00752CC5"/>
    <w:rsid w:val="00752EC3"/>
    <w:rsid w:val="00752F6B"/>
    <w:rsid w:val="0075306D"/>
    <w:rsid w:val="0075320F"/>
    <w:rsid w:val="007533B5"/>
    <w:rsid w:val="0075343B"/>
    <w:rsid w:val="00753510"/>
    <w:rsid w:val="007537EB"/>
    <w:rsid w:val="0075381F"/>
    <w:rsid w:val="00753A4C"/>
    <w:rsid w:val="00753AEA"/>
    <w:rsid w:val="00753F6D"/>
    <w:rsid w:val="007542E5"/>
    <w:rsid w:val="00754909"/>
    <w:rsid w:val="00754930"/>
    <w:rsid w:val="00754970"/>
    <w:rsid w:val="00754A42"/>
    <w:rsid w:val="00754A78"/>
    <w:rsid w:val="00754A80"/>
    <w:rsid w:val="00754B17"/>
    <w:rsid w:val="00754D17"/>
    <w:rsid w:val="00755125"/>
    <w:rsid w:val="0075517B"/>
    <w:rsid w:val="0075538C"/>
    <w:rsid w:val="007555EF"/>
    <w:rsid w:val="00755678"/>
    <w:rsid w:val="007557F2"/>
    <w:rsid w:val="00755945"/>
    <w:rsid w:val="00755BB1"/>
    <w:rsid w:val="00755CBA"/>
    <w:rsid w:val="00755E4E"/>
    <w:rsid w:val="00755E82"/>
    <w:rsid w:val="007561CB"/>
    <w:rsid w:val="00756698"/>
    <w:rsid w:val="007566D4"/>
    <w:rsid w:val="0075673F"/>
    <w:rsid w:val="0075677F"/>
    <w:rsid w:val="00756927"/>
    <w:rsid w:val="00756C84"/>
    <w:rsid w:val="007571C6"/>
    <w:rsid w:val="0075781A"/>
    <w:rsid w:val="00757A1B"/>
    <w:rsid w:val="00757BF9"/>
    <w:rsid w:val="00757C1B"/>
    <w:rsid w:val="00757CB4"/>
    <w:rsid w:val="00757D7A"/>
    <w:rsid w:val="00757E57"/>
    <w:rsid w:val="00757F1B"/>
    <w:rsid w:val="0076005E"/>
    <w:rsid w:val="007603DE"/>
    <w:rsid w:val="00760676"/>
    <w:rsid w:val="00760941"/>
    <w:rsid w:val="00760E60"/>
    <w:rsid w:val="00760F0A"/>
    <w:rsid w:val="0076156B"/>
    <w:rsid w:val="0076180C"/>
    <w:rsid w:val="00761C9F"/>
    <w:rsid w:val="007620E7"/>
    <w:rsid w:val="0076258F"/>
    <w:rsid w:val="007626C2"/>
    <w:rsid w:val="007628F8"/>
    <w:rsid w:val="00762AA8"/>
    <w:rsid w:val="00762BC0"/>
    <w:rsid w:val="00762DD0"/>
    <w:rsid w:val="00763242"/>
    <w:rsid w:val="007632E8"/>
    <w:rsid w:val="0076358C"/>
    <w:rsid w:val="007636AF"/>
    <w:rsid w:val="00763865"/>
    <w:rsid w:val="00763B97"/>
    <w:rsid w:val="00763C55"/>
    <w:rsid w:val="00763E0A"/>
    <w:rsid w:val="00764092"/>
    <w:rsid w:val="007640C4"/>
    <w:rsid w:val="007640CA"/>
    <w:rsid w:val="007641F7"/>
    <w:rsid w:val="00764279"/>
    <w:rsid w:val="0076441E"/>
    <w:rsid w:val="007649B3"/>
    <w:rsid w:val="00764A76"/>
    <w:rsid w:val="00764BE2"/>
    <w:rsid w:val="00764C68"/>
    <w:rsid w:val="00764E4A"/>
    <w:rsid w:val="00765027"/>
    <w:rsid w:val="007650F4"/>
    <w:rsid w:val="007651AF"/>
    <w:rsid w:val="007652B0"/>
    <w:rsid w:val="00765374"/>
    <w:rsid w:val="00765404"/>
    <w:rsid w:val="00765669"/>
    <w:rsid w:val="00765747"/>
    <w:rsid w:val="00765749"/>
    <w:rsid w:val="00765F6B"/>
    <w:rsid w:val="007665FC"/>
    <w:rsid w:val="00766841"/>
    <w:rsid w:val="007668F2"/>
    <w:rsid w:val="00766A8C"/>
    <w:rsid w:val="00766BB6"/>
    <w:rsid w:val="00766D9A"/>
    <w:rsid w:val="00766E3A"/>
    <w:rsid w:val="00767178"/>
    <w:rsid w:val="00767309"/>
    <w:rsid w:val="00767826"/>
    <w:rsid w:val="00767884"/>
    <w:rsid w:val="00767ACB"/>
    <w:rsid w:val="00767AE4"/>
    <w:rsid w:val="00767BF3"/>
    <w:rsid w:val="00767E34"/>
    <w:rsid w:val="00767E84"/>
    <w:rsid w:val="007701BB"/>
    <w:rsid w:val="007702A2"/>
    <w:rsid w:val="007702DE"/>
    <w:rsid w:val="00770348"/>
    <w:rsid w:val="00770961"/>
    <w:rsid w:val="00770BCA"/>
    <w:rsid w:val="00770E50"/>
    <w:rsid w:val="00770EBF"/>
    <w:rsid w:val="00771774"/>
    <w:rsid w:val="00771938"/>
    <w:rsid w:val="00771B14"/>
    <w:rsid w:val="00771B56"/>
    <w:rsid w:val="00771B61"/>
    <w:rsid w:val="00771B67"/>
    <w:rsid w:val="00771C8E"/>
    <w:rsid w:val="00771D5B"/>
    <w:rsid w:val="00771FA8"/>
    <w:rsid w:val="00771FAB"/>
    <w:rsid w:val="007720E6"/>
    <w:rsid w:val="007724D7"/>
    <w:rsid w:val="00772784"/>
    <w:rsid w:val="007727C1"/>
    <w:rsid w:val="007727D3"/>
    <w:rsid w:val="007727F8"/>
    <w:rsid w:val="00772A00"/>
    <w:rsid w:val="00772DDA"/>
    <w:rsid w:val="00772FA0"/>
    <w:rsid w:val="00773021"/>
    <w:rsid w:val="00773062"/>
    <w:rsid w:val="00773304"/>
    <w:rsid w:val="00773C19"/>
    <w:rsid w:val="00773CE0"/>
    <w:rsid w:val="00773E2E"/>
    <w:rsid w:val="007741A9"/>
    <w:rsid w:val="007742F1"/>
    <w:rsid w:val="007748C7"/>
    <w:rsid w:val="0077492C"/>
    <w:rsid w:val="00774E74"/>
    <w:rsid w:val="00774EF7"/>
    <w:rsid w:val="00775282"/>
    <w:rsid w:val="0077535F"/>
    <w:rsid w:val="007754A7"/>
    <w:rsid w:val="007758B2"/>
    <w:rsid w:val="007758ED"/>
    <w:rsid w:val="00775954"/>
    <w:rsid w:val="00775FF3"/>
    <w:rsid w:val="00776237"/>
    <w:rsid w:val="007764B5"/>
    <w:rsid w:val="00776590"/>
    <w:rsid w:val="007765D6"/>
    <w:rsid w:val="00776B89"/>
    <w:rsid w:val="00776CDB"/>
    <w:rsid w:val="00776CEE"/>
    <w:rsid w:val="00776FC9"/>
    <w:rsid w:val="00776FD6"/>
    <w:rsid w:val="007770B0"/>
    <w:rsid w:val="007777F4"/>
    <w:rsid w:val="00777812"/>
    <w:rsid w:val="00777C30"/>
    <w:rsid w:val="00777FF2"/>
    <w:rsid w:val="00780061"/>
    <w:rsid w:val="00780150"/>
    <w:rsid w:val="0078033C"/>
    <w:rsid w:val="00780C82"/>
    <w:rsid w:val="0078115B"/>
    <w:rsid w:val="007812C5"/>
    <w:rsid w:val="0078157F"/>
    <w:rsid w:val="0078165F"/>
    <w:rsid w:val="007816B9"/>
    <w:rsid w:val="00781880"/>
    <w:rsid w:val="007819B2"/>
    <w:rsid w:val="007819CC"/>
    <w:rsid w:val="00781A42"/>
    <w:rsid w:val="00781B66"/>
    <w:rsid w:val="00781EC0"/>
    <w:rsid w:val="00782311"/>
    <w:rsid w:val="007823E8"/>
    <w:rsid w:val="0078294F"/>
    <w:rsid w:val="00782CF1"/>
    <w:rsid w:val="00782E16"/>
    <w:rsid w:val="007832ED"/>
    <w:rsid w:val="00783797"/>
    <w:rsid w:val="0078379A"/>
    <w:rsid w:val="00783CF5"/>
    <w:rsid w:val="00783D04"/>
    <w:rsid w:val="00784112"/>
    <w:rsid w:val="0078422C"/>
    <w:rsid w:val="0078426F"/>
    <w:rsid w:val="007843CE"/>
    <w:rsid w:val="007846C0"/>
    <w:rsid w:val="00784700"/>
    <w:rsid w:val="0078496C"/>
    <w:rsid w:val="00784E17"/>
    <w:rsid w:val="00785264"/>
    <w:rsid w:val="007852DF"/>
    <w:rsid w:val="00785324"/>
    <w:rsid w:val="00785722"/>
    <w:rsid w:val="00785854"/>
    <w:rsid w:val="00785AB4"/>
    <w:rsid w:val="00785BD8"/>
    <w:rsid w:val="00785C00"/>
    <w:rsid w:val="00785E22"/>
    <w:rsid w:val="00785FEB"/>
    <w:rsid w:val="00786077"/>
    <w:rsid w:val="007865C7"/>
    <w:rsid w:val="00786797"/>
    <w:rsid w:val="00786949"/>
    <w:rsid w:val="00786971"/>
    <w:rsid w:val="00786CEB"/>
    <w:rsid w:val="00786CF5"/>
    <w:rsid w:val="0078767C"/>
    <w:rsid w:val="0078784F"/>
    <w:rsid w:val="00787B5C"/>
    <w:rsid w:val="00787BF0"/>
    <w:rsid w:val="00787CF6"/>
    <w:rsid w:val="00787DB2"/>
    <w:rsid w:val="00787F61"/>
    <w:rsid w:val="0079047A"/>
    <w:rsid w:val="0079047D"/>
    <w:rsid w:val="007906E2"/>
    <w:rsid w:val="00790840"/>
    <w:rsid w:val="007908F7"/>
    <w:rsid w:val="007909BA"/>
    <w:rsid w:val="007909BD"/>
    <w:rsid w:val="00790D87"/>
    <w:rsid w:val="00790E52"/>
    <w:rsid w:val="00790FBD"/>
    <w:rsid w:val="00791115"/>
    <w:rsid w:val="00791485"/>
    <w:rsid w:val="007916D1"/>
    <w:rsid w:val="00791748"/>
    <w:rsid w:val="00791A6C"/>
    <w:rsid w:val="00791CD5"/>
    <w:rsid w:val="00791ED5"/>
    <w:rsid w:val="00791EF9"/>
    <w:rsid w:val="00791FEA"/>
    <w:rsid w:val="00792536"/>
    <w:rsid w:val="00792837"/>
    <w:rsid w:val="00792C07"/>
    <w:rsid w:val="007933B7"/>
    <w:rsid w:val="00793672"/>
    <w:rsid w:val="007936F1"/>
    <w:rsid w:val="00793839"/>
    <w:rsid w:val="00793CF4"/>
    <w:rsid w:val="00793D0A"/>
    <w:rsid w:val="00794040"/>
    <w:rsid w:val="007940FC"/>
    <w:rsid w:val="007943B8"/>
    <w:rsid w:val="007943BF"/>
    <w:rsid w:val="0079442E"/>
    <w:rsid w:val="00794ACA"/>
    <w:rsid w:val="00794EEA"/>
    <w:rsid w:val="00794F9B"/>
    <w:rsid w:val="00794FA1"/>
    <w:rsid w:val="00795412"/>
    <w:rsid w:val="007956F3"/>
    <w:rsid w:val="007959BE"/>
    <w:rsid w:val="00795A95"/>
    <w:rsid w:val="00795D5C"/>
    <w:rsid w:val="00795D6B"/>
    <w:rsid w:val="00795DF6"/>
    <w:rsid w:val="007961DB"/>
    <w:rsid w:val="00796243"/>
    <w:rsid w:val="007966A7"/>
    <w:rsid w:val="00796829"/>
    <w:rsid w:val="00796B8A"/>
    <w:rsid w:val="00796CC9"/>
    <w:rsid w:val="00796CE8"/>
    <w:rsid w:val="00796DB2"/>
    <w:rsid w:val="00796E6D"/>
    <w:rsid w:val="00797231"/>
    <w:rsid w:val="00797340"/>
    <w:rsid w:val="007978F0"/>
    <w:rsid w:val="00797AAF"/>
    <w:rsid w:val="007A00A2"/>
    <w:rsid w:val="007A010F"/>
    <w:rsid w:val="007A0241"/>
    <w:rsid w:val="007A0765"/>
    <w:rsid w:val="007A0779"/>
    <w:rsid w:val="007A0AA4"/>
    <w:rsid w:val="007A0B73"/>
    <w:rsid w:val="007A0FA9"/>
    <w:rsid w:val="007A108D"/>
    <w:rsid w:val="007A10AC"/>
    <w:rsid w:val="007A1B8F"/>
    <w:rsid w:val="007A1FC6"/>
    <w:rsid w:val="007A1FE7"/>
    <w:rsid w:val="007A20A0"/>
    <w:rsid w:val="007A230B"/>
    <w:rsid w:val="007A24E6"/>
    <w:rsid w:val="007A256E"/>
    <w:rsid w:val="007A2A1A"/>
    <w:rsid w:val="007A2A8C"/>
    <w:rsid w:val="007A3413"/>
    <w:rsid w:val="007A343E"/>
    <w:rsid w:val="007A34C3"/>
    <w:rsid w:val="007A35BF"/>
    <w:rsid w:val="007A3709"/>
    <w:rsid w:val="007A376C"/>
    <w:rsid w:val="007A3AE9"/>
    <w:rsid w:val="007A3B35"/>
    <w:rsid w:val="007A3BD0"/>
    <w:rsid w:val="007A40ED"/>
    <w:rsid w:val="007A423A"/>
    <w:rsid w:val="007A4295"/>
    <w:rsid w:val="007A44C1"/>
    <w:rsid w:val="007A46EA"/>
    <w:rsid w:val="007A51E5"/>
    <w:rsid w:val="007A5453"/>
    <w:rsid w:val="007A5633"/>
    <w:rsid w:val="007A591D"/>
    <w:rsid w:val="007A5D73"/>
    <w:rsid w:val="007A5D75"/>
    <w:rsid w:val="007A5F1C"/>
    <w:rsid w:val="007A60D8"/>
    <w:rsid w:val="007A61D6"/>
    <w:rsid w:val="007A6210"/>
    <w:rsid w:val="007A6436"/>
    <w:rsid w:val="007A66B2"/>
    <w:rsid w:val="007A6EB5"/>
    <w:rsid w:val="007A750B"/>
    <w:rsid w:val="007A7786"/>
    <w:rsid w:val="007A7826"/>
    <w:rsid w:val="007A7878"/>
    <w:rsid w:val="007A7A86"/>
    <w:rsid w:val="007B0000"/>
    <w:rsid w:val="007B0252"/>
    <w:rsid w:val="007B0494"/>
    <w:rsid w:val="007B0626"/>
    <w:rsid w:val="007B0A13"/>
    <w:rsid w:val="007B0AB1"/>
    <w:rsid w:val="007B0B7F"/>
    <w:rsid w:val="007B0C70"/>
    <w:rsid w:val="007B0D24"/>
    <w:rsid w:val="007B0D86"/>
    <w:rsid w:val="007B0DFE"/>
    <w:rsid w:val="007B1015"/>
    <w:rsid w:val="007B1120"/>
    <w:rsid w:val="007B15EC"/>
    <w:rsid w:val="007B171F"/>
    <w:rsid w:val="007B178D"/>
    <w:rsid w:val="007B17F9"/>
    <w:rsid w:val="007B19AF"/>
    <w:rsid w:val="007B1AFC"/>
    <w:rsid w:val="007B1EED"/>
    <w:rsid w:val="007B1F4A"/>
    <w:rsid w:val="007B20A0"/>
    <w:rsid w:val="007B21B4"/>
    <w:rsid w:val="007B23F8"/>
    <w:rsid w:val="007B276E"/>
    <w:rsid w:val="007B2AF5"/>
    <w:rsid w:val="007B2C7F"/>
    <w:rsid w:val="007B2D87"/>
    <w:rsid w:val="007B3097"/>
    <w:rsid w:val="007B3630"/>
    <w:rsid w:val="007B3711"/>
    <w:rsid w:val="007B379E"/>
    <w:rsid w:val="007B39E8"/>
    <w:rsid w:val="007B3B31"/>
    <w:rsid w:val="007B3BEA"/>
    <w:rsid w:val="007B4405"/>
    <w:rsid w:val="007B474F"/>
    <w:rsid w:val="007B4873"/>
    <w:rsid w:val="007B4EF9"/>
    <w:rsid w:val="007B51AE"/>
    <w:rsid w:val="007B532A"/>
    <w:rsid w:val="007B574E"/>
    <w:rsid w:val="007B616D"/>
    <w:rsid w:val="007B62ED"/>
    <w:rsid w:val="007B635E"/>
    <w:rsid w:val="007B6780"/>
    <w:rsid w:val="007B69C4"/>
    <w:rsid w:val="007B6AD2"/>
    <w:rsid w:val="007B6B6A"/>
    <w:rsid w:val="007B6E83"/>
    <w:rsid w:val="007B70AD"/>
    <w:rsid w:val="007B771C"/>
    <w:rsid w:val="007C01DC"/>
    <w:rsid w:val="007C0389"/>
    <w:rsid w:val="007C0536"/>
    <w:rsid w:val="007C0666"/>
    <w:rsid w:val="007C071B"/>
    <w:rsid w:val="007C075F"/>
    <w:rsid w:val="007C0843"/>
    <w:rsid w:val="007C08F3"/>
    <w:rsid w:val="007C09E9"/>
    <w:rsid w:val="007C0B18"/>
    <w:rsid w:val="007C1631"/>
    <w:rsid w:val="007C1753"/>
    <w:rsid w:val="007C178C"/>
    <w:rsid w:val="007C17D8"/>
    <w:rsid w:val="007C1B1D"/>
    <w:rsid w:val="007C1D0A"/>
    <w:rsid w:val="007C1F08"/>
    <w:rsid w:val="007C2279"/>
    <w:rsid w:val="007C2956"/>
    <w:rsid w:val="007C2C51"/>
    <w:rsid w:val="007C2CFD"/>
    <w:rsid w:val="007C2D44"/>
    <w:rsid w:val="007C3375"/>
    <w:rsid w:val="007C388C"/>
    <w:rsid w:val="007C3CE3"/>
    <w:rsid w:val="007C3FAF"/>
    <w:rsid w:val="007C401D"/>
    <w:rsid w:val="007C434B"/>
    <w:rsid w:val="007C4414"/>
    <w:rsid w:val="007C4461"/>
    <w:rsid w:val="007C47DC"/>
    <w:rsid w:val="007C4890"/>
    <w:rsid w:val="007C48C7"/>
    <w:rsid w:val="007C4BCD"/>
    <w:rsid w:val="007C4C3F"/>
    <w:rsid w:val="007C4D2E"/>
    <w:rsid w:val="007C4D4F"/>
    <w:rsid w:val="007C4D55"/>
    <w:rsid w:val="007C50F5"/>
    <w:rsid w:val="007C5336"/>
    <w:rsid w:val="007C54ED"/>
    <w:rsid w:val="007C5700"/>
    <w:rsid w:val="007C5877"/>
    <w:rsid w:val="007C5AE5"/>
    <w:rsid w:val="007C5B20"/>
    <w:rsid w:val="007C5C54"/>
    <w:rsid w:val="007C5E60"/>
    <w:rsid w:val="007C60C0"/>
    <w:rsid w:val="007C627E"/>
    <w:rsid w:val="007C6447"/>
    <w:rsid w:val="007C645F"/>
    <w:rsid w:val="007C66CB"/>
    <w:rsid w:val="007C66F2"/>
    <w:rsid w:val="007C6B66"/>
    <w:rsid w:val="007C6BE4"/>
    <w:rsid w:val="007C6D96"/>
    <w:rsid w:val="007C6DDD"/>
    <w:rsid w:val="007C7034"/>
    <w:rsid w:val="007C70B4"/>
    <w:rsid w:val="007C70CC"/>
    <w:rsid w:val="007C715F"/>
    <w:rsid w:val="007C7211"/>
    <w:rsid w:val="007C7560"/>
    <w:rsid w:val="007C7562"/>
    <w:rsid w:val="007C780F"/>
    <w:rsid w:val="007C7EB2"/>
    <w:rsid w:val="007D031D"/>
    <w:rsid w:val="007D03EA"/>
    <w:rsid w:val="007D0636"/>
    <w:rsid w:val="007D096C"/>
    <w:rsid w:val="007D0BEC"/>
    <w:rsid w:val="007D104E"/>
    <w:rsid w:val="007D1051"/>
    <w:rsid w:val="007D1128"/>
    <w:rsid w:val="007D158A"/>
    <w:rsid w:val="007D1713"/>
    <w:rsid w:val="007D1BA0"/>
    <w:rsid w:val="007D2576"/>
    <w:rsid w:val="007D25E9"/>
    <w:rsid w:val="007D2872"/>
    <w:rsid w:val="007D28F1"/>
    <w:rsid w:val="007D2B2B"/>
    <w:rsid w:val="007D2BE2"/>
    <w:rsid w:val="007D302F"/>
    <w:rsid w:val="007D309D"/>
    <w:rsid w:val="007D3B29"/>
    <w:rsid w:val="007D3E85"/>
    <w:rsid w:val="007D3ED8"/>
    <w:rsid w:val="007D3FC9"/>
    <w:rsid w:val="007D4138"/>
    <w:rsid w:val="007D4341"/>
    <w:rsid w:val="007D468B"/>
    <w:rsid w:val="007D482F"/>
    <w:rsid w:val="007D49F0"/>
    <w:rsid w:val="007D50AE"/>
    <w:rsid w:val="007D5428"/>
    <w:rsid w:val="007D54DC"/>
    <w:rsid w:val="007D5866"/>
    <w:rsid w:val="007D597B"/>
    <w:rsid w:val="007D5D68"/>
    <w:rsid w:val="007D5F08"/>
    <w:rsid w:val="007D5F8E"/>
    <w:rsid w:val="007D661F"/>
    <w:rsid w:val="007D68C8"/>
    <w:rsid w:val="007D696A"/>
    <w:rsid w:val="007D6B0E"/>
    <w:rsid w:val="007D6D60"/>
    <w:rsid w:val="007D6FDB"/>
    <w:rsid w:val="007D7299"/>
    <w:rsid w:val="007D7981"/>
    <w:rsid w:val="007D7CAB"/>
    <w:rsid w:val="007D7F88"/>
    <w:rsid w:val="007D7FA5"/>
    <w:rsid w:val="007E004B"/>
    <w:rsid w:val="007E0615"/>
    <w:rsid w:val="007E09FC"/>
    <w:rsid w:val="007E0A4C"/>
    <w:rsid w:val="007E0BA1"/>
    <w:rsid w:val="007E0C43"/>
    <w:rsid w:val="007E0F8F"/>
    <w:rsid w:val="007E1228"/>
    <w:rsid w:val="007E1461"/>
    <w:rsid w:val="007E16CA"/>
    <w:rsid w:val="007E1901"/>
    <w:rsid w:val="007E1B5C"/>
    <w:rsid w:val="007E1DBE"/>
    <w:rsid w:val="007E1F1A"/>
    <w:rsid w:val="007E2045"/>
    <w:rsid w:val="007E2057"/>
    <w:rsid w:val="007E20BB"/>
    <w:rsid w:val="007E2467"/>
    <w:rsid w:val="007E25B7"/>
    <w:rsid w:val="007E263B"/>
    <w:rsid w:val="007E2698"/>
    <w:rsid w:val="007E2785"/>
    <w:rsid w:val="007E2A38"/>
    <w:rsid w:val="007E2BE2"/>
    <w:rsid w:val="007E2C29"/>
    <w:rsid w:val="007E2CA6"/>
    <w:rsid w:val="007E311C"/>
    <w:rsid w:val="007E31F5"/>
    <w:rsid w:val="007E3942"/>
    <w:rsid w:val="007E406A"/>
    <w:rsid w:val="007E414C"/>
    <w:rsid w:val="007E415E"/>
    <w:rsid w:val="007E4457"/>
    <w:rsid w:val="007E460C"/>
    <w:rsid w:val="007E475B"/>
    <w:rsid w:val="007E4EA2"/>
    <w:rsid w:val="007E502D"/>
    <w:rsid w:val="007E530F"/>
    <w:rsid w:val="007E5505"/>
    <w:rsid w:val="007E5591"/>
    <w:rsid w:val="007E559C"/>
    <w:rsid w:val="007E5664"/>
    <w:rsid w:val="007E5B85"/>
    <w:rsid w:val="007E5C2B"/>
    <w:rsid w:val="007E5DB8"/>
    <w:rsid w:val="007E5F7E"/>
    <w:rsid w:val="007E63ED"/>
    <w:rsid w:val="007E657B"/>
    <w:rsid w:val="007E65AC"/>
    <w:rsid w:val="007E69A5"/>
    <w:rsid w:val="007E69C4"/>
    <w:rsid w:val="007E6A54"/>
    <w:rsid w:val="007E6F33"/>
    <w:rsid w:val="007E709D"/>
    <w:rsid w:val="007E738C"/>
    <w:rsid w:val="007E751D"/>
    <w:rsid w:val="007E760C"/>
    <w:rsid w:val="007E7B74"/>
    <w:rsid w:val="007E7BBE"/>
    <w:rsid w:val="007E7C2B"/>
    <w:rsid w:val="007F059B"/>
    <w:rsid w:val="007F0AA0"/>
    <w:rsid w:val="007F0B8E"/>
    <w:rsid w:val="007F0BB4"/>
    <w:rsid w:val="007F0C43"/>
    <w:rsid w:val="007F1042"/>
    <w:rsid w:val="007F107C"/>
    <w:rsid w:val="007F1425"/>
    <w:rsid w:val="007F180B"/>
    <w:rsid w:val="007F1821"/>
    <w:rsid w:val="007F1950"/>
    <w:rsid w:val="007F1A0F"/>
    <w:rsid w:val="007F1CD5"/>
    <w:rsid w:val="007F21B9"/>
    <w:rsid w:val="007F21DA"/>
    <w:rsid w:val="007F2220"/>
    <w:rsid w:val="007F2771"/>
    <w:rsid w:val="007F27C4"/>
    <w:rsid w:val="007F2A2E"/>
    <w:rsid w:val="007F2AEC"/>
    <w:rsid w:val="007F2D6B"/>
    <w:rsid w:val="007F2D86"/>
    <w:rsid w:val="007F2F11"/>
    <w:rsid w:val="007F2F3C"/>
    <w:rsid w:val="007F32E9"/>
    <w:rsid w:val="007F3396"/>
    <w:rsid w:val="007F3404"/>
    <w:rsid w:val="007F347B"/>
    <w:rsid w:val="007F35E1"/>
    <w:rsid w:val="007F3AEF"/>
    <w:rsid w:val="007F4602"/>
    <w:rsid w:val="007F46C3"/>
    <w:rsid w:val="007F4B5D"/>
    <w:rsid w:val="007F4D21"/>
    <w:rsid w:val="007F4E2C"/>
    <w:rsid w:val="007F4F78"/>
    <w:rsid w:val="007F52DE"/>
    <w:rsid w:val="007F5640"/>
    <w:rsid w:val="007F58EC"/>
    <w:rsid w:val="007F5B40"/>
    <w:rsid w:val="007F62AD"/>
    <w:rsid w:val="007F62B7"/>
    <w:rsid w:val="007F64B7"/>
    <w:rsid w:val="007F6787"/>
    <w:rsid w:val="007F6799"/>
    <w:rsid w:val="007F6AE8"/>
    <w:rsid w:val="007F72E2"/>
    <w:rsid w:val="007F7415"/>
    <w:rsid w:val="007F779C"/>
    <w:rsid w:val="007F7814"/>
    <w:rsid w:val="007F796E"/>
    <w:rsid w:val="007F7A96"/>
    <w:rsid w:val="007F7C93"/>
    <w:rsid w:val="007F7E0D"/>
    <w:rsid w:val="008000AE"/>
    <w:rsid w:val="00800195"/>
    <w:rsid w:val="0080040C"/>
    <w:rsid w:val="0080079B"/>
    <w:rsid w:val="00800921"/>
    <w:rsid w:val="00800987"/>
    <w:rsid w:val="00800998"/>
    <w:rsid w:val="00800A17"/>
    <w:rsid w:val="00800A52"/>
    <w:rsid w:val="008014E8"/>
    <w:rsid w:val="00801A0E"/>
    <w:rsid w:val="00801AA4"/>
    <w:rsid w:val="008025B0"/>
    <w:rsid w:val="008026A6"/>
    <w:rsid w:val="008026C6"/>
    <w:rsid w:val="008026D3"/>
    <w:rsid w:val="0080321C"/>
    <w:rsid w:val="008032DF"/>
    <w:rsid w:val="008033D9"/>
    <w:rsid w:val="008034C4"/>
    <w:rsid w:val="00803733"/>
    <w:rsid w:val="00803855"/>
    <w:rsid w:val="008038B4"/>
    <w:rsid w:val="008038C5"/>
    <w:rsid w:val="00803A9F"/>
    <w:rsid w:val="00803B4E"/>
    <w:rsid w:val="00803CFD"/>
    <w:rsid w:val="00804047"/>
    <w:rsid w:val="0080443D"/>
    <w:rsid w:val="00804572"/>
    <w:rsid w:val="008049C2"/>
    <w:rsid w:val="00804C8D"/>
    <w:rsid w:val="00804DDA"/>
    <w:rsid w:val="008050E3"/>
    <w:rsid w:val="0080548E"/>
    <w:rsid w:val="00805C18"/>
    <w:rsid w:val="00805C6E"/>
    <w:rsid w:val="00805E85"/>
    <w:rsid w:val="008062A3"/>
    <w:rsid w:val="00806D68"/>
    <w:rsid w:val="0080717F"/>
    <w:rsid w:val="00807203"/>
    <w:rsid w:val="008072C9"/>
    <w:rsid w:val="00807881"/>
    <w:rsid w:val="0080795A"/>
    <w:rsid w:val="008079C8"/>
    <w:rsid w:val="008079E8"/>
    <w:rsid w:val="00807D7A"/>
    <w:rsid w:val="00807E66"/>
    <w:rsid w:val="008106EE"/>
    <w:rsid w:val="00810961"/>
    <w:rsid w:val="008109CD"/>
    <w:rsid w:val="008109E9"/>
    <w:rsid w:val="00810B6B"/>
    <w:rsid w:val="00810C24"/>
    <w:rsid w:val="00810D00"/>
    <w:rsid w:val="00811449"/>
    <w:rsid w:val="008118AE"/>
    <w:rsid w:val="008118F6"/>
    <w:rsid w:val="00811B24"/>
    <w:rsid w:val="00811BBD"/>
    <w:rsid w:val="00811C7D"/>
    <w:rsid w:val="00811D6B"/>
    <w:rsid w:val="00811F96"/>
    <w:rsid w:val="00812229"/>
    <w:rsid w:val="00812338"/>
    <w:rsid w:val="0081265D"/>
    <w:rsid w:val="00812819"/>
    <w:rsid w:val="00812A2F"/>
    <w:rsid w:val="00812F08"/>
    <w:rsid w:val="00813047"/>
    <w:rsid w:val="00813101"/>
    <w:rsid w:val="008131C1"/>
    <w:rsid w:val="00813274"/>
    <w:rsid w:val="008137EC"/>
    <w:rsid w:val="00813ABD"/>
    <w:rsid w:val="00813B2D"/>
    <w:rsid w:val="00813C1F"/>
    <w:rsid w:val="00813E1E"/>
    <w:rsid w:val="00813E4E"/>
    <w:rsid w:val="00813F87"/>
    <w:rsid w:val="0081416B"/>
    <w:rsid w:val="0081420C"/>
    <w:rsid w:val="00814561"/>
    <w:rsid w:val="008146AF"/>
    <w:rsid w:val="00814728"/>
    <w:rsid w:val="00814851"/>
    <w:rsid w:val="008149B0"/>
    <w:rsid w:val="00814A45"/>
    <w:rsid w:val="00814ADA"/>
    <w:rsid w:val="00814FA4"/>
    <w:rsid w:val="0081504B"/>
    <w:rsid w:val="0081539A"/>
    <w:rsid w:val="008153E1"/>
    <w:rsid w:val="008153E5"/>
    <w:rsid w:val="00815540"/>
    <w:rsid w:val="0081560A"/>
    <w:rsid w:val="0081590D"/>
    <w:rsid w:val="00815A7E"/>
    <w:rsid w:val="00815E51"/>
    <w:rsid w:val="0081619F"/>
    <w:rsid w:val="008162E4"/>
    <w:rsid w:val="00816838"/>
    <w:rsid w:val="00816FB5"/>
    <w:rsid w:val="00817376"/>
    <w:rsid w:val="008176A7"/>
    <w:rsid w:val="008177DE"/>
    <w:rsid w:val="00817B1B"/>
    <w:rsid w:val="00817C81"/>
    <w:rsid w:val="00817CE2"/>
    <w:rsid w:val="00817FBC"/>
    <w:rsid w:val="008201C3"/>
    <w:rsid w:val="00820341"/>
    <w:rsid w:val="00820343"/>
    <w:rsid w:val="008205B0"/>
    <w:rsid w:val="008209AD"/>
    <w:rsid w:val="00820A71"/>
    <w:rsid w:val="00820D14"/>
    <w:rsid w:val="00820EE2"/>
    <w:rsid w:val="00820F70"/>
    <w:rsid w:val="00821210"/>
    <w:rsid w:val="00821226"/>
    <w:rsid w:val="00821306"/>
    <w:rsid w:val="008215AD"/>
    <w:rsid w:val="00821BEC"/>
    <w:rsid w:val="0082201A"/>
    <w:rsid w:val="00822197"/>
    <w:rsid w:val="00822567"/>
    <w:rsid w:val="00822722"/>
    <w:rsid w:val="00822AD0"/>
    <w:rsid w:val="00822B6F"/>
    <w:rsid w:val="00822BDD"/>
    <w:rsid w:val="00822C4B"/>
    <w:rsid w:val="00822DE1"/>
    <w:rsid w:val="00822DF0"/>
    <w:rsid w:val="008230A6"/>
    <w:rsid w:val="0082320C"/>
    <w:rsid w:val="0082341C"/>
    <w:rsid w:val="00823431"/>
    <w:rsid w:val="008234AB"/>
    <w:rsid w:val="008234EB"/>
    <w:rsid w:val="00823546"/>
    <w:rsid w:val="008235CF"/>
    <w:rsid w:val="0082364B"/>
    <w:rsid w:val="0082373C"/>
    <w:rsid w:val="00823855"/>
    <w:rsid w:val="00823871"/>
    <w:rsid w:val="008238E6"/>
    <w:rsid w:val="00823AE0"/>
    <w:rsid w:val="00823C1E"/>
    <w:rsid w:val="00823C6E"/>
    <w:rsid w:val="00823EB4"/>
    <w:rsid w:val="00823F8F"/>
    <w:rsid w:val="0082415C"/>
    <w:rsid w:val="008242EE"/>
    <w:rsid w:val="00824360"/>
    <w:rsid w:val="00824570"/>
    <w:rsid w:val="0082458E"/>
    <w:rsid w:val="00824651"/>
    <w:rsid w:val="00824C16"/>
    <w:rsid w:val="00824C19"/>
    <w:rsid w:val="00824DFE"/>
    <w:rsid w:val="0082500A"/>
    <w:rsid w:val="0082577C"/>
    <w:rsid w:val="008258AD"/>
    <w:rsid w:val="00825943"/>
    <w:rsid w:val="00825E3A"/>
    <w:rsid w:val="00825FAF"/>
    <w:rsid w:val="0082656B"/>
    <w:rsid w:val="00826702"/>
    <w:rsid w:val="008269C9"/>
    <w:rsid w:val="008269F2"/>
    <w:rsid w:val="00826C8D"/>
    <w:rsid w:val="00826E69"/>
    <w:rsid w:val="0082702D"/>
    <w:rsid w:val="00827095"/>
    <w:rsid w:val="008271A5"/>
    <w:rsid w:val="00827489"/>
    <w:rsid w:val="00827523"/>
    <w:rsid w:val="00827713"/>
    <w:rsid w:val="00827770"/>
    <w:rsid w:val="00827DD2"/>
    <w:rsid w:val="00827E70"/>
    <w:rsid w:val="00830036"/>
    <w:rsid w:val="00830057"/>
    <w:rsid w:val="008305EA"/>
    <w:rsid w:val="00830610"/>
    <w:rsid w:val="00830781"/>
    <w:rsid w:val="008308F7"/>
    <w:rsid w:val="00830988"/>
    <w:rsid w:val="00831093"/>
    <w:rsid w:val="0083123E"/>
    <w:rsid w:val="008314BD"/>
    <w:rsid w:val="008318B6"/>
    <w:rsid w:val="0083197D"/>
    <w:rsid w:val="00831B93"/>
    <w:rsid w:val="008324FE"/>
    <w:rsid w:val="00832618"/>
    <w:rsid w:val="00832A25"/>
    <w:rsid w:val="00832BD2"/>
    <w:rsid w:val="00832C7B"/>
    <w:rsid w:val="00832CF3"/>
    <w:rsid w:val="00833163"/>
    <w:rsid w:val="00833903"/>
    <w:rsid w:val="00833A40"/>
    <w:rsid w:val="00833D97"/>
    <w:rsid w:val="00833EC5"/>
    <w:rsid w:val="0083423A"/>
    <w:rsid w:val="008342A1"/>
    <w:rsid w:val="00834442"/>
    <w:rsid w:val="00834672"/>
    <w:rsid w:val="008347A3"/>
    <w:rsid w:val="00834889"/>
    <w:rsid w:val="008351A3"/>
    <w:rsid w:val="00835285"/>
    <w:rsid w:val="008354C0"/>
    <w:rsid w:val="008355AC"/>
    <w:rsid w:val="00835623"/>
    <w:rsid w:val="008356A1"/>
    <w:rsid w:val="008358D8"/>
    <w:rsid w:val="00835A5B"/>
    <w:rsid w:val="00835BB4"/>
    <w:rsid w:val="00835BEF"/>
    <w:rsid w:val="00835C2D"/>
    <w:rsid w:val="00835E02"/>
    <w:rsid w:val="008365B2"/>
    <w:rsid w:val="00836671"/>
    <w:rsid w:val="00836746"/>
    <w:rsid w:val="0083678F"/>
    <w:rsid w:val="008367E0"/>
    <w:rsid w:val="00836A3F"/>
    <w:rsid w:val="00836D1E"/>
    <w:rsid w:val="00836E6A"/>
    <w:rsid w:val="00836ED2"/>
    <w:rsid w:val="00837220"/>
    <w:rsid w:val="008372FB"/>
    <w:rsid w:val="00837333"/>
    <w:rsid w:val="00837724"/>
    <w:rsid w:val="0083774B"/>
    <w:rsid w:val="00837AED"/>
    <w:rsid w:val="00837B8B"/>
    <w:rsid w:val="00840426"/>
    <w:rsid w:val="008404D1"/>
    <w:rsid w:val="0084062D"/>
    <w:rsid w:val="00840A34"/>
    <w:rsid w:val="00840AE1"/>
    <w:rsid w:val="00840D26"/>
    <w:rsid w:val="00840D7A"/>
    <w:rsid w:val="00840E2E"/>
    <w:rsid w:val="00840E3E"/>
    <w:rsid w:val="00840F67"/>
    <w:rsid w:val="00841187"/>
    <w:rsid w:val="0084142D"/>
    <w:rsid w:val="0084175D"/>
    <w:rsid w:val="00841887"/>
    <w:rsid w:val="00842159"/>
    <w:rsid w:val="008421FE"/>
    <w:rsid w:val="00842646"/>
    <w:rsid w:val="008426D7"/>
    <w:rsid w:val="00842858"/>
    <w:rsid w:val="008428D8"/>
    <w:rsid w:val="00842A53"/>
    <w:rsid w:val="00842D85"/>
    <w:rsid w:val="00842E70"/>
    <w:rsid w:val="00842F98"/>
    <w:rsid w:val="00842FA7"/>
    <w:rsid w:val="008433A4"/>
    <w:rsid w:val="00843A39"/>
    <w:rsid w:val="00843B81"/>
    <w:rsid w:val="00843BAD"/>
    <w:rsid w:val="00843C5E"/>
    <w:rsid w:val="00843DBF"/>
    <w:rsid w:val="0084405F"/>
    <w:rsid w:val="00844D93"/>
    <w:rsid w:val="0084503D"/>
    <w:rsid w:val="00845311"/>
    <w:rsid w:val="00845576"/>
    <w:rsid w:val="00845700"/>
    <w:rsid w:val="0084573A"/>
    <w:rsid w:val="00845955"/>
    <w:rsid w:val="00845EB4"/>
    <w:rsid w:val="0084602C"/>
    <w:rsid w:val="008464DB"/>
    <w:rsid w:val="00846B39"/>
    <w:rsid w:val="00847055"/>
    <w:rsid w:val="00847549"/>
    <w:rsid w:val="008475B2"/>
    <w:rsid w:val="008475CC"/>
    <w:rsid w:val="0084760A"/>
    <w:rsid w:val="008477C6"/>
    <w:rsid w:val="008478B3"/>
    <w:rsid w:val="00847914"/>
    <w:rsid w:val="00847A65"/>
    <w:rsid w:val="00847DD4"/>
    <w:rsid w:val="00847F18"/>
    <w:rsid w:val="008500BB"/>
    <w:rsid w:val="00850120"/>
    <w:rsid w:val="0085019D"/>
    <w:rsid w:val="00850420"/>
    <w:rsid w:val="00850448"/>
    <w:rsid w:val="0085076A"/>
    <w:rsid w:val="00850AA9"/>
    <w:rsid w:val="00850BF5"/>
    <w:rsid w:val="00851067"/>
    <w:rsid w:val="00851074"/>
    <w:rsid w:val="00851105"/>
    <w:rsid w:val="0085121D"/>
    <w:rsid w:val="00851290"/>
    <w:rsid w:val="00851539"/>
    <w:rsid w:val="00851565"/>
    <w:rsid w:val="00851A25"/>
    <w:rsid w:val="00851E2B"/>
    <w:rsid w:val="0085207A"/>
    <w:rsid w:val="008521E4"/>
    <w:rsid w:val="008523A8"/>
    <w:rsid w:val="008527AE"/>
    <w:rsid w:val="0085296B"/>
    <w:rsid w:val="00852C13"/>
    <w:rsid w:val="00852C89"/>
    <w:rsid w:val="008533CD"/>
    <w:rsid w:val="0085342F"/>
    <w:rsid w:val="00853484"/>
    <w:rsid w:val="008535F4"/>
    <w:rsid w:val="00853663"/>
    <w:rsid w:val="00853698"/>
    <w:rsid w:val="00853829"/>
    <w:rsid w:val="0085418D"/>
    <w:rsid w:val="0085425A"/>
    <w:rsid w:val="0085484A"/>
    <w:rsid w:val="00854902"/>
    <w:rsid w:val="00854A63"/>
    <w:rsid w:val="0085554E"/>
    <w:rsid w:val="00855A0A"/>
    <w:rsid w:val="00855AF8"/>
    <w:rsid w:val="00855B13"/>
    <w:rsid w:val="00856056"/>
    <w:rsid w:val="0085612E"/>
    <w:rsid w:val="0085624E"/>
    <w:rsid w:val="00856581"/>
    <w:rsid w:val="008565CB"/>
    <w:rsid w:val="008565DF"/>
    <w:rsid w:val="00856A5F"/>
    <w:rsid w:val="00856EB8"/>
    <w:rsid w:val="0085743B"/>
    <w:rsid w:val="00857889"/>
    <w:rsid w:val="00857B94"/>
    <w:rsid w:val="00860600"/>
    <w:rsid w:val="008606FD"/>
    <w:rsid w:val="00860782"/>
    <w:rsid w:val="00860956"/>
    <w:rsid w:val="008609AE"/>
    <w:rsid w:val="00860ADC"/>
    <w:rsid w:val="00860D81"/>
    <w:rsid w:val="00860DD8"/>
    <w:rsid w:val="00860DEA"/>
    <w:rsid w:val="00860E8D"/>
    <w:rsid w:val="008611F7"/>
    <w:rsid w:val="008616F1"/>
    <w:rsid w:val="00861A15"/>
    <w:rsid w:val="00861F84"/>
    <w:rsid w:val="00861FB8"/>
    <w:rsid w:val="00862015"/>
    <w:rsid w:val="0086202C"/>
    <w:rsid w:val="00862188"/>
    <w:rsid w:val="00862586"/>
    <w:rsid w:val="00862807"/>
    <w:rsid w:val="00862D25"/>
    <w:rsid w:val="00862EF0"/>
    <w:rsid w:val="00862EF5"/>
    <w:rsid w:val="0086335F"/>
    <w:rsid w:val="00863517"/>
    <w:rsid w:val="00863608"/>
    <w:rsid w:val="00863707"/>
    <w:rsid w:val="00863AB6"/>
    <w:rsid w:val="00863B4C"/>
    <w:rsid w:val="00863F88"/>
    <w:rsid w:val="00864621"/>
    <w:rsid w:val="00864736"/>
    <w:rsid w:val="00864B2B"/>
    <w:rsid w:val="00864BB7"/>
    <w:rsid w:val="00864D61"/>
    <w:rsid w:val="00865169"/>
    <w:rsid w:val="00865891"/>
    <w:rsid w:val="0086592C"/>
    <w:rsid w:val="00865DCA"/>
    <w:rsid w:val="00865DE1"/>
    <w:rsid w:val="00865EDF"/>
    <w:rsid w:val="008667BA"/>
    <w:rsid w:val="008667EC"/>
    <w:rsid w:val="00866930"/>
    <w:rsid w:val="008669F3"/>
    <w:rsid w:val="00866B5D"/>
    <w:rsid w:val="00866CDC"/>
    <w:rsid w:val="00866DFA"/>
    <w:rsid w:val="00867138"/>
    <w:rsid w:val="0086720B"/>
    <w:rsid w:val="008673DD"/>
    <w:rsid w:val="00867586"/>
    <w:rsid w:val="00867805"/>
    <w:rsid w:val="008678BF"/>
    <w:rsid w:val="00867B27"/>
    <w:rsid w:val="00867D9C"/>
    <w:rsid w:val="00867E67"/>
    <w:rsid w:val="0087042C"/>
    <w:rsid w:val="00870462"/>
    <w:rsid w:val="0087058F"/>
    <w:rsid w:val="00870764"/>
    <w:rsid w:val="0087089F"/>
    <w:rsid w:val="00870963"/>
    <w:rsid w:val="008709F5"/>
    <w:rsid w:val="0087113D"/>
    <w:rsid w:val="0087140E"/>
    <w:rsid w:val="00871463"/>
    <w:rsid w:val="00871DBB"/>
    <w:rsid w:val="00871F0F"/>
    <w:rsid w:val="00872747"/>
    <w:rsid w:val="008729C4"/>
    <w:rsid w:val="00872CD4"/>
    <w:rsid w:val="00872CE6"/>
    <w:rsid w:val="00872DA1"/>
    <w:rsid w:val="00872EAC"/>
    <w:rsid w:val="00873088"/>
    <w:rsid w:val="008730F4"/>
    <w:rsid w:val="0087316A"/>
    <w:rsid w:val="0087320F"/>
    <w:rsid w:val="00873238"/>
    <w:rsid w:val="008732F3"/>
    <w:rsid w:val="0087380A"/>
    <w:rsid w:val="00873B0D"/>
    <w:rsid w:val="008741F9"/>
    <w:rsid w:val="00874201"/>
    <w:rsid w:val="00874238"/>
    <w:rsid w:val="008746B5"/>
    <w:rsid w:val="00874AEE"/>
    <w:rsid w:val="00874FD6"/>
    <w:rsid w:val="0087510C"/>
    <w:rsid w:val="0087523C"/>
    <w:rsid w:val="0087546B"/>
    <w:rsid w:val="008754F0"/>
    <w:rsid w:val="008755DA"/>
    <w:rsid w:val="008758A0"/>
    <w:rsid w:val="00875DB5"/>
    <w:rsid w:val="008763AE"/>
    <w:rsid w:val="0087654C"/>
    <w:rsid w:val="008766F3"/>
    <w:rsid w:val="00876814"/>
    <w:rsid w:val="00876942"/>
    <w:rsid w:val="0087697A"/>
    <w:rsid w:val="00876BD1"/>
    <w:rsid w:val="00876DFB"/>
    <w:rsid w:val="008772A5"/>
    <w:rsid w:val="008775A4"/>
    <w:rsid w:val="00877612"/>
    <w:rsid w:val="008777FC"/>
    <w:rsid w:val="00880594"/>
    <w:rsid w:val="0088098F"/>
    <w:rsid w:val="00880C08"/>
    <w:rsid w:val="00880DE7"/>
    <w:rsid w:val="00881723"/>
    <w:rsid w:val="00881A4C"/>
    <w:rsid w:val="00882228"/>
    <w:rsid w:val="008825AB"/>
    <w:rsid w:val="00882BA0"/>
    <w:rsid w:val="00882BCA"/>
    <w:rsid w:val="00882C53"/>
    <w:rsid w:val="00883218"/>
    <w:rsid w:val="008833D3"/>
    <w:rsid w:val="0088348D"/>
    <w:rsid w:val="00883B36"/>
    <w:rsid w:val="00883BC1"/>
    <w:rsid w:val="00883E09"/>
    <w:rsid w:val="00883E16"/>
    <w:rsid w:val="00883FF4"/>
    <w:rsid w:val="0088426D"/>
    <w:rsid w:val="00884F15"/>
    <w:rsid w:val="008851F9"/>
    <w:rsid w:val="00885A78"/>
    <w:rsid w:val="00885CFC"/>
    <w:rsid w:val="00885DAC"/>
    <w:rsid w:val="00885EF3"/>
    <w:rsid w:val="00885FB3"/>
    <w:rsid w:val="00886334"/>
    <w:rsid w:val="008864BD"/>
    <w:rsid w:val="00886794"/>
    <w:rsid w:val="00886AD2"/>
    <w:rsid w:val="00886BA0"/>
    <w:rsid w:val="00887581"/>
    <w:rsid w:val="008876D1"/>
    <w:rsid w:val="00887A25"/>
    <w:rsid w:val="00887B64"/>
    <w:rsid w:val="00887D06"/>
    <w:rsid w:val="008902AB"/>
    <w:rsid w:val="00890383"/>
    <w:rsid w:val="0089041C"/>
    <w:rsid w:val="008904A6"/>
    <w:rsid w:val="00890781"/>
    <w:rsid w:val="0089086A"/>
    <w:rsid w:val="00890CFB"/>
    <w:rsid w:val="00890E1A"/>
    <w:rsid w:val="00891022"/>
    <w:rsid w:val="0089120B"/>
    <w:rsid w:val="0089165E"/>
    <w:rsid w:val="00891859"/>
    <w:rsid w:val="0089199D"/>
    <w:rsid w:val="00891A05"/>
    <w:rsid w:val="00891A82"/>
    <w:rsid w:val="00891D92"/>
    <w:rsid w:val="00891E2D"/>
    <w:rsid w:val="00891E68"/>
    <w:rsid w:val="00892780"/>
    <w:rsid w:val="00892889"/>
    <w:rsid w:val="00892B27"/>
    <w:rsid w:val="00892B9A"/>
    <w:rsid w:val="00892C4E"/>
    <w:rsid w:val="00892F93"/>
    <w:rsid w:val="00893227"/>
    <w:rsid w:val="00893286"/>
    <w:rsid w:val="00893396"/>
    <w:rsid w:val="00893560"/>
    <w:rsid w:val="008935B2"/>
    <w:rsid w:val="0089377F"/>
    <w:rsid w:val="00893A4B"/>
    <w:rsid w:val="00893ABC"/>
    <w:rsid w:val="00893C14"/>
    <w:rsid w:val="00893CF6"/>
    <w:rsid w:val="00893D45"/>
    <w:rsid w:val="00893E1E"/>
    <w:rsid w:val="00893F4F"/>
    <w:rsid w:val="00894057"/>
    <w:rsid w:val="008941E5"/>
    <w:rsid w:val="00894427"/>
    <w:rsid w:val="00894665"/>
    <w:rsid w:val="008947D0"/>
    <w:rsid w:val="008949FB"/>
    <w:rsid w:val="00894A04"/>
    <w:rsid w:val="00895704"/>
    <w:rsid w:val="00895985"/>
    <w:rsid w:val="00895994"/>
    <w:rsid w:val="00895DCC"/>
    <w:rsid w:val="00895E56"/>
    <w:rsid w:val="00896032"/>
    <w:rsid w:val="00896216"/>
    <w:rsid w:val="008962C1"/>
    <w:rsid w:val="00896398"/>
    <w:rsid w:val="008963EB"/>
    <w:rsid w:val="008965E0"/>
    <w:rsid w:val="008966D5"/>
    <w:rsid w:val="00896807"/>
    <w:rsid w:val="00896C25"/>
    <w:rsid w:val="00896D80"/>
    <w:rsid w:val="00897044"/>
    <w:rsid w:val="00897147"/>
    <w:rsid w:val="008977D0"/>
    <w:rsid w:val="008977D3"/>
    <w:rsid w:val="008978B8"/>
    <w:rsid w:val="00897ADC"/>
    <w:rsid w:val="00897BC6"/>
    <w:rsid w:val="00897C40"/>
    <w:rsid w:val="008A0009"/>
    <w:rsid w:val="008A0074"/>
    <w:rsid w:val="008A0261"/>
    <w:rsid w:val="008A058A"/>
    <w:rsid w:val="008A0786"/>
    <w:rsid w:val="008A0A46"/>
    <w:rsid w:val="008A0F9D"/>
    <w:rsid w:val="008A1214"/>
    <w:rsid w:val="008A1241"/>
    <w:rsid w:val="008A12BF"/>
    <w:rsid w:val="008A1441"/>
    <w:rsid w:val="008A1767"/>
    <w:rsid w:val="008A1985"/>
    <w:rsid w:val="008A1D9F"/>
    <w:rsid w:val="008A1EE8"/>
    <w:rsid w:val="008A2096"/>
    <w:rsid w:val="008A20C3"/>
    <w:rsid w:val="008A22B1"/>
    <w:rsid w:val="008A2439"/>
    <w:rsid w:val="008A27F3"/>
    <w:rsid w:val="008A27FB"/>
    <w:rsid w:val="008A2880"/>
    <w:rsid w:val="008A2A5C"/>
    <w:rsid w:val="008A2C0E"/>
    <w:rsid w:val="008A2D31"/>
    <w:rsid w:val="008A2D50"/>
    <w:rsid w:val="008A2DB1"/>
    <w:rsid w:val="008A3115"/>
    <w:rsid w:val="008A327B"/>
    <w:rsid w:val="008A337E"/>
    <w:rsid w:val="008A33B1"/>
    <w:rsid w:val="008A3601"/>
    <w:rsid w:val="008A380F"/>
    <w:rsid w:val="008A3CE7"/>
    <w:rsid w:val="008A3FED"/>
    <w:rsid w:val="008A46FE"/>
    <w:rsid w:val="008A4852"/>
    <w:rsid w:val="008A4B07"/>
    <w:rsid w:val="008A5460"/>
    <w:rsid w:val="008A5482"/>
    <w:rsid w:val="008A5A2B"/>
    <w:rsid w:val="008A5BF0"/>
    <w:rsid w:val="008A5D85"/>
    <w:rsid w:val="008A5DB6"/>
    <w:rsid w:val="008A5F5F"/>
    <w:rsid w:val="008A61BC"/>
    <w:rsid w:val="008A62F6"/>
    <w:rsid w:val="008A6817"/>
    <w:rsid w:val="008A70A7"/>
    <w:rsid w:val="008A70EB"/>
    <w:rsid w:val="008A72FC"/>
    <w:rsid w:val="008A730D"/>
    <w:rsid w:val="008A732F"/>
    <w:rsid w:val="008A7644"/>
    <w:rsid w:val="008A7716"/>
    <w:rsid w:val="008A7852"/>
    <w:rsid w:val="008A7856"/>
    <w:rsid w:val="008A7C63"/>
    <w:rsid w:val="008B0158"/>
    <w:rsid w:val="008B0181"/>
    <w:rsid w:val="008B027F"/>
    <w:rsid w:val="008B079D"/>
    <w:rsid w:val="008B07DB"/>
    <w:rsid w:val="008B08EA"/>
    <w:rsid w:val="008B0A99"/>
    <w:rsid w:val="008B0B84"/>
    <w:rsid w:val="008B0D2E"/>
    <w:rsid w:val="008B0DCF"/>
    <w:rsid w:val="008B0E4B"/>
    <w:rsid w:val="008B0EFB"/>
    <w:rsid w:val="008B13C4"/>
    <w:rsid w:val="008B189B"/>
    <w:rsid w:val="008B191B"/>
    <w:rsid w:val="008B1A36"/>
    <w:rsid w:val="008B1C67"/>
    <w:rsid w:val="008B2064"/>
    <w:rsid w:val="008B21BD"/>
    <w:rsid w:val="008B21DA"/>
    <w:rsid w:val="008B222C"/>
    <w:rsid w:val="008B2785"/>
    <w:rsid w:val="008B29D1"/>
    <w:rsid w:val="008B2C15"/>
    <w:rsid w:val="008B2D0C"/>
    <w:rsid w:val="008B2D99"/>
    <w:rsid w:val="008B2DAF"/>
    <w:rsid w:val="008B2E54"/>
    <w:rsid w:val="008B2F88"/>
    <w:rsid w:val="008B3076"/>
    <w:rsid w:val="008B30F1"/>
    <w:rsid w:val="008B3156"/>
    <w:rsid w:val="008B345E"/>
    <w:rsid w:val="008B3819"/>
    <w:rsid w:val="008B3820"/>
    <w:rsid w:val="008B38D7"/>
    <w:rsid w:val="008B3D5B"/>
    <w:rsid w:val="008B437A"/>
    <w:rsid w:val="008B474D"/>
    <w:rsid w:val="008B4765"/>
    <w:rsid w:val="008B4B19"/>
    <w:rsid w:val="008B4B2F"/>
    <w:rsid w:val="008B4C93"/>
    <w:rsid w:val="008B4EBF"/>
    <w:rsid w:val="008B4F35"/>
    <w:rsid w:val="008B4F9C"/>
    <w:rsid w:val="008B5373"/>
    <w:rsid w:val="008B5573"/>
    <w:rsid w:val="008B58A8"/>
    <w:rsid w:val="008B59DE"/>
    <w:rsid w:val="008B5D3F"/>
    <w:rsid w:val="008B6640"/>
    <w:rsid w:val="008B69B1"/>
    <w:rsid w:val="008B70E9"/>
    <w:rsid w:val="008B7339"/>
    <w:rsid w:val="008B7437"/>
    <w:rsid w:val="008B74CC"/>
    <w:rsid w:val="008B7549"/>
    <w:rsid w:val="008B75C1"/>
    <w:rsid w:val="008B7A16"/>
    <w:rsid w:val="008B7D25"/>
    <w:rsid w:val="008B7D3E"/>
    <w:rsid w:val="008B7DEA"/>
    <w:rsid w:val="008C0734"/>
    <w:rsid w:val="008C0850"/>
    <w:rsid w:val="008C0918"/>
    <w:rsid w:val="008C0ACE"/>
    <w:rsid w:val="008C0F21"/>
    <w:rsid w:val="008C215B"/>
    <w:rsid w:val="008C223F"/>
    <w:rsid w:val="008C26DA"/>
    <w:rsid w:val="008C2F46"/>
    <w:rsid w:val="008C2FEB"/>
    <w:rsid w:val="008C3411"/>
    <w:rsid w:val="008C39EB"/>
    <w:rsid w:val="008C3A41"/>
    <w:rsid w:val="008C3AF7"/>
    <w:rsid w:val="008C3B38"/>
    <w:rsid w:val="008C3F23"/>
    <w:rsid w:val="008C43B4"/>
    <w:rsid w:val="008C44D9"/>
    <w:rsid w:val="008C4945"/>
    <w:rsid w:val="008C4B78"/>
    <w:rsid w:val="008C4D78"/>
    <w:rsid w:val="008C5562"/>
    <w:rsid w:val="008C55A3"/>
    <w:rsid w:val="008C5BFD"/>
    <w:rsid w:val="008C5C34"/>
    <w:rsid w:val="008C6244"/>
    <w:rsid w:val="008C6721"/>
    <w:rsid w:val="008C67AA"/>
    <w:rsid w:val="008C67CC"/>
    <w:rsid w:val="008C6AE8"/>
    <w:rsid w:val="008C6CE2"/>
    <w:rsid w:val="008C6F84"/>
    <w:rsid w:val="008C711D"/>
    <w:rsid w:val="008C7208"/>
    <w:rsid w:val="008C7279"/>
    <w:rsid w:val="008C75C9"/>
    <w:rsid w:val="008C781A"/>
    <w:rsid w:val="008C7A6A"/>
    <w:rsid w:val="008C7D89"/>
    <w:rsid w:val="008D026B"/>
    <w:rsid w:val="008D0633"/>
    <w:rsid w:val="008D06BD"/>
    <w:rsid w:val="008D0725"/>
    <w:rsid w:val="008D084E"/>
    <w:rsid w:val="008D09AB"/>
    <w:rsid w:val="008D0A73"/>
    <w:rsid w:val="008D0A7A"/>
    <w:rsid w:val="008D1063"/>
    <w:rsid w:val="008D139E"/>
    <w:rsid w:val="008D1D6E"/>
    <w:rsid w:val="008D1FB9"/>
    <w:rsid w:val="008D2787"/>
    <w:rsid w:val="008D295D"/>
    <w:rsid w:val="008D2D0D"/>
    <w:rsid w:val="008D2F56"/>
    <w:rsid w:val="008D2FD8"/>
    <w:rsid w:val="008D301B"/>
    <w:rsid w:val="008D30A8"/>
    <w:rsid w:val="008D32EC"/>
    <w:rsid w:val="008D332D"/>
    <w:rsid w:val="008D34CE"/>
    <w:rsid w:val="008D36BC"/>
    <w:rsid w:val="008D3C5F"/>
    <w:rsid w:val="008D3ED0"/>
    <w:rsid w:val="008D3F12"/>
    <w:rsid w:val="008D40EF"/>
    <w:rsid w:val="008D41CA"/>
    <w:rsid w:val="008D4680"/>
    <w:rsid w:val="008D4767"/>
    <w:rsid w:val="008D4DE3"/>
    <w:rsid w:val="008D5064"/>
    <w:rsid w:val="008D56B9"/>
    <w:rsid w:val="008D5C2C"/>
    <w:rsid w:val="008D6659"/>
    <w:rsid w:val="008D6D37"/>
    <w:rsid w:val="008D6E74"/>
    <w:rsid w:val="008D6E76"/>
    <w:rsid w:val="008D7AF7"/>
    <w:rsid w:val="008D7BB8"/>
    <w:rsid w:val="008E031F"/>
    <w:rsid w:val="008E0340"/>
    <w:rsid w:val="008E059F"/>
    <w:rsid w:val="008E0F95"/>
    <w:rsid w:val="008E12DF"/>
    <w:rsid w:val="008E1462"/>
    <w:rsid w:val="008E1791"/>
    <w:rsid w:val="008E1806"/>
    <w:rsid w:val="008E1D98"/>
    <w:rsid w:val="008E1DE0"/>
    <w:rsid w:val="008E1F4D"/>
    <w:rsid w:val="008E20AA"/>
    <w:rsid w:val="008E218B"/>
    <w:rsid w:val="008E2611"/>
    <w:rsid w:val="008E273B"/>
    <w:rsid w:val="008E29B1"/>
    <w:rsid w:val="008E2E51"/>
    <w:rsid w:val="008E3044"/>
    <w:rsid w:val="008E3203"/>
    <w:rsid w:val="008E32ED"/>
    <w:rsid w:val="008E374C"/>
    <w:rsid w:val="008E3812"/>
    <w:rsid w:val="008E3A05"/>
    <w:rsid w:val="008E3C6D"/>
    <w:rsid w:val="008E3DCB"/>
    <w:rsid w:val="008E3E21"/>
    <w:rsid w:val="008E3F3E"/>
    <w:rsid w:val="008E4394"/>
    <w:rsid w:val="008E452D"/>
    <w:rsid w:val="008E457A"/>
    <w:rsid w:val="008E48BC"/>
    <w:rsid w:val="008E4BD1"/>
    <w:rsid w:val="008E4D2B"/>
    <w:rsid w:val="008E5064"/>
    <w:rsid w:val="008E520E"/>
    <w:rsid w:val="008E5340"/>
    <w:rsid w:val="008E5392"/>
    <w:rsid w:val="008E53C6"/>
    <w:rsid w:val="008E56CF"/>
    <w:rsid w:val="008E5735"/>
    <w:rsid w:val="008E5A6D"/>
    <w:rsid w:val="008E5A7A"/>
    <w:rsid w:val="008E5E6C"/>
    <w:rsid w:val="008E669A"/>
    <w:rsid w:val="008E6702"/>
    <w:rsid w:val="008E6CBA"/>
    <w:rsid w:val="008E7267"/>
    <w:rsid w:val="008E72CC"/>
    <w:rsid w:val="008E73B7"/>
    <w:rsid w:val="008E76D6"/>
    <w:rsid w:val="008E79C3"/>
    <w:rsid w:val="008E7A5A"/>
    <w:rsid w:val="008E7E3E"/>
    <w:rsid w:val="008E7FB3"/>
    <w:rsid w:val="008E7FBC"/>
    <w:rsid w:val="008F04BA"/>
    <w:rsid w:val="008F05A2"/>
    <w:rsid w:val="008F0741"/>
    <w:rsid w:val="008F074A"/>
    <w:rsid w:val="008F09DE"/>
    <w:rsid w:val="008F0AC2"/>
    <w:rsid w:val="008F0C44"/>
    <w:rsid w:val="008F0EF1"/>
    <w:rsid w:val="008F0FCF"/>
    <w:rsid w:val="008F10C3"/>
    <w:rsid w:val="008F1452"/>
    <w:rsid w:val="008F17EB"/>
    <w:rsid w:val="008F19A2"/>
    <w:rsid w:val="008F1D8C"/>
    <w:rsid w:val="008F28E2"/>
    <w:rsid w:val="008F2E3E"/>
    <w:rsid w:val="008F302A"/>
    <w:rsid w:val="008F312E"/>
    <w:rsid w:val="008F3408"/>
    <w:rsid w:val="008F3530"/>
    <w:rsid w:val="008F36C9"/>
    <w:rsid w:val="008F387B"/>
    <w:rsid w:val="008F38D8"/>
    <w:rsid w:val="008F3B5E"/>
    <w:rsid w:val="008F3B9F"/>
    <w:rsid w:val="008F3DC8"/>
    <w:rsid w:val="008F3EEE"/>
    <w:rsid w:val="008F4211"/>
    <w:rsid w:val="008F44A1"/>
    <w:rsid w:val="008F45C6"/>
    <w:rsid w:val="008F45D4"/>
    <w:rsid w:val="008F4634"/>
    <w:rsid w:val="008F4A83"/>
    <w:rsid w:val="008F4BA5"/>
    <w:rsid w:val="008F526C"/>
    <w:rsid w:val="008F544D"/>
    <w:rsid w:val="008F54BA"/>
    <w:rsid w:val="008F54F3"/>
    <w:rsid w:val="008F55A5"/>
    <w:rsid w:val="008F5608"/>
    <w:rsid w:val="008F5691"/>
    <w:rsid w:val="008F5915"/>
    <w:rsid w:val="008F5BEE"/>
    <w:rsid w:val="008F5CE3"/>
    <w:rsid w:val="008F5F4F"/>
    <w:rsid w:val="008F5FB4"/>
    <w:rsid w:val="008F6211"/>
    <w:rsid w:val="008F630C"/>
    <w:rsid w:val="008F66BB"/>
    <w:rsid w:val="008F67C0"/>
    <w:rsid w:val="008F695B"/>
    <w:rsid w:val="008F6A37"/>
    <w:rsid w:val="008F6ADC"/>
    <w:rsid w:val="008F6EC6"/>
    <w:rsid w:val="008F76F9"/>
    <w:rsid w:val="008F7BB9"/>
    <w:rsid w:val="00900089"/>
    <w:rsid w:val="0090015D"/>
    <w:rsid w:val="0090040D"/>
    <w:rsid w:val="00900479"/>
    <w:rsid w:val="00900C71"/>
    <w:rsid w:val="009014B2"/>
    <w:rsid w:val="00901526"/>
    <w:rsid w:val="00901B62"/>
    <w:rsid w:val="00901E0E"/>
    <w:rsid w:val="00901EEA"/>
    <w:rsid w:val="0090205A"/>
    <w:rsid w:val="0090219F"/>
    <w:rsid w:val="009021E3"/>
    <w:rsid w:val="0090223B"/>
    <w:rsid w:val="00902319"/>
    <w:rsid w:val="0090231C"/>
    <w:rsid w:val="009023A2"/>
    <w:rsid w:val="009023EA"/>
    <w:rsid w:val="00902435"/>
    <w:rsid w:val="00902D9A"/>
    <w:rsid w:val="00902EB0"/>
    <w:rsid w:val="009032CD"/>
    <w:rsid w:val="00903379"/>
    <w:rsid w:val="009039EA"/>
    <w:rsid w:val="00903AA0"/>
    <w:rsid w:val="00903B1E"/>
    <w:rsid w:val="00903C4C"/>
    <w:rsid w:val="00903C76"/>
    <w:rsid w:val="00904018"/>
    <w:rsid w:val="0090429A"/>
    <w:rsid w:val="00904313"/>
    <w:rsid w:val="0090435A"/>
    <w:rsid w:val="009043B1"/>
    <w:rsid w:val="00904452"/>
    <w:rsid w:val="00904627"/>
    <w:rsid w:val="00904695"/>
    <w:rsid w:val="009048F3"/>
    <w:rsid w:val="00904EBC"/>
    <w:rsid w:val="00904FC4"/>
    <w:rsid w:val="0090530D"/>
    <w:rsid w:val="00905782"/>
    <w:rsid w:val="0090583A"/>
    <w:rsid w:val="00905A53"/>
    <w:rsid w:val="00905B37"/>
    <w:rsid w:val="00905C60"/>
    <w:rsid w:val="00905ED9"/>
    <w:rsid w:val="00906188"/>
    <w:rsid w:val="009062C7"/>
    <w:rsid w:val="0090639F"/>
    <w:rsid w:val="009067A1"/>
    <w:rsid w:val="009069AA"/>
    <w:rsid w:val="00906B3D"/>
    <w:rsid w:val="00906B6A"/>
    <w:rsid w:val="00906BB5"/>
    <w:rsid w:val="00906FC5"/>
    <w:rsid w:val="009070E9"/>
    <w:rsid w:val="00907217"/>
    <w:rsid w:val="009074D0"/>
    <w:rsid w:val="00907607"/>
    <w:rsid w:val="0090766B"/>
    <w:rsid w:val="009076A5"/>
    <w:rsid w:val="009076C2"/>
    <w:rsid w:val="00907A01"/>
    <w:rsid w:val="0091007D"/>
    <w:rsid w:val="009101B7"/>
    <w:rsid w:val="00910376"/>
    <w:rsid w:val="009106A6"/>
    <w:rsid w:val="0091094F"/>
    <w:rsid w:val="00910A41"/>
    <w:rsid w:val="00910A56"/>
    <w:rsid w:val="00910AAF"/>
    <w:rsid w:val="0091135F"/>
    <w:rsid w:val="0091147C"/>
    <w:rsid w:val="009117A7"/>
    <w:rsid w:val="009118AF"/>
    <w:rsid w:val="009118B1"/>
    <w:rsid w:val="00911B63"/>
    <w:rsid w:val="00911C6E"/>
    <w:rsid w:val="00911FBB"/>
    <w:rsid w:val="00911FBC"/>
    <w:rsid w:val="009122F1"/>
    <w:rsid w:val="009124A2"/>
    <w:rsid w:val="009125C1"/>
    <w:rsid w:val="009127C1"/>
    <w:rsid w:val="009128CB"/>
    <w:rsid w:val="00912B5A"/>
    <w:rsid w:val="00912C40"/>
    <w:rsid w:val="009132B0"/>
    <w:rsid w:val="009132F4"/>
    <w:rsid w:val="0091351A"/>
    <w:rsid w:val="00913850"/>
    <w:rsid w:val="00913862"/>
    <w:rsid w:val="00913AB3"/>
    <w:rsid w:val="00913C0C"/>
    <w:rsid w:val="009140FC"/>
    <w:rsid w:val="00914279"/>
    <w:rsid w:val="009144F7"/>
    <w:rsid w:val="00914522"/>
    <w:rsid w:val="00914B7C"/>
    <w:rsid w:val="00914FA5"/>
    <w:rsid w:val="00915138"/>
    <w:rsid w:val="00915D5E"/>
    <w:rsid w:val="00915F87"/>
    <w:rsid w:val="00916075"/>
    <w:rsid w:val="009161E6"/>
    <w:rsid w:val="00916290"/>
    <w:rsid w:val="00916505"/>
    <w:rsid w:val="00916535"/>
    <w:rsid w:val="0091669D"/>
    <w:rsid w:val="0091680D"/>
    <w:rsid w:val="009169E1"/>
    <w:rsid w:val="00916A8D"/>
    <w:rsid w:val="00916BCD"/>
    <w:rsid w:val="00916CF6"/>
    <w:rsid w:val="00916EFC"/>
    <w:rsid w:val="00916F29"/>
    <w:rsid w:val="00917045"/>
    <w:rsid w:val="00917192"/>
    <w:rsid w:val="0091754D"/>
    <w:rsid w:val="009175A2"/>
    <w:rsid w:val="009179A8"/>
    <w:rsid w:val="009179DA"/>
    <w:rsid w:val="00920045"/>
    <w:rsid w:val="00920225"/>
    <w:rsid w:val="00920605"/>
    <w:rsid w:val="00920731"/>
    <w:rsid w:val="00920845"/>
    <w:rsid w:val="009209ED"/>
    <w:rsid w:val="00920D4C"/>
    <w:rsid w:val="00920FB1"/>
    <w:rsid w:val="009210D1"/>
    <w:rsid w:val="00921182"/>
    <w:rsid w:val="009215B9"/>
    <w:rsid w:val="00921868"/>
    <w:rsid w:val="00921AFF"/>
    <w:rsid w:val="00921E7A"/>
    <w:rsid w:val="00922344"/>
    <w:rsid w:val="00922379"/>
    <w:rsid w:val="00922A4B"/>
    <w:rsid w:val="00922AE6"/>
    <w:rsid w:val="00922D12"/>
    <w:rsid w:val="00922EB9"/>
    <w:rsid w:val="0092314D"/>
    <w:rsid w:val="009232A8"/>
    <w:rsid w:val="009232FC"/>
    <w:rsid w:val="009233CD"/>
    <w:rsid w:val="0092352F"/>
    <w:rsid w:val="0092355F"/>
    <w:rsid w:val="00923661"/>
    <w:rsid w:val="009237C6"/>
    <w:rsid w:val="009238DD"/>
    <w:rsid w:val="00923D37"/>
    <w:rsid w:val="00924154"/>
    <w:rsid w:val="009244C7"/>
    <w:rsid w:val="009247EE"/>
    <w:rsid w:val="00924C7D"/>
    <w:rsid w:val="00924D2C"/>
    <w:rsid w:val="00924D83"/>
    <w:rsid w:val="00924F1A"/>
    <w:rsid w:val="00925B8F"/>
    <w:rsid w:val="00925BA5"/>
    <w:rsid w:val="00925DFD"/>
    <w:rsid w:val="00925F47"/>
    <w:rsid w:val="00926A69"/>
    <w:rsid w:val="00926C03"/>
    <w:rsid w:val="009278EA"/>
    <w:rsid w:val="0092799E"/>
    <w:rsid w:val="00927B36"/>
    <w:rsid w:val="00927BB8"/>
    <w:rsid w:val="00927C55"/>
    <w:rsid w:val="00927C72"/>
    <w:rsid w:val="00927F42"/>
    <w:rsid w:val="009300EA"/>
    <w:rsid w:val="00930137"/>
    <w:rsid w:val="00930266"/>
    <w:rsid w:val="0093041F"/>
    <w:rsid w:val="009304BD"/>
    <w:rsid w:val="009304FD"/>
    <w:rsid w:val="00930AEF"/>
    <w:rsid w:val="00930C1B"/>
    <w:rsid w:val="00930EA3"/>
    <w:rsid w:val="00930FAC"/>
    <w:rsid w:val="0093119D"/>
    <w:rsid w:val="009311E2"/>
    <w:rsid w:val="00931521"/>
    <w:rsid w:val="00931574"/>
    <w:rsid w:val="009315F4"/>
    <w:rsid w:val="0093164F"/>
    <w:rsid w:val="009316E7"/>
    <w:rsid w:val="00931A71"/>
    <w:rsid w:val="00931B02"/>
    <w:rsid w:val="00931C33"/>
    <w:rsid w:val="00931CA7"/>
    <w:rsid w:val="00931D36"/>
    <w:rsid w:val="00931F5E"/>
    <w:rsid w:val="00931F94"/>
    <w:rsid w:val="00932131"/>
    <w:rsid w:val="00932132"/>
    <w:rsid w:val="009323BE"/>
    <w:rsid w:val="0093272F"/>
    <w:rsid w:val="00932734"/>
    <w:rsid w:val="0093288A"/>
    <w:rsid w:val="00932A31"/>
    <w:rsid w:val="00932B86"/>
    <w:rsid w:val="00932BC1"/>
    <w:rsid w:val="00932D12"/>
    <w:rsid w:val="00932DB9"/>
    <w:rsid w:val="00932FD5"/>
    <w:rsid w:val="009330F7"/>
    <w:rsid w:val="00933146"/>
    <w:rsid w:val="009334D8"/>
    <w:rsid w:val="00933693"/>
    <w:rsid w:val="009345E7"/>
    <w:rsid w:val="00934847"/>
    <w:rsid w:val="00934935"/>
    <w:rsid w:val="009349B7"/>
    <w:rsid w:val="00934ABD"/>
    <w:rsid w:val="00934D8E"/>
    <w:rsid w:val="00934F41"/>
    <w:rsid w:val="0093529C"/>
    <w:rsid w:val="00935359"/>
    <w:rsid w:val="009357E8"/>
    <w:rsid w:val="00935C3F"/>
    <w:rsid w:val="00935C5A"/>
    <w:rsid w:val="00935E84"/>
    <w:rsid w:val="009362DB"/>
    <w:rsid w:val="009365BB"/>
    <w:rsid w:val="009366AB"/>
    <w:rsid w:val="009366BF"/>
    <w:rsid w:val="00936B4D"/>
    <w:rsid w:val="00937097"/>
    <w:rsid w:val="00937485"/>
    <w:rsid w:val="0093763D"/>
    <w:rsid w:val="00937A78"/>
    <w:rsid w:val="00937B06"/>
    <w:rsid w:val="00937C34"/>
    <w:rsid w:val="00937EB1"/>
    <w:rsid w:val="00937EC2"/>
    <w:rsid w:val="00940541"/>
    <w:rsid w:val="009405C2"/>
    <w:rsid w:val="00940677"/>
    <w:rsid w:val="00940A29"/>
    <w:rsid w:val="00940D08"/>
    <w:rsid w:val="00940D65"/>
    <w:rsid w:val="0094110B"/>
    <w:rsid w:val="00941190"/>
    <w:rsid w:val="00941A8C"/>
    <w:rsid w:val="00941DE9"/>
    <w:rsid w:val="0094232D"/>
    <w:rsid w:val="0094260F"/>
    <w:rsid w:val="00942B0A"/>
    <w:rsid w:val="00942C20"/>
    <w:rsid w:val="00942C4B"/>
    <w:rsid w:val="00942CDB"/>
    <w:rsid w:val="00942D65"/>
    <w:rsid w:val="0094302E"/>
    <w:rsid w:val="00943103"/>
    <w:rsid w:val="00943501"/>
    <w:rsid w:val="009436A1"/>
    <w:rsid w:val="00943CBC"/>
    <w:rsid w:val="00943D5D"/>
    <w:rsid w:val="00943E5E"/>
    <w:rsid w:val="00943FC0"/>
    <w:rsid w:val="0094416B"/>
    <w:rsid w:val="00944262"/>
    <w:rsid w:val="0094443A"/>
    <w:rsid w:val="009444CB"/>
    <w:rsid w:val="00944685"/>
    <w:rsid w:val="00944702"/>
    <w:rsid w:val="0094470D"/>
    <w:rsid w:val="009448E6"/>
    <w:rsid w:val="00944CE5"/>
    <w:rsid w:val="00945074"/>
    <w:rsid w:val="0094528E"/>
    <w:rsid w:val="009456C8"/>
    <w:rsid w:val="00945827"/>
    <w:rsid w:val="009458CF"/>
    <w:rsid w:val="00945D1A"/>
    <w:rsid w:val="00945E8A"/>
    <w:rsid w:val="00946247"/>
    <w:rsid w:val="0094624B"/>
    <w:rsid w:val="009462FC"/>
    <w:rsid w:val="00946561"/>
    <w:rsid w:val="00946660"/>
    <w:rsid w:val="0094695D"/>
    <w:rsid w:val="00946BB8"/>
    <w:rsid w:val="00946C4E"/>
    <w:rsid w:val="00946E47"/>
    <w:rsid w:val="00946FFE"/>
    <w:rsid w:val="00947034"/>
    <w:rsid w:val="00947491"/>
    <w:rsid w:val="0094754F"/>
    <w:rsid w:val="009477C0"/>
    <w:rsid w:val="00947844"/>
    <w:rsid w:val="00947CDC"/>
    <w:rsid w:val="00950225"/>
    <w:rsid w:val="0095065B"/>
    <w:rsid w:val="00950666"/>
    <w:rsid w:val="00950824"/>
    <w:rsid w:val="009512B9"/>
    <w:rsid w:val="009512BD"/>
    <w:rsid w:val="009512CE"/>
    <w:rsid w:val="009513B6"/>
    <w:rsid w:val="00951689"/>
    <w:rsid w:val="00951EC8"/>
    <w:rsid w:val="00952031"/>
    <w:rsid w:val="009522BD"/>
    <w:rsid w:val="0095253B"/>
    <w:rsid w:val="00952979"/>
    <w:rsid w:val="009529E7"/>
    <w:rsid w:val="009529F4"/>
    <w:rsid w:val="00952ACE"/>
    <w:rsid w:val="00952DBC"/>
    <w:rsid w:val="00952EA2"/>
    <w:rsid w:val="00952EC3"/>
    <w:rsid w:val="009530CE"/>
    <w:rsid w:val="009532BF"/>
    <w:rsid w:val="009532F1"/>
    <w:rsid w:val="009534B1"/>
    <w:rsid w:val="00953680"/>
    <w:rsid w:val="00953942"/>
    <w:rsid w:val="009539BC"/>
    <w:rsid w:val="00953AA8"/>
    <w:rsid w:val="00953EE4"/>
    <w:rsid w:val="009541E8"/>
    <w:rsid w:val="0095426A"/>
    <w:rsid w:val="00954338"/>
    <w:rsid w:val="009544BE"/>
    <w:rsid w:val="009547A1"/>
    <w:rsid w:val="009548D2"/>
    <w:rsid w:val="009549C1"/>
    <w:rsid w:val="00954B9C"/>
    <w:rsid w:val="00954CD3"/>
    <w:rsid w:val="00954EBA"/>
    <w:rsid w:val="009551CD"/>
    <w:rsid w:val="009551D9"/>
    <w:rsid w:val="009557BF"/>
    <w:rsid w:val="009558E6"/>
    <w:rsid w:val="009558FC"/>
    <w:rsid w:val="00955938"/>
    <w:rsid w:val="00955C21"/>
    <w:rsid w:val="00955D5A"/>
    <w:rsid w:val="009562F3"/>
    <w:rsid w:val="0095649A"/>
    <w:rsid w:val="009567C6"/>
    <w:rsid w:val="0095692A"/>
    <w:rsid w:val="0095693C"/>
    <w:rsid w:val="0095696D"/>
    <w:rsid w:val="00956A3C"/>
    <w:rsid w:val="00956A8F"/>
    <w:rsid w:val="00956D99"/>
    <w:rsid w:val="009574D9"/>
    <w:rsid w:val="00957526"/>
    <w:rsid w:val="00957594"/>
    <w:rsid w:val="009576E7"/>
    <w:rsid w:val="00957BDB"/>
    <w:rsid w:val="00957CF1"/>
    <w:rsid w:val="00957E1A"/>
    <w:rsid w:val="0096002F"/>
    <w:rsid w:val="00960185"/>
    <w:rsid w:val="0096036E"/>
    <w:rsid w:val="009606A5"/>
    <w:rsid w:val="00960CBF"/>
    <w:rsid w:val="00960D79"/>
    <w:rsid w:val="00961157"/>
    <w:rsid w:val="00961353"/>
    <w:rsid w:val="009613E0"/>
    <w:rsid w:val="0096144E"/>
    <w:rsid w:val="0096190E"/>
    <w:rsid w:val="00961DE9"/>
    <w:rsid w:val="0096200B"/>
    <w:rsid w:val="009623D9"/>
    <w:rsid w:val="009624A0"/>
    <w:rsid w:val="00962589"/>
    <w:rsid w:val="00962B53"/>
    <w:rsid w:val="00962BD9"/>
    <w:rsid w:val="00962CCF"/>
    <w:rsid w:val="00962EE7"/>
    <w:rsid w:val="00962F5F"/>
    <w:rsid w:val="00963125"/>
    <w:rsid w:val="009631B7"/>
    <w:rsid w:val="0096344B"/>
    <w:rsid w:val="00963B57"/>
    <w:rsid w:val="00963CFF"/>
    <w:rsid w:val="00963D49"/>
    <w:rsid w:val="00963F28"/>
    <w:rsid w:val="00964253"/>
    <w:rsid w:val="00964320"/>
    <w:rsid w:val="009645BD"/>
    <w:rsid w:val="00964821"/>
    <w:rsid w:val="00964EE7"/>
    <w:rsid w:val="00964FE4"/>
    <w:rsid w:val="009652DA"/>
    <w:rsid w:val="00965576"/>
    <w:rsid w:val="0096590D"/>
    <w:rsid w:val="00965C54"/>
    <w:rsid w:val="00965EB8"/>
    <w:rsid w:val="009662D6"/>
    <w:rsid w:val="009663C0"/>
    <w:rsid w:val="0096669B"/>
    <w:rsid w:val="009666A3"/>
    <w:rsid w:val="009667B4"/>
    <w:rsid w:val="0096685E"/>
    <w:rsid w:val="009669AD"/>
    <w:rsid w:val="00966F39"/>
    <w:rsid w:val="0096728A"/>
    <w:rsid w:val="0096749C"/>
    <w:rsid w:val="009674F1"/>
    <w:rsid w:val="009676AE"/>
    <w:rsid w:val="00967736"/>
    <w:rsid w:val="009679C1"/>
    <w:rsid w:val="009679D9"/>
    <w:rsid w:val="00967B1C"/>
    <w:rsid w:val="00967D92"/>
    <w:rsid w:val="00967D98"/>
    <w:rsid w:val="00967E41"/>
    <w:rsid w:val="009700CC"/>
    <w:rsid w:val="0097025E"/>
    <w:rsid w:val="00970561"/>
    <w:rsid w:val="0097084D"/>
    <w:rsid w:val="009708EC"/>
    <w:rsid w:val="00970B01"/>
    <w:rsid w:val="00970E64"/>
    <w:rsid w:val="0097119B"/>
    <w:rsid w:val="00971324"/>
    <w:rsid w:val="00971327"/>
    <w:rsid w:val="00971402"/>
    <w:rsid w:val="00971575"/>
    <w:rsid w:val="009717A4"/>
    <w:rsid w:val="009717B5"/>
    <w:rsid w:val="00971895"/>
    <w:rsid w:val="00971B35"/>
    <w:rsid w:val="00971B48"/>
    <w:rsid w:val="00971B8E"/>
    <w:rsid w:val="00971C94"/>
    <w:rsid w:val="00971F04"/>
    <w:rsid w:val="00972071"/>
    <w:rsid w:val="0097237D"/>
    <w:rsid w:val="009723A4"/>
    <w:rsid w:val="00972B1F"/>
    <w:rsid w:val="00972B44"/>
    <w:rsid w:val="00972E0A"/>
    <w:rsid w:val="00972ECF"/>
    <w:rsid w:val="00973068"/>
    <w:rsid w:val="009735F7"/>
    <w:rsid w:val="009739B4"/>
    <w:rsid w:val="00973D78"/>
    <w:rsid w:val="00974455"/>
    <w:rsid w:val="00974AB3"/>
    <w:rsid w:val="00974B56"/>
    <w:rsid w:val="00974C73"/>
    <w:rsid w:val="00974E1C"/>
    <w:rsid w:val="00974F4F"/>
    <w:rsid w:val="009752CA"/>
    <w:rsid w:val="00975389"/>
    <w:rsid w:val="009753B9"/>
    <w:rsid w:val="009758E8"/>
    <w:rsid w:val="0097592B"/>
    <w:rsid w:val="00975A3E"/>
    <w:rsid w:val="009761DE"/>
    <w:rsid w:val="00976D11"/>
    <w:rsid w:val="009770E0"/>
    <w:rsid w:val="0097718F"/>
    <w:rsid w:val="009773CD"/>
    <w:rsid w:val="009774EA"/>
    <w:rsid w:val="0097756B"/>
    <w:rsid w:val="009776C6"/>
    <w:rsid w:val="0097772F"/>
    <w:rsid w:val="00977802"/>
    <w:rsid w:val="00977B93"/>
    <w:rsid w:val="00977D6F"/>
    <w:rsid w:val="00977EB6"/>
    <w:rsid w:val="009800E1"/>
    <w:rsid w:val="00980115"/>
    <w:rsid w:val="00980434"/>
    <w:rsid w:val="00980462"/>
    <w:rsid w:val="0098056C"/>
    <w:rsid w:val="00980574"/>
    <w:rsid w:val="00980C5D"/>
    <w:rsid w:val="00980D2D"/>
    <w:rsid w:val="00980D2F"/>
    <w:rsid w:val="00980F25"/>
    <w:rsid w:val="00980FA3"/>
    <w:rsid w:val="00981101"/>
    <w:rsid w:val="0098119D"/>
    <w:rsid w:val="009813C4"/>
    <w:rsid w:val="009816B7"/>
    <w:rsid w:val="00981A1E"/>
    <w:rsid w:val="00981B4E"/>
    <w:rsid w:val="00981C0F"/>
    <w:rsid w:val="00981D5E"/>
    <w:rsid w:val="00981DB6"/>
    <w:rsid w:val="00981DF2"/>
    <w:rsid w:val="00981E73"/>
    <w:rsid w:val="00981F6A"/>
    <w:rsid w:val="00981F92"/>
    <w:rsid w:val="0098220B"/>
    <w:rsid w:val="00982236"/>
    <w:rsid w:val="009823CC"/>
    <w:rsid w:val="00982D37"/>
    <w:rsid w:val="00982E20"/>
    <w:rsid w:val="00983079"/>
    <w:rsid w:val="0098312B"/>
    <w:rsid w:val="00983164"/>
    <w:rsid w:val="009832B8"/>
    <w:rsid w:val="009835F9"/>
    <w:rsid w:val="00983A62"/>
    <w:rsid w:val="00983B42"/>
    <w:rsid w:val="00984027"/>
    <w:rsid w:val="009841EB"/>
    <w:rsid w:val="0098424D"/>
    <w:rsid w:val="0098438B"/>
    <w:rsid w:val="009848BC"/>
    <w:rsid w:val="00984CBD"/>
    <w:rsid w:val="00984CCB"/>
    <w:rsid w:val="00984E19"/>
    <w:rsid w:val="0098526F"/>
    <w:rsid w:val="009852FE"/>
    <w:rsid w:val="009854B5"/>
    <w:rsid w:val="00985A98"/>
    <w:rsid w:val="00985B11"/>
    <w:rsid w:val="00985D39"/>
    <w:rsid w:val="00985D69"/>
    <w:rsid w:val="009860F1"/>
    <w:rsid w:val="009862EC"/>
    <w:rsid w:val="0098639D"/>
    <w:rsid w:val="0098652B"/>
    <w:rsid w:val="00986BAE"/>
    <w:rsid w:val="00986C43"/>
    <w:rsid w:val="00986EF3"/>
    <w:rsid w:val="00986F1B"/>
    <w:rsid w:val="00986FFA"/>
    <w:rsid w:val="00987292"/>
    <w:rsid w:val="0098731A"/>
    <w:rsid w:val="009874EA"/>
    <w:rsid w:val="00987535"/>
    <w:rsid w:val="0098757B"/>
    <w:rsid w:val="009879C1"/>
    <w:rsid w:val="00987EDE"/>
    <w:rsid w:val="009901A4"/>
    <w:rsid w:val="009904FB"/>
    <w:rsid w:val="009907B1"/>
    <w:rsid w:val="009908E7"/>
    <w:rsid w:val="00990B0C"/>
    <w:rsid w:val="00991557"/>
    <w:rsid w:val="00991760"/>
    <w:rsid w:val="00991820"/>
    <w:rsid w:val="00991C4E"/>
    <w:rsid w:val="00992066"/>
    <w:rsid w:val="00992077"/>
    <w:rsid w:val="00992444"/>
    <w:rsid w:val="00992898"/>
    <w:rsid w:val="00992A80"/>
    <w:rsid w:val="00992CFB"/>
    <w:rsid w:val="009933B7"/>
    <w:rsid w:val="0099385E"/>
    <w:rsid w:val="00993981"/>
    <w:rsid w:val="0099399A"/>
    <w:rsid w:val="00993BE1"/>
    <w:rsid w:val="00993E0E"/>
    <w:rsid w:val="00993F30"/>
    <w:rsid w:val="00994028"/>
    <w:rsid w:val="00994063"/>
    <w:rsid w:val="00994477"/>
    <w:rsid w:val="00994869"/>
    <w:rsid w:val="0099491B"/>
    <w:rsid w:val="0099509F"/>
    <w:rsid w:val="00995335"/>
    <w:rsid w:val="00995342"/>
    <w:rsid w:val="00995568"/>
    <w:rsid w:val="00995854"/>
    <w:rsid w:val="0099587B"/>
    <w:rsid w:val="00995B16"/>
    <w:rsid w:val="00995CE5"/>
    <w:rsid w:val="009964B6"/>
    <w:rsid w:val="009964E1"/>
    <w:rsid w:val="0099657A"/>
    <w:rsid w:val="00996A19"/>
    <w:rsid w:val="00996CC2"/>
    <w:rsid w:val="00996E1B"/>
    <w:rsid w:val="009971DB"/>
    <w:rsid w:val="00997245"/>
    <w:rsid w:val="009977AF"/>
    <w:rsid w:val="00997826"/>
    <w:rsid w:val="009979AE"/>
    <w:rsid w:val="00997B5C"/>
    <w:rsid w:val="00997B98"/>
    <w:rsid w:val="00997BF6"/>
    <w:rsid w:val="00997ECA"/>
    <w:rsid w:val="00997F69"/>
    <w:rsid w:val="00997F88"/>
    <w:rsid w:val="009A004B"/>
    <w:rsid w:val="009A0588"/>
    <w:rsid w:val="009A06CF"/>
    <w:rsid w:val="009A0734"/>
    <w:rsid w:val="009A08FD"/>
    <w:rsid w:val="009A09A0"/>
    <w:rsid w:val="009A0A9F"/>
    <w:rsid w:val="009A0BB2"/>
    <w:rsid w:val="009A0C69"/>
    <w:rsid w:val="009A0F9F"/>
    <w:rsid w:val="009A130A"/>
    <w:rsid w:val="009A1324"/>
    <w:rsid w:val="009A1348"/>
    <w:rsid w:val="009A14B5"/>
    <w:rsid w:val="009A1541"/>
    <w:rsid w:val="009A15DD"/>
    <w:rsid w:val="009A1F26"/>
    <w:rsid w:val="009A1FCE"/>
    <w:rsid w:val="009A221C"/>
    <w:rsid w:val="009A25DA"/>
    <w:rsid w:val="009A26EA"/>
    <w:rsid w:val="009A2701"/>
    <w:rsid w:val="009A270B"/>
    <w:rsid w:val="009A2783"/>
    <w:rsid w:val="009A283C"/>
    <w:rsid w:val="009A2C8A"/>
    <w:rsid w:val="009A325B"/>
    <w:rsid w:val="009A3300"/>
    <w:rsid w:val="009A3975"/>
    <w:rsid w:val="009A3A3C"/>
    <w:rsid w:val="009A3B2E"/>
    <w:rsid w:val="009A3C89"/>
    <w:rsid w:val="009A3E52"/>
    <w:rsid w:val="009A405E"/>
    <w:rsid w:val="009A4297"/>
    <w:rsid w:val="009A4738"/>
    <w:rsid w:val="009A487C"/>
    <w:rsid w:val="009A4909"/>
    <w:rsid w:val="009A4945"/>
    <w:rsid w:val="009A4C0A"/>
    <w:rsid w:val="009A4C37"/>
    <w:rsid w:val="009A4DB0"/>
    <w:rsid w:val="009A51AD"/>
    <w:rsid w:val="009A5956"/>
    <w:rsid w:val="009A5B03"/>
    <w:rsid w:val="009A5C7A"/>
    <w:rsid w:val="009A5CCE"/>
    <w:rsid w:val="009A62B6"/>
    <w:rsid w:val="009A64E1"/>
    <w:rsid w:val="009A6679"/>
    <w:rsid w:val="009A6B20"/>
    <w:rsid w:val="009A7008"/>
    <w:rsid w:val="009A7155"/>
    <w:rsid w:val="009A7484"/>
    <w:rsid w:val="009A789D"/>
    <w:rsid w:val="009A7A66"/>
    <w:rsid w:val="009A7B4D"/>
    <w:rsid w:val="009A7B76"/>
    <w:rsid w:val="009A7C4C"/>
    <w:rsid w:val="009A7E39"/>
    <w:rsid w:val="009B0097"/>
    <w:rsid w:val="009B0393"/>
    <w:rsid w:val="009B0576"/>
    <w:rsid w:val="009B067D"/>
    <w:rsid w:val="009B09BA"/>
    <w:rsid w:val="009B0DCA"/>
    <w:rsid w:val="009B0E10"/>
    <w:rsid w:val="009B0FBB"/>
    <w:rsid w:val="009B100D"/>
    <w:rsid w:val="009B14AF"/>
    <w:rsid w:val="009B15F5"/>
    <w:rsid w:val="009B16EE"/>
    <w:rsid w:val="009B1A4A"/>
    <w:rsid w:val="009B1DFB"/>
    <w:rsid w:val="009B21C6"/>
    <w:rsid w:val="009B2262"/>
    <w:rsid w:val="009B259F"/>
    <w:rsid w:val="009B2809"/>
    <w:rsid w:val="009B28A6"/>
    <w:rsid w:val="009B2A92"/>
    <w:rsid w:val="009B2BF5"/>
    <w:rsid w:val="009B319B"/>
    <w:rsid w:val="009B349A"/>
    <w:rsid w:val="009B36FC"/>
    <w:rsid w:val="009B375A"/>
    <w:rsid w:val="009B388D"/>
    <w:rsid w:val="009B3E2D"/>
    <w:rsid w:val="009B3F0A"/>
    <w:rsid w:val="009B3F64"/>
    <w:rsid w:val="009B4057"/>
    <w:rsid w:val="009B415B"/>
    <w:rsid w:val="009B418A"/>
    <w:rsid w:val="009B4913"/>
    <w:rsid w:val="009B499E"/>
    <w:rsid w:val="009B4A1B"/>
    <w:rsid w:val="009B4A3B"/>
    <w:rsid w:val="009B4B78"/>
    <w:rsid w:val="009B5029"/>
    <w:rsid w:val="009B57D0"/>
    <w:rsid w:val="009B5A02"/>
    <w:rsid w:val="009B5B04"/>
    <w:rsid w:val="009B5B7C"/>
    <w:rsid w:val="009B5D0A"/>
    <w:rsid w:val="009B64B2"/>
    <w:rsid w:val="009B6507"/>
    <w:rsid w:val="009B6557"/>
    <w:rsid w:val="009B68AC"/>
    <w:rsid w:val="009B69B3"/>
    <w:rsid w:val="009B75E5"/>
    <w:rsid w:val="009B790D"/>
    <w:rsid w:val="009B7C73"/>
    <w:rsid w:val="009C0394"/>
    <w:rsid w:val="009C06B2"/>
    <w:rsid w:val="009C06F6"/>
    <w:rsid w:val="009C08B2"/>
    <w:rsid w:val="009C0BC5"/>
    <w:rsid w:val="009C0D67"/>
    <w:rsid w:val="009C0E9E"/>
    <w:rsid w:val="009C1074"/>
    <w:rsid w:val="009C12C0"/>
    <w:rsid w:val="009C1692"/>
    <w:rsid w:val="009C1856"/>
    <w:rsid w:val="009C1B60"/>
    <w:rsid w:val="009C1C6F"/>
    <w:rsid w:val="009C1CF4"/>
    <w:rsid w:val="009C1F39"/>
    <w:rsid w:val="009C2353"/>
    <w:rsid w:val="009C253C"/>
    <w:rsid w:val="009C2566"/>
    <w:rsid w:val="009C26B1"/>
    <w:rsid w:val="009C2760"/>
    <w:rsid w:val="009C2973"/>
    <w:rsid w:val="009C2A15"/>
    <w:rsid w:val="009C2C0A"/>
    <w:rsid w:val="009C2FA0"/>
    <w:rsid w:val="009C2FC2"/>
    <w:rsid w:val="009C37F0"/>
    <w:rsid w:val="009C3B3C"/>
    <w:rsid w:val="009C3C71"/>
    <w:rsid w:val="009C3C85"/>
    <w:rsid w:val="009C3D7B"/>
    <w:rsid w:val="009C3E45"/>
    <w:rsid w:val="009C4291"/>
    <w:rsid w:val="009C4816"/>
    <w:rsid w:val="009C503D"/>
    <w:rsid w:val="009C5121"/>
    <w:rsid w:val="009C524D"/>
    <w:rsid w:val="009C525A"/>
    <w:rsid w:val="009C5470"/>
    <w:rsid w:val="009C567E"/>
    <w:rsid w:val="009C56F9"/>
    <w:rsid w:val="009C5AD8"/>
    <w:rsid w:val="009C5B1F"/>
    <w:rsid w:val="009C5C2D"/>
    <w:rsid w:val="009C5CFF"/>
    <w:rsid w:val="009C5FB9"/>
    <w:rsid w:val="009C6055"/>
    <w:rsid w:val="009C6160"/>
    <w:rsid w:val="009C639B"/>
    <w:rsid w:val="009C63A9"/>
    <w:rsid w:val="009C654F"/>
    <w:rsid w:val="009C6743"/>
    <w:rsid w:val="009C6D91"/>
    <w:rsid w:val="009C6E1C"/>
    <w:rsid w:val="009C7252"/>
    <w:rsid w:val="009C72B6"/>
    <w:rsid w:val="009C7576"/>
    <w:rsid w:val="009C7DD4"/>
    <w:rsid w:val="009C7E1B"/>
    <w:rsid w:val="009C7F6C"/>
    <w:rsid w:val="009D0079"/>
    <w:rsid w:val="009D0309"/>
    <w:rsid w:val="009D044D"/>
    <w:rsid w:val="009D05BC"/>
    <w:rsid w:val="009D0780"/>
    <w:rsid w:val="009D07FC"/>
    <w:rsid w:val="009D0F62"/>
    <w:rsid w:val="009D11AD"/>
    <w:rsid w:val="009D1228"/>
    <w:rsid w:val="009D1397"/>
    <w:rsid w:val="009D14D8"/>
    <w:rsid w:val="009D1711"/>
    <w:rsid w:val="009D193C"/>
    <w:rsid w:val="009D1B58"/>
    <w:rsid w:val="009D1DBD"/>
    <w:rsid w:val="009D21AA"/>
    <w:rsid w:val="009D242C"/>
    <w:rsid w:val="009D2A71"/>
    <w:rsid w:val="009D2A96"/>
    <w:rsid w:val="009D2CD6"/>
    <w:rsid w:val="009D30FA"/>
    <w:rsid w:val="009D328E"/>
    <w:rsid w:val="009D379C"/>
    <w:rsid w:val="009D3B10"/>
    <w:rsid w:val="009D3CDF"/>
    <w:rsid w:val="009D3D62"/>
    <w:rsid w:val="009D3FE1"/>
    <w:rsid w:val="009D40AA"/>
    <w:rsid w:val="009D4275"/>
    <w:rsid w:val="009D4487"/>
    <w:rsid w:val="009D4916"/>
    <w:rsid w:val="009D4C5B"/>
    <w:rsid w:val="009D4E2E"/>
    <w:rsid w:val="009D4FA0"/>
    <w:rsid w:val="009D58B8"/>
    <w:rsid w:val="009D5B3D"/>
    <w:rsid w:val="009D67C8"/>
    <w:rsid w:val="009D67EC"/>
    <w:rsid w:val="009D6AF9"/>
    <w:rsid w:val="009D6B75"/>
    <w:rsid w:val="009D6C89"/>
    <w:rsid w:val="009D6FF8"/>
    <w:rsid w:val="009D78A8"/>
    <w:rsid w:val="009D7971"/>
    <w:rsid w:val="009E0708"/>
    <w:rsid w:val="009E0C18"/>
    <w:rsid w:val="009E0CB5"/>
    <w:rsid w:val="009E1324"/>
    <w:rsid w:val="009E1460"/>
    <w:rsid w:val="009E160A"/>
    <w:rsid w:val="009E20FE"/>
    <w:rsid w:val="009E23F8"/>
    <w:rsid w:val="009E2436"/>
    <w:rsid w:val="009E26C5"/>
    <w:rsid w:val="009E2843"/>
    <w:rsid w:val="009E28EE"/>
    <w:rsid w:val="009E2923"/>
    <w:rsid w:val="009E2970"/>
    <w:rsid w:val="009E2AB8"/>
    <w:rsid w:val="009E2F31"/>
    <w:rsid w:val="009E3421"/>
    <w:rsid w:val="009E3777"/>
    <w:rsid w:val="009E3813"/>
    <w:rsid w:val="009E3DCB"/>
    <w:rsid w:val="009E3DCE"/>
    <w:rsid w:val="009E3EF0"/>
    <w:rsid w:val="009E42E0"/>
    <w:rsid w:val="009E461D"/>
    <w:rsid w:val="009E480B"/>
    <w:rsid w:val="009E48B0"/>
    <w:rsid w:val="009E4EEC"/>
    <w:rsid w:val="009E50E9"/>
    <w:rsid w:val="009E5461"/>
    <w:rsid w:val="009E583D"/>
    <w:rsid w:val="009E586C"/>
    <w:rsid w:val="009E5977"/>
    <w:rsid w:val="009E5980"/>
    <w:rsid w:val="009E5E6A"/>
    <w:rsid w:val="009E602F"/>
    <w:rsid w:val="009E607B"/>
    <w:rsid w:val="009E60BF"/>
    <w:rsid w:val="009E6149"/>
    <w:rsid w:val="009E6158"/>
    <w:rsid w:val="009E6209"/>
    <w:rsid w:val="009E632F"/>
    <w:rsid w:val="009E6559"/>
    <w:rsid w:val="009E69D7"/>
    <w:rsid w:val="009E6C74"/>
    <w:rsid w:val="009E6CA6"/>
    <w:rsid w:val="009E6DFA"/>
    <w:rsid w:val="009E720A"/>
    <w:rsid w:val="009E7523"/>
    <w:rsid w:val="009E7623"/>
    <w:rsid w:val="009E786D"/>
    <w:rsid w:val="009E78CB"/>
    <w:rsid w:val="009E79D4"/>
    <w:rsid w:val="009E7A3A"/>
    <w:rsid w:val="009E7AED"/>
    <w:rsid w:val="009F016E"/>
    <w:rsid w:val="009F0375"/>
    <w:rsid w:val="009F0668"/>
    <w:rsid w:val="009F09F9"/>
    <w:rsid w:val="009F0BFF"/>
    <w:rsid w:val="009F0C82"/>
    <w:rsid w:val="009F0D76"/>
    <w:rsid w:val="009F0D7F"/>
    <w:rsid w:val="009F0DE7"/>
    <w:rsid w:val="009F1361"/>
    <w:rsid w:val="009F1455"/>
    <w:rsid w:val="009F161D"/>
    <w:rsid w:val="009F18BF"/>
    <w:rsid w:val="009F19E5"/>
    <w:rsid w:val="009F1DA9"/>
    <w:rsid w:val="009F1E67"/>
    <w:rsid w:val="009F1EB4"/>
    <w:rsid w:val="009F215C"/>
    <w:rsid w:val="009F2236"/>
    <w:rsid w:val="009F22E6"/>
    <w:rsid w:val="009F233F"/>
    <w:rsid w:val="009F26DC"/>
    <w:rsid w:val="009F27F9"/>
    <w:rsid w:val="009F28A1"/>
    <w:rsid w:val="009F2ADB"/>
    <w:rsid w:val="009F2E73"/>
    <w:rsid w:val="009F31B5"/>
    <w:rsid w:val="009F32DF"/>
    <w:rsid w:val="009F38F8"/>
    <w:rsid w:val="009F391E"/>
    <w:rsid w:val="009F4205"/>
    <w:rsid w:val="009F42C3"/>
    <w:rsid w:val="009F42F5"/>
    <w:rsid w:val="009F46CF"/>
    <w:rsid w:val="009F4D34"/>
    <w:rsid w:val="009F4E13"/>
    <w:rsid w:val="009F4FF4"/>
    <w:rsid w:val="009F502C"/>
    <w:rsid w:val="009F5206"/>
    <w:rsid w:val="009F52F5"/>
    <w:rsid w:val="009F54AF"/>
    <w:rsid w:val="009F5655"/>
    <w:rsid w:val="009F5676"/>
    <w:rsid w:val="009F5C6D"/>
    <w:rsid w:val="009F5CC0"/>
    <w:rsid w:val="009F5E4C"/>
    <w:rsid w:val="009F5F56"/>
    <w:rsid w:val="009F5F81"/>
    <w:rsid w:val="009F6112"/>
    <w:rsid w:val="009F6154"/>
    <w:rsid w:val="009F619C"/>
    <w:rsid w:val="009F61C5"/>
    <w:rsid w:val="009F62A5"/>
    <w:rsid w:val="009F663B"/>
    <w:rsid w:val="009F6780"/>
    <w:rsid w:val="009F6821"/>
    <w:rsid w:val="009F6CBB"/>
    <w:rsid w:val="009F6DA7"/>
    <w:rsid w:val="009F6DF4"/>
    <w:rsid w:val="009F7132"/>
    <w:rsid w:val="009F713D"/>
    <w:rsid w:val="009F7346"/>
    <w:rsid w:val="009F739D"/>
    <w:rsid w:val="009F73D3"/>
    <w:rsid w:val="009F795C"/>
    <w:rsid w:val="009F7AB8"/>
    <w:rsid w:val="009F7FBB"/>
    <w:rsid w:val="00A000BC"/>
    <w:rsid w:val="00A0065E"/>
    <w:rsid w:val="00A009A4"/>
    <w:rsid w:val="00A01030"/>
    <w:rsid w:val="00A01178"/>
    <w:rsid w:val="00A013A2"/>
    <w:rsid w:val="00A014BC"/>
    <w:rsid w:val="00A01517"/>
    <w:rsid w:val="00A01F22"/>
    <w:rsid w:val="00A02035"/>
    <w:rsid w:val="00A02541"/>
    <w:rsid w:val="00A0273F"/>
    <w:rsid w:val="00A029D8"/>
    <w:rsid w:val="00A02BD0"/>
    <w:rsid w:val="00A02C14"/>
    <w:rsid w:val="00A02C49"/>
    <w:rsid w:val="00A02DDB"/>
    <w:rsid w:val="00A02E8B"/>
    <w:rsid w:val="00A02EF8"/>
    <w:rsid w:val="00A03166"/>
    <w:rsid w:val="00A0339E"/>
    <w:rsid w:val="00A0341B"/>
    <w:rsid w:val="00A0344E"/>
    <w:rsid w:val="00A035B1"/>
    <w:rsid w:val="00A03A5D"/>
    <w:rsid w:val="00A03B97"/>
    <w:rsid w:val="00A03C8F"/>
    <w:rsid w:val="00A03DB4"/>
    <w:rsid w:val="00A03E1C"/>
    <w:rsid w:val="00A042BC"/>
    <w:rsid w:val="00A044BC"/>
    <w:rsid w:val="00A0462F"/>
    <w:rsid w:val="00A04ABE"/>
    <w:rsid w:val="00A04BAD"/>
    <w:rsid w:val="00A04C20"/>
    <w:rsid w:val="00A0523E"/>
    <w:rsid w:val="00A0554B"/>
    <w:rsid w:val="00A057CF"/>
    <w:rsid w:val="00A0591D"/>
    <w:rsid w:val="00A059E4"/>
    <w:rsid w:val="00A05B04"/>
    <w:rsid w:val="00A05E03"/>
    <w:rsid w:val="00A05EEE"/>
    <w:rsid w:val="00A06105"/>
    <w:rsid w:val="00A06246"/>
    <w:rsid w:val="00A063D2"/>
    <w:rsid w:val="00A067B6"/>
    <w:rsid w:val="00A068CA"/>
    <w:rsid w:val="00A069E7"/>
    <w:rsid w:val="00A06C63"/>
    <w:rsid w:val="00A06ED3"/>
    <w:rsid w:val="00A077B8"/>
    <w:rsid w:val="00A078A4"/>
    <w:rsid w:val="00A07ACE"/>
    <w:rsid w:val="00A10005"/>
    <w:rsid w:val="00A102F6"/>
    <w:rsid w:val="00A103C8"/>
    <w:rsid w:val="00A1051E"/>
    <w:rsid w:val="00A10594"/>
    <w:rsid w:val="00A106B6"/>
    <w:rsid w:val="00A10A83"/>
    <w:rsid w:val="00A10B62"/>
    <w:rsid w:val="00A111C5"/>
    <w:rsid w:val="00A112E0"/>
    <w:rsid w:val="00A1144B"/>
    <w:rsid w:val="00A1156F"/>
    <w:rsid w:val="00A115A9"/>
    <w:rsid w:val="00A11718"/>
    <w:rsid w:val="00A11775"/>
    <w:rsid w:val="00A11803"/>
    <w:rsid w:val="00A11914"/>
    <w:rsid w:val="00A12132"/>
    <w:rsid w:val="00A121BF"/>
    <w:rsid w:val="00A12419"/>
    <w:rsid w:val="00A12762"/>
    <w:rsid w:val="00A1363E"/>
    <w:rsid w:val="00A13B1C"/>
    <w:rsid w:val="00A13ECB"/>
    <w:rsid w:val="00A1457D"/>
    <w:rsid w:val="00A146FF"/>
    <w:rsid w:val="00A14759"/>
    <w:rsid w:val="00A147D5"/>
    <w:rsid w:val="00A14ED2"/>
    <w:rsid w:val="00A1519E"/>
    <w:rsid w:val="00A15242"/>
    <w:rsid w:val="00A15450"/>
    <w:rsid w:val="00A15841"/>
    <w:rsid w:val="00A1589A"/>
    <w:rsid w:val="00A158DF"/>
    <w:rsid w:val="00A15ABB"/>
    <w:rsid w:val="00A160E3"/>
    <w:rsid w:val="00A164F5"/>
    <w:rsid w:val="00A1656F"/>
    <w:rsid w:val="00A16618"/>
    <w:rsid w:val="00A16622"/>
    <w:rsid w:val="00A16765"/>
    <w:rsid w:val="00A16A9C"/>
    <w:rsid w:val="00A16C57"/>
    <w:rsid w:val="00A16FBC"/>
    <w:rsid w:val="00A17435"/>
    <w:rsid w:val="00A176A0"/>
    <w:rsid w:val="00A17B20"/>
    <w:rsid w:val="00A17C95"/>
    <w:rsid w:val="00A17D42"/>
    <w:rsid w:val="00A20151"/>
    <w:rsid w:val="00A20568"/>
    <w:rsid w:val="00A20785"/>
    <w:rsid w:val="00A2094C"/>
    <w:rsid w:val="00A20DF7"/>
    <w:rsid w:val="00A20F11"/>
    <w:rsid w:val="00A21057"/>
    <w:rsid w:val="00A217CA"/>
    <w:rsid w:val="00A22197"/>
    <w:rsid w:val="00A223C1"/>
    <w:rsid w:val="00A2260B"/>
    <w:rsid w:val="00A226C5"/>
    <w:rsid w:val="00A228DF"/>
    <w:rsid w:val="00A22AAA"/>
    <w:rsid w:val="00A22D93"/>
    <w:rsid w:val="00A22E53"/>
    <w:rsid w:val="00A22FA9"/>
    <w:rsid w:val="00A230CE"/>
    <w:rsid w:val="00A2311B"/>
    <w:rsid w:val="00A231E3"/>
    <w:rsid w:val="00A232FD"/>
    <w:rsid w:val="00A23AF3"/>
    <w:rsid w:val="00A23DCD"/>
    <w:rsid w:val="00A24130"/>
    <w:rsid w:val="00A241C5"/>
    <w:rsid w:val="00A24AF5"/>
    <w:rsid w:val="00A252A7"/>
    <w:rsid w:val="00A25650"/>
    <w:rsid w:val="00A256DE"/>
    <w:rsid w:val="00A25ACD"/>
    <w:rsid w:val="00A26064"/>
    <w:rsid w:val="00A26098"/>
    <w:rsid w:val="00A263CC"/>
    <w:rsid w:val="00A26600"/>
    <w:rsid w:val="00A269A2"/>
    <w:rsid w:val="00A26A86"/>
    <w:rsid w:val="00A26BF6"/>
    <w:rsid w:val="00A26D33"/>
    <w:rsid w:val="00A26E2C"/>
    <w:rsid w:val="00A27588"/>
    <w:rsid w:val="00A2795B"/>
    <w:rsid w:val="00A2799C"/>
    <w:rsid w:val="00A27AE9"/>
    <w:rsid w:val="00A300E0"/>
    <w:rsid w:val="00A302E3"/>
    <w:rsid w:val="00A30567"/>
    <w:rsid w:val="00A30580"/>
    <w:rsid w:val="00A305C7"/>
    <w:rsid w:val="00A309F3"/>
    <w:rsid w:val="00A30B2B"/>
    <w:rsid w:val="00A30B75"/>
    <w:rsid w:val="00A31061"/>
    <w:rsid w:val="00A31467"/>
    <w:rsid w:val="00A315B1"/>
    <w:rsid w:val="00A316A2"/>
    <w:rsid w:val="00A31736"/>
    <w:rsid w:val="00A31985"/>
    <w:rsid w:val="00A32047"/>
    <w:rsid w:val="00A320C9"/>
    <w:rsid w:val="00A3212D"/>
    <w:rsid w:val="00A321BA"/>
    <w:rsid w:val="00A321C2"/>
    <w:rsid w:val="00A322D4"/>
    <w:rsid w:val="00A32C28"/>
    <w:rsid w:val="00A32E82"/>
    <w:rsid w:val="00A32F09"/>
    <w:rsid w:val="00A3310C"/>
    <w:rsid w:val="00A33274"/>
    <w:rsid w:val="00A33278"/>
    <w:rsid w:val="00A333BC"/>
    <w:rsid w:val="00A339FA"/>
    <w:rsid w:val="00A33A33"/>
    <w:rsid w:val="00A33C66"/>
    <w:rsid w:val="00A33D4F"/>
    <w:rsid w:val="00A33D59"/>
    <w:rsid w:val="00A33E17"/>
    <w:rsid w:val="00A33E87"/>
    <w:rsid w:val="00A3439B"/>
    <w:rsid w:val="00A343B6"/>
    <w:rsid w:val="00A343DC"/>
    <w:rsid w:val="00A34608"/>
    <w:rsid w:val="00A34629"/>
    <w:rsid w:val="00A346E7"/>
    <w:rsid w:val="00A346F9"/>
    <w:rsid w:val="00A34A29"/>
    <w:rsid w:val="00A34A54"/>
    <w:rsid w:val="00A34C5D"/>
    <w:rsid w:val="00A35618"/>
    <w:rsid w:val="00A3573B"/>
    <w:rsid w:val="00A35B63"/>
    <w:rsid w:val="00A35D2C"/>
    <w:rsid w:val="00A36375"/>
    <w:rsid w:val="00A36416"/>
    <w:rsid w:val="00A3653E"/>
    <w:rsid w:val="00A366BB"/>
    <w:rsid w:val="00A3675B"/>
    <w:rsid w:val="00A369ED"/>
    <w:rsid w:val="00A36BE7"/>
    <w:rsid w:val="00A36D38"/>
    <w:rsid w:val="00A36F8A"/>
    <w:rsid w:val="00A37009"/>
    <w:rsid w:val="00A3714A"/>
    <w:rsid w:val="00A37588"/>
    <w:rsid w:val="00A378FA"/>
    <w:rsid w:val="00A4026A"/>
    <w:rsid w:val="00A40459"/>
    <w:rsid w:val="00A4068A"/>
    <w:rsid w:val="00A4082D"/>
    <w:rsid w:val="00A409CB"/>
    <w:rsid w:val="00A40B9A"/>
    <w:rsid w:val="00A40D3D"/>
    <w:rsid w:val="00A40E94"/>
    <w:rsid w:val="00A411EF"/>
    <w:rsid w:val="00A41475"/>
    <w:rsid w:val="00A41615"/>
    <w:rsid w:val="00A41ACB"/>
    <w:rsid w:val="00A41F97"/>
    <w:rsid w:val="00A4205C"/>
    <w:rsid w:val="00A423CF"/>
    <w:rsid w:val="00A424F6"/>
    <w:rsid w:val="00A428A5"/>
    <w:rsid w:val="00A428B9"/>
    <w:rsid w:val="00A42C54"/>
    <w:rsid w:val="00A42D37"/>
    <w:rsid w:val="00A42F87"/>
    <w:rsid w:val="00A431A7"/>
    <w:rsid w:val="00A43245"/>
    <w:rsid w:val="00A43293"/>
    <w:rsid w:val="00A43300"/>
    <w:rsid w:val="00A435FD"/>
    <w:rsid w:val="00A4363D"/>
    <w:rsid w:val="00A4363E"/>
    <w:rsid w:val="00A43814"/>
    <w:rsid w:val="00A43837"/>
    <w:rsid w:val="00A4395E"/>
    <w:rsid w:val="00A439D6"/>
    <w:rsid w:val="00A43B48"/>
    <w:rsid w:val="00A43CC0"/>
    <w:rsid w:val="00A43D28"/>
    <w:rsid w:val="00A4415E"/>
    <w:rsid w:val="00A44235"/>
    <w:rsid w:val="00A44350"/>
    <w:rsid w:val="00A44598"/>
    <w:rsid w:val="00A44618"/>
    <w:rsid w:val="00A4489A"/>
    <w:rsid w:val="00A44A06"/>
    <w:rsid w:val="00A44AF5"/>
    <w:rsid w:val="00A45231"/>
    <w:rsid w:val="00A45354"/>
    <w:rsid w:val="00A454AE"/>
    <w:rsid w:val="00A45559"/>
    <w:rsid w:val="00A45875"/>
    <w:rsid w:val="00A45AB5"/>
    <w:rsid w:val="00A45AC2"/>
    <w:rsid w:val="00A45BDB"/>
    <w:rsid w:val="00A45D55"/>
    <w:rsid w:val="00A46256"/>
    <w:rsid w:val="00A462C3"/>
    <w:rsid w:val="00A463B8"/>
    <w:rsid w:val="00A46635"/>
    <w:rsid w:val="00A46836"/>
    <w:rsid w:val="00A469D0"/>
    <w:rsid w:val="00A46A9D"/>
    <w:rsid w:val="00A470C7"/>
    <w:rsid w:val="00A47468"/>
    <w:rsid w:val="00A4776A"/>
    <w:rsid w:val="00A4778B"/>
    <w:rsid w:val="00A4787D"/>
    <w:rsid w:val="00A47B4C"/>
    <w:rsid w:val="00A47BB1"/>
    <w:rsid w:val="00A47F68"/>
    <w:rsid w:val="00A47FE9"/>
    <w:rsid w:val="00A5002C"/>
    <w:rsid w:val="00A5037E"/>
    <w:rsid w:val="00A50570"/>
    <w:rsid w:val="00A5081F"/>
    <w:rsid w:val="00A50C19"/>
    <w:rsid w:val="00A50CC5"/>
    <w:rsid w:val="00A51586"/>
    <w:rsid w:val="00A517EE"/>
    <w:rsid w:val="00A51A36"/>
    <w:rsid w:val="00A51F23"/>
    <w:rsid w:val="00A521DA"/>
    <w:rsid w:val="00A521E7"/>
    <w:rsid w:val="00A522A9"/>
    <w:rsid w:val="00A52320"/>
    <w:rsid w:val="00A525A6"/>
    <w:rsid w:val="00A528C3"/>
    <w:rsid w:val="00A52ABB"/>
    <w:rsid w:val="00A52C03"/>
    <w:rsid w:val="00A531DC"/>
    <w:rsid w:val="00A533E1"/>
    <w:rsid w:val="00A539C9"/>
    <w:rsid w:val="00A53B91"/>
    <w:rsid w:val="00A53F0B"/>
    <w:rsid w:val="00A53FB3"/>
    <w:rsid w:val="00A543AE"/>
    <w:rsid w:val="00A5449E"/>
    <w:rsid w:val="00A54694"/>
    <w:rsid w:val="00A54776"/>
    <w:rsid w:val="00A54846"/>
    <w:rsid w:val="00A54A7A"/>
    <w:rsid w:val="00A54BA9"/>
    <w:rsid w:val="00A54C15"/>
    <w:rsid w:val="00A54D94"/>
    <w:rsid w:val="00A54DCC"/>
    <w:rsid w:val="00A551BF"/>
    <w:rsid w:val="00A552A0"/>
    <w:rsid w:val="00A5559C"/>
    <w:rsid w:val="00A5560A"/>
    <w:rsid w:val="00A55AC3"/>
    <w:rsid w:val="00A55D46"/>
    <w:rsid w:val="00A5617F"/>
    <w:rsid w:val="00A5620D"/>
    <w:rsid w:val="00A56683"/>
    <w:rsid w:val="00A566FC"/>
    <w:rsid w:val="00A57073"/>
    <w:rsid w:val="00A570D4"/>
    <w:rsid w:val="00A57466"/>
    <w:rsid w:val="00A57470"/>
    <w:rsid w:val="00A5786B"/>
    <w:rsid w:val="00A5799C"/>
    <w:rsid w:val="00A57DF1"/>
    <w:rsid w:val="00A57EE8"/>
    <w:rsid w:val="00A60263"/>
    <w:rsid w:val="00A6074C"/>
    <w:rsid w:val="00A60776"/>
    <w:rsid w:val="00A60827"/>
    <w:rsid w:val="00A608D3"/>
    <w:rsid w:val="00A60A51"/>
    <w:rsid w:val="00A61318"/>
    <w:rsid w:val="00A6132A"/>
    <w:rsid w:val="00A61616"/>
    <w:rsid w:val="00A61832"/>
    <w:rsid w:val="00A61920"/>
    <w:rsid w:val="00A61A18"/>
    <w:rsid w:val="00A61AA6"/>
    <w:rsid w:val="00A61B92"/>
    <w:rsid w:val="00A61CD2"/>
    <w:rsid w:val="00A61E2C"/>
    <w:rsid w:val="00A61FBF"/>
    <w:rsid w:val="00A62171"/>
    <w:rsid w:val="00A62599"/>
    <w:rsid w:val="00A62F3D"/>
    <w:rsid w:val="00A634D9"/>
    <w:rsid w:val="00A63675"/>
    <w:rsid w:val="00A6399E"/>
    <w:rsid w:val="00A63C98"/>
    <w:rsid w:val="00A64047"/>
    <w:rsid w:val="00A64099"/>
    <w:rsid w:val="00A640CA"/>
    <w:rsid w:val="00A644B7"/>
    <w:rsid w:val="00A6450B"/>
    <w:rsid w:val="00A649B5"/>
    <w:rsid w:val="00A64A96"/>
    <w:rsid w:val="00A64A9C"/>
    <w:rsid w:val="00A64DCA"/>
    <w:rsid w:val="00A64F36"/>
    <w:rsid w:val="00A65197"/>
    <w:rsid w:val="00A654C0"/>
    <w:rsid w:val="00A65A21"/>
    <w:rsid w:val="00A65AC5"/>
    <w:rsid w:val="00A65C50"/>
    <w:rsid w:val="00A65D9C"/>
    <w:rsid w:val="00A65E55"/>
    <w:rsid w:val="00A65F31"/>
    <w:rsid w:val="00A65F6B"/>
    <w:rsid w:val="00A6623D"/>
    <w:rsid w:val="00A66321"/>
    <w:rsid w:val="00A66458"/>
    <w:rsid w:val="00A664EE"/>
    <w:rsid w:val="00A666F2"/>
    <w:rsid w:val="00A66A7E"/>
    <w:rsid w:val="00A66ADB"/>
    <w:rsid w:val="00A66DCD"/>
    <w:rsid w:val="00A673E3"/>
    <w:rsid w:val="00A67691"/>
    <w:rsid w:val="00A67877"/>
    <w:rsid w:val="00A67B82"/>
    <w:rsid w:val="00A67BB4"/>
    <w:rsid w:val="00A67C72"/>
    <w:rsid w:val="00A67DEA"/>
    <w:rsid w:val="00A67EED"/>
    <w:rsid w:val="00A67FC5"/>
    <w:rsid w:val="00A700BF"/>
    <w:rsid w:val="00A70232"/>
    <w:rsid w:val="00A7035E"/>
    <w:rsid w:val="00A7036B"/>
    <w:rsid w:val="00A704BE"/>
    <w:rsid w:val="00A708E3"/>
    <w:rsid w:val="00A7090D"/>
    <w:rsid w:val="00A70963"/>
    <w:rsid w:val="00A70B9B"/>
    <w:rsid w:val="00A70BB4"/>
    <w:rsid w:val="00A712E8"/>
    <w:rsid w:val="00A7160C"/>
    <w:rsid w:val="00A716CE"/>
    <w:rsid w:val="00A71705"/>
    <w:rsid w:val="00A718EE"/>
    <w:rsid w:val="00A71AC9"/>
    <w:rsid w:val="00A71B3E"/>
    <w:rsid w:val="00A71C16"/>
    <w:rsid w:val="00A72058"/>
    <w:rsid w:val="00A72153"/>
    <w:rsid w:val="00A72468"/>
    <w:rsid w:val="00A72569"/>
    <w:rsid w:val="00A72581"/>
    <w:rsid w:val="00A726C6"/>
    <w:rsid w:val="00A72738"/>
    <w:rsid w:val="00A729AF"/>
    <w:rsid w:val="00A72E54"/>
    <w:rsid w:val="00A72F36"/>
    <w:rsid w:val="00A7310F"/>
    <w:rsid w:val="00A73656"/>
    <w:rsid w:val="00A73A47"/>
    <w:rsid w:val="00A74095"/>
    <w:rsid w:val="00A74119"/>
    <w:rsid w:val="00A742B6"/>
    <w:rsid w:val="00A743F7"/>
    <w:rsid w:val="00A746B2"/>
    <w:rsid w:val="00A747A2"/>
    <w:rsid w:val="00A74A90"/>
    <w:rsid w:val="00A74B56"/>
    <w:rsid w:val="00A74C36"/>
    <w:rsid w:val="00A74DEA"/>
    <w:rsid w:val="00A75399"/>
    <w:rsid w:val="00A75982"/>
    <w:rsid w:val="00A75C95"/>
    <w:rsid w:val="00A75DB1"/>
    <w:rsid w:val="00A75F02"/>
    <w:rsid w:val="00A76130"/>
    <w:rsid w:val="00A76226"/>
    <w:rsid w:val="00A76386"/>
    <w:rsid w:val="00A768CE"/>
    <w:rsid w:val="00A76A40"/>
    <w:rsid w:val="00A76A5E"/>
    <w:rsid w:val="00A76A6E"/>
    <w:rsid w:val="00A76D54"/>
    <w:rsid w:val="00A76E3F"/>
    <w:rsid w:val="00A77000"/>
    <w:rsid w:val="00A770EF"/>
    <w:rsid w:val="00A772D8"/>
    <w:rsid w:val="00A77302"/>
    <w:rsid w:val="00A7743B"/>
    <w:rsid w:val="00A77460"/>
    <w:rsid w:val="00A77824"/>
    <w:rsid w:val="00A778A4"/>
    <w:rsid w:val="00A77F92"/>
    <w:rsid w:val="00A80352"/>
    <w:rsid w:val="00A803AB"/>
    <w:rsid w:val="00A806E4"/>
    <w:rsid w:val="00A8078B"/>
    <w:rsid w:val="00A809D6"/>
    <w:rsid w:val="00A80A34"/>
    <w:rsid w:val="00A80BA8"/>
    <w:rsid w:val="00A80CFF"/>
    <w:rsid w:val="00A80FA8"/>
    <w:rsid w:val="00A80FAA"/>
    <w:rsid w:val="00A8108D"/>
    <w:rsid w:val="00A810C5"/>
    <w:rsid w:val="00A81409"/>
    <w:rsid w:val="00A81481"/>
    <w:rsid w:val="00A814EB"/>
    <w:rsid w:val="00A816C6"/>
    <w:rsid w:val="00A81738"/>
    <w:rsid w:val="00A8195B"/>
    <w:rsid w:val="00A819C2"/>
    <w:rsid w:val="00A81A23"/>
    <w:rsid w:val="00A82ED5"/>
    <w:rsid w:val="00A82F31"/>
    <w:rsid w:val="00A83005"/>
    <w:rsid w:val="00A83178"/>
    <w:rsid w:val="00A8335B"/>
    <w:rsid w:val="00A8343F"/>
    <w:rsid w:val="00A83607"/>
    <w:rsid w:val="00A836EC"/>
    <w:rsid w:val="00A8380B"/>
    <w:rsid w:val="00A839F4"/>
    <w:rsid w:val="00A83B52"/>
    <w:rsid w:val="00A83C16"/>
    <w:rsid w:val="00A84302"/>
    <w:rsid w:val="00A845A5"/>
    <w:rsid w:val="00A847EF"/>
    <w:rsid w:val="00A84AC9"/>
    <w:rsid w:val="00A84BC3"/>
    <w:rsid w:val="00A84F27"/>
    <w:rsid w:val="00A85000"/>
    <w:rsid w:val="00A86297"/>
    <w:rsid w:val="00A86F0A"/>
    <w:rsid w:val="00A86F19"/>
    <w:rsid w:val="00A86FB1"/>
    <w:rsid w:val="00A871FE"/>
    <w:rsid w:val="00A8734A"/>
    <w:rsid w:val="00A874D4"/>
    <w:rsid w:val="00A876D1"/>
    <w:rsid w:val="00A879EC"/>
    <w:rsid w:val="00A87A08"/>
    <w:rsid w:val="00A87E6B"/>
    <w:rsid w:val="00A90098"/>
    <w:rsid w:val="00A901B4"/>
    <w:rsid w:val="00A902C4"/>
    <w:rsid w:val="00A904E0"/>
    <w:rsid w:val="00A90A4F"/>
    <w:rsid w:val="00A90C2B"/>
    <w:rsid w:val="00A90E6B"/>
    <w:rsid w:val="00A90EA7"/>
    <w:rsid w:val="00A90F08"/>
    <w:rsid w:val="00A90F5B"/>
    <w:rsid w:val="00A912E5"/>
    <w:rsid w:val="00A9137E"/>
    <w:rsid w:val="00A91607"/>
    <w:rsid w:val="00A9181A"/>
    <w:rsid w:val="00A91F4C"/>
    <w:rsid w:val="00A92302"/>
    <w:rsid w:val="00A9239F"/>
    <w:rsid w:val="00A92B44"/>
    <w:rsid w:val="00A92C0D"/>
    <w:rsid w:val="00A92FA1"/>
    <w:rsid w:val="00A9311F"/>
    <w:rsid w:val="00A931F2"/>
    <w:rsid w:val="00A936F2"/>
    <w:rsid w:val="00A93E20"/>
    <w:rsid w:val="00A93EF2"/>
    <w:rsid w:val="00A93F5E"/>
    <w:rsid w:val="00A93FFB"/>
    <w:rsid w:val="00A9401C"/>
    <w:rsid w:val="00A94069"/>
    <w:rsid w:val="00A94328"/>
    <w:rsid w:val="00A9457A"/>
    <w:rsid w:val="00A94D00"/>
    <w:rsid w:val="00A94E03"/>
    <w:rsid w:val="00A94F59"/>
    <w:rsid w:val="00A95064"/>
    <w:rsid w:val="00A95247"/>
    <w:rsid w:val="00A95437"/>
    <w:rsid w:val="00A95777"/>
    <w:rsid w:val="00A958B2"/>
    <w:rsid w:val="00A95A58"/>
    <w:rsid w:val="00A95AE1"/>
    <w:rsid w:val="00A95B97"/>
    <w:rsid w:val="00A95BF8"/>
    <w:rsid w:val="00A95D2A"/>
    <w:rsid w:val="00A96220"/>
    <w:rsid w:val="00A9646A"/>
    <w:rsid w:val="00A9674B"/>
    <w:rsid w:val="00A968A5"/>
    <w:rsid w:val="00A96A14"/>
    <w:rsid w:val="00A96C30"/>
    <w:rsid w:val="00A96C3F"/>
    <w:rsid w:val="00A9720F"/>
    <w:rsid w:val="00A97210"/>
    <w:rsid w:val="00A973E3"/>
    <w:rsid w:val="00A973FD"/>
    <w:rsid w:val="00A97539"/>
    <w:rsid w:val="00A9754C"/>
    <w:rsid w:val="00A9773A"/>
    <w:rsid w:val="00A977B4"/>
    <w:rsid w:val="00A97CE5"/>
    <w:rsid w:val="00A97CE9"/>
    <w:rsid w:val="00A97F2B"/>
    <w:rsid w:val="00A97F2C"/>
    <w:rsid w:val="00A97FEC"/>
    <w:rsid w:val="00AA0228"/>
    <w:rsid w:val="00AA02CF"/>
    <w:rsid w:val="00AA039E"/>
    <w:rsid w:val="00AA03BD"/>
    <w:rsid w:val="00AA0527"/>
    <w:rsid w:val="00AA05D7"/>
    <w:rsid w:val="00AA0896"/>
    <w:rsid w:val="00AA0DCC"/>
    <w:rsid w:val="00AA0EFA"/>
    <w:rsid w:val="00AA1264"/>
    <w:rsid w:val="00AA16B5"/>
    <w:rsid w:val="00AA16CC"/>
    <w:rsid w:val="00AA180A"/>
    <w:rsid w:val="00AA1B5D"/>
    <w:rsid w:val="00AA1FD7"/>
    <w:rsid w:val="00AA1FDB"/>
    <w:rsid w:val="00AA200E"/>
    <w:rsid w:val="00AA204B"/>
    <w:rsid w:val="00AA21A6"/>
    <w:rsid w:val="00AA2267"/>
    <w:rsid w:val="00AA2299"/>
    <w:rsid w:val="00AA2443"/>
    <w:rsid w:val="00AA2821"/>
    <w:rsid w:val="00AA29CC"/>
    <w:rsid w:val="00AA302B"/>
    <w:rsid w:val="00AA30DF"/>
    <w:rsid w:val="00AA31DF"/>
    <w:rsid w:val="00AA35A7"/>
    <w:rsid w:val="00AA3C26"/>
    <w:rsid w:val="00AA3F41"/>
    <w:rsid w:val="00AA4005"/>
    <w:rsid w:val="00AA421B"/>
    <w:rsid w:val="00AA431B"/>
    <w:rsid w:val="00AA43CB"/>
    <w:rsid w:val="00AA4472"/>
    <w:rsid w:val="00AA448A"/>
    <w:rsid w:val="00AA491C"/>
    <w:rsid w:val="00AA4C37"/>
    <w:rsid w:val="00AA4DAA"/>
    <w:rsid w:val="00AA549F"/>
    <w:rsid w:val="00AA5512"/>
    <w:rsid w:val="00AA55A7"/>
    <w:rsid w:val="00AA5620"/>
    <w:rsid w:val="00AA57F0"/>
    <w:rsid w:val="00AA5A1F"/>
    <w:rsid w:val="00AA5A89"/>
    <w:rsid w:val="00AA5B56"/>
    <w:rsid w:val="00AA5C4E"/>
    <w:rsid w:val="00AA6001"/>
    <w:rsid w:val="00AA601F"/>
    <w:rsid w:val="00AA606F"/>
    <w:rsid w:val="00AA618E"/>
    <w:rsid w:val="00AA623A"/>
    <w:rsid w:val="00AA6577"/>
    <w:rsid w:val="00AA65E1"/>
    <w:rsid w:val="00AA67C3"/>
    <w:rsid w:val="00AA6994"/>
    <w:rsid w:val="00AA70D9"/>
    <w:rsid w:val="00AA736D"/>
    <w:rsid w:val="00AA78E8"/>
    <w:rsid w:val="00AA7A3D"/>
    <w:rsid w:val="00AA7D21"/>
    <w:rsid w:val="00AB0251"/>
    <w:rsid w:val="00AB026F"/>
    <w:rsid w:val="00AB0856"/>
    <w:rsid w:val="00AB0AD8"/>
    <w:rsid w:val="00AB0B50"/>
    <w:rsid w:val="00AB0BA4"/>
    <w:rsid w:val="00AB0E4C"/>
    <w:rsid w:val="00AB15C8"/>
    <w:rsid w:val="00AB17DC"/>
    <w:rsid w:val="00AB185B"/>
    <w:rsid w:val="00AB193C"/>
    <w:rsid w:val="00AB21E8"/>
    <w:rsid w:val="00AB23B5"/>
    <w:rsid w:val="00AB240C"/>
    <w:rsid w:val="00AB241A"/>
    <w:rsid w:val="00AB2C6F"/>
    <w:rsid w:val="00AB337B"/>
    <w:rsid w:val="00AB3420"/>
    <w:rsid w:val="00AB3466"/>
    <w:rsid w:val="00AB3BA9"/>
    <w:rsid w:val="00AB3C3D"/>
    <w:rsid w:val="00AB3D99"/>
    <w:rsid w:val="00AB3EE4"/>
    <w:rsid w:val="00AB41C8"/>
    <w:rsid w:val="00AB427F"/>
    <w:rsid w:val="00AB4310"/>
    <w:rsid w:val="00AB43EA"/>
    <w:rsid w:val="00AB448E"/>
    <w:rsid w:val="00AB45CB"/>
    <w:rsid w:val="00AB4723"/>
    <w:rsid w:val="00AB4738"/>
    <w:rsid w:val="00AB48BB"/>
    <w:rsid w:val="00AB4975"/>
    <w:rsid w:val="00AB49E0"/>
    <w:rsid w:val="00AB4A05"/>
    <w:rsid w:val="00AB4A43"/>
    <w:rsid w:val="00AB4C6E"/>
    <w:rsid w:val="00AB4C8E"/>
    <w:rsid w:val="00AB4E32"/>
    <w:rsid w:val="00AB4FB3"/>
    <w:rsid w:val="00AB526F"/>
    <w:rsid w:val="00AB5376"/>
    <w:rsid w:val="00AB55EF"/>
    <w:rsid w:val="00AB5661"/>
    <w:rsid w:val="00AB569F"/>
    <w:rsid w:val="00AB56D8"/>
    <w:rsid w:val="00AB59E0"/>
    <w:rsid w:val="00AB5FBC"/>
    <w:rsid w:val="00AB63F7"/>
    <w:rsid w:val="00AB6578"/>
    <w:rsid w:val="00AB65B8"/>
    <w:rsid w:val="00AB6693"/>
    <w:rsid w:val="00AB6D02"/>
    <w:rsid w:val="00AB6D0F"/>
    <w:rsid w:val="00AB6F50"/>
    <w:rsid w:val="00AB6FD4"/>
    <w:rsid w:val="00AB7172"/>
    <w:rsid w:val="00AB73C0"/>
    <w:rsid w:val="00AB752E"/>
    <w:rsid w:val="00AB755F"/>
    <w:rsid w:val="00AB7740"/>
    <w:rsid w:val="00AB7923"/>
    <w:rsid w:val="00AB7AA9"/>
    <w:rsid w:val="00AB7AC1"/>
    <w:rsid w:val="00AB7CB6"/>
    <w:rsid w:val="00AC038E"/>
    <w:rsid w:val="00AC0628"/>
    <w:rsid w:val="00AC065A"/>
    <w:rsid w:val="00AC09D3"/>
    <w:rsid w:val="00AC0C75"/>
    <w:rsid w:val="00AC0D1A"/>
    <w:rsid w:val="00AC0F94"/>
    <w:rsid w:val="00AC11B6"/>
    <w:rsid w:val="00AC11EC"/>
    <w:rsid w:val="00AC133B"/>
    <w:rsid w:val="00AC16A1"/>
    <w:rsid w:val="00AC1826"/>
    <w:rsid w:val="00AC19B2"/>
    <w:rsid w:val="00AC1FED"/>
    <w:rsid w:val="00AC21E6"/>
    <w:rsid w:val="00AC2CC1"/>
    <w:rsid w:val="00AC2CE3"/>
    <w:rsid w:val="00AC2E59"/>
    <w:rsid w:val="00AC2FC5"/>
    <w:rsid w:val="00AC3201"/>
    <w:rsid w:val="00AC324C"/>
    <w:rsid w:val="00AC34CE"/>
    <w:rsid w:val="00AC3722"/>
    <w:rsid w:val="00AC3A51"/>
    <w:rsid w:val="00AC3F4A"/>
    <w:rsid w:val="00AC401C"/>
    <w:rsid w:val="00AC4130"/>
    <w:rsid w:val="00AC435B"/>
    <w:rsid w:val="00AC4519"/>
    <w:rsid w:val="00AC49B2"/>
    <w:rsid w:val="00AC4B38"/>
    <w:rsid w:val="00AC4C8E"/>
    <w:rsid w:val="00AC4FC7"/>
    <w:rsid w:val="00AC50ED"/>
    <w:rsid w:val="00AC5274"/>
    <w:rsid w:val="00AC5698"/>
    <w:rsid w:val="00AC56BB"/>
    <w:rsid w:val="00AC5C2D"/>
    <w:rsid w:val="00AC638F"/>
    <w:rsid w:val="00AC646B"/>
    <w:rsid w:val="00AC660E"/>
    <w:rsid w:val="00AC69B6"/>
    <w:rsid w:val="00AC70BC"/>
    <w:rsid w:val="00AC72A3"/>
    <w:rsid w:val="00AC73C3"/>
    <w:rsid w:val="00AC7584"/>
    <w:rsid w:val="00AC75B0"/>
    <w:rsid w:val="00AC778A"/>
    <w:rsid w:val="00AC785D"/>
    <w:rsid w:val="00AC7864"/>
    <w:rsid w:val="00AC7BB1"/>
    <w:rsid w:val="00AC7C1A"/>
    <w:rsid w:val="00AC7EEA"/>
    <w:rsid w:val="00AD0240"/>
    <w:rsid w:val="00AD033C"/>
    <w:rsid w:val="00AD047D"/>
    <w:rsid w:val="00AD04EB"/>
    <w:rsid w:val="00AD0540"/>
    <w:rsid w:val="00AD0637"/>
    <w:rsid w:val="00AD09A9"/>
    <w:rsid w:val="00AD0B3A"/>
    <w:rsid w:val="00AD0BBD"/>
    <w:rsid w:val="00AD0C75"/>
    <w:rsid w:val="00AD0CA6"/>
    <w:rsid w:val="00AD11FF"/>
    <w:rsid w:val="00AD128E"/>
    <w:rsid w:val="00AD13E2"/>
    <w:rsid w:val="00AD19D1"/>
    <w:rsid w:val="00AD1B3D"/>
    <w:rsid w:val="00AD1D06"/>
    <w:rsid w:val="00AD1D6E"/>
    <w:rsid w:val="00AD1F8C"/>
    <w:rsid w:val="00AD2147"/>
    <w:rsid w:val="00AD2187"/>
    <w:rsid w:val="00AD28C8"/>
    <w:rsid w:val="00AD2C18"/>
    <w:rsid w:val="00AD2DD6"/>
    <w:rsid w:val="00AD2EEA"/>
    <w:rsid w:val="00AD2F6C"/>
    <w:rsid w:val="00AD34C9"/>
    <w:rsid w:val="00AD398A"/>
    <w:rsid w:val="00AD3AE9"/>
    <w:rsid w:val="00AD440C"/>
    <w:rsid w:val="00AD460F"/>
    <w:rsid w:val="00AD4A99"/>
    <w:rsid w:val="00AD4DB5"/>
    <w:rsid w:val="00AD4E68"/>
    <w:rsid w:val="00AD543E"/>
    <w:rsid w:val="00AD56F8"/>
    <w:rsid w:val="00AD59BF"/>
    <w:rsid w:val="00AD5F7D"/>
    <w:rsid w:val="00AD600F"/>
    <w:rsid w:val="00AD6630"/>
    <w:rsid w:val="00AD6D00"/>
    <w:rsid w:val="00AD715B"/>
    <w:rsid w:val="00AD718D"/>
    <w:rsid w:val="00AD745B"/>
    <w:rsid w:val="00AD77A3"/>
    <w:rsid w:val="00AD7935"/>
    <w:rsid w:val="00AD7943"/>
    <w:rsid w:val="00AD7A52"/>
    <w:rsid w:val="00AD7B28"/>
    <w:rsid w:val="00AD7E4D"/>
    <w:rsid w:val="00AE01D9"/>
    <w:rsid w:val="00AE040F"/>
    <w:rsid w:val="00AE05B8"/>
    <w:rsid w:val="00AE075B"/>
    <w:rsid w:val="00AE0CA1"/>
    <w:rsid w:val="00AE0FF2"/>
    <w:rsid w:val="00AE103F"/>
    <w:rsid w:val="00AE123C"/>
    <w:rsid w:val="00AE1361"/>
    <w:rsid w:val="00AE1DE9"/>
    <w:rsid w:val="00AE2473"/>
    <w:rsid w:val="00AE2588"/>
    <w:rsid w:val="00AE2623"/>
    <w:rsid w:val="00AE28D0"/>
    <w:rsid w:val="00AE2A09"/>
    <w:rsid w:val="00AE2D0A"/>
    <w:rsid w:val="00AE2E8E"/>
    <w:rsid w:val="00AE31C6"/>
    <w:rsid w:val="00AE335B"/>
    <w:rsid w:val="00AE3451"/>
    <w:rsid w:val="00AE3459"/>
    <w:rsid w:val="00AE3977"/>
    <w:rsid w:val="00AE3AA0"/>
    <w:rsid w:val="00AE3B34"/>
    <w:rsid w:val="00AE3BC2"/>
    <w:rsid w:val="00AE4137"/>
    <w:rsid w:val="00AE44C6"/>
    <w:rsid w:val="00AE465F"/>
    <w:rsid w:val="00AE46B2"/>
    <w:rsid w:val="00AE4712"/>
    <w:rsid w:val="00AE47C0"/>
    <w:rsid w:val="00AE4C39"/>
    <w:rsid w:val="00AE4E0D"/>
    <w:rsid w:val="00AE52BD"/>
    <w:rsid w:val="00AE554D"/>
    <w:rsid w:val="00AE57F7"/>
    <w:rsid w:val="00AE5ACC"/>
    <w:rsid w:val="00AE5C30"/>
    <w:rsid w:val="00AE5C52"/>
    <w:rsid w:val="00AE5E63"/>
    <w:rsid w:val="00AE6298"/>
    <w:rsid w:val="00AE66F0"/>
    <w:rsid w:val="00AE69AA"/>
    <w:rsid w:val="00AE6AEB"/>
    <w:rsid w:val="00AE6B55"/>
    <w:rsid w:val="00AE6E4A"/>
    <w:rsid w:val="00AE6E4E"/>
    <w:rsid w:val="00AE7234"/>
    <w:rsid w:val="00AE750F"/>
    <w:rsid w:val="00AE76E0"/>
    <w:rsid w:val="00AE779F"/>
    <w:rsid w:val="00AE7940"/>
    <w:rsid w:val="00AE7B07"/>
    <w:rsid w:val="00AE7FC9"/>
    <w:rsid w:val="00AF04D0"/>
    <w:rsid w:val="00AF072A"/>
    <w:rsid w:val="00AF07AC"/>
    <w:rsid w:val="00AF0898"/>
    <w:rsid w:val="00AF0993"/>
    <w:rsid w:val="00AF0BC3"/>
    <w:rsid w:val="00AF0E74"/>
    <w:rsid w:val="00AF0F86"/>
    <w:rsid w:val="00AF1253"/>
    <w:rsid w:val="00AF12D2"/>
    <w:rsid w:val="00AF1581"/>
    <w:rsid w:val="00AF179E"/>
    <w:rsid w:val="00AF1921"/>
    <w:rsid w:val="00AF1A7B"/>
    <w:rsid w:val="00AF1AE1"/>
    <w:rsid w:val="00AF1EDF"/>
    <w:rsid w:val="00AF20A5"/>
    <w:rsid w:val="00AF23FB"/>
    <w:rsid w:val="00AF2593"/>
    <w:rsid w:val="00AF2A62"/>
    <w:rsid w:val="00AF2B80"/>
    <w:rsid w:val="00AF2C4C"/>
    <w:rsid w:val="00AF2ECF"/>
    <w:rsid w:val="00AF2F86"/>
    <w:rsid w:val="00AF2FE2"/>
    <w:rsid w:val="00AF31AE"/>
    <w:rsid w:val="00AF32E2"/>
    <w:rsid w:val="00AF3753"/>
    <w:rsid w:val="00AF3F38"/>
    <w:rsid w:val="00AF402E"/>
    <w:rsid w:val="00AF412C"/>
    <w:rsid w:val="00AF432B"/>
    <w:rsid w:val="00AF4462"/>
    <w:rsid w:val="00AF4542"/>
    <w:rsid w:val="00AF45B5"/>
    <w:rsid w:val="00AF4B07"/>
    <w:rsid w:val="00AF4E0B"/>
    <w:rsid w:val="00AF5095"/>
    <w:rsid w:val="00AF5249"/>
    <w:rsid w:val="00AF5378"/>
    <w:rsid w:val="00AF53F5"/>
    <w:rsid w:val="00AF571D"/>
    <w:rsid w:val="00AF5AE7"/>
    <w:rsid w:val="00AF5BCE"/>
    <w:rsid w:val="00AF5BEA"/>
    <w:rsid w:val="00AF660A"/>
    <w:rsid w:val="00AF68F8"/>
    <w:rsid w:val="00AF6990"/>
    <w:rsid w:val="00AF6AB3"/>
    <w:rsid w:val="00AF6D19"/>
    <w:rsid w:val="00AF6D25"/>
    <w:rsid w:val="00AF71D8"/>
    <w:rsid w:val="00AF72BB"/>
    <w:rsid w:val="00AF7421"/>
    <w:rsid w:val="00AF7788"/>
    <w:rsid w:val="00AF782C"/>
    <w:rsid w:val="00AF7AAE"/>
    <w:rsid w:val="00AF7B23"/>
    <w:rsid w:val="00AF7BD2"/>
    <w:rsid w:val="00AF7BD5"/>
    <w:rsid w:val="00AF7BEE"/>
    <w:rsid w:val="00AF7EDB"/>
    <w:rsid w:val="00AF7F87"/>
    <w:rsid w:val="00B000C1"/>
    <w:rsid w:val="00B00133"/>
    <w:rsid w:val="00B00224"/>
    <w:rsid w:val="00B00598"/>
    <w:rsid w:val="00B0070A"/>
    <w:rsid w:val="00B0086F"/>
    <w:rsid w:val="00B00999"/>
    <w:rsid w:val="00B00BA0"/>
    <w:rsid w:val="00B00C29"/>
    <w:rsid w:val="00B00DFD"/>
    <w:rsid w:val="00B011F5"/>
    <w:rsid w:val="00B01284"/>
    <w:rsid w:val="00B01BE6"/>
    <w:rsid w:val="00B01C12"/>
    <w:rsid w:val="00B01C6A"/>
    <w:rsid w:val="00B01D9F"/>
    <w:rsid w:val="00B01E9D"/>
    <w:rsid w:val="00B01F1B"/>
    <w:rsid w:val="00B023DB"/>
    <w:rsid w:val="00B024AE"/>
    <w:rsid w:val="00B029F8"/>
    <w:rsid w:val="00B02A61"/>
    <w:rsid w:val="00B02F1B"/>
    <w:rsid w:val="00B03238"/>
    <w:rsid w:val="00B035CA"/>
    <w:rsid w:val="00B035DF"/>
    <w:rsid w:val="00B0365E"/>
    <w:rsid w:val="00B03BBE"/>
    <w:rsid w:val="00B03CAB"/>
    <w:rsid w:val="00B03DE2"/>
    <w:rsid w:val="00B041DF"/>
    <w:rsid w:val="00B043F1"/>
    <w:rsid w:val="00B049E2"/>
    <w:rsid w:val="00B052AA"/>
    <w:rsid w:val="00B05DC5"/>
    <w:rsid w:val="00B05E02"/>
    <w:rsid w:val="00B05EAC"/>
    <w:rsid w:val="00B05F43"/>
    <w:rsid w:val="00B062B8"/>
    <w:rsid w:val="00B064F7"/>
    <w:rsid w:val="00B06E88"/>
    <w:rsid w:val="00B06FFB"/>
    <w:rsid w:val="00B07147"/>
    <w:rsid w:val="00B07211"/>
    <w:rsid w:val="00B0774D"/>
    <w:rsid w:val="00B077B6"/>
    <w:rsid w:val="00B078F2"/>
    <w:rsid w:val="00B07AF8"/>
    <w:rsid w:val="00B1003B"/>
    <w:rsid w:val="00B10771"/>
    <w:rsid w:val="00B10974"/>
    <w:rsid w:val="00B10ABF"/>
    <w:rsid w:val="00B10B42"/>
    <w:rsid w:val="00B10D7A"/>
    <w:rsid w:val="00B10FDB"/>
    <w:rsid w:val="00B113A2"/>
    <w:rsid w:val="00B11748"/>
    <w:rsid w:val="00B1180C"/>
    <w:rsid w:val="00B11AC1"/>
    <w:rsid w:val="00B11B66"/>
    <w:rsid w:val="00B11D69"/>
    <w:rsid w:val="00B11F0A"/>
    <w:rsid w:val="00B1224A"/>
    <w:rsid w:val="00B12277"/>
    <w:rsid w:val="00B122A9"/>
    <w:rsid w:val="00B1251B"/>
    <w:rsid w:val="00B1284E"/>
    <w:rsid w:val="00B12C4D"/>
    <w:rsid w:val="00B13040"/>
    <w:rsid w:val="00B1387D"/>
    <w:rsid w:val="00B13C73"/>
    <w:rsid w:val="00B13C79"/>
    <w:rsid w:val="00B14137"/>
    <w:rsid w:val="00B14196"/>
    <w:rsid w:val="00B14408"/>
    <w:rsid w:val="00B1477D"/>
    <w:rsid w:val="00B1487F"/>
    <w:rsid w:val="00B148BF"/>
    <w:rsid w:val="00B14B4F"/>
    <w:rsid w:val="00B15071"/>
    <w:rsid w:val="00B152A2"/>
    <w:rsid w:val="00B1539A"/>
    <w:rsid w:val="00B1553F"/>
    <w:rsid w:val="00B15693"/>
    <w:rsid w:val="00B158CD"/>
    <w:rsid w:val="00B15990"/>
    <w:rsid w:val="00B15E85"/>
    <w:rsid w:val="00B16B65"/>
    <w:rsid w:val="00B16C6A"/>
    <w:rsid w:val="00B16FB9"/>
    <w:rsid w:val="00B17087"/>
    <w:rsid w:val="00B17129"/>
    <w:rsid w:val="00B1742B"/>
    <w:rsid w:val="00B17688"/>
    <w:rsid w:val="00B177BB"/>
    <w:rsid w:val="00B17842"/>
    <w:rsid w:val="00B17BCA"/>
    <w:rsid w:val="00B17DFE"/>
    <w:rsid w:val="00B2005A"/>
    <w:rsid w:val="00B200AD"/>
    <w:rsid w:val="00B20188"/>
    <w:rsid w:val="00B20347"/>
    <w:rsid w:val="00B20431"/>
    <w:rsid w:val="00B209E6"/>
    <w:rsid w:val="00B20B8F"/>
    <w:rsid w:val="00B20C18"/>
    <w:rsid w:val="00B20DE1"/>
    <w:rsid w:val="00B21052"/>
    <w:rsid w:val="00B2140C"/>
    <w:rsid w:val="00B214BC"/>
    <w:rsid w:val="00B2153E"/>
    <w:rsid w:val="00B21C09"/>
    <w:rsid w:val="00B21EC0"/>
    <w:rsid w:val="00B21ECA"/>
    <w:rsid w:val="00B220DC"/>
    <w:rsid w:val="00B229C6"/>
    <w:rsid w:val="00B22DB4"/>
    <w:rsid w:val="00B22F0D"/>
    <w:rsid w:val="00B23293"/>
    <w:rsid w:val="00B232E0"/>
    <w:rsid w:val="00B23594"/>
    <w:rsid w:val="00B235B8"/>
    <w:rsid w:val="00B238D0"/>
    <w:rsid w:val="00B238EC"/>
    <w:rsid w:val="00B23A9C"/>
    <w:rsid w:val="00B23B9A"/>
    <w:rsid w:val="00B23D3B"/>
    <w:rsid w:val="00B23D4D"/>
    <w:rsid w:val="00B23E6A"/>
    <w:rsid w:val="00B2400A"/>
    <w:rsid w:val="00B24049"/>
    <w:rsid w:val="00B2436E"/>
    <w:rsid w:val="00B245A5"/>
    <w:rsid w:val="00B2462D"/>
    <w:rsid w:val="00B24829"/>
    <w:rsid w:val="00B24921"/>
    <w:rsid w:val="00B249E1"/>
    <w:rsid w:val="00B24B22"/>
    <w:rsid w:val="00B24F25"/>
    <w:rsid w:val="00B250D0"/>
    <w:rsid w:val="00B252B6"/>
    <w:rsid w:val="00B25310"/>
    <w:rsid w:val="00B2540B"/>
    <w:rsid w:val="00B25570"/>
    <w:rsid w:val="00B25630"/>
    <w:rsid w:val="00B2580D"/>
    <w:rsid w:val="00B25A9D"/>
    <w:rsid w:val="00B25C3D"/>
    <w:rsid w:val="00B25F77"/>
    <w:rsid w:val="00B25FBC"/>
    <w:rsid w:val="00B25FC2"/>
    <w:rsid w:val="00B26173"/>
    <w:rsid w:val="00B2630E"/>
    <w:rsid w:val="00B26763"/>
    <w:rsid w:val="00B26821"/>
    <w:rsid w:val="00B26A43"/>
    <w:rsid w:val="00B26ACE"/>
    <w:rsid w:val="00B26C44"/>
    <w:rsid w:val="00B26E6F"/>
    <w:rsid w:val="00B26FA1"/>
    <w:rsid w:val="00B27029"/>
    <w:rsid w:val="00B2729E"/>
    <w:rsid w:val="00B273C5"/>
    <w:rsid w:val="00B273DE"/>
    <w:rsid w:val="00B275E9"/>
    <w:rsid w:val="00B276F5"/>
    <w:rsid w:val="00B27840"/>
    <w:rsid w:val="00B27BB5"/>
    <w:rsid w:val="00B27E84"/>
    <w:rsid w:val="00B27EB9"/>
    <w:rsid w:val="00B301A7"/>
    <w:rsid w:val="00B301AC"/>
    <w:rsid w:val="00B30259"/>
    <w:rsid w:val="00B3037B"/>
    <w:rsid w:val="00B3039F"/>
    <w:rsid w:val="00B3083A"/>
    <w:rsid w:val="00B309CC"/>
    <w:rsid w:val="00B30A22"/>
    <w:rsid w:val="00B30A89"/>
    <w:rsid w:val="00B30BBE"/>
    <w:rsid w:val="00B30BE1"/>
    <w:rsid w:val="00B30BE9"/>
    <w:rsid w:val="00B30C51"/>
    <w:rsid w:val="00B30C94"/>
    <w:rsid w:val="00B30E93"/>
    <w:rsid w:val="00B312FE"/>
    <w:rsid w:val="00B3131B"/>
    <w:rsid w:val="00B313B2"/>
    <w:rsid w:val="00B31744"/>
    <w:rsid w:val="00B31A9E"/>
    <w:rsid w:val="00B31AB6"/>
    <w:rsid w:val="00B31AE4"/>
    <w:rsid w:val="00B31B01"/>
    <w:rsid w:val="00B31B68"/>
    <w:rsid w:val="00B31CDF"/>
    <w:rsid w:val="00B3232F"/>
    <w:rsid w:val="00B3238E"/>
    <w:rsid w:val="00B323FA"/>
    <w:rsid w:val="00B32438"/>
    <w:rsid w:val="00B324BC"/>
    <w:rsid w:val="00B3252B"/>
    <w:rsid w:val="00B32762"/>
    <w:rsid w:val="00B32766"/>
    <w:rsid w:val="00B32CC4"/>
    <w:rsid w:val="00B32DE6"/>
    <w:rsid w:val="00B32E6F"/>
    <w:rsid w:val="00B32F9B"/>
    <w:rsid w:val="00B331DE"/>
    <w:rsid w:val="00B333E2"/>
    <w:rsid w:val="00B33ADB"/>
    <w:rsid w:val="00B33BF9"/>
    <w:rsid w:val="00B33D91"/>
    <w:rsid w:val="00B33F80"/>
    <w:rsid w:val="00B34485"/>
    <w:rsid w:val="00B344B7"/>
    <w:rsid w:val="00B349AC"/>
    <w:rsid w:val="00B34A28"/>
    <w:rsid w:val="00B353A0"/>
    <w:rsid w:val="00B354EA"/>
    <w:rsid w:val="00B359B4"/>
    <w:rsid w:val="00B35BE9"/>
    <w:rsid w:val="00B3661A"/>
    <w:rsid w:val="00B366A0"/>
    <w:rsid w:val="00B36F02"/>
    <w:rsid w:val="00B3706E"/>
    <w:rsid w:val="00B3727C"/>
    <w:rsid w:val="00B37330"/>
    <w:rsid w:val="00B376E9"/>
    <w:rsid w:val="00B37734"/>
    <w:rsid w:val="00B37903"/>
    <w:rsid w:val="00B37971"/>
    <w:rsid w:val="00B3799D"/>
    <w:rsid w:val="00B379F5"/>
    <w:rsid w:val="00B37AA3"/>
    <w:rsid w:val="00B37C00"/>
    <w:rsid w:val="00B37C59"/>
    <w:rsid w:val="00B37E8B"/>
    <w:rsid w:val="00B40423"/>
    <w:rsid w:val="00B40756"/>
    <w:rsid w:val="00B40AE9"/>
    <w:rsid w:val="00B40E33"/>
    <w:rsid w:val="00B412B7"/>
    <w:rsid w:val="00B413D1"/>
    <w:rsid w:val="00B417F2"/>
    <w:rsid w:val="00B41858"/>
    <w:rsid w:val="00B41AF2"/>
    <w:rsid w:val="00B41BF0"/>
    <w:rsid w:val="00B41DCC"/>
    <w:rsid w:val="00B41F38"/>
    <w:rsid w:val="00B42838"/>
    <w:rsid w:val="00B42C1F"/>
    <w:rsid w:val="00B42E16"/>
    <w:rsid w:val="00B42F1B"/>
    <w:rsid w:val="00B42F44"/>
    <w:rsid w:val="00B43279"/>
    <w:rsid w:val="00B433A0"/>
    <w:rsid w:val="00B43746"/>
    <w:rsid w:val="00B438C8"/>
    <w:rsid w:val="00B43C66"/>
    <w:rsid w:val="00B44244"/>
    <w:rsid w:val="00B44718"/>
    <w:rsid w:val="00B4499B"/>
    <w:rsid w:val="00B44B41"/>
    <w:rsid w:val="00B450AA"/>
    <w:rsid w:val="00B45127"/>
    <w:rsid w:val="00B4523B"/>
    <w:rsid w:val="00B457CF"/>
    <w:rsid w:val="00B458D2"/>
    <w:rsid w:val="00B458F5"/>
    <w:rsid w:val="00B45A21"/>
    <w:rsid w:val="00B45A2D"/>
    <w:rsid w:val="00B45B7F"/>
    <w:rsid w:val="00B45C2B"/>
    <w:rsid w:val="00B45C54"/>
    <w:rsid w:val="00B46117"/>
    <w:rsid w:val="00B462FA"/>
    <w:rsid w:val="00B463F8"/>
    <w:rsid w:val="00B468AD"/>
    <w:rsid w:val="00B4691B"/>
    <w:rsid w:val="00B46966"/>
    <w:rsid w:val="00B469FB"/>
    <w:rsid w:val="00B46A09"/>
    <w:rsid w:val="00B46B3F"/>
    <w:rsid w:val="00B46D34"/>
    <w:rsid w:val="00B47001"/>
    <w:rsid w:val="00B47047"/>
    <w:rsid w:val="00B470F1"/>
    <w:rsid w:val="00B47336"/>
    <w:rsid w:val="00B47996"/>
    <w:rsid w:val="00B47B0C"/>
    <w:rsid w:val="00B47CC5"/>
    <w:rsid w:val="00B47E93"/>
    <w:rsid w:val="00B500AA"/>
    <w:rsid w:val="00B50217"/>
    <w:rsid w:val="00B5072C"/>
    <w:rsid w:val="00B50969"/>
    <w:rsid w:val="00B50B31"/>
    <w:rsid w:val="00B50C0A"/>
    <w:rsid w:val="00B50EE8"/>
    <w:rsid w:val="00B50FA0"/>
    <w:rsid w:val="00B510B4"/>
    <w:rsid w:val="00B512FE"/>
    <w:rsid w:val="00B513A2"/>
    <w:rsid w:val="00B513B5"/>
    <w:rsid w:val="00B5144C"/>
    <w:rsid w:val="00B514C1"/>
    <w:rsid w:val="00B51860"/>
    <w:rsid w:val="00B51932"/>
    <w:rsid w:val="00B51934"/>
    <w:rsid w:val="00B51CF5"/>
    <w:rsid w:val="00B51D2F"/>
    <w:rsid w:val="00B51E85"/>
    <w:rsid w:val="00B51F96"/>
    <w:rsid w:val="00B5216E"/>
    <w:rsid w:val="00B52707"/>
    <w:rsid w:val="00B527BA"/>
    <w:rsid w:val="00B528E5"/>
    <w:rsid w:val="00B52AE0"/>
    <w:rsid w:val="00B52B3C"/>
    <w:rsid w:val="00B53232"/>
    <w:rsid w:val="00B5338F"/>
    <w:rsid w:val="00B53535"/>
    <w:rsid w:val="00B537A9"/>
    <w:rsid w:val="00B53B67"/>
    <w:rsid w:val="00B53E40"/>
    <w:rsid w:val="00B53EAA"/>
    <w:rsid w:val="00B53EE8"/>
    <w:rsid w:val="00B54385"/>
    <w:rsid w:val="00B547A2"/>
    <w:rsid w:val="00B54D05"/>
    <w:rsid w:val="00B54E58"/>
    <w:rsid w:val="00B550A2"/>
    <w:rsid w:val="00B5537E"/>
    <w:rsid w:val="00B554E7"/>
    <w:rsid w:val="00B5558A"/>
    <w:rsid w:val="00B556AA"/>
    <w:rsid w:val="00B55809"/>
    <w:rsid w:val="00B559D3"/>
    <w:rsid w:val="00B55DCC"/>
    <w:rsid w:val="00B5601B"/>
    <w:rsid w:val="00B5601D"/>
    <w:rsid w:val="00B56647"/>
    <w:rsid w:val="00B566B3"/>
    <w:rsid w:val="00B56930"/>
    <w:rsid w:val="00B56A37"/>
    <w:rsid w:val="00B5706A"/>
    <w:rsid w:val="00B572EC"/>
    <w:rsid w:val="00B574D6"/>
    <w:rsid w:val="00B574DE"/>
    <w:rsid w:val="00B57506"/>
    <w:rsid w:val="00B5759A"/>
    <w:rsid w:val="00B57B91"/>
    <w:rsid w:val="00B57F1C"/>
    <w:rsid w:val="00B57F84"/>
    <w:rsid w:val="00B60011"/>
    <w:rsid w:val="00B60252"/>
    <w:rsid w:val="00B602C0"/>
    <w:rsid w:val="00B60887"/>
    <w:rsid w:val="00B608C5"/>
    <w:rsid w:val="00B6118A"/>
    <w:rsid w:val="00B61516"/>
    <w:rsid w:val="00B61644"/>
    <w:rsid w:val="00B61988"/>
    <w:rsid w:val="00B61B20"/>
    <w:rsid w:val="00B61BD4"/>
    <w:rsid w:val="00B61CD3"/>
    <w:rsid w:val="00B62121"/>
    <w:rsid w:val="00B62B27"/>
    <w:rsid w:val="00B62F9D"/>
    <w:rsid w:val="00B631B4"/>
    <w:rsid w:val="00B637AC"/>
    <w:rsid w:val="00B637F6"/>
    <w:rsid w:val="00B6397D"/>
    <w:rsid w:val="00B63D50"/>
    <w:rsid w:val="00B63DF1"/>
    <w:rsid w:val="00B63F22"/>
    <w:rsid w:val="00B63FF4"/>
    <w:rsid w:val="00B640D0"/>
    <w:rsid w:val="00B64217"/>
    <w:rsid w:val="00B64F0A"/>
    <w:rsid w:val="00B6508E"/>
    <w:rsid w:val="00B65524"/>
    <w:rsid w:val="00B6574C"/>
    <w:rsid w:val="00B65921"/>
    <w:rsid w:val="00B65A8D"/>
    <w:rsid w:val="00B65EE9"/>
    <w:rsid w:val="00B66382"/>
    <w:rsid w:val="00B666C4"/>
    <w:rsid w:val="00B666DE"/>
    <w:rsid w:val="00B66B95"/>
    <w:rsid w:val="00B66B99"/>
    <w:rsid w:val="00B66C0E"/>
    <w:rsid w:val="00B6708F"/>
    <w:rsid w:val="00B674C3"/>
    <w:rsid w:val="00B67967"/>
    <w:rsid w:val="00B67AA4"/>
    <w:rsid w:val="00B67D32"/>
    <w:rsid w:val="00B67E41"/>
    <w:rsid w:val="00B70100"/>
    <w:rsid w:val="00B70156"/>
    <w:rsid w:val="00B70181"/>
    <w:rsid w:val="00B7031A"/>
    <w:rsid w:val="00B7040B"/>
    <w:rsid w:val="00B70449"/>
    <w:rsid w:val="00B704BF"/>
    <w:rsid w:val="00B70BB5"/>
    <w:rsid w:val="00B70E65"/>
    <w:rsid w:val="00B70F0A"/>
    <w:rsid w:val="00B716BD"/>
    <w:rsid w:val="00B7179A"/>
    <w:rsid w:val="00B718F3"/>
    <w:rsid w:val="00B719E7"/>
    <w:rsid w:val="00B71A17"/>
    <w:rsid w:val="00B71D6D"/>
    <w:rsid w:val="00B71D98"/>
    <w:rsid w:val="00B71DD4"/>
    <w:rsid w:val="00B71EAA"/>
    <w:rsid w:val="00B71F13"/>
    <w:rsid w:val="00B7203B"/>
    <w:rsid w:val="00B7263E"/>
    <w:rsid w:val="00B72926"/>
    <w:rsid w:val="00B7295B"/>
    <w:rsid w:val="00B72978"/>
    <w:rsid w:val="00B72991"/>
    <w:rsid w:val="00B72A44"/>
    <w:rsid w:val="00B72AF9"/>
    <w:rsid w:val="00B72B0A"/>
    <w:rsid w:val="00B72CB4"/>
    <w:rsid w:val="00B731E2"/>
    <w:rsid w:val="00B73508"/>
    <w:rsid w:val="00B735F4"/>
    <w:rsid w:val="00B7366B"/>
    <w:rsid w:val="00B7381F"/>
    <w:rsid w:val="00B73822"/>
    <w:rsid w:val="00B73971"/>
    <w:rsid w:val="00B74090"/>
    <w:rsid w:val="00B74336"/>
    <w:rsid w:val="00B747CD"/>
    <w:rsid w:val="00B74A8F"/>
    <w:rsid w:val="00B74AD5"/>
    <w:rsid w:val="00B74D29"/>
    <w:rsid w:val="00B74D82"/>
    <w:rsid w:val="00B74E8C"/>
    <w:rsid w:val="00B74EA2"/>
    <w:rsid w:val="00B7556F"/>
    <w:rsid w:val="00B75623"/>
    <w:rsid w:val="00B75A61"/>
    <w:rsid w:val="00B76299"/>
    <w:rsid w:val="00B763C2"/>
    <w:rsid w:val="00B7659C"/>
    <w:rsid w:val="00B7666F"/>
    <w:rsid w:val="00B76AD4"/>
    <w:rsid w:val="00B76CC1"/>
    <w:rsid w:val="00B76EA8"/>
    <w:rsid w:val="00B76F08"/>
    <w:rsid w:val="00B77128"/>
    <w:rsid w:val="00B776C9"/>
    <w:rsid w:val="00B77802"/>
    <w:rsid w:val="00B804D5"/>
    <w:rsid w:val="00B805F9"/>
    <w:rsid w:val="00B807CF"/>
    <w:rsid w:val="00B809E7"/>
    <w:rsid w:val="00B80BE2"/>
    <w:rsid w:val="00B80D6E"/>
    <w:rsid w:val="00B81259"/>
    <w:rsid w:val="00B814C8"/>
    <w:rsid w:val="00B8157B"/>
    <w:rsid w:val="00B815EC"/>
    <w:rsid w:val="00B815EE"/>
    <w:rsid w:val="00B8179C"/>
    <w:rsid w:val="00B818CA"/>
    <w:rsid w:val="00B81B6D"/>
    <w:rsid w:val="00B81E04"/>
    <w:rsid w:val="00B82A71"/>
    <w:rsid w:val="00B82D47"/>
    <w:rsid w:val="00B82E10"/>
    <w:rsid w:val="00B83044"/>
    <w:rsid w:val="00B83250"/>
    <w:rsid w:val="00B8325C"/>
    <w:rsid w:val="00B83619"/>
    <w:rsid w:val="00B83709"/>
    <w:rsid w:val="00B8380A"/>
    <w:rsid w:val="00B83B89"/>
    <w:rsid w:val="00B83BC4"/>
    <w:rsid w:val="00B83C17"/>
    <w:rsid w:val="00B841FE"/>
    <w:rsid w:val="00B842E5"/>
    <w:rsid w:val="00B84392"/>
    <w:rsid w:val="00B847F8"/>
    <w:rsid w:val="00B84819"/>
    <w:rsid w:val="00B849B8"/>
    <w:rsid w:val="00B84AF5"/>
    <w:rsid w:val="00B84B2A"/>
    <w:rsid w:val="00B84BC0"/>
    <w:rsid w:val="00B84D2C"/>
    <w:rsid w:val="00B84F61"/>
    <w:rsid w:val="00B85230"/>
    <w:rsid w:val="00B85299"/>
    <w:rsid w:val="00B85B4D"/>
    <w:rsid w:val="00B85DFA"/>
    <w:rsid w:val="00B85F34"/>
    <w:rsid w:val="00B85FEE"/>
    <w:rsid w:val="00B8604C"/>
    <w:rsid w:val="00B860CD"/>
    <w:rsid w:val="00B862E9"/>
    <w:rsid w:val="00B864C4"/>
    <w:rsid w:val="00B86A8B"/>
    <w:rsid w:val="00B86D5B"/>
    <w:rsid w:val="00B86EDA"/>
    <w:rsid w:val="00B87168"/>
    <w:rsid w:val="00B87276"/>
    <w:rsid w:val="00B872CD"/>
    <w:rsid w:val="00B87570"/>
    <w:rsid w:val="00B877B0"/>
    <w:rsid w:val="00B87909"/>
    <w:rsid w:val="00B87AA4"/>
    <w:rsid w:val="00B87BAB"/>
    <w:rsid w:val="00B87D47"/>
    <w:rsid w:val="00B87F19"/>
    <w:rsid w:val="00B903A2"/>
    <w:rsid w:val="00B903C2"/>
    <w:rsid w:val="00B903CE"/>
    <w:rsid w:val="00B90730"/>
    <w:rsid w:val="00B90AEF"/>
    <w:rsid w:val="00B9110B"/>
    <w:rsid w:val="00B91174"/>
    <w:rsid w:val="00B911B2"/>
    <w:rsid w:val="00B914DA"/>
    <w:rsid w:val="00B91778"/>
    <w:rsid w:val="00B9195E"/>
    <w:rsid w:val="00B91973"/>
    <w:rsid w:val="00B919F5"/>
    <w:rsid w:val="00B91B7A"/>
    <w:rsid w:val="00B91C9D"/>
    <w:rsid w:val="00B91E22"/>
    <w:rsid w:val="00B91EC2"/>
    <w:rsid w:val="00B91EE6"/>
    <w:rsid w:val="00B9201B"/>
    <w:rsid w:val="00B921E1"/>
    <w:rsid w:val="00B92763"/>
    <w:rsid w:val="00B92876"/>
    <w:rsid w:val="00B92A34"/>
    <w:rsid w:val="00B92E1A"/>
    <w:rsid w:val="00B9334A"/>
    <w:rsid w:val="00B937EA"/>
    <w:rsid w:val="00B9393D"/>
    <w:rsid w:val="00B93B6C"/>
    <w:rsid w:val="00B93CCC"/>
    <w:rsid w:val="00B940C0"/>
    <w:rsid w:val="00B94107"/>
    <w:rsid w:val="00B941B3"/>
    <w:rsid w:val="00B942F0"/>
    <w:rsid w:val="00B9477B"/>
    <w:rsid w:val="00B95070"/>
    <w:rsid w:val="00B9531C"/>
    <w:rsid w:val="00B956BF"/>
    <w:rsid w:val="00B958CB"/>
    <w:rsid w:val="00B9610E"/>
    <w:rsid w:val="00B9617B"/>
    <w:rsid w:val="00B961D7"/>
    <w:rsid w:val="00B96215"/>
    <w:rsid w:val="00B96933"/>
    <w:rsid w:val="00B96969"/>
    <w:rsid w:val="00B969DE"/>
    <w:rsid w:val="00B96E2A"/>
    <w:rsid w:val="00B96E34"/>
    <w:rsid w:val="00B976E5"/>
    <w:rsid w:val="00B9785E"/>
    <w:rsid w:val="00B97887"/>
    <w:rsid w:val="00B97A12"/>
    <w:rsid w:val="00B97A26"/>
    <w:rsid w:val="00B97C02"/>
    <w:rsid w:val="00B97E62"/>
    <w:rsid w:val="00B97F31"/>
    <w:rsid w:val="00BA024B"/>
    <w:rsid w:val="00BA02D4"/>
    <w:rsid w:val="00BA06B4"/>
    <w:rsid w:val="00BA0831"/>
    <w:rsid w:val="00BA0914"/>
    <w:rsid w:val="00BA096E"/>
    <w:rsid w:val="00BA09FD"/>
    <w:rsid w:val="00BA11D9"/>
    <w:rsid w:val="00BA18C5"/>
    <w:rsid w:val="00BA1AFE"/>
    <w:rsid w:val="00BA1B51"/>
    <w:rsid w:val="00BA1DCD"/>
    <w:rsid w:val="00BA1E9A"/>
    <w:rsid w:val="00BA2510"/>
    <w:rsid w:val="00BA25D6"/>
    <w:rsid w:val="00BA2942"/>
    <w:rsid w:val="00BA29B7"/>
    <w:rsid w:val="00BA2BEC"/>
    <w:rsid w:val="00BA3909"/>
    <w:rsid w:val="00BA3BF2"/>
    <w:rsid w:val="00BA3FC3"/>
    <w:rsid w:val="00BA406E"/>
    <w:rsid w:val="00BA44D2"/>
    <w:rsid w:val="00BA4958"/>
    <w:rsid w:val="00BA5331"/>
    <w:rsid w:val="00BA54E0"/>
    <w:rsid w:val="00BA550B"/>
    <w:rsid w:val="00BA5625"/>
    <w:rsid w:val="00BA57BE"/>
    <w:rsid w:val="00BA5AC6"/>
    <w:rsid w:val="00BA5C47"/>
    <w:rsid w:val="00BA5D64"/>
    <w:rsid w:val="00BA6061"/>
    <w:rsid w:val="00BA6100"/>
    <w:rsid w:val="00BA658D"/>
    <w:rsid w:val="00BA6622"/>
    <w:rsid w:val="00BA66B2"/>
    <w:rsid w:val="00BA680A"/>
    <w:rsid w:val="00BA6969"/>
    <w:rsid w:val="00BA6A15"/>
    <w:rsid w:val="00BA6A5F"/>
    <w:rsid w:val="00BA6ABF"/>
    <w:rsid w:val="00BA6CD0"/>
    <w:rsid w:val="00BA6FCE"/>
    <w:rsid w:val="00BA6FD6"/>
    <w:rsid w:val="00BA7042"/>
    <w:rsid w:val="00BA70C9"/>
    <w:rsid w:val="00BA7179"/>
    <w:rsid w:val="00BA743E"/>
    <w:rsid w:val="00BA75BC"/>
    <w:rsid w:val="00BA771B"/>
    <w:rsid w:val="00BA7768"/>
    <w:rsid w:val="00BA79A6"/>
    <w:rsid w:val="00BA7A7E"/>
    <w:rsid w:val="00BA7A84"/>
    <w:rsid w:val="00BA7EE7"/>
    <w:rsid w:val="00BA7FE3"/>
    <w:rsid w:val="00BB0130"/>
    <w:rsid w:val="00BB09F0"/>
    <w:rsid w:val="00BB0BAD"/>
    <w:rsid w:val="00BB0ED7"/>
    <w:rsid w:val="00BB1149"/>
    <w:rsid w:val="00BB18E2"/>
    <w:rsid w:val="00BB199E"/>
    <w:rsid w:val="00BB19E2"/>
    <w:rsid w:val="00BB1C2D"/>
    <w:rsid w:val="00BB1CA7"/>
    <w:rsid w:val="00BB1CFF"/>
    <w:rsid w:val="00BB1E33"/>
    <w:rsid w:val="00BB1E55"/>
    <w:rsid w:val="00BB2104"/>
    <w:rsid w:val="00BB28EA"/>
    <w:rsid w:val="00BB2D64"/>
    <w:rsid w:val="00BB2F53"/>
    <w:rsid w:val="00BB3630"/>
    <w:rsid w:val="00BB3967"/>
    <w:rsid w:val="00BB39FF"/>
    <w:rsid w:val="00BB3AE8"/>
    <w:rsid w:val="00BB3C9A"/>
    <w:rsid w:val="00BB3E34"/>
    <w:rsid w:val="00BB3E97"/>
    <w:rsid w:val="00BB412C"/>
    <w:rsid w:val="00BB4199"/>
    <w:rsid w:val="00BB4676"/>
    <w:rsid w:val="00BB478C"/>
    <w:rsid w:val="00BB49A1"/>
    <w:rsid w:val="00BB4A43"/>
    <w:rsid w:val="00BB4C00"/>
    <w:rsid w:val="00BB4CCA"/>
    <w:rsid w:val="00BB4EBD"/>
    <w:rsid w:val="00BB4FF5"/>
    <w:rsid w:val="00BB520D"/>
    <w:rsid w:val="00BB5ED3"/>
    <w:rsid w:val="00BB60BD"/>
    <w:rsid w:val="00BB6103"/>
    <w:rsid w:val="00BB6B7B"/>
    <w:rsid w:val="00BB6D90"/>
    <w:rsid w:val="00BB6F7C"/>
    <w:rsid w:val="00BB6F94"/>
    <w:rsid w:val="00BB7071"/>
    <w:rsid w:val="00BB7479"/>
    <w:rsid w:val="00BB7634"/>
    <w:rsid w:val="00BB76D4"/>
    <w:rsid w:val="00BB77ED"/>
    <w:rsid w:val="00BB789D"/>
    <w:rsid w:val="00BB7EEF"/>
    <w:rsid w:val="00BC01A0"/>
    <w:rsid w:val="00BC0CA3"/>
    <w:rsid w:val="00BC0EBD"/>
    <w:rsid w:val="00BC0F2F"/>
    <w:rsid w:val="00BC1363"/>
    <w:rsid w:val="00BC17F0"/>
    <w:rsid w:val="00BC1B4B"/>
    <w:rsid w:val="00BC1B96"/>
    <w:rsid w:val="00BC1F9C"/>
    <w:rsid w:val="00BC1FB5"/>
    <w:rsid w:val="00BC225A"/>
    <w:rsid w:val="00BC24A1"/>
    <w:rsid w:val="00BC25C6"/>
    <w:rsid w:val="00BC25C8"/>
    <w:rsid w:val="00BC279D"/>
    <w:rsid w:val="00BC27C7"/>
    <w:rsid w:val="00BC27F9"/>
    <w:rsid w:val="00BC2A37"/>
    <w:rsid w:val="00BC2AD9"/>
    <w:rsid w:val="00BC2D46"/>
    <w:rsid w:val="00BC301D"/>
    <w:rsid w:val="00BC3A82"/>
    <w:rsid w:val="00BC3AC0"/>
    <w:rsid w:val="00BC3C87"/>
    <w:rsid w:val="00BC3C8D"/>
    <w:rsid w:val="00BC3DAA"/>
    <w:rsid w:val="00BC3E63"/>
    <w:rsid w:val="00BC3E96"/>
    <w:rsid w:val="00BC3F7B"/>
    <w:rsid w:val="00BC3FDA"/>
    <w:rsid w:val="00BC40CD"/>
    <w:rsid w:val="00BC416D"/>
    <w:rsid w:val="00BC4251"/>
    <w:rsid w:val="00BC469A"/>
    <w:rsid w:val="00BC543A"/>
    <w:rsid w:val="00BC597D"/>
    <w:rsid w:val="00BC5AB6"/>
    <w:rsid w:val="00BC5C63"/>
    <w:rsid w:val="00BC5DAF"/>
    <w:rsid w:val="00BC5DE0"/>
    <w:rsid w:val="00BC62EF"/>
    <w:rsid w:val="00BC6B17"/>
    <w:rsid w:val="00BC6DB1"/>
    <w:rsid w:val="00BC6DB9"/>
    <w:rsid w:val="00BC6EAA"/>
    <w:rsid w:val="00BC711A"/>
    <w:rsid w:val="00BC7324"/>
    <w:rsid w:val="00BC73B8"/>
    <w:rsid w:val="00BC7587"/>
    <w:rsid w:val="00BC792A"/>
    <w:rsid w:val="00BC79D4"/>
    <w:rsid w:val="00BC7D81"/>
    <w:rsid w:val="00BC7E6E"/>
    <w:rsid w:val="00BC7F50"/>
    <w:rsid w:val="00BD054D"/>
    <w:rsid w:val="00BD074B"/>
    <w:rsid w:val="00BD0772"/>
    <w:rsid w:val="00BD0A2A"/>
    <w:rsid w:val="00BD0F53"/>
    <w:rsid w:val="00BD10CE"/>
    <w:rsid w:val="00BD114C"/>
    <w:rsid w:val="00BD1511"/>
    <w:rsid w:val="00BD17DF"/>
    <w:rsid w:val="00BD18AB"/>
    <w:rsid w:val="00BD1A49"/>
    <w:rsid w:val="00BD1B75"/>
    <w:rsid w:val="00BD20FD"/>
    <w:rsid w:val="00BD210E"/>
    <w:rsid w:val="00BD2127"/>
    <w:rsid w:val="00BD2440"/>
    <w:rsid w:val="00BD2876"/>
    <w:rsid w:val="00BD28FD"/>
    <w:rsid w:val="00BD29BA"/>
    <w:rsid w:val="00BD2D7F"/>
    <w:rsid w:val="00BD2E4C"/>
    <w:rsid w:val="00BD2FFB"/>
    <w:rsid w:val="00BD33F4"/>
    <w:rsid w:val="00BD351E"/>
    <w:rsid w:val="00BD378C"/>
    <w:rsid w:val="00BD434C"/>
    <w:rsid w:val="00BD43CE"/>
    <w:rsid w:val="00BD45D7"/>
    <w:rsid w:val="00BD487A"/>
    <w:rsid w:val="00BD4BFF"/>
    <w:rsid w:val="00BD4DB0"/>
    <w:rsid w:val="00BD510F"/>
    <w:rsid w:val="00BD5544"/>
    <w:rsid w:val="00BD5E55"/>
    <w:rsid w:val="00BD5E94"/>
    <w:rsid w:val="00BD6553"/>
    <w:rsid w:val="00BD6605"/>
    <w:rsid w:val="00BD69B9"/>
    <w:rsid w:val="00BD6A4D"/>
    <w:rsid w:val="00BD6C5C"/>
    <w:rsid w:val="00BD6DBB"/>
    <w:rsid w:val="00BD6E4E"/>
    <w:rsid w:val="00BD70C5"/>
    <w:rsid w:val="00BD7489"/>
    <w:rsid w:val="00BD763F"/>
    <w:rsid w:val="00BD77B7"/>
    <w:rsid w:val="00BD77F9"/>
    <w:rsid w:val="00BD7A25"/>
    <w:rsid w:val="00BD7D7E"/>
    <w:rsid w:val="00BE0029"/>
    <w:rsid w:val="00BE016F"/>
    <w:rsid w:val="00BE04A5"/>
    <w:rsid w:val="00BE079D"/>
    <w:rsid w:val="00BE08E1"/>
    <w:rsid w:val="00BE0A76"/>
    <w:rsid w:val="00BE0B36"/>
    <w:rsid w:val="00BE0C4F"/>
    <w:rsid w:val="00BE0CE9"/>
    <w:rsid w:val="00BE12AF"/>
    <w:rsid w:val="00BE12DA"/>
    <w:rsid w:val="00BE1509"/>
    <w:rsid w:val="00BE169F"/>
    <w:rsid w:val="00BE17BA"/>
    <w:rsid w:val="00BE1AAD"/>
    <w:rsid w:val="00BE1C58"/>
    <w:rsid w:val="00BE1F7E"/>
    <w:rsid w:val="00BE2097"/>
    <w:rsid w:val="00BE2129"/>
    <w:rsid w:val="00BE22E6"/>
    <w:rsid w:val="00BE22EF"/>
    <w:rsid w:val="00BE22F2"/>
    <w:rsid w:val="00BE25AF"/>
    <w:rsid w:val="00BE292C"/>
    <w:rsid w:val="00BE2999"/>
    <w:rsid w:val="00BE2E8B"/>
    <w:rsid w:val="00BE2F7C"/>
    <w:rsid w:val="00BE3176"/>
    <w:rsid w:val="00BE31BC"/>
    <w:rsid w:val="00BE354A"/>
    <w:rsid w:val="00BE3647"/>
    <w:rsid w:val="00BE3E00"/>
    <w:rsid w:val="00BE3E0F"/>
    <w:rsid w:val="00BE40AE"/>
    <w:rsid w:val="00BE4375"/>
    <w:rsid w:val="00BE43C2"/>
    <w:rsid w:val="00BE44EB"/>
    <w:rsid w:val="00BE4798"/>
    <w:rsid w:val="00BE4DAA"/>
    <w:rsid w:val="00BE4E83"/>
    <w:rsid w:val="00BE4F5D"/>
    <w:rsid w:val="00BE5069"/>
    <w:rsid w:val="00BE52C5"/>
    <w:rsid w:val="00BE53ED"/>
    <w:rsid w:val="00BE5404"/>
    <w:rsid w:val="00BE5604"/>
    <w:rsid w:val="00BE56C0"/>
    <w:rsid w:val="00BE595F"/>
    <w:rsid w:val="00BE61A9"/>
    <w:rsid w:val="00BE621B"/>
    <w:rsid w:val="00BE62CF"/>
    <w:rsid w:val="00BE699B"/>
    <w:rsid w:val="00BE6B45"/>
    <w:rsid w:val="00BE6CB4"/>
    <w:rsid w:val="00BE6D3A"/>
    <w:rsid w:val="00BE7029"/>
    <w:rsid w:val="00BE703E"/>
    <w:rsid w:val="00BE7050"/>
    <w:rsid w:val="00BE7441"/>
    <w:rsid w:val="00BE7488"/>
    <w:rsid w:val="00BE74C8"/>
    <w:rsid w:val="00BE75F7"/>
    <w:rsid w:val="00BE7651"/>
    <w:rsid w:val="00BE76F5"/>
    <w:rsid w:val="00BE779F"/>
    <w:rsid w:val="00BE7880"/>
    <w:rsid w:val="00BE792C"/>
    <w:rsid w:val="00BE7C8E"/>
    <w:rsid w:val="00BE7D58"/>
    <w:rsid w:val="00BF0786"/>
    <w:rsid w:val="00BF0A5F"/>
    <w:rsid w:val="00BF0ACF"/>
    <w:rsid w:val="00BF1069"/>
    <w:rsid w:val="00BF1675"/>
    <w:rsid w:val="00BF1AF8"/>
    <w:rsid w:val="00BF1C69"/>
    <w:rsid w:val="00BF2556"/>
    <w:rsid w:val="00BF26ED"/>
    <w:rsid w:val="00BF276E"/>
    <w:rsid w:val="00BF288D"/>
    <w:rsid w:val="00BF2C83"/>
    <w:rsid w:val="00BF3013"/>
    <w:rsid w:val="00BF326B"/>
    <w:rsid w:val="00BF3414"/>
    <w:rsid w:val="00BF3FBF"/>
    <w:rsid w:val="00BF4494"/>
    <w:rsid w:val="00BF44A3"/>
    <w:rsid w:val="00BF4692"/>
    <w:rsid w:val="00BF46AE"/>
    <w:rsid w:val="00BF4B76"/>
    <w:rsid w:val="00BF4C02"/>
    <w:rsid w:val="00BF4E45"/>
    <w:rsid w:val="00BF4FE9"/>
    <w:rsid w:val="00BF505E"/>
    <w:rsid w:val="00BF5298"/>
    <w:rsid w:val="00BF529A"/>
    <w:rsid w:val="00BF53B9"/>
    <w:rsid w:val="00BF555B"/>
    <w:rsid w:val="00BF55D5"/>
    <w:rsid w:val="00BF56F7"/>
    <w:rsid w:val="00BF5869"/>
    <w:rsid w:val="00BF5C15"/>
    <w:rsid w:val="00BF6012"/>
    <w:rsid w:val="00BF6420"/>
    <w:rsid w:val="00BF6489"/>
    <w:rsid w:val="00BF64EE"/>
    <w:rsid w:val="00BF6592"/>
    <w:rsid w:val="00BF663E"/>
    <w:rsid w:val="00BF6B5E"/>
    <w:rsid w:val="00BF7216"/>
    <w:rsid w:val="00BF72BD"/>
    <w:rsid w:val="00BF740C"/>
    <w:rsid w:val="00BF79AD"/>
    <w:rsid w:val="00BF7BC2"/>
    <w:rsid w:val="00BF7C4E"/>
    <w:rsid w:val="00BF7EC1"/>
    <w:rsid w:val="00BF7F23"/>
    <w:rsid w:val="00C00033"/>
    <w:rsid w:val="00C000EE"/>
    <w:rsid w:val="00C001AE"/>
    <w:rsid w:val="00C00298"/>
    <w:rsid w:val="00C00727"/>
    <w:rsid w:val="00C007BD"/>
    <w:rsid w:val="00C00960"/>
    <w:rsid w:val="00C00ECC"/>
    <w:rsid w:val="00C00FAB"/>
    <w:rsid w:val="00C01420"/>
    <w:rsid w:val="00C01617"/>
    <w:rsid w:val="00C01953"/>
    <w:rsid w:val="00C01A0C"/>
    <w:rsid w:val="00C01EDC"/>
    <w:rsid w:val="00C01F2C"/>
    <w:rsid w:val="00C025C3"/>
    <w:rsid w:val="00C0265D"/>
    <w:rsid w:val="00C02660"/>
    <w:rsid w:val="00C02988"/>
    <w:rsid w:val="00C02AA8"/>
    <w:rsid w:val="00C02C66"/>
    <w:rsid w:val="00C02C8E"/>
    <w:rsid w:val="00C02D64"/>
    <w:rsid w:val="00C0305B"/>
    <w:rsid w:val="00C032DE"/>
    <w:rsid w:val="00C03350"/>
    <w:rsid w:val="00C03376"/>
    <w:rsid w:val="00C0371F"/>
    <w:rsid w:val="00C03873"/>
    <w:rsid w:val="00C03897"/>
    <w:rsid w:val="00C03C3A"/>
    <w:rsid w:val="00C03DC8"/>
    <w:rsid w:val="00C03DF7"/>
    <w:rsid w:val="00C042E2"/>
    <w:rsid w:val="00C0431C"/>
    <w:rsid w:val="00C04369"/>
    <w:rsid w:val="00C0495D"/>
    <w:rsid w:val="00C04A64"/>
    <w:rsid w:val="00C04E03"/>
    <w:rsid w:val="00C04ED8"/>
    <w:rsid w:val="00C0501B"/>
    <w:rsid w:val="00C05571"/>
    <w:rsid w:val="00C055EE"/>
    <w:rsid w:val="00C056C6"/>
    <w:rsid w:val="00C05CFD"/>
    <w:rsid w:val="00C0610A"/>
    <w:rsid w:val="00C068D1"/>
    <w:rsid w:val="00C06979"/>
    <w:rsid w:val="00C06A55"/>
    <w:rsid w:val="00C06B09"/>
    <w:rsid w:val="00C06B59"/>
    <w:rsid w:val="00C07816"/>
    <w:rsid w:val="00C0795F"/>
    <w:rsid w:val="00C07E8A"/>
    <w:rsid w:val="00C10040"/>
    <w:rsid w:val="00C102EA"/>
    <w:rsid w:val="00C1033C"/>
    <w:rsid w:val="00C1042F"/>
    <w:rsid w:val="00C10624"/>
    <w:rsid w:val="00C10853"/>
    <w:rsid w:val="00C10A80"/>
    <w:rsid w:val="00C10BD2"/>
    <w:rsid w:val="00C10BE8"/>
    <w:rsid w:val="00C10D58"/>
    <w:rsid w:val="00C10E8E"/>
    <w:rsid w:val="00C111A3"/>
    <w:rsid w:val="00C11BDE"/>
    <w:rsid w:val="00C11D5A"/>
    <w:rsid w:val="00C11E62"/>
    <w:rsid w:val="00C12090"/>
    <w:rsid w:val="00C12100"/>
    <w:rsid w:val="00C121E4"/>
    <w:rsid w:val="00C12282"/>
    <w:rsid w:val="00C12D81"/>
    <w:rsid w:val="00C12E3C"/>
    <w:rsid w:val="00C12E8E"/>
    <w:rsid w:val="00C1308B"/>
    <w:rsid w:val="00C130E3"/>
    <w:rsid w:val="00C13390"/>
    <w:rsid w:val="00C13391"/>
    <w:rsid w:val="00C13619"/>
    <w:rsid w:val="00C13694"/>
    <w:rsid w:val="00C13724"/>
    <w:rsid w:val="00C137DB"/>
    <w:rsid w:val="00C13970"/>
    <w:rsid w:val="00C139A5"/>
    <w:rsid w:val="00C13A51"/>
    <w:rsid w:val="00C13FC1"/>
    <w:rsid w:val="00C141B3"/>
    <w:rsid w:val="00C148D1"/>
    <w:rsid w:val="00C14AFC"/>
    <w:rsid w:val="00C14B31"/>
    <w:rsid w:val="00C14C74"/>
    <w:rsid w:val="00C14CFF"/>
    <w:rsid w:val="00C15053"/>
    <w:rsid w:val="00C154F9"/>
    <w:rsid w:val="00C15B5C"/>
    <w:rsid w:val="00C16208"/>
    <w:rsid w:val="00C16529"/>
    <w:rsid w:val="00C1659D"/>
    <w:rsid w:val="00C166D2"/>
    <w:rsid w:val="00C16787"/>
    <w:rsid w:val="00C16A0B"/>
    <w:rsid w:val="00C16D06"/>
    <w:rsid w:val="00C16E0A"/>
    <w:rsid w:val="00C16F23"/>
    <w:rsid w:val="00C17120"/>
    <w:rsid w:val="00C171D2"/>
    <w:rsid w:val="00C1721B"/>
    <w:rsid w:val="00C1733A"/>
    <w:rsid w:val="00C17522"/>
    <w:rsid w:val="00C175D7"/>
    <w:rsid w:val="00C1762F"/>
    <w:rsid w:val="00C17797"/>
    <w:rsid w:val="00C17964"/>
    <w:rsid w:val="00C17B7C"/>
    <w:rsid w:val="00C17C74"/>
    <w:rsid w:val="00C17DC6"/>
    <w:rsid w:val="00C201FB"/>
    <w:rsid w:val="00C203C3"/>
    <w:rsid w:val="00C2045C"/>
    <w:rsid w:val="00C204AF"/>
    <w:rsid w:val="00C20CBD"/>
    <w:rsid w:val="00C20E32"/>
    <w:rsid w:val="00C21173"/>
    <w:rsid w:val="00C2120F"/>
    <w:rsid w:val="00C21B75"/>
    <w:rsid w:val="00C21CA9"/>
    <w:rsid w:val="00C223F4"/>
    <w:rsid w:val="00C22747"/>
    <w:rsid w:val="00C22751"/>
    <w:rsid w:val="00C2275F"/>
    <w:rsid w:val="00C22E07"/>
    <w:rsid w:val="00C22E4E"/>
    <w:rsid w:val="00C22FEF"/>
    <w:rsid w:val="00C23087"/>
    <w:rsid w:val="00C230D5"/>
    <w:rsid w:val="00C230F7"/>
    <w:rsid w:val="00C2329B"/>
    <w:rsid w:val="00C2350A"/>
    <w:rsid w:val="00C2354D"/>
    <w:rsid w:val="00C23589"/>
    <w:rsid w:val="00C23673"/>
    <w:rsid w:val="00C23AE0"/>
    <w:rsid w:val="00C23B3A"/>
    <w:rsid w:val="00C23B9F"/>
    <w:rsid w:val="00C23DE0"/>
    <w:rsid w:val="00C23E2E"/>
    <w:rsid w:val="00C23E6E"/>
    <w:rsid w:val="00C23E78"/>
    <w:rsid w:val="00C23F0D"/>
    <w:rsid w:val="00C23F1E"/>
    <w:rsid w:val="00C23F7E"/>
    <w:rsid w:val="00C241E8"/>
    <w:rsid w:val="00C2425F"/>
    <w:rsid w:val="00C245E7"/>
    <w:rsid w:val="00C2470C"/>
    <w:rsid w:val="00C24716"/>
    <w:rsid w:val="00C24AB5"/>
    <w:rsid w:val="00C24E42"/>
    <w:rsid w:val="00C25275"/>
    <w:rsid w:val="00C2530B"/>
    <w:rsid w:val="00C253D7"/>
    <w:rsid w:val="00C25520"/>
    <w:rsid w:val="00C255E8"/>
    <w:rsid w:val="00C2575D"/>
    <w:rsid w:val="00C25939"/>
    <w:rsid w:val="00C25A30"/>
    <w:rsid w:val="00C25ABE"/>
    <w:rsid w:val="00C25E30"/>
    <w:rsid w:val="00C25E5A"/>
    <w:rsid w:val="00C25FE4"/>
    <w:rsid w:val="00C26041"/>
    <w:rsid w:val="00C261CA"/>
    <w:rsid w:val="00C2639F"/>
    <w:rsid w:val="00C263F5"/>
    <w:rsid w:val="00C266D4"/>
    <w:rsid w:val="00C26A70"/>
    <w:rsid w:val="00C26B97"/>
    <w:rsid w:val="00C26D65"/>
    <w:rsid w:val="00C2728B"/>
    <w:rsid w:val="00C27574"/>
    <w:rsid w:val="00C27B01"/>
    <w:rsid w:val="00C27F65"/>
    <w:rsid w:val="00C27F7E"/>
    <w:rsid w:val="00C27F8D"/>
    <w:rsid w:val="00C301EA"/>
    <w:rsid w:val="00C30222"/>
    <w:rsid w:val="00C3108D"/>
    <w:rsid w:val="00C3119F"/>
    <w:rsid w:val="00C311A1"/>
    <w:rsid w:val="00C31438"/>
    <w:rsid w:val="00C317C5"/>
    <w:rsid w:val="00C31C3C"/>
    <w:rsid w:val="00C3207B"/>
    <w:rsid w:val="00C3232D"/>
    <w:rsid w:val="00C324E6"/>
    <w:rsid w:val="00C3254F"/>
    <w:rsid w:val="00C32780"/>
    <w:rsid w:val="00C32A1E"/>
    <w:rsid w:val="00C32B3A"/>
    <w:rsid w:val="00C32C3C"/>
    <w:rsid w:val="00C32CDD"/>
    <w:rsid w:val="00C32E64"/>
    <w:rsid w:val="00C330CC"/>
    <w:rsid w:val="00C331AF"/>
    <w:rsid w:val="00C3370F"/>
    <w:rsid w:val="00C33B35"/>
    <w:rsid w:val="00C3414B"/>
    <w:rsid w:val="00C342C6"/>
    <w:rsid w:val="00C3453C"/>
    <w:rsid w:val="00C34A1F"/>
    <w:rsid w:val="00C34B61"/>
    <w:rsid w:val="00C34B6D"/>
    <w:rsid w:val="00C34F8A"/>
    <w:rsid w:val="00C35073"/>
    <w:rsid w:val="00C351D6"/>
    <w:rsid w:val="00C358D0"/>
    <w:rsid w:val="00C35BE1"/>
    <w:rsid w:val="00C35CD6"/>
    <w:rsid w:val="00C35CD7"/>
    <w:rsid w:val="00C35DB0"/>
    <w:rsid w:val="00C36079"/>
    <w:rsid w:val="00C3608E"/>
    <w:rsid w:val="00C3697D"/>
    <w:rsid w:val="00C36B0A"/>
    <w:rsid w:val="00C36D9E"/>
    <w:rsid w:val="00C370A3"/>
    <w:rsid w:val="00C3721F"/>
    <w:rsid w:val="00C37221"/>
    <w:rsid w:val="00C372FB"/>
    <w:rsid w:val="00C37360"/>
    <w:rsid w:val="00C373A6"/>
    <w:rsid w:val="00C374D7"/>
    <w:rsid w:val="00C375D9"/>
    <w:rsid w:val="00C37C29"/>
    <w:rsid w:val="00C401C5"/>
    <w:rsid w:val="00C403C4"/>
    <w:rsid w:val="00C40740"/>
    <w:rsid w:val="00C40B9E"/>
    <w:rsid w:val="00C40ED6"/>
    <w:rsid w:val="00C410DA"/>
    <w:rsid w:val="00C41271"/>
    <w:rsid w:val="00C4154C"/>
    <w:rsid w:val="00C41701"/>
    <w:rsid w:val="00C4226E"/>
    <w:rsid w:val="00C422C4"/>
    <w:rsid w:val="00C42668"/>
    <w:rsid w:val="00C428B9"/>
    <w:rsid w:val="00C42B50"/>
    <w:rsid w:val="00C42EA7"/>
    <w:rsid w:val="00C42F46"/>
    <w:rsid w:val="00C43080"/>
    <w:rsid w:val="00C4313D"/>
    <w:rsid w:val="00C4321C"/>
    <w:rsid w:val="00C432B0"/>
    <w:rsid w:val="00C433F0"/>
    <w:rsid w:val="00C43BB8"/>
    <w:rsid w:val="00C43CB4"/>
    <w:rsid w:val="00C43E6D"/>
    <w:rsid w:val="00C43F02"/>
    <w:rsid w:val="00C44193"/>
    <w:rsid w:val="00C4420A"/>
    <w:rsid w:val="00C443B0"/>
    <w:rsid w:val="00C443EB"/>
    <w:rsid w:val="00C4446E"/>
    <w:rsid w:val="00C4463D"/>
    <w:rsid w:val="00C44819"/>
    <w:rsid w:val="00C4493E"/>
    <w:rsid w:val="00C44B10"/>
    <w:rsid w:val="00C44BEB"/>
    <w:rsid w:val="00C44CFC"/>
    <w:rsid w:val="00C44D0F"/>
    <w:rsid w:val="00C44FC9"/>
    <w:rsid w:val="00C4541E"/>
    <w:rsid w:val="00C454A5"/>
    <w:rsid w:val="00C4552E"/>
    <w:rsid w:val="00C45C68"/>
    <w:rsid w:val="00C45D9B"/>
    <w:rsid w:val="00C45FF6"/>
    <w:rsid w:val="00C460D8"/>
    <w:rsid w:val="00C461B9"/>
    <w:rsid w:val="00C46407"/>
    <w:rsid w:val="00C46657"/>
    <w:rsid w:val="00C466C0"/>
    <w:rsid w:val="00C467A1"/>
    <w:rsid w:val="00C468FA"/>
    <w:rsid w:val="00C46B2D"/>
    <w:rsid w:val="00C46DA1"/>
    <w:rsid w:val="00C46E4C"/>
    <w:rsid w:val="00C46ED7"/>
    <w:rsid w:val="00C47007"/>
    <w:rsid w:val="00C47421"/>
    <w:rsid w:val="00C47561"/>
    <w:rsid w:val="00C475BC"/>
    <w:rsid w:val="00C479F6"/>
    <w:rsid w:val="00C47C76"/>
    <w:rsid w:val="00C47FD9"/>
    <w:rsid w:val="00C502D4"/>
    <w:rsid w:val="00C5065E"/>
    <w:rsid w:val="00C50B3C"/>
    <w:rsid w:val="00C50E70"/>
    <w:rsid w:val="00C50FD3"/>
    <w:rsid w:val="00C51EBB"/>
    <w:rsid w:val="00C51F93"/>
    <w:rsid w:val="00C51F96"/>
    <w:rsid w:val="00C51FCA"/>
    <w:rsid w:val="00C52215"/>
    <w:rsid w:val="00C52962"/>
    <w:rsid w:val="00C52A2E"/>
    <w:rsid w:val="00C52AF7"/>
    <w:rsid w:val="00C5307B"/>
    <w:rsid w:val="00C53266"/>
    <w:rsid w:val="00C5326D"/>
    <w:rsid w:val="00C5348D"/>
    <w:rsid w:val="00C537E9"/>
    <w:rsid w:val="00C5398B"/>
    <w:rsid w:val="00C53A21"/>
    <w:rsid w:val="00C53B1B"/>
    <w:rsid w:val="00C53CD4"/>
    <w:rsid w:val="00C54339"/>
    <w:rsid w:val="00C543F1"/>
    <w:rsid w:val="00C5457C"/>
    <w:rsid w:val="00C545C3"/>
    <w:rsid w:val="00C54838"/>
    <w:rsid w:val="00C54E31"/>
    <w:rsid w:val="00C551C8"/>
    <w:rsid w:val="00C555DF"/>
    <w:rsid w:val="00C558FF"/>
    <w:rsid w:val="00C55CAA"/>
    <w:rsid w:val="00C562D3"/>
    <w:rsid w:val="00C56677"/>
    <w:rsid w:val="00C5673D"/>
    <w:rsid w:val="00C567E9"/>
    <w:rsid w:val="00C5692E"/>
    <w:rsid w:val="00C56B79"/>
    <w:rsid w:val="00C56D89"/>
    <w:rsid w:val="00C571CB"/>
    <w:rsid w:val="00C57324"/>
    <w:rsid w:val="00C57555"/>
    <w:rsid w:val="00C57598"/>
    <w:rsid w:val="00C577CE"/>
    <w:rsid w:val="00C5785E"/>
    <w:rsid w:val="00C5797C"/>
    <w:rsid w:val="00C579BD"/>
    <w:rsid w:val="00C57AA9"/>
    <w:rsid w:val="00C57FE9"/>
    <w:rsid w:val="00C6013D"/>
    <w:rsid w:val="00C60246"/>
    <w:rsid w:val="00C60760"/>
    <w:rsid w:val="00C60AB1"/>
    <w:rsid w:val="00C60DB8"/>
    <w:rsid w:val="00C60DD3"/>
    <w:rsid w:val="00C60DE7"/>
    <w:rsid w:val="00C6121F"/>
    <w:rsid w:val="00C61419"/>
    <w:rsid w:val="00C61509"/>
    <w:rsid w:val="00C6178D"/>
    <w:rsid w:val="00C61873"/>
    <w:rsid w:val="00C61BDB"/>
    <w:rsid w:val="00C61D1C"/>
    <w:rsid w:val="00C61F60"/>
    <w:rsid w:val="00C61F66"/>
    <w:rsid w:val="00C62108"/>
    <w:rsid w:val="00C62436"/>
    <w:rsid w:val="00C625B3"/>
    <w:rsid w:val="00C62708"/>
    <w:rsid w:val="00C629FA"/>
    <w:rsid w:val="00C62C4F"/>
    <w:rsid w:val="00C62C8F"/>
    <w:rsid w:val="00C62E81"/>
    <w:rsid w:val="00C62FFB"/>
    <w:rsid w:val="00C636A0"/>
    <w:rsid w:val="00C636ED"/>
    <w:rsid w:val="00C63976"/>
    <w:rsid w:val="00C639FD"/>
    <w:rsid w:val="00C63A33"/>
    <w:rsid w:val="00C63A90"/>
    <w:rsid w:val="00C63AC0"/>
    <w:rsid w:val="00C63BC5"/>
    <w:rsid w:val="00C63E96"/>
    <w:rsid w:val="00C63F13"/>
    <w:rsid w:val="00C64885"/>
    <w:rsid w:val="00C64928"/>
    <w:rsid w:val="00C64C2A"/>
    <w:rsid w:val="00C64DBD"/>
    <w:rsid w:val="00C64E8B"/>
    <w:rsid w:val="00C650B9"/>
    <w:rsid w:val="00C6535E"/>
    <w:rsid w:val="00C654B5"/>
    <w:rsid w:val="00C659AB"/>
    <w:rsid w:val="00C659CC"/>
    <w:rsid w:val="00C65BBA"/>
    <w:rsid w:val="00C65C2C"/>
    <w:rsid w:val="00C65C6B"/>
    <w:rsid w:val="00C65D19"/>
    <w:rsid w:val="00C65DD2"/>
    <w:rsid w:val="00C66114"/>
    <w:rsid w:val="00C66120"/>
    <w:rsid w:val="00C662D6"/>
    <w:rsid w:val="00C6642A"/>
    <w:rsid w:val="00C66636"/>
    <w:rsid w:val="00C66953"/>
    <w:rsid w:val="00C66C49"/>
    <w:rsid w:val="00C66C9F"/>
    <w:rsid w:val="00C66FAA"/>
    <w:rsid w:val="00C67041"/>
    <w:rsid w:val="00C67520"/>
    <w:rsid w:val="00C675DF"/>
    <w:rsid w:val="00C676E6"/>
    <w:rsid w:val="00C677F6"/>
    <w:rsid w:val="00C67B52"/>
    <w:rsid w:val="00C67DEA"/>
    <w:rsid w:val="00C67F0C"/>
    <w:rsid w:val="00C700B1"/>
    <w:rsid w:val="00C7012A"/>
    <w:rsid w:val="00C70220"/>
    <w:rsid w:val="00C703BB"/>
    <w:rsid w:val="00C70409"/>
    <w:rsid w:val="00C70BC5"/>
    <w:rsid w:val="00C71541"/>
    <w:rsid w:val="00C719DA"/>
    <w:rsid w:val="00C71A3A"/>
    <w:rsid w:val="00C71AFB"/>
    <w:rsid w:val="00C71B4F"/>
    <w:rsid w:val="00C71CA9"/>
    <w:rsid w:val="00C71EC6"/>
    <w:rsid w:val="00C72AF0"/>
    <w:rsid w:val="00C73011"/>
    <w:rsid w:val="00C730DB"/>
    <w:rsid w:val="00C73249"/>
    <w:rsid w:val="00C73327"/>
    <w:rsid w:val="00C73335"/>
    <w:rsid w:val="00C7346F"/>
    <w:rsid w:val="00C73A45"/>
    <w:rsid w:val="00C73DA2"/>
    <w:rsid w:val="00C73DE5"/>
    <w:rsid w:val="00C73EBD"/>
    <w:rsid w:val="00C748D7"/>
    <w:rsid w:val="00C74ACD"/>
    <w:rsid w:val="00C74BB0"/>
    <w:rsid w:val="00C74BE4"/>
    <w:rsid w:val="00C74BF3"/>
    <w:rsid w:val="00C74C46"/>
    <w:rsid w:val="00C75053"/>
    <w:rsid w:val="00C751E2"/>
    <w:rsid w:val="00C7543F"/>
    <w:rsid w:val="00C7548E"/>
    <w:rsid w:val="00C75514"/>
    <w:rsid w:val="00C75590"/>
    <w:rsid w:val="00C7564D"/>
    <w:rsid w:val="00C75658"/>
    <w:rsid w:val="00C75863"/>
    <w:rsid w:val="00C75AB1"/>
    <w:rsid w:val="00C75ACB"/>
    <w:rsid w:val="00C75B28"/>
    <w:rsid w:val="00C75E77"/>
    <w:rsid w:val="00C76046"/>
    <w:rsid w:val="00C76529"/>
    <w:rsid w:val="00C76667"/>
    <w:rsid w:val="00C76693"/>
    <w:rsid w:val="00C76C9B"/>
    <w:rsid w:val="00C76DCB"/>
    <w:rsid w:val="00C76E87"/>
    <w:rsid w:val="00C770F5"/>
    <w:rsid w:val="00C774A7"/>
    <w:rsid w:val="00C7757E"/>
    <w:rsid w:val="00C77920"/>
    <w:rsid w:val="00C77B5D"/>
    <w:rsid w:val="00C77BFA"/>
    <w:rsid w:val="00C77C81"/>
    <w:rsid w:val="00C77E0C"/>
    <w:rsid w:val="00C77EF8"/>
    <w:rsid w:val="00C80089"/>
    <w:rsid w:val="00C803E6"/>
    <w:rsid w:val="00C804F6"/>
    <w:rsid w:val="00C80946"/>
    <w:rsid w:val="00C80BE7"/>
    <w:rsid w:val="00C8100D"/>
    <w:rsid w:val="00C8128E"/>
    <w:rsid w:val="00C8142E"/>
    <w:rsid w:val="00C81527"/>
    <w:rsid w:val="00C820A3"/>
    <w:rsid w:val="00C821DF"/>
    <w:rsid w:val="00C8252E"/>
    <w:rsid w:val="00C826D2"/>
    <w:rsid w:val="00C82955"/>
    <w:rsid w:val="00C82A09"/>
    <w:rsid w:val="00C82BEB"/>
    <w:rsid w:val="00C82C19"/>
    <w:rsid w:val="00C82F7D"/>
    <w:rsid w:val="00C831F7"/>
    <w:rsid w:val="00C836DF"/>
    <w:rsid w:val="00C8381C"/>
    <w:rsid w:val="00C83AEC"/>
    <w:rsid w:val="00C83B32"/>
    <w:rsid w:val="00C83E7F"/>
    <w:rsid w:val="00C83ED2"/>
    <w:rsid w:val="00C83F0C"/>
    <w:rsid w:val="00C84112"/>
    <w:rsid w:val="00C84459"/>
    <w:rsid w:val="00C8481A"/>
    <w:rsid w:val="00C84BE8"/>
    <w:rsid w:val="00C851CA"/>
    <w:rsid w:val="00C85635"/>
    <w:rsid w:val="00C859F0"/>
    <w:rsid w:val="00C85E6E"/>
    <w:rsid w:val="00C8606C"/>
    <w:rsid w:val="00C8614C"/>
    <w:rsid w:val="00C861CA"/>
    <w:rsid w:val="00C8671D"/>
    <w:rsid w:val="00C867AF"/>
    <w:rsid w:val="00C86E1E"/>
    <w:rsid w:val="00C8711E"/>
    <w:rsid w:val="00C871D0"/>
    <w:rsid w:val="00C872FB"/>
    <w:rsid w:val="00C87353"/>
    <w:rsid w:val="00C8756B"/>
    <w:rsid w:val="00C87B1A"/>
    <w:rsid w:val="00C87BEA"/>
    <w:rsid w:val="00C87C35"/>
    <w:rsid w:val="00C87EAB"/>
    <w:rsid w:val="00C900EB"/>
    <w:rsid w:val="00C90608"/>
    <w:rsid w:val="00C9081B"/>
    <w:rsid w:val="00C90C9B"/>
    <w:rsid w:val="00C90D15"/>
    <w:rsid w:val="00C90FF4"/>
    <w:rsid w:val="00C91038"/>
    <w:rsid w:val="00C91324"/>
    <w:rsid w:val="00C913CD"/>
    <w:rsid w:val="00C91B73"/>
    <w:rsid w:val="00C91C28"/>
    <w:rsid w:val="00C920E0"/>
    <w:rsid w:val="00C925AB"/>
    <w:rsid w:val="00C925AC"/>
    <w:rsid w:val="00C927DD"/>
    <w:rsid w:val="00C927E1"/>
    <w:rsid w:val="00C92D54"/>
    <w:rsid w:val="00C930B4"/>
    <w:rsid w:val="00C93120"/>
    <w:rsid w:val="00C93160"/>
    <w:rsid w:val="00C93B56"/>
    <w:rsid w:val="00C93BD1"/>
    <w:rsid w:val="00C94142"/>
    <w:rsid w:val="00C94191"/>
    <w:rsid w:val="00C942D8"/>
    <w:rsid w:val="00C9483C"/>
    <w:rsid w:val="00C948A3"/>
    <w:rsid w:val="00C94A0B"/>
    <w:rsid w:val="00C94B12"/>
    <w:rsid w:val="00C94D92"/>
    <w:rsid w:val="00C94FB2"/>
    <w:rsid w:val="00C95180"/>
    <w:rsid w:val="00C95417"/>
    <w:rsid w:val="00C95581"/>
    <w:rsid w:val="00C9575C"/>
    <w:rsid w:val="00C95946"/>
    <w:rsid w:val="00C95B98"/>
    <w:rsid w:val="00C963EE"/>
    <w:rsid w:val="00C963F6"/>
    <w:rsid w:val="00C964F1"/>
    <w:rsid w:val="00C96647"/>
    <w:rsid w:val="00C96960"/>
    <w:rsid w:val="00C96CD9"/>
    <w:rsid w:val="00C971AE"/>
    <w:rsid w:val="00C9773B"/>
    <w:rsid w:val="00C97C12"/>
    <w:rsid w:val="00CA0189"/>
    <w:rsid w:val="00CA0701"/>
    <w:rsid w:val="00CA07F3"/>
    <w:rsid w:val="00CA08E7"/>
    <w:rsid w:val="00CA0963"/>
    <w:rsid w:val="00CA0A23"/>
    <w:rsid w:val="00CA107F"/>
    <w:rsid w:val="00CA11D5"/>
    <w:rsid w:val="00CA1550"/>
    <w:rsid w:val="00CA171F"/>
    <w:rsid w:val="00CA1955"/>
    <w:rsid w:val="00CA199D"/>
    <w:rsid w:val="00CA19A4"/>
    <w:rsid w:val="00CA1ED0"/>
    <w:rsid w:val="00CA2009"/>
    <w:rsid w:val="00CA22E7"/>
    <w:rsid w:val="00CA2368"/>
    <w:rsid w:val="00CA2450"/>
    <w:rsid w:val="00CA26C0"/>
    <w:rsid w:val="00CA2B5F"/>
    <w:rsid w:val="00CA2BE4"/>
    <w:rsid w:val="00CA2D75"/>
    <w:rsid w:val="00CA30FA"/>
    <w:rsid w:val="00CA31C6"/>
    <w:rsid w:val="00CA33AC"/>
    <w:rsid w:val="00CA3465"/>
    <w:rsid w:val="00CA35CD"/>
    <w:rsid w:val="00CA372F"/>
    <w:rsid w:val="00CA3749"/>
    <w:rsid w:val="00CA3CA6"/>
    <w:rsid w:val="00CA3EB0"/>
    <w:rsid w:val="00CA3F70"/>
    <w:rsid w:val="00CA462B"/>
    <w:rsid w:val="00CA4789"/>
    <w:rsid w:val="00CA480B"/>
    <w:rsid w:val="00CA480F"/>
    <w:rsid w:val="00CA4885"/>
    <w:rsid w:val="00CA4B5C"/>
    <w:rsid w:val="00CA4D7B"/>
    <w:rsid w:val="00CA4E6F"/>
    <w:rsid w:val="00CA5547"/>
    <w:rsid w:val="00CA5592"/>
    <w:rsid w:val="00CA55A9"/>
    <w:rsid w:val="00CA57EC"/>
    <w:rsid w:val="00CA6390"/>
    <w:rsid w:val="00CA6481"/>
    <w:rsid w:val="00CA64A0"/>
    <w:rsid w:val="00CA6A98"/>
    <w:rsid w:val="00CA6DD9"/>
    <w:rsid w:val="00CA6FB4"/>
    <w:rsid w:val="00CA703B"/>
    <w:rsid w:val="00CA7156"/>
    <w:rsid w:val="00CA74F0"/>
    <w:rsid w:val="00CA77B7"/>
    <w:rsid w:val="00CA7D2F"/>
    <w:rsid w:val="00CB03E7"/>
    <w:rsid w:val="00CB042A"/>
    <w:rsid w:val="00CB05A3"/>
    <w:rsid w:val="00CB062A"/>
    <w:rsid w:val="00CB07D4"/>
    <w:rsid w:val="00CB09C4"/>
    <w:rsid w:val="00CB0A81"/>
    <w:rsid w:val="00CB0C7A"/>
    <w:rsid w:val="00CB0FE7"/>
    <w:rsid w:val="00CB113F"/>
    <w:rsid w:val="00CB14FF"/>
    <w:rsid w:val="00CB1572"/>
    <w:rsid w:val="00CB16CB"/>
    <w:rsid w:val="00CB187A"/>
    <w:rsid w:val="00CB1A5B"/>
    <w:rsid w:val="00CB1CFC"/>
    <w:rsid w:val="00CB2143"/>
    <w:rsid w:val="00CB25D8"/>
    <w:rsid w:val="00CB2651"/>
    <w:rsid w:val="00CB28C1"/>
    <w:rsid w:val="00CB2E08"/>
    <w:rsid w:val="00CB33E9"/>
    <w:rsid w:val="00CB3625"/>
    <w:rsid w:val="00CB3B5F"/>
    <w:rsid w:val="00CB3C87"/>
    <w:rsid w:val="00CB409E"/>
    <w:rsid w:val="00CB41E2"/>
    <w:rsid w:val="00CB4235"/>
    <w:rsid w:val="00CB4718"/>
    <w:rsid w:val="00CB4AC8"/>
    <w:rsid w:val="00CB4B33"/>
    <w:rsid w:val="00CB4CF4"/>
    <w:rsid w:val="00CB4DC4"/>
    <w:rsid w:val="00CB4E33"/>
    <w:rsid w:val="00CB4FEC"/>
    <w:rsid w:val="00CB515E"/>
    <w:rsid w:val="00CB5508"/>
    <w:rsid w:val="00CB553A"/>
    <w:rsid w:val="00CB5902"/>
    <w:rsid w:val="00CB5958"/>
    <w:rsid w:val="00CB5AC4"/>
    <w:rsid w:val="00CB5B2C"/>
    <w:rsid w:val="00CB5BF0"/>
    <w:rsid w:val="00CB5D7B"/>
    <w:rsid w:val="00CB5DF1"/>
    <w:rsid w:val="00CB5E9A"/>
    <w:rsid w:val="00CB5FF3"/>
    <w:rsid w:val="00CB6022"/>
    <w:rsid w:val="00CB610F"/>
    <w:rsid w:val="00CB61CA"/>
    <w:rsid w:val="00CB6235"/>
    <w:rsid w:val="00CB649C"/>
    <w:rsid w:val="00CB6657"/>
    <w:rsid w:val="00CB67FF"/>
    <w:rsid w:val="00CB69C0"/>
    <w:rsid w:val="00CB6EAF"/>
    <w:rsid w:val="00CB6F43"/>
    <w:rsid w:val="00CB71A1"/>
    <w:rsid w:val="00CB7616"/>
    <w:rsid w:val="00CB77D1"/>
    <w:rsid w:val="00CB782F"/>
    <w:rsid w:val="00CB7D77"/>
    <w:rsid w:val="00CB7EC8"/>
    <w:rsid w:val="00CC0087"/>
    <w:rsid w:val="00CC0895"/>
    <w:rsid w:val="00CC0B69"/>
    <w:rsid w:val="00CC0C52"/>
    <w:rsid w:val="00CC13E0"/>
    <w:rsid w:val="00CC142E"/>
    <w:rsid w:val="00CC14C7"/>
    <w:rsid w:val="00CC16E9"/>
    <w:rsid w:val="00CC19FD"/>
    <w:rsid w:val="00CC1C34"/>
    <w:rsid w:val="00CC1E11"/>
    <w:rsid w:val="00CC2040"/>
    <w:rsid w:val="00CC20FC"/>
    <w:rsid w:val="00CC232F"/>
    <w:rsid w:val="00CC244E"/>
    <w:rsid w:val="00CC24F3"/>
    <w:rsid w:val="00CC2656"/>
    <w:rsid w:val="00CC28C5"/>
    <w:rsid w:val="00CC29CA"/>
    <w:rsid w:val="00CC2D57"/>
    <w:rsid w:val="00CC2DA2"/>
    <w:rsid w:val="00CC2F29"/>
    <w:rsid w:val="00CC3118"/>
    <w:rsid w:val="00CC3168"/>
    <w:rsid w:val="00CC32E6"/>
    <w:rsid w:val="00CC339D"/>
    <w:rsid w:val="00CC34DA"/>
    <w:rsid w:val="00CC3C80"/>
    <w:rsid w:val="00CC3D7C"/>
    <w:rsid w:val="00CC3E01"/>
    <w:rsid w:val="00CC3FB4"/>
    <w:rsid w:val="00CC441D"/>
    <w:rsid w:val="00CC47A1"/>
    <w:rsid w:val="00CC47A6"/>
    <w:rsid w:val="00CC4D78"/>
    <w:rsid w:val="00CC4FE0"/>
    <w:rsid w:val="00CC5072"/>
    <w:rsid w:val="00CC5379"/>
    <w:rsid w:val="00CC5680"/>
    <w:rsid w:val="00CC590D"/>
    <w:rsid w:val="00CC5928"/>
    <w:rsid w:val="00CC5BB2"/>
    <w:rsid w:val="00CC5BD2"/>
    <w:rsid w:val="00CC6294"/>
    <w:rsid w:val="00CC62F0"/>
    <w:rsid w:val="00CC6377"/>
    <w:rsid w:val="00CC6812"/>
    <w:rsid w:val="00CC682B"/>
    <w:rsid w:val="00CC69EE"/>
    <w:rsid w:val="00CC6B1D"/>
    <w:rsid w:val="00CC6B7A"/>
    <w:rsid w:val="00CC6CE4"/>
    <w:rsid w:val="00CC7029"/>
    <w:rsid w:val="00CC7344"/>
    <w:rsid w:val="00CC75E9"/>
    <w:rsid w:val="00CC77A9"/>
    <w:rsid w:val="00CC77AC"/>
    <w:rsid w:val="00CC77C6"/>
    <w:rsid w:val="00CC7A7B"/>
    <w:rsid w:val="00CC7E6C"/>
    <w:rsid w:val="00CC7FA3"/>
    <w:rsid w:val="00CD02A9"/>
    <w:rsid w:val="00CD0705"/>
    <w:rsid w:val="00CD08CE"/>
    <w:rsid w:val="00CD0CC7"/>
    <w:rsid w:val="00CD0ED8"/>
    <w:rsid w:val="00CD0F59"/>
    <w:rsid w:val="00CD103C"/>
    <w:rsid w:val="00CD13D1"/>
    <w:rsid w:val="00CD1470"/>
    <w:rsid w:val="00CD15E8"/>
    <w:rsid w:val="00CD1716"/>
    <w:rsid w:val="00CD19F2"/>
    <w:rsid w:val="00CD1CEE"/>
    <w:rsid w:val="00CD1EAB"/>
    <w:rsid w:val="00CD1F74"/>
    <w:rsid w:val="00CD1FDC"/>
    <w:rsid w:val="00CD21BF"/>
    <w:rsid w:val="00CD2448"/>
    <w:rsid w:val="00CD25DC"/>
    <w:rsid w:val="00CD2621"/>
    <w:rsid w:val="00CD2A24"/>
    <w:rsid w:val="00CD2E48"/>
    <w:rsid w:val="00CD2EBB"/>
    <w:rsid w:val="00CD308A"/>
    <w:rsid w:val="00CD31FD"/>
    <w:rsid w:val="00CD3250"/>
    <w:rsid w:val="00CD36BD"/>
    <w:rsid w:val="00CD3743"/>
    <w:rsid w:val="00CD37A1"/>
    <w:rsid w:val="00CD383C"/>
    <w:rsid w:val="00CD3885"/>
    <w:rsid w:val="00CD393E"/>
    <w:rsid w:val="00CD3E8E"/>
    <w:rsid w:val="00CD3FB6"/>
    <w:rsid w:val="00CD4075"/>
    <w:rsid w:val="00CD407E"/>
    <w:rsid w:val="00CD408F"/>
    <w:rsid w:val="00CD42BB"/>
    <w:rsid w:val="00CD47A8"/>
    <w:rsid w:val="00CD4869"/>
    <w:rsid w:val="00CD4937"/>
    <w:rsid w:val="00CD4B40"/>
    <w:rsid w:val="00CD511E"/>
    <w:rsid w:val="00CD519B"/>
    <w:rsid w:val="00CD555F"/>
    <w:rsid w:val="00CD584C"/>
    <w:rsid w:val="00CD5A99"/>
    <w:rsid w:val="00CD61BD"/>
    <w:rsid w:val="00CD620A"/>
    <w:rsid w:val="00CD622C"/>
    <w:rsid w:val="00CD6462"/>
    <w:rsid w:val="00CD6AB4"/>
    <w:rsid w:val="00CD6F76"/>
    <w:rsid w:val="00CD73D6"/>
    <w:rsid w:val="00CD73FC"/>
    <w:rsid w:val="00CD77C5"/>
    <w:rsid w:val="00CD7B8B"/>
    <w:rsid w:val="00CD7C9D"/>
    <w:rsid w:val="00CD7D15"/>
    <w:rsid w:val="00CD7D1F"/>
    <w:rsid w:val="00CD7F43"/>
    <w:rsid w:val="00CE020A"/>
    <w:rsid w:val="00CE075C"/>
    <w:rsid w:val="00CE0A70"/>
    <w:rsid w:val="00CE0E43"/>
    <w:rsid w:val="00CE11FE"/>
    <w:rsid w:val="00CE126F"/>
    <w:rsid w:val="00CE151E"/>
    <w:rsid w:val="00CE16FD"/>
    <w:rsid w:val="00CE191B"/>
    <w:rsid w:val="00CE1C11"/>
    <w:rsid w:val="00CE1EAA"/>
    <w:rsid w:val="00CE1F05"/>
    <w:rsid w:val="00CE2142"/>
    <w:rsid w:val="00CE217D"/>
    <w:rsid w:val="00CE242C"/>
    <w:rsid w:val="00CE25BE"/>
    <w:rsid w:val="00CE2608"/>
    <w:rsid w:val="00CE27AE"/>
    <w:rsid w:val="00CE2DD8"/>
    <w:rsid w:val="00CE2FE8"/>
    <w:rsid w:val="00CE3704"/>
    <w:rsid w:val="00CE396C"/>
    <w:rsid w:val="00CE3A64"/>
    <w:rsid w:val="00CE3BB3"/>
    <w:rsid w:val="00CE3E5B"/>
    <w:rsid w:val="00CE3F0D"/>
    <w:rsid w:val="00CE401B"/>
    <w:rsid w:val="00CE40EB"/>
    <w:rsid w:val="00CE41E2"/>
    <w:rsid w:val="00CE4479"/>
    <w:rsid w:val="00CE4533"/>
    <w:rsid w:val="00CE4C9F"/>
    <w:rsid w:val="00CE4EA8"/>
    <w:rsid w:val="00CE4EA9"/>
    <w:rsid w:val="00CE52C0"/>
    <w:rsid w:val="00CE53EA"/>
    <w:rsid w:val="00CE5530"/>
    <w:rsid w:val="00CE5847"/>
    <w:rsid w:val="00CE5856"/>
    <w:rsid w:val="00CE59DB"/>
    <w:rsid w:val="00CE661C"/>
    <w:rsid w:val="00CE6998"/>
    <w:rsid w:val="00CE6A15"/>
    <w:rsid w:val="00CE6A58"/>
    <w:rsid w:val="00CE6B4F"/>
    <w:rsid w:val="00CE6B8C"/>
    <w:rsid w:val="00CE6FC1"/>
    <w:rsid w:val="00CE733F"/>
    <w:rsid w:val="00CE73A7"/>
    <w:rsid w:val="00CE7594"/>
    <w:rsid w:val="00CE77AE"/>
    <w:rsid w:val="00CE789A"/>
    <w:rsid w:val="00CE78A6"/>
    <w:rsid w:val="00CE7A86"/>
    <w:rsid w:val="00CE7C0A"/>
    <w:rsid w:val="00CE7C79"/>
    <w:rsid w:val="00CE7E94"/>
    <w:rsid w:val="00CF0135"/>
    <w:rsid w:val="00CF01FC"/>
    <w:rsid w:val="00CF065E"/>
    <w:rsid w:val="00CF07B2"/>
    <w:rsid w:val="00CF0AD6"/>
    <w:rsid w:val="00CF0CC0"/>
    <w:rsid w:val="00CF0FCF"/>
    <w:rsid w:val="00CF1012"/>
    <w:rsid w:val="00CF1091"/>
    <w:rsid w:val="00CF16F4"/>
    <w:rsid w:val="00CF1928"/>
    <w:rsid w:val="00CF197E"/>
    <w:rsid w:val="00CF1CBE"/>
    <w:rsid w:val="00CF1EC8"/>
    <w:rsid w:val="00CF1FE5"/>
    <w:rsid w:val="00CF2369"/>
    <w:rsid w:val="00CF25B0"/>
    <w:rsid w:val="00CF2823"/>
    <w:rsid w:val="00CF2C5B"/>
    <w:rsid w:val="00CF32C8"/>
    <w:rsid w:val="00CF335E"/>
    <w:rsid w:val="00CF335F"/>
    <w:rsid w:val="00CF36A7"/>
    <w:rsid w:val="00CF376C"/>
    <w:rsid w:val="00CF398D"/>
    <w:rsid w:val="00CF3F03"/>
    <w:rsid w:val="00CF4675"/>
    <w:rsid w:val="00CF4F7A"/>
    <w:rsid w:val="00CF50BD"/>
    <w:rsid w:val="00CF5224"/>
    <w:rsid w:val="00CF5233"/>
    <w:rsid w:val="00CF526F"/>
    <w:rsid w:val="00CF5722"/>
    <w:rsid w:val="00CF59F0"/>
    <w:rsid w:val="00CF5BF1"/>
    <w:rsid w:val="00CF62B2"/>
    <w:rsid w:val="00CF640B"/>
    <w:rsid w:val="00CF64D6"/>
    <w:rsid w:val="00CF6A0D"/>
    <w:rsid w:val="00CF6B9A"/>
    <w:rsid w:val="00CF6BC1"/>
    <w:rsid w:val="00CF6CE8"/>
    <w:rsid w:val="00CF6D31"/>
    <w:rsid w:val="00CF6F5D"/>
    <w:rsid w:val="00CF737C"/>
    <w:rsid w:val="00CF7593"/>
    <w:rsid w:val="00CF7649"/>
    <w:rsid w:val="00CF76E0"/>
    <w:rsid w:val="00CF78D1"/>
    <w:rsid w:val="00CF7965"/>
    <w:rsid w:val="00CF7B13"/>
    <w:rsid w:val="00CF7F33"/>
    <w:rsid w:val="00CF7FF7"/>
    <w:rsid w:val="00D000CA"/>
    <w:rsid w:val="00D000E8"/>
    <w:rsid w:val="00D003C1"/>
    <w:rsid w:val="00D004C3"/>
    <w:rsid w:val="00D00696"/>
    <w:rsid w:val="00D00835"/>
    <w:rsid w:val="00D00B72"/>
    <w:rsid w:val="00D00C2F"/>
    <w:rsid w:val="00D0110C"/>
    <w:rsid w:val="00D01171"/>
    <w:rsid w:val="00D011F1"/>
    <w:rsid w:val="00D017BF"/>
    <w:rsid w:val="00D01887"/>
    <w:rsid w:val="00D01945"/>
    <w:rsid w:val="00D01B74"/>
    <w:rsid w:val="00D01D37"/>
    <w:rsid w:val="00D01FBF"/>
    <w:rsid w:val="00D02201"/>
    <w:rsid w:val="00D023CD"/>
    <w:rsid w:val="00D02530"/>
    <w:rsid w:val="00D02810"/>
    <w:rsid w:val="00D02999"/>
    <w:rsid w:val="00D02A6A"/>
    <w:rsid w:val="00D02BE4"/>
    <w:rsid w:val="00D02F56"/>
    <w:rsid w:val="00D02F6A"/>
    <w:rsid w:val="00D03011"/>
    <w:rsid w:val="00D03036"/>
    <w:rsid w:val="00D0318F"/>
    <w:rsid w:val="00D032A5"/>
    <w:rsid w:val="00D03453"/>
    <w:rsid w:val="00D034F5"/>
    <w:rsid w:val="00D03514"/>
    <w:rsid w:val="00D0353C"/>
    <w:rsid w:val="00D035B6"/>
    <w:rsid w:val="00D03709"/>
    <w:rsid w:val="00D03816"/>
    <w:rsid w:val="00D0393C"/>
    <w:rsid w:val="00D03D90"/>
    <w:rsid w:val="00D04144"/>
    <w:rsid w:val="00D041AB"/>
    <w:rsid w:val="00D044B6"/>
    <w:rsid w:val="00D04AFD"/>
    <w:rsid w:val="00D04B0A"/>
    <w:rsid w:val="00D04B4E"/>
    <w:rsid w:val="00D04B72"/>
    <w:rsid w:val="00D04C0C"/>
    <w:rsid w:val="00D04E95"/>
    <w:rsid w:val="00D04FE5"/>
    <w:rsid w:val="00D051E8"/>
    <w:rsid w:val="00D051FA"/>
    <w:rsid w:val="00D052EA"/>
    <w:rsid w:val="00D054CF"/>
    <w:rsid w:val="00D0554F"/>
    <w:rsid w:val="00D0564E"/>
    <w:rsid w:val="00D05879"/>
    <w:rsid w:val="00D058E7"/>
    <w:rsid w:val="00D05AE1"/>
    <w:rsid w:val="00D05D14"/>
    <w:rsid w:val="00D05F5F"/>
    <w:rsid w:val="00D06212"/>
    <w:rsid w:val="00D063DC"/>
    <w:rsid w:val="00D065C7"/>
    <w:rsid w:val="00D0696B"/>
    <w:rsid w:val="00D06A6A"/>
    <w:rsid w:val="00D06C6D"/>
    <w:rsid w:val="00D06FBA"/>
    <w:rsid w:val="00D06FDF"/>
    <w:rsid w:val="00D07020"/>
    <w:rsid w:val="00D07666"/>
    <w:rsid w:val="00D0792B"/>
    <w:rsid w:val="00D07972"/>
    <w:rsid w:val="00D07C53"/>
    <w:rsid w:val="00D07F41"/>
    <w:rsid w:val="00D10367"/>
    <w:rsid w:val="00D106E5"/>
    <w:rsid w:val="00D10703"/>
    <w:rsid w:val="00D10767"/>
    <w:rsid w:val="00D10778"/>
    <w:rsid w:val="00D10BDD"/>
    <w:rsid w:val="00D10C28"/>
    <w:rsid w:val="00D10C48"/>
    <w:rsid w:val="00D1125E"/>
    <w:rsid w:val="00D112DD"/>
    <w:rsid w:val="00D11302"/>
    <w:rsid w:val="00D11571"/>
    <w:rsid w:val="00D11837"/>
    <w:rsid w:val="00D11BCE"/>
    <w:rsid w:val="00D12673"/>
    <w:rsid w:val="00D12731"/>
    <w:rsid w:val="00D1275D"/>
    <w:rsid w:val="00D127AE"/>
    <w:rsid w:val="00D1291F"/>
    <w:rsid w:val="00D12A27"/>
    <w:rsid w:val="00D12CC5"/>
    <w:rsid w:val="00D12CDD"/>
    <w:rsid w:val="00D12D93"/>
    <w:rsid w:val="00D12DDC"/>
    <w:rsid w:val="00D130D4"/>
    <w:rsid w:val="00D1322F"/>
    <w:rsid w:val="00D13821"/>
    <w:rsid w:val="00D13A9C"/>
    <w:rsid w:val="00D13B2C"/>
    <w:rsid w:val="00D13B35"/>
    <w:rsid w:val="00D13C53"/>
    <w:rsid w:val="00D13DD7"/>
    <w:rsid w:val="00D13E90"/>
    <w:rsid w:val="00D1401A"/>
    <w:rsid w:val="00D14132"/>
    <w:rsid w:val="00D143B9"/>
    <w:rsid w:val="00D14451"/>
    <w:rsid w:val="00D1457C"/>
    <w:rsid w:val="00D145CC"/>
    <w:rsid w:val="00D148A7"/>
    <w:rsid w:val="00D148DC"/>
    <w:rsid w:val="00D14B38"/>
    <w:rsid w:val="00D14B73"/>
    <w:rsid w:val="00D14BA6"/>
    <w:rsid w:val="00D1526C"/>
    <w:rsid w:val="00D15457"/>
    <w:rsid w:val="00D1551C"/>
    <w:rsid w:val="00D155AF"/>
    <w:rsid w:val="00D15850"/>
    <w:rsid w:val="00D15C13"/>
    <w:rsid w:val="00D15F1B"/>
    <w:rsid w:val="00D162EA"/>
    <w:rsid w:val="00D1635C"/>
    <w:rsid w:val="00D164EB"/>
    <w:rsid w:val="00D168E4"/>
    <w:rsid w:val="00D16C9E"/>
    <w:rsid w:val="00D16DC7"/>
    <w:rsid w:val="00D16F09"/>
    <w:rsid w:val="00D171EE"/>
    <w:rsid w:val="00D1743C"/>
    <w:rsid w:val="00D1745D"/>
    <w:rsid w:val="00D17957"/>
    <w:rsid w:val="00D17B9E"/>
    <w:rsid w:val="00D17CDB"/>
    <w:rsid w:val="00D20000"/>
    <w:rsid w:val="00D20288"/>
    <w:rsid w:val="00D2036C"/>
    <w:rsid w:val="00D20550"/>
    <w:rsid w:val="00D20A6D"/>
    <w:rsid w:val="00D20AA2"/>
    <w:rsid w:val="00D20AFD"/>
    <w:rsid w:val="00D20D2D"/>
    <w:rsid w:val="00D20E4B"/>
    <w:rsid w:val="00D20E76"/>
    <w:rsid w:val="00D211BC"/>
    <w:rsid w:val="00D21497"/>
    <w:rsid w:val="00D21620"/>
    <w:rsid w:val="00D218A1"/>
    <w:rsid w:val="00D21BED"/>
    <w:rsid w:val="00D21E62"/>
    <w:rsid w:val="00D21EF6"/>
    <w:rsid w:val="00D2206E"/>
    <w:rsid w:val="00D224EA"/>
    <w:rsid w:val="00D2285F"/>
    <w:rsid w:val="00D228FD"/>
    <w:rsid w:val="00D22E90"/>
    <w:rsid w:val="00D22ECD"/>
    <w:rsid w:val="00D22F48"/>
    <w:rsid w:val="00D22FCE"/>
    <w:rsid w:val="00D23036"/>
    <w:rsid w:val="00D23233"/>
    <w:rsid w:val="00D23634"/>
    <w:rsid w:val="00D23DF2"/>
    <w:rsid w:val="00D240D1"/>
    <w:rsid w:val="00D241C6"/>
    <w:rsid w:val="00D2422E"/>
    <w:rsid w:val="00D24449"/>
    <w:rsid w:val="00D244B2"/>
    <w:rsid w:val="00D24519"/>
    <w:rsid w:val="00D247FC"/>
    <w:rsid w:val="00D248CE"/>
    <w:rsid w:val="00D2499A"/>
    <w:rsid w:val="00D249A8"/>
    <w:rsid w:val="00D24B49"/>
    <w:rsid w:val="00D24BD5"/>
    <w:rsid w:val="00D24BFB"/>
    <w:rsid w:val="00D24CE2"/>
    <w:rsid w:val="00D251F7"/>
    <w:rsid w:val="00D25849"/>
    <w:rsid w:val="00D25862"/>
    <w:rsid w:val="00D25A35"/>
    <w:rsid w:val="00D25C8A"/>
    <w:rsid w:val="00D25D12"/>
    <w:rsid w:val="00D25FF0"/>
    <w:rsid w:val="00D260C4"/>
    <w:rsid w:val="00D26436"/>
    <w:rsid w:val="00D2653F"/>
    <w:rsid w:val="00D26802"/>
    <w:rsid w:val="00D268AC"/>
    <w:rsid w:val="00D26BC9"/>
    <w:rsid w:val="00D26C6C"/>
    <w:rsid w:val="00D26F25"/>
    <w:rsid w:val="00D2719E"/>
    <w:rsid w:val="00D27797"/>
    <w:rsid w:val="00D278AA"/>
    <w:rsid w:val="00D27B3C"/>
    <w:rsid w:val="00D27C8E"/>
    <w:rsid w:val="00D30178"/>
    <w:rsid w:val="00D303E5"/>
    <w:rsid w:val="00D30893"/>
    <w:rsid w:val="00D30A1A"/>
    <w:rsid w:val="00D310B6"/>
    <w:rsid w:val="00D3154F"/>
    <w:rsid w:val="00D316EB"/>
    <w:rsid w:val="00D3175D"/>
    <w:rsid w:val="00D31784"/>
    <w:rsid w:val="00D31822"/>
    <w:rsid w:val="00D31898"/>
    <w:rsid w:val="00D318E8"/>
    <w:rsid w:val="00D319C7"/>
    <w:rsid w:val="00D31B12"/>
    <w:rsid w:val="00D31FB5"/>
    <w:rsid w:val="00D320B1"/>
    <w:rsid w:val="00D32189"/>
    <w:rsid w:val="00D32218"/>
    <w:rsid w:val="00D32325"/>
    <w:rsid w:val="00D3294C"/>
    <w:rsid w:val="00D329F4"/>
    <w:rsid w:val="00D32C61"/>
    <w:rsid w:val="00D32E33"/>
    <w:rsid w:val="00D33143"/>
    <w:rsid w:val="00D335E7"/>
    <w:rsid w:val="00D33A42"/>
    <w:rsid w:val="00D33BF0"/>
    <w:rsid w:val="00D3404D"/>
    <w:rsid w:val="00D34125"/>
    <w:rsid w:val="00D342B2"/>
    <w:rsid w:val="00D345A9"/>
    <w:rsid w:val="00D34639"/>
    <w:rsid w:val="00D34C10"/>
    <w:rsid w:val="00D350E1"/>
    <w:rsid w:val="00D35198"/>
    <w:rsid w:val="00D353DB"/>
    <w:rsid w:val="00D3569E"/>
    <w:rsid w:val="00D356E6"/>
    <w:rsid w:val="00D35738"/>
    <w:rsid w:val="00D358CE"/>
    <w:rsid w:val="00D359E6"/>
    <w:rsid w:val="00D359EF"/>
    <w:rsid w:val="00D35C18"/>
    <w:rsid w:val="00D35FAC"/>
    <w:rsid w:val="00D3616F"/>
    <w:rsid w:val="00D3635C"/>
    <w:rsid w:val="00D363BC"/>
    <w:rsid w:val="00D364CB"/>
    <w:rsid w:val="00D3654F"/>
    <w:rsid w:val="00D3669C"/>
    <w:rsid w:val="00D368E5"/>
    <w:rsid w:val="00D36DA0"/>
    <w:rsid w:val="00D373D0"/>
    <w:rsid w:val="00D37423"/>
    <w:rsid w:val="00D37776"/>
    <w:rsid w:val="00D3788C"/>
    <w:rsid w:val="00D37D5E"/>
    <w:rsid w:val="00D37F91"/>
    <w:rsid w:val="00D37F96"/>
    <w:rsid w:val="00D40323"/>
    <w:rsid w:val="00D40575"/>
    <w:rsid w:val="00D405BB"/>
    <w:rsid w:val="00D405C7"/>
    <w:rsid w:val="00D40621"/>
    <w:rsid w:val="00D40739"/>
    <w:rsid w:val="00D4074E"/>
    <w:rsid w:val="00D40842"/>
    <w:rsid w:val="00D40E1B"/>
    <w:rsid w:val="00D40E31"/>
    <w:rsid w:val="00D415CB"/>
    <w:rsid w:val="00D419E4"/>
    <w:rsid w:val="00D4241D"/>
    <w:rsid w:val="00D42458"/>
    <w:rsid w:val="00D428AA"/>
    <w:rsid w:val="00D429C8"/>
    <w:rsid w:val="00D42A24"/>
    <w:rsid w:val="00D42A99"/>
    <w:rsid w:val="00D42CE7"/>
    <w:rsid w:val="00D42E59"/>
    <w:rsid w:val="00D42EFD"/>
    <w:rsid w:val="00D4306F"/>
    <w:rsid w:val="00D43362"/>
    <w:rsid w:val="00D43431"/>
    <w:rsid w:val="00D434C8"/>
    <w:rsid w:val="00D437DA"/>
    <w:rsid w:val="00D437E0"/>
    <w:rsid w:val="00D43808"/>
    <w:rsid w:val="00D438F2"/>
    <w:rsid w:val="00D439BF"/>
    <w:rsid w:val="00D43BB5"/>
    <w:rsid w:val="00D43C23"/>
    <w:rsid w:val="00D43C29"/>
    <w:rsid w:val="00D44134"/>
    <w:rsid w:val="00D445EC"/>
    <w:rsid w:val="00D4486F"/>
    <w:rsid w:val="00D44AD4"/>
    <w:rsid w:val="00D44E85"/>
    <w:rsid w:val="00D45013"/>
    <w:rsid w:val="00D45018"/>
    <w:rsid w:val="00D45829"/>
    <w:rsid w:val="00D45D95"/>
    <w:rsid w:val="00D46704"/>
    <w:rsid w:val="00D46A64"/>
    <w:rsid w:val="00D46BA5"/>
    <w:rsid w:val="00D46D7E"/>
    <w:rsid w:val="00D46DE8"/>
    <w:rsid w:val="00D46DF8"/>
    <w:rsid w:val="00D46EE4"/>
    <w:rsid w:val="00D46F1A"/>
    <w:rsid w:val="00D46FAC"/>
    <w:rsid w:val="00D47177"/>
    <w:rsid w:val="00D47766"/>
    <w:rsid w:val="00D47895"/>
    <w:rsid w:val="00D478F1"/>
    <w:rsid w:val="00D4790E"/>
    <w:rsid w:val="00D47932"/>
    <w:rsid w:val="00D47EA2"/>
    <w:rsid w:val="00D50969"/>
    <w:rsid w:val="00D50E83"/>
    <w:rsid w:val="00D50F5C"/>
    <w:rsid w:val="00D50FA4"/>
    <w:rsid w:val="00D51238"/>
    <w:rsid w:val="00D5197E"/>
    <w:rsid w:val="00D519D6"/>
    <w:rsid w:val="00D52395"/>
    <w:rsid w:val="00D523EA"/>
    <w:rsid w:val="00D524B9"/>
    <w:rsid w:val="00D526E9"/>
    <w:rsid w:val="00D52AB1"/>
    <w:rsid w:val="00D52B32"/>
    <w:rsid w:val="00D52B84"/>
    <w:rsid w:val="00D52C14"/>
    <w:rsid w:val="00D52EDF"/>
    <w:rsid w:val="00D52F07"/>
    <w:rsid w:val="00D5316A"/>
    <w:rsid w:val="00D53200"/>
    <w:rsid w:val="00D53261"/>
    <w:rsid w:val="00D538BA"/>
    <w:rsid w:val="00D539A2"/>
    <w:rsid w:val="00D53A3B"/>
    <w:rsid w:val="00D53ABF"/>
    <w:rsid w:val="00D53B8B"/>
    <w:rsid w:val="00D5415A"/>
    <w:rsid w:val="00D54174"/>
    <w:rsid w:val="00D541E4"/>
    <w:rsid w:val="00D541ED"/>
    <w:rsid w:val="00D547D4"/>
    <w:rsid w:val="00D54B87"/>
    <w:rsid w:val="00D55121"/>
    <w:rsid w:val="00D55352"/>
    <w:rsid w:val="00D553C7"/>
    <w:rsid w:val="00D55816"/>
    <w:rsid w:val="00D558B4"/>
    <w:rsid w:val="00D55B57"/>
    <w:rsid w:val="00D55D06"/>
    <w:rsid w:val="00D56215"/>
    <w:rsid w:val="00D56414"/>
    <w:rsid w:val="00D564A8"/>
    <w:rsid w:val="00D5667E"/>
    <w:rsid w:val="00D56B36"/>
    <w:rsid w:val="00D56BE2"/>
    <w:rsid w:val="00D56D6F"/>
    <w:rsid w:val="00D5717D"/>
    <w:rsid w:val="00D57360"/>
    <w:rsid w:val="00D573AC"/>
    <w:rsid w:val="00D57416"/>
    <w:rsid w:val="00D57467"/>
    <w:rsid w:val="00D576A7"/>
    <w:rsid w:val="00D57FBC"/>
    <w:rsid w:val="00D60020"/>
    <w:rsid w:val="00D60247"/>
    <w:rsid w:val="00D602C5"/>
    <w:rsid w:val="00D60967"/>
    <w:rsid w:val="00D60A96"/>
    <w:rsid w:val="00D60C6A"/>
    <w:rsid w:val="00D6121C"/>
    <w:rsid w:val="00D6138E"/>
    <w:rsid w:val="00D61442"/>
    <w:rsid w:val="00D614DA"/>
    <w:rsid w:val="00D61814"/>
    <w:rsid w:val="00D61E14"/>
    <w:rsid w:val="00D61FE7"/>
    <w:rsid w:val="00D621BA"/>
    <w:rsid w:val="00D62598"/>
    <w:rsid w:val="00D62C02"/>
    <w:rsid w:val="00D62C64"/>
    <w:rsid w:val="00D63019"/>
    <w:rsid w:val="00D63455"/>
    <w:rsid w:val="00D634A9"/>
    <w:rsid w:val="00D6364F"/>
    <w:rsid w:val="00D637AF"/>
    <w:rsid w:val="00D637FB"/>
    <w:rsid w:val="00D63D5E"/>
    <w:rsid w:val="00D63F39"/>
    <w:rsid w:val="00D643A1"/>
    <w:rsid w:val="00D64DF9"/>
    <w:rsid w:val="00D650AF"/>
    <w:rsid w:val="00D65309"/>
    <w:rsid w:val="00D65391"/>
    <w:rsid w:val="00D65469"/>
    <w:rsid w:val="00D654FB"/>
    <w:rsid w:val="00D655D8"/>
    <w:rsid w:val="00D658AC"/>
    <w:rsid w:val="00D6596E"/>
    <w:rsid w:val="00D65B3E"/>
    <w:rsid w:val="00D65C28"/>
    <w:rsid w:val="00D65E26"/>
    <w:rsid w:val="00D65E9E"/>
    <w:rsid w:val="00D66016"/>
    <w:rsid w:val="00D66068"/>
    <w:rsid w:val="00D666E1"/>
    <w:rsid w:val="00D6706E"/>
    <w:rsid w:val="00D677A9"/>
    <w:rsid w:val="00D677C6"/>
    <w:rsid w:val="00D67A52"/>
    <w:rsid w:val="00D67B38"/>
    <w:rsid w:val="00D67BC8"/>
    <w:rsid w:val="00D67C81"/>
    <w:rsid w:val="00D67D51"/>
    <w:rsid w:val="00D67EC8"/>
    <w:rsid w:val="00D700ED"/>
    <w:rsid w:val="00D70323"/>
    <w:rsid w:val="00D705A2"/>
    <w:rsid w:val="00D706D6"/>
    <w:rsid w:val="00D70C21"/>
    <w:rsid w:val="00D70C7B"/>
    <w:rsid w:val="00D70D20"/>
    <w:rsid w:val="00D71259"/>
    <w:rsid w:val="00D712F2"/>
    <w:rsid w:val="00D71309"/>
    <w:rsid w:val="00D7136A"/>
    <w:rsid w:val="00D71655"/>
    <w:rsid w:val="00D7185E"/>
    <w:rsid w:val="00D7213A"/>
    <w:rsid w:val="00D722E2"/>
    <w:rsid w:val="00D727D2"/>
    <w:rsid w:val="00D72C45"/>
    <w:rsid w:val="00D73109"/>
    <w:rsid w:val="00D731E0"/>
    <w:rsid w:val="00D73D10"/>
    <w:rsid w:val="00D73F80"/>
    <w:rsid w:val="00D74180"/>
    <w:rsid w:val="00D743DA"/>
    <w:rsid w:val="00D744BB"/>
    <w:rsid w:val="00D74657"/>
    <w:rsid w:val="00D74714"/>
    <w:rsid w:val="00D75247"/>
    <w:rsid w:val="00D753B3"/>
    <w:rsid w:val="00D753CF"/>
    <w:rsid w:val="00D7542D"/>
    <w:rsid w:val="00D75EAE"/>
    <w:rsid w:val="00D75F69"/>
    <w:rsid w:val="00D75F6E"/>
    <w:rsid w:val="00D76167"/>
    <w:rsid w:val="00D76364"/>
    <w:rsid w:val="00D76489"/>
    <w:rsid w:val="00D7659B"/>
    <w:rsid w:val="00D767B3"/>
    <w:rsid w:val="00D76893"/>
    <w:rsid w:val="00D76B95"/>
    <w:rsid w:val="00D76D40"/>
    <w:rsid w:val="00D76F63"/>
    <w:rsid w:val="00D76FBE"/>
    <w:rsid w:val="00D77736"/>
    <w:rsid w:val="00D77927"/>
    <w:rsid w:val="00D77939"/>
    <w:rsid w:val="00D77A1E"/>
    <w:rsid w:val="00D77F1B"/>
    <w:rsid w:val="00D800D8"/>
    <w:rsid w:val="00D802FF"/>
    <w:rsid w:val="00D8039A"/>
    <w:rsid w:val="00D804CC"/>
    <w:rsid w:val="00D80753"/>
    <w:rsid w:val="00D80A75"/>
    <w:rsid w:val="00D80AC3"/>
    <w:rsid w:val="00D80CD5"/>
    <w:rsid w:val="00D80D46"/>
    <w:rsid w:val="00D80D5E"/>
    <w:rsid w:val="00D815A4"/>
    <w:rsid w:val="00D8189A"/>
    <w:rsid w:val="00D81D15"/>
    <w:rsid w:val="00D81F48"/>
    <w:rsid w:val="00D8201C"/>
    <w:rsid w:val="00D82129"/>
    <w:rsid w:val="00D82131"/>
    <w:rsid w:val="00D82314"/>
    <w:rsid w:val="00D82383"/>
    <w:rsid w:val="00D823A8"/>
    <w:rsid w:val="00D8251F"/>
    <w:rsid w:val="00D8253D"/>
    <w:rsid w:val="00D82692"/>
    <w:rsid w:val="00D8274C"/>
    <w:rsid w:val="00D82842"/>
    <w:rsid w:val="00D82962"/>
    <w:rsid w:val="00D82ADB"/>
    <w:rsid w:val="00D82CDB"/>
    <w:rsid w:val="00D82D8D"/>
    <w:rsid w:val="00D8322B"/>
    <w:rsid w:val="00D836A7"/>
    <w:rsid w:val="00D8373C"/>
    <w:rsid w:val="00D8375F"/>
    <w:rsid w:val="00D83834"/>
    <w:rsid w:val="00D83919"/>
    <w:rsid w:val="00D839A4"/>
    <w:rsid w:val="00D83ABD"/>
    <w:rsid w:val="00D83B1F"/>
    <w:rsid w:val="00D83C21"/>
    <w:rsid w:val="00D83C3B"/>
    <w:rsid w:val="00D840FC"/>
    <w:rsid w:val="00D8423E"/>
    <w:rsid w:val="00D84283"/>
    <w:rsid w:val="00D843F5"/>
    <w:rsid w:val="00D84582"/>
    <w:rsid w:val="00D8477A"/>
    <w:rsid w:val="00D84927"/>
    <w:rsid w:val="00D84B5F"/>
    <w:rsid w:val="00D85019"/>
    <w:rsid w:val="00D85273"/>
    <w:rsid w:val="00D85486"/>
    <w:rsid w:val="00D855EF"/>
    <w:rsid w:val="00D856F0"/>
    <w:rsid w:val="00D85F75"/>
    <w:rsid w:val="00D8629A"/>
    <w:rsid w:val="00D86542"/>
    <w:rsid w:val="00D86739"/>
    <w:rsid w:val="00D868D9"/>
    <w:rsid w:val="00D86972"/>
    <w:rsid w:val="00D86AE8"/>
    <w:rsid w:val="00D86CF2"/>
    <w:rsid w:val="00D86EB5"/>
    <w:rsid w:val="00D871C8"/>
    <w:rsid w:val="00D876A1"/>
    <w:rsid w:val="00D87AA5"/>
    <w:rsid w:val="00D87CF7"/>
    <w:rsid w:val="00D87D64"/>
    <w:rsid w:val="00D87E07"/>
    <w:rsid w:val="00D87FA0"/>
    <w:rsid w:val="00D900DF"/>
    <w:rsid w:val="00D902D9"/>
    <w:rsid w:val="00D90339"/>
    <w:rsid w:val="00D904BF"/>
    <w:rsid w:val="00D90552"/>
    <w:rsid w:val="00D90B36"/>
    <w:rsid w:val="00D90BD9"/>
    <w:rsid w:val="00D90C78"/>
    <w:rsid w:val="00D90E32"/>
    <w:rsid w:val="00D90F5E"/>
    <w:rsid w:val="00D911CA"/>
    <w:rsid w:val="00D915C5"/>
    <w:rsid w:val="00D922C4"/>
    <w:rsid w:val="00D922E7"/>
    <w:rsid w:val="00D92735"/>
    <w:rsid w:val="00D9280D"/>
    <w:rsid w:val="00D9285B"/>
    <w:rsid w:val="00D928CA"/>
    <w:rsid w:val="00D92B22"/>
    <w:rsid w:val="00D92DF8"/>
    <w:rsid w:val="00D92ED5"/>
    <w:rsid w:val="00D93071"/>
    <w:rsid w:val="00D93080"/>
    <w:rsid w:val="00D93604"/>
    <w:rsid w:val="00D93756"/>
    <w:rsid w:val="00D93A52"/>
    <w:rsid w:val="00D93B64"/>
    <w:rsid w:val="00D93CFF"/>
    <w:rsid w:val="00D93F02"/>
    <w:rsid w:val="00D93F89"/>
    <w:rsid w:val="00D9437D"/>
    <w:rsid w:val="00D94749"/>
    <w:rsid w:val="00D94779"/>
    <w:rsid w:val="00D94A66"/>
    <w:rsid w:val="00D94AE6"/>
    <w:rsid w:val="00D94CD6"/>
    <w:rsid w:val="00D94DCB"/>
    <w:rsid w:val="00D94E9C"/>
    <w:rsid w:val="00D94F3D"/>
    <w:rsid w:val="00D95104"/>
    <w:rsid w:val="00D9519B"/>
    <w:rsid w:val="00D9523B"/>
    <w:rsid w:val="00D952C2"/>
    <w:rsid w:val="00D95395"/>
    <w:rsid w:val="00D95640"/>
    <w:rsid w:val="00D9567B"/>
    <w:rsid w:val="00D95B64"/>
    <w:rsid w:val="00D962A5"/>
    <w:rsid w:val="00D96A24"/>
    <w:rsid w:val="00D96AD8"/>
    <w:rsid w:val="00D96C1C"/>
    <w:rsid w:val="00D96CE2"/>
    <w:rsid w:val="00D96D7F"/>
    <w:rsid w:val="00D96DBB"/>
    <w:rsid w:val="00D96E82"/>
    <w:rsid w:val="00D97377"/>
    <w:rsid w:val="00D9760E"/>
    <w:rsid w:val="00D979D7"/>
    <w:rsid w:val="00D97A28"/>
    <w:rsid w:val="00D97B46"/>
    <w:rsid w:val="00D97BBF"/>
    <w:rsid w:val="00DA028C"/>
    <w:rsid w:val="00DA029B"/>
    <w:rsid w:val="00DA039C"/>
    <w:rsid w:val="00DA0808"/>
    <w:rsid w:val="00DA0821"/>
    <w:rsid w:val="00DA1488"/>
    <w:rsid w:val="00DA14DE"/>
    <w:rsid w:val="00DA187D"/>
    <w:rsid w:val="00DA18AA"/>
    <w:rsid w:val="00DA1CB1"/>
    <w:rsid w:val="00DA1DFF"/>
    <w:rsid w:val="00DA21A6"/>
    <w:rsid w:val="00DA21BC"/>
    <w:rsid w:val="00DA23DB"/>
    <w:rsid w:val="00DA29B4"/>
    <w:rsid w:val="00DA2B44"/>
    <w:rsid w:val="00DA2E9F"/>
    <w:rsid w:val="00DA30F7"/>
    <w:rsid w:val="00DA3740"/>
    <w:rsid w:val="00DA3CA3"/>
    <w:rsid w:val="00DA41EF"/>
    <w:rsid w:val="00DA4492"/>
    <w:rsid w:val="00DA456C"/>
    <w:rsid w:val="00DA475D"/>
    <w:rsid w:val="00DA4B40"/>
    <w:rsid w:val="00DA4E51"/>
    <w:rsid w:val="00DA5493"/>
    <w:rsid w:val="00DA5500"/>
    <w:rsid w:val="00DA5818"/>
    <w:rsid w:val="00DA5837"/>
    <w:rsid w:val="00DA5E67"/>
    <w:rsid w:val="00DA5EBC"/>
    <w:rsid w:val="00DA5F78"/>
    <w:rsid w:val="00DA6026"/>
    <w:rsid w:val="00DA6147"/>
    <w:rsid w:val="00DA62C8"/>
    <w:rsid w:val="00DA679A"/>
    <w:rsid w:val="00DA6A32"/>
    <w:rsid w:val="00DA6B03"/>
    <w:rsid w:val="00DA6BB8"/>
    <w:rsid w:val="00DA6C7B"/>
    <w:rsid w:val="00DA6D0E"/>
    <w:rsid w:val="00DA6E4C"/>
    <w:rsid w:val="00DA7254"/>
    <w:rsid w:val="00DA74F6"/>
    <w:rsid w:val="00DA77F5"/>
    <w:rsid w:val="00DA79BF"/>
    <w:rsid w:val="00DA79D5"/>
    <w:rsid w:val="00DA7B91"/>
    <w:rsid w:val="00DA7FAF"/>
    <w:rsid w:val="00DB01AB"/>
    <w:rsid w:val="00DB03CE"/>
    <w:rsid w:val="00DB040D"/>
    <w:rsid w:val="00DB0D18"/>
    <w:rsid w:val="00DB0F8B"/>
    <w:rsid w:val="00DB1094"/>
    <w:rsid w:val="00DB1139"/>
    <w:rsid w:val="00DB12E0"/>
    <w:rsid w:val="00DB1367"/>
    <w:rsid w:val="00DB1977"/>
    <w:rsid w:val="00DB1B5A"/>
    <w:rsid w:val="00DB1BCE"/>
    <w:rsid w:val="00DB1BEA"/>
    <w:rsid w:val="00DB21A6"/>
    <w:rsid w:val="00DB2446"/>
    <w:rsid w:val="00DB2494"/>
    <w:rsid w:val="00DB2499"/>
    <w:rsid w:val="00DB24DC"/>
    <w:rsid w:val="00DB2628"/>
    <w:rsid w:val="00DB28E2"/>
    <w:rsid w:val="00DB29B4"/>
    <w:rsid w:val="00DB2BE3"/>
    <w:rsid w:val="00DB2E16"/>
    <w:rsid w:val="00DB2F38"/>
    <w:rsid w:val="00DB30A5"/>
    <w:rsid w:val="00DB358C"/>
    <w:rsid w:val="00DB3690"/>
    <w:rsid w:val="00DB3802"/>
    <w:rsid w:val="00DB38BE"/>
    <w:rsid w:val="00DB398B"/>
    <w:rsid w:val="00DB3A34"/>
    <w:rsid w:val="00DB3E63"/>
    <w:rsid w:val="00DB3F54"/>
    <w:rsid w:val="00DB3FDD"/>
    <w:rsid w:val="00DB4191"/>
    <w:rsid w:val="00DB432C"/>
    <w:rsid w:val="00DB46E6"/>
    <w:rsid w:val="00DB484F"/>
    <w:rsid w:val="00DB49B9"/>
    <w:rsid w:val="00DB4AEF"/>
    <w:rsid w:val="00DB4CDE"/>
    <w:rsid w:val="00DB4DC2"/>
    <w:rsid w:val="00DB5130"/>
    <w:rsid w:val="00DB5534"/>
    <w:rsid w:val="00DB5596"/>
    <w:rsid w:val="00DB56AF"/>
    <w:rsid w:val="00DB5716"/>
    <w:rsid w:val="00DB5D8B"/>
    <w:rsid w:val="00DB5E00"/>
    <w:rsid w:val="00DB6160"/>
    <w:rsid w:val="00DB635E"/>
    <w:rsid w:val="00DB6657"/>
    <w:rsid w:val="00DB6714"/>
    <w:rsid w:val="00DB6856"/>
    <w:rsid w:val="00DB6869"/>
    <w:rsid w:val="00DB6A38"/>
    <w:rsid w:val="00DB71C1"/>
    <w:rsid w:val="00DB798E"/>
    <w:rsid w:val="00DB7E39"/>
    <w:rsid w:val="00DB7EC2"/>
    <w:rsid w:val="00DC000B"/>
    <w:rsid w:val="00DC00EA"/>
    <w:rsid w:val="00DC02A4"/>
    <w:rsid w:val="00DC08D4"/>
    <w:rsid w:val="00DC08D9"/>
    <w:rsid w:val="00DC0CCF"/>
    <w:rsid w:val="00DC0F32"/>
    <w:rsid w:val="00DC1214"/>
    <w:rsid w:val="00DC1371"/>
    <w:rsid w:val="00DC1443"/>
    <w:rsid w:val="00DC1510"/>
    <w:rsid w:val="00DC15AE"/>
    <w:rsid w:val="00DC1677"/>
    <w:rsid w:val="00DC1758"/>
    <w:rsid w:val="00DC1866"/>
    <w:rsid w:val="00DC18BA"/>
    <w:rsid w:val="00DC1B2E"/>
    <w:rsid w:val="00DC1B89"/>
    <w:rsid w:val="00DC1C58"/>
    <w:rsid w:val="00DC1CC4"/>
    <w:rsid w:val="00DC1CDC"/>
    <w:rsid w:val="00DC1DA3"/>
    <w:rsid w:val="00DC2062"/>
    <w:rsid w:val="00DC252F"/>
    <w:rsid w:val="00DC27DC"/>
    <w:rsid w:val="00DC2CA9"/>
    <w:rsid w:val="00DC2FE5"/>
    <w:rsid w:val="00DC3090"/>
    <w:rsid w:val="00DC3375"/>
    <w:rsid w:val="00DC349D"/>
    <w:rsid w:val="00DC3615"/>
    <w:rsid w:val="00DC3CA6"/>
    <w:rsid w:val="00DC3D1C"/>
    <w:rsid w:val="00DC3D65"/>
    <w:rsid w:val="00DC3DB4"/>
    <w:rsid w:val="00DC4474"/>
    <w:rsid w:val="00DC4627"/>
    <w:rsid w:val="00DC4CC1"/>
    <w:rsid w:val="00DC4EDB"/>
    <w:rsid w:val="00DC5093"/>
    <w:rsid w:val="00DC5B43"/>
    <w:rsid w:val="00DC5C67"/>
    <w:rsid w:val="00DC5F41"/>
    <w:rsid w:val="00DC5FAF"/>
    <w:rsid w:val="00DC62BF"/>
    <w:rsid w:val="00DC6346"/>
    <w:rsid w:val="00DC663C"/>
    <w:rsid w:val="00DC699C"/>
    <w:rsid w:val="00DC6DFB"/>
    <w:rsid w:val="00DC71D7"/>
    <w:rsid w:val="00DC750B"/>
    <w:rsid w:val="00DC7652"/>
    <w:rsid w:val="00DC7AD1"/>
    <w:rsid w:val="00DC7B63"/>
    <w:rsid w:val="00DC7C71"/>
    <w:rsid w:val="00DD0393"/>
    <w:rsid w:val="00DD06A9"/>
    <w:rsid w:val="00DD06E2"/>
    <w:rsid w:val="00DD0769"/>
    <w:rsid w:val="00DD0A82"/>
    <w:rsid w:val="00DD0B1F"/>
    <w:rsid w:val="00DD0D8C"/>
    <w:rsid w:val="00DD1373"/>
    <w:rsid w:val="00DD148E"/>
    <w:rsid w:val="00DD16C4"/>
    <w:rsid w:val="00DD1980"/>
    <w:rsid w:val="00DD1A4B"/>
    <w:rsid w:val="00DD1A7A"/>
    <w:rsid w:val="00DD1F22"/>
    <w:rsid w:val="00DD214F"/>
    <w:rsid w:val="00DD2236"/>
    <w:rsid w:val="00DD2809"/>
    <w:rsid w:val="00DD2BAD"/>
    <w:rsid w:val="00DD2CEA"/>
    <w:rsid w:val="00DD2E6D"/>
    <w:rsid w:val="00DD2E9E"/>
    <w:rsid w:val="00DD2F2B"/>
    <w:rsid w:val="00DD3054"/>
    <w:rsid w:val="00DD34A3"/>
    <w:rsid w:val="00DD3540"/>
    <w:rsid w:val="00DD3726"/>
    <w:rsid w:val="00DD3AC0"/>
    <w:rsid w:val="00DD3DEA"/>
    <w:rsid w:val="00DD3E4A"/>
    <w:rsid w:val="00DD40E8"/>
    <w:rsid w:val="00DD4108"/>
    <w:rsid w:val="00DD4322"/>
    <w:rsid w:val="00DD48AD"/>
    <w:rsid w:val="00DD49AD"/>
    <w:rsid w:val="00DD4BBA"/>
    <w:rsid w:val="00DD4F29"/>
    <w:rsid w:val="00DD50D1"/>
    <w:rsid w:val="00DD5235"/>
    <w:rsid w:val="00DD5505"/>
    <w:rsid w:val="00DD567E"/>
    <w:rsid w:val="00DD5BF8"/>
    <w:rsid w:val="00DD5C4B"/>
    <w:rsid w:val="00DD5EBD"/>
    <w:rsid w:val="00DD5FD0"/>
    <w:rsid w:val="00DD69EE"/>
    <w:rsid w:val="00DD6BC6"/>
    <w:rsid w:val="00DD6C6B"/>
    <w:rsid w:val="00DD6EF8"/>
    <w:rsid w:val="00DD74B5"/>
    <w:rsid w:val="00DD7621"/>
    <w:rsid w:val="00DD77BB"/>
    <w:rsid w:val="00DD7BCA"/>
    <w:rsid w:val="00DD7F9C"/>
    <w:rsid w:val="00DE0104"/>
    <w:rsid w:val="00DE02AB"/>
    <w:rsid w:val="00DE037F"/>
    <w:rsid w:val="00DE0A82"/>
    <w:rsid w:val="00DE0FEF"/>
    <w:rsid w:val="00DE1083"/>
    <w:rsid w:val="00DE128D"/>
    <w:rsid w:val="00DE14CA"/>
    <w:rsid w:val="00DE212C"/>
    <w:rsid w:val="00DE2566"/>
    <w:rsid w:val="00DE2B8A"/>
    <w:rsid w:val="00DE2BBD"/>
    <w:rsid w:val="00DE2EF2"/>
    <w:rsid w:val="00DE33D4"/>
    <w:rsid w:val="00DE34CE"/>
    <w:rsid w:val="00DE35DD"/>
    <w:rsid w:val="00DE36F5"/>
    <w:rsid w:val="00DE3A5F"/>
    <w:rsid w:val="00DE3C7E"/>
    <w:rsid w:val="00DE3F74"/>
    <w:rsid w:val="00DE4064"/>
    <w:rsid w:val="00DE41E8"/>
    <w:rsid w:val="00DE4222"/>
    <w:rsid w:val="00DE440D"/>
    <w:rsid w:val="00DE484B"/>
    <w:rsid w:val="00DE4991"/>
    <w:rsid w:val="00DE4EE8"/>
    <w:rsid w:val="00DE509C"/>
    <w:rsid w:val="00DE5168"/>
    <w:rsid w:val="00DE52AA"/>
    <w:rsid w:val="00DE531C"/>
    <w:rsid w:val="00DE57CD"/>
    <w:rsid w:val="00DE5F52"/>
    <w:rsid w:val="00DE6177"/>
    <w:rsid w:val="00DE6306"/>
    <w:rsid w:val="00DE6853"/>
    <w:rsid w:val="00DE6A58"/>
    <w:rsid w:val="00DE702C"/>
    <w:rsid w:val="00DE72C8"/>
    <w:rsid w:val="00DE7391"/>
    <w:rsid w:val="00DE75EF"/>
    <w:rsid w:val="00DE78B8"/>
    <w:rsid w:val="00DE7FAC"/>
    <w:rsid w:val="00DF010D"/>
    <w:rsid w:val="00DF012E"/>
    <w:rsid w:val="00DF06A4"/>
    <w:rsid w:val="00DF0A04"/>
    <w:rsid w:val="00DF0AAE"/>
    <w:rsid w:val="00DF0BBE"/>
    <w:rsid w:val="00DF0CE8"/>
    <w:rsid w:val="00DF0D13"/>
    <w:rsid w:val="00DF1235"/>
    <w:rsid w:val="00DF17F5"/>
    <w:rsid w:val="00DF19EC"/>
    <w:rsid w:val="00DF1BDA"/>
    <w:rsid w:val="00DF1D35"/>
    <w:rsid w:val="00DF1E77"/>
    <w:rsid w:val="00DF2386"/>
    <w:rsid w:val="00DF25B9"/>
    <w:rsid w:val="00DF2938"/>
    <w:rsid w:val="00DF297A"/>
    <w:rsid w:val="00DF3315"/>
    <w:rsid w:val="00DF3577"/>
    <w:rsid w:val="00DF358D"/>
    <w:rsid w:val="00DF360D"/>
    <w:rsid w:val="00DF3714"/>
    <w:rsid w:val="00DF378F"/>
    <w:rsid w:val="00DF37DF"/>
    <w:rsid w:val="00DF3AEA"/>
    <w:rsid w:val="00DF3D11"/>
    <w:rsid w:val="00DF3DE7"/>
    <w:rsid w:val="00DF4038"/>
    <w:rsid w:val="00DF40CB"/>
    <w:rsid w:val="00DF4441"/>
    <w:rsid w:val="00DF4630"/>
    <w:rsid w:val="00DF497E"/>
    <w:rsid w:val="00DF5000"/>
    <w:rsid w:val="00DF5017"/>
    <w:rsid w:val="00DF50F8"/>
    <w:rsid w:val="00DF537E"/>
    <w:rsid w:val="00DF5385"/>
    <w:rsid w:val="00DF566E"/>
    <w:rsid w:val="00DF57BF"/>
    <w:rsid w:val="00DF59A7"/>
    <w:rsid w:val="00DF5D17"/>
    <w:rsid w:val="00DF5DF3"/>
    <w:rsid w:val="00DF5E09"/>
    <w:rsid w:val="00DF5EFA"/>
    <w:rsid w:val="00DF613C"/>
    <w:rsid w:val="00DF62BA"/>
    <w:rsid w:val="00DF637D"/>
    <w:rsid w:val="00DF6493"/>
    <w:rsid w:val="00DF656F"/>
    <w:rsid w:val="00DF687A"/>
    <w:rsid w:val="00DF7236"/>
    <w:rsid w:val="00DF79E0"/>
    <w:rsid w:val="00DF7AC1"/>
    <w:rsid w:val="00DF7BCB"/>
    <w:rsid w:val="00E000C2"/>
    <w:rsid w:val="00E001A0"/>
    <w:rsid w:val="00E002CA"/>
    <w:rsid w:val="00E002E0"/>
    <w:rsid w:val="00E004EA"/>
    <w:rsid w:val="00E007CC"/>
    <w:rsid w:val="00E00933"/>
    <w:rsid w:val="00E00968"/>
    <w:rsid w:val="00E00B64"/>
    <w:rsid w:val="00E00C4F"/>
    <w:rsid w:val="00E013BC"/>
    <w:rsid w:val="00E01676"/>
    <w:rsid w:val="00E0233A"/>
    <w:rsid w:val="00E0240C"/>
    <w:rsid w:val="00E02A16"/>
    <w:rsid w:val="00E02A20"/>
    <w:rsid w:val="00E02A51"/>
    <w:rsid w:val="00E02A52"/>
    <w:rsid w:val="00E03348"/>
    <w:rsid w:val="00E034A5"/>
    <w:rsid w:val="00E03586"/>
    <w:rsid w:val="00E035BF"/>
    <w:rsid w:val="00E036DA"/>
    <w:rsid w:val="00E03A97"/>
    <w:rsid w:val="00E03C1B"/>
    <w:rsid w:val="00E03C8C"/>
    <w:rsid w:val="00E03D25"/>
    <w:rsid w:val="00E03F28"/>
    <w:rsid w:val="00E03FBF"/>
    <w:rsid w:val="00E04120"/>
    <w:rsid w:val="00E04462"/>
    <w:rsid w:val="00E04515"/>
    <w:rsid w:val="00E0503C"/>
    <w:rsid w:val="00E051B6"/>
    <w:rsid w:val="00E056A2"/>
    <w:rsid w:val="00E0576A"/>
    <w:rsid w:val="00E0597C"/>
    <w:rsid w:val="00E05A91"/>
    <w:rsid w:val="00E05B0E"/>
    <w:rsid w:val="00E0607B"/>
    <w:rsid w:val="00E06865"/>
    <w:rsid w:val="00E0686B"/>
    <w:rsid w:val="00E06A31"/>
    <w:rsid w:val="00E06CBD"/>
    <w:rsid w:val="00E06E6B"/>
    <w:rsid w:val="00E070C7"/>
    <w:rsid w:val="00E070FF"/>
    <w:rsid w:val="00E077C3"/>
    <w:rsid w:val="00E0799D"/>
    <w:rsid w:val="00E1029F"/>
    <w:rsid w:val="00E103A2"/>
    <w:rsid w:val="00E10FD8"/>
    <w:rsid w:val="00E11139"/>
    <w:rsid w:val="00E11381"/>
    <w:rsid w:val="00E114A0"/>
    <w:rsid w:val="00E11715"/>
    <w:rsid w:val="00E11B91"/>
    <w:rsid w:val="00E11C83"/>
    <w:rsid w:val="00E12046"/>
    <w:rsid w:val="00E1234B"/>
    <w:rsid w:val="00E12675"/>
    <w:rsid w:val="00E126CD"/>
    <w:rsid w:val="00E12ADD"/>
    <w:rsid w:val="00E12B00"/>
    <w:rsid w:val="00E12D5C"/>
    <w:rsid w:val="00E12DF1"/>
    <w:rsid w:val="00E1324E"/>
    <w:rsid w:val="00E13965"/>
    <w:rsid w:val="00E139A0"/>
    <w:rsid w:val="00E13A2D"/>
    <w:rsid w:val="00E13C4A"/>
    <w:rsid w:val="00E13C4D"/>
    <w:rsid w:val="00E13C6C"/>
    <w:rsid w:val="00E13C72"/>
    <w:rsid w:val="00E13DA2"/>
    <w:rsid w:val="00E13F33"/>
    <w:rsid w:val="00E14095"/>
    <w:rsid w:val="00E144E6"/>
    <w:rsid w:val="00E14669"/>
    <w:rsid w:val="00E14E15"/>
    <w:rsid w:val="00E14F87"/>
    <w:rsid w:val="00E15034"/>
    <w:rsid w:val="00E150B5"/>
    <w:rsid w:val="00E1576D"/>
    <w:rsid w:val="00E15DFE"/>
    <w:rsid w:val="00E16472"/>
    <w:rsid w:val="00E167DA"/>
    <w:rsid w:val="00E16862"/>
    <w:rsid w:val="00E16F82"/>
    <w:rsid w:val="00E170AC"/>
    <w:rsid w:val="00E170FA"/>
    <w:rsid w:val="00E17357"/>
    <w:rsid w:val="00E179AD"/>
    <w:rsid w:val="00E179D4"/>
    <w:rsid w:val="00E17D6B"/>
    <w:rsid w:val="00E17D86"/>
    <w:rsid w:val="00E20012"/>
    <w:rsid w:val="00E2025C"/>
    <w:rsid w:val="00E20446"/>
    <w:rsid w:val="00E2069C"/>
    <w:rsid w:val="00E20987"/>
    <w:rsid w:val="00E20AD7"/>
    <w:rsid w:val="00E20B22"/>
    <w:rsid w:val="00E20EA5"/>
    <w:rsid w:val="00E211E4"/>
    <w:rsid w:val="00E21211"/>
    <w:rsid w:val="00E2123D"/>
    <w:rsid w:val="00E21251"/>
    <w:rsid w:val="00E212B1"/>
    <w:rsid w:val="00E212C9"/>
    <w:rsid w:val="00E213AB"/>
    <w:rsid w:val="00E21BBD"/>
    <w:rsid w:val="00E21D6E"/>
    <w:rsid w:val="00E220CD"/>
    <w:rsid w:val="00E220F4"/>
    <w:rsid w:val="00E224AC"/>
    <w:rsid w:val="00E22D96"/>
    <w:rsid w:val="00E22EC7"/>
    <w:rsid w:val="00E22FC7"/>
    <w:rsid w:val="00E23004"/>
    <w:rsid w:val="00E233E9"/>
    <w:rsid w:val="00E23462"/>
    <w:rsid w:val="00E2353A"/>
    <w:rsid w:val="00E23F0B"/>
    <w:rsid w:val="00E23F2D"/>
    <w:rsid w:val="00E2402C"/>
    <w:rsid w:val="00E24087"/>
    <w:rsid w:val="00E240AE"/>
    <w:rsid w:val="00E246AF"/>
    <w:rsid w:val="00E2499A"/>
    <w:rsid w:val="00E24DA6"/>
    <w:rsid w:val="00E24DB1"/>
    <w:rsid w:val="00E24E38"/>
    <w:rsid w:val="00E25174"/>
    <w:rsid w:val="00E253C6"/>
    <w:rsid w:val="00E2547F"/>
    <w:rsid w:val="00E25537"/>
    <w:rsid w:val="00E25EDC"/>
    <w:rsid w:val="00E25F87"/>
    <w:rsid w:val="00E26016"/>
    <w:rsid w:val="00E260C1"/>
    <w:rsid w:val="00E2612B"/>
    <w:rsid w:val="00E2625D"/>
    <w:rsid w:val="00E26904"/>
    <w:rsid w:val="00E26B32"/>
    <w:rsid w:val="00E26DEC"/>
    <w:rsid w:val="00E26EB0"/>
    <w:rsid w:val="00E27085"/>
    <w:rsid w:val="00E270D3"/>
    <w:rsid w:val="00E272EA"/>
    <w:rsid w:val="00E2739D"/>
    <w:rsid w:val="00E273DA"/>
    <w:rsid w:val="00E2757B"/>
    <w:rsid w:val="00E27734"/>
    <w:rsid w:val="00E2782D"/>
    <w:rsid w:val="00E27946"/>
    <w:rsid w:val="00E27BEB"/>
    <w:rsid w:val="00E27CC9"/>
    <w:rsid w:val="00E27F53"/>
    <w:rsid w:val="00E27F5A"/>
    <w:rsid w:val="00E27FC0"/>
    <w:rsid w:val="00E309F2"/>
    <w:rsid w:val="00E30A91"/>
    <w:rsid w:val="00E30AF7"/>
    <w:rsid w:val="00E30C7F"/>
    <w:rsid w:val="00E30CEF"/>
    <w:rsid w:val="00E3113F"/>
    <w:rsid w:val="00E31150"/>
    <w:rsid w:val="00E31236"/>
    <w:rsid w:val="00E312B7"/>
    <w:rsid w:val="00E312D8"/>
    <w:rsid w:val="00E314D1"/>
    <w:rsid w:val="00E31568"/>
    <w:rsid w:val="00E31573"/>
    <w:rsid w:val="00E3177E"/>
    <w:rsid w:val="00E31785"/>
    <w:rsid w:val="00E31A74"/>
    <w:rsid w:val="00E31AA3"/>
    <w:rsid w:val="00E31D98"/>
    <w:rsid w:val="00E321BD"/>
    <w:rsid w:val="00E32386"/>
    <w:rsid w:val="00E3241B"/>
    <w:rsid w:val="00E32694"/>
    <w:rsid w:val="00E32E18"/>
    <w:rsid w:val="00E333AA"/>
    <w:rsid w:val="00E333FE"/>
    <w:rsid w:val="00E33502"/>
    <w:rsid w:val="00E33587"/>
    <w:rsid w:val="00E339D6"/>
    <w:rsid w:val="00E33E36"/>
    <w:rsid w:val="00E33EC1"/>
    <w:rsid w:val="00E34060"/>
    <w:rsid w:val="00E3413F"/>
    <w:rsid w:val="00E34249"/>
    <w:rsid w:val="00E34393"/>
    <w:rsid w:val="00E343AC"/>
    <w:rsid w:val="00E3444B"/>
    <w:rsid w:val="00E3496A"/>
    <w:rsid w:val="00E34989"/>
    <w:rsid w:val="00E34C7E"/>
    <w:rsid w:val="00E34DB8"/>
    <w:rsid w:val="00E34FBD"/>
    <w:rsid w:val="00E350AC"/>
    <w:rsid w:val="00E35820"/>
    <w:rsid w:val="00E35875"/>
    <w:rsid w:val="00E35C99"/>
    <w:rsid w:val="00E35F6F"/>
    <w:rsid w:val="00E3658E"/>
    <w:rsid w:val="00E36668"/>
    <w:rsid w:val="00E368D0"/>
    <w:rsid w:val="00E36A57"/>
    <w:rsid w:val="00E36B8D"/>
    <w:rsid w:val="00E36BEB"/>
    <w:rsid w:val="00E36C8D"/>
    <w:rsid w:val="00E3768A"/>
    <w:rsid w:val="00E37809"/>
    <w:rsid w:val="00E378F0"/>
    <w:rsid w:val="00E37945"/>
    <w:rsid w:val="00E37DDB"/>
    <w:rsid w:val="00E40014"/>
    <w:rsid w:val="00E4019E"/>
    <w:rsid w:val="00E402BA"/>
    <w:rsid w:val="00E40545"/>
    <w:rsid w:val="00E405BE"/>
    <w:rsid w:val="00E406FF"/>
    <w:rsid w:val="00E407DB"/>
    <w:rsid w:val="00E4081F"/>
    <w:rsid w:val="00E40CE1"/>
    <w:rsid w:val="00E41247"/>
    <w:rsid w:val="00E415BA"/>
    <w:rsid w:val="00E415E3"/>
    <w:rsid w:val="00E41701"/>
    <w:rsid w:val="00E41949"/>
    <w:rsid w:val="00E41BBE"/>
    <w:rsid w:val="00E41C24"/>
    <w:rsid w:val="00E41C54"/>
    <w:rsid w:val="00E41C57"/>
    <w:rsid w:val="00E41D43"/>
    <w:rsid w:val="00E41E65"/>
    <w:rsid w:val="00E41EBE"/>
    <w:rsid w:val="00E41F7A"/>
    <w:rsid w:val="00E42205"/>
    <w:rsid w:val="00E42398"/>
    <w:rsid w:val="00E42E19"/>
    <w:rsid w:val="00E431D7"/>
    <w:rsid w:val="00E43237"/>
    <w:rsid w:val="00E43291"/>
    <w:rsid w:val="00E4372E"/>
    <w:rsid w:val="00E43A51"/>
    <w:rsid w:val="00E43B13"/>
    <w:rsid w:val="00E43CA1"/>
    <w:rsid w:val="00E43D8D"/>
    <w:rsid w:val="00E43EDB"/>
    <w:rsid w:val="00E442D1"/>
    <w:rsid w:val="00E44570"/>
    <w:rsid w:val="00E4470A"/>
    <w:rsid w:val="00E4499A"/>
    <w:rsid w:val="00E449B3"/>
    <w:rsid w:val="00E44A10"/>
    <w:rsid w:val="00E44A2E"/>
    <w:rsid w:val="00E44A63"/>
    <w:rsid w:val="00E44CB1"/>
    <w:rsid w:val="00E450EA"/>
    <w:rsid w:val="00E4527C"/>
    <w:rsid w:val="00E45B0D"/>
    <w:rsid w:val="00E45B96"/>
    <w:rsid w:val="00E45D49"/>
    <w:rsid w:val="00E45F7B"/>
    <w:rsid w:val="00E4637A"/>
    <w:rsid w:val="00E4688B"/>
    <w:rsid w:val="00E46A53"/>
    <w:rsid w:val="00E46CE9"/>
    <w:rsid w:val="00E46E19"/>
    <w:rsid w:val="00E472A8"/>
    <w:rsid w:val="00E4753B"/>
    <w:rsid w:val="00E47DB2"/>
    <w:rsid w:val="00E47E6C"/>
    <w:rsid w:val="00E500DD"/>
    <w:rsid w:val="00E504C4"/>
    <w:rsid w:val="00E5072A"/>
    <w:rsid w:val="00E5090E"/>
    <w:rsid w:val="00E50AFD"/>
    <w:rsid w:val="00E50C03"/>
    <w:rsid w:val="00E50C3F"/>
    <w:rsid w:val="00E50D58"/>
    <w:rsid w:val="00E50D5D"/>
    <w:rsid w:val="00E50D82"/>
    <w:rsid w:val="00E5114F"/>
    <w:rsid w:val="00E51389"/>
    <w:rsid w:val="00E514FC"/>
    <w:rsid w:val="00E51575"/>
    <w:rsid w:val="00E51643"/>
    <w:rsid w:val="00E519E6"/>
    <w:rsid w:val="00E51A92"/>
    <w:rsid w:val="00E51C2D"/>
    <w:rsid w:val="00E51C81"/>
    <w:rsid w:val="00E51D52"/>
    <w:rsid w:val="00E51EE1"/>
    <w:rsid w:val="00E523B1"/>
    <w:rsid w:val="00E524DD"/>
    <w:rsid w:val="00E52ECB"/>
    <w:rsid w:val="00E53A44"/>
    <w:rsid w:val="00E53BB3"/>
    <w:rsid w:val="00E53C83"/>
    <w:rsid w:val="00E542EF"/>
    <w:rsid w:val="00E5479F"/>
    <w:rsid w:val="00E54D40"/>
    <w:rsid w:val="00E55098"/>
    <w:rsid w:val="00E55252"/>
    <w:rsid w:val="00E554C2"/>
    <w:rsid w:val="00E5553F"/>
    <w:rsid w:val="00E5579B"/>
    <w:rsid w:val="00E557B5"/>
    <w:rsid w:val="00E55DD1"/>
    <w:rsid w:val="00E561BB"/>
    <w:rsid w:val="00E564C6"/>
    <w:rsid w:val="00E56629"/>
    <w:rsid w:val="00E56702"/>
    <w:rsid w:val="00E56A1F"/>
    <w:rsid w:val="00E56A2F"/>
    <w:rsid w:val="00E56AD6"/>
    <w:rsid w:val="00E5706E"/>
    <w:rsid w:val="00E5707C"/>
    <w:rsid w:val="00E571C4"/>
    <w:rsid w:val="00E572FA"/>
    <w:rsid w:val="00E576C6"/>
    <w:rsid w:val="00E576DE"/>
    <w:rsid w:val="00E579B5"/>
    <w:rsid w:val="00E57D78"/>
    <w:rsid w:val="00E600EF"/>
    <w:rsid w:val="00E601C1"/>
    <w:rsid w:val="00E60742"/>
    <w:rsid w:val="00E60D09"/>
    <w:rsid w:val="00E60E84"/>
    <w:rsid w:val="00E6115A"/>
    <w:rsid w:val="00E61455"/>
    <w:rsid w:val="00E614AF"/>
    <w:rsid w:val="00E6174C"/>
    <w:rsid w:val="00E61864"/>
    <w:rsid w:val="00E618CA"/>
    <w:rsid w:val="00E61B33"/>
    <w:rsid w:val="00E61BD4"/>
    <w:rsid w:val="00E61E8E"/>
    <w:rsid w:val="00E61F90"/>
    <w:rsid w:val="00E6207C"/>
    <w:rsid w:val="00E620A5"/>
    <w:rsid w:val="00E623A7"/>
    <w:rsid w:val="00E62560"/>
    <w:rsid w:val="00E62804"/>
    <w:rsid w:val="00E62DF0"/>
    <w:rsid w:val="00E631BD"/>
    <w:rsid w:val="00E632BF"/>
    <w:rsid w:val="00E63332"/>
    <w:rsid w:val="00E63474"/>
    <w:rsid w:val="00E6353E"/>
    <w:rsid w:val="00E63711"/>
    <w:rsid w:val="00E6386F"/>
    <w:rsid w:val="00E64175"/>
    <w:rsid w:val="00E646F5"/>
    <w:rsid w:val="00E647E7"/>
    <w:rsid w:val="00E64A50"/>
    <w:rsid w:val="00E64A8F"/>
    <w:rsid w:val="00E64A9B"/>
    <w:rsid w:val="00E64ABD"/>
    <w:rsid w:val="00E65029"/>
    <w:rsid w:val="00E651E5"/>
    <w:rsid w:val="00E6522C"/>
    <w:rsid w:val="00E6557D"/>
    <w:rsid w:val="00E65667"/>
    <w:rsid w:val="00E659EC"/>
    <w:rsid w:val="00E65A43"/>
    <w:rsid w:val="00E65FD0"/>
    <w:rsid w:val="00E6629E"/>
    <w:rsid w:val="00E6642F"/>
    <w:rsid w:val="00E6657B"/>
    <w:rsid w:val="00E66627"/>
    <w:rsid w:val="00E67168"/>
    <w:rsid w:val="00E67181"/>
    <w:rsid w:val="00E67331"/>
    <w:rsid w:val="00E674C6"/>
    <w:rsid w:val="00E6775C"/>
    <w:rsid w:val="00E67E6C"/>
    <w:rsid w:val="00E67ED5"/>
    <w:rsid w:val="00E7000E"/>
    <w:rsid w:val="00E702AE"/>
    <w:rsid w:val="00E70315"/>
    <w:rsid w:val="00E70BBE"/>
    <w:rsid w:val="00E70FB2"/>
    <w:rsid w:val="00E7141D"/>
    <w:rsid w:val="00E71466"/>
    <w:rsid w:val="00E7153D"/>
    <w:rsid w:val="00E7154D"/>
    <w:rsid w:val="00E71604"/>
    <w:rsid w:val="00E71AEB"/>
    <w:rsid w:val="00E71C6D"/>
    <w:rsid w:val="00E71CEE"/>
    <w:rsid w:val="00E71F25"/>
    <w:rsid w:val="00E724AA"/>
    <w:rsid w:val="00E72939"/>
    <w:rsid w:val="00E7293B"/>
    <w:rsid w:val="00E72990"/>
    <w:rsid w:val="00E729E3"/>
    <w:rsid w:val="00E72C60"/>
    <w:rsid w:val="00E72DA4"/>
    <w:rsid w:val="00E72DF1"/>
    <w:rsid w:val="00E7323C"/>
    <w:rsid w:val="00E73DDF"/>
    <w:rsid w:val="00E745AC"/>
    <w:rsid w:val="00E74635"/>
    <w:rsid w:val="00E748CA"/>
    <w:rsid w:val="00E74F45"/>
    <w:rsid w:val="00E74F6D"/>
    <w:rsid w:val="00E75147"/>
    <w:rsid w:val="00E7532C"/>
    <w:rsid w:val="00E75468"/>
    <w:rsid w:val="00E755A9"/>
    <w:rsid w:val="00E755CA"/>
    <w:rsid w:val="00E755E5"/>
    <w:rsid w:val="00E7564E"/>
    <w:rsid w:val="00E7590F"/>
    <w:rsid w:val="00E75A0D"/>
    <w:rsid w:val="00E75AC8"/>
    <w:rsid w:val="00E75B49"/>
    <w:rsid w:val="00E76067"/>
    <w:rsid w:val="00E76344"/>
    <w:rsid w:val="00E76352"/>
    <w:rsid w:val="00E765E2"/>
    <w:rsid w:val="00E76639"/>
    <w:rsid w:val="00E76B88"/>
    <w:rsid w:val="00E76C34"/>
    <w:rsid w:val="00E76CD2"/>
    <w:rsid w:val="00E77029"/>
    <w:rsid w:val="00E77277"/>
    <w:rsid w:val="00E77495"/>
    <w:rsid w:val="00E77589"/>
    <w:rsid w:val="00E77846"/>
    <w:rsid w:val="00E77875"/>
    <w:rsid w:val="00E778EE"/>
    <w:rsid w:val="00E77977"/>
    <w:rsid w:val="00E77BFF"/>
    <w:rsid w:val="00E77CBE"/>
    <w:rsid w:val="00E80232"/>
    <w:rsid w:val="00E80304"/>
    <w:rsid w:val="00E804F7"/>
    <w:rsid w:val="00E804FD"/>
    <w:rsid w:val="00E8090F"/>
    <w:rsid w:val="00E80A0C"/>
    <w:rsid w:val="00E80D1D"/>
    <w:rsid w:val="00E80E8C"/>
    <w:rsid w:val="00E80F0F"/>
    <w:rsid w:val="00E811B2"/>
    <w:rsid w:val="00E812EB"/>
    <w:rsid w:val="00E81310"/>
    <w:rsid w:val="00E81365"/>
    <w:rsid w:val="00E81582"/>
    <w:rsid w:val="00E8191D"/>
    <w:rsid w:val="00E819CD"/>
    <w:rsid w:val="00E81C23"/>
    <w:rsid w:val="00E81CB9"/>
    <w:rsid w:val="00E81DC3"/>
    <w:rsid w:val="00E81EE7"/>
    <w:rsid w:val="00E822A6"/>
    <w:rsid w:val="00E8233F"/>
    <w:rsid w:val="00E8243B"/>
    <w:rsid w:val="00E8254B"/>
    <w:rsid w:val="00E82AFA"/>
    <w:rsid w:val="00E82D4C"/>
    <w:rsid w:val="00E82DE5"/>
    <w:rsid w:val="00E82E63"/>
    <w:rsid w:val="00E82F6B"/>
    <w:rsid w:val="00E833CE"/>
    <w:rsid w:val="00E834CF"/>
    <w:rsid w:val="00E83676"/>
    <w:rsid w:val="00E83BAE"/>
    <w:rsid w:val="00E83C14"/>
    <w:rsid w:val="00E83C2F"/>
    <w:rsid w:val="00E83F34"/>
    <w:rsid w:val="00E83FD1"/>
    <w:rsid w:val="00E84315"/>
    <w:rsid w:val="00E84C50"/>
    <w:rsid w:val="00E850EA"/>
    <w:rsid w:val="00E85142"/>
    <w:rsid w:val="00E851B0"/>
    <w:rsid w:val="00E85589"/>
    <w:rsid w:val="00E85667"/>
    <w:rsid w:val="00E856B1"/>
    <w:rsid w:val="00E86611"/>
    <w:rsid w:val="00E86651"/>
    <w:rsid w:val="00E866A8"/>
    <w:rsid w:val="00E86859"/>
    <w:rsid w:val="00E86DDB"/>
    <w:rsid w:val="00E86FB5"/>
    <w:rsid w:val="00E86FF6"/>
    <w:rsid w:val="00E87146"/>
    <w:rsid w:val="00E87456"/>
    <w:rsid w:val="00E8785E"/>
    <w:rsid w:val="00E87AF9"/>
    <w:rsid w:val="00E87F62"/>
    <w:rsid w:val="00E90391"/>
    <w:rsid w:val="00E90513"/>
    <w:rsid w:val="00E9088F"/>
    <w:rsid w:val="00E90A52"/>
    <w:rsid w:val="00E90B7B"/>
    <w:rsid w:val="00E90BB7"/>
    <w:rsid w:val="00E90BEE"/>
    <w:rsid w:val="00E90D7B"/>
    <w:rsid w:val="00E90E2A"/>
    <w:rsid w:val="00E90F28"/>
    <w:rsid w:val="00E91016"/>
    <w:rsid w:val="00E910C2"/>
    <w:rsid w:val="00E91995"/>
    <w:rsid w:val="00E91AD2"/>
    <w:rsid w:val="00E91C06"/>
    <w:rsid w:val="00E92108"/>
    <w:rsid w:val="00E923B2"/>
    <w:rsid w:val="00E9246D"/>
    <w:rsid w:val="00E92562"/>
    <w:rsid w:val="00E927DF"/>
    <w:rsid w:val="00E92D79"/>
    <w:rsid w:val="00E92DE1"/>
    <w:rsid w:val="00E92F67"/>
    <w:rsid w:val="00E9329E"/>
    <w:rsid w:val="00E9339A"/>
    <w:rsid w:val="00E93405"/>
    <w:rsid w:val="00E93B07"/>
    <w:rsid w:val="00E93BFE"/>
    <w:rsid w:val="00E93C28"/>
    <w:rsid w:val="00E93D2B"/>
    <w:rsid w:val="00E942B8"/>
    <w:rsid w:val="00E945FD"/>
    <w:rsid w:val="00E948A2"/>
    <w:rsid w:val="00E95014"/>
    <w:rsid w:val="00E95545"/>
    <w:rsid w:val="00E9578B"/>
    <w:rsid w:val="00E9598D"/>
    <w:rsid w:val="00E95C65"/>
    <w:rsid w:val="00E95C7C"/>
    <w:rsid w:val="00E95E25"/>
    <w:rsid w:val="00E962D1"/>
    <w:rsid w:val="00E9634E"/>
    <w:rsid w:val="00E964AA"/>
    <w:rsid w:val="00E96909"/>
    <w:rsid w:val="00E96E1D"/>
    <w:rsid w:val="00E96ECC"/>
    <w:rsid w:val="00E97468"/>
    <w:rsid w:val="00E97672"/>
    <w:rsid w:val="00E976D8"/>
    <w:rsid w:val="00E978BD"/>
    <w:rsid w:val="00E97AED"/>
    <w:rsid w:val="00E97B0B"/>
    <w:rsid w:val="00E97DC8"/>
    <w:rsid w:val="00E97F95"/>
    <w:rsid w:val="00EA0016"/>
    <w:rsid w:val="00EA05A7"/>
    <w:rsid w:val="00EA064D"/>
    <w:rsid w:val="00EA08C4"/>
    <w:rsid w:val="00EA0A03"/>
    <w:rsid w:val="00EA0A64"/>
    <w:rsid w:val="00EA0E70"/>
    <w:rsid w:val="00EA0EB8"/>
    <w:rsid w:val="00EA10B5"/>
    <w:rsid w:val="00EA17A3"/>
    <w:rsid w:val="00EA237E"/>
    <w:rsid w:val="00EA24F7"/>
    <w:rsid w:val="00EA254B"/>
    <w:rsid w:val="00EA2661"/>
    <w:rsid w:val="00EA284E"/>
    <w:rsid w:val="00EA2A80"/>
    <w:rsid w:val="00EA2C8A"/>
    <w:rsid w:val="00EA2CFD"/>
    <w:rsid w:val="00EA2DB1"/>
    <w:rsid w:val="00EA3161"/>
    <w:rsid w:val="00EA327D"/>
    <w:rsid w:val="00EA347E"/>
    <w:rsid w:val="00EA352D"/>
    <w:rsid w:val="00EA35AD"/>
    <w:rsid w:val="00EA3623"/>
    <w:rsid w:val="00EA3C06"/>
    <w:rsid w:val="00EA3D32"/>
    <w:rsid w:val="00EA3F78"/>
    <w:rsid w:val="00EA3FF6"/>
    <w:rsid w:val="00EA4001"/>
    <w:rsid w:val="00EA408F"/>
    <w:rsid w:val="00EA4178"/>
    <w:rsid w:val="00EA41F5"/>
    <w:rsid w:val="00EA4472"/>
    <w:rsid w:val="00EA4B25"/>
    <w:rsid w:val="00EA4D5D"/>
    <w:rsid w:val="00EA4D90"/>
    <w:rsid w:val="00EA4E37"/>
    <w:rsid w:val="00EA4EAD"/>
    <w:rsid w:val="00EA52CF"/>
    <w:rsid w:val="00EA52D6"/>
    <w:rsid w:val="00EA53D1"/>
    <w:rsid w:val="00EA5604"/>
    <w:rsid w:val="00EA5637"/>
    <w:rsid w:val="00EA59F6"/>
    <w:rsid w:val="00EA5A96"/>
    <w:rsid w:val="00EA5FC5"/>
    <w:rsid w:val="00EA6107"/>
    <w:rsid w:val="00EA61A2"/>
    <w:rsid w:val="00EA61B3"/>
    <w:rsid w:val="00EA62D0"/>
    <w:rsid w:val="00EA62DD"/>
    <w:rsid w:val="00EA639E"/>
    <w:rsid w:val="00EA6A52"/>
    <w:rsid w:val="00EA6BB3"/>
    <w:rsid w:val="00EA7250"/>
    <w:rsid w:val="00EA7361"/>
    <w:rsid w:val="00EA7648"/>
    <w:rsid w:val="00EA7B29"/>
    <w:rsid w:val="00EA7B32"/>
    <w:rsid w:val="00EA7B9C"/>
    <w:rsid w:val="00EA7EA0"/>
    <w:rsid w:val="00EB006A"/>
    <w:rsid w:val="00EB01D7"/>
    <w:rsid w:val="00EB05F6"/>
    <w:rsid w:val="00EB06B7"/>
    <w:rsid w:val="00EB0761"/>
    <w:rsid w:val="00EB08AD"/>
    <w:rsid w:val="00EB0B89"/>
    <w:rsid w:val="00EB0E92"/>
    <w:rsid w:val="00EB10D1"/>
    <w:rsid w:val="00EB11BB"/>
    <w:rsid w:val="00EB122A"/>
    <w:rsid w:val="00EB17A1"/>
    <w:rsid w:val="00EB20F9"/>
    <w:rsid w:val="00EB2118"/>
    <w:rsid w:val="00EB21E9"/>
    <w:rsid w:val="00EB227B"/>
    <w:rsid w:val="00EB23BC"/>
    <w:rsid w:val="00EB2911"/>
    <w:rsid w:val="00EB2C4C"/>
    <w:rsid w:val="00EB2F78"/>
    <w:rsid w:val="00EB3005"/>
    <w:rsid w:val="00EB310C"/>
    <w:rsid w:val="00EB31DC"/>
    <w:rsid w:val="00EB333C"/>
    <w:rsid w:val="00EB34EE"/>
    <w:rsid w:val="00EB3586"/>
    <w:rsid w:val="00EB3909"/>
    <w:rsid w:val="00EB3995"/>
    <w:rsid w:val="00EB3BB7"/>
    <w:rsid w:val="00EB3C16"/>
    <w:rsid w:val="00EB3CEF"/>
    <w:rsid w:val="00EB4319"/>
    <w:rsid w:val="00EB457B"/>
    <w:rsid w:val="00EB45EE"/>
    <w:rsid w:val="00EB4656"/>
    <w:rsid w:val="00EB4799"/>
    <w:rsid w:val="00EB4B8B"/>
    <w:rsid w:val="00EB4CBF"/>
    <w:rsid w:val="00EB4D01"/>
    <w:rsid w:val="00EB512E"/>
    <w:rsid w:val="00EB5136"/>
    <w:rsid w:val="00EB516C"/>
    <w:rsid w:val="00EB55AE"/>
    <w:rsid w:val="00EB567F"/>
    <w:rsid w:val="00EB56A9"/>
    <w:rsid w:val="00EB5918"/>
    <w:rsid w:val="00EB5991"/>
    <w:rsid w:val="00EB5B39"/>
    <w:rsid w:val="00EB5D7B"/>
    <w:rsid w:val="00EB5E4F"/>
    <w:rsid w:val="00EB5F45"/>
    <w:rsid w:val="00EB5FFE"/>
    <w:rsid w:val="00EB662B"/>
    <w:rsid w:val="00EB675C"/>
    <w:rsid w:val="00EB6847"/>
    <w:rsid w:val="00EB6D8E"/>
    <w:rsid w:val="00EB6FDF"/>
    <w:rsid w:val="00EB7218"/>
    <w:rsid w:val="00EB7235"/>
    <w:rsid w:val="00EB761D"/>
    <w:rsid w:val="00EB7C46"/>
    <w:rsid w:val="00EB7DA9"/>
    <w:rsid w:val="00EB7F58"/>
    <w:rsid w:val="00EC0054"/>
    <w:rsid w:val="00EC0127"/>
    <w:rsid w:val="00EC0406"/>
    <w:rsid w:val="00EC06BE"/>
    <w:rsid w:val="00EC06D7"/>
    <w:rsid w:val="00EC0B7C"/>
    <w:rsid w:val="00EC0BDF"/>
    <w:rsid w:val="00EC0D3D"/>
    <w:rsid w:val="00EC0E79"/>
    <w:rsid w:val="00EC0FCF"/>
    <w:rsid w:val="00EC1160"/>
    <w:rsid w:val="00EC130C"/>
    <w:rsid w:val="00EC13EF"/>
    <w:rsid w:val="00EC151E"/>
    <w:rsid w:val="00EC16FA"/>
    <w:rsid w:val="00EC173D"/>
    <w:rsid w:val="00EC1AC6"/>
    <w:rsid w:val="00EC21FF"/>
    <w:rsid w:val="00EC2346"/>
    <w:rsid w:val="00EC23DD"/>
    <w:rsid w:val="00EC249B"/>
    <w:rsid w:val="00EC297A"/>
    <w:rsid w:val="00EC29FF"/>
    <w:rsid w:val="00EC2BC4"/>
    <w:rsid w:val="00EC2CF2"/>
    <w:rsid w:val="00EC2E18"/>
    <w:rsid w:val="00EC2E9B"/>
    <w:rsid w:val="00EC31A8"/>
    <w:rsid w:val="00EC337B"/>
    <w:rsid w:val="00EC38E8"/>
    <w:rsid w:val="00EC3DD7"/>
    <w:rsid w:val="00EC3F1F"/>
    <w:rsid w:val="00EC3F3E"/>
    <w:rsid w:val="00EC4501"/>
    <w:rsid w:val="00EC46A1"/>
    <w:rsid w:val="00EC47A2"/>
    <w:rsid w:val="00EC492B"/>
    <w:rsid w:val="00EC4A89"/>
    <w:rsid w:val="00EC4E41"/>
    <w:rsid w:val="00EC5360"/>
    <w:rsid w:val="00EC54D2"/>
    <w:rsid w:val="00EC5870"/>
    <w:rsid w:val="00EC5AB0"/>
    <w:rsid w:val="00EC5D58"/>
    <w:rsid w:val="00EC5E63"/>
    <w:rsid w:val="00EC5EB0"/>
    <w:rsid w:val="00EC62DC"/>
    <w:rsid w:val="00EC64D7"/>
    <w:rsid w:val="00EC650C"/>
    <w:rsid w:val="00EC6D65"/>
    <w:rsid w:val="00EC7102"/>
    <w:rsid w:val="00EC71E2"/>
    <w:rsid w:val="00EC7206"/>
    <w:rsid w:val="00EC783D"/>
    <w:rsid w:val="00EC7896"/>
    <w:rsid w:val="00EC79B1"/>
    <w:rsid w:val="00EC79C5"/>
    <w:rsid w:val="00EC7E0C"/>
    <w:rsid w:val="00ED0245"/>
    <w:rsid w:val="00ED024B"/>
    <w:rsid w:val="00ED04B4"/>
    <w:rsid w:val="00ED04CD"/>
    <w:rsid w:val="00ED06EB"/>
    <w:rsid w:val="00ED0B54"/>
    <w:rsid w:val="00ED0C70"/>
    <w:rsid w:val="00ED0DD8"/>
    <w:rsid w:val="00ED0F52"/>
    <w:rsid w:val="00ED0FA0"/>
    <w:rsid w:val="00ED12B5"/>
    <w:rsid w:val="00ED1349"/>
    <w:rsid w:val="00ED1B44"/>
    <w:rsid w:val="00ED1C64"/>
    <w:rsid w:val="00ED24C2"/>
    <w:rsid w:val="00ED26C5"/>
    <w:rsid w:val="00ED27A2"/>
    <w:rsid w:val="00ED2C2E"/>
    <w:rsid w:val="00ED3102"/>
    <w:rsid w:val="00ED3128"/>
    <w:rsid w:val="00ED3203"/>
    <w:rsid w:val="00ED345C"/>
    <w:rsid w:val="00ED398E"/>
    <w:rsid w:val="00ED3D91"/>
    <w:rsid w:val="00ED3FCE"/>
    <w:rsid w:val="00ED4083"/>
    <w:rsid w:val="00ED4087"/>
    <w:rsid w:val="00ED42E3"/>
    <w:rsid w:val="00ED4588"/>
    <w:rsid w:val="00ED4669"/>
    <w:rsid w:val="00ED468B"/>
    <w:rsid w:val="00ED4860"/>
    <w:rsid w:val="00ED4A09"/>
    <w:rsid w:val="00ED4E13"/>
    <w:rsid w:val="00ED4F3B"/>
    <w:rsid w:val="00ED4F6C"/>
    <w:rsid w:val="00ED5129"/>
    <w:rsid w:val="00ED5300"/>
    <w:rsid w:val="00ED55DC"/>
    <w:rsid w:val="00ED55E8"/>
    <w:rsid w:val="00ED5673"/>
    <w:rsid w:val="00ED5687"/>
    <w:rsid w:val="00ED597A"/>
    <w:rsid w:val="00ED6058"/>
    <w:rsid w:val="00ED6459"/>
    <w:rsid w:val="00ED686F"/>
    <w:rsid w:val="00ED694E"/>
    <w:rsid w:val="00ED6E51"/>
    <w:rsid w:val="00ED701A"/>
    <w:rsid w:val="00ED72B8"/>
    <w:rsid w:val="00ED7405"/>
    <w:rsid w:val="00ED7444"/>
    <w:rsid w:val="00ED7640"/>
    <w:rsid w:val="00ED76F9"/>
    <w:rsid w:val="00ED7942"/>
    <w:rsid w:val="00ED7BCC"/>
    <w:rsid w:val="00ED7EC5"/>
    <w:rsid w:val="00EE01A6"/>
    <w:rsid w:val="00EE027C"/>
    <w:rsid w:val="00EE033A"/>
    <w:rsid w:val="00EE0572"/>
    <w:rsid w:val="00EE08E8"/>
    <w:rsid w:val="00EE09E9"/>
    <w:rsid w:val="00EE0A2D"/>
    <w:rsid w:val="00EE101E"/>
    <w:rsid w:val="00EE10F1"/>
    <w:rsid w:val="00EE121D"/>
    <w:rsid w:val="00EE16C1"/>
    <w:rsid w:val="00EE16F8"/>
    <w:rsid w:val="00EE1998"/>
    <w:rsid w:val="00EE1C94"/>
    <w:rsid w:val="00EE202C"/>
    <w:rsid w:val="00EE206E"/>
    <w:rsid w:val="00EE20B1"/>
    <w:rsid w:val="00EE24CA"/>
    <w:rsid w:val="00EE2513"/>
    <w:rsid w:val="00EE263C"/>
    <w:rsid w:val="00EE28E0"/>
    <w:rsid w:val="00EE2BE7"/>
    <w:rsid w:val="00EE2E54"/>
    <w:rsid w:val="00EE2F28"/>
    <w:rsid w:val="00EE2F34"/>
    <w:rsid w:val="00EE2F4C"/>
    <w:rsid w:val="00EE3480"/>
    <w:rsid w:val="00EE350C"/>
    <w:rsid w:val="00EE360C"/>
    <w:rsid w:val="00EE369F"/>
    <w:rsid w:val="00EE3995"/>
    <w:rsid w:val="00EE39D1"/>
    <w:rsid w:val="00EE3B75"/>
    <w:rsid w:val="00EE3BA4"/>
    <w:rsid w:val="00EE41C6"/>
    <w:rsid w:val="00EE4231"/>
    <w:rsid w:val="00EE42A9"/>
    <w:rsid w:val="00EE4C28"/>
    <w:rsid w:val="00EE4D05"/>
    <w:rsid w:val="00EE4D06"/>
    <w:rsid w:val="00EE516B"/>
    <w:rsid w:val="00EE5727"/>
    <w:rsid w:val="00EE5A84"/>
    <w:rsid w:val="00EE5CB7"/>
    <w:rsid w:val="00EE5E7D"/>
    <w:rsid w:val="00EE614A"/>
    <w:rsid w:val="00EE61DC"/>
    <w:rsid w:val="00EE6400"/>
    <w:rsid w:val="00EE6B67"/>
    <w:rsid w:val="00EE6D16"/>
    <w:rsid w:val="00EE6D77"/>
    <w:rsid w:val="00EE6D7A"/>
    <w:rsid w:val="00EE6F19"/>
    <w:rsid w:val="00EE709F"/>
    <w:rsid w:val="00EE71F0"/>
    <w:rsid w:val="00EE72A3"/>
    <w:rsid w:val="00EE72ED"/>
    <w:rsid w:val="00EE78DE"/>
    <w:rsid w:val="00EF01BC"/>
    <w:rsid w:val="00EF0328"/>
    <w:rsid w:val="00EF0374"/>
    <w:rsid w:val="00EF07F7"/>
    <w:rsid w:val="00EF089B"/>
    <w:rsid w:val="00EF095D"/>
    <w:rsid w:val="00EF09E6"/>
    <w:rsid w:val="00EF0A8E"/>
    <w:rsid w:val="00EF0E54"/>
    <w:rsid w:val="00EF1064"/>
    <w:rsid w:val="00EF139F"/>
    <w:rsid w:val="00EF1570"/>
    <w:rsid w:val="00EF1A2E"/>
    <w:rsid w:val="00EF1AE5"/>
    <w:rsid w:val="00EF1BDB"/>
    <w:rsid w:val="00EF1DD0"/>
    <w:rsid w:val="00EF20CC"/>
    <w:rsid w:val="00EF24E0"/>
    <w:rsid w:val="00EF250C"/>
    <w:rsid w:val="00EF2793"/>
    <w:rsid w:val="00EF2A7D"/>
    <w:rsid w:val="00EF2B14"/>
    <w:rsid w:val="00EF2B56"/>
    <w:rsid w:val="00EF2EBC"/>
    <w:rsid w:val="00EF30E8"/>
    <w:rsid w:val="00EF3176"/>
    <w:rsid w:val="00EF3615"/>
    <w:rsid w:val="00EF363E"/>
    <w:rsid w:val="00EF36CF"/>
    <w:rsid w:val="00EF39C8"/>
    <w:rsid w:val="00EF3BC8"/>
    <w:rsid w:val="00EF3BE9"/>
    <w:rsid w:val="00EF40C0"/>
    <w:rsid w:val="00EF430E"/>
    <w:rsid w:val="00EF443C"/>
    <w:rsid w:val="00EF4650"/>
    <w:rsid w:val="00EF46CC"/>
    <w:rsid w:val="00EF4720"/>
    <w:rsid w:val="00EF4E46"/>
    <w:rsid w:val="00EF4EEF"/>
    <w:rsid w:val="00EF4FA7"/>
    <w:rsid w:val="00EF5095"/>
    <w:rsid w:val="00EF50C5"/>
    <w:rsid w:val="00EF52CD"/>
    <w:rsid w:val="00EF5314"/>
    <w:rsid w:val="00EF53E0"/>
    <w:rsid w:val="00EF5578"/>
    <w:rsid w:val="00EF56A6"/>
    <w:rsid w:val="00EF5894"/>
    <w:rsid w:val="00EF5962"/>
    <w:rsid w:val="00EF5ABB"/>
    <w:rsid w:val="00EF5C93"/>
    <w:rsid w:val="00EF5D65"/>
    <w:rsid w:val="00EF60C2"/>
    <w:rsid w:val="00EF648E"/>
    <w:rsid w:val="00EF68DA"/>
    <w:rsid w:val="00EF69C0"/>
    <w:rsid w:val="00EF7112"/>
    <w:rsid w:val="00EF7230"/>
    <w:rsid w:val="00EF7314"/>
    <w:rsid w:val="00EF774A"/>
    <w:rsid w:val="00EF79D0"/>
    <w:rsid w:val="00EF7A0E"/>
    <w:rsid w:val="00EF7A69"/>
    <w:rsid w:val="00EF7C29"/>
    <w:rsid w:val="00F0000C"/>
    <w:rsid w:val="00F002EB"/>
    <w:rsid w:val="00F00459"/>
    <w:rsid w:val="00F00BE5"/>
    <w:rsid w:val="00F00D3F"/>
    <w:rsid w:val="00F01273"/>
    <w:rsid w:val="00F012EF"/>
    <w:rsid w:val="00F013E6"/>
    <w:rsid w:val="00F014C6"/>
    <w:rsid w:val="00F019B5"/>
    <w:rsid w:val="00F01B03"/>
    <w:rsid w:val="00F02088"/>
    <w:rsid w:val="00F021C7"/>
    <w:rsid w:val="00F02266"/>
    <w:rsid w:val="00F023A5"/>
    <w:rsid w:val="00F0251A"/>
    <w:rsid w:val="00F025B4"/>
    <w:rsid w:val="00F025FA"/>
    <w:rsid w:val="00F02740"/>
    <w:rsid w:val="00F02927"/>
    <w:rsid w:val="00F029F4"/>
    <w:rsid w:val="00F02C2D"/>
    <w:rsid w:val="00F02D5C"/>
    <w:rsid w:val="00F02D61"/>
    <w:rsid w:val="00F02F9A"/>
    <w:rsid w:val="00F03504"/>
    <w:rsid w:val="00F0372E"/>
    <w:rsid w:val="00F0375A"/>
    <w:rsid w:val="00F037B6"/>
    <w:rsid w:val="00F03D2A"/>
    <w:rsid w:val="00F04537"/>
    <w:rsid w:val="00F049E0"/>
    <w:rsid w:val="00F04AAD"/>
    <w:rsid w:val="00F04DFC"/>
    <w:rsid w:val="00F04E00"/>
    <w:rsid w:val="00F04FFA"/>
    <w:rsid w:val="00F05260"/>
    <w:rsid w:val="00F054FF"/>
    <w:rsid w:val="00F056B6"/>
    <w:rsid w:val="00F0580F"/>
    <w:rsid w:val="00F05943"/>
    <w:rsid w:val="00F05989"/>
    <w:rsid w:val="00F059D7"/>
    <w:rsid w:val="00F05CAB"/>
    <w:rsid w:val="00F05D9D"/>
    <w:rsid w:val="00F05EB9"/>
    <w:rsid w:val="00F05F96"/>
    <w:rsid w:val="00F05FA7"/>
    <w:rsid w:val="00F0624B"/>
    <w:rsid w:val="00F06499"/>
    <w:rsid w:val="00F06559"/>
    <w:rsid w:val="00F06573"/>
    <w:rsid w:val="00F065FF"/>
    <w:rsid w:val="00F06883"/>
    <w:rsid w:val="00F06C4A"/>
    <w:rsid w:val="00F06FF0"/>
    <w:rsid w:val="00F07218"/>
    <w:rsid w:val="00F072F0"/>
    <w:rsid w:val="00F073E3"/>
    <w:rsid w:val="00F07400"/>
    <w:rsid w:val="00F0755D"/>
    <w:rsid w:val="00F07576"/>
    <w:rsid w:val="00F07624"/>
    <w:rsid w:val="00F07A6C"/>
    <w:rsid w:val="00F07AA3"/>
    <w:rsid w:val="00F07C0C"/>
    <w:rsid w:val="00F07C70"/>
    <w:rsid w:val="00F07FAA"/>
    <w:rsid w:val="00F10324"/>
    <w:rsid w:val="00F10560"/>
    <w:rsid w:val="00F1064F"/>
    <w:rsid w:val="00F10839"/>
    <w:rsid w:val="00F10A66"/>
    <w:rsid w:val="00F10EC0"/>
    <w:rsid w:val="00F11026"/>
    <w:rsid w:val="00F116FB"/>
    <w:rsid w:val="00F1170E"/>
    <w:rsid w:val="00F11792"/>
    <w:rsid w:val="00F1179F"/>
    <w:rsid w:val="00F11AF8"/>
    <w:rsid w:val="00F11C8B"/>
    <w:rsid w:val="00F11D37"/>
    <w:rsid w:val="00F11F89"/>
    <w:rsid w:val="00F121A6"/>
    <w:rsid w:val="00F122E7"/>
    <w:rsid w:val="00F12400"/>
    <w:rsid w:val="00F1262D"/>
    <w:rsid w:val="00F128F8"/>
    <w:rsid w:val="00F12A28"/>
    <w:rsid w:val="00F12C0C"/>
    <w:rsid w:val="00F12C22"/>
    <w:rsid w:val="00F12C6A"/>
    <w:rsid w:val="00F12EFD"/>
    <w:rsid w:val="00F12FD3"/>
    <w:rsid w:val="00F13495"/>
    <w:rsid w:val="00F136A1"/>
    <w:rsid w:val="00F13C29"/>
    <w:rsid w:val="00F13CD5"/>
    <w:rsid w:val="00F13E85"/>
    <w:rsid w:val="00F13E8D"/>
    <w:rsid w:val="00F13EB2"/>
    <w:rsid w:val="00F1402D"/>
    <w:rsid w:val="00F1407B"/>
    <w:rsid w:val="00F140B0"/>
    <w:rsid w:val="00F14417"/>
    <w:rsid w:val="00F1475E"/>
    <w:rsid w:val="00F14C23"/>
    <w:rsid w:val="00F14C77"/>
    <w:rsid w:val="00F14D98"/>
    <w:rsid w:val="00F14DAA"/>
    <w:rsid w:val="00F15067"/>
    <w:rsid w:val="00F15440"/>
    <w:rsid w:val="00F15496"/>
    <w:rsid w:val="00F154D0"/>
    <w:rsid w:val="00F1574A"/>
    <w:rsid w:val="00F157B4"/>
    <w:rsid w:val="00F15CC0"/>
    <w:rsid w:val="00F15D49"/>
    <w:rsid w:val="00F15DF6"/>
    <w:rsid w:val="00F16043"/>
    <w:rsid w:val="00F1620A"/>
    <w:rsid w:val="00F1649A"/>
    <w:rsid w:val="00F16653"/>
    <w:rsid w:val="00F167D2"/>
    <w:rsid w:val="00F1690F"/>
    <w:rsid w:val="00F16E96"/>
    <w:rsid w:val="00F17191"/>
    <w:rsid w:val="00F172C4"/>
    <w:rsid w:val="00F175E0"/>
    <w:rsid w:val="00F179F2"/>
    <w:rsid w:val="00F17C69"/>
    <w:rsid w:val="00F17DFD"/>
    <w:rsid w:val="00F17E45"/>
    <w:rsid w:val="00F202A9"/>
    <w:rsid w:val="00F2063A"/>
    <w:rsid w:val="00F20725"/>
    <w:rsid w:val="00F207A9"/>
    <w:rsid w:val="00F207F1"/>
    <w:rsid w:val="00F20917"/>
    <w:rsid w:val="00F2097E"/>
    <w:rsid w:val="00F20BB7"/>
    <w:rsid w:val="00F2114C"/>
    <w:rsid w:val="00F2189D"/>
    <w:rsid w:val="00F218A2"/>
    <w:rsid w:val="00F21BBD"/>
    <w:rsid w:val="00F21D4C"/>
    <w:rsid w:val="00F21E03"/>
    <w:rsid w:val="00F21EE8"/>
    <w:rsid w:val="00F21F62"/>
    <w:rsid w:val="00F22154"/>
    <w:rsid w:val="00F221DF"/>
    <w:rsid w:val="00F2238B"/>
    <w:rsid w:val="00F228FD"/>
    <w:rsid w:val="00F22914"/>
    <w:rsid w:val="00F2293B"/>
    <w:rsid w:val="00F22B06"/>
    <w:rsid w:val="00F22D65"/>
    <w:rsid w:val="00F22DAF"/>
    <w:rsid w:val="00F2332D"/>
    <w:rsid w:val="00F23354"/>
    <w:rsid w:val="00F2338F"/>
    <w:rsid w:val="00F233B4"/>
    <w:rsid w:val="00F23654"/>
    <w:rsid w:val="00F237F7"/>
    <w:rsid w:val="00F23874"/>
    <w:rsid w:val="00F23A50"/>
    <w:rsid w:val="00F23CA0"/>
    <w:rsid w:val="00F23D24"/>
    <w:rsid w:val="00F23F76"/>
    <w:rsid w:val="00F2417C"/>
    <w:rsid w:val="00F2427B"/>
    <w:rsid w:val="00F24489"/>
    <w:rsid w:val="00F2463F"/>
    <w:rsid w:val="00F248AB"/>
    <w:rsid w:val="00F249C2"/>
    <w:rsid w:val="00F24A73"/>
    <w:rsid w:val="00F24B28"/>
    <w:rsid w:val="00F24BCE"/>
    <w:rsid w:val="00F24E81"/>
    <w:rsid w:val="00F24EB9"/>
    <w:rsid w:val="00F255C2"/>
    <w:rsid w:val="00F25727"/>
    <w:rsid w:val="00F25779"/>
    <w:rsid w:val="00F2607F"/>
    <w:rsid w:val="00F2614D"/>
    <w:rsid w:val="00F2627B"/>
    <w:rsid w:val="00F264DE"/>
    <w:rsid w:val="00F266C8"/>
    <w:rsid w:val="00F2686C"/>
    <w:rsid w:val="00F26BF5"/>
    <w:rsid w:val="00F26C77"/>
    <w:rsid w:val="00F270F1"/>
    <w:rsid w:val="00F27413"/>
    <w:rsid w:val="00F278E1"/>
    <w:rsid w:val="00F27995"/>
    <w:rsid w:val="00F27DA6"/>
    <w:rsid w:val="00F27EB7"/>
    <w:rsid w:val="00F27EEF"/>
    <w:rsid w:val="00F306A9"/>
    <w:rsid w:val="00F30A90"/>
    <w:rsid w:val="00F30B6F"/>
    <w:rsid w:val="00F30C99"/>
    <w:rsid w:val="00F30E3B"/>
    <w:rsid w:val="00F314EB"/>
    <w:rsid w:val="00F31698"/>
    <w:rsid w:val="00F31CB8"/>
    <w:rsid w:val="00F31CC9"/>
    <w:rsid w:val="00F31D15"/>
    <w:rsid w:val="00F31EDD"/>
    <w:rsid w:val="00F32071"/>
    <w:rsid w:val="00F322B0"/>
    <w:rsid w:val="00F32590"/>
    <w:rsid w:val="00F325DF"/>
    <w:rsid w:val="00F326A0"/>
    <w:rsid w:val="00F32816"/>
    <w:rsid w:val="00F32A99"/>
    <w:rsid w:val="00F33414"/>
    <w:rsid w:val="00F334BE"/>
    <w:rsid w:val="00F335DE"/>
    <w:rsid w:val="00F3363B"/>
    <w:rsid w:val="00F33BFB"/>
    <w:rsid w:val="00F33C13"/>
    <w:rsid w:val="00F33DB6"/>
    <w:rsid w:val="00F33E12"/>
    <w:rsid w:val="00F34214"/>
    <w:rsid w:val="00F342C1"/>
    <w:rsid w:val="00F34475"/>
    <w:rsid w:val="00F34575"/>
    <w:rsid w:val="00F345E2"/>
    <w:rsid w:val="00F3483A"/>
    <w:rsid w:val="00F34A92"/>
    <w:rsid w:val="00F34B98"/>
    <w:rsid w:val="00F34C46"/>
    <w:rsid w:val="00F34EEA"/>
    <w:rsid w:val="00F352FB"/>
    <w:rsid w:val="00F35492"/>
    <w:rsid w:val="00F355C3"/>
    <w:rsid w:val="00F356BF"/>
    <w:rsid w:val="00F358FB"/>
    <w:rsid w:val="00F36190"/>
    <w:rsid w:val="00F36461"/>
    <w:rsid w:val="00F364A9"/>
    <w:rsid w:val="00F36A43"/>
    <w:rsid w:val="00F36A71"/>
    <w:rsid w:val="00F36AA1"/>
    <w:rsid w:val="00F36DCC"/>
    <w:rsid w:val="00F37000"/>
    <w:rsid w:val="00F37002"/>
    <w:rsid w:val="00F3729E"/>
    <w:rsid w:val="00F373E5"/>
    <w:rsid w:val="00F3743F"/>
    <w:rsid w:val="00F3788C"/>
    <w:rsid w:val="00F37D56"/>
    <w:rsid w:val="00F37D85"/>
    <w:rsid w:val="00F40152"/>
    <w:rsid w:val="00F4037E"/>
    <w:rsid w:val="00F403A5"/>
    <w:rsid w:val="00F40439"/>
    <w:rsid w:val="00F40839"/>
    <w:rsid w:val="00F40939"/>
    <w:rsid w:val="00F40A9C"/>
    <w:rsid w:val="00F40D2F"/>
    <w:rsid w:val="00F41159"/>
    <w:rsid w:val="00F412FF"/>
    <w:rsid w:val="00F41341"/>
    <w:rsid w:val="00F413C8"/>
    <w:rsid w:val="00F41BD7"/>
    <w:rsid w:val="00F42001"/>
    <w:rsid w:val="00F421CA"/>
    <w:rsid w:val="00F421FF"/>
    <w:rsid w:val="00F423E0"/>
    <w:rsid w:val="00F4254E"/>
    <w:rsid w:val="00F42575"/>
    <w:rsid w:val="00F425C6"/>
    <w:rsid w:val="00F42603"/>
    <w:rsid w:val="00F429B5"/>
    <w:rsid w:val="00F42CE9"/>
    <w:rsid w:val="00F43402"/>
    <w:rsid w:val="00F43C21"/>
    <w:rsid w:val="00F43D16"/>
    <w:rsid w:val="00F43DB1"/>
    <w:rsid w:val="00F43EC0"/>
    <w:rsid w:val="00F44344"/>
    <w:rsid w:val="00F4466B"/>
    <w:rsid w:val="00F44A86"/>
    <w:rsid w:val="00F44B4B"/>
    <w:rsid w:val="00F44B5D"/>
    <w:rsid w:val="00F44DEF"/>
    <w:rsid w:val="00F44E27"/>
    <w:rsid w:val="00F44F13"/>
    <w:rsid w:val="00F4523F"/>
    <w:rsid w:val="00F45282"/>
    <w:rsid w:val="00F4599A"/>
    <w:rsid w:val="00F45A09"/>
    <w:rsid w:val="00F45ADB"/>
    <w:rsid w:val="00F45B07"/>
    <w:rsid w:val="00F45F8C"/>
    <w:rsid w:val="00F461BB"/>
    <w:rsid w:val="00F46434"/>
    <w:rsid w:val="00F4643E"/>
    <w:rsid w:val="00F466BA"/>
    <w:rsid w:val="00F4674E"/>
    <w:rsid w:val="00F4682C"/>
    <w:rsid w:val="00F46A7B"/>
    <w:rsid w:val="00F46EAB"/>
    <w:rsid w:val="00F46FBB"/>
    <w:rsid w:val="00F47069"/>
    <w:rsid w:val="00F4751E"/>
    <w:rsid w:val="00F47583"/>
    <w:rsid w:val="00F47ADA"/>
    <w:rsid w:val="00F47BD9"/>
    <w:rsid w:val="00F50596"/>
    <w:rsid w:val="00F506E0"/>
    <w:rsid w:val="00F506E8"/>
    <w:rsid w:val="00F507A2"/>
    <w:rsid w:val="00F51037"/>
    <w:rsid w:val="00F514D6"/>
    <w:rsid w:val="00F51A73"/>
    <w:rsid w:val="00F51EFB"/>
    <w:rsid w:val="00F52159"/>
    <w:rsid w:val="00F5235D"/>
    <w:rsid w:val="00F52385"/>
    <w:rsid w:val="00F5270C"/>
    <w:rsid w:val="00F53CF8"/>
    <w:rsid w:val="00F53D6E"/>
    <w:rsid w:val="00F53E0D"/>
    <w:rsid w:val="00F53EB7"/>
    <w:rsid w:val="00F546A0"/>
    <w:rsid w:val="00F546BB"/>
    <w:rsid w:val="00F54EDC"/>
    <w:rsid w:val="00F54F52"/>
    <w:rsid w:val="00F55026"/>
    <w:rsid w:val="00F55037"/>
    <w:rsid w:val="00F551EA"/>
    <w:rsid w:val="00F553C7"/>
    <w:rsid w:val="00F5564A"/>
    <w:rsid w:val="00F55948"/>
    <w:rsid w:val="00F5604F"/>
    <w:rsid w:val="00F56568"/>
    <w:rsid w:val="00F565B5"/>
    <w:rsid w:val="00F566E9"/>
    <w:rsid w:val="00F56E93"/>
    <w:rsid w:val="00F56FCD"/>
    <w:rsid w:val="00F5723F"/>
    <w:rsid w:val="00F5744F"/>
    <w:rsid w:val="00F57939"/>
    <w:rsid w:val="00F5797C"/>
    <w:rsid w:val="00F57AB3"/>
    <w:rsid w:val="00F57C8D"/>
    <w:rsid w:val="00F6012E"/>
    <w:rsid w:val="00F6028B"/>
    <w:rsid w:val="00F6034A"/>
    <w:rsid w:val="00F6036F"/>
    <w:rsid w:val="00F60463"/>
    <w:rsid w:val="00F605AE"/>
    <w:rsid w:val="00F6063B"/>
    <w:rsid w:val="00F60777"/>
    <w:rsid w:val="00F60C4E"/>
    <w:rsid w:val="00F60D09"/>
    <w:rsid w:val="00F6134A"/>
    <w:rsid w:val="00F617F5"/>
    <w:rsid w:val="00F618B5"/>
    <w:rsid w:val="00F618E1"/>
    <w:rsid w:val="00F61A7A"/>
    <w:rsid w:val="00F61B28"/>
    <w:rsid w:val="00F61DD4"/>
    <w:rsid w:val="00F61DDB"/>
    <w:rsid w:val="00F61E41"/>
    <w:rsid w:val="00F61E6D"/>
    <w:rsid w:val="00F61F3D"/>
    <w:rsid w:val="00F6211D"/>
    <w:rsid w:val="00F62562"/>
    <w:rsid w:val="00F62C93"/>
    <w:rsid w:val="00F62D1F"/>
    <w:rsid w:val="00F62D65"/>
    <w:rsid w:val="00F62DAD"/>
    <w:rsid w:val="00F631C5"/>
    <w:rsid w:val="00F63359"/>
    <w:rsid w:val="00F63912"/>
    <w:rsid w:val="00F63A2F"/>
    <w:rsid w:val="00F63E1D"/>
    <w:rsid w:val="00F63F28"/>
    <w:rsid w:val="00F641F0"/>
    <w:rsid w:val="00F6426C"/>
    <w:rsid w:val="00F64301"/>
    <w:rsid w:val="00F6435C"/>
    <w:rsid w:val="00F6458F"/>
    <w:rsid w:val="00F647EC"/>
    <w:rsid w:val="00F64C4B"/>
    <w:rsid w:val="00F64E9A"/>
    <w:rsid w:val="00F65067"/>
    <w:rsid w:val="00F65498"/>
    <w:rsid w:val="00F654CF"/>
    <w:rsid w:val="00F66238"/>
    <w:rsid w:val="00F665A2"/>
    <w:rsid w:val="00F66617"/>
    <w:rsid w:val="00F6664D"/>
    <w:rsid w:val="00F66778"/>
    <w:rsid w:val="00F66976"/>
    <w:rsid w:val="00F669C5"/>
    <w:rsid w:val="00F672D2"/>
    <w:rsid w:val="00F6743E"/>
    <w:rsid w:val="00F6749C"/>
    <w:rsid w:val="00F6773F"/>
    <w:rsid w:val="00F6780D"/>
    <w:rsid w:val="00F67965"/>
    <w:rsid w:val="00F67D1C"/>
    <w:rsid w:val="00F701C7"/>
    <w:rsid w:val="00F70353"/>
    <w:rsid w:val="00F704C4"/>
    <w:rsid w:val="00F704C7"/>
    <w:rsid w:val="00F70618"/>
    <w:rsid w:val="00F70A09"/>
    <w:rsid w:val="00F70ABD"/>
    <w:rsid w:val="00F70B62"/>
    <w:rsid w:val="00F70CEF"/>
    <w:rsid w:val="00F70D65"/>
    <w:rsid w:val="00F70FDB"/>
    <w:rsid w:val="00F71262"/>
    <w:rsid w:val="00F7138A"/>
    <w:rsid w:val="00F71647"/>
    <w:rsid w:val="00F716D6"/>
    <w:rsid w:val="00F717DB"/>
    <w:rsid w:val="00F71986"/>
    <w:rsid w:val="00F71C1D"/>
    <w:rsid w:val="00F71E3F"/>
    <w:rsid w:val="00F71FB6"/>
    <w:rsid w:val="00F7205C"/>
    <w:rsid w:val="00F72208"/>
    <w:rsid w:val="00F72732"/>
    <w:rsid w:val="00F729E6"/>
    <w:rsid w:val="00F729F3"/>
    <w:rsid w:val="00F72D23"/>
    <w:rsid w:val="00F72DDC"/>
    <w:rsid w:val="00F72EB3"/>
    <w:rsid w:val="00F72F3A"/>
    <w:rsid w:val="00F73222"/>
    <w:rsid w:val="00F73506"/>
    <w:rsid w:val="00F73821"/>
    <w:rsid w:val="00F738AF"/>
    <w:rsid w:val="00F73917"/>
    <w:rsid w:val="00F73BDD"/>
    <w:rsid w:val="00F73CB2"/>
    <w:rsid w:val="00F73D7E"/>
    <w:rsid w:val="00F73E3D"/>
    <w:rsid w:val="00F742C4"/>
    <w:rsid w:val="00F74527"/>
    <w:rsid w:val="00F747E6"/>
    <w:rsid w:val="00F74BA4"/>
    <w:rsid w:val="00F74EC2"/>
    <w:rsid w:val="00F74EDE"/>
    <w:rsid w:val="00F75083"/>
    <w:rsid w:val="00F75D62"/>
    <w:rsid w:val="00F761F6"/>
    <w:rsid w:val="00F76297"/>
    <w:rsid w:val="00F765EB"/>
    <w:rsid w:val="00F768AB"/>
    <w:rsid w:val="00F76C3E"/>
    <w:rsid w:val="00F76C9D"/>
    <w:rsid w:val="00F76D14"/>
    <w:rsid w:val="00F76E11"/>
    <w:rsid w:val="00F76EC5"/>
    <w:rsid w:val="00F771EF"/>
    <w:rsid w:val="00F77759"/>
    <w:rsid w:val="00F77938"/>
    <w:rsid w:val="00F77CAA"/>
    <w:rsid w:val="00F77F5B"/>
    <w:rsid w:val="00F800E7"/>
    <w:rsid w:val="00F803B4"/>
    <w:rsid w:val="00F803D1"/>
    <w:rsid w:val="00F804B6"/>
    <w:rsid w:val="00F806DE"/>
    <w:rsid w:val="00F80799"/>
    <w:rsid w:val="00F807E7"/>
    <w:rsid w:val="00F8098B"/>
    <w:rsid w:val="00F80D8E"/>
    <w:rsid w:val="00F80DF0"/>
    <w:rsid w:val="00F80ED3"/>
    <w:rsid w:val="00F81036"/>
    <w:rsid w:val="00F81040"/>
    <w:rsid w:val="00F81057"/>
    <w:rsid w:val="00F81242"/>
    <w:rsid w:val="00F814E8"/>
    <w:rsid w:val="00F815F9"/>
    <w:rsid w:val="00F8166E"/>
    <w:rsid w:val="00F81807"/>
    <w:rsid w:val="00F81925"/>
    <w:rsid w:val="00F81A5D"/>
    <w:rsid w:val="00F81B96"/>
    <w:rsid w:val="00F81C46"/>
    <w:rsid w:val="00F81C6E"/>
    <w:rsid w:val="00F81DCE"/>
    <w:rsid w:val="00F81E07"/>
    <w:rsid w:val="00F81ED7"/>
    <w:rsid w:val="00F82118"/>
    <w:rsid w:val="00F8244A"/>
    <w:rsid w:val="00F82500"/>
    <w:rsid w:val="00F82507"/>
    <w:rsid w:val="00F82822"/>
    <w:rsid w:val="00F82F6F"/>
    <w:rsid w:val="00F82FE3"/>
    <w:rsid w:val="00F830E0"/>
    <w:rsid w:val="00F831BB"/>
    <w:rsid w:val="00F833BD"/>
    <w:rsid w:val="00F83416"/>
    <w:rsid w:val="00F83677"/>
    <w:rsid w:val="00F8368F"/>
    <w:rsid w:val="00F8378E"/>
    <w:rsid w:val="00F8389F"/>
    <w:rsid w:val="00F838DF"/>
    <w:rsid w:val="00F83CC6"/>
    <w:rsid w:val="00F84026"/>
    <w:rsid w:val="00F8415D"/>
    <w:rsid w:val="00F84390"/>
    <w:rsid w:val="00F843B4"/>
    <w:rsid w:val="00F844E9"/>
    <w:rsid w:val="00F846E3"/>
    <w:rsid w:val="00F84913"/>
    <w:rsid w:val="00F84D03"/>
    <w:rsid w:val="00F84F41"/>
    <w:rsid w:val="00F84FFB"/>
    <w:rsid w:val="00F8509D"/>
    <w:rsid w:val="00F854F7"/>
    <w:rsid w:val="00F85505"/>
    <w:rsid w:val="00F855C2"/>
    <w:rsid w:val="00F8571C"/>
    <w:rsid w:val="00F85773"/>
    <w:rsid w:val="00F858A0"/>
    <w:rsid w:val="00F85AB7"/>
    <w:rsid w:val="00F85B66"/>
    <w:rsid w:val="00F85D2E"/>
    <w:rsid w:val="00F863B8"/>
    <w:rsid w:val="00F863FC"/>
    <w:rsid w:val="00F867A3"/>
    <w:rsid w:val="00F86877"/>
    <w:rsid w:val="00F86BF6"/>
    <w:rsid w:val="00F86CC8"/>
    <w:rsid w:val="00F86DBA"/>
    <w:rsid w:val="00F86F95"/>
    <w:rsid w:val="00F870BB"/>
    <w:rsid w:val="00F87131"/>
    <w:rsid w:val="00F871EA"/>
    <w:rsid w:val="00F87484"/>
    <w:rsid w:val="00F87524"/>
    <w:rsid w:val="00F87591"/>
    <w:rsid w:val="00F87817"/>
    <w:rsid w:val="00F878E4"/>
    <w:rsid w:val="00F87DAF"/>
    <w:rsid w:val="00F87FF1"/>
    <w:rsid w:val="00F90368"/>
    <w:rsid w:val="00F9062B"/>
    <w:rsid w:val="00F90A85"/>
    <w:rsid w:val="00F90BEA"/>
    <w:rsid w:val="00F91029"/>
    <w:rsid w:val="00F9150D"/>
    <w:rsid w:val="00F9166C"/>
    <w:rsid w:val="00F916BA"/>
    <w:rsid w:val="00F91C35"/>
    <w:rsid w:val="00F91D04"/>
    <w:rsid w:val="00F91DD9"/>
    <w:rsid w:val="00F91E4C"/>
    <w:rsid w:val="00F91F84"/>
    <w:rsid w:val="00F92139"/>
    <w:rsid w:val="00F921E9"/>
    <w:rsid w:val="00F92247"/>
    <w:rsid w:val="00F92285"/>
    <w:rsid w:val="00F92322"/>
    <w:rsid w:val="00F92561"/>
    <w:rsid w:val="00F92E5B"/>
    <w:rsid w:val="00F92E8A"/>
    <w:rsid w:val="00F9332B"/>
    <w:rsid w:val="00F933A8"/>
    <w:rsid w:val="00F93401"/>
    <w:rsid w:val="00F937DB"/>
    <w:rsid w:val="00F93A85"/>
    <w:rsid w:val="00F93AE5"/>
    <w:rsid w:val="00F93BEF"/>
    <w:rsid w:val="00F93D6F"/>
    <w:rsid w:val="00F93E15"/>
    <w:rsid w:val="00F93E70"/>
    <w:rsid w:val="00F93EC8"/>
    <w:rsid w:val="00F9403F"/>
    <w:rsid w:val="00F94219"/>
    <w:rsid w:val="00F94410"/>
    <w:rsid w:val="00F94530"/>
    <w:rsid w:val="00F9456F"/>
    <w:rsid w:val="00F946A5"/>
    <w:rsid w:val="00F946F1"/>
    <w:rsid w:val="00F948C0"/>
    <w:rsid w:val="00F94915"/>
    <w:rsid w:val="00F94916"/>
    <w:rsid w:val="00F94BFA"/>
    <w:rsid w:val="00F9516B"/>
    <w:rsid w:val="00F951EF"/>
    <w:rsid w:val="00F95260"/>
    <w:rsid w:val="00F958BB"/>
    <w:rsid w:val="00F95939"/>
    <w:rsid w:val="00F95C21"/>
    <w:rsid w:val="00F95CDC"/>
    <w:rsid w:val="00F95E89"/>
    <w:rsid w:val="00F960A4"/>
    <w:rsid w:val="00F96315"/>
    <w:rsid w:val="00F963A2"/>
    <w:rsid w:val="00F96483"/>
    <w:rsid w:val="00F964AA"/>
    <w:rsid w:val="00F9699A"/>
    <w:rsid w:val="00F96AF0"/>
    <w:rsid w:val="00F96E25"/>
    <w:rsid w:val="00F96E76"/>
    <w:rsid w:val="00F96F04"/>
    <w:rsid w:val="00F96F23"/>
    <w:rsid w:val="00F9702F"/>
    <w:rsid w:val="00FA004A"/>
    <w:rsid w:val="00FA040A"/>
    <w:rsid w:val="00FA04C7"/>
    <w:rsid w:val="00FA06F3"/>
    <w:rsid w:val="00FA0B5E"/>
    <w:rsid w:val="00FA0BBA"/>
    <w:rsid w:val="00FA0C33"/>
    <w:rsid w:val="00FA0D6F"/>
    <w:rsid w:val="00FA1199"/>
    <w:rsid w:val="00FA1299"/>
    <w:rsid w:val="00FA15C7"/>
    <w:rsid w:val="00FA16F9"/>
    <w:rsid w:val="00FA18BF"/>
    <w:rsid w:val="00FA18E6"/>
    <w:rsid w:val="00FA1909"/>
    <w:rsid w:val="00FA1A95"/>
    <w:rsid w:val="00FA20C7"/>
    <w:rsid w:val="00FA20CD"/>
    <w:rsid w:val="00FA2135"/>
    <w:rsid w:val="00FA21B4"/>
    <w:rsid w:val="00FA21BD"/>
    <w:rsid w:val="00FA21F4"/>
    <w:rsid w:val="00FA2241"/>
    <w:rsid w:val="00FA23F8"/>
    <w:rsid w:val="00FA245C"/>
    <w:rsid w:val="00FA2643"/>
    <w:rsid w:val="00FA26EC"/>
    <w:rsid w:val="00FA2952"/>
    <w:rsid w:val="00FA2BFD"/>
    <w:rsid w:val="00FA2CD8"/>
    <w:rsid w:val="00FA2D0C"/>
    <w:rsid w:val="00FA2DC4"/>
    <w:rsid w:val="00FA2E0D"/>
    <w:rsid w:val="00FA3674"/>
    <w:rsid w:val="00FA3897"/>
    <w:rsid w:val="00FA397A"/>
    <w:rsid w:val="00FA3DAF"/>
    <w:rsid w:val="00FA40B4"/>
    <w:rsid w:val="00FA435C"/>
    <w:rsid w:val="00FA4366"/>
    <w:rsid w:val="00FA43D3"/>
    <w:rsid w:val="00FA45A9"/>
    <w:rsid w:val="00FA45EB"/>
    <w:rsid w:val="00FA4FEF"/>
    <w:rsid w:val="00FA50F5"/>
    <w:rsid w:val="00FA5840"/>
    <w:rsid w:val="00FA58CA"/>
    <w:rsid w:val="00FA5AA6"/>
    <w:rsid w:val="00FA5C17"/>
    <w:rsid w:val="00FA5D5C"/>
    <w:rsid w:val="00FA67CE"/>
    <w:rsid w:val="00FA6943"/>
    <w:rsid w:val="00FA6957"/>
    <w:rsid w:val="00FA6A82"/>
    <w:rsid w:val="00FA6B6F"/>
    <w:rsid w:val="00FA6F30"/>
    <w:rsid w:val="00FA6F8F"/>
    <w:rsid w:val="00FA7266"/>
    <w:rsid w:val="00FA72FD"/>
    <w:rsid w:val="00FA7396"/>
    <w:rsid w:val="00FA7824"/>
    <w:rsid w:val="00FA7858"/>
    <w:rsid w:val="00FA7D21"/>
    <w:rsid w:val="00FA7F08"/>
    <w:rsid w:val="00FB00A6"/>
    <w:rsid w:val="00FB05B2"/>
    <w:rsid w:val="00FB0723"/>
    <w:rsid w:val="00FB077B"/>
    <w:rsid w:val="00FB0937"/>
    <w:rsid w:val="00FB0CDC"/>
    <w:rsid w:val="00FB0EFB"/>
    <w:rsid w:val="00FB11C3"/>
    <w:rsid w:val="00FB121C"/>
    <w:rsid w:val="00FB17A4"/>
    <w:rsid w:val="00FB1827"/>
    <w:rsid w:val="00FB1910"/>
    <w:rsid w:val="00FB1C6E"/>
    <w:rsid w:val="00FB1FC5"/>
    <w:rsid w:val="00FB21AE"/>
    <w:rsid w:val="00FB236B"/>
    <w:rsid w:val="00FB25C1"/>
    <w:rsid w:val="00FB27C0"/>
    <w:rsid w:val="00FB2839"/>
    <w:rsid w:val="00FB288A"/>
    <w:rsid w:val="00FB28F2"/>
    <w:rsid w:val="00FB29E7"/>
    <w:rsid w:val="00FB2AB3"/>
    <w:rsid w:val="00FB2E12"/>
    <w:rsid w:val="00FB2EA7"/>
    <w:rsid w:val="00FB308E"/>
    <w:rsid w:val="00FB3417"/>
    <w:rsid w:val="00FB3464"/>
    <w:rsid w:val="00FB35DF"/>
    <w:rsid w:val="00FB37FB"/>
    <w:rsid w:val="00FB3B27"/>
    <w:rsid w:val="00FB3F12"/>
    <w:rsid w:val="00FB3F18"/>
    <w:rsid w:val="00FB3F45"/>
    <w:rsid w:val="00FB40CF"/>
    <w:rsid w:val="00FB469A"/>
    <w:rsid w:val="00FB47F0"/>
    <w:rsid w:val="00FB4901"/>
    <w:rsid w:val="00FB4917"/>
    <w:rsid w:val="00FB4983"/>
    <w:rsid w:val="00FB4CCD"/>
    <w:rsid w:val="00FB520C"/>
    <w:rsid w:val="00FB52C7"/>
    <w:rsid w:val="00FB5A18"/>
    <w:rsid w:val="00FB5F46"/>
    <w:rsid w:val="00FB63BF"/>
    <w:rsid w:val="00FB66DE"/>
    <w:rsid w:val="00FB673F"/>
    <w:rsid w:val="00FB6CF9"/>
    <w:rsid w:val="00FB6D76"/>
    <w:rsid w:val="00FB714B"/>
    <w:rsid w:val="00FB7254"/>
    <w:rsid w:val="00FB7448"/>
    <w:rsid w:val="00FB7633"/>
    <w:rsid w:val="00FB7717"/>
    <w:rsid w:val="00FB78B3"/>
    <w:rsid w:val="00FB7FF8"/>
    <w:rsid w:val="00FC0230"/>
    <w:rsid w:val="00FC075A"/>
    <w:rsid w:val="00FC0893"/>
    <w:rsid w:val="00FC0967"/>
    <w:rsid w:val="00FC0F79"/>
    <w:rsid w:val="00FC0F94"/>
    <w:rsid w:val="00FC11EB"/>
    <w:rsid w:val="00FC1707"/>
    <w:rsid w:val="00FC17F8"/>
    <w:rsid w:val="00FC1809"/>
    <w:rsid w:val="00FC1C2D"/>
    <w:rsid w:val="00FC1C63"/>
    <w:rsid w:val="00FC1ED1"/>
    <w:rsid w:val="00FC21E5"/>
    <w:rsid w:val="00FC2331"/>
    <w:rsid w:val="00FC2790"/>
    <w:rsid w:val="00FC27EF"/>
    <w:rsid w:val="00FC2A8C"/>
    <w:rsid w:val="00FC2BB4"/>
    <w:rsid w:val="00FC2BD8"/>
    <w:rsid w:val="00FC2EF7"/>
    <w:rsid w:val="00FC2F64"/>
    <w:rsid w:val="00FC3134"/>
    <w:rsid w:val="00FC345C"/>
    <w:rsid w:val="00FC3AA8"/>
    <w:rsid w:val="00FC3E4A"/>
    <w:rsid w:val="00FC3EDC"/>
    <w:rsid w:val="00FC41D0"/>
    <w:rsid w:val="00FC4872"/>
    <w:rsid w:val="00FC48C1"/>
    <w:rsid w:val="00FC5244"/>
    <w:rsid w:val="00FC53CB"/>
    <w:rsid w:val="00FC54AA"/>
    <w:rsid w:val="00FC57B1"/>
    <w:rsid w:val="00FC5995"/>
    <w:rsid w:val="00FC6070"/>
    <w:rsid w:val="00FC612F"/>
    <w:rsid w:val="00FC61E0"/>
    <w:rsid w:val="00FC6259"/>
    <w:rsid w:val="00FC64BC"/>
    <w:rsid w:val="00FC66B1"/>
    <w:rsid w:val="00FC6A92"/>
    <w:rsid w:val="00FC6ABD"/>
    <w:rsid w:val="00FC7195"/>
    <w:rsid w:val="00FC726C"/>
    <w:rsid w:val="00FC726D"/>
    <w:rsid w:val="00FC7448"/>
    <w:rsid w:val="00FC761F"/>
    <w:rsid w:val="00FC7711"/>
    <w:rsid w:val="00FC77AD"/>
    <w:rsid w:val="00FC78A1"/>
    <w:rsid w:val="00FC7956"/>
    <w:rsid w:val="00FC7F1F"/>
    <w:rsid w:val="00FD023D"/>
    <w:rsid w:val="00FD096A"/>
    <w:rsid w:val="00FD097E"/>
    <w:rsid w:val="00FD0A4A"/>
    <w:rsid w:val="00FD0B21"/>
    <w:rsid w:val="00FD1209"/>
    <w:rsid w:val="00FD13C3"/>
    <w:rsid w:val="00FD13F5"/>
    <w:rsid w:val="00FD1475"/>
    <w:rsid w:val="00FD14DD"/>
    <w:rsid w:val="00FD15C5"/>
    <w:rsid w:val="00FD1637"/>
    <w:rsid w:val="00FD1689"/>
    <w:rsid w:val="00FD1789"/>
    <w:rsid w:val="00FD1817"/>
    <w:rsid w:val="00FD1884"/>
    <w:rsid w:val="00FD1C8E"/>
    <w:rsid w:val="00FD1F8D"/>
    <w:rsid w:val="00FD20CC"/>
    <w:rsid w:val="00FD21C0"/>
    <w:rsid w:val="00FD2220"/>
    <w:rsid w:val="00FD24F4"/>
    <w:rsid w:val="00FD25A3"/>
    <w:rsid w:val="00FD2B97"/>
    <w:rsid w:val="00FD2DD2"/>
    <w:rsid w:val="00FD315E"/>
    <w:rsid w:val="00FD3208"/>
    <w:rsid w:val="00FD366C"/>
    <w:rsid w:val="00FD37AC"/>
    <w:rsid w:val="00FD3975"/>
    <w:rsid w:val="00FD3AFF"/>
    <w:rsid w:val="00FD4033"/>
    <w:rsid w:val="00FD4AEB"/>
    <w:rsid w:val="00FD4B43"/>
    <w:rsid w:val="00FD4BCA"/>
    <w:rsid w:val="00FD5068"/>
    <w:rsid w:val="00FD5488"/>
    <w:rsid w:val="00FD58B8"/>
    <w:rsid w:val="00FD5C04"/>
    <w:rsid w:val="00FD5D3D"/>
    <w:rsid w:val="00FD5E18"/>
    <w:rsid w:val="00FD5FA5"/>
    <w:rsid w:val="00FD600A"/>
    <w:rsid w:val="00FD6234"/>
    <w:rsid w:val="00FD6282"/>
    <w:rsid w:val="00FD66E6"/>
    <w:rsid w:val="00FD683B"/>
    <w:rsid w:val="00FD69CA"/>
    <w:rsid w:val="00FD6D9A"/>
    <w:rsid w:val="00FD6F01"/>
    <w:rsid w:val="00FD6FEC"/>
    <w:rsid w:val="00FD7110"/>
    <w:rsid w:val="00FD7193"/>
    <w:rsid w:val="00FD73E1"/>
    <w:rsid w:val="00FD744B"/>
    <w:rsid w:val="00FD7464"/>
    <w:rsid w:val="00FD75BF"/>
    <w:rsid w:val="00FD76D9"/>
    <w:rsid w:val="00FD7C19"/>
    <w:rsid w:val="00FD7CC4"/>
    <w:rsid w:val="00FD7DF7"/>
    <w:rsid w:val="00FE0084"/>
    <w:rsid w:val="00FE0426"/>
    <w:rsid w:val="00FE0641"/>
    <w:rsid w:val="00FE094C"/>
    <w:rsid w:val="00FE0C37"/>
    <w:rsid w:val="00FE110B"/>
    <w:rsid w:val="00FE1581"/>
    <w:rsid w:val="00FE171C"/>
    <w:rsid w:val="00FE1D19"/>
    <w:rsid w:val="00FE2053"/>
    <w:rsid w:val="00FE275D"/>
    <w:rsid w:val="00FE2A7F"/>
    <w:rsid w:val="00FE2C19"/>
    <w:rsid w:val="00FE2E99"/>
    <w:rsid w:val="00FE2F3B"/>
    <w:rsid w:val="00FE3AB0"/>
    <w:rsid w:val="00FE3AFB"/>
    <w:rsid w:val="00FE3B90"/>
    <w:rsid w:val="00FE3C6C"/>
    <w:rsid w:val="00FE3E83"/>
    <w:rsid w:val="00FE3FB7"/>
    <w:rsid w:val="00FE41E7"/>
    <w:rsid w:val="00FE4736"/>
    <w:rsid w:val="00FE477E"/>
    <w:rsid w:val="00FE4821"/>
    <w:rsid w:val="00FE4C6F"/>
    <w:rsid w:val="00FE4CD0"/>
    <w:rsid w:val="00FE5160"/>
    <w:rsid w:val="00FE52EB"/>
    <w:rsid w:val="00FE5F7C"/>
    <w:rsid w:val="00FE656D"/>
    <w:rsid w:val="00FE6A25"/>
    <w:rsid w:val="00FE6B97"/>
    <w:rsid w:val="00FE72C6"/>
    <w:rsid w:val="00FE74F6"/>
    <w:rsid w:val="00FE758B"/>
    <w:rsid w:val="00FE786F"/>
    <w:rsid w:val="00FE790A"/>
    <w:rsid w:val="00FE7ABD"/>
    <w:rsid w:val="00FE7B06"/>
    <w:rsid w:val="00FE7B88"/>
    <w:rsid w:val="00FE7E47"/>
    <w:rsid w:val="00FF014F"/>
    <w:rsid w:val="00FF08E7"/>
    <w:rsid w:val="00FF096C"/>
    <w:rsid w:val="00FF0B49"/>
    <w:rsid w:val="00FF0BFA"/>
    <w:rsid w:val="00FF0E95"/>
    <w:rsid w:val="00FF128E"/>
    <w:rsid w:val="00FF1432"/>
    <w:rsid w:val="00FF1665"/>
    <w:rsid w:val="00FF1FA1"/>
    <w:rsid w:val="00FF206C"/>
    <w:rsid w:val="00FF224E"/>
    <w:rsid w:val="00FF2512"/>
    <w:rsid w:val="00FF25E1"/>
    <w:rsid w:val="00FF28A5"/>
    <w:rsid w:val="00FF2968"/>
    <w:rsid w:val="00FF2A54"/>
    <w:rsid w:val="00FF2CB2"/>
    <w:rsid w:val="00FF2CE2"/>
    <w:rsid w:val="00FF2D32"/>
    <w:rsid w:val="00FF336A"/>
    <w:rsid w:val="00FF3516"/>
    <w:rsid w:val="00FF3754"/>
    <w:rsid w:val="00FF38B2"/>
    <w:rsid w:val="00FF3F5A"/>
    <w:rsid w:val="00FF4366"/>
    <w:rsid w:val="00FF4454"/>
    <w:rsid w:val="00FF474E"/>
    <w:rsid w:val="00FF4982"/>
    <w:rsid w:val="00FF49EF"/>
    <w:rsid w:val="00FF4C0C"/>
    <w:rsid w:val="00FF4C22"/>
    <w:rsid w:val="00FF4CB8"/>
    <w:rsid w:val="00FF4CEE"/>
    <w:rsid w:val="00FF4DF6"/>
    <w:rsid w:val="00FF4F87"/>
    <w:rsid w:val="00FF4FE9"/>
    <w:rsid w:val="00FF5001"/>
    <w:rsid w:val="00FF50E1"/>
    <w:rsid w:val="00FF518F"/>
    <w:rsid w:val="00FF529F"/>
    <w:rsid w:val="00FF5633"/>
    <w:rsid w:val="00FF5C0A"/>
    <w:rsid w:val="00FF60B7"/>
    <w:rsid w:val="00FF6208"/>
    <w:rsid w:val="00FF6718"/>
    <w:rsid w:val="00FF6AEF"/>
    <w:rsid w:val="00FF6D64"/>
    <w:rsid w:val="00FF6E4C"/>
    <w:rsid w:val="00FF731F"/>
    <w:rsid w:val="00FF74B4"/>
    <w:rsid w:val="00FF7542"/>
    <w:rsid w:val="00FF7590"/>
    <w:rsid w:val="00FF76C0"/>
    <w:rsid w:val="00FF7B59"/>
    <w:rsid w:val="00FF7EA6"/>
    <w:rsid w:val="00FF7F10"/>
    <w:rsid w:val="00FF7F21"/>
    <w:rsid w:val="0110A152"/>
    <w:rsid w:val="018ACD90"/>
    <w:rsid w:val="01917333"/>
    <w:rsid w:val="01B4A3D7"/>
    <w:rsid w:val="01CFCFB9"/>
    <w:rsid w:val="020AA7F0"/>
    <w:rsid w:val="0224C635"/>
    <w:rsid w:val="02329FF6"/>
    <w:rsid w:val="0257A387"/>
    <w:rsid w:val="032243C0"/>
    <w:rsid w:val="03284520"/>
    <w:rsid w:val="03E7A3CD"/>
    <w:rsid w:val="03EBCE40"/>
    <w:rsid w:val="042E459B"/>
    <w:rsid w:val="043D5A9C"/>
    <w:rsid w:val="05173D49"/>
    <w:rsid w:val="05D83774"/>
    <w:rsid w:val="05E366CF"/>
    <w:rsid w:val="05EF4265"/>
    <w:rsid w:val="061D45AD"/>
    <w:rsid w:val="066C7511"/>
    <w:rsid w:val="06835397"/>
    <w:rsid w:val="0685A0AE"/>
    <w:rsid w:val="0696EA23"/>
    <w:rsid w:val="07137B9F"/>
    <w:rsid w:val="077F27EE"/>
    <w:rsid w:val="07923352"/>
    <w:rsid w:val="07A51B91"/>
    <w:rsid w:val="07FE8A47"/>
    <w:rsid w:val="085DF02F"/>
    <w:rsid w:val="086A4AF8"/>
    <w:rsid w:val="086DE444"/>
    <w:rsid w:val="08B5BE8D"/>
    <w:rsid w:val="08C3D21F"/>
    <w:rsid w:val="095F7F50"/>
    <w:rsid w:val="09749FF3"/>
    <w:rsid w:val="09FD582F"/>
    <w:rsid w:val="0A04A418"/>
    <w:rsid w:val="0A0D50E7"/>
    <w:rsid w:val="0A3B4E38"/>
    <w:rsid w:val="0A68981F"/>
    <w:rsid w:val="0AB99C1C"/>
    <w:rsid w:val="0AEEE213"/>
    <w:rsid w:val="0B5A490D"/>
    <w:rsid w:val="0BEFDA25"/>
    <w:rsid w:val="0C1B4831"/>
    <w:rsid w:val="0C4ED0A2"/>
    <w:rsid w:val="0C8646B1"/>
    <w:rsid w:val="0CE1BAF1"/>
    <w:rsid w:val="0D14557B"/>
    <w:rsid w:val="0D1FB5F1"/>
    <w:rsid w:val="0D225332"/>
    <w:rsid w:val="0E26909B"/>
    <w:rsid w:val="0E317134"/>
    <w:rsid w:val="0EDD3DEE"/>
    <w:rsid w:val="0EFC8670"/>
    <w:rsid w:val="0F716222"/>
    <w:rsid w:val="0FC11E07"/>
    <w:rsid w:val="0FCFED23"/>
    <w:rsid w:val="0FE5647C"/>
    <w:rsid w:val="117DC661"/>
    <w:rsid w:val="11ADE69C"/>
    <w:rsid w:val="11EB9373"/>
    <w:rsid w:val="1267A7D7"/>
    <w:rsid w:val="1275EAFE"/>
    <w:rsid w:val="127CDED8"/>
    <w:rsid w:val="127D7570"/>
    <w:rsid w:val="1305BA01"/>
    <w:rsid w:val="1338B42C"/>
    <w:rsid w:val="133E1730"/>
    <w:rsid w:val="1346FF31"/>
    <w:rsid w:val="136F9B08"/>
    <w:rsid w:val="13FC43A8"/>
    <w:rsid w:val="14B717C4"/>
    <w:rsid w:val="15250A34"/>
    <w:rsid w:val="153C138E"/>
    <w:rsid w:val="159DDE41"/>
    <w:rsid w:val="15B8F56A"/>
    <w:rsid w:val="15E36A5D"/>
    <w:rsid w:val="161A27B9"/>
    <w:rsid w:val="161D16EE"/>
    <w:rsid w:val="16A63E79"/>
    <w:rsid w:val="16D7B8C9"/>
    <w:rsid w:val="16DF1320"/>
    <w:rsid w:val="16E17501"/>
    <w:rsid w:val="17967271"/>
    <w:rsid w:val="180CF452"/>
    <w:rsid w:val="188EFB3A"/>
    <w:rsid w:val="189ABB1D"/>
    <w:rsid w:val="18FCE247"/>
    <w:rsid w:val="190F9CE7"/>
    <w:rsid w:val="19275430"/>
    <w:rsid w:val="19310981"/>
    <w:rsid w:val="1989669D"/>
    <w:rsid w:val="1A486D54"/>
    <w:rsid w:val="1A5678C4"/>
    <w:rsid w:val="1A5A7AD0"/>
    <w:rsid w:val="1ABF8152"/>
    <w:rsid w:val="1BADF418"/>
    <w:rsid w:val="1CAF9147"/>
    <w:rsid w:val="1D580198"/>
    <w:rsid w:val="1D8A5E2C"/>
    <w:rsid w:val="1D9A1EEA"/>
    <w:rsid w:val="1DB7D9BA"/>
    <w:rsid w:val="1DF08C48"/>
    <w:rsid w:val="1E1C131F"/>
    <w:rsid w:val="1E394BFE"/>
    <w:rsid w:val="1E5F7D17"/>
    <w:rsid w:val="1E682CB8"/>
    <w:rsid w:val="1E80ABEB"/>
    <w:rsid w:val="1EBDAE10"/>
    <w:rsid w:val="1EC8BEEA"/>
    <w:rsid w:val="1EC941DD"/>
    <w:rsid w:val="1ECC2609"/>
    <w:rsid w:val="1EDD6971"/>
    <w:rsid w:val="1F1E5B7D"/>
    <w:rsid w:val="1F5823C3"/>
    <w:rsid w:val="20ED0338"/>
    <w:rsid w:val="2165CDFA"/>
    <w:rsid w:val="21A22754"/>
    <w:rsid w:val="21AD0025"/>
    <w:rsid w:val="21B977C3"/>
    <w:rsid w:val="21F75638"/>
    <w:rsid w:val="220BAA2C"/>
    <w:rsid w:val="22BD353D"/>
    <w:rsid w:val="23BD9653"/>
    <w:rsid w:val="23CCCE40"/>
    <w:rsid w:val="23ECE383"/>
    <w:rsid w:val="2411B028"/>
    <w:rsid w:val="246C3603"/>
    <w:rsid w:val="24CC5F4C"/>
    <w:rsid w:val="2500B8AB"/>
    <w:rsid w:val="254DEDE4"/>
    <w:rsid w:val="25A1B5D8"/>
    <w:rsid w:val="25E85FBC"/>
    <w:rsid w:val="25EC1187"/>
    <w:rsid w:val="261230AA"/>
    <w:rsid w:val="267BF0E6"/>
    <w:rsid w:val="273214EB"/>
    <w:rsid w:val="27C52AA1"/>
    <w:rsid w:val="27F4A46C"/>
    <w:rsid w:val="2831D844"/>
    <w:rsid w:val="28879C24"/>
    <w:rsid w:val="29B57819"/>
    <w:rsid w:val="29E487F6"/>
    <w:rsid w:val="29F54C02"/>
    <w:rsid w:val="2A45DD08"/>
    <w:rsid w:val="2A5A5A0B"/>
    <w:rsid w:val="2A7090B9"/>
    <w:rsid w:val="2A93887C"/>
    <w:rsid w:val="2ADD71A2"/>
    <w:rsid w:val="2AF70FAA"/>
    <w:rsid w:val="2B47FDE8"/>
    <w:rsid w:val="2B64F2A8"/>
    <w:rsid w:val="2B7F16D5"/>
    <w:rsid w:val="2BFF0D43"/>
    <w:rsid w:val="2C7F0640"/>
    <w:rsid w:val="2D281302"/>
    <w:rsid w:val="2D420AA4"/>
    <w:rsid w:val="2D50E70C"/>
    <w:rsid w:val="2DDCEFCF"/>
    <w:rsid w:val="2E13279D"/>
    <w:rsid w:val="2E2A3F2D"/>
    <w:rsid w:val="2E38D00C"/>
    <w:rsid w:val="2EE43D49"/>
    <w:rsid w:val="2F094EEB"/>
    <w:rsid w:val="2F11B605"/>
    <w:rsid w:val="2F9211F6"/>
    <w:rsid w:val="2F9E47A8"/>
    <w:rsid w:val="3007D39C"/>
    <w:rsid w:val="303D36D1"/>
    <w:rsid w:val="304372B2"/>
    <w:rsid w:val="307C5D27"/>
    <w:rsid w:val="30A9109B"/>
    <w:rsid w:val="30E9FA30"/>
    <w:rsid w:val="30F00694"/>
    <w:rsid w:val="31173EEB"/>
    <w:rsid w:val="317E1F8D"/>
    <w:rsid w:val="31B41D62"/>
    <w:rsid w:val="325D569A"/>
    <w:rsid w:val="328CFBDF"/>
    <w:rsid w:val="32C5A755"/>
    <w:rsid w:val="32C6D230"/>
    <w:rsid w:val="32EEA08E"/>
    <w:rsid w:val="336BCDB5"/>
    <w:rsid w:val="3385E2AE"/>
    <w:rsid w:val="33981E63"/>
    <w:rsid w:val="33E3E16D"/>
    <w:rsid w:val="340A9A93"/>
    <w:rsid w:val="3477845B"/>
    <w:rsid w:val="34FA9558"/>
    <w:rsid w:val="352C2D4A"/>
    <w:rsid w:val="35D36A9A"/>
    <w:rsid w:val="35F061FD"/>
    <w:rsid w:val="3602D085"/>
    <w:rsid w:val="36409EBC"/>
    <w:rsid w:val="366F0A56"/>
    <w:rsid w:val="366F16F3"/>
    <w:rsid w:val="36C731CA"/>
    <w:rsid w:val="36E4716A"/>
    <w:rsid w:val="36E80300"/>
    <w:rsid w:val="37391CA1"/>
    <w:rsid w:val="37451EE0"/>
    <w:rsid w:val="3792F7D5"/>
    <w:rsid w:val="37B5D53B"/>
    <w:rsid w:val="37C838F9"/>
    <w:rsid w:val="37D0E1B2"/>
    <w:rsid w:val="37E9272B"/>
    <w:rsid w:val="388AE576"/>
    <w:rsid w:val="38949D64"/>
    <w:rsid w:val="38DA4C2B"/>
    <w:rsid w:val="38DD1888"/>
    <w:rsid w:val="39767877"/>
    <w:rsid w:val="3BA9EC33"/>
    <w:rsid w:val="3BC2543A"/>
    <w:rsid w:val="3BD41650"/>
    <w:rsid w:val="3C0B53BB"/>
    <w:rsid w:val="3C209F26"/>
    <w:rsid w:val="3C2840E8"/>
    <w:rsid w:val="3C48B865"/>
    <w:rsid w:val="3CC7D839"/>
    <w:rsid w:val="3D106754"/>
    <w:rsid w:val="3D37B9A9"/>
    <w:rsid w:val="3D37E3F6"/>
    <w:rsid w:val="3D4E026E"/>
    <w:rsid w:val="3D5E689B"/>
    <w:rsid w:val="3D8F777D"/>
    <w:rsid w:val="3DAC8070"/>
    <w:rsid w:val="3DBF7C8A"/>
    <w:rsid w:val="3DC12F68"/>
    <w:rsid w:val="3DD419E5"/>
    <w:rsid w:val="3E3262C5"/>
    <w:rsid w:val="3E7BEC1B"/>
    <w:rsid w:val="3EBB9931"/>
    <w:rsid w:val="3EC46F60"/>
    <w:rsid w:val="3ED28029"/>
    <w:rsid w:val="3F3A2D37"/>
    <w:rsid w:val="3F5EE775"/>
    <w:rsid w:val="3FA5D302"/>
    <w:rsid w:val="403A0ED2"/>
    <w:rsid w:val="403B5EAE"/>
    <w:rsid w:val="40D124E5"/>
    <w:rsid w:val="40FB5D49"/>
    <w:rsid w:val="4244678B"/>
    <w:rsid w:val="4250D41A"/>
    <w:rsid w:val="42976E06"/>
    <w:rsid w:val="43117DB6"/>
    <w:rsid w:val="43168C91"/>
    <w:rsid w:val="431FB85A"/>
    <w:rsid w:val="4369F6F2"/>
    <w:rsid w:val="439B0E7C"/>
    <w:rsid w:val="43C35C4A"/>
    <w:rsid w:val="43C8CD1E"/>
    <w:rsid w:val="43D8EC04"/>
    <w:rsid w:val="441F296D"/>
    <w:rsid w:val="443A1FC2"/>
    <w:rsid w:val="443E5619"/>
    <w:rsid w:val="446943EA"/>
    <w:rsid w:val="45010549"/>
    <w:rsid w:val="4537EC72"/>
    <w:rsid w:val="457DFB67"/>
    <w:rsid w:val="45BC071C"/>
    <w:rsid w:val="45ED8A85"/>
    <w:rsid w:val="468DE0FC"/>
    <w:rsid w:val="46D73C78"/>
    <w:rsid w:val="470F615E"/>
    <w:rsid w:val="4725CB7E"/>
    <w:rsid w:val="47851BAF"/>
    <w:rsid w:val="47CD2417"/>
    <w:rsid w:val="47F8D731"/>
    <w:rsid w:val="48775117"/>
    <w:rsid w:val="48A28EB9"/>
    <w:rsid w:val="48F984C1"/>
    <w:rsid w:val="493B1848"/>
    <w:rsid w:val="497CED93"/>
    <w:rsid w:val="49C82E69"/>
    <w:rsid w:val="49DB6917"/>
    <w:rsid w:val="49FB7517"/>
    <w:rsid w:val="4A16368B"/>
    <w:rsid w:val="4A38B9E7"/>
    <w:rsid w:val="4A4CDAB0"/>
    <w:rsid w:val="4AA611B4"/>
    <w:rsid w:val="4AFB78C9"/>
    <w:rsid w:val="4B263685"/>
    <w:rsid w:val="4B874F60"/>
    <w:rsid w:val="4B925EC9"/>
    <w:rsid w:val="4CECF1FF"/>
    <w:rsid w:val="4D05828E"/>
    <w:rsid w:val="4D46D674"/>
    <w:rsid w:val="4DF89AEE"/>
    <w:rsid w:val="4E638EA1"/>
    <w:rsid w:val="4ED1DC09"/>
    <w:rsid w:val="4F26F096"/>
    <w:rsid w:val="4FCA9A31"/>
    <w:rsid w:val="4FCB0A54"/>
    <w:rsid w:val="4FCD923A"/>
    <w:rsid w:val="4FFADB6C"/>
    <w:rsid w:val="4FFD76AC"/>
    <w:rsid w:val="5002C801"/>
    <w:rsid w:val="5039CCBA"/>
    <w:rsid w:val="509E3663"/>
    <w:rsid w:val="50AE95BE"/>
    <w:rsid w:val="50D8DE8D"/>
    <w:rsid w:val="51297ABC"/>
    <w:rsid w:val="514F3F2F"/>
    <w:rsid w:val="51D6C692"/>
    <w:rsid w:val="524734E0"/>
    <w:rsid w:val="524EFE77"/>
    <w:rsid w:val="52979BA1"/>
    <w:rsid w:val="52A94F1B"/>
    <w:rsid w:val="5322E917"/>
    <w:rsid w:val="53B91326"/>
    <w:rsid w:val="54CBEF2E"/>
    <w:rsid w:val="54DAA93F"/>
    <w:rsid w:val="5528D56A"/>
    <w:rsid w:val="55594C1A"/>
    <w:rsid w:val="5584360A"/>
    <w:rsid w:val="55B9DF61"/>
    <w:rsid w:val="563496B1"/>
    <w:rsid w:val="56B0E691"/>
    <w:rsid w:val="56C30E9E"/>
    <w:rsid w:val="57356F02"/>
    <w:rsid w:val="57514FB3"/>
    <w:rsid w:val="5765CCBA"/>
    <w:rsid w:val="57BA3556"/>
    <w:rsid w:val="5878D698"/>
    <w:rsid w:val="58F55CB3"/>
    <w:rsid w:val="593291BF"/>
    <w:rsid w:val="59794803"/>
    <w:rsid w:val="59B2EF1A"/>
    <w:rsid w:val="59B73408"/>
    <w:rsid w:val="5AEC5724"/>
    <w:rsid w:val="5B02E12C"/>
    <w:rsid w:val="5BA70F53"/>
    <w:rsid w:val="5BC3E164"/>
    <w:rsid w:val="5BF81A45"/>
    <w:rsid w:val="5C7B5E90"/>
    <w:rsid w:val="5C7E7314"/>
    <w:rsid w:val="5C94F3D0"/>
    <w:rsid w:val="5C9B1A3C"/>
    <w:rsid w:val="5CB68C5E"/>
    <w:rsid w:val="5CBD4341"/>
    <w:rsid w:val="5D77A9C0"/>
    <w:rsid w:val="5D7A296F"/>
    <w:rsid w:val="5D89842D"/>
    <w:rsid w:val="5DCD373C"/>
    <w:rsid w:val="5DCDE493"/>
    <w:rsid w:val="5DEB6D68"/>
    <w:rsid w:val="5DFB31BF"/>
    <w:rsid w:val="5E5D0D43"/>
    <w:rsid w:val="5E7925BA"/>
    <w:rsid w:val="5E80BF7D"/>
    <w:rsid w:val="5EC2BDF2"/>
    <w:rsid w:val="5EE9DF11"/>
    <w:rsid w:val="5F6A12C7"/>
    <w:rsid w:val="5F8B53EE"/>
    <w:rsid w:val="5F938F22"/>
    <w:rsid w:val="6006E2A8"/>
    <w:rsid w:val="601D7050"/>
    <w:rsid w:val="60239AF8"/>
    <w:rsid w:val="6075917D"/>
    <w:rsid w:val="60DC6D79"/>
    <w:rsid w:val="60F25C3E"/>
    <w:rsid w:val="61B60E78"/>
    <w:rsid w:val="61C8E7F3"/>
    <w:rsid w:val="61DD3251"/>
    <w:rsid w:val="61E54CD0"/>
    <w:rsid w:val="61FD6063"/>
    <w:rsid w:val="622B4387"/>
    <w:rsid w:val="6233D400"/>
    <w:rsid w:val="6277222D"/>
    <w:rsid w:val="62A5E769"/>
    <w:rsid w:val="62B248AD"/>
    <w:rsid w:val="62FBA3B4"/>
    <w:rsid w:val="634C956C"/>
    <w:rsid w:val="6362100B"/>
    <w:rsid w:val="63683E00"/>
    <w:rsid w:val="63A92D1C"/>
    <w:rsid w:val="63C01447"/>
    <w:rsid w:val="643E1A07"/>
    <w:rsid w:val="6462607C"/>
    <w:rsid w:val="64AD63D5"/>
    <w:rsid w:val="64C21EDD"/>
    <w:rsid w:val="6516BD66"/>
    <w:rsid w:val="65B4018D"/>
    <w:rsid w:val="665CE007"/>
    <w:rsid w:val="68002A4A"/>
    <w:rsid w:val="69876B2E"/>
    <w:rsid w:val="699D448D"/>
    <w:rsid w:val="6A050F00"/>
    <w:rsid w:val="6A4B9D2B"/>
    <w:rsid w:val="6A785B35"/>
    <w:rsid w:val="6B5DBCF4"/>
    <w:rsid w:val="6B741A66"/>
    <w:rsid w:val="6C10C824"/>
    <w:rsid w:val="6CC769AC"/>
    <w:rsid w:val="6CCB0E4A"/>
    <w:rsid w:val="6D6B08FA"/>
    <w:rsid w:val="6DBE5252"/>
    <w:rsid w:val="6DEA12FD"/>
    <w:rsid w:val="6DF05048"/>
    <w:rsid w:val="6E1E6A80"/>
    <w:rsid w:val="6EA4F9EA"/>
    <w:rsid w:val="6EAD9B05"/>
    <w:rsid w:val="6EEA54EB"/>
    <w:rsid w:val="6F2E1C3F"/>
    <w:rsid w:val="6FF3B987"/>
    <w:rsid w:val="6FF7FDBE"/>
    <w:rsid w:val="700EE4E9"/>
    <w:rsid w:val="7068512D"/>
    <w:rsid w:val="706DCCAF"/>
    <w:rsid w:val="707F332C"/>
    <w:rsid w:val="70C0ED77"/>
    <w:rsid w:val="711A818A"/>
    <w:rsid w:val="7165D808"/>
    <w:rsid w:val="71A00BB2"/>
    <w:rsid w:val="7250FAA9"/>
    <w:rsid w:val="72D5E172"/>
    <w:rsid w:val="73073CF8"/>
    <w:rsid w:val="737406F0"/>
    <w:rsid w:val="7376FAD1"/>
    <w:rsid w:val="73A85012"/>
    <w:rsid w:val="73E0B431"/>
    <w:rsid w:val="73FF380E"/>
    <w:rsid w:val="746D2793"/>
    <w:rsid w:val="74ABB8C0"/>
    <w:rsid w:val="74E7FDA6"/>
    <w:rsid w:val="7558537D"/>
    <w:rsid w:val="758EA90A"/>
    <w:rsid w:val="762CDDFC"/>
    <w:rsid w:val="763C2F22"/>
    <w:rsid w:val="767C3A3A"/>
    <w:rsid w:val="7696BE28"/>
    <w:rsid w:val="76C4A402"/>
    <w:rsid w:val="76C91306"/>
    <w:rsid w:val="76D0879E"/>
    <w:rsid w:val="77A5A90F"/>
    <w:rsid w:val="77B64BBF"/>
    <w:rsid w:val="782D7DA9"/>
    <w:rsid w:val="7846E87E"/>
    <w:rsid w:val="785AE2C4"/>
    <w:rsid w:val="78944889"/>
    <w:rsid w:val="79A68DF4"/>
    <w:rsid w:val="79B3F039"/>
    <w:rsid w:val="79C8024F"/>
    <w:rsid w:val="79D2E08D"/>
    <w:rsid w:val="7A43F9A2"/>
    <w:rsid w:val="7A9829AF"/>
    <w:rsid w:val="7A9DF387"/>
    <w:rsid w:val="7AD71349"/>
    <w:rsid w:val="7AF47B8A"/>
    <w:rsid w:val="7B0FE906"/>
    <w:rsid w:val="7B5384EF"/>
    <w:rsid w:val="7B58C801"/>
    <w:rsid w:val="7B8C536F"/>
    <w:rsid w:val="7C078087"/>
    <w:rsid w:val="7D08854E"/>
    <w:rsid w:val="7D32CAF3"/>
    <w:rsid w:val="7D537172"/>
    <w:rsid w:val="7DD64C0F"/>
    <w:rsid w:val="7E105954"/>
    <w:rsid w:val="7E57942E"/>
    <w:rsid w:val="7ED39A11"/>
    <w:rsid w:val="7F73F73C"/>
    <w:rsid w:val="7F7AAE09"/>
    <w:rsid w:val="7F9648AB"/>
    <w:rsid w:val="7FDBB98A"/>
    <w:rsid w:val="7FFA3627"/>
    <w:rsid w:val="7FFC29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AD799"/>
  <w15:chartTrackingRefBased/>
  <w15:docId w15:val="{8EB7A15F-DFF3-4BC7-9EAB-233A1286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annotation text"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9A4"/>
    <w:rPr>
      <w:sz w:val="24"/>
      <w:szCs w:val="24"/>
    </w:rPr>
  </w:style>
  <w:style w:type="paragraph" w:styleId="Heading1">
    <w:name w:val="heading 1"/>
    <w:basedOn w:val="Normal"/>
    <w:next w:val="Normal"/>
    <w:link w:val="Heading1Char"/>
    <w:qFormat/>
    <w:rsid w:val="002339A4"/>
    <w:pPr>
      <w:keepNext/>
      <w:spacing w:line="360" w:lineRule="auto"/>
      <w:jc w:val="center"/>
      <w:outlineLvl w:val="0"/>
    </w:pPr>
    <w:rPr>
      <w:b/>
      <w:bCs/>
      <w:kern w:val="32"/>
      <w:sz w:val="26"/>
      <w:szCs w:val="32"/>
    </w:rPr>
  </w:style>
  <w:style w:type="paragraph" w:styleId="Heading2">
    <w:name w:val="heading 2"/>
    <w:basedOn w:val="p3"/>
    <w:next w:val="Normal"/>
    <w:link w:val="Heading2Char"/>
    <w:qFormat/>
    <w:rsid w:val="00DD1373"/>
    <w:pPr>
      <w:numPr>
        <w:numId w:val="5"/>
      </w:numPr>
      <w:tabs>
        <w:tab w:val="clear" w:pos="204"/>
        <w:tab w:val="left" w:pos="-1800"/>
      </w:tabs>
      <w:spacing w:line="360" w:lineRule="auto"/>
      <w:ind w:left="360"/>
      <w:outlineLvl w:val="1"/>
    </w:pPr>
    <w:rPr>
      <w:b/>
      <w:szCs w:val="26"/>
    </w:rPr>
  </w:style>
  <w:style w:type="paragraph" w:styleId="Heading3">
    <w:name w:val="heading 3"/>
    <w:basedOn w:val="p3"/>
    <w:next w:val="Normal"/>
    <w:link w:val="Heading3Char"/>
    <w:qFormat/>
    <w:rsid w:val="00DD1373"/>
    <w:pPr>
      <w:keepNext/>
      <w:widowControl/>
      <w:numPr>
        <w:numId w:val="25"/>
      </w:numPr>
      <w:tabs>
        <w:tab w:val="clear" w:pos="204"/>
        <w:tab w:val="left" w:pos="720"/>
      </w:tabs>
      <w:spacing w:line="360" w:lineRule="auto"/>
      <w:outlineLvl w:val="2"/>
    </w:pPr>
    <w:rPr>
      <w:b/>
      <w:szCs w:val="26"/>
    </w:rPr>
  </w:style>
  <w:style w:type="paragraph" w:styleId="Heading4">
    <w:name w:val="heading 4"/>
    <w:basedOn w:val="p3"/>
    <w:next w:val="BodyTextIndent3"/>
    <w:link w:val="Heading4Char"/>
    <w:qFormat/>
    <w:rsid w:val="00DD1373"/>
    <w:pPr>
      <w:keepNext/>
      <w:numPr>
        <w:ilvl w:val="1"/>
        <w:numId w:val="6"/>
      </w:numPr>
      <w:tabs>
        <w:tab w:val="clear" w:pos="204"/>
        <w:tab w:val="left" w:pos="720"/>
      </w:tabs>
      <w:spacing w:line="360" w:lineRule="auto"/>
      <w:ind w:left="1800"/>
      <w:outlineLvl w:val="3"/>
    </w:pPr>
    <w:rPr>
      <w:b/>
      <w:szCs w:val="26"/>
    </w:rPr>
  </w:style>
  <w:style w:type="paragraph" w:styleId="Heading5">
    <w:name w:val="heading 5"/>
    <w:basedOn w:val="Normal"/>
    <w:next w:val="Normal"/>
    <w:link w:val="Heading5Char"/>
    <w:unhideWhenUsed/>
    <w:qFormat/>
    <w:rsid w:val="00DD1373"/>
    <w:pPr>
      <w:numPr>
        <w:numId w:val="4"/>
      </w:numPr>
      <w:spacing w:line="360" w:lineRule="auto"/>
      <w:ind w:left="2520"/>
      <w:outlineLvl w:val="4"/>
    </w:pPr>
    <w:rPr>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qFormat/>
    <w:rsid w:val="002719B7"/>
    <w:rPr>
      <w:sz w:val="20"/>
      <w:szCs w:val="20"/>
    </w:rPr>
  </w:style>
  <w:style w:type="character" w:styleId="FootnoteReference">
    <w:name w:val="footnote reference"/>
    <w:aliases w:val="o,fr"/>
    <w:uiPriority w:val="99"/>
    <w:rsid w:val="002719B7"/>
    <w:rPr>
      <w:vertAlign w:val="superscript"/>
    </w:rPr>
  </w:style>
  <w:style w:type="paragraph" w:styleId="Header">
    <w:name w:val="header"/>
    <w:basedOn w:val="Normal"/>
    <w:rsid w:val="002719B7"/>
    <w:pPr>
      <w:tabs>
        <w:tab w:val="center" w:pos="4320"/>
        <w:tab w:val="right" w:pos="8640"/>
      </w:tabs>
    </w:pPr>
  </w:style>
  <w:style w:type="paragraph" w:styleId="Footer">
    <w:name w:val="footer"/>
    <w:basedOn w:val="Normal"/>
    <w:rsid w:val="002719B7"/>
    <w:pPr>
      <w:tabs>
        <w:tab w:val="center" w:pos="4320"/>
        <w:tab w:val="right" w:pos="8640"/>
      </w:tabs>
    </w:pPr>
  </w:style>
  <w:style w:type="character" w:styleId="PageNumber">
    <w:name w:val="page number"/>
    <w:basedOn w:val="DefaultParagraphFont"/>
    <w:rsid w:val="002719B7"/>
  </w:style>
  <w:style w:type="paragraph" w:customStyle="1" w:styleId="p3">
    <w:name w:val="p3"/>
    <w:basedOn w:val="Normal"/>
    <w:uiPriority w:val="99"/>
    <w:rsid w:val="002719B7"/>
    <w:pPr>
      <w:widowControl w:val="0"/>
      <w:tabs>
        <w:tab w:val="left" w:pos="204"/>
      </w:tabs>
      <w:autoSpaceDE w:val="0"/>
      <w:autoSpaceDN w:val="0"/>
      <w:adjustRightInd w:val="0"/>
    </w:pPr>
    <w:rPr>
      <w:sz w:val="26"/>
    </w:rPr>
  </w:style>
  <w:style w:type="paragraph" w:customStyle="1" w:styleId="p14">
    <w:name w:val="p14"/>
    <w:basedOn w:val="Normal"/>
    <w:rsid w:val="002719B7"/>
    <w:pPr>
      <w:widowControl w:val="0"/>
      <w:tabs>
        <w:tab w:val="left" w:pos="204"/>
      </w:tabs>
      <w:autoSpaceDE w:val="0"/>
      <w:autoSpaceDN w:val="0"/>
      <w:adjustRightInd w:val="0"/>
    </w:pPr>
    <w:rPr>
      <w:sz w:val="26"/>
    </w:rPr>
  </w:style>
  <w:style w:type="paragraph" w:customStyle="1" w:styleId="p17">
    <w:name w:val="p17"/>
    <w:basedOn w:val="Normal"/>
    <w:rsid w:val="002719B7"/>
    <w:pPr>
      <w:widowControl w:val="0"/>
      <w:tabs>
        <w:tab w:val="left" w:pos="5057"/>
      </w:tabs>
      <w:autoSpaceDE w:val="0"/>
      <w:autoSpaceDN w:val="0"/>
      <w:adjustRightInd w:val="0"/>
      <w:ind w:left="3617"/>
    </w:pPr>
    <w:rPr>
      <w:sz w:val="26"/>
    </w:rPr>
  </w:style>
  <w:style w:type="paragraph" w:customStyle="1" w:styleId="p18">
    <w:name w:val="p18"/>
    <w:basedOn w:val="Normal"/>
    <w:rsid w:val="002719B7"/>
    <w:pPr>
      <w:widowControl w:val="0"/>
      <w:tabs>
        <w:tab w:val="left" w:pos="5062"/>
      </w:tabs>
      <w:autoSpaceDE w:val="0"/>
      <w:autoSpaceDN w:val="0"/>
      <w:adjustRightInd w:val="0"/>
      <w:ind w:left="3622"/>
    </w:pPr>
    <w:rPr>
      <w:sz w:val="26"/>
    </w:rPr>
  </w:style>
  <w:style w:type="paragraph" w:customStyle="1" w:styleId="StyleCentered">
    <w:name w:val="Style Centered"/>
    <w:basedOn w:val="Normal"/>
    <w:rsid w:val="002719B7"/>
    <w:pPr>
      <w:overflowPunct w:val="0"/>
      <w:autoSpaceDE w:val="0"/>
      <w:autoSpaceDN w:val="0"/>
      <w:adjustRightInd w:val="0"/>
      <w:jc w:val="center"/>
      <w:textAlignment w:val="baseline"/>
    </w:pPr>
    <w:rPr>
      <w:sz w:val="26"/>
    </w:rPr>
  </w:style>
  <w:style w:type="character" w:styleId="CommentReference">
    <w:name w:val="annotation reference"/>
    <w:uiPriority w:val="99"/>
    <w:rsid w:val="00DF37DF"/>
    <w:rPr>
      <w:sz w:val="16"/>
      <w:szCs w:val="16"/>
    </w:rPr>
  </w:style>
  <w:style w:type="paragraph" w:styleId="CommentText">
    <w:name w:val="annotation text"/>
    <w:basedOn w:val="Normal"/>
    <w:link w:val="CommentTextChar"/>
    <w:uiPriority w:val="99"/>
    <w:rsid w:val="00DF37DF"/>
    <w:rPr>
      <w:sz w:val="20"/>
      <w:szCs w:val="20"/>
    </w:rPr>
  </w:style>
  <w:style w:type="character" w:customStyle="1" w:styleId="CommentTextChar">
    <w:name w:val="Comment Text Char"/>
    <w:basedOn w:val="DefaultParagraphFont"/>
    <w:link w:val="CommentText"/>
    <w:uiPriority w:val="99"/>
    <w:rsid w:val="00DF37DF"/>
  </w:style>
  <w:style w:type="paragraph" w:styleId="CommentSubject">
    <w:name w:val="annotation subject"/>
    <w:basedOn w:val="CommentText"/>
    <w:next w:val="CommentText"/>
    <w:link w:val="CommentSubjectChar"/>
    <w:rsid w:val="00DF37DF"/>
    <w:rPr>
      <w:b/>
      <w:bCs/>
    </w:rPr>
  </w:style>
  <w:style w:type="character" w:customStyle="1" w:styleId="CommentSubjectChar">
    <w:name w:val="Comment Subject Char"/>
    <w:link w:val="CommentSubject"/>
    <w:rsid w:val="00DF37DF"/>
    <w:rPr>
      <w:b/>
      <w:bCs/>
    </w:rPr>
  </w:style>
  <w:style w:type="paragraph" w:styleId="BalloonText">
    <w:name w:val="Balloon Text"/>
    <w:basedOn w:val="Normal"/>
    <w:link w:val="BalloonTextChar"/>
    <w:uiPriority w:val="99"/>
    <w:rsid w:val="00DF37DF"/>
    <w:rPr>
      <w:rFonts w:ascii="Tahoma" w:hAnsi="Tahoma" w:cs="Tahoma"/>
      <w:sz w:val="16"/>
      <w:szCs w:val="16"/>
    </w:rPr>
  </w:style>
  <w:style w:type="character" w:customStyle="1" w:styleId="BalloonTextChar">
    <w:name w:val="Balloon Text Char"/>
    <w:link w:val="BalloonText"/>
    <w:uiPriority w:val="99"/>
    <w:rsid w:val="00DF37DF"/>
    <w:rPr>
      <w:rFonts w:ascii="Tahoma" w:hAnsi="Tahoma" w:cs="Tahoma"/>
      <w:sz w:val="16"/>
      <w:szCs w:val="16"/>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link w:val="FootnoteText"/>
    <w:rsid w:val="001B0DB2"/>
  </w:style>
  <w:style w:type="paragraph" w:styleId="ListParagraph">
    <w:name w:val="List Paragraph"/>
    <w:basedOn w:val="Normal"/>
    <w:uiPriority w:val="34"/>
    <w:qFormat/>
    <w:rsid w:val="006A5B6F"/>
    <w:pPr>
      <w:ind w:left="720"/>
      <w:contextualSpacing/>
    </w:pPr>
    <w:rPr>
      <w:sz w:val="20"/>
      <w:szCs w:val="20"/>
    </w:rPr>
  </w:style>
  <w:style w:type="character" w:styleId="Hyperlink">
    <w:name w:val="Hyperlink"/>
    <w:uiPriority w:val="99"/>
    <w:rsid w:val="00BE5069"/>
    <w:rPr>
      <w:rFonts w:cs="Times New Roman"/>
      <w:color w:val="0000FF"/>
      <w:u w:val="single"/>
    </w:rPr>
  </w:style>
  <w:style w:type="character" w:styleId="FollowedHyperlink">
    <w:name w:val="FollowedHyperlink"/>
    <w:rsid w:val="00005217"/>
    <w:rPr>
      <w:color w:val="800080"/>
      <w:u w:val="single"/>
    </w:rPr>
  </w:style>
  <w:style w:type="table" w:styleId="TableGrid">
    <w:name w:val="Table Grid"/>
    <w:basedOn w:val="TableNormal"/>
    <w:uiPriority w:val="59"/>
    <w:rsid w:val="0004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339A4"/>
    <w:rPr>
      <w:b/>
      <w:bCs/>
      <w:kern w:val="32"/>
      <w:sz w:val="26"/>
      <w:szCs w:val="32"/>
    </w:rPr>
  </w:style>
  <w:style w:type="paragraph" w:customStyle="1" w:styleId="Default">
    <w:name w:val="Default"/>
    <w:rsid w:val="00F05943"/>
    <w:pPr>
      <w:autoSpaceDE w:val="0"/>
      <w:autoSpaceDN w:val="0"/>
      <w:adjustRightInd w:val="0"/>
    </w:pPr>
    <w:rPr>
      <w:rFonts w:ascii="Arial" w:eastAsia="Calibri" w:hAnsi="Arial" w:cs="Arial"/>
      <w:color w:val="000000"/>
      <w:sz w:val="24"/>
      <w:szCs w:val="24"/>
    </w:rPr>
  </w:style>
  <w:style w:type="paragraph" w:styleId="TOCHeading">
    <w:name w:val="TOC Heading"/>
    <w:basedOn w:val="Heading1"/>
    <w:next w:val="Normal"/>
    <w:uiPriority w:val="39"/>
    <w:semiHidden/>
    <w:unhideWhenUsed/>
    <w:qFormat/>
    <w:rsid w:val="00576BB0"/>
    <w:pPr>
      <w:keepLines/>
      <w:spacing w:before="48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rsid w:val="000A29D5"/>
    <w:pPr>
      <w:tabs>
        <w:tab w:val="right" w:leader="dot" w:pos="9350"/>
      </w:tabs>
      <w:jc w:val="center"/>
    </w:pPr>
  </w:style>
  <w:style w:type="paragraph" w:styleId="TOC2">
    <w:name w:val="toc 2"/>
    <w:basedOn w:val="Normal"/>
    <w:next w:val="Normal"/>
    <w:autoRedefine/>
    <w:uiPriority w:val="39"/>
    <w:rsid w:val="00CB7D77"/>
    <w:pPr>
      <w:tabs>
        <w:tab w:val="left" w:pos="720"/>
        <w:tab w:val="right" w:leader="dot" w:pos="9360"/>
      </w:tabs>
      <w:spacing w:line="360" w:lineRule="auto"/>
      <w:ind w:left="720" w:right="180" w:hanging="720"/>
    </w:pPr>
  </w:style>
  <w:style w:type="paragraph" w:styleId="TOC3">
    <w:name w:val="toc 3"/>
    <w:basedOn w:val="Normal"/>
    <w:next w:val="Normal"/>
    <w:autoRedefine/>
    <w:uiPriority w:val="39"/>
    <w:rsid w:val="00C317C5"/>
    <w:pPr>
      <w:tabs>
        <w:tab w:val="left" w:pos="1440"/>
        <w:tab w:val="right" w:leader="dot" w:pos="9350"/>
      </w:tabs>
      <w:spacing w:line="360" w:lineRule="auto"/>
      <w:ind w:left="720"/>
    </w:pPr>
  </w:style>
  <w:style w:type="paragraph" w:styleId="Revision">
    <w:name w:val="Revision"/>
    <w:hidden/>
    <w:uiPriority w:val="99"/>
    <w:semiHidden/>
    <w:rsid w:val="006F05F3"/>
    <w:rPr>
      <w:sz w:val="24"/>
      <w:szCs w:val="24"/>
    </w:rPr>
  </w:style>
  <w:style w:type="table" w:customStyle="1" w:styleId="TableGrid1">
    <w:name w:val="Table Grid1"/>
    <w:basedOn w:val="TableNormal"/>
    <w:next w:val="TableGrid"/>
    <w:uiPriority w:val="59"/>
    <w:rsid w:val="000E49D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2">
    <w:name w:val="Heading level 2"/>
    <w:basedOn w:val="p3"/>
    <w:rsid w:val="002339A4"/>
    <w:rPr>
      <w:b/>
      <w:color w:val="000000"/>
    </w:rPr>
  </w:style>
  <w:style w:type="character" w:customStyle="1" w:styleId="Heading2Char">
    <w:name w:val="Heading 2 Char"/>
    <w:link w:val="Heading2"/>
    <w:rsid w:val="00DD1373"/>
    <w:rPr>
      <w:b/>
      <w:sz w:val="26"/>
      <w:szCs w:val="26"/>
    </w:rPr>
  </w:style>
  <w:style w:type="character" w:customStyle="1" w:styleId="Heading4Char">
    <w:name w:val="Heading 4 Char"/>
    <w:link w:val="Heading4"/>
    <w:rsid w:val="00DD1373"/>
    <w:rPr>
      <w:b/>
      <w:sz w:val="26"/>
      <w:szCs w:val="26"/>
    </w:rPr>
  </w:style>
  <w:style w:type="character" w:customStyle="1" w:styleId="Heading5Char">
    <w:name w:val="Heading 5 Char"/>
    <w:link w:val="Heading5"/>
    <w:rsid w:val="00DD1373"/>
    <w:rPr>
      <w:b/>
      <w:bCs/>
      <w:iCs/>
      <w:sz w:val="26"/>
      <w:szCs w:val="26"/>
    </w:rPr>
  </w:style>
  <w:style w:type="character" w:customStyle="1" w:styleId="Heading3Char">
    <w:name w:val="Heading 3 Char"/>
    <w:link w:val="Heading3"/>
    <w:rsid w:val="00DD1373"/>
    <w:rPr>
      <w:b/>
      <w:sz w:val="26"/>
      <w:szCs w:val="26"/>
    </w:rPr>
  </w:style>
  <w:style w:type="paragraph" w:styleId="BodyTextIndent3">
    <w:name w:val="Body Text Indent 3"/>
    <w:basedOn w:val="Normal"/>
    <w:link w:val="BodyTextIndent3Char"/>
    <w:rsid w:val="00DD1373"/>
    <w:pPr>
      <w:spacing w:after="120"/>
      <w:ind w:left="360"/>
    </w:pPr>
    <w:rPr>
      <w:sz w:val="16"/>
      <w:szCs w:val="16"/>
    </w:rPr>
  </w:style>
  <w:style w:type="character" w:customStyle="1" w:styleId="BodyTextIndent3Char">
    <w:name w:val="Body Text Indent 3 Char"/>
    <w:link w:val="BodyTextIndent3"/>
    <w:rsid w:val="00DD1373"/>
    <w:rPr>
      <w:sz w:val="16"/>
      <w:szCs w:val="16"/>
    </w:rPr>
  </w:style>
  <w:style w:type="character" w:styleId="UnresolvedMention">
    <w:name w:val="Unresolved Mention"/>
    <w:uiPriority w:val="99"/>
    <w:semiHidden/>
    <w:unhideWhenUsed/>
    <w:rsid w:val="00F413C8"/>
    <w:rPr>
      <w:color w:val="605E5C"/>
      <w:shd w:val="clear" w:color="auto" w:fill="E1DFDD"/>
    </w:rPr>
  </w:style>
  <w:style w:type="paragraph" w:styleId="Caption">
    <w:name w:val="caption"/>
    <w:basedOn w:val="Normal"/>
    <w:next w:val="Normal"/>
    <w:uiPriority w:val="35"/>
    <w:unhideWhenUsed/>
    <w:qFormat/>
    <w:rsid w:val="00116271"/>
    <w:pPr>
      <w:spacing w:after="200"/>
    </w:pPr>
    <w:rPr>
      <w:i/>
      <w:iCs/>
      <w:color w:val="44546A" w:themeColor="text2"/>
      <w:sz w:val="18"/>
      <w:szCs w:val="18"/>
    </w:rPr>
  </w:style>
  <w:style w:type="table" w:styleId="ListTable3">
    <w:name w:val="List Table 3"/>
    <w:basedOn w:val="TableNormal"/>
    <w:uiPriority w:val="48"/>
    <w:rsid w:val="00126FB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Style2">
    <w:name w:val="Style2"/>
    <w:basedOn w:val="TableNormal"/>
    <w:uiPriority w:val="99"/>
    <w:rsid w:val="004451D9"/>
    <w:rPr>
      <w:rFonts w:ascii="Arial" w:eastAsiaTheme="minorEastAsia" w:hAnsi="Arial"/>
      <w:sz w:val="22"/>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s="Times New Roman"/>
        <w:b/>
        <w:color w:val="FFFFFF" w:themeColor="background1"/>
        <w:sz w:val="22"/>
      </w:rPr>
      <w:tblPr/>
      <w:tcPr>
        <w:shd w:val="clear" w:color="auto" w:fill="0F673B"/>
      </w:tcPr>
    </w:tblStylePr>
  </w:style>
  <w:style w:type="table" w:customStyle="1" w:styleId="DSATable">
    <w:name w:val="DSA_Table"/>
    <w:basedOn w:val="TableNormal"/>
    <w:uiPriority w:val="99"/>
    <w:rsid w:val="00707E5D"/>
    <w:rPr>
      <w:rFonts w:asciiTheme="minorHAnsi" w:eastAsiaTheme="minorEastAsia" w:hAnsiTheme="minorHAnsi" w:cs="Arial"/>
      <w:color w:val="000000" w:themeColor="text1" w:themeShade="BF"/>
      <w:sz w:val="22"/>
      <w:szCs w:val="22"/>
    </w:rPr>
    <w:tblPr>
      <w:tblStyleRow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tblBorders>
    </w:tblPr>
    <w:tblStylePr w:type="firstRow">
      <w:rPr>
        <w:rFonts w:ascii="Lucida Console" w:hAnsi="Lucida Console" w:cs="Arial"/>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l2br w:val="nil"/>
          <w:tr2bl w:val="nil"/>
        </w:tcBorders>
        <w:shd w:val="clear" w:color="auto" w:fill="4472C4" w:themeFill="accent1"/>
      </w:tcPr>
    </w:tblStylePr>
    <w:tblStylePr w:type="band1Horz">
      <w:rPr>
        <w:rFonts w:cs="Arial"/>
        <w:color w:val="000000" w:themeColor="text1" w:themeShade="BF"/>
      </w:rPr>
    </w:tblStylePr>
  </w:style>
  <w:style w:type="character" w:customStyle="1" w:styleId="Style11ptBold">
    <w:name w:val="Style 11 pt Bold"/>
    <w:basedOn w:val="DefaultParagraphFont"/>
    <w:rsid w:val="00EB6FDF"/>
    <w:rPr>
      <w:b/>
      <w:bCs/>
      <w:sz w:val="26"/>
    </w:rPr>
  </w:style>
  <w:style w:type="character" w:customStyle="1" w:styleId="Style11ptBold1">
    <w:name w:val="Style 11 pt Bold1"/>
    <w:basedOn w:val="DefaultParagraphFont"/>
    <w:rsid w:val="00EB6FDF"/>
    <w:rPr>
      <w:b/>
      <w:bCs/>
      <w:sz w:val="26"/>
    </w:rPr>
  </w:style>
  <w:style w:type="paragraph" w:customStyle="1" w:styleId="StyleLinespacing15lines">
    <w:name w:val="Style Line spacing:  1.5 lines"/>
    <w:basedOn w:val="Normal"/>
    <w:rsid w:val="00EB6FDF"/>
    <w:pPr>
      <w:spacing w:line="360" w:lineRule="auto"/>
    </w:pPr>
    <w:rPr>
      <w:sz w:val="26"/>
      <w:szCs w:val="20"/>
    </w:rPr>
  </w:style>
  <w:style w:type="paragraph" w:customStyle="1" w:styleId="TableText">
    <w:name w:val="Table Text"/>
    <w:basedOn w:val="Normal"/>
    <w:qFormat/>
    <w:rsid w:val="00BE5404"/>
    <w:pPr>
      <w:spacing w:before="20" w:after="20"/>
    </w:pPr>
    <w:rPr>
      <w:rFonts w:ascii="Arial" w:hAnsi="Arial"/>
      <w:sz w:val="22"/>
    </w:rPr>
  </w:style>
  <w:style w:type="table" w:customStyle="1" w:styleId="DSA">
    <w:name w:val="DSA"/>
    <w:basedOn w:val="TableNormal"/>
    <w:uiPriority w:val="99"/>
    <w:rsid w:val="001F3FA0"/>
    <w:rPr>
      <w:rFonts w:asciiTheme="minorHAnsi" w:eastAsiaTheme="minorEastAsia" w:hAnsiTheme="minorHAnsi" w:cstheme="minorBidi"/>
      <w:color w:val="000000" w:themeColor="text1"/>
      <w:sz w:val="22"/>
      <w:szCs w:val="22"/>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cPr>
      <w:shd w:val="clear" w:color="auto" w:fill="auto"/>
    </w:tcPr>
    <w:tblStylePr w:type="firstRow">
      <w:rPr>
        <w:color w:val="FFFFFF" w:themeColor="background1"/>
      </w:rPr>
      <w:tblPr/>
      <w:tcPr>
        <w:shd w:val="clear" w:color="auto" w:fill="4472C4" w:themeFill="accent1"/>
      </w:tcPr>
    </w:tblStylePr>
    <w:tblStylePr w:type="lastRow">
      <w:tblPr/>
      <w:tcPr>
        <w:shd w:val="clear" w:color="auto" w:fill="E7E6E6" w:themeFill="background2"/>
      </w:tcPr>
    </w:tblStylePr>
    <w:tblStylePr w:type="lastCol">
      <w:tblPr/>
      <w:tcPr>
        <w:shd w:val="clear" w:color="auto" w:fill="E7E6E6"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3476">
      <w:bodyDiv w:val="1"/>
      <w:marLeft w:val="0"/>
      <w:marRight w:val="0"/>
      <w:marTop w:val="0"/>
      <w:marBottom w:val="0"/>
      <w:divBdr>
        <w:top w:val="none" w:sz="0" w:space="0" w:color="auto"/>
        <w:left w:val="none" w:sz="0" w:space="0" w:color="auto"/>
        <w:bottom w:val="none" w:sz="0" w:space="0" w:color="auto"/>
        <w:right w:val="none" w:sz="0" w:space="0" w:color="auto"/>
      </w:divBdr>
    </w:div>
    <w:div w:id="545877225">
      <w:bodyDiv w:val="1"/>
      <w:marLeft w:val="0"/>
      <w:marRight w:val="0"/>
      <w:marTop w:val="0"/>
      <w:marBottom w:val="0"/>
      <w:divBdr>
        <w:top w:val="none" w:sz="0" w:space="0" w:color="auto"/>
        <w:left w:val="none" w:sz="0" w:space="0" w:color="auto"/>
        <w:bottom w:val="none" w:sz="0" w:space="0" w:color="auto"/>
        <w:right w:val="none" w:sz="0" w:space="0" w:color="auto"/>
      </w:divBdr>
    </w:div>
    <w:div w:id="654914266">
      <w:bodyDiv w:val="1"/>
      <w:marLeft w:val="0"/>
      <w:marRight w:val="0"/>
      <w:marTop w:val="0"/>
      <w:marBottom w:val="0"/>
      <w:divBdr>
        <w:top w:val="none" w:sz="0" w:space="0" w:color="auto"/>
        <w:left w:val="none" w:sz="0" w:space="0" w:color="auto"/>
        <w:bottom w:val="none" w:sz="0" w:space="0" w:color="auto"/>
        <w:right w:val="none" w:sz="0" w:space="0" w:color="auto"/>
      </w:divBdr>
    </w:div>
    <w:div w:id="682786760">
      <w:bodyDiv w:val="1"/>
      <w:marLeft w:val="0"/>
      <w:marRight w:val="0"/>
      <w:marTop w:val="0"/>
      <w:marBottom w:val="0"/>
      <w:divBdr>
        <w:top w:val="none" w:sz="0" w:space="0" w:color="auto"/>
        <w:left w:val="none" w:sz="0" w:space="0" w:color="auto"/>
        <w:bottom w:val="none" w:sz="0" w:space="0" w:color="auto"/>
        <w:right w:val="none" w:sz="0" w:space="0" w:color="auto"/>
      </w:divBdr>
    </w:div>
    <w:div w:id="837235982">
      <w:bodyDiv w:val="1"/>
      <w:marLeft w:val="0"/>
      <w:marRight w:val="0"/>
      <w:marTop w:val="0"/>
      <w:marBottom w:val="0"/>
      <w:divBdr>
        <w:top w:val="none" w:sz="0" w:space="0" w:color="auto"/>
        <w:left w:val="none" w:sz="0" w:space="0" w:color="auto"/>
        <w:bottom w:val="none" w:sz="0" w:space="0" w:color="auto"/>
        <w:right w:val="none" w:sz="0" w:space="0" w:color="auto"/>
      </w:divBdr>
    </w:div>
    <w:div w:id="1203715530">
      <w:bodyDiv w:val="1"/>
      <w:marLeft w:val="0"/>
      <w:marRight w:val="0"/>
      <w:marTop w:val="0"/>
      <w:marBottom w:val="0"/>
      <w:divBdr>
        <w:top w:val="none" w:sz="0" w:space="0" w:color="auto"/>
        <w:left w:val="none" w:sz="0" w:space="0" w:color="auto"/>
        <w:bottom w:val="none" w:sz="0" w:space="0" w:color="auto"/>
        <w:right w:val="none" w:sz="0" w:space="0" w:color="auto"/>
      </w:divBdr>
    </w:div>
    <w:div w:id="1288509430">
      <w:bodyDiv w:val="1"/>
      <w:marLeft w:val="0"/>
      <w:marRight w:val="0"/>
      <w:marTop w:val="0"/>
      <w:marBottom w:val="0"/>
      <w:divBdr>
        <w:top w:val="none" w:sz="0" w:space="0" w:color="auto"/>
        <w:left w:val="none" w:sz="0" w:space="0" w:color="auto"/>
        <w:bottom w:val="none" w:sz="0" w:space="0" w:color="auto"/>
        <w:right w:val="none" w:sz="0" w:space="0" w:color="auto"/>
      </w:divBdr>
    </w:div>
    <w:div w:id="1545945610">
      <w:bodyDiv w:val="1"/>
      <w:marLeft w:val="0"/>
      <w:marRight w:val="0"/>
      <w:marTop w:val="0"/>
      <w:marBottom w:val="0"/>
      <w:divBdr>
        <w:top w:val="none" w:sz="0" w:space="0" w:color="auto"/>
        <w:left w:val="none" w:sz="0" w:space="0" w:color="auto"/>
        <w:bottom w:val="none" w:sz="0" w:space="0" w:color="auto"/>
        <w:right w:val="none" w:sz="0" w:space="0" w:color="auto"/>
      </w:divBdr>
    </w:div>
    <w:div w:id="1950619000">
      <w:bodyDiv w:val="1"/>
      <w:marLeft w:val="0"/>
      <w:marRight w:val="0"/>
      <w:marTop w:val="0"/>
      <w:marBottom w:val="0"/>
      <w:divBdr>
        <w:top w:val="none" w:sz="0" w:space="0" w:color="auto"/>
        <w:left w:val="none" w:sz="0" w:space="0" w:color="auto"/>
        <w:bottom w:val="none" w:sz="0" w:space="0" w:color="auto"/>
        <w:right w:val="none" w:sz="0" w:space="0" w:color="auto"/>
      </w:divBdr>
    </w:div>
    <w:div w:id="1951204871">
      <w:bodyDiv w:val="1"/>
      <w:marLeft w:val="0"/>
      <w:marRight w:val="0"/>
      <w:marTop w:val="0"/>
      <w:marBottom w:val="0"/>
      <w:divBdr>
        <w:top w:val="none" w:sz="0" w:space="0" w:color="auto"/>
        <w:left w:val="none" w:sz="0" w:space="0" w:color="auto"/>
        <w:bottom w:val="none" w:sz="0" w:space="0" w:color="auto"/>
        <w:right w:val="none" w:sz="0" w:space="0" w:color="auto"/>
      </w:divBdr>
    </w:div>
    <w:div w:id="2010448650">
      <w:bodyDiv w:val="1"/>
      <w:marLeft w:val="0"/>
      <w:marRight w:val="0"/>
      <w:marTop w:val="0"/>
      <w:marBottom w:val="0"/>
      <w:divBdr>
        <w:top w:val="none" w:sz="0" w:space="0" w:color="auto"/>
        <w:left w:val="none" w:sz="0" w:space="0" w:color="auto"/>
        <w:bottom w:val="none" w:sz="0" w:space="0" w:color="auto"/>
        <w:right w:val="none" w:sz="0" w:space="0" w:color="auto"/>
      </w:divBdr>
    </w:div>
    <w:div w:id="204899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young@p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josherrick@pa.gov"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adyoung@p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josherrick@pa.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uc.pa.gov/filing_resources/issues_laws_regulations/act_129_information/energy_efficiency_and_conservation_ee_c_program.aspx"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pjm.com/-/media/library/reports-notices/load-forecast/2020-load-report.ashx" TargetMode="External"/><Relationship Id="rId13" Type="http://schemas.openxmlformats.org/officeDocument/2006/relationships/hyperlink" Target="http://www.puc.pa.gov/utility_industry/electricity/conservation_service_providers_registry.aspx" TargetMode="External"/><Relationship Id="rId18" Type="http://schemas.openxmlformats.org/officeDocument/2006/relationships/hyperlink" Target="http://www.puc.pa.gov/filing_resources/issues_laws_regulations/act_129_information/energy_efficiency_and_conservation_ee_c_program.aspx" TargetMode="External"/><Relationship Id="rId3" Type="http://schemas.openxmlformats.org/officeDocument/2006/relationships/hyperlink" Target="http://www.puc.pa.gov/pcdocs/1606178.docx" TargetMode="External"/><Relationship Id="rId7" Type="http://schemas.openxmlformats.org/officeDocument/2006/relationships/hyperlink" Target="http://www.puc.pa.gov/pcdocs/1630967.docx" TargetMode="External"/><Relationship Id="rId12" Type="http://schemas.openxmlformats.org/officeDocument/2006/relationships/hyperlink" Target="https://www.nrel.gov/docs/fy17osti/68578.pdf" TargetMode="External"/><Relationship Id="rId17" Type="http://schemas.openxmlformats.org/officeDocument/2006/relationships/hyperlink" Target="https://www.pjm.com/-/media/documents/manuals/m18.ashx" TargetMode="External"/><Relationship Id="rId2" Type="http://schemas.openxmlformats.org/officeDocument/2006/relationships/hyperlink" Target="http://www.puc.pa.gov/Electric/pdf/Act129/SWE-Phase3_NonRes_Baseline_Study_Rpt021219.pdf" TargetMode="External"/><Relationship Id="rId16" Type="http://schemas.openxmlformats.org/officeDocument/2006/relationships/hyperlink" Target="http://www.puc.pa.gov/pcdocs/1340978.pdf" TargetMode="External"/><Relationship Id="rId1" Type="http://schemas.openxmlformats.org/officeDocument/2006/relationships/hyperlink" Target="http://www.puc.pa.gov/Electric/pdf/Act129/SWE-Phase3_Res_Baseline_Study_Rpt021219.pdf" TargetMode="External"/><Relationship Id="rId6" Type="http://schemas.openxmlformats.org/officeDocument/2006/relationships/hyperlink" Target="https://www.pjm.com/-/media/committees-groups/subcommittees/las/20181127/20181127-item-04-peak-shaving-forecast-adjustments.ashx" TargetMode="External"/><Relationship Id="rId11" Type="http://schemas.openxmlformats.org/officeDocument/2006/relationships/hyperlink" Target="http://www.puc.pa.gov/pcdocs/1648126.docx" TargetMode="External"/><Relationship Id="rId5" Type="http://schemas.openxmlformats.org/officeDocument/2006/relationships/hyperlink" Target="http://www.puc.pa.gov/pcdocs/1648126.docx" TargetMode="External"/><Relationship Id="rId15" Type="http://schemas.openxmlformats.org/officeDocument/2006/relationships/hyperlink" Target="http://www.puc.pa.gov/Electric/xls/Act129/SWE-Light_Metering_Study-AppendixB-Commercial_Load_Shapes.xlsx" TargetMode="External"/><Relationship Id="rId10" Type="http://schemas.openxmlformats.org/officeDocument/2006/relationships/hyperlink" Target="http://www.puc.pa.gov/pcdocs/1631001.docx" TargetMode="External"/><Relationship Id="rId4" Type="http://schemas.openxmlformats.org/officeDocument/2006/relationships/hyperlink" Target="http://www.puc.pa.gov/pcdocs/1648144.xlsx" TargetMode="External"/><Relationship Id="rId9" Type="http://schemas.openxmlformats.org/officeDocument/2006/relationships/hyperlink" Target="https://www.pjm.com/-/media/documents/manuals/m18b.ashx" TargetMode="External"/><Relationship Id="rId14" Type="http://schemas.openxmlformats.org/officeDocument/2006/relationships/hyperlink" Target="https://www.pjm.com/-/media/documents/manuals/m18b.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5" ma:contentTypeDescription="Create a new document." ma:contentTypeScope="" ma:versionID="c69336e95e0288728e9f0fdb5165cefb">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5c921dc6589a22c38f3e3e89a8f2810f"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6B111-E12E-4924-B2FB-F0D850521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A800E-950D-4FEA-9FB4-14A81C0E5E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FC9CB0-1000-4337-BC05-2BF793CA2685}">
  <ds:schemaRefs>
    <ds:schemaRef ds:uri="http://schemas.microsoft.com/sharepoint/v3/contenttype/forms"/>
  </ds:schemaRefs>
</ds:datastoreItem>
</file>

<file path=customXml/itemProps4.xml><?xml version="1.0" encoding="utf-8"?>
<ds:datastoreItem xmlns:ds="http://schemas.openxmlformats.org/officeDocument/2006/customXml" ds:itemID="{AD1129B3-8F49-4A49-924F-F8BAB8555BFF}">
  <ds:schemaRefs>
    <ds:schemaRef ds:uri="http://schemas.microsoft.com/office/2006/metadata/longProperties"/>
  </ds:schemaRefs>
</ds:datastoreItem>
</file>

<file path=customXml/itemProps5.xml><?xml version="1.0" encoding="utf-8"?>
<ds:datastoreItem xmlns:ds="http://schemas.openxmlformats.org/officeDocument/2006/customXml" ds:itemID="{F428AD84-8D3F-4212-84F3-20527DF2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80</Pages>
  <Words>20087</Words>
  <Characters>114502</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134321</CharactersWithSpaces>
  <SharedDoc>false</SharedDoc>
  <HLinks>
    <vt:vector size="432" baseType="variant">
      <vt:variant>
        <vt:i4>5832809</vt:i4>
      </vt:variant>
      <vt:variant>
        <vt:i4>471</vt:i4>
      </vt:variant>
      <vt:variant>
        <vt:i4>0</vt:i4>
      </vt:variant>
      <vt:variant>
        <vt:i4>5</vt:i4>
      </vt:variant>
      <vt:variant>
        <vt:lpwstr>mailto:adyoung@pa.gov</vt:lpwstr>
      </vt:variant>
      <vt:variant>
        <vt:lpwstr/>
      </vt:variant>
      <vt:variant>
        <vt:i4>4128780</vt:i4>
      </vt:variant>
      <vt:variant>
        <vt:i4>468</vt:i4>
      </vt:variant>
      <vt:variant>
        <vt:i4>0</vt:i4>
      </vt:variant>
      <vt:variant>
        <vt:i4>5</vt:i4>
      </vt:variant>
      <vt:variant>
        <vt:lpwstr>mailto:josherrick@pa.gov</vt:lpwstr>
      </vt:variant>
      <vt:variant>
        <vt:lpwstr/>
      </vt:variant>
      <vt:variant>
        <vt:i4>65594</vt:i4>
      </vt:variant>
      <vt:variant>
        <vt:i4>465</vt:i4>
      </vt:variant>
      <vt:variant>
        <vt:i4>0</vt:i4>
      </vt:variant>
      <vt:variant>
        <vt:i4>5</vt:i4>
      </vt:variant>
      <vt:variant>
        <vt:lpwstr>http://www.puc.pa.gov/filing_resources/issues_laws_regulations/act_129_information/energy_efficiency_and_conservation_ee_c_program.aspx</vt:lpwstr>
      </vt:variant>
      <vt:variant>
        <vt:lpwstr/>
      </vt:variant>
      <vt:variant>
        <vt:i4>5832809</vt:i4>
      </vt:variant>
      <vt:variant>
        <vt:i4>462</vt:i4>
      </vt:variant>
      <vt:variant>
        <vt:i4>0</vt:i4>
      </vt:variant>
      <vt:variant>
        <vt:i4>5</vt:i4>
      </vt:variant>
      <vt:variant>
        <vt:lpwstr>mailto:adyoung@pa.gov</vt:lpwstr>
      </vt:variant>
      <vt:variant>
        <vt:lpwstr/>
      </vt:variant>
      <vt:variant>
        <vt:i4>4128780</vt:i4>
      </vt:variant>
      <vt:variant>
        <vt:i4>459</vt:i4>
      </vt:variant>
      <vt:variant>
        <vt:i4>0</vt:i4>
      </vt:variant>
      <vt:variant>
        <vt:i4>5</vt:i4>
      </vt:variant>
      <vt:variant>
        <vt:lpwstr>mailto:josherrick@pa.gov</vt:lpwstr>
      </vt:variant>
      <vt:variant>
        <vt:lpwstr/>
      </vt:variant>
      <vt:variant>
        <vt:i4>1900593</vt:i4>
      </vt:variant>
      <vt:variant>
        <vt:i4>278</vt:i4>
      </vt:variant>
      <vt:variant>
        <vt:i4>0</vt:i4>
      </vt:variant>
      <vt:variant>
        <vt:i4>5</vt:i4>
      </vt:variant>
      <vt:variant>
        <vt:lpwstr/>
      </vt:variant>
      <vt:variant>
        <vt:lpwstr>_Toc32324953</vt:lpwstr>
      </vt:variant>
      <vt:variant>
        <vt:i4>1835057</vt:i4>
      </vt:variant>
      <vt:variant>
        <vt:i4>272</vt:i4>
      </vt:variant>
      <vt:variant>
        <vt:i4>0</vt:i4>
      </vt:variant>
      <vt:variant>
        <vt:i4>5</vt:i4>
      </vt:variant>
      <vt:variant>
        <vt:lpwstr/>
      </vt:variant>
      <vt:variant>
        <vt:lpwstr>_Toc32324952</vt:lpwstr>
      </vt:variant>
      <vt:variant>
        <vt:i4>2031665</vt:i4>
      </vt:variant>
      <vt:variant>
        <vt:i4>266</vt:i4>
      </vt:variant>
      <vt:variant>
        <vt:i4>0</vt:i4>
      </vt:variant>
      <vt:variant>
        <vt:i4>5</vt:i4>
      </vt:variant>
      <vt:variant>
        <vt:lpwstr/>
      </vt:variant>
      <vt:variant>
        <vt:lpwstr>_Toc32324951</vt:lpwstr>
      </vt:variant>
      <vt:variant>
        <vt:i4>1966129</vt:i4>
      </vt:variant>
      <vt:variant>
        <vt:i4>260</vt:i4>
      </vt:variant>
      <vt:variant>
        <vt:i4>0</vt:i4>
      </vt:variant>
      <vt:variant>
        <vt:i4>5</vt:i4>
      </vt:variant>
      <vt:variant>
        <vt:lpwstr/>
      </vt:variant>
      <vt:variant>
        <vt:lpwstr>_Toc32324950</vt:lpwstr>
      </vt:variant>
      <vt:variant>
        <vt:i4>1507376</vt:i4>
      </vt:variant>
      <vt:variant>
        <vt:i4>254</vt:i4>
      </vt:variant>
      <vt:variant>
        <vt:i4>0</vt:i4>
      </vt:variant>
      <vt:variant>
        <vt:i4>5</vt:i4>
      </vt:variant>
      <vt:variant>
        <vt:lpwstr/>
      </vt:variant>
      <vt:variant>
        <vt:lpwstr>_Toc32324949</vt:lpwstr>
      </vt:variant>
      <vt:variant>
        <vt:i4>1441840</vt:i4>
      </vt:variant>
      <vt:variant>
        <vt:i4>248</vt:i4>
      </vt:variant>
      <vt:variant>
        <vt:i4>0</vt:i4>
      </vt:variant>
      <vt:variant>
        <vt:i4>5</vt:i4>
      </vt:variant>
      <vt:variant>
        <vt:lpwstr/>
      </vt:variant>
      <vt:variant>
        <vt:lpwstr>_Toc32324948</vt:lpwstr>
      </vt:variant>
      <vt:variant>
        <vt:i4>1638448</vt:i4>
      </vt:variant>
      <vt:variant>
        <vt:i4>242</vt:i4>
      </vt:variant>
      <vt:variant>
        <vt:i4>0</vt:i4>
      </vt:variant>
      <vt:variant>
        <vt:i4>5</vt:i4>
      </vt:variant>
      <vt:variant>
        <vt:lpwstr/>
      </vt:variant>
      <vt:variant>
        <vt:lpwstr>_Toc32324947</vt:lpwstr>
      </vt:variant>
      <vt:variant>
        <vt:i4>1572912</vt:i4>
      </vt:variant>
      <vt:variant>
        <vt:i4>236</vt:i4>
      </vt:variant>
      <vt:variant>
        <vt:i4>0</vt:i4>
      </vt:variant>
      <vt:variant>
        <vt:i4>5</vt:i4>
      </vt:variant>
      <vt:variant>
        <vt:lpwstr/>
      </vt:variant>
      <vt:variant>
        <vt:lpwstr>_Toc32324946</vt:lpwstr>
      </vt:variant>
      <vt:variant>
        <vt:i4>1769520</vt:i4>
      </vt:variant>
      <vt:variant>
        <vt:i4>230</vt:i4>
      </vt:variant>
      <vt:variant>
        <vt:i4>0</vt:i4>
      </vt:variant>
      <vt:variant>
        <vt:i4>5</vt:i4>
      </vt:variant>
      <vt:variant>
        <vt:lpwstr/>
      </vt:variant>
      <vt:variant>
        <vt:lpwstr>_Toc32324945</vt:lpwstr>
      </vt:variant>
      <vt:variant>
        <vt:i4>1703984</vt:i4>
      </vt:variant>
      <vt:variant>
        <vt:i4>224</vt:i4>
      </vt:variant>
      <vt:variant>
        <vt:i4>0</vt:i4>
      </vt:variant>
      <vt:variant>
        <vt:i4>5</vt:i4>
      </vt:variant>
      <vt:variant>
        <vt:lpwstr/>
      </vt:variant>
      <vt:variant>
        <vt:lpwstr>_Toc32324944</vt:lpwstr>
      </vt:variant>
      <vt:variant>
        <vt:i4>1900592</vt:i4>
      </vt:variant>
      <vt:variant>
        <vt:i4>218</vt:i4>
      </vt:variant>
      <vt:variant>
        <vt:i4>0</vt:i4>
      </vt:variant>
      <vt:variant>
        <vt:i4>5</vt:i4>
      </vt:variant>
      <vt:variant>
        <vt:lpwstr/>
      </vt:variant>
      <vt:variant>
        <vt:lpwstr>_Toc32324943</vt:lpwstr>
      </vt:variant>
      <vt:variant>
        <vt:i4>1835056</vt:i4>
      </vt:variant>
      <vt:variant>
        <vt:i4>212</vt:i4>
      </vt:variant>
      <vt:variant>
        <vt:i4>0</vt:i4>
      </vt:variant>
      <vt:variant>
        <vt:i4>5</vt:i4>
      </vt:variant>
      <vt:variant>
        <vt:lpwstr/>
      </vt:variant>
      <vt:variant>
        <vt:lpwstr>_Toc32324942</vt:lpwstr>
      </vt:variant>
      <vt:variant>
        <vt:i4>2031664</vt:i4>
      </vt:variant>
      <vt:variant>
        <vt:i4>206</vt:i4>
      </vt:variant>
      <vt:variant>
        <vt:i4>0</vt:i4>
      </vt:variant>
      <vt:variant>
        <vt:i4>5</vt:i4>
      </vt:variant>
      <vt:variant>
        <vt:lpwstr/>
      </vt:variant>
      <vt:variant>
        <vt:lpwstr>_Toc32324941</vt:lpwstr>
      </vt:variant>
      <vt:variant>
        <vt:i4>1966128</vt:i4>
      </vt:variant>
      <vt:variant>
        <vt:i4>200</vt:i4>
      </vt:variant>
      <vt:variant>
        <vt:i4>0</vt:i4>
      </vt:variant>
      <vt:variant>
        <vt:i4>5</vt:i4>
      </vt:variant>
      <vt:variant>
        <vt:lpwstr/>
      </vt:variant>
      <vt:variant>
        <vt:lpwstr>_Toc32324940</vt:lpwstr>
      </vt:variant>
      <vt:variant>
        <vt:i4>1507383</vt:i4>
      </vt:variant>
      <vt:variant>
        <vt:i4>194</vt:i4>
      </vt:variant>
      <vt:variant>
        <vt:i4>0</vt:i4>
      </vt:variant>
      <vt:variant>
        <vt:i4>5</vt:i4>
      </vt:variant>
      <vt:variant>
        <vt:lpwstr/>
      </vt:variant>
      <vt:variant>
        <vt:lpwstr>_Toc32324939</vt:lpwstr>
      </vt:variant>
      <vt:variant>
        <vt:i4>1441847</vt:i4>
      </vt:variant>
      <vt:variant>
        <vt:i4>188</vt:i4>
      </vt:variant>
      <vt:variant>
        <vt:i4>0</vt:i4>
      </vt:variant>
      <vt:variant>
        <vt:i4>5</vt:i4>
      </vt:variant>
      <vt:variant>
        <vt:lpwstr/>
      </vt:variant>
      <vt:variant>
        <vt:lpwstr>_Toc32324938</vt:lpwstr>
      </vt:variant>
      <vt:variant>
        <vt:i4>1638455</vt:i4>
      </vt:variant>
      <vt:variant>
        <vt:i4>182</vt:i4>
      </vt:variant>
      <vt:variant>
        <vt:i4>0</vt:i4>
      </vt:variant>
      <vt:variant>
        <vt:i4>5</vt:i4>
      </vt:variant>
      <vt:variant>
        <vt:lpwstr/>
      </vt:variant>
      <vt:variant>
        <vt:lpwstr>_Toc32324937</vt:lpwstr>
      </vt:variant>
      <vt:variant>
        <vt:i4>1572919</vt:i4>
      </vt:variant>
      <vt:variant>
        <vt:i4>176</vt:i4>
      </vt:variant>
      <vt:variant>
        <vt:i4>0</vt:i4>
      </vt:variant>
      <vt:variant>
        <vt:i4>5</vt:i4>
      </vt:variant>
      <vt:variant>
        <vt:lpwstr/>
      </vt:variant>
      <vt:variant>
        <vt:lpwstr>_Toc32324936</vt:lpwstr>
      </vt:variant>
      <vt:variant>
        <vt:i4>1769527</vt:i4>
      </vt:variant>
      <vt:variant>
        <vt:i4>170</vt:i4>
      </vt:variant>
      <vt:variant>
        <vt:i4>0</vt:i4>
      </vt:variant>
      <vt:variant>
        <vt:i4>5</vt:i4>
      </vt:variant>
      <vt:variant>
        <vt:lpwstr/>
      </vt:variant>
      <vt:variant>
        <vt:lpwstr>_Toc32324935</vt:lpwstr>
      </vt:variant>
      <vt:variant>
        <vt:i4>1703991</vt:i4>
      </vt:variant>
      <vt:variant>
        <vt:i4>164</vt:i4>
      </vt:variant>
      <vt:variant>
        <vt:i4>0</vt:i4>
      </vt:variant>
      <vt:variant>
        <vt:i4>5</vt:i4>
      </vt:variant>
      <vt:variant>
        <vt:lpwstr/>
      </vt:variant>
      <vt:variant>
        <vt:lpwstr>_Toc32324934</vt:lpwstr>
      </vt:variant>
      <vt:variant>
        <vt:i4>1900599</vt:i4>
      </vt:variant>
      <vt:variant>
        <vt:i4>158</vt:i4>
      </vt:variant>
      <vt:variant>
        <vt:i4>0</vt:i4>
      </vt:variant>
      <vt:variant>
        <vt:i4>5</vt:i4>
      </vt:variant>
      <vt:variant>
        <vt:lpwstr/>
      </vt:variant>
      <vt:variant>
        <vt:lpwstr>_Toc32324933</vt:lpwstr>
      </vt:variant>
      <vt:variant>
        <vt:i4>1835063</vt:i4>
      </vt:variant>
      <vt:variant>
        <vt:i4>152</vt:i4>
      </vt:variant>
      <vt:variant>
        <vt:i4>0</vt:i4>
      </vt:variant>
      <vt:variant>
        <vt:i4>5</vt:i4>
      </vt:variant>
      <vt:variant>
        <vt:lpwstr/>
      </vt:variant>
      <vt:variant>
        <vt:lpwstr>_Toc32324932</vt:lpwstr>
      </vt:variant>
      <vt:variant>
        <vt:i4>2031671</vt:i4>
      </vt:variant>
      <vt:variant>
        <vt:i4>146</vt:i4>
      </vt:variant>
      <vt:variant>
        <vt:i4>0</vt:i4>
      </vt:variant>
      <vt:variant>
        <vt:i4>5</vt:i4>
      </vt:variant>
      <vt:variant>
        <vt:lpwstr/>
      </vt:variant>
      <vt:variant>
        <vt:lpwstr>_Toc32324931</vt:lpwstr>
      </vt:variant>
      <vt:variant>
        <vt:i4>1966135</vt:i4>
      </vt:variant>
      <vt:variant>
        <vt:i4>140</vt:i4>
      </vt:variant>
      <vt:variant>
        <vt:i4>0</vt:i4>
      </vt:variant>
      <vt:variant>
        <vt:i4>5</vt:i4>
      </vt:variant>
      <vt:variant>
        <vt:lpwstr/>
      </vt:variant>
      <vt:variant>
        <vt:lpwstr>_Toc32324930</vt:lpwstr>
      </vt:variant>
      <vt:variant>
        <vt:i4>1507382</vt:i4>
      </vt:variant>
      <vt:variant>
        <vt:i4>134</vt:i4>
      </vt:variant>
      <vt:variant>
        <vt:i4>0</vt:i4>
      </vt:variant>
      <vt:variant>
        <vt:i4>5</vt:i4>
      </vt:variant>
      <vt:variant>
        <vt:lpwstr/>
      </vt:variant>
      <vt:variant>
        <vt:lpwstr>_Toc32324929</vt:lpwstr>
      </vt:variant>
      <vt:variant>
        <vt:i4>1441846</vt:i4>
      </vt:variant>
      <vt:variant>
        <vt:i4>128</vt:i4>
      </vt:variant>
      <vt:variant>
        <vt:i4>0</vt:i4>
      </vt:variant>
      <vt:variant>
        <vt:i4>5</vt:i4>
      </vt:variant>
      <vt:variant>
        <vt:lpwstr/>
      </vt:variant>
      <vt:variant>
        <vt:lpwstr>_Toc32324928</vt:lpwstr>
      </vt:variant>
      <vt:variant>
        <vt:i4>1638454</vt:i4>
      </vt:variant>
      <vt:variant>
        <vt:i4>122</vt:i4>
      </vt:variant>
      <vt:variant>
        <vt:i4>0</vt:i4>
      </vt:variant>
      <vt:variant>
        <vt:i4>5</vt:i4>
      </vt:variant>
      <vt:variant>
        <vt:lpwstr/>
      </vt:variant>
      <vt:variant>
        <vt:lpwstr>_Toc32324927</vt:lpwstr>
      </vt:variant>
      <vt:variant>
        <vt:i4>1572918</vt:i4>
      </vt:variant>
      <vt:variant>
        <vt:i4>116</vt:i4>
      </vt:variant>
      <vt:variant>
        <vt:i4>0</vt:i4>
      </vt:variant>
      <vt:variant>
        <vt:i4>5</vt:i4>
      </vt:variant>
      <vt:variant>
        <vt:lpwstr/>
      </vt:variant>
      <vt:variant>
        <vt:lpwstr>_Toc32324926</vt:lpwstr>
      </vt:variant>
      <vt:variant>
        <vt:i4>1769526</vt:i4>
      </vt:variant>
      <vt:variant>
        <vt:i4>110</vt:i4>
      </vt:variant>
      <vt:variant>
        <vt:i4>0</vt:i4>
      </vt:variant>
      <vt:variant>
        <vt:i4>5</vt:i4>
      </vt:variant>
      <vt:variant>
        <vt:lpwstr/>
      </vt:variant>
      <vt:variant>
        <vt:lpwstr>_Toc32324925</vt:lpwstr>
      </vt:variant>
      <vt:variant>
        <vt:i4>1703990</vt:i4>
      </vt:variant>
      <vt:variant>
        <vt:i4>104</vt:i4>
      </vt:variant>
      <vt:variant>
        <vt:i4>0</vt:i4>
      </vt:variant>
      <vt:variant>
        <vt:i4>5</vt:i4>
      </vt:variant>
      <vt:variant>
        <vt:lpwstr/>
      </vt:variant>
      <vt:variant>
        <vt:lpwstr>_Toc32324924</vt:lpwstr>
      </vt:variant>
      <vt:variant>
        <vt:i4>1900598</vt:i4>
      </vt:variant>
      <vt:variant>
        <vt:i4>98</vt:i4>
      </vt:variant>
      <vt:variant>
        <vt:i4>0</vt:i4>
      </vt:variant>
      <vt:variant>
        <vt:i4>5</vt:i4>
      </vt:variant>
      <vt:variant>
        <vt:lpwstr/>
      </vt:variant>
      <vt:variant>
        <vt:lpwstr>_Toc32324923</vt:lpwstr>
      </vt:variant>
      <vt:variant>
        <vt:i4>1835062</vt:i4>
      </vt:variant>
      <vt:variant>
        <vt:i4>92</vt:i4>
      </vt:variant>
      <vt:variant>
        <vt:i4>0</vt:i4>
      </vt:variant>
      <vt:variant>
        <vt:i4>5</vt:i4>
      </vt:variant>
      <vt:variant>
        <vt:lpwstr/>
      </vt:variant>
      <vt:variant>
        <vt:lpwstr>_Toc32324922</vt:lpwstr>
      </vt:variant>
      <vt:variant>
        <vt:i4>2031670</vt:i4>
      </vt:variant>
      <vt:variant>
        <vt:i4>86</vt:i4>
      </vt:variant>
      <vt:variant>
        <vt:i4>0</vt:i4>
      </vt:variant>
      <vt:variant>
        <vt:i4>5</vt:i4>
      </vt:variant>
      <vt:variant>
        <vt:lpwstr/>
      </vt:variant>
      <vt:variant>
        <vt:lpwstr>_Toc32324921</vt:lpwstr>
      </vt:variant>
      <vt:variant>
        <vt:i4>1966134</vt:i4>
      </vt:variant>
      <vt:variant>
        <vt:i4>80</vt:i4>
      </vt:variant>
      <vt:variant>
        <vt:i4>0</vt:i4>
      </vt:variant>
      <vt:variant>
        <vt:i4>5</vt:i4>
      </vt:variant>
      <vt:variant>
        <vt:lpwstr/>
      </vt:variant>
      <vt:variant>
        <vt:lpwstr>_Toc32324920</vt:lpwstr>
      </vt:variant>
      <vt:variant>
        <vt:i4>1507381</vt:i4>
      </vt:variant>
      <vt:variant>
        <vt:i4>74</vt:i4>
      </vt:variant>
      <vt:variant>
        <vt:i4>0</vt:i4>
      </vt:variant>
      <vt:variant>
        <vt:i4>5</vt:i4>
      </vt:variant>
      <vt:variant>
        <vt:lpwstr/>
      </vt:variant>
      <vt:variant>
        <vt:lpwstr>_Toc32324919</vt:lpwstr>
      </vt:variant>
      <vt:variant>
        <vt:i4>1441845</vt:i4>
      </vt:variant>
      <vt:variant>
        <vt:i4>68</vt:i4>
      </vt:variant>
      <vt:variant>
        <vt:i4>0</vt:i4>
      </vt:variant>
      <vt:variant>
        <vt:i4>5</vt:i4>
      </vt:variant>
      <vt:variant>
        <vt:lpwstr/>
      </vt:variant>
      <vt:variant>
        <vt:lpwstr>_Toc32324918</vt:lpwstr>
      </vt:variant>
      <vt:variant>
        <vt:i4>1638453</vt:i4>
      </vt:variant>
      <vt:variant>
        <vt:i4>62</vt:i4>
      </vt:variant>
      <vt:variant>
        <vt:i4>0</vt:i4>
      </vt:variant>
      <vt:variant>
        <vt:i4>5</vt:i4>
      </vt:variant>
      <vt:variant>
        <vt:lpwstr/>
      </vt:variant>
      <vt:variant>
        <vt:lpwstr>_Toc32324917</vt:lpwstr>
      </vt:variant>
      <vt:variant>
        <vt:i4>1572917</vt:i4>
      </vt:variant>
      <vt:variant>
        <vt:i4>56</vt:i4>
      </vt:variant>
      <vt:variant>
        <vt:i4>0</vt:i4>
      </vt:variant>
      <vt:variant>
        <vt:i4>5</vt:i4>
      </vt:variant>
      <vt:variant>
        <vt:lpwstr/>
      </vt:variant>
      <vt:variant>
        <vt:lpwstr>_Toc32324916</vt:lpwstr>
      </vt:variant>
      <vt:variant>
        <vt:i4>1769525</vt:i4>
      </vt:variant>
      <vt:variant>
        <vt:i4>50</vt:i4>
      </vt:variant>
      <vt:variant>
        <vt:i4>0</vt:i4>
      </vt:variant>
      <vt:variant>
        <vt:i4>5</vt:i4>
      </vt:variant>
      <vt:variant>
        <vt:lpwstr/>
      </vt:variant>
      <vt:variant>
        <vt:lpwstr>_Toc32324915</vt:lpwstr>
      </vt:variant>
      <vt:variant>
        <vt:i4>1703989</vt:i4>
      </vt:variant>
      <vt:variant>
        <vt:i4>44</vt:i4>
      </vt:variant>
      <vt:variant>
        <vt:i4>0</vt:i4>
      </vt:variant>
      <vt:variant>
        <vt:i4>5</vt:i4>
      </vt:variant>
      <vt:variant>
        <vt:lpwstr/>
      </vt:variant>
      <vt:variant>
        <vt:lpwstr>_Toc32324914</vt:lpwstr>
      </vt:variant>
      <vt:variant>
        <vt:i4>1900597</vt:i4>
      </vt:variant>
      <vt:variant>
        <vt:i4>38</vt:i4>
      </vt:variant>
      <vt:variant>
        <vt:i4>0</vt:i4>
      </vt:variant>
      <vt:variant>
        <vt:i4>5</vt:i4>
      </vt:variant>
      <vt:variant>
        <vt:lpwstr/>
      </vt:variant>
      <vt:variant>
        <vt:lpwstr>_Toc32324913</vt:lpwstr>
      </vt:variant>
      <vt:variant>
        <vt:i4>1835061</vt:i4>
      </vt:variant>
      <vt:variant>
        <vt:i4>32</vt:i4>
      </vt:variant>
      <vt:variant>
        <vt:i4>0</vt:i4>
      </vt:variant>
      <vt:variant>
        <vt:i4>5</vt:i4>
      </vt:variant>
      <vt:variant>
        <vt:lpwstr/>
      </vt:variant>
      <vt:variant>
        <vt:lpwstr>_Toc32324912</vt:lpwstr>
      </vt:variant>
      <vt:variant>
        <vt:i4>2031669</vt:i4>
      </vt:variant>
      <vt:variant>
        <vt:i4>26</vt:i4>
      </vt:variant>
      <vt:variant>
        <vt:i4>0</vt:i4>
      </vt:variant>
      <vt:variant>
        <vt:i4>5</vt:i4>
      </vt:variant>
      <vt:variant>
        <vt:lpwstr/>
      </vt:variant>
      <vt:variant>
        <vt:lpwstr>_Toc32324911</vt:lpwstr>
      </vt:variant>
      <vt:variant>
        <vt:i4>1966133</vt:i4>
      </vt:variant>
      <vt:variant>
        <vt:i4>20</vt:i4>
      </vt:variant>
      <vt:variant>
        <vt:i4>0</vt:i4>
      </vt:variant>
      <vt:variant>
        <vt:i4>5</vt:i4>
      </vt:variant>
      <vt:variant>
        <vt:lpwstr/>
      </vt:variant>
      <vt:variant>
        <vt:lpwstr>_Toc32324910</vt:lpwstr>
      </vt:variant>
      <vt:variant>
        <vt:i4>1507380</vt:i4>
      </vt:variant>
      <vt:variant>
        <vt:i4>14</vt:i4>
      </vt:variant>
      <vt:variant>
        <vt:i4>0</vt:i4>
      </vt:variant>
      <vt:variant>
        <vt:i4>5</vt:i4>
      </vt:variant>
      <vt:variant>
        <vt:lpwstr/>
      </vt:variant>
      <vt:variant>
        <vt:lpwstr>_Toc32324909</vt:lpwstr>
      </vt:variant>
      <vt:variant>
        <vt:i4>1441844</vt:i4>
      </vt:variant>
      <vt:variant>
        <vt:i4>8</vt:i4>
      </vt:variant>
      <vt:variant>
        <vt:i4>0</vt:i4>
      </vt:variant>
      <vt:variant>
        <vt:i4>5</vt:i4>
      </vt:variant>
      <vt:variant>
        <vt:lpwstr/>
      </vt:variant>
      <vt:variant>
        <vt:lpwstr>_Toc32324908</vt:lpwstr>
      </vt:variant>
      <vt:variant>
        <vt:i4>1638452</vt:i4>
      </vt:variant>
      <vt:variant>
        <vt:i4>2</vt:i4>
      </vt:variant>
      <vt:variant>
        <vt:i4>0</vt:i4>
      </vt:variant>
      <vt:variant>
        <vt:i4>5</vt:i4>
      </vt:variant>
      <vt:variant>
        <vt:lpwstr/>
      </vt:variant>
      <vt:variant>
        <vt:lpwstr>_Toc32324907</vt:lpwstr>
      </vt:variant>
      <vt:variant>
        <vt:i4>65594</vt:i4>
      </vt:variant>
      <vt:variant>
        <vt:i4>63</vt:i4>
      </vt:variant>
      <vt:variant>
        <vt:i4>0</vt:i4>
      </vt:variant>
      <vt:variant>
        <vt:i4>5</vt:i4>
      </vt:variant>
      <vt:variant>
        <vt:lpwstr>http://www.puc.pa.gov/filing_resources/issues_laws_regulations/act_129_information/energy_efficiency_and_conservation_ee_c_program.aspx</vt:lpwstr>
      </vt:variant>
      <vt:variant>
        <vt:lpwstr/>
      </vt:variant>
      <vt:variant>
        <vt:i4>2555948</vt:i4>
      </vt:variant>
      <vt:variant>
        <vt:i4>60</vt:i4>
      </vt:variant>
      <vt:variant>
        <vt:i4>0</vt:i4>
      </vt:variant>
      <vt:variant>
        <vt:i4>5</vt:i4>
      </vt:variant>
      <vt:variant>
        <vt:lpwstr>https://www.pjm.com/-/media/documents/manuals/m18.ashx</vt:lpwstr>
      </vt:variant>
      <vt:variant>
        <vt:lpwstr/>
      </vt:variant>
      <vt:variant>
        <vt:i4>4915293</vt:i4>
      </vt:variant>
      <vt:variant>
        <vt:i4>57</vt:i4>
      </vt:variant>
      <vt:variant>
        <vt:i4>0</vt:i4>
      </vt:variant>
      <vt:variant>
        <vt:i4>5</vt:i4>
      </vt:variant>
      <vt:variant>
        <vt:lpwstr>http://www.puc.pa.gov/pcdocs/1340978.pdf</vt:lpwstr>
      </vt:variant>
      <vt:variant>
        <vt:lpwstr/>
      </vt:variant>
      <vt:variant>
        <vt:i4>4849676</vt:i4>
      </vt:variant>
      <vt:variant>
        <vt:i4>54</vt:i4>
      </vt:variant>
      <vt:variant>
        <vt:i4>0</vt:i4>
      </vt:variant>
      <vt:variant>
        <vt:i4>5</vt:i4>
      </vt:variant>
      <vt:variant>
        <vt:lpwstr>http://www.puc.pa.gov/Electric/xls/Act129/SWE-Light_Metering_Study-AppendixB-Commercial_Load_Shapes.xlsx</vt:lpwstr>
      </vt:variant>
      <vt:variant>
        <vt:lpwstr/>
      </vt:variant>
      <vt:variant>
        <vt:i4>6881400</vt:i4>
      </vt:variant>
      <vt:variant>
        <vt:i4>51</vt:i4>
      </vt:variant>
      <vt:variant>
        <vt:i4>0</vt:i4>
      </vt:variant>
      <vt:variant>
        <vt:i4>5</vt:i4>
      </vt:variant>
      <vt:variant>
        <vt:lpwstr>https://www.pjm.com/-/media/documents/manuals/m18b.ashx</vt:lpwstr>
      </vt:variant>
      <vt:variant>
        <vt:lpwstr/>
      </vt:variant>
      <vt:variant>
        <vt:i4>2490429</vt:i4>
      </vt:variant>
      <vt:variant>
        <vt:i4>48</vt:i4>
      </vt:variant>
      <vt:variant>
        <vt:i4>0</vt:i4>
      </vt:variant>
      <vt:variant>
        <vt:i4>5</vt:i4>
      </vt:variant>
      <vt:variant>
        <vt:lpwstr>http://www.puc.pa.gov/utility_industry/electricity/conservation_service_providers_registry.aspx</vt:lpwstr>
      </vt:variant>
      <vt:variant>
        <vt:lpwstr/>
      </vt:variant>
      <vt:variant>
        <vt:i4>6881400</vt:i4>
      </vt:variant>
      <vt:variant>
        <vt:i4>45</vt:i4>
      </vt:variant>
      <vt:variant>
        <vt:i4>0</vt:i4>
      </vt:variant>
      <vt:variant>
        <vt:i4>5</vt:i4>
      </vt:variant>
      <vt:variant>
        <vt:lpwstr>https://www.pjm.com/-/media/documents/manuals/m18b.ashx</vt:lpwstr>
      </vt:variant>
      <vt:variant>
        <vt:lpwstr/>
      </vt:variant>
      <vt:variant>
        <vt:i4>1441823</vt:i4>
      </vt:variant>
      <vt:variant>
        <vt:i4>42</vt:i4>
      </vt:variant>
      <vt:variant>
        <vt:i4>0</vt:i4>
      </vt:variant>
      <vt:variant>
        <vt:i4>5</vt:i4>
      </vt:variant>
      <vt:variant>
        <vt:lpwstr>https://www.nrel.gov/docs/fy17osti/68578.pdf</vt:lpwstr>
      </vt:variant>
      <vt:variant>
        <vt:lpwstr/>
      </vt:variant>
      <vt:variant>
        <vt:i4>6029406</vt:i4>
      </vt:variant>
      <vt:variant>
        <vt:i4>39</vt:i4>
      </vt:variant>
      <vt:variant>
        <vt:i4>0</vt:i4>
      </vt:variant>
      <vt:variant>
        <vt:i4>5</vt:i4>
      </vt:variant>
      <vt:variant>
        <vt:lpwstr>http://www.puc.pa.gov/pcdocs/1648126.docx</vt:lpwstr>
      </vt:variant>
      <vt:variant>
        <vt:lpwstr/>
      </vt:variant>
      <vt:variant>
        <vt:i4>5439578</vt:i4>
      </vt:variant>
      <vt:variant>
        <vt:i4>33</vt:i4>
      </vt:variant>
      <vt:variant>
        <vt:i4>0</vt:i4>
      </vt:variant>
      <vt:variant>
        <vt:i4>5</vt:i4>
      </vt:variant>
      <vt:variant>
        <vt:lpwstr>http://www.puc.pa.gov/pcdocs/1636986.docx</vt:lpwstr>
      </vt:variant>
      <vt:variant>
        <vt:lpwstr/>
      </vt:variant>
      <vt:variant>
        <vt:i4>6094933</vt:i4>
      </vt:variant>
      <vt:variant>
        <vt:i4>30</vt:i4>
      </vt:variant>
      <vt:variant>
        <vt:i4>0</vt:i4>
      </vt:variant>
      <vt:variant>
        <vt:i4>5</vt:i4>
      </vt:variant>
      <vt:variant>
        <vt:lpwstr>http://www.puc.pa.gov/pcdocs/1631001.docx</vt:lpwstr>
      </vt:variant>
      <vt:variant>
        <vt:lpwstr/>
      </vt:variant>
      <vt:variant>
        <vt:i4>5374034</vt:i4>
      </vt:variant>
      <vt:variant>
        <vt:i4>27</vt:i4>
      </vt:variant>
      <vt:variant>
        <vt:i4>0</vt:i4>
      </vt:variant>
      <vt:variant>
        <vt:i4>5</vt:i4>
      </vt:variant>
      <vt:variant>
        <vt:lpwstr>http://www.puc.pa.gov/pcdocs/1630967.docx</vt:lpwstr>
      </vt:variant>
      <vt:variant>
        <vt:lpwstr/>
      </vt:variant>
      <vt:variant>
        <vt:i4>1900560</vt:i4>
      </vt:variant>
      <vt:variant>
        <vt:i4>24</vt:i4>
      </vt:variant>
      <vt:variant>
        <vt:i4>0</vt:i4>
      </vt:variant>
      <vt:variant>
        <vt:i4>5</vt:i4>
      </vt:variant>
      <vt:variant>
        <vt:lpwstr>http://www.puc.pa.gov/filing_resources/issues_laws_regulations/act_129_information/total_resource_cost_test.aspx</vt:lpwstr>
      </vt:variant>
      <vt:variant>
        <vt:lpwstr/>
      </vt:variant>
      <vt:variant>
        <vt:i4>5767196</vt:i4>
      </vt:variant>
      <vt:variant>
        <vt:i4>21</vt:i4>
      </vt:variant>
      <vt:variant>
        <vt:i4>0</vt:i4>
      </vt:variant>
      <vt:variant>
        <vt:i4>5</vt:i4>
      </vt:variant>
      <vt:variant>
        <vt:lpwstr>https://www.pjm.com/-/media/committees-groups/subcommittees/las/20181127/20181127-item-04-peak-shaving-forecast-adjustments.ashx</vt:lpwstr>
      </vt:variant>
      <vt:variant>
        <vt:lpwstr/>
      </vt:variant>
      <vt:variant>
        <vt:i4>5636148</vt:i4>
      </vt:variant>
      <vt:variant>
        <vt:i4>18</vt:i4>
      </vt:variant>
      <vt:variant>
        <vt:i4>0</vt:i4>
      </vt:variant>
      <vt:variant>
        <vt:i4>5</vt:i4>
      </vt:variant>
      <vt:variant>
        <vt:lpwstr>http://www.puc.pa.gov/Electric/pdf/Act129/SWE_RFP-2015.pdf</vt:lpwstr>
      </vt:variant>
      <vt:variant>
        <vt:lpwstr/>
      </vt:variant>
      <vt:variant>
        <vt:i4>6029406</vt:i4>
      </vt:variant>
      <vt:variant>
        <vt:i4>15</vt:i4>
      </vt:variant>
      <vt:variant>
        <vt:i4>0</vt:i4>
      </vt:variant>
      <vt:variant>
        <vt:i4>5</vt:i4>
      </vt:variant>
      <vt:variant>
        <vt:lpwstr>http://www.puc.pa.gov/pcdocs/1648126.docx</vt:lpwstr>
      </vt:variant>
      <vt:variant>
        <vt:lpwstr/>
      </vt:variant>
      <vt:variant>
        <vt:i4>5374043</vt:i4>
      </vt:variant>
      <vt:variant>
        <vt:i4>12</vt:i4>
      </vt:variant>
      <vt:variant>
        <vt:i4>0</vt:i4>
      </vt:variant>
      <vt:variant>
        <vt:i4>5</vt:i4>
      </vt:variant>
      <vt:variant>
        <vt:lpwstr>http://www.puc.pa.gov/pcdocs/1648144.xlsx</vt:lpwstr>
      </vt:variant>
      <vt:variant>
        <vt:lpwstr/>
      </vt:variant>
      <vt:variant>
        <vt:i4>5636181</vt:i4>
      </vt:variant>
      <vt:variant>
        <vt:i4>9</vt:i4>
      </vt:variant>
      <vt:variant>
        <vt:i4>0</vt:i4>
      </vt:variant>
      <vt:variant>
        <vt:i4>5</vt:i4>
      </vt:variant>
      <vt:variant>
        <vt:lpwstr>http://www.puc.pa.gov/pcdocs/1606178.docx</vt:lpwstr>
      </vt:variant>
      <vt:variant>
        <vt:lpwstr/>
      </vt:variant>
      <vt:variant>
        <vt:i4>3145779</vt:i4>
      </vt:variant>
      <vt:variant>
        <vt:i4>6</vt:i4>
      </vt:variant>
      <vt:variant>
        <vt:i4>0</vt:i4>
      </vt:variant>
      <vt:variant>
        <vt:i4>5</vt:i4>
      </vt:variant>
      <vt:variant>
        <vt:lpwstr>http://www.puc.pa.gov/Electric/pdf/Act129/SWE-Phase3_NonRes_Baseline_Study_Rpt021219.pdf</vt:lpwstr>
      </vt:variant>
      <vt:variant>
        <vt:lpwstr/>
      </vt:variant>
      <vt:variant>
        <vt:i4>6029398</vt:i4>
      </vt:variant>
      <vt:variant>
        <vt:i4>0</vt:i4>
      </vt:variant>
      <vt:variant>
        <vt:i4>0</vt:i4>
      </vt:variant>
      <vt:variant>
        <vt:i4>5</vt:i4>
      </vt:variant>
      <vt:variant>
        <vt:lpwstr>http://www.puc.pa.gov/Electric/pdf/Act129/SWE-Phase3_Res_Baseline_Study_Rpt021219.pdf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kribrown</dc:creator>
  <cp:keywords/>
  <cp:lastModifiedBy>Wagner, Nathan R</cp:lastModifiedBy>
  <cp:revision>11</cp:revision>
  <cp:lastPrinted>2020-03-12T16:05:00Z</cp:lastPrinted>
  <dcterms:created xsi:type="dcterms:W3CDTF">2020-03-11T11:45:00Z</dcterms:created>
  <dcterms:modified xsi:type="dcterms:W3CDTF">2020-03-12T16:05:00Z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J72333MUYW4V-895870458-32595</vt:lpwstr>
  </property>
  <property fmtid="{D5CDD505-2E9C-101B-9397-08002B2CF9AE}" pid="3" name="_dlc_DocIdItemGuid">
    <vt:lpwstr>50a1618d-2db2-48b6-b388-2724681d48b8</vt:lpwstr>
  </property>
  <property fmtid="{D5CDD505-2E9C-101B-9397-08002B2CF9AE}" pid="4" name="_dlc_DocIdUrl">
    <vt:lpwstr>https://nmrgroupinc.sharepoint.com/PAPUCSWE/_layouts/15/DocIdRedir.aspx?ID=J72333MUYW4V-895870458-32595, J72333MUYW4V-895870458-32595</vt:lpwstr>
  </property>
  <property fmtid="{D5CDD505-2E9C-101B-9397-08002B2CF9AE}" pid="5" name="ContentTypeId">
    <vt:lpwstr>0x0101005483F9FD7AA36E4282615687ECEC6F2A</vt:lpwstr>
  </property>
</Properties>
</file>