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87"/>
        <w:gridCol w:w="1440"/>
      </w:tblGrid>
      <w:tr w:rsidR="00C74A51" w14:paraId="263FE2B5" w14:textId="77777777">
        <w:trPr>
          <w:trHeight w:val="990"/>
        </w:trPr>
        <w:tc>
          <w:tcPr>
            <w:tcW w:w="1363" w:type="dxa"/>
          </w:tcPr>
          <w:p w14:paraId="0267CBAF" w14:textId="77777777" w:rsidR="00C74A51" w:rsidRDefault="00E23926">
            <w:pPr>
              <w:rPr>
                <w:sz w:val="24"/>
              </w:rPr>
            </w:pPr>
            <w:r>
              <w:rPr>
                <w:noProof/>
                <w:spacing w:val="-2"/>
              </w:rPr>
              <w:drawing>
                <wp:inline distT="0" distB="0" distL="0" distR="0" wp14:anchorId="6AB12FFF" wp14:editId="2A8B47F8">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1"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87" w:type="dxa"/>
          </w:tcPr>
          <w:p w14:paraId="62FDA228" w14:textId="77777777" w:rsidR="00C74A51" w:rsidRDefault="00C74A51">
            <w:pPr>
              <w:suppressAutoHyphens/>
              <w:spacing w:line="204" w:lineRule="auto"/>
              <w:jc w:val="center"/>
              <w:rPr>
                <w:rFonts w:ascii="Arial" w:hAnsi="Arial"/>
                <w:color w:val="000080"/>
                <w:spacing w:val="-3"/>
                <w:sz w:val="26"/>
              </w:rPr>
            </w:pPr>
          </w:p>
          <w:p w14:paraId="3742D178" w14:textId="77777777"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196AB985" w14:textId="77777777"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2E5BDD63" w14:textId="77777777"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14:paraId="1548F00A" w14:textId="77777777" w:rsidR="00C74A51" w:rsidRDefault="00C74A51">
            <w:pPr>
              <w:rPr>
                <w:rFonts w:ascii="Arial" w:hAnsi="Arial"/>
                <w:sz w:val="12"/>
              </w:rPr>
            </w:pPr>
          </w:p>
          <w:p w14:paraId="2A2D77A4" w14:textId="77777777" w:rsidR="00C74A51" w:rsidRDefault="00C74A51">
            <w:pPr>
              <w:rPr>
                <w:rFonts w:ascii="Arial" w:hAnsi="Arial"/>
                <w:sz w:val="12"/>
              </w:rPr>
            </w:pPr>
          </w:p>
          <w:p w14:paraId="2D539769" w14:textId="77777777" w:rsidR="00C74A51" w:rsidRDefault="00C74A51">
            <w:pPr>
              <w:jc w:val="right"/>
              <w:rPr>
                <w:rFonts w:ascii="Arial" w:hAnsi="Arial"/>
                <w:b/>
                <w:spacing w:val="-1"/>
                <w:sz w:val="12"/>
              </w:rPr>
            </w:pPr>
            <w:r>
              <w:rPr>
                <w:rFonts w:ascii="Arial" w:hAnsi="Arial"/>
                <w:b/>
                <w:spacing w:val="-1"/>
                <w:sz w:val="12"/>
              </w:rPr>
              <w:t>IN REPLY PLEASE REFER TO OUR FILE</w:t>
            </w:r>
          </w:p>
          <w:p w14:paraId="7AE45FE6" w14:textId="7B1DCEBB" w:rsidR="003569E8" w:rsidRPr="00E23926" w:rsidRDefault="00902290" w:rsidP="00902290">
            <w:pPr>
              <w:jc w:val="right"/>
              <w:rPr>
                <w:rFonts w:ascii="Arial" w:hAnsi="Arial"/>
                <w:sz w:val="16"/>
                <w:szCs w:val="16"/>
              </w:rPr>
            </w:pPr>
            <w:r>
              <w:rPr>
                <w:sz w:val="16"/>
                <w:szCs w:val="16"/>
              </w:rPr>
              <w:t>M-2014-2424864</w:t>
            </w:r>
          </w:p>
        </w:tc>
      </w:tr>
    </w:tbl>
    <w:p w14:paraId="2674B5B9" w14:textId="77777777" w:rsidR="005C0702" w:rsidRDefault="005C0702" w:rsidP="005C0702">
      <w:pPr>
        <w:rPr>
          <w:sz w:val="24"/>
          <w:szCs w:val="24"/>
        </w:rPr>
      </w:pPr>
    </w:p>
    <w:p w14:paraId="0F9C338B" w14:textId="2B5ECC82" w:rsidR="005C0702" w:rsidRDefault="00AC348B" w:rsidP="00AC348B">
      <w:pPr>
        <w:jc w:val="center"/>
        <w:rPr>
          <w:sz w:val="24"/>
          <w:szCs w:val="24"/>
        </w:rPr>
      </w:pPr>
      <w:r>
        <w:rPr>
          <w:sz w:val="24"/>
          <w:szCs w:val="24"/>
        </w:rPr>
        <w:t>May 26, 2020</w:t>
      </w:r>
    </w:p>
    <w:p w14:paraId="773BC2E8" w14:textId="77777777" w:rsidR="0076001A" w:rsidRDefault="0076001A" w:rsidP="005C0702">
      <w:pPr>
        <w:rPr>
          <w:sz w:val="24"/>
          <w:szCs w:val="24"/>
        </w:rPr>
      </w:pPr>
    </w:p>
    <w:p w14:paraId="286FF12F" w14:textId="77777777" w:rsidR="00E12C37" w:rsidRDefault="00E12C37" w:rsidP="005C0702">
      <w:pPr>
        <w:rPr>
          <w:sz w:val="24"/>
          <w:szCs w:val="24"/>
        </w:rPr>
      </w:pPr>
    </w:p>
    <w:p w14:paraId="2B02BD27" w14:textId="61A0F2AA" w:rsidR="005C0702" w:rsidRPr="00DD7D76" w:rsidRDefault="005C0702" w:rsidP="005C0702">
      <w:pPr>
        <w:rPr>
          <w:sz w:val="24"/>
          <w:szCs w:val="24"/>
        </w:rPr>
      </w:pPr>
      <w:r w:rsidRPr="00DD7D76">
        <w:rPr>
          <w:sz w:val="24"/>
          <w:szCs w:val="24"/>
        </w:rPr>
        <w:t>TO ALL</w:t>
      </w:r>
      <w:r w:rsidR="00902290" w:rsidRPr="00DD7D76">
        <w:rPr>
          <w:sz w:val="24"/>
          <w:szCs w:val="24"/>
        </w:rPr>
        <w:t xml:space="preserve"> ACT 129 </w:t>
      </w:r>
      <w:r w:rsidR="00CE6BF6">
        <w:rPr>
          <w:sz w:val="24"/>
          <w:szCs w:val="24"/>
        </w:rPr>
        <w:t>JURISDICTIONAL</w:t>
      </w:r>
      <w:r w:rsidR="00234866">
        <w:rPr>
          <w:sz w:val="24"/>
          <w:szCs w:val="24"/>
        </w:rPr>
        <w:t xml:space="preserve"> </w:t>
      </w:r>
      <w:r w:rsidR="00997875">
        <w:rPr>
          <w:sz w:val="24"/>
          <w:szCs w:val="24"/>
        </w:rPr>
        <w:t>EDCs</w:t>
      </w:r>
      <w:r w:rsidRPr="00DD7D76">
        <w:rPr>
          <w:sz w:val="24"/>
          <w:szCs w:val="24"/>
        </w:rPr>
        <w:t>:</w:t>
      </w:r>
    </w:p>
    <w:p w14:paraId="231F3C5D" w14:textId="77777777" w:rsidR="005C0702" w:rsidRPr="00DD7D76" w:rsidRDefault="005C0702" w:rsidP="005C0702">
      <w:pPr>
        <w:rPr>
          <w:sz w:val="24"/>
          <w:szCs w:val="24"/>
        </w:rPr>
      </w:pPr>
    </w:p>
    <w:p w14:paraId="3B952244" w14:textId="359E28ED" w:rsidR="00382901" w:rsidRPr="00DD7D76" w:rsidRDefault="005C0702" w:rsidP="00252702">
      <w:pPr>
        <w:ind w:left="1440" w:hanging="720"/>
        <w:rPr>
          <w:sz w:val="24"/>
          <w:szCs w:val="24"/>
        </w:rPr>
      </w:pPr>
      <w:r w:rsidRPr="00DD7D76">
        <w:rPr>
          <w:sz w:val="24"/>
          <w:szCs w:val="24"/>
        </w:rPr>
        <w:t>Re:</w:t>
      </w:r>
      <w:r w:rsidRPr="00DD7D76">
        <w:rPr>
          <w:sz w:val="24"/>
          <w:szCs w:val="24"/>
        </w:rPr>
        <w:tab/>
        <w:t xml:space="preserve">Act 129 </w:t>
      </w:r>
      <w:r w:rsidR="00E327D8" w:rsidRPr="00DD7D76">
        <w:rPr>
          <w:sz w:val="24"/>
          <w:szCs w:val="24"/>
        </w:rPr>
        <w:t>EDC Reporting Deadlines</w:t>
      </w:r>
      <w:r w:rsidR="00252702" w:rsidRPr="00DD7D76">
        <w:rPr>
          <w:sz w:val="24"/>
          <w:szCs w:val="24"/>
        </w:rPr>
        <w:t xml:space="preserve"> </w:t>
      </w:r>
    </w:p>
    <w:p w14:paraId="5A9D6FB5" w14:textId="06F1B1B4" w:rsidR="005C0702" w:rsidRPr="00DD7D76" w:rsidRDefault="005C0702" w:rsidP="005C0702">
      <w:pPr>
        <w:rPr>
          <w:sz w:val="24"/>
          <w:szCs w:val="24"/>
        </w:rPr>
      </w:pPr>
      <w:r w:rsidRPr="00DD7D76">
        <w:rPr>
          <w:sz w:val="24"/>
          <w:szCs w:val="24"/>
        </w:rPr>
        <w:tab/>
      </w:r>
      <w:r w:rsidRPr="00DD7D76">
        <w:rPr>
          <w:sz w:val="24"/>
          <w:szCs w:val="24"/>
        </w:rPr>
        <w:tab/>
        <w:t xml:space="preserve">Docket No. </w:t>
      </w:r>
      <w:r w:rsidR="00C239BA" w:rsidRPr="00DD7D76">
        <w:rPr>
          <w:sz w:val="24"/>
          <w:szCs w:val="24"/>
        </w:rPr>
        <w:t>M</w:t>
      </w:r>
      <w:r w:rsidR="00C239BA" w:rsidRPr="00DD7D76">
        <w:rPr>
          <w:sz w:val="24"/>
          <w:szCs w:val="24"/>
        </w:rPr>
        <w:noBreakHyphen/>
        <w:t>2014-2424864</w:t>
      </w:r>
    </w:p>
    <w:p w14:paraId="64D361CC" w14:textId="77777777" w:rsidR="005C0702" w:rsidRPr="00DD7D76" w:rsidRDefault="005C0702" w:rsidP="005C0702">
      <w:pPr>
        <w:rPr>
          <w:sz w:val="24"/>
          <w:szCs w:val="24"/>
        </w:rPr>
      </w:pPr>
    </w:p>
    <w:p w14:paraId="0CB9E3AC" w14:textId="77777777" w:rsidR="0076001A" w:rsidRPr="00DD7D76" w:rsidRDefault="005C0702" w:rsidP="005C0702">
      <w:pPr>
        <w:rPr>
          <w:sz w:val="24"/>
          <w:szCs w:val="24"/>
        </w:rPr>
      </w:pPr>
      <w:r w:rsidRPr="00DD7D76">
        <w:rPr>
          <w:sz w:val="24"/>
          <w:szCs w:val="24"/>
        </w:rPr>
        <w:tab/>
      </w:r>
    </w:p>
    <w:p w14:paraId="1258FE8E" w14:textId="5FB5C408" w:rsidR="00C22244" w:rsidRPr="00505C33" w:rsidRDefault="000A0340" w:rsidP="0098524A">
      <w:pPr>
        <w:rPr>
          <w:sz w:val="24"/>
          <w:szCs w:val="24"/>
        </w:rPr>
      </w:pPr>
      <w:r w:rsidRPr="00DD7D76">
        <w:rPr>
          <w:sz w:val="24"/>
          <w:szCs w:val="24"/>
        </w:rPr>
        <w:t xml:space="preserve">  </w:t>
      </w:r>
      <w:r w:rsidRPr="00DD7D76">
        <w:rPr>
          <w:sz w:val="24"/>
          <w:szCs w:val="24"/>
        </w:rPr>
        <w:tab/>
      </w:r>
      <w:r w:rsidR="001964F0" w:rsidRPr="00DD7D76">
        <w:rPr>
          <w:sz w:val="24"/>
          <w:szCs w:val="24"/>
        </w:rPr>
        <w:t>The ongoing COVID-19 pandemic has presented numerous challenges</w:t>
      </w:r>
      <w:r w:rsidR="0098524A" w:rsidRPr="00DD7D76">
        <w:rPr>
          <w:sz w:val="24"/>
          <w:szCs w:val="24"/>
        </w:rPr>
        <w:t>.  As such, some</w:t>
      </w:r>
      <w:r w:rsidR="001C1EAD" w:rsidRPr="00DD7D76">
        <w:rPr>
          <w:sz w:val="24"/>
          <w:szCs w:val="24"/>
        </w:rPr>
        <w:t xml:space="preserve"> distribution companies (EDCs)</w:t>
      </w:r>
      <w:r w:rsidR="00902290" w:rsidRPr="00DD7D76">
        <w:rPr>
          <w:sz w:val="24"/>
          <w:szCs w:val="24"/>
        </w:rPr>
        <w:t>, subject to the energy efficiency and conservation provisions of Act 129, have</w:t>
      </w:r>
      <w:r w:rsidR="0098524A" w:rsidRPr="00DD7D76">
        <w:rPr>
          <w:sz w:val="24"/>
          <w:szCs w:val="24"/>
        </w:rPr>
        <w:t xml:space="preserve"> expressed concern with the ability to conduct onsite evaluation</w:t>
      </w:r>
      <w:r w:rsidR="00902290" w:rsidRPr="00DD7D76">
        <w:rPr>
          <w:sz w:val="24"/>
          <w:szCs w:val="24"/>
        </w:rPr>
        <w:t>s</w:t>
      </w:r>
      <w:r w:rsidR="0098524A" w:rsidRPr="00DD7D76">
        <w:rPr>
          <w:sz w:val="24"/>
          <w:szCs w:val="24"/>
        </w:rPr>
        <w:t xml:space="preserve"> of Act 129</w:t>
      </w:r>
      <w:r w:rsidR="00505C33">
        <w:rPr>
          <w:sz w:val="24"/>
          <w:szCs w:val="24"/>
        </w:rPr>
        <w:t xml:space="preserve"> </w:t>
      </w:r>
      <w:r w:rsidR="0098524A" w:rsidRPr="00DD7D76">
        <w:rPr>
          <w:sz w:val="24"/>
          <w:szCs w:val="24"/>
        </w:rPr>
        <w:t xml:space="preserve">funded </w:t>
      </w:r>
      <w:r w:rsidR="0098524A" w:rsidRPr="00505C33">
        <w:rPr>
          <w:sz w:val="24"/>
          <w:szCs w:val="24"/>
        </w:rPr>
        <w:t>energy efficiency projects</w:t>
      </w:r>
      <w:r w:rsidR="003E2600" w:rsidRPr="00505C33">
        <w:rPr>
          <w:sz w:val="24"/>
          <w:szCs w:val="24"/>
        </w:rPr>
        <w:t xml:space="preserve"> during the pandemic</w:t>
      </w:r>
      <w:r w:rsidR="0098524A" w:rsidRPr="00505C33">
        <w:rPr>
          <w:sz w:val="24"/>
          <w:szCs w:val="24"/>
        </w:rPr>
        <w:t xml:space="preserve">.  </w:t>
      </w:r>
      <w:r w:rsidR="005C2F86" w:rsidRPr="00505C33">
        <w:rPr>
          <w:sz w:val="24"/>
          <w:szCs w:val="24"/>
        </w:rPr>
        <w:t>The on-site evaluations are required as part of the Act 129 Evaluation Framework</w:t>
      </w:r>
      <w:r w:rsidR="005C2F86" w:rsidRPr="00505C33">
        <w:rPr>
          <w:rStyle w:val="FootnoteReference"/>
          <w:sz w:val="24"/>
          <w:szCs w:val="24"/>
        </w:rPr>
        <w:footnoteReference w:id="1"/>
      </w:r>
      <w:r w:rsidR="005C2F86" w:rsidRPr="00505C33">
        <w:rPr>
          <w:sz w:val="24"/>
          <w:szCs w:val="24"/>
        </w:rPr>
        <w:t xml:space="preserve">, which provides guidance on how energy efficiency project savings are to be calculated and evaluated.  </w:t>
      </w:r>
      <w:r w:rsidR="0098524A" w:rsidRPr="00505C33">
        <w:rPr>
          <w:sz w:val="24"/>
          <w:szCs w:val="24"/>
        </w:rPr>
        <w:t xml:space="preserve">These onsite evaluations </w:t>
      </w:r>
      <w:r w:rsidR="005C2F86" w:rsidRPr="00505C33">
        <w:rPr>
          <w:sz w:val="24"/>
          <w:szCs w:val="24"/>
        </w:rPr>
        <w:t xml:space="preserve">then provide </w:t>
      </w:r>
      <w:r w:rsidR="0098524A" w:rsidRPr="00505C33">
        <w:rPr>
          <w:sz w:val="24"/>
          <w:szCs w:val="24"/>
        </w:rPr>
        <w:t>valuable information to be included in each EDC’s Act 129 annual</w:t>
      </w:r>
      <w:r w:rsidR="003E2600" w:rsidRPr="00505C33">
        <w:rPr>
          <w:sz w:val="24"/>
          <w:szCs w:val="24"/>
        </w:rPr>
        <w:t xml:space="preserve"> and semi-annual</w:t>
      </w:r>
      <w:r w:rsidR="0098524A" w:rsidRPr="00505C33">
        <w:rPr>
          <w:sz w:val="24"/>
          <w:szCs w:val="24"/>
        </w:rPr>
        <w:t xml:space="preserve"> report</w:t>
      </w:r>
      <w:r w:rsidR="003E2600" w:rsidRPr="00505C33">
        <w:rPr>
          <w:sz w:val="24"/>
          <w:szCs w:val="24"/>
        </w:rPr>
        <w:t>s</w:t>
      </w:r>
      <w:r w:rsidR="0098524A" w:rsidRPr="00505C33">
        <w:rPr>
          <w:sz w:val="24"/>
          <w:szCs w:val="24"/>
        </w:rPr>
        <w:t xml:space="preserve">. </w:t>
      </w:r>
    </w:p>
    <w:p w14:paraId="20F78CDE" w14:textId="77777777" w:rsidR="00C22244" w:rsidRPr="00505C33" w:rsidRDefault="00C22244" w:rsidP="0098524A">
      <w:pPr>
        <w:rPr>
          <w:sz w:val="24"/>
          <w:szCs w:val="24"/>
        </w:rPr>
      </w:pPr>
    </w:p>
    <w:p w14:paraId="48966D33" w14:textId="05253D14" w:rsidR="00902290" w:rsidRPr="00505C33" w:rsidRDefault="005C2F86" w:rsidP="00DD7D76">
      <w:pPr>
        <w:ind w:firstLine="720"/>
        <w:rPr>
          <w:sz w:val="24"/>
          <w:szCs w:val="24"/>
        </w:rPr>
      </w:pPr>
      <w:bookmarkStart w:id="0" w:name="_Hlk40184143"/>
      <w:r w:rsidRPr="00505C33">
        <w:rPr>
          <w:sz w:val="24"/>
          <w:szCs w:val="24"/>
        </w:rPr>
        <w:t>Since it has become difficult, and in some cases impractical, for the EDCs to perform all of the necessary on-site evaluations during the COVID-19 pandemic, we recognize that</w:t>
      </w:r>
      <w:r w:rsidR="00861C3C" w:rsidRPr="00505C33">
        <w:rPr>
          <w:sz w:val="24"/>
          <w:szCs w:val="24"/>
        </w:rPr>
        <w:t xml:space="preserve"> some of </w:t>
      </w:r>
      <w:r w:rsidRPr="00505C33">
        <w:rPr>
          <w:sz w:val="24"/>
          <w:szCs w:val="24"/>
        </w:rPr>
        <w:t xml:space="preserve"> </w:t>
      </w:r>
      <w:r w:rsidR="00861C3C" w:rsidRPr="00505C33">
        <w:rPr>
          <w:sz w:val="24"/>
          <w:szCs w:val="24"/>
        </w:rPr>
        <w:t xml:space="preserve">the evaluations will have to be conducted at a later date.  Until the EDCs can complete all the necessary evaluations, the annual and semi-annual reports will be lacking sufficient project savings verification.  In recognition of this situation,  </w:t>
      </w:r>
      <w:r w:rsidR="00C22244" w:rsidRPr="00505C33">
        <w:rPr>
          <w:sz w:val="24"/>
          <w:szCs w:val="24"/>
        </w:rPr>
        <w:t xml:space="preserve">the most appropriate method of accommodation, at this time, </w:t>
      </w:r>
      <w:r w:rsidR="00861C3C" w:rsidRPr="00505C33">
        <w:rPr>
          <w:sz w:val="24"/>
          <w:szCs w:val="24"/>
        </w:rPr>
        <w:t xml:space="preserve">is </w:t>
      </w:r>
      <w:r w:rsidR="00C22244" w:rsidRPr="00505C33">
        <w:rPr>
          <w:sz w:val="24"/>
          <w:szCs w:val="24"/>
        </w:rPr>
        <w:t>to delay the reporting deadlines for both the annual and semi-annual reports, thereby providing the additional time that would be needed to fully audit and verify associated energy savings from Act 129</w:t>
      </w:r>
      <w:r w:rsidR="00505C33">
        <w:rPr>
          <w:sz w:val="24"/>
          <w:szCs w:val="24"/>
        </w:rPr>
        <w:t xml:space="preserve"> </w:t>
      </w:r>
      <w:r w:rsidR="00C22244" w:rsidRPr="00505C33">
        <w:rPr>
          <w:sz w:val="24"/>
          <w:szCs w:val="24"/>
        </w:rPr>
        <w:t>funded projects.</w:t>
      </w:r>
      <w:bookmarkEnd w:id="0"/>
    </w:p>
    <w:p w14:paraId="5B3FC98B" w14:textId="77777777" w:rsidR="00902290" w:rsidRPr="00505C33" w:rsidRDefault="00902290" w:rsidP="003E2600">
      <w:pPr>
        <w:rPr>
          <w:sz w:val="24"/>
          <w:szCs w:val="24"/>
        </w:rPr>
      </w:pPr>
    </w:p>
    <w:p w14:paraId="3699288B" w14:textId="00A4DCDF" w:rsidR="000A0340" w:rsidRPr="00DD7D76" w:rsidRDefault="00902290" w:rsidP="00C22244">
      <w:pPr>
        <w:tabs>
          <w:tab w:val="left" w:pos="8460"/>
        </w:tabs>
        <w:ind w:firstLine="720"/>
        <w:rPr>
          <w:sz w:val="24"/>
          <w:szCs w:val="24"/>
        </w:rPr>
      </w:pPr>
      <w:r w:rsidRPr="00DD7D76">
        <w:rPr>
          <w:sz w:val="24"/>
          <w:szCs w:val="24"/>
        </w:rPr>
        <w:t xml:space="preserve">Therefore, </w:t>
      </w:r>
      <w:r w:rsidR="000A0340" w:rsidRPr="00DD7D76">
        <w:rPr>
          <w:sz w:val="24"/>
          <w:szCs w:val="24"/>
        </w:rPr>
        <w:t xml:space="preserve">the </w:t>
      </w:r>
      <w:r w:rsidR="00912AA8" w:rsidRPr="00DD7D76">
        <w:rPr>
          <w:sz w:val="24"/>
          <w:szCs w:val="24"/>
        </w:rPr>
        <w:t xml:space="preserve">reporting </w:t>
      </w:r>
      <w:r w:rsidR="000A0340" w:rsidRPr="00DD7D76">
        <w:rPr>
          <w:sz w:val="24"/>
          <w:szCs w:val="24"/>
        </w:rPr>
        <w:t xml:space="preserve">deadlines </w:t>
      </w:r>
      <w:r w:rsidR="000E077B" w:rsidRPr="00DD7D76">
        <w:rPr>
          <w:sz w:val="24"/>
          <w:szCs w:val="24"/>
        </w:rPr>
        <w:t xml:space="preserve">established in </w:t>
      </w:r>
      <w:r w:rsidR="00DC35D8" w:rsidRPr="00DD7D76">
        <w:rPr>
          <w:sz w:val="24"/>
          <w:szCs w:val="24"/>
        </w:rPr>
        <w:t>the Act 129 Phase III Final Implementation Order</w:t>
      </w:r>
      <w:r w:rsidR="003E2600" w:rsidRPr="00DD7D76">
        <w:rPr>
          <w:rStyle w:val="FootnoteReference"/>
          <w:sz w:val="24"/>
          <w:szCs w:val="24"/>
        </w:rPr>
        <w:footnoteReference w:id="2"/>
      </w:r>
      <w:r w:rsidR="00C22244" w:rsidRPr="00DD7D76">
        <w:rPr>
          <w:sz w:val="24"/>
          <w:szCs w:val="24"/>
        </w:rPr>
        <w:t xml:space="preserve"> are extended </w:t>
      </w:r>
      <w:r w:rsidR="000A0340" w:rsidRPr="00DD7D76">
        <w:rPr>
          <w:sz w:val="24"/>
          <w:szCs w:val="24"/>
        </w:rPr>
        <w:t>as follows:</w:t>
      </w:r>
    </w:p>
    <w:p w14:paraId="491F41CA" w14:textId="5DC541B6" w:rsidR="00E327D8" w:rsidRPr="00DD7D76" w:rsidRDefault="00E327D8" w:rsidP="00C22244">
      <w:pPr>
        <w:tabs>
          <w:tab w:val="left" w:pos="8460"/>
        </w:tabs>
        <w:ind w:firstLine="720"/>
        <w:rPr>
          <w:sz w:val="24"/>
          <w:szCs w:val="24"/>
        </w:rPr>
      </w:pPr>
    </w:p>
    <w:p w14:paraId="66F465C3" w14:textId="667BF642" w:rsidR="000A0340" w:rsidRPr="00DD7D76" w:rsidRDefault="00513027" w:rsidP="00C22244">
      <w:pPr>
        <w:pStyle w:val="ListParagraph"/>
        <w:numPr>
          <w:ilvl w:val="0"/>
          <w:numId w:val="18"/>
        </w:numPr>
        <w:tabs>
          <w:tab w:val="left" w:pos="8460"/>
        </w:tabs>
        <w:ind w:left="1080"/>
        <w:rPr>
          <w:sz w:val="24"/>
          <w:szCs w:val="24"/>
        </w:rPr>
      </w:pPr>
      <w:r w:rsidRPr="00DD7D76">
        <w:rPr>
          <w:sz w:val="24"/>
          <w:szCs w:val="24"/>
        </w:rPr>
        <w:t>The date for the annual report due on November 15, 2020 is</w:t>
      </w:r>
      <w:r w:rsidR="003E2600" w:rsidRPr="00DD7D76">
        <w:rPr>
          <w:sz w:val="24"/>
          <w:szCs w:val="24"/>
        </w:rPr>
        <w:t xml:space="preserve"> extended</w:t>
      </w:r>
      <w:r w:rsidRPr="00DD7D76">
        <w:rPr>
          <w:sz w:val="24"/>
          <w:szCs w:val="24"/>
        </w:rPr>
        <w:t xml:space="preserve"> to February 15, 2021.  </w:t>
      </w:r>
    </w:p>
    <w:p w14:paraId="3B16194C" w14:textId="6013FDD6" w:rsidR="00E327D8" w:rsidRPr="00DD7D76" w:rsidRDefault="00513027" w:rsidP="00C22244">
      <w:pPr>
        <w:pStyle w:val="ListParagraph"/>
        <w:numPr>
          <w:ilvl w:val="0"/>
          <w:numId w:val="18"/>
        </w:numPr>
        <w:tabs>
          <w:tab w:val="left" w:pos="8460"/>
        </w:tabs>
        <w:ind w:left="1080"/>
        <w:rPr>
          <w:sz w:val="24"/>
          <w:szCs w:val="24"/>
        </w:rPr>
      </w:pPr>
      <w:r w:rsidRPr="00DD7D76">
        <w:rPr>
          <w:sz w:val="24"/>
          <w:szCs w:val="24"/>
        </w:rPr>
        <w:t>The date for the semi-annual report due on January 15, 2021 is</w:t>
      </w:r>
      <w:r w:rsidR="003E2600" w:rsidRPr="00DD7D76">
        <w:rPr>
          <w:sz w:val="24"/>
          <w:szCs w:val="24"/>
        </w:rPr>
        <w:t xml:space="preserve"> extended</w:t>
      </w:r>
      <w:r w:rsidRPr="00DD7D76">
        <w:rPr>
          <w:sz w:val="24"/>
          <w:szCs w:val="24"/>
        </w:rPr>
        <w:t xml:space="preserve"> to March 15, 2021.  </w:t>
      </w:r>
    </w:p>
    <w:p w14:paraId="0B306B45" w14:textId="77777777" w:rsidR="00263357" w:rsidRDefault="00263357" w:rsidP="00C22244">
      <w:pPr>
        <w:tabs>
          <w:tab w:val="left" w:pos="8460"/>
        </w:tabs>
        <w:ind w:firstLine="720"/>
        <w:rPr>
          <w:sz w:val="24"/>
          <w:szCs w:val="24"/>
        </w:rPr>
      </w:pPr>
    </w:p>
    <w:p w14:paraId="3B7AE59C" w14:textId="77777777" w:rsidR="00263357" w:rsidRDefault="00263357" w:rsidP="00C22244">
      <w:pPr>
        <w:tabs>
          <w:tab w:val="left" w:pos="8460"/>
        </w:tabs>
        <w:ind w:firstLine="720"/>
        <w:rPr>
          <w:sz w:val="24"/>
          <w:szCs w:val="24"/>
        </w:rPr>
      </w:pPr>
    </w:p>
    <w:p w14:paraId="1DD3DC09" w14:textId="77777777" w:rsidR="00263357" w:rsidRDefault="00263357" w:rsidP="00C22244">
      <w:pPr>
        <w:tabs>
          <w:tab w:val="left" w:pos="8460"/>
        </w:tabs>
        <w:ind w:firstLine="720"/>
        <w:rPr>
          <w:sz w:val="24"/>
          <w:szCs w:val="24"/>
        </w:rPr>
      </w:pPr>
    </w:p>
    <w:p w14:paraId="01C35B8A" w14:textId="77777777" w:rsidR="00263357" w:rsidRDefault="00263357" w:rsidP="00C22244">
      <w:pPr>
        <w:tabs>
          <w:tab w:val="left" w:pos="8460"/>
        </w:tabs>
        <w:ind w:firstLine="720"/>
        <w:rPr>
          <w:sz w:val="24"/>
          <w:szCs w:val="24"/>
        </w:rPr>
      </w:pPr>
    </w:p>
    <w:p w14:paraId="6D3E96B4" w14:textId="77777777" w:rsidR="00263357" w:rsidRDefault="00263357" w:rsidP="00C22244">
      <w:pPr>
        <w:tabs>
          <w:tab w:val="left" w:pos="8460"/>
        </w:tabs>
        <w:ind w:firstLine="720"/>
        <w:rPr>
          <w:sz w:val="24"/>
          <w:szCs w:val="24"/>
        </w:rPr>
      </w:pPr>
    </w:p>
    <w:p w14:paraId="4C0AF958" w14:textId="77777777" w:rsidR="00263357" w:rsidRDefault="00263357" w:rsidP="00C22244">
      <w:pPr>
        <w:tabs>
          <w:tab w:val="left" w:pos="8460"/>
        </w:tabs>
        <w:ind w:firstLine="720"/>
        <w:rPr>
          <w:sz w:val="24"/>
          <w:szCs w:val="24"/>
        </w:rPr>
      </w:pPr>
    </w:p>
    <w:p w14:paraId="65024D09" w14:textId="77777777" w:rsidR="00263357" w:rsidRDefault="00263357" w:rsidP="00C22244">
      <w:pPr>
        <w:tabs>
          <w:tab w:val="left" w:pos="8460"/>
        </w:tabs>
        <w:ind w:firstLine="720"/>
        <w:rPr>
          <w:sz w:val="24"/>
          <w:szCs w:val="24"/>
        </w:rPr>
      </w:pPr>
    </w:p>
    <w:p w14:paraId="01D7444D" w14:textId="77777777" w:rsidR="00263357" w:rsidRDefault="00263357" w:rsidP="00C22244">
      <w:pPr>
        <w:tabs>
          <w:tab w:val="left" w:pos="8460"/>
        </w:tabs>
        <w:ind w:firstLine="720"/>
        <w:rPr>
          <w:sz w:val="24"/>
          <w:szCs w:val="24"/>
        </w:rPr>
      </w:pPr>
    </w:p>
    <w:p w14:paraId="27D0B357" w14:textId="77777777" w:rsidR="00263357" w:rsidRDefault="00263357" w:rsidP="00C22244">
      <w:pPr>
        <w:tabs>
          <w:tab w:val="left" w:pos="8460"/>
        </w:tabs>
        <w:ind w:firstLine="720"/>
        <w:rPr>
          <w:sz w:val="24"/>
          <w:szCs w:val="24"/>
        </w:rPr>
      </w:pPr>
    </w:p>
    <w:p w14:paraId="2D637E4C" w14:textId="77777777" w:rsidR="00263357" w:rsidRDefault="00263357" w:rsidP="00C22244">
      <w:pPr>
        <w:tabs>
          <w:tab w:val="left" w:pos="8460"/>
        </w:tabs>
        <w:ind w:firstLine="720"/>
        <w:rPr>
          <w:sz w:val="24"/>
          <w:szCs w:val="24"/>
        </w:rPr>
      </w:pPr>
    </w:p>
    <w:p w14:paraId="22D97E93" w14:textId="77777777" w:rsidR="00263357" w:rsidRDefault="00263357" w:rsidP="00C22244">
      <w:pPr>
        <w:tabs>
          <w:tab w:val="left" w:pos="8460"/>
        </w:tabs>
        <w:ind w:firstLine="720"/>
        <w:rPr>
          <w:sz w:val="24"/>
          <w:szCs w:val="24"/>
        </w:rPr>
      </w:pPr>
    </w:p>
    <w:p w14:paraId="1325DBE4" w14:textId="77777777" w:rsidR="00263357" w:rsidRDefault="00263357" w:rsidP="00C22244">
      <w:pPr>
        <w:tabs>
          <w:tab w:val="left" w:pos="8460"/>
        </w:tabs>
        <w:ind w:firstLine="720"/>
        <w:rPr>
          <w:sz w:val="24"/>
          <w:szCs w:val="24"/>
        </w:rPr>
      </w:pPr>
    </w:p>
    <w:p w14:paraId="517DCF5E" w14:textId="77777777" w:rsidR="00263357" w:rsidRDefault="00263357" w:rsidP="00C22244">
      <w:pPr>
        <w:tabs>
          <w:tab w:val="left" w:pos="8460"/>
        </w:tabs>
        <w:ind w:firstLine="720"/>
        <w:rPr>
          <w:sz w:val="24"/>
          <w:szCs w:val="24"/>
        </w:rPr>
      </w:pPr>
    </w:p>
    <w:p w14:paraId="361539CA" w14:textId="2E71740C" w:rsidR="000A0340" w:rsidRPr="00DD7D76" w:rsidRDefault="000A0340" w:rsidP="00C22244">
      <w:pPr>
        <w:tabs>
          <w:tab w:val="left" w:pos="8460"/>
        </w:tabs>
        <w:ind w:firstLine="720"/>
        <w:rPr>
          <w:iCs/>
          <w:sz w:val="24"/>
          <w:szCs w:val="24"/>
        </w:rPr>
      </w:pPr>
      <w:r w:rsidRPr="00DD7D76">
        <w:rPr>
          <w:iCs/>
          <w:sz w:val="24"/>
          <w:szCs w:val="24"/>
        </w:rPr>
        <w:t xml:space="preserve">If you </w:t>
      </w:r>
      <w:r w:rsidR="00C22244" w:rsidRPr="00DD7D76">
        <w:rPr>
          <w:iCs/>
          <w:sz w:val="24"/>
          <w:szCs w:val="24"/>
        </w:rPr>
        <w:t>have questions concerning the extension of the</w:t>
      </w:r>
      <w:r w:rsidR="00505C33">
        <w:rPr>
          <w:iCs/>
          <w:sz w:val="24"/>
          <w:szCs w:val="24"/>
        </w:rPr>
        <w:t xml:space="preserve"> above referenced</w:t>
      </w:r>
      <w:r w:rsidR="00C22244" w:rsidRPr="00DD7D76">
        <w:rPr>
          <w:iCs/>
          <w:sz w:val="24"/>
          <w:szCs w:val="24"/>
        </w:rPr>
        <w:t xml:space="preserve"> deadlines, please contact Darren</w:t>
      </w:r>
      <w:r w:rsidR="00505C33">
        <w:rPr>
          <w:iCs/>
          <w:sz w:val="24"/>
          <w:szCs w:val="24"/>
        </w:rPr>
        <w:t xml:space="preserve"> D.</w:t>
      </w:r>
      <w:r w:rsidR="00C22244" w:rsidRPr="00DD7D76">
        <w:rPr>
          <w:iCs/>
          <w:sz w:val="24"/>
          <w:szCs w:val="24"/>
        </w:rPr>
        <w:t xml:space="preserve"> Gill, Deputy Director, Technical Utility Services at </w:t>
      </w:r>
      <w:hyperlink r:id="rId12" w:history="1">
        <w:r w:rsidR="00C22244" w:rsidRPr="00DD7D76">
          <w:rPr>
            <w:rStyle w:val="Hyperlink"/>
            <w:iCs/>
            <w:sz w:val="24"/>
            <w:szCs w:val="24"/>
          </w:rPr>
          <w:t>dgill@pa.gov</w:t>
        </w:r>
      </w:hyperlink>
      <w:r w:rsidR="00C22244" w:rsidRPr="00DD7D76">
        <w:rPr>
          <w:iCs/>
          <w:sz w:val="24"/>
          <w:szCs w:val="24"/>
        </w:rPr>
        <w:t>.</w:t>
      </w:r>
    </w:p>
    <w:p w14:paraId="3B6C8D02" w14:textId="77777777" w:rsidR="00C22244" w:rsidRPr="00DD7D76" w:rsidRDefault="00C22244" w:rsidP="00C22244">
      <w:pPr>
        <w:tabs>
          <w:tab w:val="left" w:pos="8460"/>
        </w:tabs>
        <w:ind w:firstLine="720"/>
        <w:rPr>
          <w:iCs/>
          <w:sz w:val="24"/>
          <w:szCs w:val="24"/>
        </w:rPr>
      </w:pPr>
    </w:p>
    <w:p w14:paraId="53CE8D72" w14:textId="77777777" w:rsidR="000A0340" w:rsidRPr="00DD7D76" w:rsidRDefault="000A0340" w:rsidP="0076001A">
      <w:pPr>
        <w:ind w:firstLine="720"/>
        <w:rPr>
          <w:sz w:val="24"/>
          <w:szCs w:val="24"/>
        </w:rPr>
      </w:pPr>
    </w:p>
    <w:p w14:paraId="60CABB2B" w14:textId="0F8B91B9" w:rsidR="005C0702" w:rsidRPr="00DD7D76" w:rsidRDefault="005C0702" w:rsidP="005C0702">
      <w:pPr>
        <w:rPr>
          <w:sz w:val="24"/>
          <w:szCs w:val="24"/>
        </w:rPr>
      </w:pPr>
      <w:r w:rsidRPr="00DD7D76">
        <w:rPr>
          <w:sz w:val="24"/>
          <w:szCs w:val="24"/>
        </w:rPr>
        <w:tab/>
      </w:r>
    </w:p>
    <w:p w14:paraId="4A413202" w14:textId="4F27F4FF" w:rsidR="005C0702" w:rsidRPr="00DD7D76" w:rsidRDefault="00AC348B" w:rsidP="005C0702">
      <w:pPr>
        <w:tabs>
          <w:tab w:val="left" w:pos="2940"/>
        </w:tabs>
        <w:ind w:firstLine="720"/>
        <w:rPr>
          <w:sz w:val="24"/>
          <w:szCs w:val="24"/>
        </w:rPr>
      </w:pPr>
      <w:bookmarkStart w:id="1" w:name="_GoBack"/>
      <w:r w:rsidRPr="009F01BA">
        <w:rPr>
          <w:b/>
          <w:noProof/>
        </w:rPr>
        <w:drawing>
          <wp:anchor distT="0" distB="0" distL="114300" distR="114300" simplePos="0" relativeHeight="251659264" behindDoc="1" locked="0" layoutInCell="1" allowOverlap="1" wp14:anchorId="3ECE1660" wp14:editId="79A6EBEB">
            <wp:simplePos x="0" y="0"/>
            <wp:positionH relativeFrom="column">
              <wp:posOffset>3048000</wp:posOffset>
            </wp:positionH>
            <wp:positionV relativeFrom="paragraph">
              <wp:posOffset>31750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1"/>
      <w:r w:rsidR="005C0702" w:rsidRPr="00DD7D76">
        <w:rPr>
          <w:sz w:val="24"/>
          <w:szCs w:val="24"/>
        </w:rPr>
        <w:tab/>
      </w:r>
      <w:r w:rsidR="005C0702" w:rsidRPr="00DD7D76">
        <w:rPr>
          <w:sz w:val="24"/>
          <w:szCs w:val="24"/>
        </w:rPr>
        <w:tab/>
      </w:r>
      <w:r w:rsidR="005C0702" w:rsidRPr="00DD7D76">
        <w:rPr>
          <w:sz w:val="24"/>
          <w:szCs w:val="24"/>
        </w:rPr>
        <w:tab/>
      </w:r>
      <w:r w:rsidR="005C0702" w:rsidRPr="00DD7D76">
        <w:rPr>
          <w:sz w:val="24"/>
          <w:szCs w:val="24"/>
        </w:rPr>
        <w:tab/>
        <w:t>Sincerely,</w:t>
      </w:r>
    </w:p>
    <w:p w14:paraId="4228409C" w14:textId="1604BF34" w:rsidR="005C0702" w:rsidRPr="00DD7D76" w:rsidRDefault="005C0702" w:rsidP="005C0702">
      <w:pPr>
        <w:tabs>
          <w:tab w:val="left" w:pos="2940"/>
        </w:tabs>
        <w:ind w:firstLine="720"/>
        <w:rPr>
          <w:sz w:val="24"/>
          <w:szCs w:val="24"/>
        </w:rPr>
      </w:pPr>
    </w:p>
    <w:p w14:paraId="73FCC244" w14:textId="42B5ABF4" w:rsidR="00C22244" w:rsidRPr="00DD7D76" w:rsidRDefault="00C22244" w:rsidP="005C0702">
      <w:pPr>
        <w:tabs>
          <w:tab w:val="left" w:pos="2940"/>
        </w:tabs>
        <w:ind w:firstLine="720"/>
        <w:rPr>
          <w:sz w:val="24"/>
          <w:szCs w:val="24"/>
        </w:rPr>
      </w:pPr>
    </w:p>
    <w:p w14:paraId="4E929638" w14:textId="77777777" w:rsidR="00C22244" w:rsidRPr="00DD7D76" w:rsidRDefault="00C22244" w:rsidP="005C0702">
      <w:pPr>
        <w:tabs>
          <w:tab w:val="left" w:pos="2940"/>
        </w:tabs>
        <w:ind w:firstLine="720"/>
        <w:rPr>
          <w:sz w:val="24"/>
          <w:szCs w:val="24"/>
        </w:rPr>
      </w:pPr>
    </w:p>
    <w:p w14:paraId="563778BA" w14:textId="64B802F1" w:rsidR="000A0340" w:rsidRPr="00DD7D76" w:rsidRDefault="005C0702" w:rsidP="005C0702">
      <w:pPr>
        <w:tabs>
          <w:tab w:val="left" w:pos="2940"/>
        </w:tabs>
        <w:ind w:firstLine="720"/>
        <w:rPr>
          <w:sz w:val="24"/>
          <w:szCs w:val="24"/>
        </w:rPr>
      </w:pPr>
      <w:r w:rsidRPr="00DD7D76">
        <w:rPr>
          <w:sz w:val="24"/>
          <w:szCs w:val="24"/>
        </w:rPr>
        <w:tab/>
      </w:r>
      <w:r w:rsidRPr="00DD7D76">
        <w:rPr>
          <w:sz w:val="24"/>
          <w:szCs w:val="24"/>
        </w:rPr>
        <w:tab/>
      </w:r>
      <w:r w:rsidRPr="00DD7D76">
        <w:rPr>
          <w:sz w:val="24"/>
          <w:szCs w:val="24"/>
        </w:rPr>
        <w:tab/>
      </w:r>
      <w:r w:rsidRPr="00DD7D76">
        <w:rPr>
          <w:sz w:val="24"/>
          <w:szCs w:val="24"/>
        </w:rPr>
        <w:tab/>
      </w:r>
      <w:r w:rsidR="00C22244" w:rsidRPr="00DD7D76">
        <w:rPr>
          <w:sz w:val="24"/>
          <w:szCs w:val="24"/>
        </w:rPr>
        <w:t>Rosemary Chiavetta</w:t>
      </w:r>
    </w:p>
    <w:p w14:paraId="1E2AC9F7" w14:textId="5D5915D4" w:rsidR="000A0340" w:rsidRPr="00DD7D76" w:rsidRDefault="000A0340" w:rsidP="005C0702">
      <w:pPr>
        <w:tabs>
          <w:tab w:val="left" w:pos="2940"/>
        </w:tabs>
        <w:ind w:firstLine="720"/>
        <w:rPr>
          <w:sz w:val="24"/>
          <w:szCs w:val="24"/>
        </w:rPr>
      </w:pPr>
      <w:r w:rsidRPr="00DD7D76">
        <w:rPr>
          <w:sz w:val="24"/>
          <w:szCs w:val="24"/>
        </w:rPr>
        <w:tab/>
      </w:r>
      <w:r w:rsidRPr="00DD7D76">
        <w:rPr>
          <w:sz w:val="24"/>
          <w:szCs w:val="24"/>
        </w:rPr>
        <w:tab/>
      </w:r>
      <w:r w:rsidRPr="00DD7D76">
        <w:rPr>
          <w:sz w:val="24"/>
          <w:szCs w:val="24"/>
        </w:rPr>
        <w:tab/>
      </w:r>
      <w:r w:rsidRPr="00DD7D76">
        <w:rPr>
          <w:sz w:val="24"/>
          <w:szCs w:val="24"/>
        </w:rPr>
        <w:tab/>
      </w:r>
      <w:r w:rsidR="00C22244" w:rsidRPr="00DD7D76">
        <w:rPr>
          <w:sz w:val="24"/>
          <w:szCs w:val="24"/>
        </w:rPr>
        <w:t>Secretary</w:t>
      </w:r>
    </w:p>
    <w:p w14:paraId="409F9447" w14:textId="4EE585C2" w:rsidR="000A0340" w:rsidRPr="00DD7D76" w:rsidRDefault="000A0340" w:rsidP="000A0340">
      <w:pPr>
        <w:tabs>
          <w:tab w:val="left" w:pos="5040"/>
        </w:tabs>
        <w:ind w:firstLine="720"/>
        <w:rPr>
          <w:sz w:val="24"/>
          <w:szCs w:val="24"/>
        </w:rPr>
      </w:pPr>
      <w:r w:rsidRPr="00DD7D76">
        <w:rPr>
          <w:sz w:val="24"/>
          <w:szCs w:val="24"/>
        </w:rPr>
        <w:tab/>
      </w:r>
    </w:p>
    <w:p w14:paraId="6B73B8C5" w14:textId="349B811D" w:rsidR="000A0340" w:rsidRDefault="000A0340" w:rsidP="000A0340">
      <w:pPr>
        <w:tabs>
          <w:tab w:val="left" w:pos="5040"/>
        </w:tabs>
        <w:ind w:firstLine="720"/>
        <w:rPr>
          <w:sz w:val="24"/>
          <w:szCs w:val="24"/>
        </w:rPr>
      </w:pPr>
    </w:p>
    <w:p w14:paraId="4CB5100C" w14:textId="2FC5A0C0" w:rsidR="00997875" w:rsidRPr="00DD7D76" w:rsidRDefault="001E3D1D" w:rsidP="000A0340">
      <w:pPr>
        <w:tabs>
          <w:tab w:val="left" w:pos="5040"/>
        </w:tabs>
        <w:ind w:firstLine="720"/>
        <w:rPr>
          <w:sz w:val="24"/>
          <w:szCs w:val="24"/>
        </w:rPr>
      </w:pPr>
      <w:r>
        <w:rPr>
          <w:sz w:val="24"/>
          <w:szCs w:val="24"/>
        </w:rPr>
        <w:t>cc:  Act 129 Stakeholders</w:t>
      </w:r>
    </w:p>
    <w:sectPr w:rsidR="00997875" w:rsidRPr="00DD7D76" w:rsidSect="004B781B">
      <w:footerReference w:type="even" r:id="rId14"/>
      <w:footerReference w:type="default" r:id="rId15"/>
      <w:footerReference w:type="first" r:id="rId16"/>
      <w:pgSz w:w="12240" w:h="15840"/>
      <w:pgMar w:top="432" w:right="1440" w:bottom="144"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13910" w14:textId="77777777" w:rsidR="005442E6" w:rsidRDefault="005442E6">
      <w:r>
        <w:separator/>
      </w:r>
    </w:p>
  </w:endnote>
  <w:endnote w:type="continuationSeparator" w:id="0">
    <w:p w14:paraId="09C456FC" w14:textId="77777777" w:rsidR="005442E6" w:rsidRDefault="00544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681C4" w14:textId="77777777" w:rsidR="00675A36" w:rsidRDefault="00675A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AED12D2" w14:textId="77777777" w:rsidR="00675A36" w:rsidRDefault="00675A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812345"/>
      <w:docPartObj>
        <w:docPartGallery w:val="Page Numbers (Bottom of Page)"/>
        <w:docPartUnique/>
      </w:docPartObj>
    </w:sdtPr>
    <w:sdtEndPr/>
    <w:sdtContent>
      <w:p w14:paraId="56A23136" w14:textId="715A7308" w:rsidR="00675A36" w:rsidRDefault="00675A36">
        <w:pPr>
          <w:pStyle w:val="Footer"/>
          <w:jc w:val="center"/>
        </w:pPr>
        <w:r w:rsidRPr="00AD0A9B">
          <w:rPr>
            <w:sz w:val="26"/>
            <w:szCs w:val="26"/>
          </w:rPr>
          <w:fldChar w:fldCharType="begin"/>
        </w:r>
        <w:r w:rsidRPr="00AD0A9B">
          <w:rPr>
            <w:sz w:val="26"/>
            <w:szCs w:val="26"/>
          </w:rPr>
          <w:instrText xml:space="preserve"> PAGE   \* MERGEFORMAT </w:instrText>
        </w:r>
        <w:r w:rsidRPr="00AD0A9B">
          <w:rPr>
            <w:sz w:val="26"/>
            <w:szCs w:val="26"/>
          </w:rPr>
          <w:fldChar w:fldCharType="separate"/>
        </w:r>
        <w:r w:rsidR="00D007B9">
          <w:rPr>
            <w:noProof/>
            <w:sz w:val="26"/>
            <w:szCs w:val="26"/>
          </w:rPr>
          <w:t>4</w:t>
        </w:r>
        <w:r w:rsidRPr="00AD0A9B">
          <w:rPr>
            <w:sz w:val="26"/>
            <w:szCs w:val="26"/>
          </w:rPr>
          <w:fldChar w:fldCharType="end"/>
        </w:r>
      </w:p>
    </w:sdtContent>
  </w:sdt>
  <w:p w14:paraId="2746C919" w14:textId="77777777" w:rsidR="00675A36" w:rsidRDefault="00675A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63435" w14:textId="0C9B19A9" w:rsidR="00675A36" w:rsidRDefault="00675A36">
    <w:pPr>
      <w:pStyle w:val="Footer"/>
      <w:jc w:val="center"/>
    </w:pPr>
  </w:p>
  <w:p w14:paraId="2A1DD8AE" w14:textId="77777777" w:rsidR="00675A36" w:rsidRDefault="00675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CA5F9" w14:textId="77777777" w:rsidR="005442E6" w:rsidRDefault="005442E6">
      <w:r>
        <w:separator/>
      </w:r>
    </w:p>
  </w:footnote>
  <w:footnote w:type="continuationSeparator" w:id="0">
    <w:p w14:paraId="58E47421" w14:textId="77777777" w:rsidR="005442E6" w:rsidRDefault="005442E6">
      <w:r>
        <w:continuationSeparator/>
      </w:r>
    </w:p>
  </w:footnote>
  <w:footnote w:id="1">
    <w:p w14:paraId="2EA7A32F" w14:textId="77777777" w:rsidR="005C2F86" w:rsidRPr="00DD7D76" w:rsidRDefault="005C2F86" w:rsidP="005C2F86">
      <w:pPr>
        <w:pStyle w:val="FootnoteText"/>
        <w:rPr>
          <w:sz w:val="24"/>
          <w:szCs w:val="24"/>
        </w:rPr>
      </w:pPr>
      <w:r>
        <w:rPr>
          <w:rStyle w:val="FootnoteReference"/>
        </w:rPr>
        <w:footnoteRef/>
      </w:r>
      <w:r>
        <w:t xml:space="preserve"> </w:t>
      </w:r>
      <w:r w:rsidRPr="00DD7D76">
        <w:rPr>
          <w:sz w:val="24"/>
          <w:szCs w:val="24"/>
        </w:rPr>
        <w:t>http://www.puc.pa.gov/Electric/pdf/Act129/SWE_PhaseIII-Evaluation_Framework050818.pdf</w:t>
      </w:r>
    </w:p>
  </w:footnote>
  <w:footnote w:id="2">
    <w:p w14:paraId="7C2D0A31" w14:textId="257217CF" w:rsidR="003E2600" w:rsidRDefault="003E2600">
      <w:pPr>
        <w:pStyle w:val="FootnoteText"/>
      </w:pPr>
      <w:r>
        <w:rPr>
          <w:rStyle w:val="FootnoteReference"/>
        </w:rPr>
        <w:footnoteRef/>
      </w:r>
      <w:r>
        <w:rPr>
          <w:sz w:val="26"/>
          <w:szCs w:val="26"/>
        </w:rPr>
        <w:t xml:space="preserve"> </w:t>
      </w:r>
      <w:r w:rsidRPr="00DD7D76">
        <w:rPr>
          <w:sz w:val="24"/>
          <w:szCs w:val="24"/>
        </w:rPr>
        <w:t>Docket No. M-2014-2424864</w:t>
      </w:r>
      <w:r>
        <w:rPr>
          <w:sz w:val="26"/>
          <w:szCs w:val="2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C84494"/>
    <w:multiLevelType w:val="hybridMultilevel"/>
    <w:tmpl w:val="DA34B596"/>
    <w:lvl w:ilvl="0" w:tplc="E88284D8">
      <w:start w:val="2"/>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084A54"/>
    <w:multiLevelType w:val="hybridMultilevel"/>
    <w:tmpl w:val="3886EC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36671FE"/>
    <w:multiLevelType w:val="hybridMultilevel"/>
    <w:tmpl w:val="9AF4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F0594F"/>
    <w:multiLevelType w:val="hybridMultilevel"/>
    <w:tmpl w:val="E61E9D5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9" w15:restartNumberingAfterBreak="0">
    <w:nsid w:val="53441FD4"/>
    <w:multiLevelType w:val="hybridMultilevel"/>
    <w:tmpl w:val="E6FE291C"/>
    <w:lvl w:ilvl="0" w:tplc="7B667F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296FBA"/>
    <w:multiLevelType w:val="hybridMultilevel"/>
    <w:tmpl w:val="D66ECE68"/>
    <w:lvl w:ilvl="0" w:tplc="F134EA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06A7536"/>
    <w:multiLevelType w:val="hybridMultilevel"/>
    <w:tmpl w:val="A0E03122"/>
    <w:lvl w:ilvl="0" w:tplc="62FCDC20">
      <w:start w:val="1"/>
      <w:numFmt w:val="decimal"/>
      <w:lvlText w:val="%1."/>
      <w:lvlJc w:val="left"/>
      <w:pPr>
        <w:tabs>
          <w:tab w:val="num" w:pos="1080"/>
        </w:tabs>
        <w:ind w:left="1080" w:hanging="720"/>
      </w:pPr>
      <w:rPr>
        <w:sz w:val="26"/>
        <w:szCs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73DC0078"/>
    <w:multiLevelType w:val="hybridMultilevel"/>
    <w:tmpl w:val="0594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1"/>
  </w:num>
  <w:num w:numId="3">
    <w:abstractNumId w:val="3"/>
  </w:num>
  <w:num w:numId="4">
    <w:abstractNumId w:val="6"/>
  </w:num>
  <w:num w:numId="5">
    <w:abstractNumId w:val="15"/>
  </w:num>
  <w:num w:numId="6">
    <w:abstractNumId w:val="5"/>
  </w:num>
  <w:num w:numId="7">
    <w:abstractNumId w:val="16"/>
  </w:num>
  <w:num w:numId="8">
    <w:abstractNumId w:val="14"/>
  </w:num>
  <w:num w:numId="9">
    <w:abstractNumId w:val="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 w:numId="14">
    <w:abstractNumId w:val="7"/>
  </w:num>
  <w:num w:numId="15">
    <w:abstractNumId w:val="13"/>
  </w:num>
  <w:num w:numId="16">
    <w:abstractNumId w:val="4"/>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0221E"/>
    <w:rsid w:val="000032F0"/>
    <w:rsid w:val="00016C43"/>
    <w:rsid w:val="00021147"/>
    <w:rsid w:val="00025E21"/>
    <w:rsid w:val="00026B9B"/>
    <w:rsid w:val="000315CB"/>
    <w:rsid w:val="00031795"/>
    <w:rsid w:val="000365FA"/>
    <w:rsid w:val="0004733A"/>
    <w:rsid w:val="00080F02"/>
    <w:rsid w:val="000A0340"/>
    <w:rsid w:val="000A3296"/>
    <w:rsid w:val="000A3305"/>
    <w:rsid w:val="000A4073"/>
    <w:rsid w:val="000A711E"/>
    <w:rsid w:val="000C0BE0"/>
    <w:rsid w:val="000C7752"/>
    <w:rsid w:val="000D54BC"/>
    <w:rsid w:val="000E077B"/>
    <w:rsid w:val="000E0C0D"/>
    <w:rsid w:val="000F4632"/>
    <w:rsid w:val="000F5F50"/>
    <w:rsid w:val="001023B1"/>
    <w:rsid w:val="001048C8"/>
    <w:rsid w:val="00111D7A"/>
    <w:rsid w:val="001177FE"/>
    <w:rsid w:val="001209F1"/>
    <w:rsid w:val="00121CB7"/>
    <w:rsid w:val="00126434"/>
    <w:rsid w:val="00126702"/>
    <w:rsid w:val="00134A78"/>
    <w:rsid w:val="00142748"/>
    <w:rsid w:val="00146EB6"/>
    <w:rsid w:val="0015126D"/>
    <w:rsid w:val="001549DC"/>
    <w:rsid w:val="00157E50"/>
    <w:rsid w:val="0016279C"/>
    <w:rsid w:val="00162D58"/>
    <w:rsid w:val="00163A25"/>
    <w:rsid w:val="001903AE"/>
    <w:rsid w:val="0019420D"/>
    <w:rsid w:val="0019426D"/>
    <w:rsid w:val="00195546"/>
    <w:rsid w:val="001964F0"/>
    <w:rsid w:val="001A2DCD"/>
    <w:rsid w:val="001A4102"/>
    <w:rsid w:val="001B03CF"/>
    <w:rsid w:val="001B19BE"/>
    <w:rsid w:val="001B2C6D"/>
    <w:rsid w:val="001B4DA3"/>
    <w:rsid w:val="001C1DE8"/>
    <w:rsid w:val="001C1EAD"/>
    <w:rsid w:val="001D472F"/>
    <w:rsid w:val="001E1183"/>
    <w:rsid w:val="001E1BF3"/>
    <w:rsid w:val="001E3A60"/>
    <w:rsid w:val="001E3D1D"/>
    <w:rsid w:val="001F7863"/>
    <w:rsid w:val="002008CA"/>
    <w:rsid w:val="002027E7"/>
    <w:rsid w:val="00204EB9"/>
    <w:rsid w:val="00207EA8"/>
    <w:rsid w:val="00213CF6"/>
    <w:rsid w:val="002229C3"/>
    <w:rsid w:val="0022352E"/>
    <w:rsid w:val="00226AB7"/>
    <w:rsid w:val="002326FD"/>
    <w:rsid w:val="00234866"/>
    <w:rsid w:val="002354E1"/>
    <w:rsid w:val="0024302D"/>
    <w:rsid w:val="00252702"/>
    <w:rsid w:val="00260281"/>
    <w:rsid w:val="00262916"/>
    <w:rsid w:val="00263357"/>
    <w:rsid w:val="002744D7"/>
    <w:rsid w:val="002874B9"/>
    <w:rsid w:val="00292CA8"/>
    <w:rsid w:val="0029471C"/>
    <w:rsid w:val="002A0248"/>
    <w:rsid w:val="002A0616"/>
    <w:rsid w:val="002A2B4A"/>
    <w:rsid w:val="002A43DC"/>
    <w:rsid w:val="002A502C"/>
    <w:rsid w:val="002B0543"/>
    <w:rsid w:val="002B074B"/>
    <w:rsid w:val="002B1085"/>
    <w:rsid w:val="002B37D7"/>
    <w:rsid w:val="002B618E"/>
    <w:rsid w:val="002B749C"/>
    <w:rsid w:val="002C22DE"/>
    <w:rsid w:val="002C4503"/>
    <w:rsid w:val="002C7D3E"/>
    <w:rsid w:val="002D1E8E"/>
    <w:rsid w:val="002E5DCD"/>
    <w:rsid w:val="002F0138"/>
    <w:rsid w:val="0030231F"/>
    <w:rsid w:val="003049AB"/>
    <w:rsid w:val="00307364"/>
    <w:rsid w:val="00310263"/>
    <w:rsid w:val="003106B5"/>
    <w:rsid w:val="00312E87"/>
    <w:rsid w:val="00325403"/>
    <w:rsid w:val="0033629F"/>
    <w:rsid w:val="003500F4"/>
    <w:rsid w:val="00352350"/>
    <w:rsid w:val="003569E8"/>
    <w:rsid w:val="00361704"/>
    <w:rsid w:val="00366267"/>
    <w:rsid w:val="00366ACD"/>
    <w:rsid w:val="00372127"/>
    <w:rsid w:val="00374D2E"/>
    <w:rsid w:val="00382901"/>
    <w:rsid w:val="003878A0"/>
    <w:rsid w:val="003950B1"/>
    <w:rsid w:val="003A29FB"/>
    <w:rsid w:val="003A6101"/>
    <w:rsid w:val="003B4AA9"/>
    <w:rsid w:val="003E2600"/>
    <w:rsid w:val="003E71CE"/>
    <w:rsid w:val="003E7239"/>
    <w:rsid w:val="003F2A2C"/>
    <w:rsid w:val="003F79A7"/>
    <w:rsid w:val="00404133"/>
    <w:rsid w:val="00410583"/>
    <w:rsid w:val="00413702"/>
    <w:rsid w:val="00423966"/>
    <w:rsid w:val="00427AD9"/>
    <w:rsid w:val="00432CFE"/>
    <w:rsid w:val="00435AEB"/>
    <w:rsid w:val="00442D19"/>
    <w:rsid w:val="00447966"/>
    <w:rsid w:val="00450096"/>
    <w:rsid w:val="0046411C"/>
    <w:rsid w:val="0046748B"/>
    <w:rsid w:val="00467782"/>
    <w:rsid w:val="00472043"/>
    <w:rsid w:val="004766EE"/>
    <w:rsid w:val="00480531"/>
    <w:rsid w:val="0048238B"/>
    <w:rsid w:val="004847AA"/>
    <w:rsid w:val="00495793"/>
    <w:rsid w:val="00495FC5"/>
    <w:rsid w:val="00496CEF"/>
    <w:rsid w:val="004A4AAE"/>
    <w:rsid w:val="004A5F4E"/>
    <w:rsid w:val="004B07D2"/>
    <w:rsid w:val="004B42D3"/>
    <w:rsid w:val="004B61C1"/>
    <w:rsid w:val="004B7303"/>
    <w:rsid w:val="004B781B"/>
    <w:rsid w:val="004D211E"/>
    <w:rsid w:val="004D2698"/>
    <w:rsid w:val="004F2077"/>
    <w:rsid w:val="004F65D4"/>
    <w:rsid w:val="004F7B06"/>
    <w:rsid w:val="0050362A"/>
    <w:rsid w:val="00505C33"/>
    <w:rsid w:val="00513027"/>
    <w:rsid w:val="005138E9"/>
    <w:rsid w:val="0051639C"/>
    <w:rsid w:val="0052665A"/>
    <w:rsid w:val="0053714C"/>
    <w:rsid w:val="00541DB3"/>
    <w:rsid w:val="005424F7"/>
    <w:rsid w:val="005442E6"/>
    <w:rsid w:val="00550852"/>
    <w:rsid w:val="00553472"/>
    <w:rsid w:val="00557565"/>
    <w:rsid w:val="00567746"/>
    <w:rsid w:val="0057207C"/>
    <w:rsid w:val="0057487F"/>
    <w:rsid w:val="00575806"/>
    <w:rsid w:val="00577F82"/>
    <w:rsid w:val="00590DCB"/>
    <w:rsid w:val="005B0327"/>
    <w:rsid w:val="005B6857"/>
    <w:rsid w:val="005B7295"/>
    <w:rsid w:val="005C0702"/>
    <w:rsid w:val="005C2839"/>
    <w:rsid w:val="005C2F86"/>
    <w:rsid w:val="005D0ED6"/>
    <w:rsid w:val="005D128C"/>
    <w:rsid w:val="005E25C5"/>
    <w:rsid w:val="005E5C1E"/>
    <w:rsid w:val="005E6945"/>
    <w:rsid w:val="00602573"/>
    <w:rsid w:val="00605084"/>
    <w:rsid w:val="00617CEC"/>
    <w:rsid w:val="00635221"/>
    <w:rsid w:val="006354F1"/>
    <w:rsid w:val="00637D4C"/>
    <w:rsid w:val="006538B5"/>
    <w:rsid w:val="00660BB0"/>
    <w:rsid w:val="006659D1"/>
    <w:rsid w:val="006678F2"/>
    <w:rsid w:val="006755C0"/>
    <w:rsid w:val="00675A36"/>
    <w:rsid w:val="006843D3"/>
    <w:rsid w:val="00690685"/>
    <w:rsid w:val="00694301"/>
    <w:rsid w:val="00697209"/>
    <w:rsid w:val="006B307C"/>
    <w:rsid w:val="006B4889"/>
    <w:rsid w:val="006B773E"/>
    <w:rsid w:val="006C229E"/>
    <w:rsid w:val="006D4D50"/>
    <w:rsid w:val="006E00A9"/>
    <w:rsid w:val="006E7EF7"/>
    <w:rsid w:val="006F2A92"/>
    <w:rsid w:val="006F3888"/>
    <w:rsid w:val="006F4334"/>
    <w:rsid w:val="006F614A"/>
    <w:rsid w:val="00702D23"/>
    <w:rsid w:val="00710DBE"/>
    <w:rsid w:val="0071761F"/>
    <w:rsid w:val="00723893"/>
    <w:rsid w:val="00733109"/>
    <w:rsid w:val="00746F33"/>
    <w:rsid w:val="00750EF6"/>
    <w:rsid w:val="00751944"/>
    <w:rsid w:val="0076001A"/>
    <w:rsid w:val="007617B1"/>
    <w:rsid w:val="00774136"/>
    <w:rsid w:val="007762F7"/>
    <w:rsid w:val="00780868"/>
    <w:rsid w:val="00785B5A"/>
    <w:rsid w:val="0078658C"/>
    <w:rsid w:val="0079022E"/>
    <w:rsid w:val="007956C8"/>
    <w:rsid w:val="00797517"/>
    <w:rsid w:val="007979FC"/>
    <w:rsid w:val="007A3018"/>
    <w:rsid w:val="007A6882"/>
    <w:rsid w:val="007D6818"/>
    <w:rsid w:val="007E132D"/>
    <w:rsid w:val="007E3F38"/>
    <w:rsid w:val="007E5AA6"/>
    <w:rsid w:val="007E6ACB"/>
    <w:rsid w:val="007E770A"/>
    <w:rsid w:val="007F0050"/>
    <w:rsid w:val="00801FFC"/>
    <w:rsid w:val="0080690D"/>
    <w:rsid w:val="0081323E"/>
    <w:rsid w:val="00813B38"/>
    <w:rsid w:val="008147FF"/>
    <w:rsid w:val="008241DB"/>
    <w:rsid w:val="00831D49"/>
    <w:rsid w:val="008347FB"/>
    <w:rsid w:val="008427B0"/>
    <w:rsid w:val="00846A98"/>
    <w:rsid w:val="008553C0"/>
    <w:rsid w:val="008554B6"/>
    <w:rsid w:val="00861C3C"/>
    <w:rsid w:val="0086734B"/>
    <w:rsid w:val="0087327B"/>
    <w:rsid w:val="00881B7D"/>
    <w:rsid w:val="00883F51"/>
    <w:rsid w:val="008A7D5E"/>
    <w:rsid w:val="008C246C"/>
    <w:rsid w:val="008D2D06"/>
    <w:rsid w:val="009017A3"/>
    <w:rsid w:val="00902290"/>
    <w:rsid w:val="00902959"/>
    <w:rsid w:val="009070CE"/>
    <w:rsid w:val="00910C2F"/>
    <w:rsid w:val="00912AA8"/>
    <w:rsid w:val="009231E1"/>
    <w:rsid w:val="00934A9B"/>
    <w:rsid w:val="00935E57"/>
    <w:rsid w:val="00942E5E"/>
    <w:rsid w:val="00944B47"/>
    <w:rsid w:val="00945DEF"/>
    <w:rsid w:val="00946676"/>
    <w:rsid w:val="00952DD5"/>
    <w:rsid w:val="0095434D"/>
    <w:rsid w:val="00956274"/>
    <w:rsid w:val="00956778"/>
    <w:rsid w:val="0096632A"/>
    <w:rsid w:val="0097355D"/>
    <w:rsid w:val="00977B3F"/>
    <w:rsid w:val="0098524A"/>
    <w:rsid w:val="00997875"/>
    <w:rsid w:val="009A5243"/>
    <w:rsid w:val="009B11FA"/>
    <w:rsid w:val="009B23D8"/>
    <w:rsid w:val="009B63E1"/>
    <w:rsid w:val="009C3D18"/>
    <w:rsid w:val="009C571F"/>
    <w:rsid w:val="009D1A9E"/>
    <w:rsid w:val="009D1C20"/>
    <w:rsid w:val="009E28E0"/>
    <w:rsid w:val="009E40EC"/>
    <w:rsid w:val="009F5F66"/>
    <w:rsid w:val="00A0034F"/>
    <w:rsid w:val="00A01138"/>
    <w:rsid w:val="00A048AB"/>
    <w:rsid w:val="00A04C00"/>
    <w:rsid w:val="00A10A11"/>
    <w:rsid w:val="00A20C12"/>
    <w:rsid w:val="00A23417"/>
    <w:rsid w:val="00A254D2"/>
    <w:rsid w:val="00A374EE"/>
    <w:rsid w:val="00A42446"/>
    <w:rsid w:val="00A42B51"/>
    <w:rsid w:val="00A46963"/>
    <w:rsid w:val="00A5263D"/>
    <w:rsid w:val="00A72D60"/>
    <w:rsid w:val="00A735CA"/>
    <w:rsid w:val="00A74877"/>
    <w:rsid w:val="00A777B5"/>
    <w:rsid w:val="00A8103B"/>
    <w:rsid w:val="00A86012"/>
    <w:rsid w:val="00A94E60"/>
    <w:rsid w:val="00AA1AEC"/>
    <w:rsid w:val="00AA2E1B"/>
    <w:rsid w:val="00AA30E9"/>
    <w:rsid w:val="00AA55E0"/>
    <w:rsid w:val="00AB490E"/>
    <w:rsid w:val="00AB497F"/>
    <w:rsid w:val="00AB53D2"/>
    <w:rsid w:val="00AB57E2"/>
    <w:rsid w:val="00AC348B"/>
    <w:rsid w:val="00AD0506"/>
    <w:rsid w:val="00AD0A9B"/>
    <w:rsid w:val="00AE3480"/>
    <w:rsid w:val="00AF31D0"/>
    <w:rsid w:val="00B045F4"/>
    <w:rsid w:val="00B04B8D"/>
    <w:rsid w:val="00B11048"/>
    <w:rsid w:val="00B14362"/>
    <w:rsid w:val="00B23FFC"/>
    <w:rsid w:val="00B42512"/>
    <w:rsid w:val="00B43283"/>
    <w:rsid w:val="00B61CDD"/>
    <w:rsid w:val="00B8374F"/>
    <w:rsid w:val="00B95751"/>
    <w:rsid w:val="00B96337"/>
    <w:rsid w:val="00BB197A"/>
    <w:rsid w:val="00BB457F"/>
    <w:rsid w:val="00BB79A9"/>
    <w:rsid w:val="00BC68B5"/>
    <w:rsid w:val="00BC7E75"/>
    <w:rsid w:val="00BD08AE"/>
    <w:rsid w:val="00BD0DC6"/>
    <w:rsid w:val="00BD5A80"/>
    <w:rsid w:val="00BD600D"/>
    <w:rsid w:val="00BE4A72"/>
    <w:rsid w:val="00BE5119"/>
    <w:rsid w:val="00C07570"/>
    <w:rsid w:val="00C12EFD"/>
    <w:rsid w:val="00C22244"/>
    <w:rsid w:val="00C239BA"/>
    <w:rsid w:val="00C27A4E"/>
    <w:rsid w:val="00C3034E"/>
    <w:rsid w:val="00C34DCA"/>
    <w:rsid w:val="00C3654A"/>
    <w:rsid w:val="00C41119"/>
    <w:rsid w:val="00C45DCB"/>
    <w:rsid w:val="00C46EDA"/>
    <w:rsid w:val="00C52C3D"/>
    <w:rsid w:val="00C55BE6"/>
    <w:rsid w:val="00C74A51"/>
    <w:rsid w:val="00C75333"/>
    <w:rsid w:val="00C77F29"/>
    <w:rsid w:val="00C81C8C"/>
    <w:rsid w:val="00C90506"/>
    <w:rsid w:val="00C91890"/>
    <w:rsid w:val="00CA0D15"/>
    <w:rsid w:val="00CA2448"/>
    <w:rsid w:val="00CA358F"/>
    <w:rsid w:val="00CB23A5"/>
    <w:rsid w:val="00CB4CBF"/>
    <w:rsid w:val="00CB5738"/>
    <w:rsid w:val="00CB6113"/>
    <w:rsid w:val="00CC0368"/>
    <w:rsid w:val="00CD0FDC"/>
    <w:rsid w:val="00CD7B88"/>
    <w:rsid w:val="00CE17FF"/>
    <w:rsid w:val="00CE1EAB"/>
    <w:rsid w:val="00CE6BF6"/>
    <w:rsid w:val="00CF047C"/>
    <w:rsid w:val="00CF197F"/>
    <w:rsid w:val="00CF55DF"/>
    <w:rsid w:val="00D007B9"/>
    <w:rsid w:val="00D0471D"/>
    <w:rsid w:val="00D244B2"/>
    <w:rsid w:val="00D311A8"/>
    <w:rsid w:val="00D31A74"/>
    <w:rsid w:val="00D42DD3"/>
    <w:rsid w:val="00D4314E"/>
    <w:rsid w:val="00D47B25"/>
    <w:rsid w:val="00D47C63"/>
    <w:rsid w:val="00D5347E"/>
    <w:rsid w:val="00D53F6A"/>
    <w:rsid w:val="00D5472C"/>
    <w:rsid w:val="00D55A7A"/>
    <w:rsid w:val="00D62E64"/>
    <w:rsid w:val="00D67450"/>
    <w:rsid w:val="00D70922"/>
    <w:rsid w:val="00D776B8"/>
    <w:rsid w:val="00D77B80"/>
    <w:rsid w:val="00D83715"/>
    <w:rsid w:val="00D97A27"/>
    <w:rsid w:val="00DA41A4"/>
    <w:rsid w:val="00DB1C84"/>
    <w:rsid w:val="00DC06D2"/>
    <w:rsid w:val="00DC35D8"/>
    <w:rsid w:val="00DC7B54"/>
    <w:rsid w:val="00DD5A6B"/>
    <w:rsid w:val="00DD7D76"/>
    <w:rsid w:val="00E04593"/>
    <w:rsid w:val="00E061DE"/>
    <w:rsid w:val="00E120A7"/>
    <w:rsid w:val="00E12C37"/>
    <w:rsid w:val="00E23673"/>
    <w:rsid w:val="00E23926"/>
    <w:rsid w:val="00E327D8"/>
    <w:rsid w:val="00E341EF"/>
    <w:rsid w:val="00E349DA"/>
    <w:rsid w:val="00E41A9E"/>
    <w:rsid w:val="00E42E96"/>
    <w:rsid w:val="00E43A98"/>
    <w:rsid w:val="00E465EC"/>
    <w:rsid w:val="00E62236"/>
    <w:rsid w:val="00E62A81"/>
    <w:rsid w:val="00E67B87"/>
    <w:rsid w:val="00E70A5C"/>
    <w:rsid w:val="00E73061"/>
    <w:rsid w:val="00E7550F"/>
    <w:rsid w:val="00E77499"/>
    <w:rsid w:val="00E83E92"/>
    <w:rsid w:val="00EA3627"/>
    <w:rsid w:val="00EA4C08"/>
    <w:rsid w:val="00EB13A7"/>
    <w:rsid w:val="00EB2540"/>
    <w:rsid w:val="00EC246D"/>
    <w:rsid w:val="00EC75EB"/>
    <w:rsid w:val="00EC7D0E"/>
    <w:rsid w:val="00ED73CC"/>
    <w:rsid w:val="00F30887"/>
    <w:rsid w:val="00F3099A"/>
    <w:rsid w:val="00F41A9B"/>
    <w:rsid w:val="00F51C5E"/>
    <w:rsid w:val="00F5640A"/>
    <w:rsid w:val="00F57ACC"/>
    <w:rsid w:val="00F63D91"/>
    <w:rsid w:val="00F66053"/>
    <w:rsid w:val="00F7094C"/>
    <w:rsid w:val="00F75EE4"/>
    <w:rsid w:val="00F91CB6"/>
    <w:rsid w:val="00F971C1"/>
    <w:rsid w:val="00FA0E37"/>
    <w:rsid w:val="00FA7C54"/>
    <w:rsid w:val="00FB5B4F"/>
    <w:rsid w:val="00FC7B5D"/>
    <w:rsid w:val="00FD48E7"/>
    <w:rsid w:val="00FE0D00"/>
    <w:rsid w:val="00FE2144"/>
    <w:rsid w:val="00FE5D97"/>
    <w:rsid w:val="00FF1905"/>
    <w:rsid w:val="00FF20A0"/>
    <w:rsid w:val="00FF5573"/>
    <w:rsid w:val="00FF5E5F"/>
    <w:rsid w:val="00FF6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2395AE4F"/>
  <w15:docId w15:val="{BF7A00D3-D617-45F3-AD7F-F49D45B4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1704"/>
  </w:style>
  <w:style w:type="paragraph" w:styleId="Heading1">
    <w:name w:val="heading 1"/>
    <w:basedOn w:val="Normal"/>
    <w:next w:val="Normal"/>
    <w:qFormat/>
    <w:rsid w:val="0036170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61704"/>
    <w:pPr>
      <w:ind w:left="360"/>
    </w:pPr>
    <w:rPr>
      <w:sz w:val="24"/>
    </w:rPr>
  </w:style>
  <w:style w:type="paragraph" w:styleId="Header">
    <w:name w:val="header"/>
    <w:basedOn w:val="Normal"/>
    <w:rsid w:val="00361704"/>
    <w:pPr>
      <w:tabs>
        <w:tab w:val="center" w:pos="4320"/>
        <w:tab w:val="right" w:pos="8640"/>
      </w:tabs>
    </w:pPr>
  </w:style>
  <w:style w:type="paragraph" w:styleId="Footer">
    <w:name w:val="footer"/>
    <w:basedOn w:val="Normal"/>
    <w:link w:val="FooterChar"/>
    <w:uiPriority w:val="99"/>
    <w:rsid w:val="00361704"/>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styleId="FootnoteText">
    <w:name w:val="footnote text"/>
    <w:aliases w:val="Footnote Text1 Char,Footnote Text Char Ch Char Char Char,Footnote Text Char Ch Char Char,Footnote Text1 Char Char Char,Footnote Text Char Ch Char,Footnote Text Char Ch"/>
    <w:basedOn w:val="Normal"/>
    <w:link w:val="FootnoteTextChar"/>
    <w:rsid w:val="00026B9B"/>
  </w:style>
  <w:style w:type="character" w:customStyle="1" w:styleId="FootnoteTextChar">
    <w:name w:val="Footnote Text Char"/>
    <w:aliases w:val="Footnote Text1 Char Char,Footnote Text Char Ch Char Char Char Char,Footnote Text Char Ch Char Char Char1,Footnote Text1 Char Char Char Char,Footnote Text Char Ch Char Char1,Footnote Text Char Ch Char1"/>
    <w:basedOn w:val="DefaultParagraphFont"/>
    <w:link w:val="FootnoteText"/>
    <w:rsid w:val="00026B9B"/>
  </w:style>
  <w:style w:type="character" w:styleId="FootnoteReference">
    <w:name w:val="footnote reference"/>
    <w:aliases w:val="o,fr"/>
    <w:basedOn w:val="DefaultParagraphFont"/>
    <w:rsid w:val="00026B9B"/>
    <w:rPr>
      <w:vertAlign w:val="superscript"/>
    </w:rPr>
  </w:style>
  <w:style w:type="character" w:styleId="Hyperlink">
    <w:name w:val="Hyperlink"/>
    <w:basedOn w:val="DefaultParagraphFont"/>
    <w:rsid w:val="00A20C12"/>
    <w:rPr>
      <w:color w:val="0000FF"/>
      <w:u w:val="single"/>
    </w:rPr>
  </w:style>
  <w:style w:type="character" w:customStyle="1" w:styleId="FooterChar">
    <w:name w:val="Footer Char"/>
    <w:basedOn w:val="DefaultParagraphFont"/>
    <w:link w:val="Footer"/>
    <w:uiPriority w:val="99"/>
    <w:rsid w:val="00AD0A9B"/>
  </w:style>
  <w:style w:type="paragraph" w:styleId="ListParagraph">
    <w:name w:val="List Paragraph"/>
    <w:basedOn w:val="Normal"/>
    <w:uiPriority w:val="34"/>
    <w:qFormat/>
    <w:rsid w:val="00C46EDA"/>
    <w:pPr>
      <w:ind w:left="720"/>
      <w:contextualSpacing/>
    </w:pPr>
  </w:style>
  <w:style w:type="character" w:styleId="FollowedHyperlink">
    <w:name w:val="FollowedHyperlink"/>
    <w:basedOn w:val="DefaultParagraphFont"/>
    <w:rsid w:val="00121CB7"/>
    <w:rPr>
      <w:color w:val="800080" w:themeColor="followedHyperlink"/>
      <w:u w:val="single"/>
    </w:rPr>
  </w:style>
  <w:style w:type="character" w:styleId="CommentReference">
    <w:name w:val="annotation reference"/>
    <w:basedOn w:val="DefaultParagraphFont"/>
    <w:rsid w:val="00710DBE"/>
    <w:rPr>
      <w:sz w:val="16"/>
      <w:szCs w:val="16"/>
    </w:rPr>
  </w:style>
  <w:style w:type="paragraph" w:styleId="CommentText">
    <w:name w:val="annotation text"/>
    <w:basedOn w:val="Normal"/>
    <w:link w:val="CommentTextChar"/>
    <w:rsid w:val="00710DBE"/>
  </w:style>
  <w:style w:type="character" w:customStyle="1" w:styleId="CommentTextChar">
    <w:name w:val="Comment Text Char"/>
    <w:basedOn w:val="DefaultParagraphFont"/>
    <w:link w:val="CommentText"/>
    <w:rsid w:val="00710DBE"/>
  </w:style>
  <w:style w:type="paragraph" w:styleId="CommentSubject">
    <w:name w:val="annotation subject"/>
    <w:basedOn w:val="CommentText"/>
    <w:next w:val="CommentText"/>
    <w:link w:val="CommentSubjectChar"/>
    <w:rsid w:val="00944B47"/>
    <w:rPr>
      <w:b/>
      <w:bCs/>
    </w:rPr>
  </w:style>
  <w:style w:type="character" w:customStyle="1" w:styleId="CommentSubjectChar">
    <w:name w:val="Comment Subject Char"/>
    <w:basedOn w:val="CommentTextChar"/>
    <w:link w:val="CommentSubject"/>
    <w:rsid w:val="00944B47"/>
    <w:rPr>
      <w:b/>
      <w:bCs/>
    </w:rPr>
  </w:style>
  <w:style w:type="table" w:styleId="TableGrid">
    <w:name w:val="Table Grid"/>
    <w:basedOn w:val="TableNormal"/>
    <w:uiPriority w:val="59"/>
    <w:rsid w:val="00BB79A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311A8"/>
  </w:style>
  <w:style w:type="character" w:styleId="UnresolvedMention">
    <w:name w:val="Unresolved Mention"/>
    <w:basedOn w:val="DefaultParagraphFont"/>
    <w:uiPriority w:val="99"/>
    <w:semiHidden/>
    <w:unhideWhenUsed/>
    <w:rsid w:val="00C22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gill@p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5" ma:contentTypeDescription="Create a new document." ma:contentTypeScope="" ma:versionID="c69336e95e0288728e9f0fdb5165cefb">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5c921dc6589a22c38f3e3e89a8f2810f"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37C5F-49F4-4CEC-BB97-F94A150D7AED}">
  <ds:schemaRefs>
    <ds:schemaRef ds:uri="http://schemas.microsoft.com/sharepoint/v3/contenttype/forms"/>
  </ds:schemaRefs>
</ds:datastoreItem>
</file>

<file path=customXml/itemProps2.xml><?xml version="1.0" encoding="utf-8"?>
<ds:datastoreItem xmlns:ds="http://schemas.openxmlformats.org/officeDocument/2006/customXml" ds:itemID="{C9FFD2A8-3EB6-4D59-A0C0-AB33D1EF52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0B0926-6674-4228-9716-E4E2C0688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0C05B6-42F4-4348-99E7-E7B5B8F1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REYNOLDS</dc:creator>
  <cp:lastModifiedBy>Sheffer, Ryan</cp:lastModifiedBy>
  <cp:revision>8</cp:revision>
  <cp:lastPrinted>2014-06-12T15:34:00Z</cp:lastPrinted>
  <dcterms:created xsi:type="dcterms:W3CDTF">2020-05-19T20:22:00Z</dcterms:created>
  <dcterms:modified xsi:type="dcterms:W3CDTF">2020-05-26T18:21:00Z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