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529"/>
        <w:gridCol w:w="1530"/>
      </w:tblGrid>
      <w:tr w:rsidR="00C74A51" w14:paraId="4EAB739A" w14:textId="77777777" w:rsidTr="00C85D7A">
        <w:trPr>
          <w:trHeight w:val="990"/>
        </w:trPr>
        <w:tc>
          <w:tcPr>
            <w:tcW w:w="1363" w:type="dxa"/>
          </w:tcPr>
          <w:p w14:paraId="5CCF755A" w14:textId="77777777" w:rsidR="00C74A51" w:rsidRDefault="005B7F5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EB71751" wp14:editId="51068260">
                  <wp:extent cx="725170" cy="72517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9" w:type="dxa"/>
            <w:vAlign w:val="center"/>
          </w:tcPr>
          <w:p w14:paraId="2FC8D3CC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4671FDE5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1E260A4B" w14:textId="77777777" w:rsidR="00850F1D" w:rsidRDefault="00850F1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34659964" w14:textId="77777777" w:rsidR="0062751C" w:rsidRDefault="0062751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</w:p>
          <w:p w14:paraId="38BA695F" w14:textId="77777777" w:rsidR="00C74A51" w:rsidRDefault="00C74A51" w:rsidP="0062751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HARRISBURG, PA 1712</w:t>
            </w:r>
            <w:r w:rsidR="0062751C"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</w:p>
        </w:tc>
        <w:tc>
          <w:tcPr>
            <w:tcW w:w="1530" w:type="dxa"/>
          </w:tcPr>
          <w:p w14:paraId="62692565" w14:textId="77777777" w:rsidR="00C74A51" w:rsidRDefault="00C74A51" w:rsidP="00C85D7A">
            <w:pPr>
              <w:ind w:right="-103"/>
              <w:rPr>
                <w:rFonts w:ascii="Arial" w:hAnsi="Arial"/>
                <w:sz w:val="12"/>
              </w:rPr>
            </w:pPr>
          </w:p>
          <w:p w14:paraId="76CC8342" w14:textId="77777777" w:rsidR="00C74A51" w:rsidRDefault="00C74A51" w:rsidP="00C85D7A">
            <w:pPr>
              <w:ind w:right="-103"/>
              <w:rPr>
                <w:rFonts w:ascii="Arial" w:hAnsi="Arial"/>
                <w:sz w:val="12"/>
              </w:rPr>
            </w:pPr>
          </w:p>
          <w:p w14:paraId="1ED46693" w14:textId="77777777" w:rsidR="00C74A51" w:rsidRDefault="00C74A51" w:rsidP="00C85D7A">
            <w:pPr>
              <w:ind w:right="-103"/>
              <w:rPr>
                <w:rFonts w:ascii="Arial" w:hAnsi="Arial"/>
                <w:sz w:val="12"/>
              </w:rPr>
            </w:pPr>
          </w:p>
          <w:p w14:paraId="556FE8F2" w14:textId="77777777" w:rsidR="00C74A51" w:rsidRDefault="00C74A51" w:rsidP="00C85D7A">
            <w:pPr>
              <w:ind w:right="-103"/>
              <w:rPr>
                <w:rFonts w:ascii="Arial" w:hAnsi="Arial"/>
                <w:sz w:val="12"/>
              </w:rPr>
            </w:pPr>
          </w:p>
          <w:p w14:paraId="41487A0F" w14:textId="77777777" w:rsidR="00C74A51" w:rsidRDefault="00C74A51" w:rsidP="00C85D7A">
            <w:pPr>
              <w:ind w:right="-103"/>
              <w:rPr>
                <w:rFonts w:ascii="Arial" w:hAnsi="Arial"/>
                <w:sz w:val="12"/>
              </w:rPr>
            </w:pPr>
          </w:p>
          <w:p w14:paraId="147F6BBE" w14:textId="77777777" w:rsidR="00C74A51" w:rsidRDefault="00C74A51" w:rsidP="00C85D7A">
            <w:pPr>
              <w:ind w:right="-103"/>
              <w:rPr>
                <w:rFonts w:ascii="Arial" w:hAnsi="Arial"/>
                <w:sz w:val="12"/>
              </w:rPr>
            </w:pPr>
          </w:p>
          <w:p w14:paraId="775506C7" w14:textId="04AEA16F" w:rsidR="00C74A51" w:rsidRDefault="00C74A51" w:rsidP="00C85D7A">
            <w:pPr>
              <w:ind w:right="-103"/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</w:t>
            </w:r>
            <w:r w:rsidR="00C85D7A">
              <w:rPr>
                <w:rFonts w:ascii="Arial" w:hAnsi="Arial"/>
                <w:b/>
                <w:spacing w:val="-1"/>
                <w:sz w:val="12"/>
              </w:rPr>
              <w:t>,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63E111B1" w14:textId="77777777" w:rsidR="00CF6DFC" w:rsidRDefault="00CF6DFC" w:rsidP="00C85D7A">
            <w:pPr>
              <w:ind w:right="-103" w:firstLine="72"/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  <w:p w14:paraId="5A20A29E" w14:textId="3C6D9754" w:rsidR="00CF6DFC" w:rsidRPr="00CF6DFC" w:rsidRDefault="00CF6DFC" w:rsidP="00C85D7A">
            <w:pPr>
              <w:ind w:left="-375" w:right="-103"/>
              <w:jc w:val="right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CF6DFC">
              <w:rPr>
                <w:rFonts w:ascii="Arial" w:hAnsi="Arial" w:cs="Arial"/>
                <w:bCs/>
                <w:iCs/>
                <w:sz w:val="14"/>
                <w:szCs w:val="14"/>
              </w:rPr>
              <w:t>C-2018-3006116</w:t>
            </w:r>
            <w:r w:rsidR="005768BF">
              <w:rPr>
                <w:rFonts w:ascii="Arial" w:hAnsi="Arial" w:cs="Arial"/>
                <w:bCs/>
                <w:iCs/>
                <w:sz w:val="14"/>
                <w:szCs w:val="14"/>
              </w:rPr>
              <w:t>, et a</w:t>
            </w:r>
            <w:r w:rsidR="00C85D7A">
              <w:rPr>
                <w:rFonts w:ascii="Arial" w:hAnsi="Arial" w:cs="Arial"/>
                <w:bCs/>
                <w:iCs/>
                <w:sz w:val="14"/>
                <w:szCs w:val="14"/>
              </w:rPr>
              <w:t>l.</w:t>
            </w:r>
          </w:p>
          <w:p w14:paraId="41149BD8" w14:textId="77BE49C3" w:rsidR="00153FD8" w:rsidRPr="00CF6DFC" w:rsidRDefault="00CF6DFC" w:rsidP="00C85D7A">
            <w:pPr>
              <w:ind w:right="-103" w:firstLine="72"/>
              <w:jc w:val="right"/>
              <w:rPr>
                <w:rFonts w:ascii="Arial" w:hAnsi="Arial"/>
                <w:bCs/>
                <w:sz w:val="14"/>
                <w:szCs w:val="14"/>
              </w:rPr>
            </w:pPr>
            <w:r w:rsidRPr="00CF6DFC">
              <w:rPr>
                <w:rFonts w:ascii="Arial" w:hAnsi="Arial" w:cs="Arial"/>
                <w:bCs/>
                <w:iCs/>
                <w:sz w:val="14"/>
                <w:szCs w:val="14"/>
              </w:rPr>
              <w:t>P-2018-3006117</w:t>
            </w:r>
          </w:p>
        </w:tc>
      </w:tr>
    </w:tbl>
    <w:p w14:paraId="51E5EBD0" w14:textId="3905EF30" w:rsidR="00271871" w:rsidRDefault="00D04C7D" w:rsidP="00CB4CC1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April 23, 2021</w:t>
      </w:r>
    </w:p>
    <w:p w14:paraId="07F14D3A" w14:textId="77777777" w:rsidR="00472521" w:rsidRDefault="00472521" w:rsidP="00271871">
      <w:pPr>
        <w:ind w:left="720" w:hanging="720"/>
        <w:jc w:val="center"/>
        <w:rPr>
          <w:b/>
          <w:sz w:val="26"/>
          <w:szCs w:val="26"/>
        </w:rPr>
      </w:pPr>
    </w:p>
    <w:p w14:paraId="627AB42F" w14:textId="77777777" w:rsidR="00C85D7A" w:rsidRDefault="00C85D7A" w:rsidP="0047576A">
      <w:pPr>
        <w:ind w:left="720" w:hanging="720"/>
        <w:rPr>
          <w:b/>
          <w:sz w:val="26"/>
          <w:szCs w:val="26"/>
        </w:rPr>
      </w:pPr>
    </w:p>
    <w:p w14:paraId="1A57AC5D" w14:textId="77777777" w:rsidR="00C85D7A" w:rsidRDefault="00C85D7A" w:rsidP="0047576A">
      <w:pPr>
        <w:ind w:left="720" w:hanging="720"/>
        <w:rPr>
          <w:b/>
          <w:sz w:val="26"/>
          <w:szCs w:val="26"/>
        </w:rPr>
      </w:pPr>
    </w:p>
    <w:p w14:paraId="4F2C609E" w14:textId="185F47F1" w:rsidR="00E90B33" w:rsidRPr="00E90B33" w:rsidRDefault="00E528E4" w:rsidP="0047576A">
      <w:pPr>
        <w:ind w:left="720" w:hanging="720"/>
        <w:rPr>
          <w:b/>
          <w:i/>
          <w:iCs/>
          <w:sz w:val="26"/>
          <w:szCs w:val="26"/>
        </w:rPr>
      </w:pPr>
      <w:r w:rsidRPr="00113F9A">
        <w:rPr>
          <w:b/>
          <w:sz w:val="26"/>
          <w:szCs w:val="26"/>
        </w:rPr>
        <w:t>Re:</w:t>
      </w:r>
      <w:r w:rsidR="009A090F" w:rsidRPr="00113F9A">
        <w:rPr>
          <w:b/>
          <w:sz w:val="26"/>
          <w:szCs w:val="26"/>
        </w:rPr>
        <w:tab/>
      </w:r>
      <w:r w:rsidR="00800B53">
        <w:rPr>
          <w:b/>
          <w:i/>
          <w:sz w:val="26"/>
          <w:szCs w:val="26"/>
        </w:rPr>
        <w:t>Meghan Flynn, et al. v. Sunoco Pipeline</w:t>
      </w:r>
      <w:r w:rsidR="00800C80">
        <w:rPr>
          <w:b/>
          <w:i/>
          <w:sz w:val="26"/>
          <w:szCs w:val="26"/>
        </w:rPr>
        <w:t>, L.P.</w:t>
      </w:r>
      <w:r w:rsidR="00E43673">
        <w:rPr>
          <w:b/>
          <w:i/>
          <w:sz w:val="26"/>
          <w:szCs w:val="26"/>
        </w:rPr>
        <w:t xml:space="preserve"> </w:t>
      </w:r>
    </w:p>
    <w:p w14:paraId="7483703A" w14:textId="01845443" w:rsidR="004762B3" w:rsidRDefault="006C33BC" w:rsidP="003A6C49">
      <w:pPr>
        <w:ind w:left="720" w:hanging="720"/>
        <w:rPr>
          <w:b/>
          <w:iCs/>
          <w:sz w:val="26"/>
          <w:szCs w:val="26"/>
        </w:rPr>
      </w:pPr>
      <w:r w:rsidRPr="008C2FAF">
        <w:rPr>
          <w:b/>
          <w:i/>
          <w:sz w:val="26"/>
          <w:szCs w:val="26"/>
        </w:rPr>
        <w:tab/>
      </w:r>
      <w:r w:rsidRPr="00555335">
        <w:rPr>
          <w:b/>
          <w:iCs/>
          <w:sz w:val="26"/>
          <w:szCs w:val="26"/>
        </w:rPr>
        <w:t>Docket No</w:t>
      </w:r>
      <w:r w:rsidR="00E43673">
        <w:rPr>
          <w:b/>
          <w:iCs/>
          <w:sz w:val="26"/>
          <w:szCs w:val="26"/>
        </w:rPr>
        <w:t>s</w:t>
      </w:r>
      <w:r w:rsidRPr="00555335">
        <w:rPr>
          <w:b/>
          <w:iCs/>
          <w:sz w:val="26"/>
          <w:szCs w:val="26"/>
        </w:rPr>
        <w:t xml:space="preserve">. </w:t>
      </w:r>
      <w:r w:rsidR="00800C80">
        <w:rPr>
          <w:b/>
          <w:iCs/>
          <w:sz w:val="26"/>
          <w:szCs w:val="26"/>
        </w:rPr>
        <w:t>C-2018-3006</w:t>
      </w:r>
      <w:r w:rsidR="001051FF">
        <w:rPr>
          <w:b/>
          <w:iCs/>
          <w:sz w:val="26"/>
          <w:szCs w:val="26"/>
        </w:rPr>
        <w:t>116, P-2018-3006</w:t>
      </w:r>
      <w:r w:rsidR="000E637E">
        <w:rPr>
          <w:b/>
          <w:iCs/>
          <w:sz w:val="26"/>
          <w:szCs w:val="26"/>
        </w:rPr>
        <w:t>117, C-2018-3003605</w:t>
      </w:r>
      <w:r w:rsidR="00364169">
        <w:rPr>
          <w:b/>
          <w:iCs/>
          <w:sz w:val="26"/>
          <w:szCs w:val="26"/>
        </w:rPr>
        <w:t>,</w:t>
      </w:r>
      <w:r w:rsidR="00E43673">
        <w:rPr>
          <w:b/>
          <w:iCs/>
          <w:sz w:val="26"/>
          <w:szCs w:val="26"/>
        </w:rPr>
        <w:t xml:space="preserve"> </w:t>
      </w:r>
      <w:r w:rsidR="00364169">
        <w:rPr>
          <w:b/>
          <w:iCs/>
          <w:sz w:val="26"/>
          <w:szCs w:val="26"/>
        </w:rPr>
        <w:t>C</w:t>
      </w:r>
      <w:r w:rsidR="00C85D7A">
        <w:rPr>
          <w:b/>
          <w:iCs/>
          <w:sz w:val="26"/>
          <w:szCs w:val="26"/>
        </w:rPr>
        <w:noBreakHyphen/>
      </w:r>
      <w:r w:rsidR="00364169">
        <w:rPr>
          <w:b/>
          <w:iCs/>
          <w:sz w:val="26"/>
          <w:szCs w:val="26"/>
        </w:rPr>
        <w:t>2018</w:t>
      </w:r>
      <w:r w:rsidR="00C85D7A">
        <w:rPr>
          <w:b/>
          <w:iCs/>
          <w:sz w:val="26"/>
          <w:szCs w:val="26"/>
        </w:rPr>
        <w:noBreakHyphen/>
      </w:r>
      <w:r w:rsidR="00364169">
        <w:rPr>
          <w:b/>
          <w:iCs/>
          <w:sz w:val="26"/>
          <w:szCs w:val="26"/>
        </w:rPr>
        <w:t>3005025, C-2018-300</w:t>
      </w:r>
      <w:r w:rsidR="00CF0B77">
        <w:rPr>
          <w:b/>
          <w:iCs/>
          <w:sz w:val="26"/>
          <w:szCs w:val="26"/>
        </w:rPr>
        <w:t>6898</w:t>
      </w:r>
      <w:r w:rsidR="00364169">
        <w:rPr>
          <w:b/>
          <w:iCs/>
          <w:sz w:val="26"/>
          <w:szCs w:val="26"/>
        </w:rPr>
        <w:t xml:space="preserve">, </w:t>
      </w:r>
      <w:r w:rsidR="00CF6DFC">
        <w:rPr>
          <w:b/>
          <w:iCs/>
          <w:sz w:val="26"/>
          <w:szCs w:val="26"/>
        </w:rPr>
        <w:t xml:space="preserve">and </w:t>
      </w:r>
      <w:r w:rsidR="00CF0B77">
        <w:rPr>
          <w:b/>
          <w:iCs/>
          <w:sz w:val="26"/>
          <w:szCs w:val="26"/>
        </w:rPr>
        <w:t>C-2018-300</w:t>
      </w:r>
      <w:r w:rsidR="00CF6DFC">
        <w:rPr>
          <w:b/>
          <w:iCs/>
          <w:sz w:val="26"/>
          <w:szCs w:val="26"/>
        </w:rPr>
        <w:t>6905</w:t>
      </w:r>
    </w:p>
    <w:p w14:paraId="7175514F" w14:textId="77777777" w:rsidR="00E43673" w:rsidRDefault="00E43673" w:rsidP="003A6C49">
      <w:pPr>
        <w:ind w:left="720" w:hanging="720"/>
        <w:rPr>
          <w:b/>
          <w:iCs/>
          <w:sz w:val="26"/>
          <w:szCs w:val="26"/>
        </w:rPr>
      </w:pPr>
    </w:p>
    <w:p w14:paraId="1853AE34" w14:textId="77777777" w:rsidR="00C85D7A" w:rsidRDefault="00C85D7A" w:rsidP="00C85D7A">
      <w:pPr>
        <w:rPr>
          <w:sz w:val="26"/>
          <w:szCs w:val="26"/>
        </w:rPr>
      </w:pPr>
    </w:p>
    <w:p w14:paraId="051AA4BF" w14:textId="78D82D6D" w:rsidR="00E528E4" w:rsidRPr="0008045A" w:rsidRDefault="001C1E78" w:rsidP="00C85D7A">
      <w:pPr>
        <w:rPr>
          <w:sz w:val="26"/>
          <w:szCs w:val="26"/>
        </w:rPr>
      </w:pPr>
      <w:r w:rsidRPr="0008045A">
        <w:rPr>
          <w:sz w:val="26"/>
          <w:szCs w:val="26"/>
        </w:rPr>
        <w:t>TO ALL PARTIES</w:t>
      </w:r>
      <w:r w:rsidR="00430047" w:rsidRPr="0008045A">
        <w:rPr>
          <w:sz w:val="26"/>
          <w:szCs w:val="26"/>
        </w:rPr>
        <w:t>:</w:t>
      </w:r>
    </w:p>
    <w:p w14:paraId="6A2EE882" w14:textId="77777777" w:rsidR="006B6701" w:rsidRDefault="006B6701" w:rsidP="006B6701">
      <w:pPr>
        <w:ind w:firstLine="1440"/>
        <w:rPr>
          <w:sz w:val="26"/>
          <w:szCs w:val="26"/>
        </w:rPr>
      </w:pPr>
    </w:p>
    <w:p w14:paraId="2CA2DD1F" w14:textId="60CBC617" w:rsidR="0084367B" w:rsidRDefault="001D1EB7" w:rsidP="007826AB">
      <w:pPr>
        <w:ind w:firstLine="720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On </w:t>
      </w:r>
      <w:r w:rsidR="0084367B">
        <w:rPr>
          <w:sz w:val="26"/>
          <w:szCs w:val="26"/>
        </w:rPr>
        <w:t xml:space="preserve">April </w:t>
      </w:r>
      <w:r w:rsidR="00242094">
        <w:rPr>
          <w:sz w:val="26"/>
          <w:szCs w:val="26"/>
        </w:rPr>
        <w:t>1</w:t>
      </w:r>
      <w:r w:rsidR="0084367B">
        <w:rPr>
          <w:sz w:val="26"/>
          <w:szCs w:val="26"/>
        </w:rPr>
        <w:t>9, 2021</w:t>
      </w:r>
      <w:r>
        <w:rPr>
          <w:sz w:val="26"/>
          <w:szCs w:val="26"/>
        </w:rPr>
        <w:t xml:space="preserve">, </w:t>
      </w:r>
      <w:r w:rsidR="00242094">
        <w:rPr>
          <w:rFonts w:eastAsia="Calibri"/>
          <w:sz w:val="26"/>
          <w:szCs w:val="26"/>
        </w:rPr>
        <w:t>Sunoco Pipeline, L.P. (SPLP) and the Complainants</w:t>
      </w:r>
      <w:r w:rsidR="0084367B">
        <w:rPr>
          <w:rFonts w:eastAsia="Calibri"/>
          <w:sz w:val="26"/>
          <w:szCs w:val="26"/>
        </w:rPr>
        <w:t xml:space="preserve"> filed a </w:t>
      </w:r>
      <w:r w:rsidR="00242094">
        <w:rPr>
          <w:rFonts w:eastAsia="Calibri"/>
          <w:sz w:val="26"/>
          <w:szCs w:val="26"/>
        </w:rPr>
        <w:t>Joint Request</w:t>
      </w:r>
      <w:r w:rsidR="008A17BA">
        <w:rPr>
          <w:rFonts w:eastAsia="Calibri"/>
          <w:sz w:val="26"/>
          <w:szCs w:val="26"/>
        </w:rPr>
        <w:t xml:space="preserve"> for Extension of Time for Exceptions and Reply Exceptions, for Procedures for the Filing and Service of Exceptions and Reply Exceptions, and Extension of Page Limits</w:t>
      </w:r>
      <w:r w:rsidR="0084367B">
        <w:rPr>
          <w:rFonts w:eastAsia="Calibri"/>
          <w:sz w:val="26"/>
          <w:szCs w:val="26"/>
        </w:rPr>
        <w:t>.</w:t>
      </w:r>
      <w:r w:rsidR="0058480C">
        <w:rPr>
          <w:rFonts w:eastAsia="Calibri"/>
          <w:sz w:val="26"/>
          <w:szCs w:val="26"/>
        </w:rPr>
        <w:t xml:space="preserve">  The Request was based on the Joint Stipulation of Record to Amend</w:t>
      </w:r>
      <w:r w:rsidR="00F15982">
        <w:rPr>
          <w:rFonts w:eastAsia="Calibri"/>
          <w:sz w:val="26"/>
          <w:szCs w:val="26"/>
        </w:rPr>
        <w:t>ed Protective Order and Procedural Schedule</w:t>
      </w:r>
      <w:r w:rsidR="000A7BAD">
        <w:rPr>
          <w:rFonts w:eastAsia="Calibri"/>
          <w:sz w:val="26"/>
          <w:szCs w:val="26"/>
        </w:rPr>
        <w:t>, which was approved by the Administrative Law Judge in the proceeding below.</w:t>
      </w:r>
    </w:p>
    <w:p w14:paraId="4C82EF66" w14:textId="5626E988" w:rsidR="00166FCD" w:rsidRDefault="00166FCD" w:rsidP="007826AB">
      <w:pPr>
        <w:ind w:firstLine="720"/>
        <w:rPr>
          <w:rFonts w:eastAsia="Calibri"/>
          <w:sz w:val="26"/>
          <w:szCs w:val="26"/>
        </w:rPr>
      </w:pPr>
    </w:p>
    <w:p w14:paraId="2B3FF14A" w14:textId="3FE63018" w:rsidR="00BD3E04" w:rsidRDefault="001B28EF" w:rsidP="007826AB"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The process agreed upon by the parties and approved by the judge </w:t>
      </w:r>
      <w:r w:rsidR="00C60269">
        <w:rPr>
          <w:rFonts w:eastAsia="Calibri"/>
          <w:sz w:val="26"/>
          <w:szCs w:val="26"/>
        </w:rPr>
        <w:t xml:space="preserve">was designed to protect </w:t>
      </w:r>
      <w:r w:rsidR="00EE233D">
        <w:rPr>
          <w:rFonts w:eastAsia="Calibri"/>
          <w:sz w:val="26"/>
          <w:szCs w:val="26"/>
        </w:rPr>
        <w:t>highly confidential material</w:t>
      </w:r>
      <w:r w:rsidR="00A42ABF">
        <w:rPr>
          <w:rFonts w:eastAsia="Calibri"/>
          <w:sz w:val="26"/>
          <w:szCs w:val="26"/>
        </w:rPr>
        <w:t>.</w:t>
      </w:r>
      <w:r w:rsidR="002F56BC">
        <w:rPr>
          <w:rFonts w:eastAsia="Calibri"/>
          <w:sz w:val="26"/>
          <w:szCs w:val="26"/>
        </w:rPr>
        <w:t xml:space="preserve">  The Parties also request an extension of the page limits generally associated with exceptions and replies.</w:t>
      </w:r>
    </w:p>
    <w:p w14:paraId="7CCFF0A4" w14:textId="504FC14F" w:rsidR="00DF113F" w:rsidRDefault="00DF113F" w:rsidP="007826AB">
      <w:pPr>
        <w:ind w:firstLine="720"/>
        <w:rPr>
          <w:rFonts w:eastAsia="Calibri"/>
          <w:sz w:val="26"/>
          <w:szCs w:val="26"/>
        </w:rPr>
      </w:pPr>
    </w:p>
    <w:p w14:paraId="1EB7C5C0" w14:textId="54B5CCDA" w:rsidR="00DF113F" w:rsidRDefault="00DF113F" w:rsidP="007826AB">
      <w:pPr>
        <w:ind w:firstLine="720"/>
        <w:rPr>
          <w:rFonts w:eastAsia="Calibri"/>
          <w:sz w:val="26"/>
          <w:szCs w:val="26"/>
        </w:rPr>
      </w:pPr>
      <w:bookmarkStart w:id="0" w:name="_Hlk70070798"/>
      <w:r>
        <w:rPr>
          <w:rFonts w:eastAsia="Calibri"/>
          <w:sz w:val="26"/>
          <w:szCs w:val="26"/>
        </w:rPr>
        <w:t xml:space="preserve">Given the complexities of the matter and the potential for highly confidential material to change hands, </w:t>
      </w:r>
      <w:r w:rsidR="0025496C">
        <w:rPr>
          <w:rFonts w:eastAsia="Calibri"/>
          <w:sz w:val="26"/>
          <w:szCs w:val="26"/>
        </w:rPr>
        <w:t>the Joint Request</w:t>
      </w:r>
      <w:r w:rsidR="00282F24">
        <w:rPr>
          <w:rFonts w:eastAsia="Calibri"/>
          <w:sz w:val="26"/>
          <w:szCs w:val="26"/>
        </w:rPr>
        <w:t xml:space="preserve"> is granted</w:t>
      </w:r>
      <w:r w:rsidR="00BC5E18">
        <w:rPr>
          <w:rFonts w:eastAsia="Calibri"/>
          <w:sz w:val="26"/>
          <w:szCs w:val="26"/>
        </w:rPr>
        <w:t xml:space="preserve">.  The timing for Exceptions and Replies </w:t>
      </w:r>
      <w:r w:rsidR="00C87227">
        <w:rPr>
          <w:rFonts w:eastAsia="Calibri"/>
          <w:sz w:val="26"/>
          <w:szCs w:val="26"/>
        </w:rPr>
        <w:t>have been extended as follows:</w:t>
      </w:r>
      <w:r w:rsidR="009B6A94">
        <w:rPr>
          <w:rFonts w:eastAsia="Calibri"/>
          <w:sz w:val="26"/>
          <w:szCs w:val="26"/>
        </w:rPr>
        <w:t xml:space="preserve"> </w:t>
      </w:r>
    </w:p>
    <w:bookmarkEnd w:id="0"/>
    <w:p w14:paraId="3CE4B4FC" w14:textId="2CFFF27A" w:rsidR="00EF01F5" w:rsidRPr="00317D74" w:rsidRDefault="00EF01F5" w:rsidP="00317D74">
      <w:pPr>
        <w:ind w:firstLine="720"/>
        <w:rPr>
          <w:rFonts w:eastAsia="Calibri"/>
          <w:sz w:val="26"/>
          <w:szCs w:val="26"/>
        </w:rPr>
      </w:pPr>
    </w:p>
    <w:p w14:paraId="57D36021" w14:textId="3B0EEFCB" w:rsidR="005B766E" w:rsidRDefault="00C87227" w:rsidP="00C87227">
      <w:pPr>
        <w:pStyle w:val="ListParagraph"/>
        <w:numPr>
          <w:ilvl w:val="0"/>
          <w:numId w:val="15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For </w:t>
      </w:r>
      <w:r w:rsidR="005B766E" w:rsidRPr="00C87227">
        <w:rPr>
          <w:rFonts w:eastAsia="Calibri"/>
          <w:sz w:val="26"/>
          <w:szCs w:val="26"/>
        </w:rPr>
        <w:t>Complainants</w:t>
      </w:r>
      <w:r>
        <w:rPr>
          <w:rFonts w:eastAsia="Calibri"/>
          <w:sz w:val="26"/>
          <w:szCs w:val="26"/>
        </w:rPr>
        <w:t xml:space="preserve">: </w:t>
      </w:r>
      <w:r w:rsidR="005B766E" w:rsidRPr="00C87227">
        <w:rPr>
          <w:rFonts w:eastAsia="Calibri"/>
          <w:sz w:val="26"/>
          <w:szCs w:val="26"/>
        </w:rPr>
        <w:t xml:space="preserve"> Exceptions and Reply Exceptions </w:t>
      </w:r>
      <w:r>
        <w:rPr>
          <w:rFonts w:eastAsia="Calibri"/>
          <w:sz w:val="26"/>
          <w:szCs w:val="26"/>
        </w:rPr>
        <w:t xml:space="preserve">are </w:t>
      </w:r>
      <w:r w:rsidR="00F80FD2">
        <w:rPr>
          <w:rFonts w:eastAsia="Calibri"/>
          <w:sz w:val="26"/>
          <w:szCs w:val="26"/>
        </w:rPr>
        <w:t>extended to</w:t>
      </w:r>
      <w:r>
        <w:rPr>
          <w:rFonts w:eastAsia="Calibri"/>
          <w:sz w:val="26"/>
          <w:szCs w:val="26"/>
        </w:rPr>
        <w:t xml:space="preserve"> </w:t>
      </w:r>
      <w:r w:rsidR="005B766E" w:rsidRPr="00C87227">
        <w:rPr>
          <w:rFonts w:eastAsia="Calibri"/>
          <w:sz w:val="26"/>
          <w:szCs w:val="26"/>
        </w:rPr>
        <w:t>60</w:t>
      </w:r>
      <w:r w:rsidR="00C85D7A">
        <w:rPr>
          <w:rFonts w:eastAsia="Calibri"/>
          <w:sz w:val="26"/>
          <w:szCs w:val="26"/>
        </w:rPr>
        <w:t> </w:t>
      </w:r>
      <w:r w:rsidR="005B766E" w:rsidRPr="00C87227">
        <w:rPr>
          <w:rFonts w:eastAsia="Calibri"/>
          <w:sz w:val="26"/>
          <w:szCs w:val="26"/>
        </w:rPr>
        <w:t xml:space="preserve">days for Exceptions and to 30 days for Reply </w:t>
      </w:r>
      <w:proofErr w:type="gramStart"/>
      <w:r w:rsidR="005B766E" w:rsidRPr="00C87227">
        <w:rPr>
          <w:rFonts w:eastAsia="Calibri"/>
          <w:sz w:val="26"/>
          <w:szCs w:val="26"/>
        </w:rPr>
        <w:t>Exceptions;</w:t>
      </w:r>
      <w:proofErr w:type="gramEnd"/>
      <w:r w:rsidR="005B766E" w:rsidRPr="00C87227">
        <w:rPr>
          <w:rFonts w:eastAsia="Calibri"/>
          <w:sz w:val="26"/>
          <w:szCs w:val="26"/>
        </w:rPr>
        <w:t xml:space="preserve"> </w:t>
      </w:r>
    </w:p>
    <w:p w14:paraId="7201FFEF" w14:textId="77777777" w:rsidR="00F80FD2" w:rsidRDefault="00F80FD2" w:rsidP="00F80FD2">
      <w:pPr>
        <w:pStyle w:val="ListParagraph"/>
        <w:ind w:left="1440"/>
        <w:rPr>
          <w:rFonts w:eastAsia="Calibri"/>
          <w:sz w:val="26"/>
          <w:szCs w:val="26"/>
        </w:rPr>
      </w:pPr>
    </w:p>
    <w:p w14:paraId="0EBA9723" w14:textId="1DFDD061" w:rsidR="00F80FD2" w:rsidRPr="00C87227" w:rsidRDefault="00F80FD2" w:rsidP="00C87227">
      <w:pPr>
        <w:pStyle w:val="ListParagraph"/>
        <w:numPr>
          <w:ilvl w:val="0"/>
          <w:numId w:val="15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For all other Parties: </w:t>
      </w:r>
      <w:r w:rsidRPr="005B766E">
        <w:rPr>
          <w:rFonts w:eastAsia="Calibri"/>
          <w:sz w:val="26"/>
          <w:szCs w:val="26"/>
        </w:rPr>
        <w:t xml:space="preserve">Exceptions and Reply Exceptions </w:t>
      </w:r>
      <w:r>
        <w:rPr>
          <w:rFonts w:eastAsia="Calibri"/>
          <w:sz w:val="26"/>
          <w:szCs w:val="26"/>
        </w:rPr>
        <w:t>are extended</w:t>
      </w:r>
      <w:r w:rsidRPr="005B766E">
        <w:rPr>
          <w:rFonts w:eastAsia="Calibri"/>
          <w:sz w:val="26"/>
          <w:szCs w:val="26"/>
        </w:rPr>
        <w:t xml:space="preserve"> to 55</w:t>
      </w:r>
      <w:r w:rsidR="00C85D7A">
        <w:rPr>
          <w:rFonts w:eastAsia="Calibri"/>
          <w:sz w:val="26"/>
          <w:szCs w:val="26"/>
        </w:rPr>
        <w:t> </w:t>
      </w:r>
      <w:r w:rsidRPr="005B766E">
        <w:rPr>
          <w:rFonts w:eastAsia="Calibri"/>
          <w:sz w:val="26"/>
          <w:szCs w:val="26"/>
        </w:rPr>
        <w:t>days for Exceptions and to 25 days for Reply Exceptions</w:t>
      </w:r>
    </w:p>
    <w:p w14:paraId="631BC706" w14:textId="0463EE6A" w:rsidR="005B766E" w:rsidRDefault="005B766E" w:rsidP="00C85D7A">
      <w:pPr>
        <w:autoSpaceDE w:val="0"/>
        <w:autoSpaceDN w:val="0"/>
        <w:ind w:left="1440"/>
        <w:contextualSpacing/>
        <w:jc w:val="both"/>
        <w:rPr>
          <w:rFonts w:eastAsia="Calibri" w:cs="Calibri"/>
          <w:sz w:val="24"/>
          <w:szCs w:val="24"/>
        </w:rPr>
      </w:pPr>
    </w:p>
    <w:p w14:paraId="03EB95D9" w14:textId="55F2A0E5" w:rsidR="00F80FD2" w:rsidRDefault="00F80FD2" w:rsidP="00F80FD2"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In addition, S</w:t>
      </w:r>
      <w:r w:rsidR="0039319E">
        <w:rPr>
          <w:rFonts w:eastAsia="Calibri"/>
          <w:sz w:val="26"/>
          <w:szCs w:val="26"/>
        </w:rPr>
        <w:t>P</w:t>
      </w:r>
      <w:r>
        <w:rPr>
          <w:rFonts w:eastAsia="Calibri"/>
          <w:sz w:val="26"/>
          <w:szCs w:val="26"/>
        </w:rPr>
        <w:t xml:space="preserve">LP and the Complainants </w:t>
      </w:r>
      <w:r w:rsidR="00E94ACF">
        <w:rPr>
          <w:rFonts w:eastAsia="Calibri"/>
          <w:sz w:val="26"/>
          <w:szCs w:val="26"/>
        </w:rPr>
        <w:t xml:space="preserve">may </w:t>
      </w:r>
      <w:r w:rsidR="00E94ACF" w:rsidRPr="005B766E">
        <w:rPr>
          <w:rFonts w:eastAsia="Calibri"/>
          <w:sz w:val="26"/>
          <w:szCs w:val="26"/>
        </w:rPr>
        <w:t>utilize the procedures for filing and service of Complainants’ Exceptions and/or Reply Exceptions in accordance with paragraph 17 of the Joint Stipulation of Record to Amended Protective Order and Procedural Schedule, approved on January 2, 2020</w:t>
      </w:r>
      <w:r w:rsidR="00E94ACF">
        <w:rPr>
          <w:rFonts w:eastAsia="Calibri"/>
          <w:sz w:val="26"/>
          <w:szCs w:val="26"/>
        </w:rPr>
        <w:t>.</w:t>
      </w:r>
    </w:p>
    <w:p w14:paraId="5FAB1610" w14:textId="417A5927" w:rsidR="00D37892" w:rsidRDefault="00D37892" w:rsidP="00F80FD2">
      <w:pPr>
        <w:ind w:firstLine="720"/>
        <w:rPr>
          <w:rFonts w:eastAsia="Calibri"/>
          <w:sz w:val="26"/>
          <w:szCs w:val="26"/>
        </w:rPr>
      </w:pPr>
    </w:p>
    <w:p w14:paraId="0C5D91BB" w14:textId="77777777" w:rsidR="00C85D7A" w:rsidRPr="00C85D7A" w:rsidRDefault="00C85D7A" w:rsidP="00C85D7A">
      <w:pPr>
        <w:keepNext/>
        <w:keepLines/>
        <w:ind w:firstLine="720"/>
        <w:rPr>
          <w:rFonts w:eastAsia="Calibri"/>
          <w:sz w:val="2"/>
          <w:szCs w:val="2"/>
        </w:rPr>
      </w:pPr>
    </w:p>
    <w:p w14:paraId="0DBAF1E1" w14:textId="40475A3C" w:rsidR="00D37892" w:rsidRDefault="00D37892" w:rsidP="00C85D7A">
      <w:pPr>
        <w:keepNext/>
        <w:keepLines/>
        <w:spacing w:before="720"/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Finally, </w:t>
      </w:r>
      <w:r w:rsidR="005027E1">
        <w:rPr>
          <w:rFonts w:eastAsia="Calibri"/>
          <w:sz w:val="26"/>
          <w:szCs w:val="26"/>
        </w:rPr>
        <w:t xml:space="preserve">the page limit for Exceptions is extended to 60 pages.  The page limit for Reply Exceptions </w:t>
      </w:r>
      <w:r w:rsidR="00D86855">
        <w:rPr>
          <w:rFonts w:eastAsia="Calibri"/>
          <w:sz w:val="26"/>
          <w:szCs w:val="26"/>
        </w:rPr>
        <w:t xml:space="preserve">is extended to 50 pages.  </w:t>
      </w:r>
    </w:p>
    <w:p w14:paraId="08BDF9A1" w14:textId="34386EF7" w:rsidR="00F80FD2" w:rsidRPr="005B766E" w:rsidRDefault="00F80FD2" w:rsidP="00C85D7A">
      <w:pPr>
        <w:keepNext/>
        <w:keepLines/>
        <w:autoSpaceDE w:val="0"/>
        <w:autoSpaceDN w:val="0"/>
        <w:spacing w:line="480" w:lineRule="auto"/>
        <w:ind w:left="1440"/>
        <w:contextualSpacing/>
        <w:jc w:val="both"/>
        <w:rPr>
          <w:rFonts w:eastAsia="Calibri" w:cs="Calibri"/>
          <w:sz w:val="24"/>
          <w:szCs w:val="24"/>
        </w:rPr>
      </w:pPr>
    </w:p>
    <w:p w14:paraId="7541BBDC" w14:textId="7405CF98" w:rsidR="003A072B" w:rsidRPr="0008045A" w:rsidRDefault="00D04C7D" w:rsidP="00C85D7A">
      <w:pPr>
        <w:keepNext/>
        <w:keepLines/>
        <w:tabs>
          <w:tab w:val="left" w:pos="5595"/>
        </w:tabs>
        <w:ind w:left="5040" w:hanging="14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D3B839" wp14:editId="0E4B0C5C">
            <wp:simplePos x="0" y="0"/>
            <wp:positionH relativeFrom="column">
              <wp:posOffset>3238500</wp:posOffset>
            </wp:positionH>
            <wp:positionV relativeFrom="paragraph">
              <wp:posOffset>96520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CC1">
        <w:rPr>
          <w:sz w:val="26"/>
          <w:szCs w:val="26"/>
        </w:rPr>
        <w:tab/>
      </w:r>
      <w:r w:rsidR="003A072B" w:rsidRPr="0008045A">
        <w:rPr>
          <w:sz w:val="26"/>
          <w:szCs w:val="26"/>
        </w:rPr>
        <w:t>Very truly yours,</w:t>
      </w:r>
    </w:p>
    <w:p w14:paraId="697C112A" w14:textId="1B959978" w:rsidR="00905349" w:rsidRPr="0008045A" w:rsidRDefault="00905349" w:rsidP="00C85D7A">
      <w:pPr>
        <w:keepNext/>
        <w:keepLines/>
        <w:ind w:left="5040"/>
        <w:rPr>
          <w:sz w:val="26"/>
          <w:szCs w:val="26"/>
        </w:rPr>
      </w:pPr>
    </w:p>
    <w:p w14:paraId="57AB6461" w14:textId="77777777" w:rsidR="003A072B" w:rsidRDefault="003A072B" w:rsidP="00C85D7A">
      <w:pPr>
        <w:keepNext/>
        <w:keepLines/>
        <w:ind w:left="5040"/>
        <w:rPr>
          <w:sz w:val="26"/>
          <w:szCs w:val="26"/>
        </w:rPr>
      </w:pPr>
    </w:p>
    <w:p w14:paraId="6536BB32" w14:textId="77777777" w:rsidR="00E32A50" w:rsidRPr="0008045A" w:rsidRDefault="00E32A50" w:rsidP="00C85D7A">
      <w:pPr>
        <w:keepNext/>
        <w:keepLines/>
        <w:ind w:left="5040"/>
        <w:rPr>
          <w:sz w:val="26"/>
          <w:szCs w:val="26"/>
        </w:rPr>
      </w:pPr>
    </w:p>
    <w:p w14:paraId="7FB864D2" w14:textId="77777777" w:rsidR="003A072B" w:rsidRPr="0008045A" w:rsidRDefault="00EB6F1D" w:rsidP="00C85D7A">
      <w:pPr>
        <w:keepNext/>
        <w:keepLines/>
        <w:ind w:left="5040"/>
        <w:rPr>
          <w:sz w:val="26"/>
          <w:szCs w:val="26"/>
        </w:rPr>
      </w:pPr>
      <w:r w:rsidRPr="0008045A">
        <w:rPr>
          <w:sz w:val="26"/>
          <w:szCs w:val="26"/>
        </w:rPr>
        <w:t>Rosemary Chiavetta</w:t>
      </w:r>
    </w:p>
    <w:p w14:paraId="22D3F498" w14:textId="1079EA65" w:rsidR="00700EAC" w:rsidRDefault="00F06B16" w:rsidP="00C85D7A">
      <w:pPr>
        <w:keepNext/>
        <w:keepLines/>
        <w:ind w:left="5040"/>
        <w:rPr>
          <w:sz w:val="26"/>
          <w:szCs w:val="26"/>
        </w:rPr>
      </w:pPr>
      <w:r>
        <w:rPr>
          <w:sz w:val="26"/>
          <w:szCs w:val="26"/>
        </w:rPr>
        <w:t>S</w:t>
      </w:r>
      <w:r w:rsidR="003A072B" w:rsidRPr="0008045A">
        <w:rPr>
          <w:sz w:val="26"/>
          <w:szCs w:val="26"/>
        </w:rPr>
        <w:t>ecretary</w:t>
      </w:r>
    </w:p>
    <w:sectPr w:rsidR="00700EAC" w:rsidSect="00FD7505">
      <w:footerReference w:type="default" r:id="rId13"/>
      <w:footerReference w:type="first" r:id="rId14"/>
      <w:pgSz w:w="12240" w:h="15840"/>
      <w:pgMar w:top="64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BD1B" w14:textId="77777777" w:rsidR="007330CD" w:rsidRDefault="007330CD">
      <w:r>
        <w:separator/>
      </w:r>
    </w:p>
  </w:endnote>
  <w:endnote w:type="continuationSeparator" w:id="0">
    <w:p w14:paraId="6BE3B9D6" w14:textId="77777777" w:rsidR="007330CD" w:rsidRDefault="007330CD">
      <w:r>
        <w:continuationSeparator/>
      </w:r>
    </w:p>
  </w:endnote>
  <w:endnote w:type="continuationNotice" w:id="1">
    <w:p w14:paraId="0763647F" w14:textId="77777777" w:rsidR="007330CD" w:rsidRDefault="00733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17107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45004DA8" w14:textId="0E796DEE" w:rsidR="00511ABF" w:rsidRPr="00FD7505" w:rsidRDefault="00FD7505" w:rsidP="00FD7505">
        <w:pPr>
          <w:pStyle w:val="Footer"/>
          <w:jc w:val="center"/>
          <w:rPr>
            <w:sz w:val="26"/>
            <w:szCs w:val="26"/>
          </w:rPr>
        </w:pPr>
        <w:r w:rsidRPr="00FD7505">
          <w:rPr>
            <w:sz w:val="26"/>
            <w:szCs w:val="26"/>
          </w:rPr>
          <w:fldChar w:fldCharType="begin"/>
        </w:r>
        <w:r w:rsidRPr="00FD7505">
          <w:rPr>
            <w:sz w:val="26"/>
            <w:szCs w:val="26"/>
          </w:rPr>
          <w:instrText xml:space="preserve"> PAGE   \* MERGEFORMAT </w:instrText>
        </w:r>
        <w:r w:rsidRPr="00FD7505">
          <w:rPr>
            <w:sz w:val="26"/>
            <w:szCs w:val="26"/>
          </w:rPr>
          <w:fldChar w:fldCharType="separate"/>
        </w:r>
        <w:r w:rsidRPr="00FD7505">
          <w:rPr>
            <w:noProof/>
            <w:sz w:val="26"/>
            <w:szCs w:val="26"/>
          </w:rPr>
          <w:t>2</w:t>
        </w:r>
        <w:r w:rsidRPr="00FD7505">
          <w:rPr>
            <w:noProof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5305" w14:textId="115E8486" w:rsidR="00271871" w:rsidRPr="00271871" w:rsidRDefault="00271871" w:rsidP="00271871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F873" w14:textId="77777777" w:rsidR="007330CD" w:rsidRDefault="007330CD">
      <w:r>
        <w:separator/>
      </w:r>
    </w:p>
  </w:footnote>
  <w:footnote w:type="continuationSeparator" w:id="0">
    <w:p w14:paraId="271822DD" w14:textId="77777777" w:rsidR="007330CD" w:rsidRDefault="007330CD">
      <w:r>
        <w:continuationSeparator/>
      </w:r>
    </w:p>
  </w:footnote>
  <w:footnote w:type="continuationNotice" w:id="1">
    <w:p w14:paraId="2E200D1E" w14:textId="77777777" w:rsidR="007330CD" w:rsidRDefault="00733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956F0"/>
    <w:multiLevelType w:val="hybridMultilevel"/>
    <w:tmpl w:val="C91262AE"/>
    <w:lvl w:ilvl="0" w:tplc="2334FA3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4F1B56"/>
    <w:multiLevelType w:val="hybridMultilevel"/>
    <w:tmpl w:val="31A4C782"/>
    <w:lvl w:ilvl="0" w:tplc="41B0756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680BCB"/>
    <w:multiLevelType w:val="hybridMultilevel"/>
    <w:tmpl w:val="7C9A986C"/>
    <w:lvl w:ilvl="0" w:tplc="04688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E7C1C"/>
    <w:multiLevelType w:val="hybridMultilevel"/>
    <w:tmpl w:val="7F5A2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14ED2"/>
    <w:multiLevelType w:val="hybridMultilevel"/>
    <w:tmpl w:val="43AA2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D76DDE"/>
    <w:multiLevelType w:val="hybridMultilevel"/>
    <w:tmpl w:val="B36A9A6A"/>
    <w:lvl w:ilvl="0" w:tplc="E7DEBB0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22D1"/>
    <w:rsid w:val="00004D77"/>
    <w:rsid w:val="00011C01"/>
    <w:rsid w:val="00016185"/>
    <w:rsid w:val="0001663E"/>
    <w:rsid w:val="00016793"/>
    <w:rsid w:val="00027481"/>
    <w:rsid w:val="00037063"/>
    <w:rsid w:val="000524D5"/>
    <w:rsid w:val="00054239"/>
    <w:rsid w:val="00055F43"/>
    <w:rsid w:val="00066F56"/>
    <w:rsid w:val="00071153"/>
    <w:rsid w:val="00074DE4"/>
    <w:rsid w:val="0008029B"/>
    <w:rsid w:val="0008045A"/>
    <w:rsid w:val="000878F5"/>
    <w:rsid w:val="000928B1"/>
    <w:rsid w:val="00096029"/>
    <w:rsid w:val="000A5ADF"/>
    <w:rsid w:val="000A637F"/>
    <w:rsid w:val="000A659E"/>
    <w:rsid w:val="000A7BAD"/>
    <w:rsid w:val="000B117F"/>
    <w:rsid w:val="000B3967"/>
    <w:rsid w:val="000B3E1D"/>
    <w:rsid w:val="000C11B2"/>
    <w:rsid w:val="000D020B"/>
    <w:rsid w:val="000D26F3"/>
    <w:rsid w:val="000D6753"/>
    <w:rsid w:val="000E19C2"/>
    <w:rsid w:val="000E1EE0"/>
    <w:rsid w:val="000E32E1"/>
    <w:rsid w:val="000E3737"/>
    <w:rsid w:val="000E637E"/>
    <w:rsid w:val="000F03BA"/>
    <w:rsid w:val="000F5F7C"/>
    <w:rsid w:val="001051FF"/>
    <w:rsid w:val="00105E0E"/>
    <w:rsid w:val="00111996"/>
    <w:rsid w:val="00113F9A"/>
    <w:rsid w:val="001142D0"/>
    <w:rsid w:val="001147C1"/>
    <w:rsid w:val="00117F1B"/>
    <w:rsid w:val="001209F1"/>
    <w:rsid w:val="001225C0"/>
    <w:rsid w:val="00125E62"/>
    <w:rsid w:val="00127D9A"/>
    <w:rsid w:val="00130041"/>
    <w:rsid w:val="00132393"/>
    <w:rsid w:val="00133AD9"/>
    <w:rsid w:val="001352D9"/>
    <w:rsid w:val="00136BAB"/>
    <w:rsid w:val="00145471"/>
    <w:rsid w:val="0015050E"/>
    <w:rsid w:val="00153FD8"/>
    <w:rsid w:val="001562BD"/>
    <w:rsid w:val="00157269"/>
    <w:rsid w:val="00157590"/>
    <w:rsid w:val="001658F6"/>
    <w:rsid w:val="001664FF"/>
    <w:rsid w:val="00166FCD"/>
    <w:rsid w:val="00170386"/>
    <w:rsid w:val="001737A8"/>
    <w:rsid w:val="00180CAA"/>
    <w:rsid w:val="0018285B"/>
    <w:rsid w:val="0018448F"/>
    <w:rsid w:val="001865FF"/>
    <w:rsid w:val="00186D21"/>
    <w:rsid w:val="00191C5A"/>
    <w:rsid w:val="00195952"/>
    <w:rsid w:val="00196695"/>
    <w:rsid w:val="001A13E6"/>
    <w:rsid w:val="001A15F2"/>
    <w:rsid w:val="001A2080"/>
    <w:rsid w:val="001A3FDC"/>
    <w:rsid w:val="001B17AD"/>
    <w:rsid w:val="001B28EF"/>
    <w:rsid w:val="001B531E"/>
    <w:rsid w:val="001B6772"/>
    <w:rsid w:val="001C0388"/>
    <w:rsid w:val="001C05EE"/>
    <w:rsid w:val="001C1E78"/>
    <w:rsid w:val="001D1EB7"/>
    <w:rsid w:val="001E1EA6"/>
    <w:rsid w:val="001E3201"/>
    <w:rsid w:val="001E5747"/>
    <w:rsid w:val="001F0752"/>
    <w:rsid w:val="001F2603"/>
    <w:rsid w:val="001F31EB"/>
    <w:rsid w:val="001F6E38"/>
    <w:rsid w:val="00201518"/>
    <w:rsid w:val="00213613"/>
    <w:rsid w:val="00217778"/>
    <w:rsid w:val="0021794B"/>
    <w:rsid w:val="00221E65"/>
    <w:rsid w:val="002229C3"/>
    <w:rsid w:val="002357D8"/>
    <w:rsid w:val="00242094"/>
    <w:rsid w:val="002462B6"/>
    <w:rsid w:val="00247D39"/>
    <w:rsid w:val="00251196"/>
    <w:rsid w:val="00253E27"/>
    <w:rsid w:val="0025496C"/>
    <w:rsid w:val="00254FFA"/>
    <w:rsid w:val="00264944"/>
    <w:rsid w:val="0026602D"/>
    <w:rsid w:val="00271871"/>
    <w:rsid w:val="00271F74"/>
    <w:rsid w:val="00280CC0"/>
    <w:rsid w:val="00282F24"/>
    <w:rsid w:val="002850F1"/>
    <w:rsid w:val="00287550"/>
    <w:rsid w:val="002937BF"/>
    <w:rsid w:val="0029471C"/>
    <w:rsid w:val="00295B24"/>
    <w:rsid w:val="002B0A6A"/>
    <w:rsid w:val="002B2FC4"/>
    <w:rsid w:val="002B79C7"/>
    <w:rsid w:val="002C01E8"/>
    <w:rsid w:val="002C2C22"/>
    <w:rsid w:val="002D695B"/>
    <w:rsid w:val="002E28AA"/>
    <w:rsid w:val="002F4262"/>
    <w:rsid w:val="002F56BC"/>
    <w:rsid w:val="003114E6"/>
    <w:rsid w:val="00317D74"/>
    <w:rsid w:val="003267D4"/>
    <w:rsid w:val="003339C5"/>
    <w:rsid w:val="0033738E"/>
    <w:rsid w:val="0034399B"/>
    <w:rsid w:val="00343B72"/>
    <w:rsid w:val="00355F13"/>
    <w:rsid w:val="00361677"/>
    <w:rsid w:val="00363C5A"/>
    <w:rsid w:val="00364169"/>
    <w:rsid w:val="00366530"/>
    <w:rsid w:val="003677ED"/>
    <w:rsid w:val="00367C43"/>
    <w:rsid w:val="00372835"/>
    <w:rsid w:val="003757F9"/>
    <w:rsid w:val="00380D0D"/>
    <w:rsid w:val="003817B4"/>
    <w:rsid w:val="003845AC"/>
    <w:rsid w:val="0039048B"/>
    <w:rsid w:val="00390D01"/>
    <w:rsid w:val="00391858"/>
    <w:rsid w:val="00392F08"/>
    <w:rsid w:val="0039319E"/>
    <w:rsid w:val="00395B7C"/>
    <w:rsid w:val="003A072B"/>
    <w:rsid w:val="003A3D25"/>
    <w:rsid w:val="003A498E"/>
    <w:rsid w:val="003A50C3"/>
    <w:rsid w:val="003A6C49"/>
    <w:rsid w:val="003A6D93"/>
    <w:rsid w:val="003A7E1B"/>
    <w:rsid w:val="003B12B3"/>
    <w:rsid w:val="003B5C2D"/>
    <w:rsid w:val="003B7871"/>
    <w:rsid w:val="003D2057"/>
    <w:rsid w:val="003D52AE"/>
    <w:rsid w:val="003E3A62"/>
    <w:rsid w:val="003E3BF1"/>
    <w:rsid w:val="003E7D22"/>
    <w:rsid w:val="003E7E17"/>
    <w:rsid w:val="003F2664"/>
    <w:rsid w:val="003F3572"/>
    <w:rsid w:val="00411822"/>
    <w:rsid w:val="00412CAF"/>
    <w:rsid w:val="004131E7"/>
    <w:rsid w:val="00430047"/>
    <w:rsid w:val="00430574"/>
    <w:rsid w:val="00433CF4"/>
    <w:rsid w:val="00437691"/>
    <w:rsid w:val="004446DC"/>
    <w:rsid w:val="0044701F"/>
    <w:rsid w:val="0046248B"/>
    <w:rsid w:val="00463C40"/>
    <w:rsid w:val="00466663"/>
    <w:rsid w:val="00472521"/>
    <w:rsid w:val="00472BB2"/>
    <w:rsid w:val="0047576A"/>
    <w:rsid w:val="004762B3"/>
    <w:rsid w:val="004777F0"/>
    <w:rsid w:val="004829DF"/>
    <w:rsid w:val="004954D1"/>
    <w:rsid w:val="004A061C"/>
    <w:rsid w:val="004A0F9B"/>
    <w:rsid w:val="004A44BC"/>
    <w:rsid w:val="004B6285"/>
    <w:rsid w:val="004C25E3"/>
    <w:rsid w:val="004C2A59"/>
    <w:rsid w:val="004D1180"/>
    <w:rsid w:val="004D1A1C"/>
    <w:rsid w:val="004D3966"/>
    <w:rsid w:val="004D4E46"/>
    <w:rsid w:val="004D6575"/>
    <w:rsid w:val="004E0824"/>
    <w:rsid w:val="004E1206"/>
    <w:rsid w:val="004E7F64"/>
    <w:rsid w:val="004F4D5F"/>
    <w:rsid w:val="00501CC5"/>
    <w:rsid w:val="005027E1"/>
    <w:rsid w:val="00507864"/>
    <w:rsid w:val="00507EE1"/>
    <w:rsid w:val="00511ABF"/>
    <w:rsid w:val="00514B10"/>
    <w:rsid w:val="005336D6"/>
    <w:rsid w:val="0053394E"/>
    <w:rsid w:val="00545234"/>
    <w:rsid w:val="00546357"/>
    <w:rsid w:val="00546F1C"/>
    <w:rsid w:val="00547B7C"/>
    <w:rsid w:val="00555335"/>
    <w:rsid w:val="00561236"/>
    <w:rsid w:val="005718E1"/>
    <w:rsid w:val="00571D8A"/>
    <w:rsid w:val="00572D56"/>
    <w:rsid w:val="005756D9"/>
    <w:rsid w:val="00575B3B"/>
    <w:rsid w:val="005768BF"/>
    <w:rsid w:val="00581326"/>
    <w:rsid w:val="0058480C"/>
    <w:rsid w:val="0059719F"/>
    <w:rsid w:val="005A0FBB"/>
    <w:rsid w:val="005A11FD"/>
    <w:rsid w:val="005A37A2"/>
    <w:rsid w:val="005A382E"/>
    <w:rsid w:val="005B2A1D"/>
    <w:rsid w:val="005B5AA7"/>
    <w:rsid w:val="005B766E"/>
    <w:rsid w:val="005B7F53"/>
    <w:rsid w:val="005B7FD2"/>
    <w:rsid w:val="005C58CB"/>
    <w:rsid w:val="005E1A70"/>
    <w:rsid w:val="005E25C5"/>
    <w:rsid w:val="0060010C"/>
    <w:rsid w:val="00601B8D"/>
    <w:rsid w:val="00602BA0"/>
    <w:rsid w:val="00604B47"/>
    <w:rsid w:val="00611279"/>
    <w:rsid w:val="0061459D"/>
    <w:rsid w:val="0061794E"/>
    <w:rsid w:val="0062183E"/>
    <w:rsid w:val="00624E3A"/>
    <w:rsid w:val="006266EC"/>
    <w:rsid w:val="00626A10"/>
    <w:rsid w:val="00626F36"/>
    <w:rsid w:val="0062751C"/>
    <w:rsid w:val="00630AE9"/>
    <w:rsid w:val="006344A7"/>
    <w:rsid w:val="00636D03"/>
    <w:rsid w:val="006430DB"/>
    <w:rsid w:val="006453D4"/>
    <w:rsid w:val="006465FA"/>
    <w:rsid w:val="006617F0"/>
    <w:rsid w:val="00662093"/>
    <w:rsid w:val="006641CE"/>
    <w:rsid w:val="006755C0"/>
    <w:rsid w:val="00675C8E"/>
    <w:rsid w:val="00676665"/>
    <w:rsid w:val="006766D6"/>
    <w:rsid w:val="00681E36"/>
    <w:rsid w:val="00683D7A"/>
    <w:rsid w:val="006A1B5E"/>
    <w:rsid w:val="006B0350"/>
    <w:rsid w:val="006B0DE7"/>
    <w:rsid w:val="006B6701"/>
    <w:rsid w:val="006B713D"/>
    <w:rsid w:val="006C33BC"/>
    <w:rsid w:val="006C41B5"/>
    <w:rsid w:val="006C5F3C"/>
    <w:rsid w:val="006D0288"/>
    <w:rsid w:val="006D2C48"/>
    <w:rsid w:val="006D3665"/>
    <w:rsid w:val="006D4F47"/>
    <w:rsid w:val="006E0781"/>
    <w:rsid w:val="006F0FCA"/>
    <w:rsid w:val="006F6031"/>
    <w:rsid w:val="00700EAC"/>
    <w:rsid w:val="00704648"/>
    <w:rsid w:val="007049E8"/>
    <w:rsid w:val="00705108"/>
    <w:rsid w:val="00706FBE"/>
    <w:rsid w:val="00707B15"/>
    <w:rsid w:val="0071398D"/>
    <w:rsid w:val="00716BFE"/>
    <w:rsid w:val="00726821"/>
    <w:rsid w:val="007330CD"/>
    <w:rsid w:val="00734698"/>
    <w:rsid w:val="0073490B"/>
    <w:rsid w:val="0074135B"/>
    <w:rsid w:val="007606F5"/>
    <w:rsid w:val="007607CA"/>
    <w:rsid w:val="0076116B"/>
    <w:rsid w:val="00762E1D"/>
    <w:rsid w:val="00765291"/>
    <w:rsid w:val="00771E83"/>
    <w:rsid w:val="007726C0"/>
    <w:rsid w:val="00775628"/>
    <w:rsid w:val="007826AB"/>
    <w:rsid w:val="00783F8E"/>
    <w:rsid w:val="00785BF5"/>
    <w:rsid w:val="00792D00"/>
    <w:rsid w:val="00792E10"/>
    <w:rsid w:val="00796D7F"/>
    <w:rsid w:val="007972BC"/>
    <w:rsid w:val="007A17BA"/>
    <w:rsid w:val="007A5117"/>
    <w:rsid w:val="007A53A2"/>
    <w:rsid w:val="007C0F8C"/>
    <w:rsid w:val="007C46A0"/>
    <w:rsid w:val="007C6DD4"/>
    <w:rsid w:val="007C76C5"/>
    <w:rsid w:val="007D0B29"/>
    <w:rsid w:val="007D0B2A"/>
    <w:rsid w:val="007D1483"/>
    <w:rsid w:val="007D61EF"/>
    <w:rsid w:val="007D663A"/>
    <w:rsid w:val="007E4222"/>
    <w:rsid w:val="007E79DB"/>
    <w:rsid w:val="007F61B2"/>
    <w:rsid w:val="007F651B"/>
    <w:rsid w:val="00800B53"/>
    <w:rsid w:val="00800C80"/>
    <w:rsid w:val="00807300"/>
    <w:rsid w:val="0081203D"/>
    <w:rsid w:val="0081468E"/>
    <w:rsid w:val="0081687F"/>
    <w:rsid w:val="0082172C"/>
    <w:rsid w:val="00822EAD"/>
    <w:rsid w:val="00827532"/>
    <w:rsid w:val="00841F64"/>
    <w:rsid w:val="00843139"/>
    <w:rsid w:val="0084367B"/>
    <w:rsid w:val="00843C34"/>
    <w:rsid w:val="008446E5"/>
    <w:rsid w:val="00844CF2"/>
    <w:rsid w:val="00850F1D"/>
    <w:rsid w:val="008668FC"/>
    <w:rsid w:val="00885E81"/>
    <w:rsid w:val="00887C03"/>
    <w:rsid w:val="00893F02"/>
    <w:rsid w:val="0089411B"/>
    <w:rsid w:val="00895AF3"/>
    <w:rsid w:val="00897393"/>
    <w:rsid w:val="008A17BA"/>
    <w:rsid w:val="008A39CF"/>
    <w:rsid w:val="008A5EE3"/>
    <w:rsid w:val="008B01F0"/>
    <w:rsid w:val="008B7B06"/>
    <w:rsid w:val="008C136E"/>
    <w:rsid w:val="008C2FAF"/>
    <w:rsid w:val="008C645A"/>
    <w:rsid w:val="008D060A"/>
    <w:rsid w:val="008D13AA"/>
    <w:rsid w:val="008D17D5"/>
    <w:rsid w:val="008D4BD7"/>
    <w:rsid w:val="008D5DB0"/>
    <w:rsid w:val="008D7ACB"/>
    <w:rsid w:val="008E2BC0"/>
    <w:rsid w:val="008E440B"/>
    <w:rsid w:val="008E5A93"/>
    <w:rsid w:val="008E7067"/>
    <w:rsid w:val="009046F7"/>
    <w:rsid w:val="00905349"/>
    <w:rsid w:val="00905B9F"/>
    <w:rsid w:val="00914D71"/>
    <w:rsid w:val="0092706C"/>
    <w:rsid w:val="0095100A"/>
    <w:rsid w:val="009520ED"/>
    <w:rsid w:val="00983A4D"/>
    <w:rsid w:val="00984704"/>
    <w:rsid w:val="009926A4"/>
    <w:rsid w:val="00992814"/>
    <w:rsid w:val="00995867"/>
    <w:rsid w:val="00996522"/>
    <w:rsid w:val="009A090F"/>
    <w:rsid w:val="009A66F3"/>
    <w:rsid w:val="009B6A94"/>
    <w:rsid w:val="009C1ED4"/>
    <w:rsid w:val="009D3801"/>
    <w:rsid w:val="009D693A"/>
    <w:rsid w:val="009F3FC1"/>
    <w:rsid w:val="009F5F66"/>
    <w:rsid w:val="009F723A"/>
    <w:rsid w:val="00A10D5B"/>
    <w:rsid w:val="00A11F8D"/>
    <w:rsid w:val="00A15B87"/>
    <w:rsid w:val="00A16BD8"/>
    <w:rsid w:val="00A2061F"/>
    <w:rsid w:val="00A2236A"/>
    <w:rsid w:val="00A23ED7"/>
    <w:rsid w:val="00A27815"/>
    <w:rsid w:val="00A2783C"/>
    <w:rsid w:val="00A35BEB"/>
    <w:rsid w:val="00A42ABF"/>
    <w:rsid w:val="00A45B53"/>
    <w:rsid w:val="00A4617F"/>
    <w:rsid w:val="00A52C46"/>
    <w:rsid w:val="00A53862"/>
    <w:rsid w:val="00A6207D"/>
    <w:rsid w:val="00A66CAF"/>
    <w:rsid w:val="00A81448"/>
    <w:rsid w:val="00A93CF9"/>
    <w:rsid w:val="00AA166F"/>
    <w:rsid w:val="00AA618A"/>
    <w:rsid w:val="00AB34BE"/>
    <w:rsid w:val="00AB4A21"/>
    <w:rsid w:val="00AB7604"/>
    <w:rsid w:val="00AC15FD"/>
    <w:rsid w:val="00AD24C2"/>
    <w:rsid w:val="00AD6536"/>
    <w:rsid w:val="00AE1A44"/>
    <w:rsid w:val="00AE3E98"/>
    <w:rsid w:val="00AE6F0B"/>
    <w:rsid w:val="00B03AC5"/>
    <w:rsid w:val="00B0412C"/>
    <w:rsid w:val="00B13E5D"/>
    <w:rsid w:val="00B16F8D"/>
    <w:rsid w:val="00B22E7C"/>
    <w:rsid w:val="00B26896"/>
    <w:rsid w:val="00B3131B"/>
    <w:rsid w:val="00B468E1"/>
    <w:rsid w:val="00B527F7"/>
    <w:rsid w:val="00B54C9E"/>
    <w:rsid w:val="00B566F4"/>
    <w:rsid w:val="00B739DA"/>
    <w:rsid w:val="00B7797C"/>
    <w:rsid w:val="00B83BF8"/>
    <w:rsid w:val="00B843BD"/>
    <w:rsid w:val="00B95FEF"/>
    <w:rsid w:val="00BC01DD"/>
    <w:rsid w:val="00BC2FB9"/>
    <w:rsid w:val="00BC3334"/>
    <w:rsid w:val="00BC5E18"/>
    <w:rsid w:val="00BD1065"/>
    <w:rsid w:val="00BD3ACA"/>
    <w:rsid w:val="00BD3E04"/>
    <w:rsid w:val="00BE5119"/>
    <w:rsid w:val="00BE6BB3"/>
    <w:rsid w:val="00BF2A85"/>
    <w:rsid w:val="00BF2F0E"/>
    <w:rsid w:val="00BF65F7"/>
    <w:rsid w:val="00C013A1"/>
    <w:rsid w:val="00C13723"/>
    <w:rsid w:val="00C150E0"/>
    <w:rsid w:val="00C21673"/>
    <w:rsid w:val="00C23DA7"/>
    <w:rsid w:val="00C24639"/>
    <w:rsid w:val="00C3346E"/>
    <w:rsid w:val="00C350FD"/>
    <w:rsid w:val="00C402A0"/>
    <w:rsid w:val="00C452DE"/>
    <w:rsid w:val="00C54852"/>
    <w:rsid w:val="00C60269"/>
    <w:rsid w:val="00C74A51"/>
    <w:rsid w:val="00C81D2F"/>
    <w:rsid w:val="00C85D7A"/>
    <w:rsid w:val="00C86FC2"/>
    <w:rsid w:val="00C87227"/>
    <w:rsid w:val="00C903E3"/>
    <w:rsid w:val="00C92570"/>
    <w:rsid w:val="00C94A36"/>
    <w:rsid w:val="00CA50D1"/>
    <w:rsid w:val="00CB0F1A"/>
    <w:rsid w:val="00CB4496"/>
    <w:rsid w:val="00CB4CC1"/>
    <w:rsid w:val="00CB5738"/>
    <w:rsid w:val="00CB640F"/>
    <w:rsid w:val="00CC503F"/>
    <w:rsid w:val="00CC5462"/>
    <w:rsid w:val="00CD4B72"/>
    <w:rsid w:val="00CD633B"/>
    <w:rsid w:val="00CD72FB"/>
    <w:rsid w:val="00CE2850"/>
    <w:rsid w:val="00CE4BEE"/>
    <w:rsid w:val="00CE751D"/>
    <w:rsid w:val="00CE77E6"/>
    <w:rsid w:val="00CF0B77"/>
    <w:rsid w:val="00CF6DFC"/>
    <w:rsid w:val="00CF73EC"/>
    <w:rsid w:val="00D00C60"/>
    <w:rsid w:val="00D04C7D"/>
    <w:rsid w:val="00D0738E"/>
    <w:rsid w:val="00D12C93"/>
    <w:rsid w:val="00D158D4"/>
    <w:rsid w:val="00D15ECF"/>
    <w:rsid w:val="00D16C96"/>
    <w:rsid w:val="00D17649"/>
    <w:rsid w:val="00D26C3C"/>
    <w:rsid w:val="00D27F9D"/>
    <w:rsid w:val="00D3099A"/>
    <w:rsid w:val="00D331A4"/>
    <w:rsid w:val="00D37892"/>
    <w:rsid w:val="00D472DB"/>
    <w:rsid w:val="00D62DCF"/>
    <w:rsid w:val="00D6566B"/>
    <w:rsid w:val="00D71AA3"/>
    <w:rsid w:val="00D8333D"/>
    <w:rsid w:val="00D865D4"/>
    <w:rsid w:val="00D86855"/>
    <w:rsid w:val="00DA21CA"/>
    <w:rsid w:val="00DB0810"/>
    <w:rsid w:val="00DB2119"/>
    <w:rsid w:val="00DB6D5A"/>
    <w:rsid w:val="00DC03CF"/>
    <w:rsid w:val="00DD12C1"/>
    <w:rsid w:val="00DD44F1"/>
    <w:rsid w:val="00DE292B"/>
    <w:rsid w:val="00DE4157"/>
    <w:rsid w:val="00DF0C3D"/>
    <w:rsid w:val="00DF113F"/>
    <w:rsid w:val="00DF2C6D"/>
    <w:rsid w:val="00E02017"/>
    <w:rsid w:val="00E06535"/>
    <w:rsid w:val="00E06CDF"/>
    <w:rsid w:val="00E07B17"/>
    <w:rsid w:val="00E127D7"/>
    <w:rsid w:val="00E1298F"/>
    <w:rsid w:val="00E15577"/>
    <w:rsid w:val="00E16246"/>
    <w:rsid w:val="00E21863"/>
    <w:rsid w:val="00E229FE"/>
    <w:rsid w:val="00E260F4"/>
    <w:rsid w:val="00E3265B"/>
    <w:rsid w:val="00E32A50"/>
    <w:rsid w:val="00E34698"/>
    <w:rsid w:val="00E34726"/>
    <w:rsid w:val="00E42685"/>
    <w:rsid w:val="00E435E6"/>
    <w:rsid w:val="00E43673"/>
    <w:rsid w:val="00E528E4"/>
    <w:rsid w:val="00E57330"/>
    <w:rsid w:val="00E61A32"/>
    <w:rsid w:val="00E63F99"/>
    <w:rsid w:val="00E70913"/>
    <w:rsid w:val="00E71FCA"/>
    <w:rsid w:val="00E74592"/>
    <w:rsid w:val="00E830FB"/>
    <w:rsid w:val="00E84CE6"/>
    <w:rsid w:val="00E87469"/>
    <w:rsid w:val="00E87F23"/>
    <w:rsid w:val="00E90B33"/>
    <w:rsid w:val="00E90D5D"/>
    <w:rsid w:val="00E928F1"/>
    <w:rsid w:val="00E94ACF"/>
    <w:rsid w:val="00E94D86"/>
    <w:rsid w:val="00E95C18"/>
    <w:rsid w:val="00EA0812"/>
    <w:rsid w:val="00EB13E4"/>
    <w:rsid w:val="00EB2B69"/>
    <w:rsid w:val="00EB6F1D"/>
    <w:rsid w:val="00EC6AA7"/>
    <w:rsid w:val="00EC7F84"/>
    <w:rsid w:val="00ED4C3B"/>
    <w:rsid w:val="00ED53DE"/>
    <w:rsid w:val="00EE189B"/>
    <w:rsid w:val="00EE18A6"/>
    <w:rsid w:val="00EE233D"/>
    <w:rsid w:val="00EE43D7"/>
    <w:rsid w:val="00EE7625"/>
    <w:rsid w:val="00EE7EB6"/>
    <w:rsid w:val="00EF01F5"/>
    <w:rsid w:val="00EF3FBF"/>
    <w:rsid w:val="00EF417A"/>
    <w:rsid w:val="00EF7F10"/>
    <w:rsid w:val="00F04CF8"/>
    <w:rsid w:val="00F06B16"/>
    <w:rsid w:val="00F10506"/>
    <w:rsid w:val="00F15982"/>
    <w:rsid w:val="00F1734F"/>
    <w:rsid w:val="00F20777"/>
    <w:rsid w:val="00F3664C"/>
    <w:rsid w:val="00F36C65"/>
    <w:rsid w:val="00F4285D"/>
    <w:rsid w:val="00F42C1D"/>
    <w:rsid w:val="00F43974"/>
    <w:rsid w:val="00F50FDD"/>
    <w:rsid w:val="00F51EAB"/>
    <w:rsid w:val="00F52CB9"/>
    <w:rsid w:val="00F62396"/>
    <w:rsid w:val="00F63030"/>
    <w:rsid w:val="00F649C8"/>
    <w:rsid w:val="00F65AE7"/>
    <w:rsid w:val="00F7094C"/>
    <w:rsid w:val="00F7384B"/>
    <w:rsid w:val="00F80FD2"/>
    <w:rsid w:val="00F90E04"/>
    <w:rsid w:val="00F912E6"/>
    <w:rsid w:val="00F94486"/>
    <w:rsid w:val="00F9452A"/>
    <w:rsid w:val="00F9546C"/>
    <w:rsid w:val="00FA0578"/>
    <w:rsid w:val="00FA2411"/>
    <w:rsid w:val="00FA24C9"/>
    <w:rsid w:val="00FA7D17"/>
    <w:rsid w:val="00FC0BA0"/>
    <w:rsid w:val="00FC0D39"/>
    <w:rsid w:val="00FC3004"/>
    <w:rsid w:val="00FC51D7"/>
    <w:rsid w:val="00FD0863"/>
    <w:rsid w:val="00FD52BB"/>
    <w:rsid w:val="00FD7505"/>
    <w:rsid w:val="00FE0640"/>
    <w:rsid w:val="00FE0954"/>
    <w:rsid w:val="00FE3973"/>
    <w:rsid w:val="00FE744F"/>
    <w:rsid w:val="00FE7945"/>
    <w:rsid w:val="00FE7D60"/>
    <w:rsid w:val="00FF638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71457"/>
  <w15:chartTrackingRefBased/>
  <w15:docId w15:val="{4308E5C7-57D9-4547-8723-5804A40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1DD"/>
    <w:rPr>
      <w:color w:val="808080"/>
      <w:shd w:val="clear" w:color="auto" w:fill="E6E6E6"/>
    </w:rPr>
  </w:style>
  <w:style w:type="table" w:styleId="TableGrid">
    <w:name w:val="Table Grid"/>
    <w:basedOn w:val="TableNormal"/>
    <w:rsid w:val="0099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0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1ABF"/>
  </w:style>
  <w:style w:type="paragraph" w:styleId="FootnoteText">
    <w:name w:val="footnote text"/>
    <w:aliases w:val="Car,fn,ALTS FOOTNOTE,Footnote Text 2,Footnote text,FOOTNOTE,fn Char Char,fn Char,Footnote Text Char1 Char,Footnote Text Char Char Char,ALTS FOOTNOTE Char Char Char,Footnote Text Char2 Char Char Char,Footnote Text Char1,Footnote Text Char2"/>
    <w:basedOn w:val="Normal"/>
    <w:link w:val="FootnoteTextChar"/>
    <w:uiPriority w:val="99"/>
    <w:qFormat/>
    <w:rsid w:val="00CE2850"/>
  </w:style>
  <w:style w:type="character" w:customStyle="1" w:styleId="FootnoteTextChar">
    <w:name w:val="Footnote Text Char"/>
    <w:aliases w:val="Car Char,fn Char1,ALTS FOOTNOTE Char,Footnote Text 2 Char,Footnote text Char,FOOTNOTE Char,fn Char Char Char,fn Char Char1,Footnote Text Char1 Char Char,Footnote Text Char Char Char Char,ALTS FOOTNOTE Char Char Char Char"/>
    <w:basedOn w:val="DefaultParagraphFont"/>
    <w:link w:val="FootnoteText"/>
    <w:uiPriority w:val="99"/>
    <w:qFormat/>
    <w:rsid w:val="00CE2850"/>
  </w:style>
  <w:style w:type="character" w:styleId="FootnoteReference">
    <w:name w:val="footnote reference"/>
    <w:aliases w:val="o,fr,Style 42,Style 13,Style 12,Style 28,(NECG) Footnote Reference,Style 11,Style 9,Style 16,Style 15,Style 17,Style 20,o1,fr1,o2,fr2,o3,fr3,Style 8,Style 7,Style 19,Appel note de bas de p,Style 124,Style 3,FR,Style 6"/>
    <w:basedOn w:val="DefaultParagraphFont"/>
    <w:uiPriority w:val="99"/>
    <w:rsid w:val="00CE2850"/>
    <w:rPr>
      <w:vertAlign w:val="superscript"/>
    </w:rPr>
  </w:style>
  <w:style w:type="character" w:styleId="CommentReference">
    <w:name w:val="annotation reference"/>
    <w:basedOn w:val="DefaultParagraphFont"/>
    <w:rsid w:val="00157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7269"/>
  </w:style>
  <w:style w:type="character" w:customStyle="1" w:styleId="CommentTextChar">
    <w:name w:val="Comment Text Char"/>
    <w:basedOn w:val="DefaultParagraphFont"/>
    <w:link w:val="CommentText"/>
    <w:rsid w:val="00157269"/>
  </w:style>
  <w:style w:type="paragraph" w:styleId="CommentSubject">
    <w:name w:val="annotation subject"/>
    <w:basedOn w:val="CommentText"/>
    <w:next w:val="CommentText"/>
    <w:link w:val="CommentSubjectChar"/>
    <w:rsid w:val="00157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231344B9EE4B8B22DC6840AEA7B1" ma:contentTypeVersion="5" ma:contentTypeDescription="Create a new document." ma:contentTypeScope="" ma:versionID="e889a9776ed4eb619ba3fff6094f631c">
  <xsd:schema xmlns:xsd="http://www.w3.org/2001/XMLSchema" xmlns:xs="http://www.w3.org/2001/XMLSchema" xmlns:p="http://schemas.microsoft.com/office/2006/metadata/properties" xmlns:ns3="d05a8398-04f0-4137-a38f-3b39b52e6d40" xmlns:ns4="d5f46cfd-17ef-4676-98d9-262db6702185" targetNamespace="http://schemas.microsoft.com/office/2006/metadata/properties" ma:root="true" ma:fieldsID="32fafd800a833a663de9f44d9b550dfa" ns3:_="" ns4:_="">
    <xsd:import namespace="d05a8398-04f0-4137-a38f-3b39b52e6d40"/>
    <xsd:import namespace="d5f46cfd-17ef-4676-98d9-262db6702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8398-04f0-4137-a38f-3b39b52e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6cfd-17ef-4676-98d9-262db6702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8D731-5564-48F1-8735-ACA0289CA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a8398-04f0-4137-a38f-3b39b52e6d40"/>
    <ds:schemaRef ds:uri="d5f46cfd-17ef-4676-98d9-262db6702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960CB-8754-49E4-B504-491637D8F5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3B5EA-325B-4178-A0EF-9CAA25913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DB849-EA60-4FB5-8DF6-779B4A08D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2030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mailto:jnase@pa.gov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MARINKO</dc:creator>
  <cp:keywords/>
  <cp:lastModifiedBy>Wagner, Nathan R</cp:lastModifiedBy>
  <cp:revision>2</cp:revision>
  <cp:lastPrinted>2020-01-22T15:26:00Z</cp:lastPrinted>
  <dcterms:created xsi:type="dcterms:W3CDTF">2021-04-23T16:43:00Z</dcterms:created>
  <dcterms:modified xsi:type="dcterms:W3CDTF">2021-04-23T16:43:00Z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0x0101000FA1231344B9EE4B8B22DC6840AEA7B1</vt:lpwstr>
  </property>
</Properties>
</file>