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A000" w14:textId="77777777" w:rsidR="002B4288" w:rsidRPr="00C74D34" w:rsidRDefault="002B4288" w:rsidP="00B11342">
      <w:pPr>
        <w:tabs>
          <w:tab w:val="center" w:pos="4680"/>
        </w:tabs>
        <w:suppressAutoHyphens/>
        <w:spacing w:line="240" w:lineRule="auto"/>
        <w:jc w:val="center"/>
        <w:rPr>
          <w:b/>
          <w:szCs w:val="26"/>
        </w:rPr>
      </w:pPr>
      <w:r w:rsidRPr="00C74D34">
        <w:rPr>
          <w:b/>
          <w:szCs w:val="26"/>
        </w:rPr>
        <w:t>PENNSYLVANIA</w:t>
      </w:r>
    </w:p>
    <w:p w14:paraId="35EAE383" w14:textId="77777777" w:rsidR="002B4288" w:rsidRPr="00C74D34" w:rsidRDefault="002B4288" w:rsidP="00B11342">
      <w:pPr>
        <w:tabs>
          <w:tab w:val="center" w:pos="4680"/>
        </w:tabs>
        <w:suppressAutoHyphens/>
        <w:spacing w:line="240" w:lineRule="auto"/>
        <w:jc w:val="center"/>
        <w:rPr>
          <w:szCs w:val="26"/>
        </w:rPr>
      </w:pPr>
      <w:r w:rsidRPr="00C74D34">
        <w:rPr>
          <w:b/>
          <w:szCs w:val="26"/>
        </w:rPr>
        <w:t>PUBLIC UTILITY COMMISSION</w:t>
      </w:r>
    </w:p>
    <w:p w14:paraId="0F26E552" w14:textId="4004706F" w:rsidR="002B4288" w:rsidRPr="00C74D34" w:rsidRDefault="002B4288" w:rsidP="00B11342">
      <w:pPr>
        <w:tabs>
          <w:tab w:val="center" w:pos="4680"/>
        </w:tabs>
        <w:suppressAutoHyphens/>
        <w:spacing w:line="240" w:lineRule="auto"/>
        <w:jc w:val="center"/>
        <w:rPr>
          <w:b/>
          <w:szCs w:val="26"/>
        </w:rPr>
      </w:pPr>
      <w:r w:rsidRPr="00C74D34">
        <w:rPr>
          <w:b/>
          <w:szCs w:val="26"/>
        </w:rPr>
        <w:t>Harrisburg, PA 17</w:t>
      </w:r>
      <w:r w:rsidR="001E2646" w:rsidRPr="00C74D34">
        <w:rPr>
          <w:b/>
          <w:szCs w:val="26"/>
        </w:rPr>
        <w:t>120</w:t>
      </w:r>
    </w:p>
    <w:p w14:paraId="2053B861" w14:textId="37BD92F5" w:rsidR="002B4288" w:rsidRPr="00C74D34" w:rsidRDefault="002B4288" w:rsidP="00B11342">
      <w:pPr>
        <w:tabs>
          <w:tab w:val="center" w:pos="4680"/>
        </w:tabs>
        <w:suppressAutoHyphens/>
        <w:spacing w:line="240" w:lineRule="auto"/>
        <w:jc w:val="center"/>
        <w:rPr>
          <w:b/>
          <w:szCs w:val="26"/>
        </w:rPr>
      </w:pPr>
    </w:p>
    <w:p w14:paraId="7EBB9286" w14:textId="77777777" w:rsidR="009558FB" w:rsidRPr="00C74D34" w:rsidRDefault="009558FB" w:rsidP="00B11342">
      <w:pPr>
        <w:tabs>
          <w:tab w:val="center" w:pos="4680"/>
        </w:tabs>
        <w:suppressAutoHyphens/>
        <w:spacing w:line="240" w:lineRule="auto"/>
        <w:jc w:val="center"/>
        <w:rPr>
          <w:b/>
          <w:szCs w:val="2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372"/>
      </w:tblGrid>
      <w:tr w:rsidR="002B4288" w:rsidRPr="00C74D34" w14:paraId="4390BA08" w14:textId="77777777" w:rsidTr="003B76AB">
        <w:tc>
          <w:tcPr>
            <w:tcW w:w="4988" w:type="dxa"/>
          </w:tcPr>
          <w:p w14:paraId="46D51444" w14:textId="77777777" w:rsidR="002B4288" w:rsidRPr="00C74D34" w:rsidRDefault="002B4288" w:rsidP="00B11342">
            <w:pPr>
              <w:spacing w:line="240" w:lineRule="auto"/>
              <w:rPr>
                <w:rFonts w:ascii="Times New Roman" w:hAnsi="Times New Roman" w:cs="Times New Roman"/>
                <w:szCs w:val="26"/>
              </w:rPr>
            </w:pPr>
          </w:p>
        </w:tc>
        <w:tc>
          <w:tcPr>
            <w:tcW w:w="4372" w:type="dxa"/>
          </w:tcPr>
          <w:p w14:paraId="777742ED" w14:textId="122CE035" w:rsidR="002B4288" w:rsidRPr="00C74D34" w:rsidRDefault="002B4288" w:rsidP="00B11342">
            <w:pPr>
              <w:spacing w:line="240" w:lineRule="auto"/>
              <w:ind w:left="-108"/>
              <w:jc w:val="right"/>
              <w:rPr>
                <w:rFonts w:ascii="Times New Roman" w:hAnsi="Times New Roman" w:cs="Times New Roman"/>
                <w:szCs w:val="26"/>
              </w:rPr>
            </w:pPr>
            <w:r w:rsidRPr="00C74D34">
              <w:rPr>
                <w:rFonts w:ascii="Times New Roman" w:hAnsi="Times New Roman" w:cs="Times New Roman"/>
                <w:szCs w:val="26"/>
              </w:rPr>
              <w:t xml:space="preserve">Public Meeting held </w:t>
            </w:r>
            <w:r w:rsidR="004C3D0A" w:rsidRPr="00C74D34">
              <w:rPr>
                <w:rFonts w:ascii="Times New Roman" w:hAnsi="Times New Roman" w:cs="Times New Roman"/>
                <w:szCs w:val="26"/>
              </w:rPr>
              <w:t xml:space="preserve">May </w:t>
            </w:r>
            <w:r w:rsidR="00BC3FA8">
              <w:rPr>
                <w:rFonts w:ascii="Times New Roman" w:hAnsi="Times New Roman" w:cs="Times New Roman"/>
                <w:szCs w:val="26"/>
              </w:rPr>
              <w:t>20</w:t>
            </w:r>
            <w:r w:rsidR="004C3D0A" w:rsidRPr="00C74D34">
              <w:rPr>
                <w:rFonts w:ascii="Times New Roman" w:hAnsi="Times New Roman" w:cs="Times New Roman"/>
                <w:szCs w:val="26"/>
              </w:rPr>
              <w:t xml:space="preserve">, </w:t>
            </w:r>
            <w:proofErr w:type="gramStart"/>
            <w:r w:rsidR="004C3D0A" w:rsidRPr="00C74D34">
              <w:rPr>
                <w:rFonts w:ascii="Times New Roman" w:hAnsi="Times New Roman" w:cs="Times New Roman"/>
                <w:szCs w:val="26"/>
              </w:rPr>
              <w:t>2021</w:t>
            </w:r>
            <w:proofErr w:type="gramEnd"/>
          </w:p>
          <w:p w14:paraId="354F7037" w14:textId="77777777" w:rsidR="002B4288" w:rsidRPr="00C74D34" w:rsidRDefault="002B4288" w:rsidP="00B11342">
            <w:pPr>
              <w:spacing w:line="240" w:lineRule="auto"/>
              <w:jc w:val="right"/>
              <w:rPr>
                <w:rFonts w:ascii="Times New Roman" w:hAnsi="Times New Roman" w:cs="Times New Roman"/>
                <w:szCs w:val="26"/>
              </w:rPr>
            </w:pPr>
          </w:p>
        </w:tc>
      </w:tr>
      <w:tr w:rsidR="002B4288" w:rsidRPr="00C74D34" w14:paraId="6F598D64" w14:textId="77777777" w:rsidTr="003B76AB">
        <w:tc>
          <w:tcPr>
            <w:tcW w:w="4988" w:type="dxa"/>
          </w:tcPr>
          <w:p w14:paraId="223DACC2" w14:textId="77777777" w:rsidR="002B4288" w:rsidRPr="00C74D34" w:rsidRDefault="002B4288" w:rsidP="00B11342">
            <w:pPr>
              <w:spacing w:line="240" w:lineRule="auto"/>
              <w:rPr>
                <w:rFonts w:ascii="Times New Roman" w:hAnsi="Times New Roman" w:cs="Times New Roman"/>
                <w:szCs w:val="26"/>
              </w:rPr>
            </w:pPr>
          </w:p>
        </w:tc>
        <w:tc>
          <w:tcPr>
            <w:tcW w:w="4372" w:type="dxa"/>
          </w:tcPr>
          <w:p w14:paraId="33195EE0" w14:textId="77777777" w:rsidR="002B4288" w:rsidRPr="00C74D34" w:rsidRDefault="002B4288" w:rsidP="00B11342">
            <w:pPr>
              <w:spacing w:line="240" w:lineRule="auto"/>
              <w:ind w:left="-108"/>
              <w:jc w:val="right"/>
              <w:rPr>
                <w:rFonts w:ascii="Times New Roman" w:hAnsi="Times New Roman" w:cs="Times New Roman"/>
                <w:szCs w:val="26"/>
              </w:rPr>
            </w:pPr>
          </w:p>
        </w:tc>
      </w:tr>
      <w:tr w:rsidR="002B4288" w:rsidRPr="00C74D34" w14:paraId="30B725F7" w14:textId="77777777" w:rsidTr="003B76AB">
        <w:tc>
          <w:tcPr>
            <w:tcW w:w="4988" w:type="dxa"/>
          </w:tcPr>
          <w:p w14:paraId="5992233F" w14:textId="77777777" w:rsidR="002B4288" w:rsidRPr="00C74D34" w:rsidRDefault="002B4288" w:rsidP="00B11342">
            <w:pPr>
              <w:spacing w:line="240" w:lineRule="auto"/>
              <w:rPr>
                <w:rFonts w:ascii="Times New Roman" w:hAnsi="Times New Roman" w:cs="Times New Roman"/>
                <w:szCs w:val="26"/>
              </w:rPr>
            </w:pPr>
            <w:r w:rsidRPr="00C74D34">
              <w:rPr>
                <w:rFonts w:ascii="Times New Roman" w:hAnsi="Times New Roman" w:cs="Times New Roman"/>
                <w:szCs w:val="26"/>
              </w:rPr>
              <w:t>Commissioners Present:</w:t>
            </w:r>
          </w:p>
          <w:p w14:paraId="565F13B5" w14:textId="77777777" w:rsidR="002B4288" w:rsidRPr="00C74D34" w:rsidRDefault="002B4288" w:rsidP="00B11342">
            <w:pPr>
              <w:spacing w:line="240" w:lineRule="auto"/>
              <w:rPr>
                <w:rFonts w:ascii="Times New Roman" w:hAnsi="Times New Roman" w:cs="Times New Roman"/>
                <w:szCs w:val="26"/>
              </w:rPr>
            </w:pPr>
          </w:p>
          <w:p w14:paraId="626B9A36" w14:textId="77777777" w:rsidR="002B4288" w:rsidRPr="00C74D34" w:rsidRDefault="002B4288" w:rsidP="00B11342">
            <w:pPr>
              <w:suppressAutoHyphens/>
              <w:spacing w:line="240" w:lineRule="auto"/>
              <w:ind w:left="705"/>
              <w:rPr>
                <w:rFonts w:ascii="Times New Roman" w:hAnsi="Times New Roman" w:cs="Times New Roman"/>
                <w:szCs w:val="26"/>
              </w:rPr>
            </w:pPr>
            <w:r w:rsidRPr="00C74D34">
              <w:rPr>
                <w:rFonts w:ascii="Times New Roman" w:hAnsi="Times New Roman" w:cs="Times New Roman"/>
                <w:szCs w:val="26"/>
              </w:rPr>
              <w:tab/>
              <w:t xml:space="preserve">Gladys Brown </w:t>
            </w:r>
            <w:proofErr w:type="spellStart"/>
            <w:r w:rsidRPr="00C74D34">
              <w:rPr>
                <w:rFonts w:ascii="Times New Roman" w:hAnsi="Times New Roman" w:cs="Times New Roman"/>
                <w:szCs w:val="26"/>
              </w:rPr>
              <w:t>Dutrieuille</w:t>
            </w:r>
            <w:proofErr w:type="spellEnd"/>
            <w:r w:rsidRPr="00C74D34">
              <w:rPr>
                <w:rFonts w:ascii="Times New Roman" w:hAnsi="Times New Roman" w:cs="Times New Roman"/>
                <w:szCs w:val="26"/>
              </w:rPr>
              <w:t>, Chairman</w:t>
            </w:r>
          </w:p>
          <w:p w14:paraId="5507ECE5" w14:textId="11745A31" w:rsidR="002B4288" w:rsidRPr="00C74D34" w:rsidRDefault="002B4288" w:rsidP="00B11342">
            <w:pPr>
              <w:suppressAutoHyphens/>
              <w:spacing w:line="240" w:lineRule="auto"/>
              <w:ind w:left="705"/>
              <w:rPr>
                <w:rFonts w:ascii="Times New Roman" w:hAnsi="Times New Roman" w:cs="Times New Roman"/>
                <w:szCs w:val="26"/>
              </w:rPr>
            </w:pPr>
            <w:r w:rsidRPr="00C74D34">
              <w:rPr>
                <w:rFonts w:ascii="Times New Roman" w:hAnsi="Times New Roman" w:cs="Times New Roman"/>
                <w:szCs w:val="26"/>
              </w:rPr>
              <w:tab/>
              <w:t>David W. Sweet, Vice Chairman</w:t>
            </w:r>
          </w:p>
          <w:p w14:paraId="2C1800E2" w14:textId="77777777" w:rsidR="002B4288" w:rsidRPr="00C74D34" w:rsidRDefault="002B4288" w:rsidP="00B11342">
            <w:pPr>
              <w:suppressAutoHyphens/>
              <w:spacing w:line="240" w:lineRule="auto"/>
              <w:ind w:left="705"/>
              <w:rPr>
                <w:rFonts w:ascii="Times New Roman" w:hAnsi="Times New Roman" w:cs="Times New Roman"/>
                <w:szCs w:val="26"/>
              </w:rPr>
            </w:pPr>
            <w:r w:rsidRPr="00C74D34">
              <w:rPr>
                <w:rFonts w:ascii="Times New Roman" w:hAnsi="Times New Roman" w:cs="Times New Roman"/>
                <w:szCs w:val="26"/>
              </w:rPr>
              <w:tab/>
              <w:t>John F. Coleman, Jr.</w:t>
            </w:r>
          </w:p>
          <w:p w14:paraId="2FE6A2F6" w14:textId="77777777" w:rsidR="002B4288" w:rsidRPr="00C74D34" w:rsidRDefault="002B4288" w:rsidP="00B11342">
            <w:pPr>
              <w:suppressAutoHyphens/>
              <w:spacing w:line="240" w:lineRule="auto"/>
              <w:ind w:left="705"/>
              <w:rPr>
                <w:rFonts w:ascii="Times New Roman" w:hAnsi="Times New Roman" w:cs="Times New Roman"/>
                <w:szCs w:val="26"/>
              </w:rPr>
            </w:pPr>
            <w:r w:rsidRPr="00C74D34">
              <w:rPr>
                <w:rFonts w:ascii="Times New Roman" w:hAnsi="Times New Roman" w:cs="Times New Roman"/>
                <w:szCs w:val="26"/>
              </w:rPr>
              <w:tab/>
              <w:t xml:space="preserve">Ralph V. </w:t>
            </w:r>
            <w:proofErr w:type="spellStart"/>
            <w:r w:rsidRPr="00C74D34">
              <w:rPr>
                <w:rFonts w:ascii="Times New Roman" w:hAnsi="Times New Roman" w:cs="Times New Roman"/>
                <w:szCs w:val="26"/>
              </w:rPr>
              <w:t>Yanora</w:t>
            </w:r>
            <w:proofErr w:type="spellEnd"/>
          </w:p>
          <w:p w14:paraId="4D9A5859" w14:textId="32C41B42" w:rsidR="009558FB" w:rsidRPr="00C74D34" w:rsidRDefault="009558FB" w:rsidP="00B11342">
            <w:pPr>
              <w:tabs>
                <w:tab w:val="left" w:pos="705"/>
              </w:tabs>
              <w:autoSpaceDE w:val="0"/>
              <w:autoSpaceDN w:val="0"/>
              <w:adjustRightInd w:val="0"/>
              <w:spacing w:line="240" w:lineRule="auto"/>
              <w:contextualSpacing/>
              <w:rPr>
                <w:rFonts w:ascii="Times New Roman" w:hAnsi="Times New Roman" w:cs="Times New Roman"/>
                <w:szCs w:val="26"/>
              </w:rPr>
            </w:pPr>
          </w:p>
        </w:tc>
        <w:tc>
          <w:tcPr>
            <w:tcW w:w="4372" w:type="dxa"/>
          </w:tcPr>
          <w:p w14:paraId="353C3F1A" w14:textId="77777777" w:rsidR="002B4288" w:rsidRPr="00C74D34" w:rsidRDefault="002B4288" w:rsidP="00B11342">
            <w:pPr>
              <w:spacing w:line="240" w:lineRule="auto"/>
              <w:jc w:val="right"/>
              <w:rPr>
                <w:rFonts w:ascii="Times New Roman" w:hAnsi="Times New Roman" w:cs="Times New Roman"/>
                <w:szCs w:val="26"/>
              </w:rPr>
            </w:pPr>
          </w:p>
          <w:p w14:paraId="634D8A15" w14:textId="77777777" w:rsidR="002B4288" w:rsidRPr="00C74D34" w:rsidRDefault="002B4288" w:rsidP="00B11342">
            <w:pPr>
              <w:spacing w:line="240" w:lineRule="auto"/>
              <w:jc w:val="right"/>
              <w:rPr>
                <w:rFonts w:ascii="Times New Roman" w:hAnsi="Times New Roman" w:cs="Times New Roman"/>
                <w:szCs w:val="26"/>
              </w:rPr>
            </w:pPr>
          </w:p>
        </w:tc>
      </w:tr>
      <w:tr w:rsidR="002B4288" w:rsidRPr="00C74D34" w14:paraId="77AE36A7" w14:textId="77777777" w:rsidTr="003B76AB">
        <w:tc>
          <w:tcPr>
            <w:tcW w:w="4988" w:type="dxa"/>
          </w:tcPr>
          <w:p w14:paraId="7D384281" w14:textId="50B19090" w:rsidR="002B4288" w:rsidRPr="00C74D34" w:rsidRDefault="002B4288" w:rsidP="00F64E78">
            <w:pPr>
              <w:suppressAutoHyphens/>
              <w:spacing w:line="240" w:lineRule="auto"/>
              <w:rPr>
                <w:rFonts w:ascii="Times New Roman" w:hAnsi="Times New Roman" w:cs="Times New Roman"/>
                <w:szCs w:val="26"/>
              </w:rPr>
            </w:pPr>
            <w:r w:rsidRPr="00C74D34">
              <w:rPr>
                <w:rFonts w:ascii="Times New Roman" w:hAnsi="Times New Roman" w:cs="Times New Roman"/>
                <w:szCs w:val="26"/>
              </w:rPr>
              <w:t xml:space="preserve">Applications of </w:t>
            </w:r>
            <w:proofErr w:type="spellStart"/>
            <w:r w:rsidRPr="00C74D34">
              <w:rPr>
                <w:rFonts w:ascii="Times New Roman" w:hAnsi="Times New Roman" w:cs="Times New Roman"/>
                <w:szCs w:val="26"/>
              </w:rPr>
              <w:t>Transource</w:t>
            </w:r>
            <w:proofErr w:type="spellEnd"/>
            <w:r w:rsidRPr="00C74D34">
              <w:rPr>
                <w:rFonts w:ascii="Times New Roman" w:hAnsi="Times New Roman" w:cs="Times New Roman"/>
                <w:szCs w:val="26"/>
              </w:rPr>
              <w:t xml:space="preserve"> Pennsylvania, LLC for approval of the Siting and Construction of the 230 kV Transmission Line Associated with the Independence Energy Connection – East and West Projects in portions of York and Franklin Counties, Pennsylvania</w:t>
            </w:r>
          </w:p>
          <w:p w14:paraId="4703D348" w14:textId="77777777" w:rsidR="000C6E37" w:rsidRPr="00C74D34" w:rsidRDefault="000C6E37" w:rsidP="00F64E78">
            <w:pPr>
              <w:suppressAutoHyphens/>
              <w:spacing w:line="240" w:lineRule="auto"/>
              <w:rPr>
                <w:rFonts w:ascii="Times New Roman" w:hAnsi="Times New Roman" w:cs="Times New Roman"/>
                <w:szCs w:val="26"/>
              </w:rPr>
            </w:pPr>
          </w:p>
          <w:p w14:paraId="4D0343C0" w14:textId="3BFC302E" w:rsidR="002B4288" w:rsidRPr="00C74D34" w:rsidRDefault="002B4288" w:rsidP="00F64E78">
            <w:pPr>
              <w:spacing w:line="240" w:lineRule="auto"/>
              <w:rPr>
                <w:rFonts w:ascii="Times New Roman" w:hAnsi="Times New Roman" w:cs="Times New Roman"/>
                <w:szCs w:val="26"/>
              </w:rPr>
            </w:pPr>
            <w:r w:rsidRPr="00C74D34">
              <w:rPr>
                <w:rFonts w:ascii="Times New Roman" w:hAnsi="Times New Roman" w:cs="Times New Roman"/>
                <w:szCs w:val="26"/>
              </w:rPr>
              <w:t xml:space="preserve">Petitions of </w:t>
            </w:r>
            <w:proofErr w:type="spellStart"/>
            <w:r w:rsidRPr="00C74D34">
              <w:rPr>
                <w:rFonts w:ascii="Times New Roman" w:hAnsi="Times New Roman" w:cs="Times New Roman"/>
                <w:szCs w:val="26"/>
              </w:rPr>
              <w:t>Transource</w:t>
            </w:r>
            <w:proofErr w:type="spellEnd"/>
            <w:r w:rsidRPr="00C74D34">
              <w:rPr>
                <w:rFonts w:ascii="Times New Roman" w:hAnsi="Times New Roman" w:cs="Times New Roman"/>
                <w:szCs w:val="26"/>
              </w:rPr>
              <w:t xml:space="preserve"> Pennsylvania, LLC</w:t>
            </w:r>
            <w:r w:rsidR="00F64E78" w:rsidRPr="00C74D34">
              <w:rPr>
                <w:rFonts w:ascii="Times New Roman" w:hAnsi="Times New Roman" w:cs="Times New Roman"/>
                <w:szCs w:val="26"/>
              </w:rPr>
              <w:t xml:space="preserve"> </w:t>
            </w:r>
            <w:r w:rsidRPr="00C74D34">
              <w:rPr>
                <w:rFonts w:ascii="Times New Roman" w:hAnsi="Times New Roman" w:cs="Times New Roman"/>
                <w:szCs w:val="26"/>
              </w:rPr>
              <w:t xml:space="preserve">for a finding that a building to shelter control equipment at the Rice Substation in Franklin County, Pennsylvania and the Furnace Run Substation in York County, Pennsylvania are reasonably necessary for the convenience or welfare of the </w:t>
            </w:r>
            <w:proofErr w:type="gramStart"/>
            <w:r w:rsidRPr="00C74D34">
              <w:rPr>
                <w:rFonts w:ascii="Times New Roman" w:hAnsi="Times New Roman" w:cs="Times New Roman"/>
                <w:szCs w:val="26"/>
              </w:rPr>
              <w:t>public</w:t>
            </w:r>
            <w:proofErr w:type="gramEnd"/>
          </w:p>
          <w:p w14:paraId="114B0940" w14:textId="77777777" w:rsidR="002B4288" w:rsidRPr="00C74D34" w:rsidRDefault="002B4288" w:rsidP="000C6E37">
            <w:pPr>
              <w:spacing w:line="240" w:lineRule="auto"/>
              <w:rPr>
                <w:rFonts w:ascii="Times New Roman" w:hAnsi="Times New Roman" w:cs="Times New Roman"/>
                <w:szCs w:val="26"/>
              </w:rPr>
            </w:pPr>
          </w:p>
          <w:p w14:paraId="06AE9054" w14:textId="54D12170" w:rsidR="002B4288" w:rsidRPr="00C74D34" w:rsidRDefault="002B4288" w:rsidP="00F64E78">
            <w:pPr>
              <w:spacing w:line="240" w:lineRule="auto"/>
              <w:rPr>
                <w:rFonts w:ascii="Times New Roman" w:hAnsi="Times New Roman" w:cs="Times New Roman"/>
                <w:szCs w:val="26"/>
              </w:rPr>
            </w:pPr>
            <w:r w:rsidRPr="00C74D34">
              <w:rPr>
                <w:rFonts w:ascii="Times New Roman" w:hAnsi="Times New Roman" w:cs="Times New Roman"/>
                <w:szCs w:val="26"/>
              </w:rPr>
              <w:t xml:space="preserve">Application of </w:t>
            </w:r>
            <w:proofErr w:type="spellStart"/>
            <w:r w:rsidRPr="00C74D34">
              <w:rPr>
                <w:rFonts w:ascii="Times New Roman" w:hAnsi="Times New Roman" w:cs="Times New Roman"/>
                <w:szCs w:val="26"/>
              </w:rPr>
              <w:t>Transource</w:t>
            </w:r>
            <w:proofErr w:type="spellEnd"/>
            <w:r w:rsidRPr="00C74D34">
              <w:rPr>
                <w:rFonts w:ascii="Times New Roman" w:hAnsi="Times New Roman" w:cs="Times New Roman"/>
                <w:szCs w:val="26"/>
              </w:rPr>
              <w:t xml:space="preserve"> Pennsylvania, LLC for approval to acquire a certain portion of the lands of various landowners in York and Franklin Counties, Pennsylvania for the siting and construction of the 230 kV Transmission Line associated with the Independence Energy Connection East and West Projects as necessary or proper for the service, accommodation, </w:t>
            </w:r>
            <w:proofErr w:type="gramStart"/>
            <w:r w:rsidRPr="00C74D34">
              <w:rPr>
                <w:rFonts w:ascii="Times New Roman" w:hAnsi="Times New Roman" w:cs="Times New Roman"/>
                <w:szCs w:val="26"/>
              </w:rPr>
              <w:t>convenience</w:t>
            </w:r>
            <w:proofErr w:type="gramEnd"/>
            <w:r w:rsidRPr="00C74D34">
              <w:rPr>
                <w:rFonts w:ascii="Times New Roman" w:hAnsi="Times New Roman" w:cs="Times New Roman"/>
                <w:szCs w:val="26"/>
              </w:rPr>
              <w:t xml:space="preserve"> or safety of the public</w:t>
            </w:r>
          </w:p>
        </w:tc>
        <w:tc>
          <w:tcPr>
            <w:tcW w:w="4372" w:type="dxa"/>
          </w:tcPr>
          <w:p w14:paraId="71E3A334" w14:textId="77777777" w:rsidR="002B4288" w:rsidRPr="00C74D34" w:rsidRDefault="002B4288" w:rsidP="00B11342">
            <w:pPr>
              <w:spacing w:line="240" w:lineRule="auto"/>
              <w:jc w:val="right"/>
              <w:rPr>
                <w:rFonts w:ascii="Times New Roman" w:hAnsi="Times New Roman" w:cs="Times New Roman"/>
                <w:szCs w:val="26"/>
              </w:rPr>
            </w:pPr>
            <w:r w:rsidRPr="00C74D34">
              <w:rPr>
                <w:rFonts w:ascii="Times New Roman" w:hAnsi="Times New Roman" w:cs="Times New Roman"/>
                <w:szCs w:val="26"/>
              </w:rPr>
              <w:t>A-2017-2640195</w:t>
            </w:r>
          </w:p>
          <w:p w14:paraId="44F9070A" w14:textId="77777777" w:rsidR="002B4288" w:rsidRPr="00C74D34" w:rsidRDefault="002B4288" w:rsidP="00B11342">
            <w:pPr>
              <w:spacing w:line="240" w:lineRule="auto"/>
              <w:jc w:val="right"/>
              <w:rPr>
                <w:rFonts w:ascii="Times New Roman" w:hAnsi="Times New Roman" w:cs="Times New Roman"/>
                <w:szCs w:val="26"/>
              </w:rPr>
            </w:pPr>
            <w:r w:rsidRPr="00C74D34">
              <w:rPr>
                <w:rFonts w:ascii="Times New Roman" w:hAnsi="Times New Roman" w:cs="Times New Roman"/>
                <w:szCs w:val="26"/>
              </w:rPr>
              <w:t>A-2017-2640200</w:t>
            </w:r>
          </w:p>
          <w:p w14:paraId="208FDBEF" w14:textId="77777777" w:rsidR="002B4288" w:rsidRPr="00C74D34" w:rsidRDefault="002B4288" w:rsidP="00B11342">
            <w:pPr>
              <w:spacing w:line="240" w:lineRule="auto"/>
              <w:jc w:val="right"/>
              <w:rPr>
                <w:rFonts w:ascii="Times New Roman" w:hAnsi="Times New Roman" w:cs="Times New Roman"/>
                <w:szCs w:val="26"/>
              </w:rPr>
            </w:pPr>
          </w:p>
          <w:p w14:paraId="49F5165F" w14:textId="77777777" w:rsidR="002B4288" w:rsidRPr="00C74D34" w:rsidRDefault="002B4288" w:rsidP="00B11342">
            <w:pPr>
              <w:spacing w:line="240" w:lineRule="auto"/>
              <w:jc w:val="right"/>
              <w:rPr>
                <w:rFonts w:ascii="Times New Roman" w:hAnsi="Times New Roman" w:cs="Times New Roman"/>
                <w:szCs w:val="26"/>
              </w:rPr>
            </w:pPr>
          </w:p>
          <w:p w14:paraId="5A681D57" w14:textId="77777777" w:rsidR="002B4288" w:rsidRPr="00C74D34" w:rsidRDefault="002B4288" w:rsidP="00B11342">
            <w:pPr>
              <w:spacing w:line="240" w:lineRule="auto"/>
              <w:jc w:val="right"/>
              <w:rPr>
                <w:rFonts w:ascii="Times New Roman" w:hAnsi="Times New Roman" w:cs="Times New Roman"/>
                <w:szCs w:val="26"/>
              </w:rPr>
            </w:pPr>
          </w:p>
          <w:p w14:paraId="673A82D9" w14:textId="77777777" w:rsidR="002B4288" w:rsidRPr="00C74D34" w:rsidRDefault="002B4288" w:rsidP="00B11342">
            <w:pPr>
              <w:spacing w:line="240" w:lineRule="auto"/>
              <w:jc w:val="right"/>
              <w:rPr>
                <w:rFonts w:ascii="Times New Roman" w:hAnsi="Times New Roman" w:cs="Times New Roman"/>
                <w:szCs w:val="26"/>
              </w:rPr>
            </w:pPr>
          </w:p>
          <w:p w14:paraId="4ABA9C6B" w14:textId="77777777" w:rsidR="002B4288" w:rsidRPr="00C74D34" w:rsidRDefault="002B4288" w:rsidP="00B11342">
            <w:pPr>
              <w:spacing w:line="240" w:lineRule="auto"/>
              <w:jc w:val="right"/>
              <w:rPr>
                <w:rFonts w:ascii="Times New Roman" w:hAnsi="Times New Roman" w:cs="Times New Roman"/>
                <w:szCs w:val="26"/>
              </w:rPr>
            </w:pPr>
          </w:p>
          <w:p w14:paraId="740F89B0" w14:textId="77777777" w:rsidR="002B4288" w:rsidRPr="00C74D34" w:rsidRDefault="002B4288" w:rsidP="00B11342">
            <w:pPr>
              <w:spacing w:line="240" w:lineRule="auto"/>
              <w:jc w:val="right"/>
              <w:rPr>
                <w:rFonts w:ascii="Times New Roman" w:hAnsi="Times New Roman" w:cs="Times New Roman"/>
                <w:szCs w:val="26"/>
              </w:rPr>
            </w:pPr>
          </w:p>
          <w:p w14:paraId="13221675" w14:textId="77777777" w:rsidR="002B4288" w:rsidRPr="00C74D34" w:rsidRDefault="002B4288" w:rsidP="00B11342">
            <w:pPr>
              <w:spacing w:line="240" w:lineRule="auto"/>
              <w:jc w:val="right"/>
              <w:rPr>
                <w:rFonts w:ascii="Times New Roman" w:hAnsi="Times New Roman" w:cs="Times New Roman"/>
                <w:szCs w:val="26"/>
              </w:rPr>
            </w:pPr>
            <w:r w:rsidRPr="00C74D34">
              <w:rPr>
                <w:rFonts w:ascii="Times New Roman" w:hAnsi="Times New Roman" w:cs="Times New Roman"/>
                <w:szCs w:val="26"/>
              </w:rPr>
              <w:t>P-2018-3001878</w:t>
            </w:r>
          </w:p>
          <w:p w14:paraId="1DC4412D" w14:textId="77777777" w:rsidR="002B4288" w:rsidRPr="00C74D34" w:rsidRDefault="002B4288" w:rsidP="00B11342">
            <w:pPr>
              <w:spacing w:line="240" w:lineRule="auto"/>
              <w:jc w:val="right"/>
              <w:rPr>
                <w:rFonts w:ascii="Times New Roman" w:hAnsi="Times New Roman" w:cs="Times New Roman"/>
                <w:szCs w:val="26"/>
              </w:rPr>
            </w:pPr>
            <w:r w:rsidRPr="00C74D34">
              <w:rPr>
                <w:rFonts w:ascii="Times New Roman" w:hAnsi="Times New Roman" w:cs="Times New Roman"/>
                <w:szCs w:val="26"/>
              </w:rPr>
              <w:t>P-2018-3001883</w:t>
            </w:r>
          </w:p>
          <w:p w14:paraId="0D051772" w14:textId="77777777" w:rsidR="002B4288" w:rsidRPr="00C74D34" w:rsidRDefault="002B4288" w:rsidP="00B11342">
            <w:pPr>
              <w:spacing w:line="240" w:lineRule="auto"/>
              <w:jc w:val="right"/>
              <w:rPr>
                <w:rFonts w:ascii="Times New Roman" w:hAnsi="Times New Roman" w:cs="Times New Roman"/>
                <w:szCs w:val="26"/>
              </w:rPr>
            </w:pPr>
          </w:p>
          <w:p w14:paraId="17611774" w14:textId="77777777" w:rsidR="002B4288" w:rsidRPr="00C74D34" w:rsidRDefault="002B4288" w:rsidP="00B11342">
            <w:pPr>
              <w:spacing w:line="240" w:lineRule="auto"/>
              <w:jc w:val="right"/>
              <w:rPr>
                <w:rFonts w:ascii="Times New Roman" w:hAnsi="Times New Roman" w:cs="Times New Roman"/>
                <w:szCs w:val="26"/>
              </w:rPr>
            </w:pPr>
          </w:p>
          <w:p w14:paraId="02CD88F9" w14:textId="77777777" w:rsidR="002B4288" w:rsidRPr="00C74D34" w:rsidRDefault="002B4288" w:rsidP="00B11342">
            <w:pPr>
              <w:spacing w:line="240" w:lineRule="auto"/>
              <w:jc w:val="right"/>
              <w:rPr>
                <w:rFonts w:ascii="Times New Roman" w:hAnsi="Times New Roman" w:cs="Times New Roman"/>
                <w:szCs w:val="26"/>
              </w:rPr>
            </w:pPr>
          </w:p>
          <w:p w14:paraId="220C650B" w14:textId="77777777" w:rsidR="002B4288" w:rsidRPr="00C74D34" w:rsidRDefault="002B4288" w:rsidP="00B11342">
            <w:pPr>
              <w:spacing w:line="240" w:lineRule="auto"/>
              <w:jc w:val="right"/>
              <w:rPr>
                <w:rFonts w:ascii="Times New Roman" w:hAnsi="Times New Roman" w:cs="Times New Roman"/>
                <w:szCs w:val="26"/>
              </w:rPr>
            </w:pPr>
          </w:p>
          <w:p w14:paraId="508D0D65" w14:textId="77777777" w:rsidR="002B4288" w:rsidRPr="00C74D34" w:rsidRDefault="002B4288" w:rsidP="00B11342">
            <w:pPr>
              <w:spacing w:line="240" w:lineRule="auto"/>
              <w:jc w:val="right"/>
              <w:rPr>
                <w:rFonts w:ascii="Times New Roman" w:hAnsi="Times New Roman" w:cs="Times New Roman"/>
                <w:szCs w:val="26"/>
              </w:rPr>
            </w:pPr>
          </w:p>
          <w:p w14:paraId="4E47C796" w14:textId="77777777" w:rsidR="002B4288" w:rsidRPr="00C74D34" w:rsidRDefault="002B4288" w:rsidP="00B11342">
            <w:pPr>
              <w:spacing w:line="240" w:lineRule="auto"/>
              <w:jc w:val="right"/>
              <w:rPr>
                <w:rFonts w:ascii="Times New Roman" w:hAnsi="Times New Roman" w:cs="Times New Roman"/>
                <w:szCs w:val="26"/>
              </w:rPr>
            </w:pPr>
          </w:p>
          <w:p w14:paraId="25E92C4F" w14:textId="77777777" w:rsidR="002B4288" w:rsidRPr="00C74D34" w:rsidRDefault="002B4288" w:rsidP="00B11342">
            <w:pPr>
              <w:spacing w:line="240" w:lineRule="auto"/>
              <w:jc w:val="right"/>
              <w:rPr>
                <w:rFonts w:ascii="Times New Roman" w:hAnsi="Times New Roman" w:cs="Times New Roman"/>
                <w:szCs w:val="26"/>
              </w:rPr>
            </w:pPr>
            <w:r w:rsidRPr="00C74D34">
              <w:rPr>
                <w:rFonts w:ascii="Times New Roman" w:hAnsi="Times New Roman" w:cs="Times New Roman"/>
                <w:szCs w:val="26"/>
              </w:rPr>
              <w:t xml:space="preserve">A-2018-3001881, </w:t>
            </w:r>
            <w:r w:rsidRPr="00C74D34">
              <w:rPr>
                <w:rFonts w:ascii="Times New Roman" w:hAnsi="Times New Roman" w:cs="Times New Roman"/>
                <w:i/>
                <w:szCs w:val="26"/>
              </w:rPr>
              <w:t>et al</w:t>
            </w:r>
            <w:r w:rsidRPr="00C74D34">
              <w:rPr>
                <w:rFonts w:ascii="Times New Roman" w:hAnsi="Times New Roman" w:cs="Times New Roman"/>
                <w:szCs w:val="26"/>
              </w:rPr>
              <w:t>.</w:t>
            </w:r>
          </w:p>
          <w:p w14:paraId="7D55881F" w14:textId="77777777" w:rsidR="002B4288" w:rsidRPr="00C74D34" w:rsidRDefault="002B4288" w:rsidP="00B11342">
            <w:pPr>
              <w:spacing w:line="240" w:lineRule="auto"/>
              <w:jc w:val="right"/>
              <w:rPr>
                <w:rFonts w:ascii="Times New Roman" w:hAnsi="Times New Roman" w:cs="Times New Roman"/>
                <w:szCs w:val="26"/>
              </w:rPr>
            </w:pPr>
          </w:p>
          <w:p w14:paraId="5553FAA8" w14:textId="77777777" w:rsidR="002B4288" w:rsidRPr="00C74D34" w:rsidRDefault="002B4288" w:rsidP="00B11342">
            <w:pPr>
              <w:spacing w:line="240" w:lineRule="auto"/>
              <w:jc w:val="right"/>
              <w:rPr>
                <w:rFonts w:ascii="Times New Roman" w:hAnsi="Times New Roman" w:cs="Times New Roman"/>
                <w:szCs w:val="26"/>
              </w:rPr>
            </w:pPr>
          </w:p>
          <w:p w14:paraId="11C3E05E" w14:textId="77777777" w:rsidR="002B4288" w:rsidRPr="00C74D34" w:rsidRDefault="002B4288" w:rsidP="00B11342">
            <w:pPr>
              <w:spacing w:line="240" w:lineRule="auto"/>
              <w:jc w:val="right"/>
              <w:rPr>
                <w:rFonts w:ascii="Times New Roman" w:hAnsi="Times New Roman" w:cs="Times New Roman"/>
                <w:szCs w:val="26"/>
              </w:rPr>
            </w:pPr>
          </w:p>
          <w:p w14:paraId="228327C1" w14:textId="77777777" w:rsidR="002B4288" w:rsidRPr="00C74D34" w:rsidRDefault="002B4288" w:rsidP="00B11342">
            <w:pPr>
              <w:spacing w:line="240" w:lineRule="auto"/>
              <w:jc w:val="right"/>
              <w:rPr>
                <w:rFonts w:ascii="Times New Roman" w:hAnsi="Times New Roman" w:cs="Times New Roman"/>
                <w:szCs w:val="26"/>
              </w:rPr>
            </w:pPr>
          </w:p>
          <w:p w14:paraId="1C98D408" w14:textId="77777777" w:rsidR="002B4288" w:rsidRPr="00C74D34" w:rsidRDefault="002B4288" w:rsidP="00B11342">
            <w:pPr>
              <w:spacing w:line="240" w:lineRule="auto"/>
              <w:jc w:val="right"/>
              <w:rPr>
                <w:rFonts w:ascii="Times New Roman" w:hAnsi="Times New Roman" w:cs="Times New Roman"/>
                <w:szCs w:val="26"/>
              </w:rPr>
            </w:pPr>
          </w:p>
          <w:p w14:paraId="2E0B043C" w14:textId="77777777" w:rsidR="002B4288" w:rsidRPr="00C74D34" w:rsidRDefault="002B4288" w:rsidP="00B11342">
            <w:pPr>
              <w:spacing w:line="240" w:lineRule="auto"/>
              <w:jc w:val="right"/>
              <w:rPr>
                <w:rFonts w:ascii="Times New Roman" w:hAnsi="Times New Roman" w:cs="Times New Roman"/>
                <w:szCs w:val="26"/>
              </w:rPr>
            </w:pPr>
          </w:p>
        </w:tc>
      </w:tr>
    </w:tbl>
    <w:p w14:paraId="3F123BA5" w14:textId="77777777" w:rsidR="00AB1CAE" w:rsidRPr="00C74D34" w:rsidRDefault="00AB1CAE" w:rsidP="00B11342">
      <w:pPr>
        <w:keepNext/>
        <w:keepLines/>
        <w:jc w:val="center"/>
        <w:rPr>
          <w:b/>
          <w:szCs w:val="26"/>
        </w:rPr>
      </w:pPr>
    </w:p>
    <w:p w14:paraId="76FE065E" w14:textId="23B3AD76" w:rsidR="002B4288" w:rsidRPr="00C74D34" w:rsidRDefault="002B4288" w:rsidP="00B11342">
      <w:pPr>
        <w:keepNext/>
        <w:keepLines/>
        <w:jc w:val="center"/>
        <w:rPr>
          <w:b/>
          <w:szCs w:val="26"/>
        </w:rPr>
      </w:pPr>
      <w:r w:rsidRPr="00C74D34">
        <w:rPr>
          <w:b/>
          <w:szCs w:val="26"/>
        </w:rPr>
        <w:t>OPINION AND ORDER</w:t>
      </w:r>
    </w:p>
    <w:p w14:paraId="1AA405F0" w14:textId="3A85EEE4" w:rsidR="008561C3" w:rsidRPr="00C74D34" w:rsidRDefault="008561C3" w:rsidP="00B11342">
      <w:pPr>
        <w:keepNext/>
        <w:keepLines/>
        <w:jc w:val="center"/>
        <w:rPr>
          <w:b/>
          <w:szCs w:val="26"/>
        </w:rPr>
      </w:pPr>
    </w:p>
    <w:p w14:paraId="6CD56647" w14:textId="77777777" w:rsidR="00A97442" w:rsidRPr="00C74D34" w:rsidRDefault="00A97442" w:rsidP="00B11342">
      <w:pPr>
        <w:keepNext/>
        <w:keepLines/>
        <w:jc w:val="center"/>
        <w:rPr>
          <w:b/>
          <w:szCs w:val="26"/>
        </w:rPr>
        <w:sectPr w:rsidR="00A97442" w:rsidRPr="00C74D34" w:rsidSect="00AB1CAE">
          <w:pgSz w:w="12240" w:h="15840" w:code="1"/>
          <w:pgMar w:top="1152" w:right="1440" w:bottom="1152" w:left="1440" w:header="288" w:footer="288" w:gutter="0"/>
          <w:cols w:space="720"/>
          <w:docGrid w:linePitch="360"/>
        </w:sectPr>
      </w:pPr>
    </w:p>
    <w:p w14:paraId="3F2A7486" w14:textId="3834AD04" w:rsidR="00A97442" w:rsidRPr="00C74D34" w:rsidRDefault="00A97442" w:rsidP="00B11342">
      <w:pPr>
        <w:keepNext/>
        <w:keepLines/>
        <w:jc w:val="center"/>
        <w:rPr>
          <w:b/>
          <w:szCs w:val="26"/>
        </w:rPr>
      </w:pPr>
      <w:r w:rsidRPr="00C74D34">
        <w:rPr>
          <w:b/>
          <w:szCs w:val="26"/>
        </w:rPr>
        <w:lastRenderedPageBreak/>
        <w:t>TABLE OF CONTENTS</w:t>
      </w:r>
    </w:p>
    <w:p w14:paraId="5CB8450B" w14:textId="57DE4759" w:rsidR="00A97442" w:rsidRPr="00C74D34" w:rsidRDefault="00A97442" w:rsidP="00B11342">
      <w:pPr>
        <w:keepNext/>
        <w:keepLines/>
        <w:jc w:val="center"/>
        <w:rPr>
          <w:b/>
          <w:szCs w:val="26"/>
        </w:rPr>
      </w:pPr>
    </w:p>
    <w:p w14:paraId="73CE3D1E" w14:textId="7F2B2721" w:rsidR="00160F5C" w:rsidRPr="00C74D34" w:rsidRDefault="00F64E78">
      <w:pPr>
        <w:pStyle w:val="TOC1"/>
        <w:tabs>
          <w:tab w:val="left" w:pos="1440"/>
          <w:tab w:val="right" w:leader="dot" w:pos="9350"/>
        </w:tabs>
        <w:rPr>
          <w:rFonts w:asciiTheme="minorHAnsi" w:eastAsiaTheme="minorEastAsia" w:hAnsiTheme="minorHAnsi" w:cstheme="minorBidi"/>
          <w:noProof/>
          <w:color w:val="auto"/>
          <w:sz w:val="22"/>
        </w:rPr>
      </w:pPr>
      <w:r w:rsidRPr="00C74D34">
        <w:rPr>
          <w:b/>
          <w:szCs w:val="26"/>
        </w:rPr>
        <w:fldChar w:fldCharType="begin"/>
      </w:r>
      <w:r w:rsidRPr="00C74D34">
        <w:rPr>
          <w:b/>
          <w:szCs w:val="26"/>
        </w:rPr>
        <w:instrText xml:space="preserve"> TOC \o "1-1" \h \z \t "TOC H 2,2,TOC H 3,3,TOC H 4,4,TOC H 5,5" </w:instrText>
      </w:r>
      <w:r w:rsidRPr="00C74D34">
        <w:rPr>
          <w:b/>
          <w:szCs w:val="26"/>
        </w:rPr>
        <w:fldChar w:fldCharType="separate"/>
      </w:r>
      <w:hyperlink w:anchor="_Toc70516600" w:history="1">
        <w:r w:rsidR="00160F5C" w:rsidRPr="00C74D34">
          <w:rPr>
            <w:rStyle w:val="Hyperlink"/>
            <w:noProof/>
          </w:rPr>
          <w:t>I.</w:t>
        </w:r>
        <w:r w:rsidR="00160F5C" w:rsidRPr="00C74D34">
          <w:rPr>
            <w:rFonts w:asciiTheme="minorHAnsi" w:eastAsiaTheme="minorEastAsia" w:hAnsiTheme="minorHAnsi" w:cstheme="minorBidi"/>
            <w:noProof/>
            <w:color w:val="auto"/>
            <w:sz w:val="22"/>
          </w:rPr>
          <w:tab/>
        </w:r>
        <w:r w:rsidR="00160F5C" w:rsidRPr="00C74D34">
          <w:rPr>
            <w:rStyle w:val="Hyperlink"/>
            <w:noProof/>
          </w:rPr>
          <w:t>Background</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_Toc70516600 \h </w:instrText>
        </w:r>
        <w:r w:rsidR="00160F5C" w:rsidRPr="00C74D34">
          <w:rPr>
            <w:noProof/>
            <w:webHidden/>
          </w:rPr>
        </w:r>
        <w:r w:rsidR="00160F5C" w:rsidRPr="00C74D34">
          <w:rPr>
            <w:noProof/>
            <w:webHidden/>
          </w:rPr>
          <w:fldChar w:fldCharType="separate"/>
        </w:r>
        <w:r w:rsidR="00F854C8">
          <w:rPr>
            <w:noProof/>
            <w:webHidden/>
          </w:rPr>
          <w:t>2</w:t>
        </w:r>
        <w:r w:rsidR="00160F5C" w:rsidRPr="00C74D34">
          <w:rPr>
            <w:noProof/>
            <w:webHidden/>
          </w:rPr>
          <w:fldChar w:fldCharType="end"/>
        </w:r>
      </w:hyperlink>
    </w:p>
    <w:p w14:paraId="4A0B94C5" w14:textId="68850EB8" w:rsidR="00160F5C" w:rsidRPr="00C74D34" w:rsidRDefault="00033F02">
      <w:pPr>
        <w:pStyle w:val="TOC1"/>
        <w:tabs>
          <w:tab w:val="left" w:pos="1440"/>
          <w:tab w:val="right" w:leader="dot" w:pos="9350"/>
        </w:tabs>
        <w:rPr>
          <w:rFonts w:asciiTheme="minorHAnsi" w:eastAsiaTheme="minorEastAsia" w:hAnsiTheme="minorHAnsi" w:cstheme="minorBidi"/>
          <w:noProof/>
          <w:color w:val="auto"/>
          <w:sz w:val="22"/>
        </w:rPr>
      </w:pPr>
      <w:hyperlink w:anchor="_Toc70516601" w:history="1">
        <w:r w:rsidR="00160F5C" w:rsidRPr="00C74D34">
          <w:rPr>
            <w:rStyle w:val="Hyperlink"/>
            <w:noProof/>
          </w:rPr>
          <w:t>II.</w:t>
        </w:r>
        <w:r w:rsidR="00160F5C" w:rsidRPr="00C74D34">
          <w:rPr>
            <w:rFonts w:asciiTheme="minorHAnsi" w:eastAsiaTheme="minorEastAsia" w:hAnsiTheme="minorHAnsi" w:cstheme="minorBidi"/>
            <w:noProof/>
            <w:color w:val="auto"/>
            <w:sz w:val="22"/>
          </w:rPr>
          <w:tab/>
        </w:r>
        <w:r w:rsidR="00160F5C" w:rsidRPr="00C74D34">
          <w:rPr>
            <w:rStyle w:val="Hyperlink"/>
            <w:noProof/>
          </w:rPr>
          <w:t>History of the Proceeding</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_Toc70516601 \h </w:instrText>
        </w:r>
        <w:r w:rsidR="00160F5C" w:rsidRPr="00C74D34">
          <w:rPr>
            <w:noProof/>
            <w:webHidden/>
          </w:rPr>
        </w:r>
        <w:r w:rsidR="00160F5C" w:rsidRPr="00C74D34">
          <w:rPr>
            <w:noProof/>
            <w:webHidden/>
          </w:rPr>
          <w:fldChar w:fldCharType="separate"/>
        </w:r>
        <w:r w:rsidR="00F854C8">
          <w:rPr>
            <w:noProof/>
            <w:webHidden/>
          </w:rPr>
          <w:t>4</w:t>
        </w:r>
        <w:r w:rsidR="00160F5C" w:rsidRPr="00C74D34">
          <w:rPr>
            <w:noProof/>
            <w:webHidden/>
          </w:rPr>
          <w:fldChar w:fldCharType="end"/>
        </w:r>
      </w:hyperlink>
    </w:p>
    <w:p w14:paraId="3957208F" w14:textId="3BB12B70" w:rsidR="00160F5C" w:rsidRPr="00C74D34" w:rsidRDefault="00033F02">
      <w:pPr>
        <w:pStyle w:val="TOC1"/>
        <w:tabs>
          <w:tab w:val="left" w:pos="1440"/>
          <w:tab w:val="right" w:leader="dot" w:pos="9350"/>
        </w:tabs>
        <w:rPr>
          <w:rFonts w:asciiTheme="minorHAnsi" w:eastAsiaTheme="minorEastAsia" w:hAnsiTheme="minorHAnsi" w:cstheme="minorBidi"/>
          <w:noProof/>
          <w:color w:val="auto"/>
          <w:sz w:val="22"/>
        </w:rPr>
      </w:pPr>
      <w:hyperlink w:anchor="_Toc70516602" w:history="1">
        <w:r w:rsidR="00160F5C" w:rsidRPr="00C74D34">
          <w:rPr>
            <w:rStyle w:val="Hyperlink"/>
            <w:noProof/>
          </w:rPr>
          <w:t>III.</w:t>
        </w:r>
        <w:r w:rsidR="00160F5C" w:rsidRPr="00C74D34">
          <w:rPr>
            <w:rFonts w:asciiTheme="minorHAnsi" w:eastAsiaTheme="minorEastAsia" w:hAnsiTheme="minorHAnsi" w:cstheme="minorBidi"/>
            <w:noProof/>
            <w:color w:val="auto"/>
            <w:sz w:val="22"/>
          </w:rPr>
          <w:tab/>
        </w:r>
        <w:r w:rsidR="00160F5C" w:rsidRPr="00C74D34">
          <w:rPr>
            <w:rStyle w:val="Hyperlink"/>
            <w:noProof/>
          </w:rPr>
          <w:t>Discussion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_Toc70516602 \h </w:instrText>
        </w:r>
        <w:r w:rsidR="00160F5C" w:rsidRPr="00C74D34">
          <w:rPr>
            <w:noProof/>
            <w:webHidden/>
          </w:rPr>
        </w:r>
        <w:r w:rsidR="00160F5C" w:rsidRPr="00C74D34">
          <w:rPr>
            <w:noProof/>
            <w:webHidden/>
          </w:rPr>
          <w:fldChar w:fldCharType="separate"/>
        </w:r>
        <w:r w:rsidR="00F854C8">
          <w:rPr>
            <w:noProof/>
            <w:webHidden/>
          </w:rPr>
          <w:t>18</w:t>
        </w:r>
        <w:r w:rsidR="00160F5C" w:rsidRPr="00C74D34">
          <w:rPr>
            <w:noProof/>
            <w:webHidden/>
          </w:rPr>
          <w:fldChar w:fldCharType="end"/>
        </w:r>
      </w:hyperlink>
    </w:p>
    <w:p w14:paraId="5E88E35E" w14:textId="1A9F8BA8" w:rsidR="00160F5C" w:rsidRPr="00C74D34" w:rsidRDefault="00033F02">
      <w:pPr>
        <w:pStyle w:val="TOC2"/>
        <w:rPr>
          <w:rFonts w:asciiTheme="minorHAnsi" w:eastAsiaTheme="minorEastAsia" w:hAnsiTheme="minorHAnsi" w:cstheme="minorBidi"/>
          <w:noProof/>
          <w:color w:val="auto"/>
          <w:sz w:val="22"/>
        </w:rPr>
      </w:pPr>
      <w:hyperlink w:anchor="_Toc70516603" w:history="1">
        <w:r w:rsidR="00160F5C" w:rsidRPr="00C74D34">
          <w:rPr>
            <w:rStyle w:val="Hyperlink"/>
            <w:noProof/>
          </w:rPr>
          <w:t>A.</w:t>
        </w:r>
        <w:r w:rsidR="00160F5C" w:rsidRPr="00C74D34">
          <w:rPr>
            <w:rFonts w:asciiTheme="minorHAnsi" w:eastAsiaTheme="minorEastAsia" w:hAnsiTheme="minorHAnsi" w:cstheme="minorBidi"/>
            <w:noProof/>
            <w:color w:val="auto"/>
            <w:sz w:val="22"/>
          </w:rPr>
          <w:tab/>
        </w:r>
        <w:r w:rsidR="00160F5C" w:rsidRPr="00C74D34">
          <w:rPr>
            <w:rStyle w:val="Hyperlink"/>
            <w:noProof/>
          </w:rPr>
          <w:t>Legal Standards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_Toc70516603 \h </w:instrText>
        </w:r>
        <w:r w:rsidR="00160F5C" w:rsidRPr="00C74D34">
          <w:rPr>
            <w:noProof/>
            <w:webHidden/>
          </w:rPr>
        </w:r>
        <w:r w:rsidR="00160F5C" w:rsidRPr="00C74D34">
          <w:rPr>
            <w:noProof/>
            <w:webHidden/>
          </w:rPr>
          <w:fldChar w:fldCharType="separate"/>
        </w:r>
        <w:r w:rsidR="00F854C8">
          <w:rPr>
            <w:noProof/>
            <w:webHidden/>
          </w:rPr>
          <w:t>18</w:t>
        </w:r>
        <w:r w:rsidR="00160F5C" w:rsidRPr="00C74D34">
          <w:rPr>
            <w:noProof/>
            <w:webHidden/>
          </w:rPr>
          <w:fldChar w:fldCharType="end"/>
        </w:r>
      </w:hyperlink>
    </w:p>
    <w:p w14:paraId="448769AF" w14:textId="00784833" w:rsidR="00160F5C" w:rsidRPr="00C74D34" w:rsidRDefault="00033F02">
      <w:pPr>
        <w:pStyle w:val="TOC3"/>
        <w:rPr>
          <w:rFonts w:asciiTheme="minorHAnsi" w:eastAsiaTheme="minorEastAsia" w:hAnsiTheme="minorHAnsi" w:cstheme="minorBidi"/>
          <w:noProof/>
          <w:color w:val="auto"/>
          <w:sz w:val="22"/>
        </w:rPr>
      </w:pPr>
      <w:hyperlink w:anchor="_Toc70516604" w:history="1">
        <w:r w:rsidR="00160F5C" w:rsidRPr="00C74D34">
          <w:rPr>
            <w:rStyle w:val="Hyperlink"/>
            <w:noProof/>
          </w:rPr>
          <w:t>1.</w:t>
        </w:r>
        <w:r w:rsidR="00160F5C" w:rsidRPr="00C74D34">
          <w:rPr>
            <w:rFonts w:asciiTheme="minorHAnsi" w:eastAsiaTheme="minorEastAsia" w:hAnsiTheme="minorHAnsi" w:cstheme="minorBidi"/>
            <w:noProof/>
            <w:color w:val="auto"/>
            <w:sz w:val="22"/>
          </w:rPr>
          <w:tab/>
        </w:r>
        <w:r w:rsidR="00160F5C" w:rsidRPr="00C74D34">
          <w:rPr>
            <w:rStyle w:val="Hyperlink"/>
            <w:noProof/>
          </w:rPr>
          <w:t>Burden of Proof</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_Toc70516604 \h </w:instrText>
        </w:r>
        <w:r w:rsidR="00160F5C" w:rsidRPr="00C74D34">
          <w:rPr>
            <w:noProof/>
            <w:webHidden/>
          </w:rPr>
        </w:r>
        <w:r w:rsidR="00160F5C" w:rsidRPr="00C74D34">
          <w:rPr>
            <w:noProof/>
            <w:webHidden/>
          </w:rPr>
          <w:fldChar w:fldCharType="separate"/>
        </w:r>
        <w:r w:rsidR="00F854C8">
          <w:rPr>
            <w:noProof/>
            <w:webHidden/>
          </w:rPr>
          <w:t>18</w:t>
        </w:r>
        <w:r w:rsidR="00160F5C" w:rsidRPr="00C74D34">
          <w:rPr>
            <w:noProof/>
            <w:webHidden/>
          </w:rPr>
          <w:fldChar w:fldCharType="end"/>
        </w:r>
      </w:hyperlink>
    </w:p>
    <w:p w14:paraId="19EE44EE" w14:textId="5A2AB742" w:rsidR="00160F5C" w:rsidRPr="00C74D34" w:rsidRDefault="00033F02">
      <w:pPr>
        <w:pStyle w:val="TOC3"/>
        <w:rPr>
          <w:rFonts w:asciiTheme="minorHAnsi" w:eastAsiaTheme="minorEastAsia" w:hAnsiTheme="minorHAnsi" w:cstheme="minorBidi"/>
          <w:noProof/>
          <w:color w:val="auto"/>
          <w:sz w:val="22"/>
        </w:rPr>
      </w:pPr>
      <w:hyperlink w:anchor="_Toc70516605" w:history="1">
        <w:r w:rsidR="00160F5C" w:rsidRPr="00C74D34">
          <w:rPr>
            <w:rStyle w:val="Hyperlink"/>
            <w:noProof/>
          </w:rPr>
          <w:t>2.</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Applicable </w:t>
        </w:r>
        <w:r w:rsidR="003E43B8">
          <w:rPr>
            <w:rStyle w:val="Hyperlink"/>
            <w:noProof/>
          </w:rPr>
          <w:t>S</w:t>
        </w:r>
        <w:r w:rsidR="00160F5C" w:rsidRPr="00C74D34">
          <w:rPr>
            <w:rStyle w:val="Hyperlink"/>
            <w:noProof/>
          </w:rPr>
          <w:t xml:space="preserve">tatutes and </w:t>
        </w:r>
        <w:r w:rsidR="003E43B8">
          <w:rPr>
            <w:rStyle w:val="Hyperlink"/>
            <w:noProof/>
          </w:rPr>
          <w:t>R</w:t>
        </w:r>
        <w:r w:rsidR="00160F5C" w:rsidRPr="00C74D34">
          <w:rPr>
            <w:rStyle w:val="Hyperlink"/>
            <w:noProof/>
          </w:rPr>
          <w:t>egulations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_Toc70516605 \h </w:instrText>
        </w:r>
        <w:r w:rsidR="00160F5C" w:rsidRPr="00C74D34">
          <w:rPr>
            <w:noProof/>
            <w:webHidden/>
          </w:rPr>
        </w:r>
        <w:r w:rsidR="00160F5C" w:rsidRPr="00C74D34">
          <w:rPr>
            <w:noProof/>
            <w:webHidden/>
          </w:rPr>
          <w:fldChar w:fldCharType="separate"/>
        </w:r>
        <w:r w:rsidR="00F854C8">
          <w:rPr>
            <w:noProof/>
            <w:webHidden/>
          </w:rPr>
          <w:t>20</w:t>
        </w:r>
        <w:r w:rsidR="00160F5C" w:rsidRPr="00C74D34">
          <w:rPr>
            <w:noProof/>
            <w:webHidden/>
          </w:rPr>
          <w:fldChar w:fldCharType="end"/>
        </w:r>
      </w:hyperlink>
    </w:p>
    <w:p w14:paraId="64D71695" w14:textId="33D4A106" w:rsidR="00160F5C" w:rsidRPr="00C74D34" w:rsidRDefault="00033F02">
      <w:pPr>
        <w:pStyle w:val="TOC3"/>
        <w:rPr>
          <w:rFonts w:asciiTheme="minorHAnsi" w:eastAsiaTheme="minorEastAsia" w:hAnsiTheme="minorHAnsi" w:cstheme="minorBidi"/>
          <w:noProof/>
          <w:color w:val="auto"/>
          <w:sz w:val="22"/>
        </w:rPr>
      </w:pPr>
      <w:hyperlink w:anchor="_Toc70516606" w:history="1">
        <w:r w:rsidR="00160F5C" w:rsidRPr="00C74D34">
          <w:rPr>
            <w:rStyle w:val="Hyperlink"/>
            <w:noProof/>
          </w:rPr>
          <w:t>3.</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Standards for Approval to Exercise the Power of Eminent </w:t>
        </w:r>
        <w:r w:rsidR="000C6E37" w:rsidRPr="00C74D34">
          <w:rPr>
            <w:rStyle w:val="Hyperlink"/>
            <w:noProof/>
          </w:rPr>
          <w:t xml:space="preserve">      </w:t>
        </w:r>
        <w:r w:rsidR="00160F5C" w:rsidRPr="00C74D34">
          <w:rPr>
            <w:rStyle w:val="Hyperlink"/>
            <w:noProof/>
          </w:rPr>
          <w:t>Domain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_Toc70516606 \h </w:instrText>
        </w:r>
        <w:r w:rsidR="00160F5C" w:rsidRPr="00C74D34">
          <w:rPr>
            <w:noProof/>
            <w:webHidden/>
          </w:rPr>
        </w:r>
        <w:r w:rsidR="00160F5C" w:rsidRPr="00C74D34">
          <w:rPr>
            <w:noProof/>
            <w:webHidden/>
          </w:rPr>
          <w:fldChar w:fldCharType="separate"/>
        </w:r>
        <w:r w:rsidR="00F854C8">
          <w:rPr>
            <w:noProof/>
            <w:webHidden/>
          </w:rPr>
          <w:t>25</w:t>
        </w:r>
        <w:r w:rsidR="00160F5C" w:rsidRPr="00C74D34">
          <w:rPr>
            <w:noProof/>
            <w:webHidden/>
          </w:rPr>
          <w:fldChar w:fldCharType="end"/>
        </w:r>
      </w:hyperlink>
    </w:p>
    <w:p w14:paraId="2A8A2DD8" w14:textId="438A0F70" w:rsidR="00160F5C" w:rsidRPr="00C74D34" w:rsidRDefault="00033F02">
      <w:pPr>
        <w:pStyle w:val="TOC3"/>
        <w:rPr>
          <w:rFonts w:asciiTheme="minorHAnsi" w:eastAsiaTheme="minorEastAsia" w:hAnsiTheme="minorHAnsi" w:cstheme="minorBidi"/>
          <w:noProof/>
          <w:color w:val="auto"/>
          <w:sz w:val="22"/>
        </w:rPr>
      </w:pPr>
      <w:hyperlink w:anchor="_Toc70516607" w:history="1">
        <w:r w:rsidR="00160F5C" w:rsidRPr="00C74D34">
          <w:rPr>
            <w:rStyle w:val="Hyperlink"/>
            <w:noProof/>
          </w:rPr>
          <w:t>4.</w:t>
        </w:r>
        <w:r w:rsidR="00160F5C" w:rsidRPr="00C74D34">
          <w:rPr>
            <w:rFonts w:asciiTheme="minorHAnsi" w:eastAsiaTheme="minorEastAsia" w:hAnsiTheme="minorHAnsi" w:cstheme="minorBidi"/>
            <w:noProof/>
            <w:color w:val="auto"/>
            <w:sz w:val="22"/>
          </w:rPr>
          <w:tab/>
        </w:r>
        <w:r w:rsidR="00160F5C" w:rsidRPr="00C74D34">
          <w:rPr>
            <w:rStyle w:val="Hyperlink"/>
            <w:noProof/>
          </w:rPr>
          <w:t>Standards for Approval of the Siting of Substation Control Equipment Buildings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_Toc70516607 \h </w:instrText>
        </w:r>
        <w:r w:rsidR="00160F5C" w:rsidRPr="00C74D34">
          <w:rPr>
            <w:noProof/>
            <w:webHidden/>
          </w:rPr>
        </w:r>
        <w:r w:rsidR="00160F5C" w:rsidRPr="00C74D34">
          <w:rPr>
            <w:noProof/>
            <w:webHidden/>
          </w:rPr>
          <w:fldChar w:fldCharType="separate"/>
        </w:r>
        <w:r w:rsidR="00F854C8">
          <w:rPr>
            <w:noProof/>
            <w:webHidden/>
          </w:rPr>
          <w:t>27</w:t>
        </w:r>
        <w:r w:rsidR="00160F5C" w:rsidRPr="00C74D34">
          <w:rPr>
            <w:noProof/>
            <w:webHidden/>
          </w:rPr>
          <w:fldChar w:fldCharType="end"/>
        </w:r>
      </w:hyperlink>
    </w:p>
    <w:p w14:paraId="120D7789" w14:textId="02A893DB" w:rsidR="00160F5C" w:rsidRPr="00C74D34" w:rsidRDefault="00033F02">
      <w:pPr>
        <w:pStyle w:val="TOC2"/>
        <w:rPr>
          <w:rFonts w:asciiTheme="minorHAnsi" w:eastAsiaTheme="minorEastAsia" w:hAnsiTheme="minorHAnsi" w:cstheme="minorBidi"/>
          <w:noProof/>
          <w:color w:val="auto"/>
          <w:sz w:val="22"/>
        </w:rPr>
      </w:pPr>
      <w:hyperlink w:anchor="_Toc70516608" w:history="1">
        <w:r w:rsidR="00160F5C" w:rsidRPr="00C74D34">
          <w:rPr>
            <w:rStyle w:val="Hyperlink"/>
            <w:noProof/>
          </w:rPr>
          <w:t>B.</w:t>
        </w:r>
        <w:r w:rsidR="00160F5C" w:rsidRPr="00C74D34">
          <w:rPr>
            <w:rFonts w:asciiTheme="minorHAnsi" w:eastAsiaTheme="minorEastAsia" w:hAnsiTheme="minorHAnsi" w:cstheme="minorBidi"/>
            <w:noProof/>
            <w:color w:val="auto"/>
            <w:sz w:val="22"/>
          </w:rPr>
          <w:tab/>
        </w:r>
        <w:r w:rsidR="00160F5C" w:rsidRPr="00C74D34">
          <w:rPr>
            <w:rStyle w:val="Hyperlink"/>
            <w:noProof/>
          </w:rPr>
          <w:t>Exceptions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_Toc70516608 \h </w:instrText>
        </w:r>
        <w:r w:rsidR="00160F5C" w:rsidRPr="00C74D34">
          <w:rPr>
            <w:noProof/>
            <w:webHidden/>
          </w:rPr>
        </w:r>
        <w:r w:rsidR="00160F5C" w:rsidRPr="00C74D34">
          <w:rPr>
            <w:noProof/>
            <w:webHidden/>
          </w:rPr>
          <w:fldChar w:fldCharType="separate"/>
        </w:r>
        <w:r w:rsidR="00F854C8">
          <w:rPr>
            <w:noProof/>
            <w:webHidden/>
          </w:rPr>
          <w:t>30</w:t>
        </w:r>
        <w:r w:rsidR="00160F5C" w:rsidRPr="00C74D34">
          <w:rPr>
            <w:noProof/>
            <w:webHidden/>
          </w:rPr>
          <w:fldChar w:fldCharType="end"/>
        </w:r>
      </w:hyperlink>
    </w:p>
    <w:p w14:paraId="29AF81DC" w14:textId="715DC7CA" w:rsidR="00160F5C" w:rsidRPr="00C74D34" w:rsidRDefault="00033F02">
      <w:pPr>
        <w:pStyle w:val="TOC3"/>
        <w:rPr>
          <w:rFonts w:asciiTheme="minorHAnsi" w:eastAsiaTheme="minorEastAsia" w:hAnsiTheme="minorHAnsi" w:cstheme="minorBidi"/>
          <w:noProof/>
          <w:color w:val="auto"/>
          <w:sz w:val="22"/>
        </w:rPr>
      </w:pPr>
      <w:hyperlink w:anchor="_Toc70516609" w:history="1">
        <w:r w:rsidR="00160F5C" w:rsidRPr="00C74D34">
          <w:rPr>
            <w:rStyle w:val="Hyperlink"/>
            <w:noProof/>
          </w:rPr>
          <w:t>1.</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Transource Exception No. 1: The ALJ Erred in </w:t>
        </w:r>
        <w:r w:rsidR="000C6E37" w:rsidRPr="00C74D34">
          <w:rPr>
            <w:rStyle w:val="Hyperlink"/>
            <w:noProof/>
          </w:rPr>
          <w:t>C</w:t>
        </w:r>
        <w:r w:rsidR="00160F5C" w:rsidRPr="00C74D34">
          <w:rPr>
            <w:rStyle w:val="Hyperlink"/>
            <w:noProof/>
          </w:rPr>
          <w:t>oncluding the “</w:t>
        </w:r>
        <w:r w:rsidR="000C6E37" w:rsidRPr="00C74D34">
          <w:rPr>
            <w:rStyle w:val="Hyperlink"/>
            <w:noProof/>
          </w:rPr>
          <w:t>N</w:t>
        </w:r>
        <w:r w:rsidR="00160F5C" w:rsidRPr="00C74D34">
          <w:rPr>
            <w:rStyle w:val="Hyperlink"/>
            <w:noProof/>
          </w:rPr>
          <w:t xml:space="preserve">eed” </w:t>
        </w:r>
        <w:r w:rsidR="000C6E37" w:rsidRPr="00C74D34">
          <w:rPr>
            <w:rStyle w:val="Hyperlink"/>
            <w:noProof/>
          </w:rPr>
          <w:t>E</w:t>
        </w:r>
        <w:r w:rsidR="00160F5C" w:rsidRPr="00C74D34">
          <w:rPr>
            <w:rStyle w:val="Hyperlink"/>
            <w:noProof/>
          </w:rPr>
          <w:t>lement, per 52 Pa. Code §</w:t>
        </w:r>
        <w:r w:rsidR="000C6E37" w:rsidRPr="00C74D34">
          <w:rPr>
            <w:rStyle w:val="Hyperlink"/>
            <w:noProof/>
          </w:rPr>
          <w:t xml:space="preserve"> </w:t>
        </w:r>
        <w:r w:rsidR="00160F5C" w:rsidRPr="00C74D34">
          <w:rPr>
            <w:rStyle w:val="Hyperlink"/>
            <w:noProof/>
          </w:rPr>
          <w:t xml:space="preserve">57.76(a) </w:t>
        </w:r>
        <w:r w:rsidR="000C6E37" w:rsidRPr="00C74D34">
          <w:rPr>
            <w:rStyle w:val="Hyperlink"/>
            <w:noProof/>
          </w:rPr>
          <w:t>H</w:t>
        </w:r>
        <w:r w:rsidR="00160F5C" w:rsidRPr="00C74D34">
          <w:rPr>
            <w:rStyle w:val="Hyperlink"/>
            <w:noProof/>
          </w:rPr>
          <w:t xml:space="preserve">as </w:t>
        </w:r>
        <w:r w:rsidR="000C6E37" w:rsidRPr="00C74D34">
          <w:rPr>
            <w:rStyle w:val="Hyperlink"/>
            <w:noProof/>
          </w:rPr>
          <w:t>N</w:t>
        </w:r>
        <w:r w:rsidR="00160F5C" w:rsidRPr="00C74D34">
          <w:rPr>
            <w:rStyle w:val="Hyperlink"/>
            <w:noProof/>
          </w:rPr>
          <w:t xml:space="preserve">ot </w:t>
        </w:r>
        <w:r w:rsidR="000C6E37" w:rsidRPr="00C74D34">
          <w:rPr>
            <w:rStyle w:val="Hyperlink"/>
            <w:noProof/>
          </w:rPr>
          <w:t>B</w:t>
        </w:r>
        <w:r w:rsidR="00160F5C" w:rsidRPr="00C74D34">
          <w:rPr>
            <w:rStyle w:val="Hyperlink"/>
            <w:noProof/>
          </w:rPr>
          <w:t xml:space="preserve">een </w:t>
        </w:r>
        <w:r w:rsidR="000C6E37" w:rsidRPr="00C74D34">
          <w:rPr>
            <w:rStyle w:val="Hyperlink"/>
            <w:noProof/>
          </w:rPr>
          <w:t>S</w:t>
        </w:r>
        <w:r w:rsidR="00160F5C" w:rsidRPr="00C74D34">
          <w:rPr>
            <w:rStyle w:val="Hyperlink"/>
            <w:noProof/>
          </w:rPr>
          <w:t>how</w:t>
        </w:r>
        <w:r w:rsidR="003E43B8">
          <w:rPr>
            <w:rStyle w:val="Hyperlink"/>
            <w:noProof/>
          </w:rPr>
          <w:t>n</w:t>
        </w:r>
        <w:r w:rsidR="00160F5C" w:rsidRPr="00C74D34">
          <w:rPr>
            <w:rStyle w:val="Hyperlink"/>
            <w:noProof/>
          </w:rPr>
          <w:t xml:space="preserve"> by</w:t>
        </w:r>
        <w:r w:rsidR="000C6E37" w:rsidRPr="00C74D34">
          <w:rPr>
            <w:rStyle w:val="Hyperlink"/>
            <w:noProof/>
          </w:rPr>
          <w:t> </w:t>
        </w:r>
        <w:r w:rsidR="00160F5C" w:rsidRPr="00C74D34">
          <w:rPr>
            <w:rStyle w:val="Hyperlink"/>
            <w:noProof/>
          </w:rPr>
          <w:t xml:space="preserve">a </w:t>
        </w:r>
        <w:r w:rsidR="000C6E37" w:rsidRPr="00C74D34">
          <w:rPr>
            <w:rStyle w:val="Hyperlink"/>
            <w:noProof/>
          </w:rPr>
          <w:t>P</w:t>
        </w:r>
        <w:r w:rsidR="00160F5C" w:rsidRPr="00C74D34">
          <w:rPr>
            <w:rStyle w:val="Hyperlink"/>
            <w:noProof/>
          </w:rPr>
          <w:t xml:space="preserve">reponderance of the </w:t>
        </w:r>
        <w:r w:rsidR="000C6E37" w:rsidRPr="00C74D34">
          <w:rPr>
            <w:rStyle w:val="Hyperlink"/>
            <w:noProof/>
          </w:rPr>
          <w:t>E</w:t>
        </w:r>
        <w:r w:rsidR="00160F5C" w:rsidRPr="00C74D34">
          <w:rPr>
            <w:rStyle w:val="Hyperlink"/>
            <w:noProof/>
          </w:rPr>
          <w:t>vidence.</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_Toc70516609 \h </w:instrText>
        </w:r>
        <w:r w:rsidR="00160F5C" w:rsidRPr="00C74D34">
          <w:rPr>
            <w:noProof/>
            <w:webHidden/>
          </w:rPr>
        </w:r>
        <w:r w:rsidR="00160F5C" w:rsidRPr="00C74D34">
          <w:rPr>
            <w:noProof/>
            <w:webHidden/>
          </w:rPr>
          <w:fldChar w:fldCharType="separate"/>
        </w:r>
        <w:r w:rsidR="00F854C8">
          <w:rPr>
            <w:noProof/>
            <w:webHidden/>
          </w:rPr>
          <w:t>30</w:t>
        </w:r>
        <w:r w:rsidR="00160F5C" w:rsidRPr="00C74D34">
          <w:rPr>
            <w:noProof/>
            <w:webHidden/>
          </w:rPr>
          <w:fldChar w:fldCharType="end"/>
        </w:r>
      </w:hyperlink>
    </w:p>
    <w:p w14:paraId="4D15AC83" w14:textId="1CEAC4B9" w:rsidR="00160F5C" w:rsidRPr="00C74D34" w:rsidRDefault="00033F02">
      <w:pPr>
        <w:pStyle w:val="TOC4"/>
        <w:rPr>
          <w:rFonts w:asciiTheme="minorHAnsi" w:eastAsiaTheme="minorEastAsia" w:hAnsiTheme="minorHAnsi" w:cstheme="minorBidi"/>
          <w:noProof/>
          <w:color w:val="auto"/>
          <w:sz w:val="22"/>
        </w:rPr>
      </w:pPr>
      <w:hyperlink w:anchor="_Toc70516610" w:history="1">
        <w:r w:rsidR="00160F5C" w:rsidRPr="00C74D34">
          <w:rPr>
            <w:rStyle w:val="Hyperlink"/>
            <w:noProof/>
          </w:rPr>
          <w:t>a.</w:t>
        </w:r>
        <w:r w:rsidR="00160F5C" w:rsidRPr="00C74D34">
          <w:rPr>
            <w:rFonts w:asciiTheme="minorHAnsi" w:eastAsiaTheme="minorEastAsia" w:hAnsiTheme="minorHAnsi" w:cstheme="minorBidi"/>
            <w:noProof/>
            <w:color w:val="auto"/>
            <w:sz w:val="22"/>
          </w:rPr>
          <w:tab/>
        </w:r>
        <w:r w:rsidR="00160F5C" w:rsidRPr="00C74D34">
          <w:rPr>
            <w:rStyle w:val="Hyperlink"/>
            <w:noProof/>
          </w:rPr>
          <w:t>Position of the Parties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_Toc70516610 \h </w:instrText>
        </w:r>
        <w:r w:rsidR="00160F5C" w:rsidRPr="00C74D34">
          <w:rPr>
            <w:noProof/>
            <w:webHidden/>
          </w:rPr>
        </w:r>
        <w:r w:rsidR="00160F5C" w:rsidRPr="00C74D34">
          <w:rPr>
            <w:noProof/>
            <w:webHidden/>
          </w:rPr>
          <w:fldChar w:fldCharType="separate"/>
        </w:r>
        <w:r w:rsidR="00F854C8">
          <w:rPr>
            <w:noProof/>
            <w:webHidden/>
          </w:rPr>
          <w:t>30</w:t>
        </w:r>
        <w:r w:rsidR="00160F5C" w:rsidRPr="00C74D34">
          <w:rPr>
            <w:noProof/>
            <w:webHidden/>
          </w:rPr>
          <w:fldChar w:fldCharType="end"/>
        </w:r>
      </w:hyperlink>
    </w:p>
    <w:p w14:paraId="53880464" w14:textId="3DD1B522" w:rsidR="00160F5C" w:rsidRPr="00C74D34" w:rsidRDefault="00033F02">
      <w:pPr>
        <w:pStyle w:val="TOC5"/>
        <w:rPr>
          <w:rFonts w:asciiTheme="minorHAnsi" w:eastAsiaTheme="minorEastAsia" w:hAnsiTheme="minorHAnsi" w:cstheme="minorBidi"/>
          <w:noProof/>
          <w:color w:val="auto"/>
          <w:sz w:val="22"/>
        </w:rPr>
      </w:pPr>
      <w:hyperlink w:anchor="_Toc70516611" w:history="1">
        <w:r w:rsidR="00160F5C" w:rsidRPr="00C74D34">
          <w:rPr>
            <w:rStyle w:val="Hyperlink"/>
            <w:noProof/>
          </w:rPr>
          <w:t>i.</w:t>
        </w:r>
        <w:r w:rsidR="00160F5C" w:rsidRPr="00C74D34">
          <w:rPr>
            <w:rFonts w:asciiTheme="minorHAnsi" w:eastAsiaTheme="minorEastAsia" w:hAnsiTheme="minorHAnsi" w:cstheme="minorBidi"/>
            <w:noProof/>
            <w:color w:val="auto"/>
            <w:sz w:val="22"/>
          </w:rPr>
          <w:tab/>
        </w:r>
        <w:r w:rsidR="00160F5C" w:rsidRPr="00C74D34">
          <w:rPr>
            <w:rStyle w:val="Hyperlink"/>
            <w:noProof/>
          </w:rPr>
          <w:t>Transource’s position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_Toc70516611 \h </w:instrText>
        </w:r>
        <w:r w:rsidR="00160F5C" w:rsidRPr="00C74D34">
          <w:rPr>
            <w:noProof/>
            <w:webHidden/>
          </w:rPr>
        </w:r>
        <w:r w:rsidR="00160F5C" w:rsidRPr="00C74D34">
          <w:rPr>
            <w:noProof/>
            <w:webHidden/>
          </w:rPr>
          <w:fldChar w:fldCharType="separate"/>
        </w:r>
        <w:r w:rsidR="00F854C8">
          <w:rPr>
            <w:noProof/>
            <w:webHidden/>
          </w:rPr>
          <w:t>30</w:t>
        </w:r>
        <w:r w:rsidR="00160F5C" w:rsidRPr="00C74D34">
          <w:rPr>
            <w:noProof/>
            <w:webHidden/>
          </w:rPr>
          <w:fldChar w:fldCharType="end"/>
        </w:r>
      </w:hyperlink>
    </w:p>
    <w:p w14:paraId="241D5243" w14:textId="4D0116E0" w:rsidR="00160F5C" w:rsidRPr="00C74D34" w:rsidRDefault="00033F02">
      <w:pPr>
        <w:pStyle w:val="TOC5"/>
        <w:rPr>
          <w:rFonts w:asciiTheme="minorHAnsi" w:eastAsiaTheme="minorEastAsia" w:hAnsiTheme="minorHAnsi" w:cstheme="minorBidi"/>
          <w:noProof/>
          <w:color w:val="auto"/>
          <w:sz w:val="22"/>
        </w:rPr>
      </w:pPr>
      <w:hyperlink w:anchor="_Toc70516612" w:history="1">
        <w:r w:rsidR="00160F5C" w:rsidRPr="00C74D34">
          <w:rPr>
            <w:rStyle w:val="Hyperlink"/>
            <w:noProof/>
          </w:rPr>
          <w:t>ii.</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OCA’s, Franklin County’s and STFC’s </w:t>
        </w:r>
        <w:r w:rsidR="00F854C8">
          <w:rPr>
            <w:rStyle w:val="Hyperlink"/>
            <w:noProof/>
          </w:rPr>
          <w:t>P</w:t>
        </w:r>
        <w:r w:rsidR="00160F5C" w:rsidRPr="00C74D34">
          <w:rPr>
            <w:rStyle w:val="Hyperlink"/>
            <w:noProof/>
          </w:rPr>
          <w:t>osition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_Toc70516612 \h </w:instrText>
        </w:r>
        <w:r w:rsidR="00160F5C" w:rsidRPr="00C74D34">
          <w:rPr>
            <w:noProof/>
            <w:webHidden/>
          </w:rPr>
        </w:r>
        <w:r w:rsidR="00160F5C" w:rsidRPr="00C74D34">
          <w:rPr>
            <w:noProof/>
            <w:webHidden/>
          </w:rPr>
          <w:fldChar w:fldCharType="separate"/>
        </w:r>
        <w:r w:rsidR="00F854C8">
          <w:rPr>
            <w:noProof/>
            <w:webHidden/>
          </w:rPr>
          <w:t>35</w:t>
        </w:r>
        <w:r w:rsidR="00160F5C" w:rsidRPr="00C74D34">
          <w:rPr>
            <w:noProof/>
            <w:webHidden/>
          </w:rPr>
          <w:fldChar w:fldCharType="end"/>
        </w:r>
      </w:hyperlink>
    </w:p>
    <w:p w14:paraId="13E99754" w14:textId="45533C4C" w:rsidR="00160F5C" w:rsidRPr="00C74D34" w:rsidRDefault="00033F02">
      <w:pPr>
        <w:pStyle w:val="TOC4"/>
        <w:rPr>
          <w:rFonts w:asciiTheme="minorHAnsi" w:eastAsiaTheme="minorEastAsia" w:hAnsiTheme="minorHAnsi" w:cstheme="minorBidi"/>
          <w:noProof/>
          <w:color w:val="auto"/>
          <w:sz w:val="22"/>
        </w:rPr>
      </w:pPr>
      <w:hyperlink w:anchor="_Toc70516613" w:history="1">
        <w:r w:rsidR="00160F5C" w:rsidRPr="00C74D34">
          <w:rPr>
            <w:rStyle w:val="Hyperlink"/>
            <w:noProof/>
          </w:rPr>
          <w:t>b.</w:t>
        </w:r>
        <w:r w:rsidR="00160F5C" w:rsidRPr="00C74D34">
          <w:rPr>
            <w:rFonts w:asciiTheme="minorHAnsi" w:eastAsiaTheme="minorEastAsia" w:hAnsiTheme="minorHAnsi" w:cstheme="minorBidi"/>
            <w:noProof/>
            <w:color w:val="auto"/>
            <w:sz w:val="22"/>
          </w:rPr>
          <w:tab/>
        </w:r>
        <w:r w:rsidR="00160F5C" w:rsidRPr="00C74D34">
          <w:rPr>
            <w:rStyle w:val="Hyperlink"/>
            <w:noProof/>
          </w:rPr>
          <w:t>ALJ’s Recommended Decision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_Toc70516613 \h </w:instrText>
        </w:r>
        <w:r w:rsidR="00160F5C" w:rsidRPr="00C74D34">
          <w:rPr>
            <w:noProof/>
            <w:webHidden/>
          </w:rPr>
        </w:r>
        <w:r w:rsidR="00160F5C" w:rsidRPr="00C74D34">
          <w:rPr>
            <w:noProof/>
            <w:webHidden/>
          </w:rPr>
          <w:fldChar w:fldCharType="separate"/>
        </w:r>
        <w:r w:rsidR="00F854C8">
          <w:rPr>
            <w:noProof/>
            <w:webHidden/>
          </w:rPr>
          <w:t>47</w:t>
        </w:r>
        <w:r w:rsidR="00160F5C" w:rsidRPr="00C74D34">
          <w:rPr>
            <w:noProof/>
            <w:webHidden/>
          </w:rPr>
          <w:fldChar w:fldCharType="end"/>
        </w:r>
      </w:hyperlink>
    </w:p>
    <w:p w14:paraId="035F33D5" w14:textId="2F758B69" w:rsidR="00160F5C" w:rsidRPr="00C74D34" w:rsidRDefault="00033F02">
      <w:pPr>
        <w:pStyle w:val="TOC4"/>
        <w:rPr>
          <w:rFonts w:asciiTheme="minorHAnsi" w:eastAsiaTheme="minorEastAsia" w:hAnsiTheme="minorHAnsi" w:cstheme="minorBidi"/>
          <w:noProof/>
          <w:color w:val="auto"/>
          <w:sz w:val="22"/>
        </w:rPr>
      </w:pPr>
      <w:hyperlink w:anchor="_Toc70516614" w:history="1">
        <w:r w:rsidR="00160F5C" w:rsidRPr="00C74D34">
          <w:rPr>
            <w:rStyle w:val="Hyperlink"/>
            <w:noProof/>
          </w:rPr>
          <w:t>c.</w:t>
        </w:r>
        <w:r w:rsidR="00160F5C" w:rsidRPr="00C74D34">
          <w:rPr>
            <w:rFonts w:asciiTheme="minorHAnsi" w:eastAsiaTheme="minorEastAsia" w:hAnsiTheme="minorHAnsi" w:cstheme="minorBidi"/>
            <w:noProof/>
            <w:color w:val="auto"/>
            <w:sz w:val="22"/>
          </w:rPr>
          <w:tab/>
        </w:r>
        <w:r w:rsidR="00160F5C" w:rsidRPr="00C74D34">
          <w:rPr>
            <w:rStyle w:val="Hyperlink"/>
            <w:noProof/>
          </w:rPr>
          <w:t>Exceptions and Replies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_Toc70516614 \h </w:instrText>
        </w:r>
        <w:r w:rsidR="00160F5C" w:rsidRPr="00C74D34">
          <w:rPr>
            <w:noProof/>
            <w:webHidden/>
          </w:rPr>
        </w:r>
        <w:r w:rsidR="00160F5C" w:rsidRPr="00C74D34">
          <w:rPr>
            <w:noProof/>
            <w:webHidden/>
          </w:rPr>
          <w:fldChar w:fldCharType="separate"/>
        </w:r>
        <w:r w:rsidR="00F854C8">
          <w:rPr>
            <w:noProof/>
            <w:webHidden/>
          </w:rPr>
          <w:t>50</w:t>
        </w:r>
        <w:r w:rsidR="00160F5C" w:rsidRPr="00C74D34">
          <w:rPr>
            <w:noProof/>
            <w:webHidden/>
          </w:rPr>
          <w:fldChar w:fldCharType="end"/>
        </w:r>
      </w:hyperlink>
    </w:p>
    <w:p w14:paraId="76541C56" w14:textId="7100CBB6" w:rsidR="00160F5C" w:rsidRPr="00C74D34" w:rsidRDefault="00033F02">
      <w:pPr>
        <w:pStyle w:val="TOC4"/>
        <w:rPr>
          <w:rFonts w:asciiTheme="minorHAnsi" w:eastAsiaTheme="minorEastAsia" w:hAnsiTheme="minorHAnsi" w:cstheme="minorBidi"/>
          <w:noProof/>
          <w:color w:val="auto"/>
          <w:sz w:val="22"/>
        </w:rPr>
      </w:pPr>
      <w:hyperlink w:anchor="_Toc70516615" w:history="1">
        <w:r w:rsidR="00160F5C" w:rsidRPr="00C74D34">
          <w:rPr>
            <w:rStyle w:val="Hyperlink"/>
            <w:noProof/>
          </w:rPr>
          <w:t>d.</w:t>
        </w:r>
        <w:r w:rsidR="00160F5C" w:rsidRPr="00C74D34">
          <w:rPr>
            <w:rFonts w:asciiTheme="minorHAnsi" w:eastAsiaTheme="minorEastAsia" w:hAnsiTheme="minorHAnsi" w:cstheme="minorBidi"/>
            <w:noProof/>
            <w:color w:val="auto"/>
            <w:sz w:val="22"/>
          </w:rPr>
          <w:tab/>
        </w:r>
        <w:r w:rsidR="00160F5C" w:rsidRPr="00C74D34">
          <w:rPr>
            <w:rStyle w:val="Hyperlink"/>
            <w:noProof/>
          </w:rPr>
          <w:t>Disposition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_Toc70516615 \h </w:instrText>
        </w:r>
        <w:r w:rsidR="00160F5C" w:rsidRPr="00C74D34">
          <w:rPr>
            <w:noProof/>
            <w:webHidden/>
          </w:rPr>
        </w:r>
        <w:r w:rsidR="00160F5C" w:rsidRPr="00C74D34">
          <w:rPr>
            <w:noProof/>
            <w:webHidden/>
          </w:rPr>
          <w:fldChar w:fldCharType="separate"/>
        </w:r>
        <w:r w:rsidR="00F854C8">
          <w:rPr>
            <w:noProof/>
            <w:webHidden/>
          </w:rPr>
          <w:t>52</w:t>
        </w:r>
        <w:r w:rsidR="00160F5C" w:rsidRPr="00C74D34">
          <w:rPr>
            <w:noProof/>
            <w:webHidden/>
          </w:rPr>
          <w:fldChar w:fldCharType="end"/>
        </w:r>
      </w:hyperlink>
    </w:p>
    <w:p w14:paraId="13D004A8" w14:textId="33DFB7AD" w:rsidR="00160F5C" w:rsidRPr="00C74D34" w:rsidRDefault="00033F02">
      <w:pPr>
        <w:pStyle w:val="TOC3"/>
        <w:rPr>
          <w:rFonts w:asciiTheme="minorHAnsi" w:eastAsiaTheme="minorEastAsia" w:hAnsiTheme="minorHAnsi" w:cstheme="minorBidi"/>
          <w:noProof/>
          <w:color w:val="auto"/>
          <w:sz w:val="22"/>
        </w:rPr>
      </w:pPr>
      <w:hyperlink w:anchor="_Toc70516616" w:history="1">
        <w:r w:rsidR="00160F5C" w:rsidRPr="00C74D34">
          <w:rPr>
            <w:rStyle w:val="Hyperlink"/>
            <w:noProof/>
          </w:rPr>
          <w:t>2.</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Transource Exception No. 2: The ALJ </w:t>
        </w:r>
        <w:r w:rsidR="00D91BA3" w:rsidRPr="00C74D34">
          <w:rPr>
            <w:rStyle w:val="Hyperlink"/>
            <w:noProof/>
          </w:rPr>
          <w:t>E</w:t>
        </w:r>
        <w:r w:rsidR="00160F5C" w:rsidRPr="00C74D34">
          <w:rPr>
            <w:rStyle w:val="Hyperlink"/>
            <w:noProof/>
          </w:rPr>
          <w:t xml:space="preserve">rred as a </w:t>
        </w:r>
        <w:r w:rsidR="00D91BA3" w:rsidRPr="00C74D34">
          <w:rPr>
            <w:rStyle w:val="Hyperlink"/>
            <w:noProof/>
          </w:rPr>
          <w:t>M</w:t>
        </w:r>
        <w:r w:rsidR="00160F5C" w:rsidRPr="00C74D34">
          <w:rPr>
            <w:rStyle w:val="Hyperlink"/>
            <w:noProof/>
          </w:rPr>
          <w:t xml:space="preserve">atter of </w:t>
        </w:r>
        <w:r w:rsidR="00D91BA3" w:rsidRPr="00C74D34">
          <w:rPr>
            <w:rStyle w:val="Hyperlink"/>
            <w:noProof/>
          </w:rPr>
          <w:t>L</w:t>
        </w:r>
        <w:r w:rsidR="00160F5C" w:rsidRPr="00C74D34">
          <w:rPr>
            <w:rStyle w:val="Hyperlink"/>
            <w:noProof/>
          </w:rPr>
          <w:t>aw in</w:t>
        </w:r>
        <w:r w:rsidR="00D91BA3" w:rsidRPr="00C74D34">
          <w:rPr>
            <w:rStyle w:val="Hyperlink"/>
            <w:noProof/>
          </w:rPr>
          <w:t> C</w:t>
        </w:r>
        <w:r w:rsidR="00160F5C" w:rsidRPr="00C74D34">
          <w:rPr>
            <w:rStyle w:val="Hyperlink"/>
            <w:noProof/>
          </w:rPr>
          <w:t xml:space="preserve">oncluding that </w:t>
        </w:r>
        <w:r w:rsidR="00D91BA3" w:rsidRPr="00C74D34">
          <w:rPr>
            <w:rStyle w:val="Hyperlink"/>
            <w:noProof/>
          </w:rPr>
          <w:t>T</w:t>
        </w:r>
        <w:r w:rsidR="00160F5C" w:rsidRPr="00C74D34">
          <w:rPr>
            <w:rStyle w:val="Hyperlink"/>
            <w:noProof/>
          </w:rPr>
          <w:t xml:space="preserve">ransource </w:t>
        </w:r>
        <w:r w:rsidR="00D91BA3" w:rsidRPr="00C74D34">
          <w:rPr>
            <w:rStyle w:val="Hyperlink"/>
            <w:noProof/>
          </w:rPr>
          <w:t>D</w:t>
        </w:r>
        <w:r w:rsidR="00160F5C" w:rsidRPr="00C74D34">
          <w:rPr>
            <w:rStyle w:val="Hyperlink"/>
            <w:noProof/>
          </w:rPr>
          <w:t xml:space="preserve">id </w:t>
        </w:r>
        <w:r w:rsidR="00D91BA3" w:rsidRPr="00C74D34">
          <w:rPr>
            <w:rStyle w:val="Hyperlink"/>
            <w:noProof/>
          </w:rPr>
          <w:t>N</w:t>
        </w:r>
        <w:r w:rsidR="00160F5C" w:rsidRPr="00C74D34">
          <w:rPr>
            <w:rStyle w:val="Hyperlink"/>
            <w:noProof/>
          </w:rPr>
          <w:t xml:space="preserve">ot </w:t>
        </w:r>
        <w:r w:rsidR="00D91BA3" w:rsidRPr="00C74D34">
          <w:rPr>
            <w:rStyle w:val="Hyperlink"/>
            <w:noProof/>
          </w:rPr>
          <w:t>M</w:t>
        </w:r>
        <w:r w:rsidR="00160F5C" w:rsidRPr="00C74D34">
          <w:rPr>
            <w:rStyle w:val="Hyperlink"/>
            <w:noProof/>
          </w:rPr>
          <w:t xml:space="preserve">inimize </w:t>
        </w:r>
        <w:r w:rsidR="00D91BA3" w:rsidRPr="00C74D34">
          <w:rPr>
            <w:rStyle w:val="Hyperlink"/>
            <w:noProof/>
          </w:rPr>
          <w:t>E</w:t>
        </w:r>
        <w:r w:rsidR="00160F5C" w:rsidRPr="00C74D34">
          <w:rPr>
            <w:rStyle w:val="Hyperlink"/>
            <w:noProof/>
          </w:rPr>
          <w:t xml:space="preserve">nvironmental </w:t>
        </w:r>
        <w:r w:rsidR="00D91BA3" w:rsidRPr="00C74D34">
          <w:rPr>
            <w:rStyle w:val="Hyperlink"/>
            <w:noProof/>
          </w:rPr>
          <w:t>I</w:t>
        </w:r>
        <w:r w:rsidR="00160F5C" w:rsidRPr="00C74D34">
          <w:rPr>
            <w:rStyle w:val="Hyperlink"/>
            <w:noProof/>
          </w:rPr>
          <w:t>mpact</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_Toc70516616 \h </w:instrText>
        </w:r>
        <w:r w:rsidR="00160F5C" w:rsidRPr="00C74D34">
          <w:rPr>
            <w:noProof/>
            <w:webHidden/>
          </w:rPr>
        </w:r>
        <w:r w:rsidR="00160F5C" w:rsidRPr="00C74D34">
          <w:rPr>
            <w:noProof/>
            <w:webHidden/>
          </w:rPr>
          <w:fldChar w:fldCharType="separate"/>
        </w:r>
        <w:r w:rsidR="00F854C8">
          <w:rPr>
            <w:noProof/>
            <w:webHidden/>
          </w:rPr>
          <w:t>64</w:t>
        </w:r>
        <w:r w:rsidR="00160F5C" w:rsidRPr="00C74D34">
          <w:rPr>
            <w:noProof/>
            <w:webHidden/>
          </w:rPr>
          <w:fldChar w:fldCharType="end"/>
        </w:r>
      </w:hyperlink>
    </w:p>
    <w:p w14:paraId="2E4F6CC9" w14:textId="2817E677" w:rsidR="00160F5C" w:rsidRPr="00C74D34" w:rsidRDefault="00033F02">
      <w:pPr>
        <w:pStyle w:val="TOC3"/>
        <w:rPr>
          <w:rFonts w:asciiTheme="minorHAnsi" w:eastAsiaTheme="minorEastAsia" w:hAnsiTheme="minorHAnsi" w:cstheme="minorBidi"/>
          <w:noProof/>
          <w:color w:val="auto"/>
          <w:sz w:val="22"/>
        </w:rPr>
      </w:pPr>
      <w:hyperlink w:anchor="_Toc70516617" w:history="1">
        <w:r w:rsidR="00160F5C" w:rsidRPr="00C74D34">
          <w:rPr>
            <w:rStyle w:val="Hyperlink"/>
            <w:noProof/>
          </w:rPr>
          <w:t>3.</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Transource Exception No. 3: The ALJ </w:t>
        </w:r>
        <w:r w:rsidR="00D91BA3" w:rsidRPr="00C74D34">
          <w:rPr>
            <w:rStyle w:val="Hyperlink"/>
            <w:noProof/>
          </w:rPr>
          <w:t>E</w:t>
        </w:r>
        <w:r w:rsidR="00160F5C" w:rsidRPr="00C74D34">
          <w:rPr>
            <w:rStyle w:val="Hyperlink"/>
            <w:noProof/>
          </w:rPr>
          <w:t xml:space="preserve">rred as a </w:t>
        </w:r>
        <w:r w:rsidR="00D91BA3" w:rsidRPr="00C74D34">
          <w:rPr>
            <w:rStyle w:val="Hyperlink"/>
            <w:noProof/>
          </w:rPr>
          <w:t>M</w:t>
        </w:r>
        <w:r w:rsidR="00160F5C" w:rsidRPr="00C74D34">
          <w:rPr>
            <w:rStyle w:val="Hyperlink"/>
            <w:noProof/>
          </w:rPr>
          <w:t xml:space="preserve">atter of </w:t>
        </w:r>
        <w:r w:rsidR="00D91BA3" w:rsidRPr="00C74D34">
          <w:rPr>
            <w:rStyle w:val="Hyperlink"/>
            <w:noProof/>
          </w:rPr>
          <w:t>L</w:t>
        </w:r>
        <w:r w:rsidR="00160F5C" w:rsidRPr="00C74D34">
          <w:rPr>
            <w:rStyle w:val="Hyperlink"/>
            <w:noProof/>
          </w:rPr>
          <w:t>aw by</w:t>
        </w:r>
        <w:r w:rsidR="00D91BA3" w:rsidRPr="00C74D34">
          <w:rPr>
            <w:rStyle w:val="Hyperlink"/>
            <w:noProof/>
          </w:rPr>
          <w:t> C</w:t>
        </w:r>
        <w:r w:rsidR="00160F5C" w:rsidRPr="00C74D34">
          <w:rPr>
            <w:rStyle w:val="Hyperlink"/>
            <w:noProof/>
          </w:rPr>
          <w:t xml:space="preserve">oncluding that Transource </w:t>
        </w:r>
        <w:r w:rsidR="00D91BA3" w:rsidRPr="00C74D34">
          <w:rPr>
            <w:rStyle w:val="Hyperlink"/>
            <w:noProof/>
          </w:rPr>
          <w:t>D</w:t>
        </w:r>
        <w:r w:rsidR="00160F5C" w:rsidRPr="00C74D34">
          <w:rPr>
            <w:rStyle w:val="Hyperlink"/>
            <w:noProof/>
          </w:rPr>
          <w:t xml:space="preserve">id </w:t>
        </w:r>
        <w:r w:rsidR="00D91BA3" w:rsidRPr="00C74D34">
          <w:rPr>
            <w:rStyle w:val="Hyperlink"/>
            <w:noProof/>
          </w:rPr>
          <w:t>N</w:t>
        </w:r>
        <w:r w:rsidR="00160F5C" w:rsidRPr="00C74D34">
          <w:rPr>
            <w:rStyle w:val="Hyperlink"/>
            <w:noProof/>
          </w:rPr>
          <w:t xml:space="preserve">ot </w:t>
        </w:r>
        <w:r w:rsidR="00D91BA3" w:rsidRPr="00C74D34">
          <w:rPr>
            <w:rStyle w:val="Hyperlink"/>
            <w:noProof/>
          </w:rPr>
          <w:t>M</w:t>
        </w:r>
        <w:r w:rsidR="00160F5C" w:rsidRPr="00C74D34">
          <w:rPr>
            <w:rStyle w:val="Hyperlink"/>
            <w:noProof/>
          </w:rPr>
          <w:t xml:space="preserve">inimize </w:t>
        </w:r>
        <w:r w:rsidR="00D91BA3" w:rsidRPr="00C74D34">
          <w:rPr>
            <w:rStyle w:val="Hyperlink"/>
            <w:noProof/>
          </w:rPr>
          <w:t>E</w:t>
        </w:r>
        <w:r w:rsidR="00160F5C" w:rsidRPr="00C74D34">
          <w:rPr>
            <w:rStyle w:val="Hyperlink"/>
            <w:noProof/>
          </w:rPr>
          <w:t xml:space="preserve">conomic </w:t>
        </w:r>
        <w:r w:rsidR="00D91BA3" w:rsidRPr="00C74D34">
          <w:rPr>
            <w:rStyle w:val="Hyperlink"/>
            <w:noProof/>
          </w:rPr>
          <w:t xml:space="preserve">  I</w:t>
        </w:r>
        <w:r w:rsidR="00160F5C" w:rsidRPr="00C74D34">
          <w:rPr>
            <w:rStyle w:val="Hyperlink"/>
            <w:noProof/>
          </w:rPr>
          <w:t>mpact</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_Toc70516617 \h </w:instrText>
        </w:r>
        <w:r w:rsidR="00160F5C" w:rsidRPr="00C74D34">
          <w:rPr>
            <w:noProof/>
            <w:webHidden/>
          </w:rPr>
        </w:r>
        <w:r w:rsidR="00160F5C" w:rsidRPr="00C74D34">
          <w:rPr>
            <w:noProof/>
            <w:webHidden/>
          </w:rPr>
          <w:fldChar w:fldCharType="separate"/>
        </w:r>
        <w:r w:rsidR="00F854C8">
          <w:rPr>
            <w:noProof/>
            <w:webHidden/>
          </w:rPr>
          <w:t>64</w:t>
        </w:r>
        <w:r w:rsidR="00160F5C" w:rsidRPr="00C74D34">
          <w:rPr>
            <w:noProof/>
            <w:webHidden/>
          </w:rPr>
          <w:fldChar w:fldCharType="end"/>
        </w:r>
      </w:hyperlink>
    </w:p>
    <w:p w14:paraId="380D26FF" w14:textId="3845C0D0" w:rsidR="00160F5C" w:rsidRPr="00C74D34" w:rsidRDefault="00033F02">
      <w:pPr>
        <w:pStyle w:val="TOC3"/>
        <w:rPr>
          <w:rFonts w:asciiTheme="minorHAnsi" w:eastAsiaTheme="minorEastAsia" w:hAnsiTheme="minorHAnsi" w:cstheme="minorBidi"/>
          <w:noProof/>
          <w:color w:val="auto"/>
          <w:sz w:val="22"/>
        </w:rPr>
      </w:pPr>
      <w:hyperlink w:anchor="_Toc70516618" w:history="1">
        <w:r w:rsidR="00160F5C" w:rsidRPr="00C74D34">
          <w:rPr>
            <w:rStyle w:val="Hyperlink"/>
            <w:noProof/>
          </w:rPr>
          <w:t>4.</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Transource Exception No 4: The ALJ’s </w:t>
        </w:r>
        <w:r w:rsidR="00D91BA3" w:rsidRPr="00C74D34">
          <w:rPr>
            <w:rStyle w:val="Hyperlink"/>
            <w:noProof/>
          </w:rPr>
          <w:t>E</w:t>
        </w:r>
        <w:r w:rsidR="00160F5C" w:rsidRPr="00C74D34">
          <w:rPr>
            <w:rStyle w:val="Hyperlink"/>
            <w:noProof/>
          </w:rPr>
          <w:t xml:space="preserve">rred as a </w:t>
        </w:r>
        <w:r w:rsidR="00D91BA3" w:rsidRPr="00C74D34">
          <w:rPr>
            <w:rStyle w:val="Hyperlink"/>
            <w:noProof/>
          </w:rPr>
          <w:t>M</w:t>
        </w:r>
        <w:r w:rsidR="00160F5C" w:rsidRPr="00C74D34">
          <w:rPr>
            <w:rStyle w:val="Hyperlink"/>
            <w:noProof/>
          </w:rPr>
          <w:t xml:space="preserve">atter of </w:t>
        </w:r>
        <w:r w:rsidR="00D91BA3" w:rsidRPr="00C74D34">
          <w:rPr>
            <w:rStyle w:val="Hyperlink"/>
            <w:noProof/>
          </w:rPr>
          <w:t>F</w:t>
        </w:r>
        <w:r w:rsidR="00160F5C" w:rsidRPr="00C74D34">
          <w:rPr>
            <w:rStyle w:val="Hyperlink"/>
            <w:noProof/>
          </w:rPr>
          <w:t xml:space="preserve">act </w:t>
        </w:r>
        <w:r w:rsidR="00D91BA3" w:rsidRPr="00C74D34">
          <w:rPr>
            <w:rStyle w:val="Hyperlink"/>
            <w:noProof/>
          </w:rPr>
          <w:t>R</w:t>
        </w:r>
        <w:r w:rsidR="00160F5C" w:rsidRPr="00C74D34">
          <w:rPr>
            <w:rStyle w:val="Hyperlink"/>
            <w:noProof/>
          </w:rPr>
          <w:t xml:space="preserve">egarding GPS </w:t>
        </w:r>
        <w:r w:rsidR="00D91BA3" w:rsidRPr="00C74D34">
          <w:rPr>
            <w:rStyle w:val="Hyperlink"/>
            <w:noProof/>
          </w:rPr>
          <w:t>I</w:t>
        </w:r>
        <w:r w:rsidR="00160F5C" w:rsidRPr="00C74D34">
          <w:rPr>
            <w:rStyle w:val="Hyperlink"/>
            <w:noProof/>
          </w:rPr>
          <w:t>nterference</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_Toc70516618 \h </w:instrText>
        </w:r>
        <w:r w:rsidR="00160F5C" w:rsidRPr="00C74D34">
          <w:rPr>
            <w:noProof/>
            <w:webHidden/>
          </w:rPr>
        </w:r>
        <w:r w:rsidR="00160F5C" w:rsidRPr="00C74D34">
          <w:rPr>
            <w:noProof/>
            <w:webHidden/>
          </w:rPr>
          <w:fldChar w:fldCharType="separate"/>
        </w:r>
        <w:r w:rsidR="00F854C8">
          <w:rPr>
            <w:noProof/>
            <w:webHidden/>
          </w:rPr>
          <w:t>65</w:t>
        </w:r>
        <w:r w:rsidR="00160F5C" w:rsidRPr="00C74D34">
          <w:rPr>
            <w:noProof/>
            <w:webHidden/>
          </w:rPr>
          <w:fldChar w:fldCharType="end"/>
        </w:r>
      </w:hyperlink>
    </w:p>
    <w:p w14:paraId="6B9DE584" w14:textId="6F7E7C0C" w:rsidR="00160F5C" w:rsidRPr="00C74D34" w:rsidRDefault="00033F02">
      <w:pPr>
        <w:pStyle w:val="TOC3"/>
        <w:rPr>
          <w:rFonts w:asciiTheme="minorHAnsi" w:eastAsiaTheme="minorEastAsia" w:hAnsiTheme="minorHAnsi" w:cstheme="minorBidi"/>
          <w:noProof/>
          <w:color w:val="auto"/>
          <w:sz w:val="22"/>
        </w:rPr>
      </w:pPr>
      <w:hyperlink w:anchor="_Toc70516619" w:history="1">
        <w:r w:rsidR="00160F5C" w:rsidRPr="00C74D34">
          <w:rPr>
            <w:rStyle w:val="Hyperlink"/>
            <w:noProof/>
          </w:rPr>
          <w:t>5.</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Transource Exception No. 5: Transource’s Certificate of Public Convenience </w:t>
        </w:r>
        <w:r w:rsidR="00D91BA3" w:rsidRPr="00C74D34">
          <w:rPr>
            <w:rStyle w:val="Hyperlink"/>
            <w:noProof/>
          </w:rPr>
          <w:t>S</w:t>
        </w:r>
        <w:r w:rsidR="00160F5C" w:rsidRPr="00C74D34">
          <w:rPr>
            <w:rStyle w:val="Hyperlink"/>
            <w:noProof/>
          </w:rPr>
          <w:t xml:space="preserve">hould </w:t>
        </w:r>
        <w:r w:rsidR="00D91BA3" w:rsidRPr="00C74D34">
          <w:rPr>
            <w:rStyle w:val="Hyperlink"/>
            <w:noProof/>
          </w:rPr>
          <w:t>N</w:t>
        </w:r>
        <w:r w:rsidR="00160F5C" w:rsidRPr="00C74D34">
          <w:rPr>
            <w:rStyle w:val="Hyperlink"/>
            <w:noProof/>
          </w:rPr>
          <w:t xml:space="preserve">ot </w:t>
        </w:r>
        <w:r w:rsidR="00D91BA3" w:rsidRPr="00C74D34">
          <w:rPr>
            <w:rStyle w:val="Hyperlink"/>
            <w:noProof/>
          </w:rPr>
          <w:t>B</w:t>
        </w:r>
        <w:r w:rsidR="00160F5C" w:rsidRPr="00C74D34">
          <w:rPr>
            <w:rStyle w:val="Hyperlink"/>
            <w:noProof/>
          </w:rPr>
          <w:t xml:space="preserve">e </w:t>
        </w:r>
        <w:r w:rsidR="00D91BA3" w:rsidRPr="00C74D34">
          <w:rPr>
            <w:rStyle w:val="Hyperlink"/>
            <w:noProof/>
          </w:rPr>
          <w:t>Re</w:t>
        </w:r>
        <w:r w:rsidR="00160F5C" w:rsidRPr="00C74D34">
          <w:rPr>
            <w:rStyle w:val="Hyperlink"/>
            <w:noProof/>
          </w:rPr>
          <w:t>scinded</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_Toc70516619 \h </w:instrText>
        </w:r>
        <w:r w:rsidR="00160F5C" w:rsidRPr="00C74D34">
          <w:rPr>
            <w:noProof/>
            <w:webHidden/>
          </w:rPr>
        </w:r>
        <w:r w:rsidR="00160F5C" w:rsidRPr="00C74D34">
          <w:rPr>
            <w:noProof/>
            <w:webHidden/>
          </w:rPr>
          <w:fldChar w:fldCharType="separate"/>
        </w:r>
        <w:r w:rsidR="00F854C8">
          <w:rPr>
            <w:noProof/>
            <w:webHidden/>
          </w:rPr>
          <w:t>67</w:t>
        </w:r>
        <w:r w:rsidR="00160F5C" w:rsidRPr="00C74D34">
          <w:rPr>
            <w:noProof/>
            <w:webHidden/>
          </w:rPr>
          <w:fldChar w:fldCharType="end"/>
        </w:r>
      </w:hyperlink>
    </w:p>
    <w:p w14:paraId="237AF3D6" w14:textId="0D646F01" w:rsidR="00160F5C" w:rsidRPr="00C74D34" w:rsidRDefault="00033F02">
      <w:pPr>
        <w:pStyle w:val="TOC4"/>
        <w:rPr>
          <w:rFonts w:asciiTheme="minorHAnsi" w:eastAsiaTheme="minorEastAsia" w:hAnsiTheme="minorHAnsi" w:cstheme="minorBidi"/>
          <w:noProof/>
          <w:color w:val="auto"/>
          <w:sz w:val="22"/>
        </w:rPr>
      </w:pPr>
      <w:hyperlink w:anchor="_Toc70516620" w:history="1">
        <w:r w:rsidR="00160F5C" w:rsidRPr="00C74D34">
          <w:rPr>
            <w:rStyle w:val="Hyperlink"/>
            <w:noProof/>
          </w:rPr>
          <w:t>a.</w:t>
        </w:r>
        <w:r w:rsidR="00160F5C" w:rsidRPr="00C74D34">
          <w:rPr>
            <w:rFonts w:asciiTheme="minorHAnsi" w:eastAsiaTheme="minorEastAsia" w:hAnsiTheme="minorHAnsi" w:cstheme="minorBidi"/>
            <w:noProof/>
            <w:color w:val="auto"/>
            <w:sz w:val="22"/>
          </w:rPr>
          <w:tab/>
        </w:r>
        <w:r w:rsidR="00160F5C" w:rsidRPr="00C74D34">
          <w:rPr>
            <w:rStyle w:val="Hyperlink"/>
            <w:noProof/>
          </w:rPr>
          <w:t>Position of the Parties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_Toc70516620 \h </w:instrText>
        </w:r>
        <w:r w:rsidR="00160F5C" w:rsidRPr="00C74D34">
          <w:rPr>
            <w:noProof/>
            <w:webHidden/>
          </w:rPr>
        </w:r>
        <w:r w:rsidR="00160F5C" w:rsidRPr="00C74D34">
          <w:rPr>
            <w:noProof/>
            <w:webHidden/>
          </w:rPr>
          <w:fldChar w:fldCharType="separate"/>
        </w:r>
        <w:r w:rsidR="00F854C8">
          <w:rPr>
            <w:noProof/>
            <w:webHidden/>
          </w:rPr>
          <w:t>67</w:t>
        </w:r>
        <w:r w:rsidR="00160F5C" w:rsidRPr="00C74D34">
          <w:rPr>
            <w:noProof/>
            <w:webHidden/>
          </w:rPr>
          <w:fldChar w:fldCharType="end"/>
        </w:r>
      </w:hyperlink>
    </w:p>
    <w:p w14:paraId="3EE92E63" w14:textId="50243990" w:rsidR="00160F5C" w:rsidRPr="00C74D34" w:rsidRDefault="00033F02">
      <w:pPr>
        <w:pStyle w:val="TOC5"/>
        <w:rPr>
          <w:rFonts w:asciiTheme="minorHAnsi" w:eastAsiaTheme="minorEastAsia" w:hAnsiTheme="minorHAnsi" w:cstheme="minorBidi"/>
          <w:noProof/>
          <w:color w:val="auto"/>
          <w:sz w:val="22"/>
        </w:rPr>
      </w:pPr>
      <w:hyperlink w:anchor="_Toc70516621" w:history="1">
        <w:r w:rsidR="00160F5C" w:rsidRPr="00C74D34">
          <w:rPr>
            <w:rStyle w:val="Hyperlink"/>
            <w:noProof/>
          </w:rPr>
          <w:t>i.</w:t>
        </w:r>
        <w:r w:rsidR="00160F5C" w:rsidRPr="00C74D34">
          <w:rPr>
            <w:rFonts w:asciiTheme="minorHAnsi" w:eastAsiaTheme="minorEastAsia" w:hAnsiTheme="minorHAnsi" w:cstheme="minorBidi"/>
            <w:noProof/>
            <w:color w:val="auto"/>
            <w:sz w:val="22"/>
          </w:rPr>
          <w:tab/>
        </w:r>
        <w:r w:rsidR="00160F5C" w:rsidRPr="00C74D34">
          <w:rPr>
            <w:rStyle w:val="Hyperlink"/>
            <w:noProof/>
          </w:rPr>
          <w:t>Transource’s Position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_Toc70516621 \h </w:instrText>
        </w:r>
        <w:r w:rsidR="00160F5C" w:rsidRPr="00C74D34">
          <w:rPr>
            <w:noProof/>
            <w:webHidden/>
          </w:rPr>
        </w:r>
        <w:r w:rsidR="00160F5C" w:rsidRPr="00C74D34">
          <w:rPr>
            <w:noProof/>
            <w:webHidden/>
          </w:rPr>
          <w:fldChar w:fldCharType="separate"/>
        </w:r>
        <w:r w:rsidR="00F854C8">
          <w:rPr>
            <w:noProof/>
            <w:webHidden/>
          </w:rPr>
          <w:t>67</w:t>
        </w:r>
        <w:r w:rsidR="00160F5C" w:rsidRPr="00C74D34">
          <w:rPr>
            <w:noProof/>
            <w:webHidden/>
          </w:rPr>
          <w:fldChar w:fldCharType="end"/>
        </w:r>
      </w:hyperlink>
    </w:p>
    <w:p w14:paraId="12A5570C" w14:textId="46DE24C7" w:rsidR="00160F5C" w:rsidRPr="00C74D34" w:rsidRDefault="00033F02">
      <w:pPr>
        <w:pStyle w:val="TOC5"/>
        <w:rPr>
          <w:rFonts w:asciiTheme="minorHAnsi" w:eastAsiaTheme="minorEastAsia" w:hAnsiTheme="minorHAnsi" w:cstheme="minorBidi"/>
          <w:noProof/>
          <w:color w:val="auto"/>
          <w:sz w:val="22"/>
        </w:rPr>
      </w:pPr>
      <w:hyperlink w:anchor="_Toc70516622" w:history="1">
        <w:r w:rsidR="00160F5C" w:rsidRPr="00C74D34">
          <w:rPr>
            <w:rStyle w:val="Hyperlink"/>
            <w:noProof/>
          </w:rPr>
          <w:t>ii.</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The OCA’s, Franklin County’s, and STFC’s </w:t>
        </w:r>
        <w:r w:rsidR="00D91BA3" w:rsidRPr="00C74D34">
          <w:rPr>
            <w:rStyle w:val="Hyperlink"/>
            <w:noProof/>
          </w:rPr>
          <w:t xml:space="preserve">    </w:t>
        </w:r>
        <w:r w:rsidR="00160F5C" w:rsidRPr="00C74D34">
          <w:rPr>
            <w:rStyle w:val="Hyperlink"/>
            <w:noProof/>
          </w:rPr>
          <w:t>Position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_Toc70516622 \h </w:instrText>
        </w:r>
        <w:r w:rsidR="00160F5C" w:rsidRPr="00C74D34">
          <w:rPr>
            <w:noProof/>
            <w:webHidden/>
          </w:rPr>
        </w:r>
        <w:r w:rsidR="00160F5C" w:rsidRPr="00C74D34">
          <w:rPr>
            <w:noProof/>
            <w:webHidden/>
          </w:rPr>
          <w:fldChar w:fldCharType="separate"/>
        </w:r>
        <w:r w:rsidR="00F854C8">
          <w:rPr>
            <w:noProof/>
            <w:webHidden/>
          </w:rPr>
          <w:t>67</w:t>
        </w:r>
        <w:r w:rsidR="00160F5C" w:rsidRPr="00C74D34">
          <w:rPr>
            <w:noProof/>
            <w:webHidden/>
          </w:rPr>
          <w:fldChar w:fldCharType="end"/>
        </w:r>
      </w:hyperlink>
    </w:p>
    <w:p w14:paraId="6C091AFC" w14:textId="4E3E5F5D" w:rsidR="00160F5C" w:rsidRPr="00C74D34" w:rsidRDefault="00033F02">
      <w:pPr>
        <w:pStyle w:val="TOC4"/>
        <w:rPr>
          <w:rFonts w:asciiTheme="minorHAnsi" w:eastAsiaTheme="minorEastAsia" w:hAnsiTheme="minorHAnsi" w:cstheme="minorBidi"/>
          <w:noProof/>
          <w:color w:val="auto"/>
          <w:sz w:val="22"/>
        </w:rPr>
      </w:pPr>
      <w:hyperlink w:anchor="_Toc70516623" w:history="1">
        <w:r w:rsidR="00160F5C" w:rsidRPr="00C74D34">
          <w:rPr>
            <w:rStyle w:val="Hyperlink"/>
            <w:noProof/>
          </w:rPr>
          <w:t>b.</w:t>
        </w:r>
        <w:r w:rsidR="00160F5C" w:rsidRPr="00C74D34">
          <w:rPr>
            <w:rFonts w:asciiTheme="minorHAnsi" w:eastAsiaTheme="minorEastAsia" w:hAnsiTheme="minorHAnsi" w:cstheme="minorBidi"/>
            <w:noProof/>
            <w:color w:val="auto"/>
            <w:sz w:val="22"/>
          </w:rPr>
          <w:tab/>
        </w:r>
        <w:r w:rsidR="00160F5C" w:rsidRPr="00C74D34">
          <w:rPr>
            <w:rStyle w:val="Hyperlink"/>
            <w:noProof/>
          </w:rPr>
          <w:t>ALJ’s Recommended Decision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_Toc70516623 \h </w:instrText>
        </w:r>
        <w:r w:rsidR="00160F5C" w:rsidRPr="00C74D34">
          <w:rPr>
            <w:noProof/>
            <w:webHidden/>
          </w:rPr>
        </w:r>
        <w:r w:rsidR="00160F5C" w:rsidRPr="00C74D34">
          <w:rPr>
            <w:noProof/>
            <w:webHidden/>
          </w:rPr>
          <w:fldChar w:fldCharType="separate"/>
        </w:r>
        <w:r w:rsidR="00F854C8">
          <w:rPr>
            <w:noProof/>
            <w:webHidden/>
          </w:rPr>
          <w:t>68</w:t>
        </w:r>
        <w:r w:rsidR="00160F5C" w:rsidRPr="00C74D34">
          <w:rPr>
            <w:noProof/>
            <w:webHidden/>
          </w:rPr>
          <w:fldChar w:fldCharType="end"/>
        </w:r>
      </w:hyperlink>
    </w:p>
    <w:p w14:paraId="345D1528" w14:textId="482ADACF" w:rsidR="00160F5C" w:rsidRPr="00C74D34" w:rsidRDefault="00033F02">
      <w:pPr>
        <w:pStyle w:val="TOC4"/>
        <w:rPr>
          <w:rFonts w:asciiTheme="minorHAnsi" w:eastAsiaTheme="minorEastAsia" w:hAnsiTheme="minorHAnsi" w:cstheme="minorBidi"/>
          <w:noProof/>
          <w:color w:val="auto"/>
          <w:sz w:val="22"/>
        </w:rPr>
      </w:pPr>
      <w:hyperlink w:anchor="_Toc70516624" w:history="1">
        <w:r w:rsidR="00160F5C" w:rsidRPr="00C74D34">
          <w:rPr>
            <w:rStyle w:val="Hyperlink"/>
            <w:noProof/>
          </w:rPr>
          <w:t>c.</w:t>
        </w:r>
        <w:r w:rsidR="00160F5C" w:rsidRPr="00C74D34">
          <w:rPr>
            <w:rFonts w:asciiTheme="minorHAnsi" w:eastAsiaTheme="minorEastAsia" w:hAnsiTheme="minorHAnsi" w:cstheme="minorBidi"/>
            <w:noProof/>
            <w:color w:val="auto"/>
            <w:sz w:val="22"/>
          </w:rPr>
          <w:tab/>
        </w:r>
        <w:r w:rsidR="00160F5C" w:rsidRPr="00C74D34">
          <w:rPr>
            <w:rStyle w:val="Hyperlink"/>
            <w:noProof/>
          </w:rPr>
          <w:t>Exceptions and Replies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_Toc70516624 \h </w:instrText>
        </w:r>
        <w:r w:rsidR="00160F5C" w:rsidRPr="00C74D34">
          <w:rPr>
            <w:noProof/>
            <w:webHidden/>
          </w:rPr>
        </w:r>
        <w:r w:rsidR="00160F5C" w:rsidRPr="00C74D34">
          <w:rPr>
            <w:noProof/>
            <w:webHidden/>
          </w:rPr>
          <w:fldChar w:fldCharType="separate"/>
        </w:r>
        <w:r w:rsidR="00F854C8">
          <w:rPr>
            <w:noProof/>
            <w:webHidden/>
          </w:rPr>
          <w:t>69</w:t>
        </w:r>
        <w:r w:rsidR="00160F5C" w:rsidRPr="00C74D34">
          <w:rPr>
            <w:noProof/>
            <w:webHidden/>
          </w:rPr>
          <w:fldChar w:fldCharType="end"/>
        </w:r>
      </w:hyperlink>
    </w:p>
    <w:p w14:paraId="720170AD" w14:textId="6E6AACEA" w:rsidR="00160F5C" w:rsidRPr="00C74D34" w:rsidRDefault="00033F02">
      <w:pPr>
        <w:pStyle w:val="TOC4"/>
        <w:rPr>
          <w:rFonts w:asciiTheme="minorHAnsi" w:eastAsiaTheme="minorEastAsia" w:hAnsiTheme="minorHAnsi" w:cstheme="minorBidi"/>
          <w:noProof/>
          <w:color w:val="auto"/>
          <w:sz w:val="22"/>
        </w:rPr>
      </w:pPr>
      <w:hyperlink w:anchor="_Toc70516625" w:history="1">
        <w:r w:rsidR="00160F5C" w:rsidRPr="00C74D34">
          <w:rPr>
            <w:rStyle w:val="Hyperlink"/>
            <w:noProof/>
          </w:rPr>
          <w:t>d.</w:t>
        </w:r>
        <w:r w:rsidR="00160F5C" w:rsidRPr="00C74D34">
          <w:rPr>
            <w:rFonts w:asciiTheme="minorHAnsi" w:eastAsiaTheme="minorEastAsia" w:hAnsiTheme="minorHAnsi" w:cstheme="minorBidi"/>
            <w:noProof/>
            <w:color w:val="auto"/>
            <w:sz w:val="22"/>
          </w:rPr>
          <w:tab/>
        </w:r>
        <w:r w:rsidR="00160F5C" w:rsidRPr="00C74D34">
          <w:rPr>
            <w:rStyle w:val="Hyperlink"/>
            <w:noProof/>
          </w:rPr>
          <w:t>Disposition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_Toc70516625 \h </w:instrText>
        </w:r>
        <w:r w:rsidR="00160F5C" w:rsidRPr="00C74D34">
          <w:rPr>
            <w:noProof/>
            <w:webHidden/>
          </w:rPr>
        </w:r>
        <w:r w:rsidR="00160F5C" w:rsidRPr="00C74D34">
          <w:rPr>
            <w:noProof/>
            <w:webHidden/>
          </w:rPr>
          <w:fldChar w:fldCharType="separate"/>
        </w:r>
        <w:r w:rsidR="00F854C8">
          <w:rPr>
            <w:noProof/>
            <w:webHidden/>
          </w:rPr>
          <w:t>69</w:t>
        </w:r>
        <w:r w:rsidR="00160F5C" w:rsidRPr="00C74D34">
          <w:rPr>
            <w:noProof/>
            <w:webHidden/>
          </w:rPr>
          <w:fldChar w:fldCharType="end"/>
        </w:r>
      </w:hyperlink>
    </w:p>
    <w:p w14:paraId="3C4C9230" w14:textId="6588F9E2" w:rsidR="00160F5C" w:rsidRPr="00C74D34" w:rsidRDefault="00033F02">
      <w:pPr>
        <w:pStyle w:val="TOC3"/>
        <w:rPr>
          <w:rFonts w:asciiTheme="minorHAnsi" w:eastAsiaTheme="minorEastAsia" w:hAnsiTheme="minorHAnsi" w:cstheme="minorBidi"/>
          <w:noProof/>
          <w:color w:val="auto"/>
          <w:sz w:val="22"/>
        </w:rPr>
      </w:pPr>
      <w:hyperlink w:anchor="_Toc70516626" w:history="1">
        <w:r w:rsidR="00160F5C" w:rsidRPr="00C74D34">
          <w:rPr>
            <w:rStyle w:val="Hyperlink"/>
            <w:noProof/>
          </w:rPr>
          <w:t>6.</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Transource Exception No. 6: The ALJ </w:t>
        </w:r>
        <w:r w:rsidR="00D91BA3" w:rsidRPr="00C74D34">
          <w:rPr>
            <w:rStyle w:val="Hyperlink"/>
            <w:noProof/>
          </w:rPr>
          <w:t>E</w:t>
        </w:r>
        <w:r w:rsidR="00160F5C" w:rsidRPr="00C74D34">
          <w:rPr>
            <w:rStyle w:val="Hyperlink"/>
            <w:noProof/>
          </w:rPr>
          <w:t xml:space="preserve">rred in </w:t>
        </w:r>
        <w:r w:rsidR="00D91BA3" w:rsidRPr="00C74D34">
          <w:rPr>
            <w:rStyle w:val="Hyperlink"/>
            <w:noProof/>
          </w:rPr>
          <w:t>D</w:t>
        </w:r>
        <w:r w:rsidR="00160F5C" w:rsidRPr="00C74D34">
          <w:rPr>
            <w:rStyle w:val="Hyperlink"/>
            <w:noProof/>
          </w:rPr>
          <w:t xml:space="preserve">enying Transource’s </w:t>
        </w:r>
        <w:r w:rsidR="00D91BA3" w:rsidRPr="00C74D34">
          <w:rPr>
            <w:rStyle w:val="Hyperlink"/>
            <w:noProof/>
          </w:rPr>
          <w:t>E</w:t>
        </w:r>
        <w:r w:rsidR="00160F5C" w:rsidRPr="00C74D34">
          <w:rPr>
            <w:rStyle w:val="Hyperlink"/>
            <w:noProof/>
          </w:rPr>
          <w:t xml:space="preserve">minent </w:t>
        </w:r>
        <w:r w:rsidR="00D91BA3" w:rsidRPr="00C74D34">
          <w:rPr>
            <w:rStyle w:val="Hyperlink"/>
            <w:noProof/>
          </w:rPr>
          <w:t>D</w:t>
        </w:r>
        <w:r w:rsidR="00160F5C" w:rsidRPr="00C74D34">
          <w:rPr>
            <w:rStyle w:val="Hyperlink"/>
            <w:noProof/>
          </w:rPr>
          <w:t xml:space="preserve">omain </w:t>
        </w:r>
        <w:r w:rsidR="00D91BA3" w:rsidRPr="00C74D34">
          <w:rPr>
            <w:rStyle w:val="Hyperlink"/>
            <w:noProof/>
          </w:rPr>
          <w:t>A</w:t>
        </w:r>
        <w:r w:rsidR="00160F5C" w:rsidRPr="00C74D34">
          <w:rPr>
            <w:rStyle w:val="Hyperlink"/>
            <w:noProof/>
          </w:rPr>
          <w:t>pplications.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_Toc70516626 \h </w:instrText>
        </w:r>
        <w:r w:rsidR="00160F5C" w:rsidRPr="00C74D34">
          <w:rPr>
            <w:noProof/>
            <w:webHidden/>
          </w:rPr>
        </w:r>
        <w:r w:rsidR="00160F5C" w:rsidRPr="00C74D34">
          <w:rPr>
            <w:noProof/>
            <w:webHidden/>
          </w:rPr>
          <w:fldChar w:fldCharType="separate"/>
        </w:r>
        <w:r w:rsidR="00F854C8">
          <w:rPr>
            <w:noProof/>
            <w:webHidden/>
          </w:rPr>
          <w:t>72</w:t>
        </w:r>
        <w:r w:rsidR="00160F5C" w:rsidRPr="00C74D34">
          <w:rPr>
            <w:noProof/>
            <w:webHidden/>
          </w:rPr>
          <w:fldChar w:fldCharType="end"/>
        </w:r>
      </w:hyperlink>
    </w:p>
    <w:p w14:paraId="6091004C" w14:textId="09BC8AD7" w:rsidR="00160F5C" w:rsidRPr="00C74D34" w:rsidRDefault="00033F02">
      <w:pPr>
        <w:pStyle w:val="TOC3"/>
        <w:rPr>
          <w:rFonts w:asciiTheme="minorHAnsi" w:eastAsiaTheme="minorEastAsia" w:hAnsiTheme="minorHAnsi" w:cstheme="minorBidi"/>
          <w:noProof/>
          <w:color w:val="auto"/>
          <w:sz w:val="22"/>
        </w:rPr>
      </w:pPr>
      <w:hyperlink w:anchor="_Toc70516627" w:history="1">
        <w:r w:rsidR="00160F5C" w:rsidRPr="00C74D34">
          <w:rPr>
            <w:rStyle w:val="Hyperlink"/>
            <w:noProof/>
          </w:rPr>
          <w:t>7.</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Transource Exception No. 7: The ALJ </w:t>
        </w:r>
        <w:r w:rsidR="00D91BA3" w:rsidRPr="00C74D34">
          <w:rPr>
            <w:rStyle w:val="Hyperlink"/>
            <w:noProof/>
          </w:rPr>
          <w:t>E</w:t>
        </w:r>
        <w:r w:rsidR="00160F5C" w:rsidRPr="00C74D34">
          <w:rPr>
            <w:rStyle w:val="Hyperlink"/>
            <w:noProof/>
          </w:rPr>
          <w:t xml:space="preserve">rred in </w:t>
        </w:r>
        <w:r w:rsidR="00D91BA3" w:rsidRPr="00C74D34">
          <w:rPr>
            <w:rStyle w:val="Hyperlink"/>
            <w:noProof/>
          </w:rPr>
          <w:t>D</w:t>
        </w:r>
        <w:r w:rsidR="00160F5C" w:rsidRPr="00C74D34">
          <w:rPr>
            <w:rStyle w:val="Hyperlink"/>
            <w:noProof/>
          </w:rPr>
          <w:t xml:space="preserve">enying Transource’s </w:t>
        </w:r>
        <w:r w:rsidR="00D91BA3" w:rsidRPr="00C74D34">
          <w:rPr>
            <w:rStyle w:val="Hyperlink"/>
            <w:noProof/>
          </w:rPr>
          <w:t>Z</w:t>
        </w:r>
        <w:r w:rsidR="00160F5C" w:rsidRPr="00C74D34">
          <w:rPr>
            <w:rStyle w:val="Hyperlink"/>
            <w:noProof/>
          </w:rPr>
          <w:t xml:space="preserve">oning </w:t>
        </w:r>
        <w:r w:rsidR="00D91BA3" w:rsidRPr="00C74D34">
          <w:rPr>
            <w:rStyle w:val="Hyperlink"/>
            <w:noProof/>
          </w:rPr>
          <w:t>P</w:t>
        </w:r>
        <w:r w:rsidR="00160F5C" w:rsidRPr="00C74D34">
          <w:rPr>
            <w:rStyle w:val="Hyperlink"/>
            <w:noProof/>
          </w:rPr>
          <w:t>etitions.</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_Toc70516627 \h </w:instrText>
        </w:r>
        <w:r w:rsidR="00160F5C" w:rsidRPr="00C74D34">
          <w:rPr>
            <w:noProof/>
            <w:webHidden/>
          </w:rPr>
        </w:r>
        <w:r w:rsidR="00160F5C" w:rsidRPr="00C74D34">
          <w:rPr>
            <w:noProof/>
            <w:webHidden/>
          </w:rPr>
          <w:fldChar w:fldCharType="separate"/>
        </w:r>
        <w:r w:rsidR="00F854C8">
          <w:rPr>
            <w:noProof/>
            <w:webHidden/>
          </w:rPr>
          <w:t>72</w:t>
        </w:r>
        <w:r w:rsidR="00160F5C" w:rsidRPr="00C74D34">
          <w:rPr>
            <w:noProof/>
            <w:webHidden/>
          </w:rPr>
          <w:fldChar w:fldCharType="end"/>
        </w:r>
      </w:hyperlink>
    </w:p>
    <w:p w14:paraId="35C53AAD" w14:textId="705554EA" w:rsidR="00160F5C" w:rsidRPr="00C74D34" w:rsidRDefault="00033F02">
      <w:pPr>
        <w:pStyle w:val="TOC3"/>
        <w:rPr>
          <w:rFonts w:asciiTheme="minorHAnsi" w:eastAsiaTheme="minorEastAsia" w:hAnsiTheme="minorHAnsi" w:cstheme="minorBidi"/>
          <w:noProof/>
          <w:color w:val="auto"/>
          <w:sz w:val="22"/>
        </w:rPr>
      </w:pPr>
      <w:hyperlink w:anchor="_Toc70516628" w:history="1">
        <w:r w:rsidR="00160F5C" w:rsidRPr="00C74D34">
          <w:rPr>
            <w:rStyle w:val="Hyperlink"/>
            <w:noProof/>
          </w:rPr>
          <w:t>8.</w:t>
        </w:r>
        <w:r w:rsidR="00160F5C" w:rsidRPr="00C74D34">
          <w:rPr>
            <w:rFonts w:asciiTheme="minorHAnsi" w:eastAsiaTheme="minorEastAsia" w:hAnsiTheme="minorHAnsi" w:cstheme="minorBidi"/>
            <w:noProof/>
            <w:color w:val="auto"/>
            <w:sz w:val="22"/>
          </w:rPr>
          <w:tab/>
        </w:r>
        <w:r w:rsidR="00160F5C" w:rsidRPr="00C74D34">
          <w:rPr>
            <w:rStyle w:val="Hyperlink"/>
            <w:noProof/>
          </w:rPr>
          <w:t xml:space="preserve">Transource Exception No. 8: The ALJ’s </w:t>
        </w:r>
        <w:r w:rsidR="00D91BA3" w:rsidRPr="00C74D34">
          <w:rPr>
            <w:rStyle w:val="Hyperlink"/>
            <w:noProof/>
          </w:rPr>
          <w:t>F</w:t>
        </w:r>
        <w:r w:rsidR="00160F5C" w:rsidRPr="00C74D34">
          <w:rPr>
            <w:rStyle w:val="Hyperlink"/>
            <w:noProof/>
          </w:rPr>
          <w:t xml:space="preserve">indings of </w:t>
        </w:r>
        <w:r w:rsidR="00D91BA3" w:rsidRPr="00C74D34">
          <w:rPr>
            <w:rStyle w:val="Hyperlink"/>
            <w:noProof/>
          </w:rPr>
          <w:t>F</w:t>
        </w:r>
        <w:r w:rsidR="00160F5C" w:rsidRPr="00C74D34">
          <w:rPr>
            <w:rStyle w:val="Hyperlink"/>
            <w:noProof/>
          </w:rPr>
          <w:t xml:space="preserve">act </w:t>
        </w:r>
        <w:r w:rsidR="00D91BA3" w:rsidRPr="00C74D34">
          <w:rPr>
            <w:rStyle w:val="Hyperlink"/>
            <w:noProof/>
          </w:rPr>
          <w:t>A</w:t>
        </w:r>
        <w:r w:rsidR="00160F5C" w:rsidRPr="00C74D34">
          <w:rPr>
            <w:rStyle w:val="Hyperlink"/>
            <w:noProof/>
          </w:rPr>
          <w:t xml:space="preserve">re </w:t>
        </w:r>
        <w:r w:rsidR="00D91BA3" w:rsidRPr="00C74D34">
          <w:rPr>
            <w:rStyle w:val="Hyperlink"/>
            <w:noProof/>
          </w:rPr>
          <w:t>I</w:t>
        </w:r>
        <w:r w:rsidR="00160F5C" w:rsidRPr="00C74D34">
          <w:rPr>
            <w:rStyle w:val="Hyperlink"/>
            <w:noProof/>
          </w:rPr>
          <w:t xml:space="preserve">n </w:t>
        </w:r>
        <w:r w:rsidR="00D91BA3" w:rsidRPr="00C74D34">
          <w:rPr>
            <w:rStyle w:val="Hyperlink"/>
            <w:noProof/>
          </w:rPr>
          <w:t>E</w:t>
        </w:r>
        <w:r w:rsidR="00160F5C" w:rsidRPr="00C74D34">
          <w:rPr>
            <w:rStyle w:val="Hyperlink"/>
            <w:noProof/>
          </w:rPr>
          <w:t>rror</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_Toc70516628 \h </w:instrText>
        </w:r>
        <w:r w:rsidR="00160F5C" w:rsidRPr="00C74D34">
          <w:rPr>
            <w:noProof/>
            <w:webHidden/>
          </w:rPr>
        </w:r>
        <w:r w:rsidR="00160F5C" w:rsidRPr="00C74D34">
          <w:rPr>
            <w:noProof/>
            <w:webHidden/>
          </w:rPr>
          <w:fldChar w:fldCharType="separate"/>
        </w:r>
        <w:r w:rsidR="00F854C8">
          <w:rPr>
            <w:noProof/>
            <w:webHidden/>
          </w:rPr>
          <w:t>73</w:t>
        </w:r>
        <w:r w:rsidR="00160F5C" w:rsidRPr="00C74D34">
          <w:rPr>
            <w:noProof/>
            <w:webHidden/>
          </w:rPr>
          <w:fldChar w:fldCharType="end"/>
        </w:r>
      </w:hyperlink>
    </w:p>
    <w:p w14:paraId="6A68DB3B" w14:textId="786254FC" w:rsidR="00160F5C" w:rsidRPr="00C74D34" w:rsidRDefault="00033F02">
      <w:pPr>
        <w:pStyle w:val="TOC1"/>
        <w:tabs>
          <w:tab w:val="left" w:pos="1440"/>
          <w:tab w:val="right" w:leader="dot" w:pos="9350"/>
        </w:tabs>
        <w:rPr>
          <w:rFonts w:asciiTheme="minorHAnsi" w:eastAsiaTheme="minorEastAsia" w:hAnsiTheme="minorHAnsi" w:cstheme="minorBidi"/>
          <w:noProof/>
          <w:color w:val="auto"/>
          <w:sz w:val="22"/>
        </w:rPr>
      </w:pPr>
      <w:hyperlink w:anchor="_Toc70516629" w:history="1">
        <w:r w:rsidR="00160F5C" w:rsidRPr="00C74D34">
          <w:rPr>
            <w:rStyle w:val="Hyperlink"/>
            <w:noProof/>
          </w:rPr>
          <w:t>IV.</w:t>
        </w:r>
        <w:r w:rsidR="00160F5C" w:rsidRPr="00C74D34">
          <w:rPr>
            <w:rFonts w:asciiTheme="minorHAnsi" w:eastAsiaTheme="minorEastAsia" w:hAnsiTheme="minorHAnsi" w:cstheme="minorBidi"/>
            <w:noProof/>
            <w:color w:val="auto"/>
            <w:sz w:val="22"/>
          </w:rPr>
          <w:tab/>
        </w:r>
        <w:r w:rsidR="00160F5C" w:rsidRPr="00C74D34">
          <w:rPr>
            <w:rStyle w:val="Hyperlink"/>
            <w:noProof/>
          </w:rPr>
          <w:t>CONCLUSION</w:t>
        </w:r>
        <w:r w:rsidR="00160F5C" w:rsidRPr="00C74D34">
          <w:rPr>
            <w:noProof/>
            <w:webHidden/>
          </w:rPr>
          <w:tab/>
        </w:r>
        <w:r w:rsidR="00160F5C" w:rsidRPr="00C74D34">
          <w:rPr>
            <w:noProof/>
            <w:webHidden/>
          </w:rPr>
          <w:fldChar w:fldCharType="begin"/>
        </w:r>
        <w:r w:rsidR="00160F5C" w:rsidRPr="00C74D34">
          <w:rPr>
            <w:noProof/>
            <w:webHidden/>
          </w:rPr>
          <w:instrText xml:space="preserve"> PAGEREF _Toc70516629 \h </w:instrText>
        </w:r>
        <w:r w:rsidR="00160F5C" w:rsidRPr="00C74D34">
          <w:rPr>
            <w:noProof/>
            <w:webHidden/>
          </w:rPr>
        </w:r>
        <w:r w:rsidR="00160F5C" w:rsidRPr="00C74D34">
          <w:rPr>
            <w:noProof/>
            <w:webHidden/>
          </w:rPr>
          <w:fldChar w:fldCharType="separate"/>
        </w:r>
        <w:r w:rsidR="00F854C8">
          <w:rPr>
            <w:noProof/>
            <w:webHidden/>
          </w:rPr>
          <w:t>74</w:t>
        </w:r>
        <w:r w:rsidR="00160F5C" w:rsidRPr="00C74D34">
          <w:rPr>
            <w:noProof/>
            <w:webHidden/>
          </w:rPr>
          <w:fldChar w:fldCharType="end"/>
        </w:r>
      </w:hyperlink>
    </w:p>
    <w:p w14:paraId="0563F375" w14:textId="53AF6536" w:rsidR="00A97442" w:rsidRPr="00C74D34" w:rsidRDefault="00F64E78" w:rsidP="00B11342">
      <w:pPr>
        <w:keepNext/>
        <w:keepLines/>
        <w:rPr>
          <w:b/>
          <w:szCs w:val="26"/>
        </w:rPr>
      </w:pPr>
      <w:r w:rsidRPr="00C74D34">
        <w:rPr>
          <w:b/>
          <w:szCs w:val="26"/>
        </w:rPr>
        <w:fldChar w:fldCharType="end"/>
      </w:r>
    </w:p>
    <w:p w14:paraId="2092C82F" w14:textId="77777777" w:rsidR="002B4288" w:rsidRPr="00C74D34" w:rsidRDefault="002B4288" w:rsidP="00B11342">
      <w:pPr>
        <w:keepNext/>
        <w:keepLines/>
        <w:rPr>
          <w:szCs w:val="26"/>
        </w:rPr>
      </w:pPr>
    </w:p>
    <w:p w14:paraId="1BB5E1ED" w14:textId="77777777" w:rsidR="002B4288" w:rsidRPr="00C74D34" w:rsidRDefault="002B4288" w:rsidP="00B11342">
      <w:pPr>
        <w:jc w:val="center"/>
        <w:rPr>
          <w:b/>
          <w:szCs w:val="26"/>
        </w:rPr>
        <w:sectPr w:rsidR="002B4288" w:rsidRPr="00C74D34" w:rsidSect="00F64E78">
          <w:footerReference w:type="default" r:id="rId11"/>
          <w:pgSz w:w="12240" w:h="15840"/>
          <w:pgMar w:top="1440" w:right="1440" w:bottom="1440" w:left="1440" w:header="720" w:footer="720" w:gutter="0"/>
          <w:pgNumType w:fmt="lowerRoman" w:start="1"/>
          <w:cols w:space="720"/>
          <w:docGrid w:linePitch="360"/>
        </w:sectPr>
      </w:pPr>
    </w:p>
    <w:p w14:paraId="08C1B71F" w14:textId="77777777" w:rsidR="00A97442" w:rsidRPr="00C74D34" w:rsidRDefault="00A97442" w:rsidP="00B11342">
      <w:pPr>
        <w:keepNext/>
        <w:keepLines/>
        <w:tabs>
          <w:tab w:val="left" w:pos="-720"/>
        </w:tabs>
        <w:suppressAutoHyphens/>
        <w:rPr>
          <w:szCs w:val="26"/>
        </w:rPr>
      </w:pPr>
      <w:r w:rsidRPr="00C74D34">
        <w:rPr>
          <w:b/>
          <w:szCs w:val="26"/>
        </w:rPr>
        <w:lastRenderedPageBreak/>
        <w:t>BY THE COMMISSION:</w:t>
      </w:r>
    </w:p>
    <w:p w14:paraId="03F5D38F" w14:textId="6F56F4AF" w:rsidR="00A97442" w:rsidRPr="00C74D34" w:rsidRDefault="00A97442" w:rsidP="00D91BA3">
      <w:pPr>
        <w:pStyle w:val="Heading1"/>
        <w:spacing w:line="240" w:lineRule="auto"/>
      </w:pPr>
    </w:p>
    <w:p w14:paraId="4852D6D9" w14:textId="6DA82C96" w:rsidR="00ED4028" w:rsidRPr="00C74D34" w:rsidRDefault="00ED4028" w:rsidP="00B11342">
      <w:pPr>
        <w:tabs>
          <w:tab w:val="left" w:pos="-720"/>
        </w:tabs>
        <w:suppressAutoHyphens/>
        <w:ind w:firstLine="1440"/>
        <w:rPr>
          <w:color w:val="auto"/>
          <w:szCs w:val="26"/>
        </w:rPr>
      </w:pPr>
      <w:r w:rsidRPr="00C74D34">
        <w:rPr>
          <w:color w:val="auto"/>
          <w:szCs w:val="26"/>
        </w:rPr>
        <w:t xml:space="preserve">Before the Pennsylvania Public Utility Commission (Commission) for consideration and </w:t>
      </w:r>
      <w:bookmarkStart w:id="0" w:name="_Hlk37835909"/>
      <w:r w:rsidRPr="00C74D34">
        <w:rPr>
          <w:color w:val="auto"/>
          <w:szCs w:val="26"/>
        </w:rPr>
        <w:t xml:space="preserve">disposition is the Recommended Decision (R.D.) of Administrative Law Judge (ALJ) </w:t>
      </w:r>
      <w:r w:rsidR="00B157AB" w:rsidRPr="00C74D34">
        <w:rPr>
          <w:color w:val="auto"/>
          <w:szCs w:val="26"/>
        </w:rPr>
        <w:t xml:space="preserve">Elizabeth H. Barnes, </w:t>
      </w:r>
      <w:r w:rsidRPr="00C74D34">
        <w:rPr>
          <w:color w:val="auto"/>
          <w:szCs w:val="26"/>
        </w:rPr>
        <w:t xml:space="preserve">issued on </w:t>
      </w:r>
      <w:r w:rsidR="009B778C" w:rsidRPr="00C74D34">
        <w:rPr>
          <w:color w:val="auto"/>
          <w:szCs w:val="26"/>
        </w:rPr>
        <w:t>December 2</w:t>
      </w:r>
      <w:r w:rsidR="00DE5D95" w:rsidRPr="00C74D34">
        <w:rPr>
          <w:color w:val="auto"/>
          <w:szCs w:val="26"/>
        </w:rPr>
        <w:t>3</w:t>
      </w:r>
      <w:r w:rsidR="009B778C" w:rsidRPr="00C74D34">
        <w:rPr>
          <w:color w:val="auto"/>
          <w:szCs w:val="26"/>
        </w:rPr>
        <w:t>, 2020,</w:t>
      </w:r>
      <w:r w:rsidRPr="00C74D34">
        <w:rPr>
          <w:color w:val="auto"/>
          <w:szCs w:val="26"/>
        </w:rPr>
        <w:t xml:space="preserve"> and the Exceptions and Reply Exceptions filed thereto, in the above-captioned proceeding.  </w:t>
      </w:r>
    </w:p>
    <w:p w14:paraId="2D092B0F" w14:textId="77777777" w:rsidR="00ED4028" w:rsidRPr="00C74D34" w:rsidRDefault="00ED4028" w:rsidP="00B11342">
      <w:pPr>
        <w:tabs>
          <w:tab w:val="left" w:pos="-720"/>
        </w:tabs>
        <w:suppressAutoHyphens/>
        <w:ind w:firstLine="1440"/>
        <w:rPr>
          <w:color w:val="auto"/>
          <w:szCs w:val="26"/>
        </w:rPr>
      </w:pPr>
    </w:p>
    <w:p w14:paraId="53C5AB53" w14:textId="67C35C78" w:rsidR="00ED4028" w:rsidRPr="00C74D34" w:rsidRDefault="00ED4028" w:rsidP="00B11342">
      <w:pPr>
        <w:tabs>
          <w:tab w:val="left" w:pos="-720"/>
        </w:tabs>
        <w:suppressAutoHyphens/>
        <w:ind w:firstLine="1440"/>
        <w:rPr>
          <w:color w:val="auto"/>
          <w:szCs w:val="26"/>
        </w:rPr>
      </w:pPr>
      <w:r w:rsidRPr="00C74D34">
        <w:rPr>
          <w:color w:val="auto"/>
          <w:szCs w:val="26"/>
        </w:rPr>
        <w:t xml:space="preserve">Exceptions to the Recommended Decision were filed by </w:t>
      </w:r>
      <w:proofErr w:type="spellStart"/>
      <w:r w:rsidR="002E131C" w:rsidRPr="00C74D34">
        <w:rPr>
          <w:color w:val="auto"/>
          <w:szCs w:val="26"/>
        </w:rPr>
        <w:t>T</w:t>
      </w:r>
      <w:r w:rsidR="00352C2C" w:rsidRPr="00C74D34">
        <w:rPr>
          <w:color w:val="auto"/>
          <w:szCs w:val="26"/>
        </w:rPr>
        <w:t>r</w:t>
      </w:r>
      <w:r w:rsidR="002E131C" w:rsidRPr="00C74D34">
        <w:rPr>
          <w:color w:val="auto"/>
          <w:szCs w:val="26"/>
        </w:rPr>
        <w:t>ansource</w:t>
      </w:r>
      <w:proofErr w:type="spellEnd"/>
      <w:r w:rsidR="002E131C" w:rsidRPr="00C74D34">
        <w:rPr>
          <w:color w:val="auto"/>
          <w:szCs w:val="26"/>
        </w:rPr>
        <w:t xml:space="preserve"> Pennsylvania LL</w:t>
      </w:r>
      <w:r w:rsidR="00352C2C" w:rsidRPr="00C74D34">
        <w:rPr>
          <w:color w:val="auto"/>
          <w:szCs w:val="26"/>
        </w:rPr>
        <w:t>C</w:t>
      </w:r>
      <w:r w:rsidR="002E131C" w:rsidRPr="00C74D34">
        <w:rPr>
          <w:color w:val="auto"/>
          <w:szCs w:val="26"/>
        </w:rPr>
        <w:t xml:space="preserve"> (</w:t>
      </w:r>
      <w:proofErr w:type="spellStart"/>
      <w:r w:rsidR="002E131C" w:rsidRPr="00C74D34">
        <w:rPr>
          <w:color w:val="auto"/>
          <w:szCs w:val="26"/>
        </w:rPr>
        <w:t>Transource</w:t>
      </w:r>
      <w:proofErr w:type="spellEnd"/>
      <w:r w:rsidR="002E131C" w:rsidRPr="00C74D34">
        <w:rPr>
          <w:color w:val="auto"/>
          <w:szCs w:val="26"/>
        </w:rPr>
        <w:t xml:space="preserve"> or </w:t>
      </w:r>
      <w:r w:rsidR="00352C2C" w:rsidRPr="00C74D34">
        <w:rPr>
          <w:color w:val="auto"/>
          <w:szCs w:val="26"/>
        </w:rPr>
        <w:t xml:space="preserve">the </w:t>
      </w:r>
      <w:r w:rsidR="002E131C" w:rsidRPr="00C74D34">
        <w:rPr>
          <w:color w:val="auto"/>
          <w:szCs w:val="26"/>
        </w:rPr>
        <w:t>Company)</w:t>
      </w:r>
      <w:r w:rsidR="00983766" w:rsidRPr="00C74D34">
        <w:rPr>
          <w:color w:val="auto"/>
          <w:szCs w:val="26"/>
        </w:rPr>
        <w:t xml:space="preserve"> </w:t>
      </w:r>
      <w:r w:rsidR="00933CCB" w:rsidRPr="00C74D34">
        <w:rPr>
          <w:color w:val="auto"/>
          <w:szCs w:val="26"/>
        </w:rPr>
        <w:t xml:space="preserve">on </w:t>
      </w:r>
      <w:r w:rsidR="00F95998" w:rsidRPr="00C74D34">
        <w:rPr>
          <w:color w:val="auto"/>
          <w:szCs w:val="26"/>
        </w:rPr>
        <w:t>January 12, 2021</w:t>
      </w:r>
      <w:r w:rsidR="00C01091" w:rsidRPr="00C74D34">
        <w:rPr>
          <w:color w:val="auto"/>
          <w:szCs w:val="26"/>
        </w:rPr>
        <w:t>.</w:t>
      </w:r>
      <w:r w:rsidR="00C01091" w:rsidRPr="00C74D34">
        <w:rPr>
          <w:rStyle w:val="FootnoteReference"/>
          <w:szCs w:val="26"/>
        </w:rPr>
        <w:footnoteReference w:id="2"/>
      </w:r>
      <w:r w:rsidR="00933CCB" w:rsidRPr="00C74D34">
        <w:rPr>
          <w:color w:val="auto"/>
          <w:szCs w:val="26"/>
        </w:rPr>
        <w:t xml:space="preserve">  Replies to the Exceptions were filed by </w:t>
      </w:r>
      <w:r w:rsidRPr="00C74D34">
        <w:rPr>
          <w:color w:val="auto"/>
          <w:szCs w:val="26"/>
        </w:rPr>
        <w:t>the Office of Consumer Advocate (OCA)</w:t>
      </w:r>
      <w:r w:rsidR="00DE5D95" w:rsidRPr="00C74D34">
        <w:rPr>
          <w:color w:val="auto"/>
          <w:szCs w:val="26"/>
        </w:rPr>
        <w:t xml:space="preserve"> and</w:t>
      </w:r>
      <w:r w:rsidR="00F3037A" w:rsidRPr="00C74D34">
        <w:rPr>
          <w:color w:val="auto"/>
          <w:szCs w:val="26"/>
        </w:rPr>
        <w:t xml:space="preserve"> </w:t>
      </w:r>
      <w:r w:rsidR="001232CD" w:rsidRPr="00C74D34">
        <w:rPr>
          <w:color w:val="auto"/>
          <w:szCs w:val="26"/>
        </w:rPr>
        <w:t>the Commission</w:t>
      </w:r>
      <w:r w:rsidR="00F3037A" w:rsidRPr="00C74D34">
        <w:rPr>
          <w:color w:val="auto"/>
          <w:szCs w:val="26"/>
        </w:rPr>
        <w:t>ers</w:t>
      </w:r>
      <w:r w:rsidR="001232CD" w:rsidRPr="00C74D34">
        <w:rPr>
          <w:color w:val="auto"/>
          <w:szCs w:val="26"/>
        </w:rPr>
        <w:t xml:space="preserve"> of the County of Franklin (Franklin County</w:t>
      </w:r>
      <w:r w:rsidR="000A7429" w:rsidRPr="00C74D34">
        <w:rPr>
          <w:color w:val="auto"/>
          <w:szCs w:val="26"/>
        </w:rPr>
        <w:t>)</w:t>
      </w:r>
      <w:r w:rsidR="00DE5D95" w:rsidRPr="00C74D34">
        <w:rPr>
          <w:color w:val="auto"/>
          <w:szCs w:val="26"/>
        </w:rPr>
        <w:t xml:space="preserve"> on January 22, 2021</w:t>
      </w:r>
      <w:r w:rsidR="001A5C2C" w:rsidRPr="00C74D34">
        <w:rPr>
          <w:color w:val="auto"/>
          <w:szCs w:val="26"/>
        </w:rPr>
        <w:t xml:space="preserve">, </w:t>
      </w:r>
      <w:r w:rsidR="00FD6605" w:rsidRPr="00C74D34">
        <w:rPr>
          <w:color w:val="auto"/>
          <w:szCs w:val="26"/>
        </w:rPr>
        <w:t xml:space="preserve">and </w:t>
      </w:r>
      <w:r w:rsidR="006C6F48" w:rsidRPr="00C74D34">
        <w:rPr>
          <w:color w:val="auto"/>
          <w:szCs w:val="26"/>
        </w:rPr>
        <w:t xml:space="preserve">by </w:t>
      </w:r>
      <w:r w:rsidR="00FD6605" w:rsidRPr="00C74D34">
        <w:rPr>
          <w:color w:val="auto"/>
          <w:szCs w:val="26"/>
        </w:rPr>
        <w:t xml:space="preserve">Stop </w:t>
      </w:r>
      <w:proofErr w:type="spellStart"/>
      <w:r w:rsidR="00FD6605" w:rsidRPr="00C74D34">
        <w:rPr>
          <w:color w:val="auto"/>
          <w:szCs w:val="26"/>
        </w:rPr>
        <w:t>Transource</w:t>
      </w:r>
      <w:proofErr w:type="spellEnd"/>
      <w:r w:rsidR="00FD6605" w:rsidRPr="00C74D34">
        <w:rPr>
          <w:color w:val="auto"/>
          <w:szCs w:val="26"/>
        </w:rPr>
        <w:t xml:space="preserve"> Franklin County (STFC) </w:t>
      </w:r>
      <w:r w:rsidR="00F3037A" w:rsidRPr="00C74D34">
        <w:rPr>
          <w:color w:val="auto"/>
          <w:szCs w:val="26"/>
        </w:rPr>
        <w:t>on January 22, 2021</w:t>
      </w:r>
      <w:r w:rsidR="005D5509" w:rsidRPr="00C74D34">
        <w:rPr>
          <w:color w:val="auto"/>
          <w:szCs w:val="26"/>
        </w:rPr>
        <w:t>.</w:t>
      </w:r>
      <w:r w:rsidR="00A92659" w:rsidRPr="00C74D34">
        <w:rPr>
          <w:rStyle w:val="FootnoteReference"/>
          <w:color w:val="auto"/>
          <w:szCs w:val="26"/>
        </w:rPr>
        <w:footnoteReference w:id="3"/>
      </w:r>
      <w:r w:rsidR="00A92659" w:rsidRPr="00C74D34">
        <w:rPr>
          <w:color w:val="auto"/>
          <w:szCs w:val="26"/>
        </w:rPr>
        <w:t xml:space="preserve"> </w:t>
      </w:r>
      <w:r w:rsidR="005D5509" w:rsidRPr="00C74D34">
        <w:rPr>
          <w:color w:val="auto"/>
          <w:szCs w:val="26"/>
        </w:rPr>
        <w:t xml:space="preserve"> </w:t>
      </w:r>
    </w:p>
    <w:p w14:paraId="4DCAE623" w14:textId="0D594BAC" w:rsidR="00BA5976" w:rsidRPr="00C74D34" w:rsidRDefault="00BA5976" w:rsidP="00B11342">
      <w:pPr>
        <w:tabs>
          <w:tab w:val="left" w:pos="-720"/>
        </w:tabs>
        <w:suppressAutoHyphens/>
        <w:ind w:firstLine="1440"/>
        <w:rPr>
          <w:color w:val="auto"/>
          <w:szCs w:val="26"/>
        </w:rPr>
      </w:pPr>
    </w:p>
    <w:p w14:paraId="089CDE10" w14:textId="304F7FEA" w:rsidR="00BA5976" w:rsidRPr="00C74D34" w:rsidRDefault="00BA5976" w:rsidP="00B11342">
      <w:pPr>
        <w:ind w:firstLine="1440"/>
        <w:rPr>
          <w:color w:val="auto"/>
          <w:szCs w:val="26"/>
        </w:rPr>
      </w:pPr>
      <w:r w:rsidRPr="00C74D34">
        <w:rPr>
          <w:color w:val="auto"/>
          <w:szCs w:val="26"/>
        </w:rPr>
        <w:t xml:space="preserve">Specifically, before us </w:t>
      </w:r>
      <w:r w:rsidR="00050051" w:rsidRPr="00C74D34">
        <w:rPr>
          <w:color w:val="auto"/>
          <w:szCs w:val="26"/>
        </w:rPr>
        <w:t xml:space="preserve">are </w:t>
      </w:r>
      <w:proofErr w:type="spellStart"/>
      <w:r w:rsidRPr="00C74D34">
        <w:rPr>
          <w:color w:val="auto"/>
          <w:szCs w:val="26"/>
        </w:rPr>
        <w:t>Transource’s</w:t>
      </w:r>
      <w:proofErr w:type="spellEnd"/>
      <w:r w:rsidRPr="00C74D34">
        <w:rPr>
          <w:color w:val="auto"/>
          <w:szCs w:val="26"/>
        </w:rPr>
        <w:t xml:space="preserve"> request</w:t>
      </w:r>
      <w:r w:rsidR="00050051" w:rsidRPr="00C74D34">
        <w:rPr>
          <w:color w:val="auto"/>
          <w:szCs w:val="26"/>
        </w:rPr>
        <w:t>s</w:t>
      </w:r>
      <w:r w:rsidRPr="00C74D34">
        <w:rPr>
          <w:color w:val="auto"/>
          <w:szCs w:val="26"/>
        </w:rPr>
        <w:t xml:space="preserve"> for approval for siting of the </w:t>
      </w:r>
      <w:r w:rsidR="007758CC" w:rsidRPr="00C74D34">
        <w:rPr>
          <w:color w:val="auto"/>
          <w:szCs w:val="26"/>
        </w:rPr>
        <w:t xml:space="preserve">two </w:t>
      </w:r>
      <w:r w:rsidR="000E3CE0" w:rsidRPr="00C74D34">
        <w:rPr>
          <w:color w:val="auto"/>
          <w:szCs w:val="26"/>
        </w:rPr>
        <w:t xml:space="preserve">proposed </w:t>
      </w:r>
      <w:r w:rsidR="006C6F48" w:rsidRPr="00C74D34">
        <w:rPr>
          <w:color w:val="auto"/>
          <w:szCs w:val="26"/>
        </w:rPr>
        <w:t>high-voltage (</w:t>
      </w:r>
      <w:r w:rsidRPr="00C74D34">
        <w:rPr>
          <w:color w:val="auto"/>
        </w:rPr>
        <w:t>HV</w:t>
      </w:r>
      <w:r w:rsidR="006C6F48" w:rsidRPr="00C74D34">
        <w:rPr>
          <w:color w:val="auto"/>
        </w:rPr>
        <w:t>)</w:t>
      </w:r>
      <w:r w:rsidRPr="00C74D34">
        <w:rPr>
          <w:color w:val="auto"/>
          <w:szCs w:val="26"/>
        </w:rPr>
        <w:t xml:space="preserve"> transmission lines, </w:t>
      </w:r>
      <w:r w:rsidRPr="00C74D34">
        <w:rPr>
          <w:i/>
          <w:iCs/>
          <w:color w:val="auto"/>
          <w:szCs w:val="26"/>
        </w:rPr>
        <w:t>via</w:t>
      </w:r>
      <w:r w:rsidRPr="00C74D34">
        <w:rPr>
          <w:color w:val="auto"/>
          <w:szCs w:val="26"/>
        </w:rPr>
        <w:t xml:space="preserve"> the Application, as amended, for construction in</w:t>
      </w:r>
      <w:r w:rsidR="007758CC" w:rsidRPr="00C74D34">
        <w:rPr>
          <w:color w:val="auto"/>
          <w:szCs w:val="26"/>
        </w:rPr>
        <w:t xml:space="preserve">: </w:t>
      </w:r>
      <w:r w:rsidR="00D10C62" w:rsidRPr="00C74D34">
        <w:rPr>
          <w:color w:val="auto"/>
          <w:szCs w:val="26"/>
        </w:rPr>
        <w:t xml:space="preserve"> </w:t>
      </w:r>
      <w:r w:rsidR="007758CC" w:rsidRPr="00C74D34">
        <w:rPr>
          <w:color w:val="auto"/>
          <w:szCs w:val="26"/>
        </w:rPr>
        <w:t>(1)</w:t>
      </w:r>
      <w:r w:rsidRPr="00C74D34">
        <w:rPr>
          <w:color w:val="auto"/>
          <w:szCs w:val="26"/>
        </w:rPr>
        <w:t xml:space="preserve"> York County filed at </w:t>
      </w:r>
      <w:r w:rsidR="006C6F48" w:rsidRPr="00C74D34">
        <w:rPr>
          <w:color w:val="auto"/>
          <w:szCs w:val="26"/>
        </w:rPr>
        <w:t xml:space="preserve">Docket No. </w:t>
      </w:r>
      <w:r w:rsidRPr="00C74D34">
        <w:rPr>
          <w:color w:val="auto"/>
          <w:szCs w:val="26"/>
        </w:rPr>
        <w:t xml:space="preserve">A-2017-2640195 (IEC East Project) and </w:t>
      </w:r>
      <w:r w:rsidR="007758CC" w:rsidRPr="00C74D34">
        <w:rPr>
          <w:color w:val="auto"/>
          <w:szCs w:val="26"/>
        </w:rPr>
        <w:t>(2)</w:t>
      </w:r>
      <w:r w:rsidRPr="00C74D34">
        <w:rPr>
          <w:color w:val="auto"/>
          <w:szCs w:val="26"/>
        </w:rPr>
        <w:t xml:space="preserve"> Franklin County </w:t>
      </w:r>
      <w:r w:rsidRPr="00C74D34">
        <w:rPr>
          <w:i/>
          <w:iCs/>
          <w:color w:val="auto"/>
          <w:szCs w:val="26"/>
        </w:rPr>
        <w:t>via</w:t>
      </w:r>
      <w:r w:rsidRPr="00C74D34">
        <w:rPr>
          <w:color w:val="auto"/>
          <w:szCs w:val="26"/>
        </w:rPr>
        <w:t xml:space="preserve"> Application filed at </w:t>
      </w:r>
      <w:r w:rsidR="006C6F48" w:rsidRPr="00C74D34">
        <w:rPr>
          <w:color w:val="auto"/>
          <w:szCs w:val="26"/>
        </w:rPr>
        <w:t xml:space="preserve">Docket No. </w:t>
      </w:r>
      <w:r w:rsidRPr="00C74D34">
        <w:rPr>
          <w:color w:val="auto"/>
          <w:szCs w:val="26"/>
        </w:rPr>
        <w:t xml:space="preserve">A-2017-2640200 (IEC West Project).  In addition, before us are </w:t>
      </w:r>
      <w:proofErr w:type="spellStart"/>
      <w:r w:rsidRPr="00C74D34">
        <w:rPr>
          <w:color w:val="auto"/>
          <w:szCs w:val="26"/>
        </w:rPr>
        <w:t>Transource’s</w:t>
      </w:r>
      <w:proofErr w:type="spellEnd"/>
      <w:r w:rsidRPr="00C74D34">
        <w:rPr>
          <w:color w:val="auto"/>
          <w:szCs w:val="26"/>
        </w:rPr>
        <w:t xml:space="preserve"> requests for the related necessary findings:</w:t>
      </w:r>
      <w:r w:rsidR="00D10C62" w:rsidRPr="00C74D34">
        <w:rPr>
          <w:color w:val="auto"/>
          <w:szCs w:val="26"/>
        </w:rPr>
        <w:t xml:space="preserve"> </w:t>
      </w:r>
      <w:r w:rsidRPr="00C74D34">
        <w:rPr>
          <w:color w:val="auto"/>
          <w:szCs w:val="26"/>
        </w:rPr>
        <w:t xml:space="preserve"> </w:t>
      </w:r>
      <w:r w:rsidR="007758CC" w:rsidRPr="00C74D34">
        <w:rPr>
          <w:color w:val="auto"/>
          <w:szCs w:val="26"/>
        </w:rPr>
        <w:t>(</w:t>
      </w:r>
      <w:r w:rsidRPr="00C74D34">
        <w:rPr>
          <w:color w:val="auto"/>
          <w:szCs w:val="26"/>
        </w:rPr>
        <w:t>1) that the Joint Petitions for Partial Settlement filed at this docket between</w:t>
      </w:r>
      <w:r w:rsidR="00597C25" w:rsidRPr="00C74D34">
        <w:rPr>
          <w:color w:val="auto"/>
          <w:szCs w:val="26"/>
        </w:rPr>
        <w:t>:</w:t>
      </w:r>
      <w:r w:rsidR="00D10C62" w:rsidRPr="00C74D34">
        <w:rPr>
          <w:color w:val="auto"/>
          <w:szCs w:val="26"/>
        </w:rPr>
        <w:t xml:space="preserve"> </w:t>
      </w:r>
      <w:r w:rsidRPr="00C74D34">
        <w:rPr>
          <w:color w:val="auto"/>
          <w:szCs w:val="26"/>
        </w:rPr>
        <w:t xml:space="preserve"> </w:t>
      </w:r>
      <w:r w:rsidR="00597C25" w:rsidRPr="00C74D34">
        <w:rPr>
          <w:color w:val="auto"/>
          <w:szCs w:val="26"/>
        </w:rPr>
        <w:t>(</w:t>
      </w:r>
      <w:r w:rsidR="008D07A3" w:rsidRPr="00C74D34">
        <w:rPr>
          <w:color w:val="auto"/>
          <w:szCs w:val="26"/>
        </w:rPr>
        <w:t>a</w:t>
      </w:r>
      <w:r w:rsidR="00597C25" w:rsidRPr="00C74D34">
        <w:rPr>
          <w:color w:val="auto"/>
          <w:szCs w:val="26"/>
        </w:rPr>
        <w:t xml:space="preserve">) </w:t>
      </w:r>
      <w:proofErr w:type="spellStart"/>
      <w:r w:rsidRPr="00C74D34">
        <w:rPr>
          <w:color w:val="auto"/>
          <w:szCs w:val="26"/>
        </w:rPr>
        <w:t>Transource</w:t>
      </w:r>
      <w:proofErr w:type="spellEnd"/>
      <w:r w:rsidRPr="00C74D34">
        <w:rPr>
          <w:color w:val="auto"/>
          <w:szCs w:val="26"/>
        </w:rPr>
        <w:t xml:space="preserve"> and the York County Planning Commission</w:t>
      </w:r>
      <w:r w:rsidR="00597C25" w:rsidRPr="00C74D34">
        <w:rPr>
          <w:color w:val="auto"/>
          <w:szCs w:val="26"/>
        </w:rPr>
        <w:t>;</w:t>
      </w:r>
      <w:r w:rsidR="001F7549" w:rsidRPr="00C74D34">
        <w:rPr>
          <w:color w:val="auto"/>
          <w:szCs w:val="26"/>
        </w:rPr>
        <w:t xml:space="preserve"> </w:t>
      </w:r>
      <w:r w:rsidR="00597C25" w:rsidRPr="00C74D34">
        <w:rPr>
          <w:color w:val="auto"/>
          <w:szCs w:val="26"/>
        </w:rPr>
        <w:t>(</w:t>
      </w:r>
      <w:r w:rsidR="008D07A3" w:rsidRPr="00C74D34">
        <w:rPr>
          <w:color w:val="auto"/>
          <w:szCs w:val="26"/>
        </w:rPr>
        <w:t>b</w:t>
      </w:r>
      <w:r w:rsidR="00597C25" w:rsidRPr="00C74D34">
        <w:rPr>
          <w:color w:val="auto"/>
          <w:szCs w:val="26"/>
        </w:rPr>
        <w:t>)</w:t>
      </w:r>
      <w:r w:rsidRPr="00C74D34">
        <w:rPr>
          <w:color w:val="auto"/>
          <w:szCs w:val="26"/>
        </w:rPr>
        <w:t xml:space="preserve"> </w:t>
      </w:r>
      <w:proofErr w:type="spellStart"/>
      <w:r w:rsidRPr="00C74D34">
        <w:rPr>
          <w:color w:val="auto"/>
          <w:szCs w:val="26"/>
        </w:rPr>
        <w:t>Transource</w:t>
      </w:r>
      <w:proofErr w:type="spellEnd"/>
      <w:r w:rsidRPr="00C74D34">
        <w:rPr>
          <w:color w:val="auto"/>
          <w:szCs w:val="26"/>
        </w:rPr>
        <w:t xml:space="preserve"> and Citizens to Stop </w:t>
      </w:r>
      <w:proofErr w:type="spellStart"/>
      <w:r w:rsidRPr="00C74D34">
        <w:rPr>
          <w:color w:val="auto"/>
          <w:szCs w:val="26"/>
        </w:rPr>
        <w:t>Transource</w:t>
      </w:r>
      <w:proofErr w:type="spellEnd"/>
      <w:r w:rsidRPr="00C74D34">
        <w:rPr>
          <w:color w:val="auto"/>
          <w:szCs w:val="26"/>
        </w:rPr>
        <w:t xml:space="preserve"> York County, Maple Lawn Farms, Barron Shaw and Shaw Orchards, collectively “York County Citizens</w:t>
      </w:r>
      <w:r w:rsidR="00597C25" w:rsidRPr="00C74D34">
        <w:rPr>
          <w:color w:val="auto"/>
          <w:szCs w:val="26"/>
        </w:rPr>
        <w:t>;</w:t>
      </w:r>
      <w:r w:rsidRPr="00C74D34">
        <w:rPr>
          <w:color w:val="auto"/>
          <w:szCs w:val="26"/>
        </w:rPr>
        <w:t xml:space="preserve">” and </w:t>
      </w:r>
      <w:r w:rsidR="00597C25" w:rsidRPr="00C74D34">
        <w:rPr>
          <w:color w:val="auto"/>
          <w:szCs w:val="26"/>
        </w:rPr>
        <w:t>(</w:t>
      </w:r>
      <w:r w:rsidR="008D07A3" w:rsidRPr="00C74D34">
        <w:rPr>
          <w:color w:val="auto"/>
          <w:szCs w:val="26"/>
        </w:rPr>
        <w:t>c</w:t>
      </w:r>
      <w:r w:rsidR="00597C25" w:rsidRPr="00C74D34">
        <w:rPr>
          <w:color w:val="auto"/>
          <w:szCs w:val="26"/>
        </w:rPr>
        <w:t xml:space="preserve">) </w:t>
      </w:r>
      <w:r w:rsidRPr="00C74D34">
        <w:rPr>
          <w:color w:val="auto"/>
          <w:szCs w:val="26"/>
        </w:rPr>
        <w:t xml:space="preserve">between </w:t>
      </w:r>
      <w:proofErr w:type="spellStart"/>
      <w:r w:rsidRPr="00C74D34">
        <w:rPr>
          <w:color w:val="auto"/>
          <w:szCs w:val="26"/>
        </w:rPr>
        <w:t>Transource</w:t>
      </w:r>
      <w:proofErr w:type="spellEnd"/>
      <w:r w:rsidRPr="00C74D34">
        <w:rPr>
          <w:color w:val="auto"/>
          <w:szCs w:val="26"/>
        </w:rPr>
        <w:t xml:space="preserve"> and PPL Electric be approved as reasonable and in the public interest;</w:t>
      </w:r>
      <w:r w:rsidR="008D07A3" w:rsidRPr="00C74D34">
        <w:rPr>
          <w:color w:val="auto"/>
          <w:szCs w:val="26"/>
        </w:rPr>
        <w:t>(</w:t>
      </w:r>
      <w:r w:rsidRPr="00C74D34">
        <w:rPr>
          <w:color w:val="auto"/>
          <w:szCs w:val="26"/>
        </w:rPr>
        <w:t xml:space="preserve">2) that it is </w:t>
      </w:r>
      <w:r w:rsidR="00BA6597" w:rsidRPr="00C74D34">
        <w:rPr>
          <w:color w:val="auto"/>
          <w:szCs w:val="26"/>
        </w:rPr>
        <w:t>reasonably necessary for the convenience or welfare of the public</w:t>
      </w:r>
      <w:r w:rsidR="00050051" w:rsidRPr="00C74D34">
        <w:rPr>
          <w:color w:val="auto"/>
          <w:szCs w:val="26"/>
        </w:rPr>
        <w:t xml:space="preserve"> </w:t>
      </w:r>
      <w:r w:rsidRPr="00C74D34">
        <w:rPr>
          <w:color w:val="auto"/>
          <w:szCs w:val="26"/>
        </w:rPr>
        <w:t xml:space="preserve">to approve construction of </w:t>
      </w:r>
      <w:r w:rsidRPr="00C74D34">
        <w:rPr>
          <w:color w:val="auto"/>
          <w:szCs w:val="26"/>
        </w:rPr>
        <w:lastRenderedPageBreak/>
        <w:t xml:space="preserve">buildings to shelter control equipment related to the proposed HV transmission lines at Docket Nos. P-2018-3001883 and P-2018-3001878, to be located in York County and Franklin County, respectively; </w:t>
      </w:r>
      <w:r w:rsidR="005E3B0F" w:rsidRPr="00C74D34">
        <w:rPr>
          <w:color w:val="auto"/>
          <w:szCs w:val="26"/>
        </w:rPr>
        <w:t>(</w:t>
      </w:r>
      <w:r w:rsidRPr="00C74D34">
        <w:rPr>
          <w:color w:val="auto"/>
          <w:szCs w:val="26"/>
        </w:rPr>
        <w:t xml:space="preserve">3) that </w:t>
      </w:r>
      <w:r w:rsidR="00DF26F3" w:rsidRPr="00C74D34">
        <w:rPr>
          <w:color w:val="auto"/>
          <w:szCs w:val="26"/>
        </w:rPr>
        <w:t xml:space="preserve">if </w:t>
      </w:r>
      <w:r w:rsidR="00036FFB" w:rsidRPr="00C74D34">
        <w:rPr>
          <w:color w:val="auto"/>
          <w:szCs w:val="26"/>
        </w:rPr>
        <w:t xml:space="preserve">the service to be provided by </w:t>
      </w:r>
      <w:proofErr w:type="spellStart"/>
      <w:r w:rsidR="00036FFB" w:rsidRPr="00C74D34">
        <w:rPr>
          <w:color w:val="auto"/>
          <w:szCs w:val="26"/>
        </w:rPr>
        <w:t>Transource</w:t>
      </w:r>
      <w:proofErr w:type="spellEnd"/>
      <w:r w:rsidR="00036FFB" w:rsidRPr="00C74D34">
        <w:rPr>
          <w:color w:val="auto"/>
          <w:szCs w:val="26"/>
        </w:rPr>
        <w:t xml:space="preserve"> </w:t>
      </w:r>
      <w:r w:rsidR="00A33192" w:rsidRPr="00C74D34">
        <w:rPr>
          <w:color w:val="auto"/>
          <w:szCs w:val="26"/>
        </w:rPr>
        <w:t>through the exercise of the power of eminent domain</w:t>
      </w:r>
      <w:r w:rsidR="000E3CE0" w:rsidRPr="00C74D34">
        <w:rPr>
          <w:color w:val="auto"/>
          <w:szCs w:val="26"/>
        </w:rPr>
        <w:t xml:space="preserve"> sought by </w:t>
      </w:r>
      <w:proofErr w:type="spellStart"/>
      <w:r w:rsidR="000E3CE0" w:rsidRPr="00C74D34">
        <w:rPr>
          <w:color w:val="auto"/>
          <w:szCs w:val="26"/>
        </w:rPr>
        <w:t>Transource</w:t>
      </w:r>
      <w:proofErr w:type="spellEnd"/>
      <w:r w:rsidR="000E3CE0" w:rsidRPr="00C74D34">
        <w:rPr>
          <w:color w:val="auto"/>
          <w:szCs w:val="26"/>
        </w:rPr>
        <w:t xml:space="preserve"> in York County and Franklin County at Docket No</w:t>
      </w:r>
      <w:r w:rsidR="003F4FA2" w:rsidRPr="00C74D34">
        <w:rPr>
          <w:color w:val="auto"/>
          <w:szCs w:val="26"/>
        </w:rPr>
        <w:t>s</w:t>
      </w:r>
      <w:r w:rsidR="000E3CE0" w:rsidRPr="00C74D34">
        <w:rPr>
          <w:color w:val="auto"/>
          <w:szCs w:val="26"/>
        </w:rPr>
        <w:t xml:space="preserve">. A-2018-3001881, </w:t>
      </w:r>
      <w:r w:rsidR="000E3CE0" w:rsidRPr="00C74D34">
        <w:rPr>
          <w:i/>
          <w:iCs/>
          <w:color w:val="auto"/>
          <w:szCs w:val="26"/>
        </w:rPr>
        <w:t>et al.</w:t>
      </w:r>
      <w:r w:rsidR="000E3CE0" w:rsidRPr="00C74D34">
        <w:rPr>
          <w:color w:val="auto"/>
          <w:szCs w:val="26"/>
        </w:rPr>
        <w:t xml:space="preserve">, </w:t>
      </w:r>
      <w:r w:rsidRPr="00C74D34">
        <w:rPr>
          <w:color w:val="auto"/>
          <w:szCs w:val="26"/>
        </w:rPr>
        <w:t xml:space="preserve">is necessary </w:t>
      </w:r>
      <w:r w:rsidR="00BD00D4" w:rsidRPr="00C74D34">
        <w:rPr>
          <w:color w:val="auto"/>
          <w:szCs w:val="26"/>
        </w:rPr>
        <w:t>or proper</w:t>
      </w:r>
      <w:r w:rsidRPr="00C74D34">
        <w:rPr>
          <w:color w:val="auto"/>
          <w:szCs w:val="26"/>
        </w:rPr>
        <w:t xml:space="preserve">; and </w:t>
      </w:r>
      <w:r w:rsidR="00333983" w:rsidRPr="00C74D34">
        <w:rPr>
          <w:color w:val="auto"/>
          <w:szCs w:val="26"/>
        </w:rPr>
        <w:t>(</w:t>
      </w:r>
      <w:r w:rsidRPr="00C74D34">
        <w:rPr>
          <w:color w:val="auto"/>
          <w:szCs w:val="26"/>
        </w:rPr>
        <w:t xml:space="preserve">4) that </w:t>
      </w:r>
      <w:proofErr w:type="spellStart"/>
      <w:r w:rsidRPr="00C74D34">
        <w:rPr>
          <w:color w:val="auto"/>
          <w:szCs w:val="26"/>
        </w:rPr>
        <w:t>Transource</w:t>
      </w:r>
      <w:proofErr w:type="spellEnd"/>
      <w:r w:rsidRPr="00C74D34">
        <w:rPr>
          <w:color w:val="auto"/>
          <w:szCs w:val="26"/>
        </w:rPr>
        <w:t xml:space="preserve"> is entitle</w:t>
      </w:r>
      <w:r w:rsidR="00333983" w:rsidRPr="00C74D34">
        <w:rPr>
          <w:color w:val="auto"/>
          <w:szCs w:val="26"/>
        </w:rPr>
        <w:t>d</w:t>
      </w:r>
      <w:r w:rsidRPr="00C74D34">
        <w:rPr>
          <w:color w:val="auto"/>
          <w:szCs w:val="26"/>
        </w:rPr>
        <w:t xml:space="preserve"> to retain an active </w:t>
      </w:r>
      <w:r w:rsidR="007A1F4F" w:rsidRPr="00C74D34">
        <w:rPr>
          <w:color w:val="auto"/>
          <w:szCs w:val="26"/>
        </w:rPr>
        <w:t>Certificate of Public Convenience</w:t>
      </w:r>
      <w:r w:rsidR="00594BFB" w:rsidRPr="00C74D34">
        <w:rPr>
          <w:color w:val="auto"/>
          <w:szCs w:val="26"/>
        </w:rPr>
        <w:t xml:space="preserve"> and Necessity</w:t>
      </w:r>
      <w:r w:rsidR="007A1F4F" w:rsidRPr="00C74D34">
        <w:rPr>
          <w:color w:val="auto"/>
          <w:szCs w:val="26"/>
        </w:rPr>
        <w:t xml:space="preserve"> (</w:t>
      </w:r>
      <w:r w:rsidRPr="00C74D34">
        <w:rPr>
          <w:color w:val="auto"/>
          <w:szCs w:val="26"/>
        </w:rPr>
        <w:t>CPC</w:t>
      </w:r>
      <w:r w:rsidR="007A1F4F" w:rsidRPr="00C74D34">
        <w:rPr>
          <w:color w:val="auto"/>
          <w:szCs w:val="26"/>
        </w:rPr>
        <w:t>)</w:t>
      </w:r>
      <w:r w:rsidRPr="00C74D34">
        <w:rPr>
          <w:color w:val="auto"/>
          <w:szCs w:val="26"/>
        </w:rPr>
        <w:t xml:space="preserve">, based on need, regardless of whether the Commission grants the siting approvals </w:t>
      </w:r>
      <w:r w:rsidR="00120E71" w:rsidRPr="00C74D34">
        <w:rPr>
          <w:color w:val="auto"/>
          <w:szCs w:val="26"/>
        </w:rPr>
        <w:t>on</w:t>
      </w:r>
      <w:r w:rsidRPr="00C74D34">
        <w:rPr>
          <w:color w:val="auto"/>
          <w:szCs w:val="26"/>
        </w:rPr>
        <w:t xml:space="preserve"> which the CPC was provisionally granted.</w:t>
      </w:r>
    </w:p>
    <w:p w14:paraId="35B8ABA0" w14:textId="77777777" w:rsidR="00BA5976" w:rsidRPr="00C74D34" w:rsidRDefault="00BA5976" w:rsidP="00B11342">
      <w:pPr>
        <w:tabs>
          <w:tab w:val="left" w:pos="-720"/>
        </w:tabs>
        <w:suppressAutoHyphens/>
        <w:ind w:firstLine="1440"/>
        <w:rPr>
          <w:color w:val="auto"/>
          <w:szCs w:val="26"/>
        </w:rPr>
      </w:pPr>
    </w:p>
    <w:bookmarkEnd w:id="0"/>
    <w:p w14:paraId="3573FE47" w14:textId="0DD8BA03" w:rsidR="00ED4028" w:rsidRPr="00C74D34" w:rsidRDefault="00ED4028" w:rsidP="00B11342">
      <w:pPr>
        <w:ind w:firstLine="1440"/>
        <w:rPr>
          <w:color w:val="auto"/>
          <w:szCs w:val="26"/>
        </w:rPr>
      </w:pPr>
      <w:r w:rsidRPr="00C74D34">
        <w:rPr>
          <w:color w:val="auto"/>
          <w:szCs w:val="26"/>
        </w:rPr>
        <w:t xml:space="preserve">For the reasons </w:t>
      </w:r>
      <w:r w:rsidR="00594F3B" w:rsidRPr="00C74D34">
        <w:rPr>
          <w:color w:val="auto"/>
          <w:szCs w:val="26"/>
        </w:rPr>
        <w:t>discussed</w:t>
      </w:r>
      <w:r w:rsidRPr="00C74D34">
        <w:rPr>
          <w:color w:val="auto"/>
          <w:szCs w:val="26"/>
        </w:rPr>
        <w:t xml:space="preserve">, </w:t>
      </w:r>
      <w:r w:rsidRPr="00C74D34">
        <w:rPr>
          <w:i/>
          <w:color w:val="auto"/>
          <w:szCs w:val="26"/>
        </w:rPr>
        <w:t>infra</w:t>
      </w:r>
      <w:r w:rsidRPr="00C74D34">
        <w:rPr>
          <w:color w:val="auto"/>
          <w:szCs w:val="26"/>
        </w:rPr>
        <w:t>, we shall</w:t>
      </w:r>
      <w:r w:rsidR="002C51EC" w:rsidRPr="00C74D34">
        <w:rPr>
          <w:color w:val="auto"/>
          <w:szCs w:val="26"/>
        </w:rPr>
        <w:t xml:space="preserve"> deny </w:t>
      </w:r>
      <w:proofErr w:type="spellStart"/>
      <w:r w:rsidR="009C4412" w:rsidRPr="00C74D34">
        <w:rPr>
          <w:color w:val="auto"/>
          <w:szCs w:val="26"/>
        </w:rPr>
        <w:t>Transource’s</w:t>
      </w:r>
      <w:proofErr w:type="spellEnd"/>
      <w:r w:rsidR="009C4412" w:rsidRPr="00C74D34">
        <w:rPr>
          <w:color w:val="auto"/>
          <w:szCs w:val="26"/>
        </w:rPr>
        <w:t xml:space="preserve"> </w:t>
      </w:r>
      <w:r w:rsidR="00FF7138" w:rsidRPr="00C74D34">
        <w:rPr>
          <w:color w:val="auto"/>
          <w:szCs w:val="26"/>
        </w:rPr>
        <w:t xml:space="preserve">siting </w:t>
      </w:r>
      <w:r w:rsidR="009C4412" w:rsidRPr="00C74D34">
        <w:rPr>
          <w:color w:val="auto"/>
          <w:szCs w:val="26"/>
        </w:rPr>
        <w:t>A</w:t>
      </w:r>
      <w:r w:rsidR="002A3C3A" w:rsidRPr="00C74D34">
        <w:rPr>
          <w:color w:val="auto"/>
          <w:szCs w:val="26"/>
        </w:rPr>
        <w:t>pplication</w:t>
      </w:r>
      <w:r w:rsidR="0092335A" w:rsidRPr="00C74D34">
        <w:rPr>
          <w:color w:val="auto"/>
          <w:szCs w:val="26"/>
        </w:rPr>
        <w:t>s</w:t>
      </w:r>
      <w:r w:rsidR="0009171E" w:rsidRPr="00C74D34">
        <w:rPr>
          <w:color w:val="auto"/>
          <w:szCs w:val="26"/>
        </w:rPr>
        <w:t xml:space="preserve"> </w:t>
      </w:r>
      <w:r w:rsidR="00CD0727" w:rsidRPr="00C74D34">
        <w:rPr>
          <w:color w:val="auto"/>
          <w:szCs w:val="26"/>
        </w:rPr>
        <w:t>based upon our fin</w:t>
      </w:r>
      <w:r w:rsidR="0056635D" w:rsidRPr="00C74D34">
        <w:rPr>
          <w:color w:val="auto"/>
          <w:szCs w:val="26"/>
        </w:rPr>
        <w:t>d</w:t>
      </w:r>
      <w:r w:rsidR="00CD0727" w:rsidRPr="00C74D34">
        <w:rPr>
          <w:color w:val="auto"/>
          <w:szCs w:val="26"/>
        </w:rPr>
        <w:t xml:space="preserve">ing </w:t>
      </w:r>
      <w:r w:rsidR="004728A5" w:rsidRPr="00C74D34">
        <w:rPr>
          <w:color w:val="auto"/>
          <w:szCs w:val="26"/>
        </w:rPr>
        <w:t>that the Company failed to establish</w:t>
      </w:r>
      <w:r w:rsidR="00D55349" w:rsidRPr="00C74D34">
        <w:rPr>
          <w:color w:val="auto"/>
          <w:szCs w:val="26"/>
        </w:rPr>
        <w:t>,</w:t>
      </w:r>
      <w:r w:rsidR="004728A5" w:rsidRPr="00C74D34">
        <w:rPr>
          <w:color w:val="auto"/>
          <w:szCs w:val="26"/>
        </w:rPr>
        <w:t xml:space="preserve"> </w:t>
      </w:r>
      <w:r w:rsidR="00D55349" w:rsidRPr="00C74D34">
        <w:rPr>
          <w:color w:val="auto"/>
          <w:szCs w:val="26"/>
        </w:rPr>
        <w:t xml:space="preserve">by a preponderance of evidence, </w:t>
      </w:r>
      <w:r w:rsidR="004728A5" w:rsidRPr="00C74D34">
        <w:rPr>
          <w:color w:val="auto"/>
          <w:szCs w:val="26"/>
        </w:rPr>
        <w:t>the need for the proposed HV</w:t>
      </w:r>
      <w:r w:rsidR="00503062" w:rsidRPr="00C74D34">
        <w:rPr>
          <w:color w:val="auto"/>
          <w:szCs w:val="26"/>
        </w:rPr>
        <w:t xml:space="preserve"> transmission lines</w:t>
      </w:r>
      <w:r w:rsidR="005D1353" w:rsidRPr="00C74D34">
        <w:rPr>
          <w:color w:val="auto"/>
          <w:szCs w:val="26"/>
        </w:rPr>
        <w:t>.  C</w:t>
      </w:r>
      <w:r w:rsidR="00503062" w:rsidRPr="00C74D34">
        <w:rPr>
          <w:color w:val="auto"/>
          <w:szCs w:val="26"/>
        </w:rPr>
        <w:t xml:space="preserve">onsequently, we shall </w:t>
      </w:r>
      <w:r w:rsidR="00FB6856" w:rsidRPr="00C74D34">
        <w:rPr>
          <w:color w:val="auto"/>
          <w:szCs w:val="26"/>
        </w:rPr>
        <w:t xml:space="preserve">reject the </w:t>
      </w:r>
      <w:r w:rsidR="00BA0197" w:rsidRPr="00C74D34">
        <w:rPr>
          <w:color w:val="auto"/>
          <w:szCs w:val="26"/>
        </w:rPr>
        <w:t xml:space="preserve">accompanying </w:t>
      </w:r>
      <w:r w:rsidR="00572110" w:rsidRPr="00C74D34">
        <w:rPr>
          <w:color w:val="auto"/>
          <w:szCs w:val="26"/>
        </w:rPr>
        <w:t>P</w:t>
      </w:r>
      <w:r w:rsidR="00BA0197" w:rsidRPr="00C74D34">
        <w:rPr>
          <w:color w:val="auto"/>
          <w:szCs w:val="26"/>
        </w:rPr>
        <w:t>etition</w:t>
      </w:r>
      <w:r w:rsidR="0072403C" w:rsidRPr="00C74D34">
        <w:rPr>
          <w:color w:val="auto"/>
          <w:szCs w:val="26"/>
        </w:rPr>
        <w:t>s</w:t>
      </w:r>
      <w:r w:rsidR="00BA0197" w:rsidRPr="00C74D34">
        <w:rPr>
          <w:color w:val="auto"/>
          <w:szCs w:val="26"/>
        </w:rPr>
        <w:t xml:space="preserve"> for zoning exemptions</w:t>
      </w:r>
      <w:r w:rsidR="00FF209C" w:rsidRPr="00C74D34">
        <w:rPr>
          <w:color w:val="auto"/>
          <w:szCs w:val="26"/>
        </w:rPr>
        <w:t xml:space="preserve"> and </w:t>
      </w:r>
      <w:r w:rsidR="00814265" w:rsidRPr="00C74D34">
        <w:rPr>
          <w:color w:val="auto"/>
          <w:szCs w:val="26"/>
        </w:rPr>
        <w:t xml:space="preserve">the </w:t>
      </w:r>
      <w:r w:rsidR="00FF4715" w:rsidRPr="00C74D34">
        <w:rPr>
          <w:color w:val="auto"/>
          <w:szCs w:val="26"/>
        </w:rPr>
        <w:t xml:space="preserve">Application </w:t>
      </w:r>
      <w:r w:rsidR="0009007F" w:rsidRPr="00C74D34">
        <w:rPr>
          <w:color w:val="auto"/>
          <w:szCs w:val="26"/>
        </w:rPr>
        <w:t>for authorization</w:t>
      </w:r>
      <w:r w:rsidR="001E3FEA" w:rsidRPr="00C74D34">
        <w:rPr>
          <w:color w:val="auto"/>
          <w:szCs w:val="26"/>
        </w:rPr>
        <w:t>s</w:t>
      </w:r>
      <w:r w:rsidR="0009007F" w:rsidRPr="00C74D34">
        <w:rPr>
          <w:color w:val="auto"/>
          <w:szCs w:val="26"/>
        </w:rPr>
        <w:t xml:space="preserve"> </w:t>
      </w:r>
      <w:r w:rsidR="002F581B" w:rsidRPr="00C74D34">
        <w:rPr>
          <w:color w:val="auto"/>
          <w:szCs w:val="26"/>
        </w:rPr>
        <w:t>to exercise eminent domain</w:t>
      </w:r>
      <w:r w:rsidR="00120E71" w:rsidRPr="00C74D34">
        <w:rPr>
          <w:color w:val="auto"/>
          <w:szCs w:val="26"/>
        </w:rPr>
        <w:t>;</w:t>
      </w:r>
      <w:r w:rsidR="003A757D" w:rsidRPr="00C74D34">
        <w:rPr>
          <w:color w:val="auto"/>
          <w:szCs w:val="26"/>
        </w:rPr>
        <w:t xml:space="preserve"> </w:t>
      </w:r>
      <w:r w:rsidR="00903E3E" w:rsidRPr="00C74D34">
        <w:rPr>
          <w:color w:val="auto"/>
          <w:szCs w:val="26"/>
        </w:rPr>
        <w:t>deny</w:t>
      </w:r>
      <w:r w:rsidRPr="00C74D34">
        <w:rPr>
          <w:color w:val="auto"/>
          <w:szCs w:val="26"/>
        </w:rPr>
        <w:t xml:space="preserve"> the Joint Petition</w:t>
      </w:r>
      <w:r w:rsidR="00971EB4" w:rsidRPr="00C74D34">
        <w:rPr>
          <w:color w:val="auto"/>
          <w:szCs w:val="26"/>
        </w:rPr>
        <w:t>s</w:t>
      </w:r>
      <w:r w:rsidR="00903E3E" w:rsidRPr="00C74D34">
        <w:rPr>
          <w:color w:val="auto"/>
          <w:szCs w:val="26"/>
        </w:rPr>
        <w:t xml:space="preserve"> for </w:t>
      </w:r>
      <w:r w:rsidR="00B069C7" w:rsidRPr="00C74D34">
        <w:rPr>
          <w:color w:val="auto"/>
          <w:szCs w:val="26"/>
        </w:rPr>
        <w:t>Part</w:t>
      </w:r>
      <w:r w:rsidR="003A757D" w:rsidRPr="00C74D34">
        <w:rPr>
          <w:color w:val="auto"/>
          <w:szCs w:val="26"/>
        </w:rPr>
        <w:t xml:space="preserve">ial </w:t>
      </w:r>
      <w:r w:rsidR="00FA46C0" w:rsidRPr="00C74D34">
        <w:rPr>
          <w:color w:val="auto"/>
          <w:szCs w:val="26"/>
        </w:rPr>
        <w:t>Settlement</w:t>
      </w:r>
      <w:r w:rsidR="00903E3E" w:rsidRPr="00C74D34">
        <w:rPr>
          <w:color w:val="auto"/>
          <w:szCs w:val="26"/>
        </w:rPr>
        <w:t xml:space="preserve"> </w:t>
      </w:r>
      <w:r w:rsidR="000019FD" w:rsidRPr="00C74D34">
        <w:rPr>
          <w:color w:val="auto"/>
          <w:szCs w:val="26"/>
        </w:rPr>
        <w:t>as n</w:t>
      </w:r>
      <w:r w:rsidR="00FA46C0" w:rsidRPr="00C74D34">
        <w:rPr>
          <w:color w:val="auto"/>
          <w:szCs w:val="26"/>
        </w:rPr>
        <w:t xml:space="preserve">either </w:t>
      </w:r>
      <w:r w:rsidR="000019FD" w:rsidRPr="00C74D34">
        <w:rPr>
          <w:color w:val="auto"/>
          <w:szCs w:val="26"/>
        </w:rPr>
        <w:t xml:space="preserve">reasonable or necessary </w:t>
      </w:r>
      <w:r w:rsidR="008072F2" w:rsidRPr="00C74D34">
        <w:rPr>
          <w:color w:val="auto"/>
          <w:szCs w:val="26"/>
        </w:rPr>
        <w:t>nor</w:t>
      </w:r>
      <w:r w:rsidR="000019FD" w:rsidRPr="00C74D34">
        <w:rPr>
          <w:color w:val="auto"/>
          <w:szCs w:val="26"/>
        </w:rPr>
        <w:t xml:space="preserve"> </w:t>
      </w:r>
      <w:r w:rsidR="00B62395" w:rsidRPr="00C74D34">
        <w:rPr>
          <w:color w:val="auto"/>
          <w:szCs w:val="26"/>
        </w:rPr>
        <w:t xml:space="preserve">in </w:t>
      </w:r>
      <w:r w:rsidR="000019FD" w:rsidRPr="00C74D34">
        <w:rPr>
          <w:color w:val="auto"/>
          <w:szCs w:val="26"/>
        </w:rPr>
        <w:t>the public interest</w:t>
      </w:r>
      <w:r w:rsidR="00343676" w:rsidRPr="00C74D34">
        <w:rPr>
          <w:color w:val="auto"/>
          <w:szCs w:val="26"/>
        </w:rPr>
        <w:t xml:space="preserve">, and </w:t>
      </w:r>
      <w:r w:rsidR="00D35687" w:rsidRPr="00C74D34">
        <w:rPr>
          <w:color w:val="auto"/>
          <w:szCs w:val="26"/>
        </w:rPr>
        <w:t xml:space="preserve">direct that </w:t>
      </w:r>
      <w:proofErr w:type="spellStart"/>
      <w:r w:rsidR="0064513F" w:rsidRPr="00C74D34">
        <w:rPr>
          <w:color w:val="auto"/>
          <w:szCs w:val="26"/>
        </w:rPr>
        <w:t>Transource’s</w:t>
      </w:r>
      <w:proofErr w:type="spellEnd"/>
      <w:r w:rsidR="0064513F" w:rsidRPr="00C74D34">
        <w:rPr>
          <w:color w:val="auto"/>
          <w:szCs w:val="26"/>
        </w:rPr>
        <w:t xml:space="preserve"> provisional </w:t>
      </w:r>
      <w:r w:rsidR="00594BFB" w:rsidRPr="00C74D34">
        <w:rPr>
          <w:color w:val="auto"/>
          <w:szCs w:val="26"/>
        </w:rPr>
        <w:t>CPC</w:t>
      </w:r>
      <w:r w:rsidR="008A1DD5" w:rsidRPr="00C74D34">
        <w:rPr>
          <w:color w:val="auto"/>
          <w:szCs w:val="26"/>
        </w:rPr>
        <w:t xml:space="preserve"> </w:t>
      </w:r>
      <w:r w:rsidR="00D35687" w:rsidRPr="00C74D34">
        <w:rPr>
          <w:color w:val="auto"/>
          <w:szCs w:val="26"/>
        </w:rPr>
        <w:t xml:space="preserve">be </w:t>
      </w:r>
      <w:r w:rsidR="007A1F4F" w:rsidRPr="00C74D34">
        <w:rPr>
          <w:color w:val="auto"/>
          <w:szCs w:val="26"/>
        </w:rPr>
        <w:t>rescinded</w:t>
      </w:r>
      <w:r w:rsidR="000019FD" w:rsidRPr="00C74D34">
        <w:rPr>
          <w:color w:val="auto"/>
          <w:szCs w:val="26"/>
        </w:rPr>
        <w:t xml:space="preserve">. </w:t>
      </w:r>
      <w:r w:rsidRPr="00C74D34">
        <w:rPr>
          <w:color w:val="auto"/>
          <w:szCs w:val="26"/>
        </w:rPr>
        <w:t xml:space="preserve"> Additionally, we shall: </w:t>
      </w:r>
      <w:r w:rsidR="00D10C62" w:rsidRPr="00C74D34">
        <w:rPr>
          <w:color w:val="auto"/>
          <w:szCs w:val="26"/>
        </w:rPr>
        <w:t xml:space="preserve"> </w:t>
      </w:r>
      <w:r w:rsidRPr="00C74D34">
        <w:rPr>
          <w:color w:val="auto"/>
          <w:szCs w:val="26"/>
        </w:rPr>
        <w:t xml:space="preserve">(1) </w:t>
      </w:r>
      <w:r w:rsidR="003475BA" w:rsidRPr="00C74D34">
        <w:rPr>
          <w:color w:val="auto"/>
          <w:szCs w:val="26"/>
        </w:rPr>
        <w:t>grant</w:t>
      </w:r>
      <w:r w:rsidR="00733667" w:rsidRPr="00C74D34">
        <w:rPr>
          <w:color w:val="auto"/>
          <w:szCs w:val="26"/>
        </w:rPr>
        <w:t>, in part, and deny, in part</w:t>
      </w:r>
      <w:r w:rsidR="00B62395" w:rsidRPr="00C74D34">
        <w:rPr>
          <w:color w:val="auto"/>
          <w:szCs w:val="26"/>
        </w:rPr>
        <w:t>,</w:t>
      </w:r>
      <w:r w:rsidR="00733667" w:rsidRPr="00C74D34">
        <w:rPr>
          <w:color w:val="auto"/>
          <w:szCs w:val="26"/>
        </w:rPr>
        <w:t xml:space="preserve"> </w:t>
      </w:r>
      <w:r w:rsidRPr="00C74D34">
        <w:rPr>
          <w:color w:val="auto"/>
          <w:szCs w:val="26"/>
        </w:rPr>
        <w:t xml:space="preserve">the Exceptions of </w:t>
      </w:r>
      <w:proofErr w:type="spellStart"/>
      <w:r w:rsidR="00733667" w:rsidRPr="00C74D34">
        <w:rPr>
          <w:color w:val="auto"/>
          <w:szCs w:val="26"/>
        </w:rPr>
        <w:t>Transource</w:t>
      </w:r>
      <w:proofErr w:type="spellEnd"/>
      <w:r w:rsidR="00733667" w:rsidRPr="00C74D34">
        <w:rPr>
          <w:color w:val="auto"/>
          <w:szCs w:val="26"/>
        </w:rPr>
        <w:t xml:space="preserve"> </w:t>
      </w:r>
      <w:r w:rsidR="0098306C" w:rsidRPr="00C74D34">
        <w:rPr>
          <w:color w:val="auto"/>
          <w:szCs w:val="26"/>
        </w:rPr>
        <w:t>and (2)</w:t>
      </w:r>
      <w:r w:rsidRPr="00C74D34">
        <w:rPr>
          <w:color w:val="auto"/>
          <w:szCs w:val="26"/>
        </w:rPr>
        <w:t xml:space="preserve"> adopt the ALJ’s Recommended Decision, as modified, consistent with this Opinion and Order.</w:t>
      </w:r>
    </w:p>
    <w:p w14:paraId="4FD16554" w14:textId="77777777" w:rsidR="00313FC5" w:rsidRPr="00C74D34" w:rsidRDefault="00313FC5" w:rsidP="00B11342">
      <w:pPr>
        <w:rPr>
          <w:szCs w:val="26"/>
        </w:rPr>
      </w:pPr>
    </w:p>
    <w:p w14:paraId="3F478662" w14:textId="13642540" w:rsidR="009D42E9" w:rsidRPr="00C74D34" w:rsidRDefault="009D42E9" w:rsidP="00F64E78">
      <w:pPr>
        <w:pStyle w:val="Heading1"/>
      </w:pPr>
      <w:bookmarkStart w:id="1" w:name="_Toc70516600"/>
      <w:r w:rsidRPr="00C74D34">
        <w:t>I.</w:t>
      </w:r>
      <w:r w:rsidRPr="00C74D34">
        <w:tab/>
      </w:r>
      <w:bookmarkStart w:id="2" w:name="_Hlk69371353"/>
      <w:r w:rsidRPr="00C74D34">
        <w:t>Background</w:t>
      </w:r>
      <w:bookmarkEnd w:id="1"/>
    </w:p>
    <w:p w14:paraId="08F245A6" w14:textId="77777777" w:rsidR="00E5306B" w:rsidRPr="00C74D34" w:rsidRDefault="00E5306B" w:rsidP="00F64E78">
      <w:pPr>
        <w:keepNext/>
        <w:rPr>
          <w:color w:val="auto"/>
          <w:szCs w:val="26"/>
        </w:rPr>
      </w:pPr>
    </w:p>
    <w:p w14:paraId="22DD3C92" w14:textId="763FEA46" w:rsidR="00E5306B" w:rsidRPr="00C74D34" w:rsidRDefault="00E5306B" w:rsidP="00F64E78">
      <w:pPr>
        <w:keepNext/>
        <w:ind w:firstLine="1440"/>
        <w:rPr>
          <w:color w:val="auto"/>
          <w:szCs w:val="26"/>
        </w:rPr>
      </w:pPr>
      <w:proofErr w:type="spellStart"/>
      <w:r w:rsidRPr="00C74D34">
        <w:rPr>
          <w:color w:val="auto"/>
          <w:szCs w:val="26"/>
        </w:rPr>
        <w:t>Transource</w:t>
      </w:r>
      <w:proofErr w:type="spellEnd"/>
      <w:r w:rsidRPr="00C74D34">
        <w:rPr>
          <w:color w:val="auto"/>
          <w:szCs w:val="26"/>
        </w:rPr>
        <w:t xml:space="preserve"> is a public utility </w:t>
      </w:r>
      <w:r w:rsidR="00DE2BC2" w:rsidRPr="00C74D34">
        <w:rPr>
          <w:color w:val="auto"/>
          <w:szCs w:val="26"/>
        </w:rPr>
        <w:t xml:space="preserve">provisionally </w:t>
      </w:r>
      <w:r w:rsidRPr="00C74D34">
        <w:rPr>
          <w:color w:val="auto"/>
          <w:szCs w:val="26"/>
        </w:rPr>
        <w:t xml:space="preserve">certificated by the Commission by </w:t>
      </w:r>
      <w:r w:rsidR="001429BA" w:rsidRPr="00C74D34">
        <w:rPr>
          <w:color w:val="auto"/>
          <w:szCs w:val="26"/>
        </w:rPr>
        <w:t>O</w:t>
      </w:r>
      <w:r w:rsidRPr="00C74D34">
        <w:rPr>
          <w:color w:val="auto"/>
          <w:szCs w:val="26"/>
        </w:rPr>
        <w:t>rder entered January 23, 2018, at Docket Nos. A-2017-2587821 and G</w:t>
      </w:r>
      <w:r w:rsidR="001F7549" w:rsidRPr="00C74D34">
        <w:rPr>
          <w:color w:val="auto"/>
          <w:szCs w:val="26"/>
        </w:rPr>
        <w:noBreakHyphen/>
      </w:r>
      <w:r w:rsidRPr="00C74D34">
        <w:rPr>
          <w:color w:val="auto"/>
          <w:szCs w:val="26"/>
        </w:rPr>
        <w:t>2017</w:t>
      </w:r>
      <w:r w:rsidR="001F7549" w:rsidRPr="00C74D34">
        <w:rPr>
          <w:color w:val="auto"/>
          <w:szCs w:val="26"/>
        </w:rPr>
        <w:noBreakHyphen/>
      </w:r>
      <w:r w:rsidRPr="00C74D34">
        <w:rPr>
          <w:color w:val="auto"/>
          <w:szCs w:val="26"/>
        </w:rPr>
        <w:t xml:space="preserve">2587822, recognizing </w:t>
      </w:r>
      <w:proofErr w:type="spellStart"/>
      <w:r w:rsidRPr="00C74D34">
        <w:rPr>
          <w:color w:val="auto"/>
          <w:szCs w:val="26"/>
        </w:rPr>
        <w:t>Transource</w:t>
      </w:r>
      <w:proofErr w:type="spellEnd"/>
      <w:r w:rsidRPr="00C74D34">
        <w:rPr>
          <w:color w:val="auto"/>
          <w:szCs w:val="26"/>
        </w:rPr>
        <w:t xml:space="preserve"> as a “a new type of entity in this Commonwealth,” formed solely to carry out the </w:t>
      </w:r>
      <w:proofErr w:type="spellStart"/>
      <w:r w:rsidRPr="00C74D34">
        <w:rPr>
          <w:color w:val="auto"/>
          <w:szCs w:val="26"/>
        </w:rPr>
        <w:t>Transource</w:t>
      </w:r>
      <w:proofErr w:type="spellEnd"/>
      <w:r w:rsidRPr="00C74D34">
        <w:rPr>
          <w:color w:val="auto"/>
          <w:szCs w:val="26"/>
        </w:rPr>
        <w:t xml:space="preserve"> market efficiency project </w:t>
      </w:r>
      <w:r w:rsidRPr="00C74D34">
        <w:rPr>
          <w:color w:val="auto"/>
          <w:szCs w:val="26"/>
        </w:rPr>
        <w:lastRenderedPageBreak/>
        <w:t>known as “Project 9A</w:t>
      </w:r>
      <w:r w:rsidR="00DE2BC2" w:rsidRPr="00C74D34">
        <w:rPr>
          <w:color w:val="auto"/>
          <w:szCs w:val="26"/>
        </w:rPr>
        <w:t>.”</w:t>
      </w:r>
      <w:r w:rsidR="00162EFE" w:rsidRPr="00C74D34">
        <w:rPr>
          <w:rStyle w:val="FootnoteReference"/>
          <w:color w:val="auto"/>
          <w:szCs w:val="26"/>
        </w:rPr>
        <w:footnoteReference w:id="4"/>
      </w:r>
      <w:r w:rsidR="003D615E" w:rsidRPr="00C74D34">
        <w:rPr>
          <w:color w:val="auto"/>
          <w:szCs w:val="26"/>
        </w:rPr>
        <w:t xml:space="preserve">  </w:t>
      </w:r>
      <w:r w:rsidR="008E60E8" w:rsidRPr="00C74D34">
        <w:rPr>
          <w:color w:val="auto"/>
          <w:szCs w:val="26"/>
        </w:rPr>
        <w:t xml:space="preserve">Project 9A is a project approved by </w:t>
      </w:r>
      <w:r w:rsidR="00AB36DC" w:rsidRPr="00C74D34">
        <w:rPr>
          <w:szCs w:val="26"/>
        </w:rPr>
        <w:t xml:space="preserve">PJM Interconnection LLC </w:t>
      </w:r>
      <w:r w:rsidR="00494113" w:rsidRPr="00C74D34">
        <w:rPr>
          <w:szCs w:val="26"/>
        </w:rPr>
        <w:t>(</w:t>
      </w:r>
      <w:r w:rsidR="008E60E8" w:rsidRPr="00C74D34">
        <w:rPr>
          <w:color w:val="auto"/>
          <w:szCs w:val="26"/>
        </w:rPr>
        <w:t>PJM</w:t>
      </w:r>
      <w:r w:rsidR="00494113" w:rsidRPr="00C74D34">
        <w:rPr>
          <w:color w:val="auto"/>
          <w:szCs w:val="26"/>
        </w:rPr>
        <w:t>)</w:t>
      </w:r>
      <w:r w:rsidR="008E60E8" w:rsidRPr="00C74D34">
        <w:rPr>
          <w:color w:val="auto"/>
          <w:szCs w:val="26"/>
        </w:rPr>
        <w:t xml:space="preserve"> </w:t>
      </w:r>
      <w:r w:rsidR="007343CD" w:rsidRPr="00C74D34">
        <w:rPr>
          <w:szCs w:val="26"/>
        </w:rPr>
        <w:t>as a market efficiency project</w:t>
      </w:r>
      <w:r w:rsidR="00625611" w:rsidRPr="00C74D34">
        <w:rPr>
          <w:szCs w:val="26"/>
        </w:rPr>
        <w:t>,</w:t>
      </w:r>
      <w:r w:rsidR="008E60E8" w:rsidRPr="00C74D34">
        <w:rPr>
          <w:color w:val="auto"/>
          <w:szCs w:val="26"/>
        </w:rPr>
        <w:t xml:space="preserve"> designed as a </w:t>
      </w:r>
      <w:r w:rsidR="00CA2692" w:rsidRPr="00C74D34">
        <w:rPr>
          <w:color w:val="auto"/>
          <w:szCs w:val="26"/>
        </w:rPr>
        <w:t xml:space="preserve">proposed </w:t>
      </w:r>
      <w:r w:rsidR="008E60E8" w:rsidRPr="00C74D34">
        <w:rPr>
          <w:color w:val="auto"/>
          <w:szCs w:val="26"/>
        </w:rPr>
        <w:t xml:space="preserve">regional plan to </w:t>
      </w:r>
      <w:r w:rsidR="00481115" w:rsidRPr="00C74D34">
        <w:rPr>
          <w:szCs w:val="26"/>
        </w:rPr>
        <w:t xml:space="preserve">alleviate congestion on the AP South Reactive Interface </w:t>
      </w:r>
      <w:r w:rsidR="004D32BD" w:rsidRPr="00C74D34">
        <w:rPr>
          <w:szCs w:val="26"/>
        </w:rPr>
        <w:t xml:space="preserve">which is </w:t>
      </w:r>
      <w:r w:rsidR="00481115" w:rsidRPr="00C74D34">
        <w:rPr>
          <w:szCs w:val="26"/>
        </w:rPr>
        <w:t>a set of four 500 kV transmission lines that originate in West Virginia and terminate in Maryland</w:t>
      </w:r>
      <w:r w:rsidR="00D34B02" w:rsidRPr="00C74D34">
        <w:rPr>
          <w:color w:val="auto"/>
          <w:szCs w:val="26"/>
        </w:rPr>
        <w:t>.  T</w:t>
      </w:r>
      <w:r w:rsidR="003D615E" w:rsidRPr="00C74D34">
        <w:rPr>
          <w:color w:val="auto"/>
          <w:szCs w:val="26"/>
        </w:rPr>
        <w:t xml:space="preserve">he </w:t>
      </w:r>
      <w:r w:rsidR="005D244C" w:rsidRPr="00C74D34">
        <w:rPr>
          <w:color w:val="auto"/>
          <w:szCs w:val="26"/>
        </w:rPr>
        <w:t>Pennsylvania portion</w:t>
      </w:r>
      <w:r w:rsidR="000511A3" w:rsidRPr="00C74D34">
        <w:rPr>
          <w:color w:val="auto"/>
          <w:szCs w:val="26"/>
        </w:rPr>
        <w:t>s</w:t>
      </w:r>
      <w:r w:rsidR="005D244C" w:rsidRPr="00C74D34">
        <w:rPr>
          <w:color w:val="auto"/>
          <w:szCs w:val="26"/>
        </w:rPr>
        <w:t xml:space="preserve"> of Project 9A </w:t>
      </w:r>
      <w:r w:rsidR="000511A3" w:rsidRPr="00C74D34">
        <w:rPr>
          <w:color w:val="auto"/>
          <w:szCs w:val="26"/>
        </w:rPr>
        <w:t xml:space="preserve">are </w:t>
      </w:r>
      <w:r w:rsidR="005D244C" w:rsidRPr="00C74D34">
        <w:rPr>
          <w:color w:val="auto"/>
          <w:szCs w:val="26"/>
        </w:rPr>
        <w:t xml:space="preserve">also known as the </w:t>
      </w:r>
      <w:r w:rsidR="000511A3" w:rsidRPr="00C74D34">
        <w:rPr>
          <w:color w:val="auto"/>
          <w:szCs w:val="26"/>
        </w:rPr>
        <w:t xml:space="preserve">Independence Energy Connection </w:t>
      </w:r>
      <w:r w:rsidR="00CB2DD8" w:rsidRPr="00C74D34">
        <w:rPr>
          <w:color w:val="auto"/>
          <w:szCs w:val="26"/>
        </w:rPr>
        <w:t xml:space="preserve">(IEC) </w:t>
      </w:r>
      <w:r w:rsidR="00C5314D" w:rsidRPr="00C74D34">
        <w:rPr>
          <w:color w:val="auto"/>
          <w:szCs w:val="26"/>
        </w:rPr>
        <w:t xml:space="preserve">East </w:t>
      </w:r>
      <w:r w:rsidR="00CE66F2" w:rsidRPr="00C74D34">
        <w:rPr>
          <w:color w:val="auto"/>
          <w:szCs w:val="26"/>
        </w:rPr>
        <w:t xml:space="preserve">Project </w:t>
      </w:r>
      <w:r w:rsidR="00C5314D" w:rsidRPr="00C74D34">
        <w:rPr>
          <w:color w:val="auto"/>
          <w:szCs w:val="26"/>
        </w:rPr>
        <w:t>and</w:t>
      </w:r>
      <w:r w:rsidR="00CB2DD8" w:rsidRPr="00C74D34">
        <w:rPr>
          <w:color w:val="auto"/>
          <w:szCs w:val="26"/>
        </w:rPr>
        <w:t xml:space="preserve"> IEC West</w:t>
      </w:r>
      <w:r w:rsidR="00CE66F2" w:rsidRPr="00C74D34">
        <w:rPr>
          <w:color w:val="auto"/>
          <w:szCs w:val="26"/>
        </w:rPr>
        <w:t xml:space="preserve"> Project</w:t>
      </w:r>
      <w:r w:rsidR="00F231D7" w:rsidRPr="00C74D34">
        <w:rPr>
          <w:color w:val="auto"/>
          <w:szCs w:val="26"/>
        </w:rPr>
        <w:t>, collectively the IEC Project</w:t>
      </w:r>
      <w:r w:rsidR="00CB2DD8" w:rsidRPr="00C74D34">
        <w:rPr>
          <w:color w:val="auto"/>
          <w:szCs w:val="26"/>
        </w:rPr>
        <w:t>.</w:t>
      </w:r>
      <w:r w:rsidR="00C5314D" w:rsidRPr="00C74D34">
        <w:rPr>
          <w:color w:val="auto"/>
          <w:szCs w:val="26"/>
        </w:rPr>
        <w:t xml:space="preserve"> </w:t>
      </w:r>
    </w:p>
    <w:p w14:paraId="638DE9DC" w14:textId="77777777" w:rsidR="000B54B2" w:rsidRPr="00C74D34" w:rsidRDefault="000B54B2" w:rsidP="00B11342">
      <w:pPr>
        <w:rPr>
          <w:rFonts w:eastAsiaTheme="minorHAnsi"/>
          <w:color w:val="auto"/>
          <w:szCs w:val="26"/>
        </w:rPr>
      </w:pPr>
    </w:p>
    <w:p w14:paraId="286B09C5" w14:textId="592C602B" w:rsidR="00C5581F" w:rsidRPr="00C74D34" w:rsidRDefault="00C5581F" w:rsidP="00B11342">
      <w:pPr>
        <w:ind w:firstLine="1440"/>
        <w:rPr>
          <w:b/>
          <w:bCs/>
          <w:color w:val="auto"/>
          <w:szCs w:val="26"/>
        </w:rPr>
      </w:pPr>
      <w:r w:rsidRPr="00C74D34">
        <w:rPr>
          <w:rFonts w:eastAsiaTheme="minorHAnsi"/>
          <w:color w:val="auto"/>
          <w:szCs w:val="26"/>
        </w:rPr>
        <w:t>PJM is the Regional Transmission Organization (RTO) charged by the Federal Energy Regulatory Commission (FERC) under the Federal Power Act, 16 U.S.C. §</w:t>
      </w:r>
      <w:r w:rsidR="00DE2BC2" w:rsidRPr="00C74D34">
        <w:rPr>
          <w:rFonts w:eastAsiaTheme="minorHAnsi"/>
          <w:color w:val="auto"/>
          <w:szCs w:val="26"/>
        </w:rPr>
        <w:t>§</w:t>
      </w:r>
      <w:r w:rsidRPr="00C74D34">
        <w:rPr>
          <w:rFonts w:eastAsiaTheme="minorHAnsi"/>
          <w:color w:val="auto"/>
          <w:szCs w:val="26"/>
        </w:rPr>
        <w:t xml:space="preserve"> 791a, </w:t>
      </w:r>
      <w:r w:rsidRPr="00C74D34">
        <w:rPr>
          <w:i/>
          <w:color w:val="auto"/>
          <w:szCs w:val="26"/>
        </w:rPr>
        <w:t>et seq</w:t>
      </w:r>
      <w:r w:rsidRPr="00C74D34">
        <w:rPr>
          <w:rFonts w:eastAsiaTheme="minorHAnsi"/>
          <w:color w:val="auto"/>
          <w:szCs w:val="26"/>
        </w:rPr>
        <w:t xml:space="preserve">., with maintaining the bulk electric transmission system in a </w:t>
      </w:r>
      <w:r w:rsidR="00B11342" w:rsidRPr="00C74D34">
        <w:rPr>
          <w:rFonts w:eastAsiaTheme="minorHAnsi"/>
          <w:color w:val="auto"/>
          <w:szCs w:val="26"/>
        </w:rPr>
        <w:t>13-state</w:t>
      </w:r>
      <w:r w:rsidRPr="00C74D34">
        <w:rPr>
          <w:rFonts w:eastAsiaTheme="minorHAnsi"/>
          <w:color w:val="auto"/>
          <w:szCs w:val="26"/>
        </w:rPr>
        <w:t xml:space="preserve"> region that includes most of Pennsylvania. </w:t>
      </w:r>
      <w:r w:rsidR="00625611" w:rsidRPr="00C74D34">
        <w:rPr>
          <w:rFonts w:eastAsiaTheme="minorHAnsi"/>
          <w:color w:val="auto"/>
          <w:szCs w:val="26"/>
        </w:rPr>
        <w:t xml:space="preserve"> </w:t>
      </w:r>
      <w:r w:rsidR="000B54B2" w:rsidRPr="00C74D34">
        <w:rPr>
          <w:szCs w:val="26"/>
        </w:rPr>
        <w:t>Pu</w:t>
      </w:r>
      <w:r w:rsidR="00255BE1" w:rsidRPr="00C74D34">
        <w:rPr>
          <w:szCs w:val="26"/>
        </w:rPr>
        <w:t>r</w:t>
      </w:r>
      <w:r w:rsidR="000B54B2" w:rsidRPr="00C74D34">
        <w:rPr>
          <w:szCs w:val="26"/>
        </w:rPr>
        <w:t xml:space="preserve">suant to its </w:t>
      </w:r>
      <w:r w:rsidR="00255BE1" w:rsidRPr="00C74D34">
        <w:rPr>
          <w:szCs w:val="26"/>
        </w:rPr>
        <w:t xml:space="preserve">federal mandate, </w:t>
      </w:r>
      <w:r w:rsidRPr="00C74D34">
        <w:rPr>
          <w:szCs w:val="26"/>
        </w:rPr>
        <w:t>PJM prepares an annual Regional Transmission Expansion Plan (RTEP) detailing a series of analyses to ensure reliable flow of electricity to its customers.</w:t>
      </w:r>
      <w:r w:rsidR="00B11342" w:rsidRPr="00C74D34">
        <w:rPr>
          <w:szCs w:val="26"/>
        </w:rPr>
        <w:t xml:space="preserve">  </w:t>
      </w:r>
      <w:r w:rsidRPr="00C74D34">
        <w:rPr>
          <w:szCs w:val="26"/>
        </w:rPr>
        <w:t xml:space="preserve">As part of its RTEP, PJM conducts a market efficiency analysis to find areas where congestion exists and seeks solutions to reduce congestion.  </w:t>
      </w:r>
      <w:r w:rsidR="007C0140" w:rsidRPr="00C74D34">
        <w:rPr>
          <w:rFonts w:eastAsiaTheme="minorHAnsi"/>
          <w:color w:val="auto"/>
          <w:szCs w:val="26"/>
        </w:rPr>
        <w:t>R.D. at 13-15</w:t>
      </w:r>
      <w:r w:rsidR="008A1DD5" w:rsidRPr="00C74D34">
        <w:rPr>
          <w:rFonts w:eastAsiaTheme="minorHAnsi"/>
          <w:color w:val="auto"/>
          <w:szCs w:val="26"/>
        </w:rPr>
        <w:t>;</w:t>
      </w:r>
      <w:r w:rsidR="007C0140" w:rsidRPr="00C74D34">
        <w:rPr>
          <w:rFonts w:eastAsiaTheme="minorHAnsi"/>
          <w:color w:val="auto"/>
          <w:szCs w:val="26"/>
        </w:rPr>
        <w:t xml:space="preserve"> </w:t>
      </w:r>
      <w:r w:rsidRPr="00C74D34">
        <w:rPr>
          <w:szCs w:val="26"/>
        </w:rPr>
        <w:t xml:space="preserve">IEC West Application, Att. 2 at 2-3. </w:t>
      </w:r>
    </w:p>
    <w:p w14:paraId="2D629D83" w14:textId="77777777" w:rsidR="00C5581F" w:rsidRPr="00C74D34" w:rsidRDefault="00C5581F" w:rsidP="00B11342">
      <w:pPr>
        <w:rPr>
          <w:szCs w:val="26"/>
          <w:highlight w:val="magenta"/>
        </w:rPr>
      </w:pPr>
      <w:r w:rsidRPr="00C74D34">
        <w:rPr>
          <w:szCs w:val="26"/>
          <w:highlight w:val="magenta"/>
        </w:rPr>
        <w:t xml:space="preserve"> </w:t>
      </w:r>
    </w:p>
    <w:p w14:paraId="5E61A1A5" w14:textId="316CC31A" w:rsidR="000705B9" w:rsidRPr="00C74D34" w:rsidRDefault="00D2101B" w:rsidP="00E04573">
      <w:pPr>
        <w:ind w:firstLine="1440"/>
        <w:rPr>
          <w:szCs w:val="26"/>
        </w:rPr>
      </w:pPr>
      <w:r w:rsidRPr="00C74D34">
        <w:rPr>
          <w:szCs w:val="26"/>
        </w:rPr>
        <w:t>Relevant to this proceeding, o</w:t>
      </w:r>
      <w:r w:rsidR="00C5581F" w:rsidRPr="00C74D34">
        <w:rPr>
          <w:szCs w:val="26"/>
        </w:rPr>
        <w:t>n October 30, 2014, PJM opened a long-term RTEP proposal window (2014/2015 Long-Term Window) to solicit market efficiency proposals in order to alleviate congestion on the AP South Reactive Interface</w:t>
      </w:r>
      <w:r w:rsidR="0016427C" w:rsidRPr="00C74D34">
        <w:rPr>
          <w:szCs w:val="26"/>
        </w:rPr>
        <w:t>.</w:t>
      </w:r>
      <w:r w:rsidR="00C5581F" w:rsidRPr="00C74D34">
        <w:rPr>
          <w:szCs w:val="26"/>
        </w:rPr>
        <w:t xml:space="preserve">  </w:t>
      </w:r>
      <w:r w:rsidR="008A1DD5" w:rsidRPr="00C74D34">
        <w:rPr>
          <w:i/>
          <w:iCs/>
          <w:szCs w:val="26"/>
        </w:rPr>
        <w:t>Id</w:t>
      </w:r>
      <w:r w:rsidR="008A1DD5" w:rsidRPr="00C74D34">
        <w:rPr>
          <w:szCs w:val="26"/>
        </w:rPr>
        <w:t>.; I</w:t>
      </w:r>
      <w:r w:rsidR="00C5581F" w:rsidRPr="00C74D34">
        <w:rPr>
          <w:szCs w:val="26"/>
        </w:rPr>
        <w:t xml:space="preserve">EC West Application at ¶ 17.  Congestion on the AP South Reactive Interface totaled approximately $800 million from 2012 to 2016.  </w:t>
      </w:r>
      <w:proofErr w:type="spellStart"/>
      <w:r w:rsidR="00C5581F" w:rsidRPr="00C74D34">
        <w:rPr>
          <w:szCs w:val="26"/>
        </w:rPr>
        <w:t>Transource</w:t>
      </w:r>
      <w:proofErr w:type="spellEnd"/>
      <w:r w:rsidR="00C5581F" w:rsidRPr="00C74D34">
        <w:rPr>
          <w:szCs w:val="26"/>
        </w:rPr>
        <w:t xml:space="preserve"> St. 3 at 25.</w:t>
      </w:r>
      <w:r w:rsidR="008A1DD5" w:rsidRPr="00C74D34">
        <w:rPr>
          <w:szCs w:val="26"/>
        </w:rPr>
        <w:t xml:space="preserve"> </w:t>
      </w:r>
      <w:r w:rsidR="00C5581F" w:rsidRPr="00C74D34">
        <w:rPr>
          <w:szCs w:val="26"/>
        </w:rPr>
        <w:t xml:space="preserve"> Forty-one proposals were submitted as part of the 2014/2015 Long-Term Window to address congestion on the AP South Reactive Interface.  </w:t>
      </w:r>
      <w:proofErr w:type="spellStart"/>
      <w:r w:rsidR="00C5581F" w:rsidRPr="00C74D34">
        <w:rPr>
          <w:szCs w:val="26"/>
        </w:rPr>
        <w:t>Transource</w:t>
      </w:r>
      <w:proofErr w:type="spellEnd"/>
      <w:r w:rsidR="00C5581F" w:rsidRPr="00C74D34">
        <w:rPr>
          <w:szCs w:val="26"/>
        </w:rPr>
        <w:t xml:space="preserve"> Energy, the parent of </w:t>
      </w:r>
      <w:proofErr w:type="spellStart"/>
      <w:r w:rsidR="00C5581F" w:rsidRPr="00C74D34">
        <w:rPr>
          <w:szCs w:val="26"/>
        </w:rPr>
        <w:t>Transource</w:t>
      </w:r>
      <w:proofErr w:type="spellEnd"/>
      <w:r w:rsidR="00C5581F" w:rsidRPr="00C74D34">
        <w:rPr>
          <w:szCs w:val="26"/>
        </w:rPr>
        <w:t xml:space="preserve">, submitted Project 9A, </w:t>
      </w:r>
      <w:r w:rsidR="001D1E14" w:rsidRPr="00C74D34">
        <w:rPr>
          <w:szCs w:val="26"/>
        </w:rPr>
        <w:t xml:space="preserve">specifically </w:t>
      </w:r>
      <w:r w:rsidR="00C5581F" w:rsidRPr="00C74D34">
        <w:rPr>
          <w:szCs w:val="26"/>
        </w:rPr>
        <w:t xml:space="preserve">to resolve congestion on the AP South </w:t>
      </w:r>
      <w:r w:rsidR="00C5581F" w:rsidRPr="00C74D34">
        <w:rPr>
          <w:szCs w:val="26"/>
        </w:rPr>
        <w:lastRenderedPageBreak/>
        <w:t>Reactive Interface.  R.D. at 13-15:</w:t>
      </w:r>
      <w:r w:rsidR="001F364B" w:rsidRPr="00C74D34">
        <w:rPr>
          <w:szCs w:val="26"/>
        </w:rPr>
        <w:t xml:space="preserve"> </w:t>
      </w:r>
      <w:r w:rsidR="00C5581F" w:rsidRPr="00C74D34">
        <w:rPr>
          <w:szCs w:val="26"/>
        </w:rPr>
        <w:t xml:space="preserve"> </w:t>
      </w:r>
      <w:proofErr w:type="spellStart"/>
      <w:r w:rsidR="00C5581F" w:rsidRPr="00C74D34">
        <w:rPr>
          <w:szCs w:val="26"/>
        </w:rPr>
        <w:t>Transource</w:t>
      </w:r>
      <w:proofErr w:type="spellEnd"/>
      <w:r w:rsidR="00C5581F" w:rsidRPr="00C74D34">
        <w:rPr>
          <w:szCs w:val="26"/>
        </w:rPr>
        <w:t xml:space="preserve"> St. 8-R, </w:t>
      </w:r>
      <w:proofErr w:type="spellStart"/>
      <w:r w:rsidR="00C5581F" w:rsidRPr="00C74D34">
        <w:rPr>
          <w:szCs w:val="26"/>
        </w:rPr>
        <w:t>Exh</w:t>
      </w:r>
      <w:proofErr w:type="spellEnd"/>
      <w:r w:rsidR="00C5581F" w:rsidRPr="00C74D34">
        <w:rPr>
          <w:szCs w:val="26"/>
        </w:rPr>
        <w:t>. TH-5R at 2; Tr. 238788.  The IEC Project</w:t>
      </w:r>
      <w:r w:rsidR="00BD6F5F" w:rsidRPr="00C74D34">
        <w:rPr>
          <w:szCs w:val="26"/>
        </w:rPr>
        <w:t xml:space="preserve"> East and West portions are</w:t>
      </w:r>
      <w:r w:rsidR="00C5581F" w:rsidRPr="00C74D34">
        <w:rPr>
          <w:szCs w:val="26"/>
        </w:rPr>
        <w:t xml:space="preserve"> a major component of Project 9A.  R.D. at </w:t>
      </w:r>
      <w:r w:rsidR="008A1DD5" w:rsidRPr="00C74D34">
        <w:rPr>
          <w:szCs w:val="26"/>
        </w:rPr>
        <w:t>3</w:t>
      </w:r>
      <w:r w:rsidR="00C5581F" w:rsidRPr="00C74D34">
        <w:rPr>
          <w:szCs w:val="26"/>
        </w:rPr>
        <w:t xml:space="preserve">; IEC West Application at ¶ 17. </w:t>
      </w:r>
      <w:r w:rsidR="00984434" w:rsidRPr="00C74D34">
        <w:rPr>
          <w:szCs w:val="26"/>
        </w:rPr>
        <w:t xml:space="preserve"> </w:t>
      </w:r>
      <w:r w:rsidR="00C5581F" w:rsidRPr="00C74D34">
        <w:rPr>
          <w:szCs w:val="26"/>
        </w:rPr>
        <w:t xml:space="preserve">After evaluation and review of the IEC Project, the PJM Board approved Project 9A on August 2, 2016, as Baseline Upgrade Numbers b2743 and b2752, which includes the IEC Project.  </w:t>
      </w:r>
      <w:r w:rsidR="00B450F3" w:rsidRPr="00C74D34">
        <w:rPr>
          <w:szCs w:val="26"/>
        </w:rPr>
        <w:t xml:space="preserve">R.D. at </w:t>
      </w:r>
      <w:r w:rsidR="008A1DD5" w:rsidRPr="00C74D34">
        <w:rPr>
          <w:szCs w:val="26"/>
        </w:rPr>
        <w:t>3</w:t>
      </w:r>
      <w:r w:rsidR="00EF139B" w:rsidRPr="00C74D34">
        <w:rPr>
          <w:szCs w:val="26"/>
        </w:rPr>
        <w:t xml:space="preserve">.  </w:t>
      </w:r>
    </w:p>
    <w:p w14:paraId="16C0A091" w14:textId="77777777" w:rsidR="000705B9" w:rsidRPr="00C74D34" w:rsidRDefault="000705B9" w:rsidP="00B11342">
      <w:pPr>
        <w:rPr>
          <w:szCs w:val="26"/>
        </w:rPr>
      </w:pPr>
    </w:p>
    <w:p w14:paraId="04947130" w14:textId="348590F7" w:rsidR="00C5581F" w:rsidRPr="00C74D34" w:rsidRDefault="000705B9" w:rsidP="00B11342">
      <w:pPr>
        <w:ind w:firstLine="1440"/>
        <w:rPr>
          <w:szCs w:val="26"/>
        </w:rPr>
      </w:pPr>
      <w:r w:rsidRPr="00C74D34">
        <w:rPr>
          <w:szCs w:val="26"/>
        </w:rPr>
        <w:t xml:space="preserve">The Commission’s provisional approval of </w:t>
      </w:r>
      <w:proofErr w:type="spellStart"/>
      <w:r w:rsidRPr="00C74D34">
        <w:rPr>
          <w:szCs w:val="26"/>
        </w:rPr>
        <w:t>Transource’s</w:t>
      </w:r>
      <w:proofErr w:type="spellEnd"/>
      <w:r w:rsidRPr="00C74D34">
        <w:rPr>
          <w:szCs w:val="26"/>
        </w:rPr>
        <w:t xml:space="preserve"> CPC specifically references</w:t>
      </w:r>
      <w:r w:rsidR="00113779" w:rsidRPr="00C74D34">
        <w:rPr>
          <w:szCs w:val="26"/>
        </w:rPr>
        <w:t xml:space="preserve"> Project 9A </w:t>
      </w:r>
      <w:r w:rsidR="007E2AA8" w:rsidRPr="00C74D34">
        <w:rPr>
          <w:szCs w:val="26"/>
        </w:rPr>
        <w:t>as a proposed plan to</w:t>
      </w:r>
      <w:r w:rsidR="00113779" w:rsidRPr="00C74D34">
        <w:rPr>
          <w:szCs w:val="26"/>
        </w:rPr>
        <w:t xml:space="preserve"> resolve congestion on the AP South Reactive Interface</w:t>
      </w:r>
      <w:r w:rsidR="00B56701" w:rsidRPr="00C74D34">
        <w:rPr>
          <w:szCs w:val="26"/>
        </w:rPr>
        <w:t xml:space="preserve">, </w:t>
      </w:r>
      <w:r w:rsidR="009C1C5B" w:rsidRPr="00C74D34">
        <w:rPr>
          <w:szCs w:val="26"/>
        </w:rPr>
        <w:t xml:space="preserve">and </w:t>
      </w:r>
      <w:r w:rsidR="00B56701" w:rsidRPr="00C74D34">
        <w:rPr>
          <w:szCs w:val="26"/>
        </w:rPr>
        <w:t xml:space="preserve">as approved by PJM </w:t>
      </w:r>
      <w:r w:rsidR="0079353D" w:rsidRPr="00C74D34">
        <w:rPr>
          <w:szCs w:val="26"/>
        </w:rPr>
        <w:t>as Baseline Upgrade Numbers b2743 and b2752, which includes the IEC Project</w:t>
      </w:r>
      <w:r w:rsidR="002F42AE" w:rsidRPr="00C74D34">
        <w:rPr>
          <w:rStyle w:val="FootnoteReference"/>
          <w:szCs w:val="26"/>
        </w:rPr>
        <w:footnoteReference w:id="5"/>
      </w:r>
      <w:r w:rsidR="0079353D" w:rsidRPr="00C74D34">
        <w:rPr>
          <w:szCs w:val="26"/>
        </w:rPr>
        <w:t xml:space="preserve">.  </w:t>
      </w:r>
      <w:r w:rsidR="00EE4B6A" w:rsidRPr="00C74D34">
        <w:rPr>
          <w:rFonts w:eastAsiaTheme="minorHAnsi"/>
          <w:color w:val="auto"/>
          <w:szCs w:val="26"/>
        </w:rPr>
        <w:t xml:space="preserve">R.D. at 13-15.  </w:t>
      </w:r>
      <w:r w:rsidR="00FB5013" w:rsidRPr="00C74D34">
        <w:rPr>
          <w:rFonts w:eastAsiaTheme="minorHAnsi"/>
          <w:i/>
          <w:color w:val="auto"/>
        </w:rPr>
        <w:t>See</w:t>
      </w:r>
      <w:r w:rsidR="00FB5013" w:rsidRPr="00C74D34">
        <w:rPr>
          <w:rFonts w:eastAsiaTheme="minorHAnsi"/>
          <w:color w:val="auto"/>
          <w:szCs w:val="26"/>
        </w:rPr>
        <w:t xml:space="preserve"> </w:t>
      </w:r>
      <w:r w:rsidR="00FB5013" w:rsidRPr="00C74D34">
        <w:rPr>
          <w:i/>
          <w:szCs w:val="26"/>
        </w:rPr>
        <w:t xml:space="preserve">Application of </w:t>
      </w:r>
      <w:proofErr w:type="spellStart"/>
      <w:r w:rsidR="00FB5013" w:rsidRPr="00C74D34">
        <w:rPr>
          <w:i/>
          <w:szCs w:val="26"/>
        </w:rPr>
        <w:t>Transource</w:t>
      </w:r>
      <w:proofErr w:type="spellEnd"/>
      <w:r w:rsidR="00FB5013" w:rsidRPr="00C74D34">
        <w:rPr>
          <w:i/>
          <w:szCs w:val="26"/>
        </w:rPr>
        <w:t xml:space="preserve"> Pennsylvania, LLC </w:t>
      </w:r>
      <w:r w:rsidR="00892BFC" w:rsidRPr="00C74D34">
        <w:rPr>
          <w:iCs/>
          <w:szCs w:val="26"/>
        </w:rPr>
        <w:t xml:space="preserve">at </w:t>
      </w:r>
      <w:r w:rsidR="00FB5013" w:rsidRPr="00C74D34">
        <w:rPr>
          <w:szCs w:val="26"/>
        </w:rPr>
        <w:t>Docket No. A-2017-2587821, Docket No. G-2587822 (Opinion and Order entered Jan. 23, 2018)</w:t>
      </w:r>
    </w:p>
    <w:p w14:paraId="4DC6DF68" w14:textId="77777777" w:rsidR="00C5581F" w:rsidRPr="00C74D34" w:rsidRDefault="00C5581F" w:rsidP="00B11342">
      <w:pPr>
        <w:rPr>
          <w:szCs w:val="26"/>
        </w:rPr>
      </w:pPr>
      <w:r w:rsidRPr="00C74D34">
        <w:rPr>
          <w:szCs w:val="26"/>
        </w:rPr>
        <w:t xml:space="preserve"> </w:t>
      </w:r>
    </w:p>
    <w:p w14:paraId="1C697D84" w14:textId="0A7028F4" w:rsidR="00E5306B" w:rsidRPr="00C74D34" w:rsidRDefault="0038761D" w:rsidP="00B11342">
      <w:pPr>
        <w:ind w:firstLine="1440"/>
        <w:rPr>
          <w:color w:val="auto"/>
          <w:szCs w:val="26"/>
          <w:highlight w:val="yellow"/>
        </w:rPr>
      </w:pPr>
      <w:r w:rsidRPr="00C74D34">
        <w:rPr>
          <w:color w:val="auto"/>
          <w:szCs w:val="26"/>
        </w:rPr>
        <w:t xml:space="preserve">This Opinion and Order </w:t>
      </w:r>
      <w:r w:rsidR="00A26D3D" w:rsidRPr="00C74D34">
        <w:rPr>
          <w:color w:val="auto"/>
          <w:szCs w:val="26"/>
        </w:rPr>
        <w:t xml:space="preserve">addresses those matters for which </w:t>
      </w:r>
      <w:proofErr w:type="spellStart"/>
      <w:r w:rsidR="001E1F2E" w:rsidRPr="00C74D34">
        <w:rPr>
          <w:color w:val="auto"/>
          <w:szCs w:val="26"/>
        </w:rPr>
        <w:t>Transource</w:t>
      </w:r>
      <w:proofErr w:type="spellEnd"/>
      <w:r w:rsidR="001E1F2E" w:rsidRPr="00C74D34">
        <w:rPr>
          <w:color w:val="auto"/>
          <w:szCs w:val="26"/>
        </w:rPr>
        <w:t xml:space="preserve"> </w:t>
      </w:r>
      <w:r w:rsidR="005F68E2" w:rsidRPr="00C74D34">
        <w:rPr>
          <w:color w:val="auto"/>
          <w:szCs w:val="26"/>
        </w:rPr>
        <w:t xml:space="preserve">is required to </w:t>
      </w:r>
      <w:r w:rsidR="001E1F2E" w:rsidRPr="00C74D34">
        <w:rPr>
          <w:color w:val="auto"/>
          <w:szCs w:val="26"/>
        </w:rPr>
        <w:t xml:space="preserve">seek approval </w:t>
      </w:r>
      <w:r w:rsidR="00F82318" w:rsidRPr="00C74D34">
        <w:rPr>
          <w:color w:val="auto"/>
          <w:szCs w:val="26"/>
        </w:rPr>
        <w:t>from t</w:t>
      </w:r>
      <w:r w:rsidR="005F68E2" w:rsidRPr="00C74D34">
        <w:rPr>
          <w:color w:val="auto"/>
          <w:szCs w:val="26"/>
        </w:rPr>
        <w:t xml:space="preserve">his </w:t>
      </w:r>
      <w:r w:rsidR="00F82318" w:rsidRPr="00C74D34">
        <w:rPr>
          <w:color w:val="auto"/>
          <w:szCs w:val="26"/>
        </w:rPr>
        <w:t>Commission for</w:t>
      </w:r>
      <w:r w:rsidR="001E1F2E" w:rsidRPr="00C74D34">
        <w:rPr>
          <w:color w:val="auto"/>
          <w:szCs w:val="26"/>
        </w:rPr>
        <w:t xml:space="preserve"> </w:t>
      </w:r>
      <w:r w:rsidR="00FC2863" w:rsidRPr="00C74D34">
        <w:rPr>
          <w:color w:val="auto"/>
          <w:szCs w:val="26"/>
        </w:rPr>
        <w:t xml:space="preserve">state-specific </w:t>
      </w:r>
      <w:r w:rsidR="00A26D3D" w:rsidRPr="00C74D34">
        <w:rPr>
          <w:color w:val="auto"/>
          <w:szCs w:val="26"/>
        </w:rPr>
        <w:t xml:space="preserve">authority to </w:t>
      </w:r>
      <w:r w:rsidR="00E82B2A" w:rsidRPr="00C74D34">
        <w:rPr>
          <w:color w:val="auto"/>
          <w:szCs w:val="26"/>
        </w:rPr>
        <w:t xml:space="preserve">proceed with the </w:t>
      </w:r>
      <w:r w:rsidR="001E1F2E" w:rsidRPr="00C74D34">
        <w:rPr>
          <w:color w:val="auto"/>
          <w:szCs w:val="26"/>
        </w:rPr>
        <w:t>Pennsylva</w:t>
      </w:r>
      <w:r w:rsidR="00CA5506" w:rsidRPr="00C74D34">
        <w:rPr>
          <w:color w:val="auto"/>
          <w:szCs w:val="26"/>
        </w:rPr>
        <w:t xml:space="preserve">nia portion of </w:t>
      </w:r>
      <w:r w:rsidR="00E82B2A" w:rsidRPr="00C74D34">
        <w:rPr>
          <w:color w:val="auto"/>
          <w:szCs w:val="26"/>
        </w:rPr>
        <w:t xml:space="preserve">proposed </w:t>
      </w:r>
      <w:r w:rsidR="00D34B02" w:rsidRPr="00C74D34">
        <w:rPr>
          <w:color w:val="auto"/>
          <w:szCs w:val="26"/>
        </w:rPr>
        <w:t>P</w:t>
      </w:r>
      <w:r w:rsidR="00CA5506" w:rsidRPr="00C74D34">
        <w:rPr>
          <w:color w:val="auto"/>
          <w:szCs w:val="26"/>
        </w:rPr>
        <w:t>roject</w:t>
      </w:r>
      <w:r w:rsidR="00D34B02" w:rsidRPr="00C74D34">
        <w:rPr>
          <w:color w:val="auto"/>
          <w:szCs w:val="26"/>
        </w:rPr>
        <w:t xml:space="preserve"> 9A</w:t>
      </w:r>
      <w:r w:rsidR="00FC2863" w:rsidRPr="00C74D34">
        <w:rPr>
          <w:color w:val="auto"/>
          <w:szCs w:val="26"/>
        </w:rPr>
        <w:t>,</w:t>
      </w:r>
      <w:r w:rsidR="00F77559" w:rsidRPr="00C74D34">
        <w:rPr>
          <w:color w:val="auto"/>
          <w:szCs w:val="26"/>
        </w:rPr>
        <w:t xml:space="preserve"> which turn upon </w:t>
      </w:r>
      <w:r w:rsidR="00FC2863" w:rsidRPr="00C74D34">
        <w:rPr>
          <w:color w:val="auto"/>
          <w:szCs w:val="26"/>
        </w:rPr>
        <w:t>the Commission’s determination whether</w:t>
      </w:r>
      <w:r w:rsidR="00004252" w:rsidRPr="00C74D34">
        <w:rPr>
          <w:color w:val="auto"/>
          <w:szCs w:val="26"/>
        </w:rPr>
        <w:t xml:space="preserve">, pursuant to the applicable </w:t>
      </w:r>
      <w:r w:rsidR="000139F7" w:rsidRPr="00C74D34">
        <w:rPr>
          <w:color w:val="auto"/>
          <w:szCs w:val="26"/>
        </w:rPr>
        <w:t xml:space="preserve">provisions of the </w:t>
      </w:r>
      <w:r w:rsidR="00155E7C" w:rsidRPr="00C74D34">
        <w:rPr>
          <w:color w:val="auto"/>
          <w:szCs w:val="26"/>
        </w:rPr>
        <w:t>Pennsylvania</w:t>
      </w:r>
      <w:r w:rsidR="000139F7" w:rsidRPr="00C74D34">
        <w:rPr>
          <w:color w:val="auto"/>
          <w:szCs w:val="26"/>
        </w:rPr>
        <w:t xml:space="preserve"> Public Utility Code and Commission Regulations, </w:t>
      </w:r>
      <w:proofErr w:type="spellStart"/>
      <w:r w:rsidR="00E46B57" w:rsidRPr="00C74D34">
        <w:rPr>
          <w:color w:val="auto"/>
          <w:szCs w:val="26"/>
        </w:rPr>
        <w:t>Transource</w:t>
      </w:r>
      <w:proofErr w:type="spellEnd"/>
      <w:r w:rsidR="00E46B57" w:rsidRPr="00C74D34">
        <w:rPr>
          <w:color w:val="auto"/>
          <w:szCs w:val="26"/>
        </w:rPr>
        <w:t xml:space="preserve"> has established </w:t>
      </w:r>
      <w:r w:rsidR="00364881" w:rsidRPr="00C74D34">
        <w:rPr>
          <w:color w:val="auto"/>
          <w:szCs w:val="26"/>
        </w:rPr>
        <w:t xml:space="preserve">a need for the project by a </w:t>
      </w:r>
      <w:r w:rsidR="00E46B57" w:rsidRPr="00C74D34">
        <w:rPr>
          <w:color w:val="auto"/>
          <w:szCs w:val="26"/>
        </w:rPr>
        <w:t>prepondera</w:t>
      </w:r>
      <w:r w:rsidR="00364881" w:rsidRPr="00C74D34">
        <w:rPr>
          <w:color w:val="auto"/>
          <w:szCs w:val="26"/>
        </w:rPr>
        <w:t>nce of the evidence</w:t>
      </w:r>
      <w:r w:rsidR="00BE04EA" w:rsidRPr="00C74D34">
        <w:rPr>
          <w:color w:val="auto"/>
          <w:szCs w:val="26"/>
        </w:rPr>
        <w:t xml:space="preserve">.  </w:t>
      </w:r>
    </w:p>
    <w:p w14:paraId="41BCA2AE" w14:textId="4D728D24" w:rsidR="003949AE" w:rsidRPr="00C74D34" w:rsidRDefault="003949AE" w:rsidP="00B11342">
      <w:pPr>
        <w:pStyle w:val="NoSpacing"/>
        <w:tabs>
          <w:tab w:val="clear" w:pos="1440"/>
        </w:tabs>
        <w:spacing w:line="360" w:lineRule="auto"/>
        <w:jc w:val="center"/>
        <w:rPr>
          <w:b/>
          <w:bCs/>
          <w:sz w:val="26"/>
          <w:szCs w:val="26"/>
        </w:rPr>
      </w:pPr>
    </w:p>
    <w:p w14:paraId="63D2687D" w14:textId="7BC3C862" w:rsidR="00FD508B" w:rsidRPr="00C74D34" w:rsidRDefault="009004B3" w:rsidP="00B11342">
      <w:pPr>
        <w:pStyle w:val="Heading1"/>
      </w:pPr>
      <w:bookmarkStart w:id="3" w:name="_Toc70516601"/>
      <w:r w:rsidRPr="00C74D34">
        <w:t>II.</w:t>
      </w:r>
      <w:r w:rsidRPr="00C74D34">
        <w:tab/>
      </w:r>
      <w:r w:rsidR="00FD508B" w:rsidRPr="00C74D34">
        <w:t>H</w:t>
      </w:r>
      <w:r w:rsidR="008561C3" w:rsidRPr="00C74D34">
        <w:t>istory of the Proceedi</w:t>
      </w:r>
      <w:r w:rsidR="00A4754C" w:rsidRPr="00C74D34">
        <w:t>ng</w:t>
      </w:r>
      <w:bookmarkEnd w:id="3"/>
    </w:p>
    <w:bookmarkEnd w:id="2"/>
    <w:p w14:paraId="19FF7BF9" w14:textId="77777777" w:rsidR="00FD508B" w:rsidRPr="00C74D34" w:rsidRDefault="00FD508B" w:rsidP="00B11342">
      <w:pPr>
        <w:keepNext/>
        <w:ind w:left="91"/>
        <w:jc w:val="center"/>
        <w:rPr>
          <w:szCs w:val="26"/>
        </w:rPr>
      </w:pPr>
      <w:r w:rsidRPr="00C74D34">
        <w:rPr>
          <w:szCs w:val="26"/>
        </w:rPr>
        <w:t xml:space="preserve"> </w:t>
      </w:r>
    </w:p>
    <w:p w14:paraId="7943BCE5" w14:textId="7CB850F0" w:rsidR="00FD508B" w:rsidRPr="00C74D34" w:rsidRDefault="00FD508B" w:rsidP="00B11342">
      <w:pPr>
        <w:keepNext/>
        <w:tabs>
          <w:tab w:val="center" w:pos="5364"/>
        </w:tabs>
        <w:ind w:firstLine="1440"/>
        <w:rPr>
          <w:szCs w:val="26"/>
        </w:rPr>
      </w:pPr>
      <w:r w:rsidRPr="00C74D34">
        <w:rPr>
          <w:szCs w:val="26"/>
        </w:rPr>
        <w:t xml:space="preserve">On February 8, 2017, </w:t>
      </w:r>
      <w:proofErr w:type="spellStart"/>
      <w:r w:rsidRPr="00C74D34">
        <w:rPr>
          <w:szCs w:val="26"/>
        </w:rPr>
        <w:t>Transource</w:t>
      </w:r>
      <w:proofErr w:type="spellEnd"/>
      <w:r w:rsidRPr="00C74D34">
        <w:rPr>
          <w:szCs w:val="26"/>
        </w:rPr>
        <w:t xml:space="preserve"> </w:t>
      </w:r>
      <w:r w:rsidR="00C01091" w:rsidRPr="00C74D34">
        <w:rPr>
          <w:szCs w:val="26"/>
        </w:rPr>
        <w:t>f</w:t>
      </w:r>
      <w:r w:rsidRPr="00C74D34">
        <w:rPr>
          <w:szCs w:val="26"/>
        </w:rPr>
        <w:t>iled an Application for All of the Necessary Authority, Approvals, and Certificates of Public Convenience:</w:t>
      </w:r>
      <w:r w:rsidR="001F364B" w:rsidRPr="00C74D34">
        <w:rPr>
          <w:szCs w:val="26"/>
        </w:rPr>
        <w:t xml:space="preserve"> </w:t>
      </w:r>
      <w:r w:rsidRPr="00C74D34">
        <w:rPr>
          <w:szCs w:val="26"/>
        </w:rPr>
        <w:t xml:space="preserve"> (1) to Begin to </w:t>
      </w:r>
      <w:r w:rsidRPr="00C74D34">
        <w:rPr>
          <w:szCs w:val="26"/>
        </w:rPr>
        <w:lastRenderedPageBreak/>
        <w:t>Furnish and Supply Electric Transmission Service in Franklin and York Counties, Pennsylvania; (2) for Certain Affiliated Interest Agreements; and (3) for any Other Approvals Necessary to Complete the Contemplated Transactions at Docket Nos. A</w:t>
      </w:r>
      <w:r w:rsidR="00852B72" w:rsidRPr="00C74D34">
        <w:rPr>
          <w:szCs w:val="26"/>
        </w:rPr>
        <w:noBreakHyphen/>
      </w:r>
      <w:r w:rsidRPr="00C74D34">
        <w:rPr>
          <w:szCs w:val="26"/>
        </w:rPr>
        <w:t>2017</w:t>
      </w:r>
      <w:r w:rsidR="00687B4E" w:rsidRPr="00C74D34">
        <w:rPr>
          <w:szCs w:val="26"/>
        </w:rPr>
        <w:t>-</w:t>
      </w:r>
      <w:r w:rsidRPr="00C74D34">
        <w:rPr>
          <w:szCs w:val="26"/>
        </w:rPr>
        <w:t xml:space="preserve">2587821 and G-2017-2587822.  After a Joint Petition for Full Settlement was filed in those cases, an Initial Decision was issued on September 14, 2017, granting </w:t>
      </w:r>
      <w:proofErr w:type="spellStart"/>
      <w:r w:rsidRPr="00C74D34">
        <w:rPr>
          <w:szCs w:val="26"/>
        </w:rPr>
        <w:t>Transource’s</w:t>
      </w:r>
      <w:proofErr w:type="spellEnd"/>
      <w:r w:rsidRPr="00C74D34">
        <w:rPr>
          <w:szCs w:val="26"/>
        </w:rPr>
        <w:t xml:space="preserve"> Application and directing a certificate of public convenience be issued conferring upon </w:t>
      </w:r>
      <w:r w:rsidR="00B11342" w:rsidRPr="00C74D34">
        <w:rPr>
          <w:szCs w:val="26"/>
        </w:rPr>
        <w:t>its</w:t>
      </w:r>
      <w:r w:rsidRPr="00C74D34">
        <w:rPr>
          <w:szCs w:val="26"/>
        </w:rPr>
        <w:t xml:space="preserve"> public utility status pursuant to the terms of the Joint Petition for Full Settlement.  No exceptions were filed to the Initial Decision; however, on September</w:t>
      </w:r>
      <w:r w:rsidR="00852B72" w:rsidRPr="00C74D34">
        <w:rPr>
          <w:szCs w:val="26"/>
        </w:rPr>
        <w:t> </w:t>
      </w:r>
      <w:r w:rsidRPr="00C74D34">
        <w:rPr>
          <w:szCs w:val="26"/>
        </w:rPr>
        <w:t>21,</w:t>
      </w:r>
      <w:r w:rsidR="00852B72" w:rsidRPr="00C74D34">
        <w:rPr>
          <w:szCs w:val="26"/>
        </w:rPr>
        <w:t> </w:t>
      </w:r>
      <w:r w:rsidRPr="00C74D34">
        <w:rPr>
          <w:szCs w:val="26"/>
        </w:rPr>
        <w:t xml:space="preserve">2017, </w:t>
      </w:r>
      <w:proofErr w:type="spellStart"/>
      <w:r w:rsidRPr="00C74D34">
        <w:rPr>
          <w:szCs w:val="26"/>
        </w:rPr>
        <w:t>Transource</w:t>
      </w:r>
      <w:proofErr w:type="spellEnd"/>
      <w:r w:rsidRPr="00C74D34">
        <w:rPr>
          <w:szCs w:val="26"/>
        </w:rPr>
        <w:t xml:space="preserve"> and the OCA filed a letter clarifying that under the </w:t>
      </w:r>
      <w:r w:rsidR="00DA5E52" w:rsidRPr="00C74D34">
        <w:rPr>
          <w:szCs w:val="26"/>
        </w:rPr>
        <w:t xml:space="preserve">proposed </w:t>
      </w:r>
      <w:r w:rsidRPr="00C74D34">
        <w:rPr>
          <w:szCs w:val="26"/>
        </w:rPr>
        <w:t xml:space="preserve">Settlement, all parties reserved the right to challenge the need for the Independence Project when </w:t>
      </w:r>
      <w:proofErr w:type="spellStart"/>
      <w:r w:rsidRPr="00C74D34">
        <w:rPr>
          <w:szCs w:val="26"/>
        </w:rPr>
        <w:t>Transource</w:t>
      </w:r>
      <w:proofErr w:type="spellEnd"/>
      <w:r w:rsidRPr="00C74D34">
        <w:rPr>
          <w:szCs w:val="26"/>
        </w:rPr>
        <w:t xml:space="preserve"> files a siting application with the Commission or to challenge any other project proposed by </w:t>
      </w:r>
      <w:proofErr w:type="spellStart"/>
      <w:r w:rsidRPr="00C74D34">
        <w:rPr>
          <w:szCs w:val="26"/>
        </w:rPr>
        <w:t>Transource</w:t>
      </w:r>
      <w:proofErr w:type="spellEnd"/>
      <w:r w:rsidRPr="00C74D34">
        <w:rPr>
          <w:szCs w:val="26"/>
        </w:rPr>
        <w:t xml:space="preserve">.  </w:t>
      </w:r>
      <w:r w:rsidR="00DA5E52" w:rsidRPr="00C74D34">
        <w:rPr>
          <w:szCs w:val="26"/>
        </w:rPr>
        <w:t xml:space="preserve">On December 23, 2017, the Commission approved the proposed </w:t>
      </w:r>
      <w:r w:rsidR="001A2498" w:rsidRPr="00C74D34">
        <w:rPr>
          <w:szCs w:val="26"/>
        </w:rPr>
        <w:t>S</w:t>
      </w:r>
      <w:r w:rsidR="00DA5E52" w:rsidRPr="00C74D34">
        <w:rPr>
          <w:szCs w:val="26"/>
        </w:rPr>
        <w:t xml:space="preserve">ettlement of </w:t>
      </w:r>
      <w:proofErr w:type="spellStart"/>
      <w:r w:rsidR="00DA5E52" w:rsidRPr="00C74D34">
        <w:rPr>
          <w:szCs w:val="26"/>
        </w:rPr>
        <w:t>Transource's</w:t>
      </w:r>
      <w:proofErr w:type="spellEnd"/>
      <w:r w:rsidR="00DA5E52" w:rsidRPr="00C74D34">
        <w:rPr>
          <w:szCs w:val="26"/>
        </w:rPr>
        <w:t xml:space="preserve"> Application for Certification under Docket Nos. A-2017-2587821 and G-2017-2587822, confirming that </w:t>
      </w:r>
      <w:proofErr w:type="spellStart"/>
      <w:r w:rsidR="00DA5E52" w:rsidRPr="00C74D34">
        <w:rPr>
          <w:szCs w:val="26"/>
        </w:rPr>
        <w:t>Transource</w:t>
      </w:r>
      <w:proofErr w:type="spellEnd"/>
      <w:r w:rsidR="00DA5E52" w:rsidRPr="00C74D34">
        <w:rPr>
          <w:szCs w:val="26"/>
        </w:rPr>
        <w:t xml:space="preserve"> was "a new type of entity in this Commonwealth" that was formed solely to carry out a particular market efficiency project.</w:t>
      </w:r>
    </w:p>
    <w:p w14:paraId="36B29B4C" w14:textId="77777777" w:rsidR="00FD508B" w:rsidRPr="00C74D34" w:rsidRDefault="00FD508B" w:rsidP="00B11342">
      <w:pPr>
        <w:spacing w:after="112"/>
        <w:ind w:left="91"/>
        <w:rPr>
          <w:szCs w:val="26"/>
        </w:rPr>
      </w:pPr>
      <w:r w:rsidRPr="00C74D34">
        <w:rPr>
          <w:szCs w:val="26"/>
        </w:rPr>
        <w:t xml:space="preserve"> </w:t>
      </w:r>
    </w:p>
    <w:p w14:paraId="13E222B3" w14:textId="6AF103A0" w:rsidR="00107A82" w:rsidRPr="00C74D34" w:rsidRDefault="00FD508B" w:rsidP="00B11342">
      <w:pPr>
        <w:ind w:firstLine="1440"/>
        <w:rPr>
          <w:szCs w:val="26"/>
        </w:rPr>
      </w:pPr>
      <w:r w:rsidRPr="00C74D34">
        <w:rPr>
          <w:szCs w:val="26"/>
        </w:rPr>
        <w:t xml:space="preserve">At Public Meeting held on December 21, 2017, Commissioner David W. Sweet moved to grant </w:t>
      </w:r>
      <w:proofErr w:type="spellStart"/>
      <w:r w:rsidRPr="00C74D34">
        <w:rPr>
          <w:szCs w:val="26"/>
        </w:rPr>
        <w:t>Transource</w:t>
      </w:r>
      <w:proofErr w:type="spellEnd"/>
      <w:r w:rsidRPr="00C74D34">
        <w:rPr>
          <w:szCs w:val="26"/>
        </w:rPr>
        <w:t xml:space="preserve"> a certificate of public convenience, giving the Company the right to file a siting application.  </w:t>
      </w:r>
      <w:r w:rsidR="00570069" w:rsidRPr="00C74D34">
        <w:rPr>
          <w:szCs w:val="26"/>
        </w:rPr>
        <w:t xml:space="preserve">Thereafter, </w:t>
      </w:r>
      <w:r w:rsidR="00570069" w:rsidRPr="00C74D34">
        <w:t>b</w:t>
      </w:r>
      <w:r w:rsidRPr="00C74D34">
        <w:t>efore an Order consistent with the passed Motion was entered</w:t>
      </w:r>
      <w:r w:rsidRPr="00C74D34">
        <w:rPr>
          <w:szCs w:val="26"/>
        </w:rPr>
        <w:t xml:space="preserve">, on December 27, 2017, </w:t>
      </w:r>
      <w:proofErr w:type="spellStart"/>
      <w:r w:rsidRPr="00C74D34">
        <w:rPr>
          <w:szCs w:val="26"/>
        </w:rPr>
        <w:t>Transource</w:t>
      </w:r>
      <w:proofErr w:type="spellEnd"/>
      <w:r w:rsidRPr="00C74D34">
        <w:rPr>
          <w:szCs w:val="26"/>
        </w:rPr>
        <w:t xml:space="preserve"> filed </w:t>
      </w:r>
      <w:r w:rsidR="00653B92" w:rsidRPr="00C74D34">
        <w:rPr>
          <w:szCs w:val="26"/>
        </w:rPr>
        <w:t xml:space="preserve">two </w:t>
      </w:r>
      <w:r w:rsidR="00DA5E52" w:rsidRPr="00C74D34">
        <w:rPr>
          <w:szCs w:val="26"/>
        </w:rPr>
        <w:t>S</w:t>
      </w:r>
      <w:r w:rsidR="00653B92" w:rsidRPr="00C74D34">
        <w:rPr>
          <w:szCs w:val="26"/>
        </w:rPr>
        <w:t>iting</w:t>
      </w:r>
      <w:r w:rsidRPr="00C74D34">
        <w:rPr>
          <w:szCs w:val="26"/>
        </w:rPr>
        <w:t xml:space="preserve"> </w:t>
      </w:r>
      <w:r w:rsidR="00DA5E52" w:rsidRPr="00C74D34">
        <w:rPr>
          <w:szCs w:val="26"/>
        </w:rPr>
        <w:t>A</w:t>
      </w:r>
      <w:r w:rsidRPr="00C74D34">
        <w:rPr>
          <w:szCs w:val="26"/>
        </w:rPr>
        <w:t>pplication</w:t>
      </w:r>
      <w:r w:rsidR="00653B92" w:rsidRPr="00C74D34">
        <w:rPr>
          <w:szCs w:val="26"/>
        </w:rPr>
        <w:t xml:space="preserve">s.  The first </w:t>
      </w:r>
      <w:r w:rsidR="00DA5E52" w:rsidRPr="00C74D34">
        <w:rPr>
          <w:szCs w:val="26"/>
        </w:rPr>
        <w:t xml:space="preserve">application </w:t>
      </w:r>
      <w:r w:rsidR="00653B92" w:rsidRPr="00C74D34">
        <w:rPr>
          <w:szCs w:val="26"/>
        </w:rPr>
        <w:t>sought</w:t>
      </w:r>
      <w:r w:rsidRPr="00C74D34">
        <w:rPr>
          <w:szCs w:val="26"/>
        </w:rPr>
        <w:t xml:space="preserve"> authorization </w:t>
      </w:r>
      <w:r w:rsidR="00570069" w:rsidRPr="00C74D34">
        <w:rPr>
          <w:szCs w:val="26"/>
        </w:rPr>
        <w:t xml:space="preserve">for the siting and construction of </w:t>
      </w:r>
      <w:r w:rsidRPr="00C74D34">
        <w:rPr>
          <w:szCs w:val="26"/>
        </w:rPr>
        <w:t>a new 230 kV transmission line in York County, Docket No. A-2017-2640195 (known as the East Project</w:t>
      </w:r>
      <w:r w:rsidR="00E77B0D" w:rsidRPr="00C74D34">
        <w:rPr>
          <w:szCs w:val="26"/>
        </w:rPr>
        <w:t xml:space="preserve"> or East Portion</w:t>
      </w:r>
      <w:r w:rsidRPr="00C74D34">
        <w:rPr>
          <w:szCs w:val="26"/>
        </w:rPr>
        <w:t>)</w:t>
      </w:r>
      <w:r w:rsidR="00653B92" w:rsidRPr="00C74D34">
        <w:rPr>
          <w:szCs w:val="26"/>
        </w:rPr>
        <w:t>,</w:t>
      </w:r>
      <w:r w:rsidRPr="00C74D34">
        <w:rPr>
          <w:szCs w:val="26"/>
        </w:rPr>
        <w:t xml:space="preserve"> and </w:t>
      </w:r>
      <w:r w:rsidR="00653B92" w:rsidRPr="00C74D34">
        <w:rPr>
          <w:szCs w:val="26"/>
        </w:rPr>
        <w:t>the second a</w:t>
      </w:r>
      <w:r w:rsidRPr="00C74D34">
        <w:rPr>
          <w:szCs w:val="26"/>
        </w:rPr>
        <w:t xml:space="preserve">pplication </w:t>
      </w:r>
      <w:r w:rsidR="00570069" w:rsidRPr="00C74D34">
        <w:rPr>
          <w:szCs w:val="26"/>
        </w:rPr>
        <w:t>s</w:t>
      </w:r>
      <w:r w:rsidR="00653B92" w:rsidRPr="00C74D34">
        <w:rPr>
          <w:szCs w:val="26"/>
        </w:rPr>
        <w:t>ought</w:t>
      </w:r>
      <w:r w:rsidR="00570069" w:rsidRPr="00C74D34">
        <w:rPr>
          <w:szCs w:val="26"/>
        </w:rPr>
        <w:t xml:space="preserve"> authorization for the siting and construction of </w:t>
      </w:r>
      <w:r w:rsidRPr="00C74D34">
        <w:rPr>
          <w:szCs w:val="26"/>
        </w:rPr>
        <w:t>a new 230 kV transmission line in Franklin County, P</w:t>
      </w:r>
      <w:r w:rsidR="00687B4E" w:rsidRPr="00C74D34">
        <w:rPr>
          <w:szCs w:val="26"/>
        </w:rPr>
        <w:t>A</w:t>
      </w:r>
      <w:r w:rsidRPr="00C74D34">
        <w:rPr>
          <w:szCs w:val="26"/>
        </w:rPr>
        <w:t xml:space="preserve"> at Docket No. A-2017-2640200 (known as the West Proje</w:t>
      </w:r>
      <w:r w:rsidR="00570069" w:rsidRPr="00C74D34">
        <w:rPr>
          <w:szCs w:val="26"/>
        </w:rPr>
        <w:t>ct</w:t>
      </w:r>
      <w:r w:rsidR="00E77B0D" w:rsidRPr="00C74D34">
        <w:rPr>
          <w:szCs w:val="26"/>
        </w:rPr>
        <w:t xml:space="preserve"> or West Portion</w:t>
      </w:r>
      <w:r w:rsidRPr="00C74D34">
        <w:rPr>
          <w:szCs w:val="26"/>
        </w:rPr>
        <w:t>).</w:t>
      </w:r>
      <w:r w:rsidR="00570069" w:rsidRPr="00C74D34">
        <w:rPr>
          <w:szCs w:val="26"/>
        </w:rPr>
        <w:t xml:space="preserve">  These two segments </w:t>
      </w:r>
      <w:r w:rsidR="00211DE1" w:rsidRPr="00C74D34">
        <w:rPr>
          <w:szCs w:val="26"/>
        </w:rPr>
        <w:t xml:space="preserve">were the Pennsylvania portions of new electric transmission lines related to a </w:t>
      </w:r>
      <w:r w:rsidR="00211DE1" w:rsidRPr="00C74D34">
        <w:rPr>
          <w:szCs w:val="26"/>
        </w:rPr>
        <w:lastRenderedPageBreak/>
        <w:t>project known as the IEC Project</w:t>
      </w:r>
      <w:r w:rsidR="00274885" w:rsidRPr="00C74D34">
        <w:rPr>
          <w:szCs w:val="26"/>
        </w:rPr>
        <w:t>.</w:t>
      </w:r>
      <w:r w:rsidR="002F42AE" w:rsidRPr="00C74D34">
        <w:rPr>
          <w:szCs w:val="26"/>
        </w:rPr>
        <w:t xml:space="preserve"> </w:t>
      </w:r>
      <w:r w:rsidR="00274885" w:rsidRPr="00C74D34">
        <w:rPr>
          <w:szCs w:val="26"/>
        </w:rPr>
        <w:t xml:space="preserve"> The two Pennsylvania segments of the project are also referred to </w:t>
      </w:r>
      <w:r w:rsidR="00E77B0D" w:rsidRPr="00C74D34">
        <w:rPr>
          <w:szCs w:val="26"/>
        </w:rPr>
        <w:t xml:space="preserve">collectively </w:t>
      </w:r>
      <w:r w:rsidR="00107A82" w:rsidRPr="00C74D34">
        <w:rPr>
          <w:szCs w:val="26"/>
        </w:rPr>
        <w:t>as Project 9A.</w:t>
      </w:r>
    </w:p>
    <w:p w14:paraId="039C6B5E" w14:textId="22CFB151" w:rsidR="002C4869" w:rsidRPr="00C74D34" w:rsidRDefault="002C4869" w:rsidP="00B11342">
      <w:pPr>
        <w:ind w:left="14" w:firstLine="1426"/>
        <w:rPr>
          <w:szCs w:val="26"/>
        </w:rPr>
      </w:pPr>
    </w:p>
    <w:p w14:paraId="14D244CC" w14:textId="6F64E3F0" w:rsidR="002C4869" w:rsidRPr="00C74D34" w:rsidRDefault="002C4869" w:rsidP="00B11342">
      <w:pPr>
        <w:ind w:firstLine="1440"/>
        <w:rPr>
          <w:szCs w:val="26"/>
        </w:rPr>
      </w:pPr>
      <w:r w:rsidRPr="00C74D34">
        <w:rPr>
          <w:szCs w:val="26"/>
        </w:rPr>
        <w:t xml:space="preserve">A Notice of Prehearing Conference was issued on January 4, 2018, assigning as presiding officers to this proceeding ALJ Elizabeth Barnes and Andrew </w:t>
      </w:r>
      <w:proofErr w:type="spellStart"/>
      <w:r w:rsidRPr="00C74D34">
        <w:rPr>
          <w:szCs w:val="26"/>
        </w:rPr>
        <w:t>Calvelli</w:t>
      </w:r>
      <w:proofErr w:type="spellEnd"/>
      <w:r w:rsidRPr="00C74D34">
        <w:rPr>
          <w:szCs w:val="26"/>
        </w:rPr>
        <w:t>.</w:t>
      </w:r>
      <w:r w:rsidRPr="00C74D34">
        <w:rPr>
          <w:szCs w:val="26"/>
          <w:vertAlign w:val="superscript"/>
        </w:rPr>
        <w:footnoteReference w:id="6"/>
      </w:r>
      <w:r w:rsidRPr="00C74D34">
        <w:rPr>
          <w:szCs w:val="26"/>
        </w:rPr>
        <w:t xml:space="preserve">  On January 8, 2018, a public input hearing </w:t>
      </w:r>
      <w:r w:rsidR="00107A82" w:rsidRPr="00C74D34">
        <w:rPr>
          <w:szCs w:val="26"/>
        </w:rPr>
        <w:t xml:space="preserve">was </w:t>
      </w:r>
      <w:r w:rsidRPr="00C74D34">
        <w:rPr>
          <w:szCs w:val="26"/>
        </w:rPr>
        <w:t xml:space="preserve">held in Southern York County regarding the proposed high voltage transmission line at Docket No. A-2017-2640195.  On January 10, 2018, </w:t>
      </w:r>
      <w:r w:rsidR="00906677" w:rsidRPr="00C74D34">
        <w:rPr>
          <w:szCs w:val="26"/>
        </w:rPr>
        <w:t xml:space="preserve">the </w:t>
      </w:r>
      <w:r w:rsidRPr="00C74D34">
        <w:rPr>
          <w:szCs w:val="26"/>
        </w:rPr>
        <w:t xml:space="preserve">OCA filed a </w:t>
      </w:r>
      <w:r w:rsidR="00411962" w:rsidRPr="00C74D34">
        <w:rPr>
          <w:szCs w:val="26"/>
        </w:rPr>
        <w:t>Notice of Intervention and Public Statement</w:t>
      </w:r>
      <w:r w:rsidRPr="00C74D34">
        <w:rPr>
          <w:szCs w:val="26"/>
        </w:rPr>
        <w:t xml:space="preserve">.  In accordance with Commission </w:t>
      </w:r>
      <w:r w:rsidR="00107A82" w:rsidRPr="00C74D34">
        <w:rPr>
          <w:szCs w:val="26"/>
        </w:rPr>
        <w:t>R</w:t>
      </w:r>
      <w:r w:rsidRPr="00C74D34">
        <w:rPr>
          <w:szCs w:val="26"/>
        </w:rPr>
        <w:t>egulations</w:t>
      </w:r>
      <w:r w:rsidR="00107A82" w:rsidRPr="00C74D34">
        <w:rPr>
          <w:szCs w:val="26"/>
        </w:rPr>
        <w:t xml:space="preserve"> at</w:t>
      </w:r>
      <w:r w:rsidRPr="00C74D34">
        <w:rPr>
          <w:szCs w:val="26"/>
        </w:rPr>
        <w:t xml:space="preserve"> 52 Pa. Code § 57.75(a), </w:t>
      </w:r>
      <w:r w:rsidR="00107A82" w:rsidRPr="00C74D34">
        <w:rPr>
          <w:szCs w:val="26"/>
        </w:rPr>
        <w:t>a N</w:t>
      </w:r>
      <w:r w:rsidRPr="00C74D34">
        <w:rPr>
          <w:szCs w:val="26"/>
        </w:rPr>
        <w:t xml:space="preserve">otice of </w:t>
      </w:r>
      <w:r w:rsidR="00107A82" w:rsidRPr="00C74D34">
        <w:rPr>
          <w:szCs w:val="26"/>
        </w:rPr>
        <w:t>P</w:t>
      </w:r>
      <w:r w:rsidRPr="00C74D34">
        <w:rPr>
          <w:szCs w:val="26"/>
        </w:rPr>
        <w:t xml:space="preserve">rehearing </w:t>
      </w:r>
      <w:r w:rsidR="00107A82" w:rsidRPr="00C74D34">
        <w:rPr>
          <w:szCs w:val="26"/>
        </w:rPr>
        <w:t>C</w:t>
      </w:r>
      <w:r w:rsidRPr="00C74D34">
        <w:rPr>
          <w:szCs w:val="26"/>
        </w:rPr>
        <w:t>onference scheduled for March 13, 2018</w:t>
      </w:r>
      <w:r w:rsidR="00107A82" w:rsidRPr="00C74D34">
        <w:rPr>
          <w:szCs w:val="26"/>
        </w:rPr>
        <w:t>,</w:t>
      </w:r>
      <w:r w:rsidRPr="00C74D34">
        <w:rPr>
          <w:szCs w:val="26"/>
        </w:rPr>
        <w:t xml:space="preserve"> was published in the </w:t>
      </w:r>
      <w:r w:rsidRPr="00C74D34">
        <w:rPr>
          <w:i/>
          <w:szCs w:val="26"/>
        </w:rPr>
        <w:t>Pennsylvania</w:t>
      </w:r>
      <w:r w:rsidR="00852B72" w:rsidRPr="00C74D34">
        <w:rPr>
          <w:i/>
          <w:szCs w:val="26"/>
        </w:rPr>
        <w:t> </w:t>
      </w:r>
      <w:r w:rsidRPr="00C74D34">
        <w:rPr>
          <w:i/>
          <w:szCs w:val="26"/>
        </w:rPr>
        <w:t>Bulletin</w:t>
      </w:r>
      <w:r w:rsidRPr="00C74D34">
        <w:rPr>
          <w:szCs w:val="26"/>
        </w:rPr>
        <w:t xml:space="preserve"> on January 20, 2018</w:t>
      </w:r>
      <w:r w:rsidR="00107A82" w:rsidRPr="00C74D34">
        <w:rPr>
          <w:szCs w:val="26"/>
        </w:rPr>
        <w:t>.</w:t>
      </w:r>
      <w:r w:rsidRPr="00C74D34">
        <w:rPr>
          <w:szCs w:val="26"/>
        </w:rPr>
        <w:t xml:space="preserve"> </w:t>
      </w:r>
      <w:r w:rsidR="005050E4" w:rsidRPr="00C74D34">
        <w:rPr>
          <w:szCs w:val="26"/>
        </w:rPr>
        <w:t xml:space="preserve"> </w:t>
      </w:r>
      <w:r w:rsidRPr="00C74D34">
        <w:rPr>
          <w:szCs w:val="26"/>
        </w:rPr>
        <w:t>48</w:t>
      </w:r>
      <w:r w:rsidR="002B4288" w:rsidRPr="00C74D34">
        <w:rPr>
          <w:szCs w:val="26"/>
        </w:rPr>
        <w:t> </w:t>
      </w:r>
      <w:proofErr w:type="spellStart"/>
      <w:r w:rsidRPr="00C74D34">
        <w:rPr>
          <w:i/>
          <w:iCs/>
          <w:szCs w:val="26"/>
        </w:rPr>
        <w:t>Pa.B</w:t>
      </w:r>
      <w:proofErr w:type="spellEnd"/>
      <w:r w:rsidRPr="00C74D34">
        <w:rPr>
          <w:i/>
          <w:iCs/>
          <w:szCs w:val="26"/>
        </w:rPr>
        <w:t>.</w:t>
      </w:r>
      <w:r w:rsidRPr="00C74D34">
        <w:rPr>
          <w:szCs w:val="26"/>
        </w:rPr>
        <w:t xml:space="preserve"> 585.  Multiple protests were filed by interested persons and entities.  The protest period ended February 20, 2018.</w:t>
      </w:r>
    </w:p>
    <w:p w14:paraId="49B26B03" w14:textId="5CC02855" w:rsidR="00687B4E" w:rsidRPr="00C74D34" w:rsidRDefault="00687B4E" w:rsidP="00B11342">
      <w:pPr>
        <w:ind w:firstLine="1440"/>
        <w:rPr>
          <w:szCs w:val="26"/>
        </w:rPr>
      </w:pPr>
    </w:p>
    <w:p w14:paraId="4883E5FD" w14:textId="09C280FD" w:rsidR="00687B4E" w:rsidRPr="00C74D34" w:rsidRDefault="00687B4E" w:rsidP="00B11342">
      <w:pPr>
        <w:ind w:firstLine="1440"/>
        <w:rPr>
          <w:szCs w:val="26"/>
        </w:rPr>
      </w:pPr>
      <w:r w:rsidRPr="00C74D34">
        <w:rPr>
          <w:szCs w:val="26"/>
        </w:rPr>
        <w:t xml:space="preserve">On January 23, 2018, the Commission issued an Opinion and Order at Docket Nos. A-2017-2587821 and G-2017-2587822 granting public utility status to </w:t>
      </w:r>
      <w:proofErr w:type="spellStart"/>
      <w:r w:rsidRPr="00C74D34">
        <w:rPr>
          <w:szCs w:val="26"/>
        </w:rPr>
        <w:t>Transource</w:t>
      </w:r>
      <w:proofErr w:type="spellEnd"/>
      <w:r w:rsidRPr="00C74D34">
        <w:rPr>
          <w:szCs w:val="26"/>
        </w:rPr>
        <w:t xml:space="preserve"> to:</w:t>
      </w:r>
      <w:r w:rsidR="001F364B" w:rsidRPr="00C74D34">
        <w:rPr>
          <w:szCs w:val="26"/>
        </w:rPr>
        <w:t xml:space="preserve"> </w:t>
      </w:r>
      <w:r w:rsidRPr="00C74D34">
        <w:rPr>
          <w:szCs w:val="26"/>
        </w:rPr>
        <w:t xml:space="preserve"> (1) begin to furnish and supply electric transmission service to or for the public within a transmission service area from the new Rice Substation in Franklin County, </w:t>
      </w:r>
      <w:r w:rsidRPr="00C74D34">
        <w:rPr>
          <w:caps/>
          <w:szCs w:val="26"/>
        </w:rPr>
        <w:t>PA</w:t>
      </w:r>
      <w:r w:rsidRPr="00C74D34">
        <w:rPr>
          <w:szCs w:val="26"/>
        </w:rPr>
        <w:t xml:space="preserve"> to the Pennsylvania/Maryland border for PJM Project 9A, baseline upgrade numbers b2743 and b2752 and (2) begin to furnish and supply electric transmission service to or for the public within a transmission service area from the new Furnace Run Substation in York County, PA to the Pennsylvania/Maryland border for PJM Project 9A, baseline upgrade numbers b2743 and b2752.</w:t>
      </w:r>
      <w:r w:rsidRPr="00C74D34">
        <w:rPr>
          <w:szCs w:val="26"/>
          <w:vertAlign w:val="superscript"/>
        </w:rPr>
        <w:footnoteReference w:id="7"/>
      </w:r>
      <w:r w:rsidR="002B4288" w:rsidRPr="00C74D34">
        <w:rPr>
          <w:szCs w:val="26"/>
        </w:rPr>
        <w:t xml:space="preserve">  </w:t>
      </w:r>
    </w:p>
    <w:p w14:paraId="04627EC1" w14:textId="51A55CF9" w:rsidR="006916E0" w:rsidRPr="00C74D34" w:rsidRDefault="006916E0" w:rsidP="00B11342">
      <w:pPr>
        <w:rPr>
          <w:szCs w:val="26"/>
        </w:rPr>
      </w:pPr>
    </w:p>
    <w:p w14:paraId="0F44B73C" w14:textId="2A6C2A10" w:rsidR="006916E0" w:rsidRPr="00C74D34" w:rsidRDefault="006916E0" w:rsidP="00B11342">
      <w:pPr>
        <w:ind w:firstLine="1440"/>
        <w:rPr>
          <w:szCs w:val="26"/>
        </w:rPr>
      </w:pPr>
      <w:r w:rsidRPr="00C74D34">
        <w:rPr>
          <w:szCs w:val="26"/>
        </w:rPr>
        <w:lastRenderedPageBreak/>
        <w:t>O</w:t>
      </w:r>
      <w:r w:rsidR="00687B4E" w:rsidRPr="00C74D34">
        <w:rPr>
          <w:szCs w:val="26"/>
        </w:rPr>
        <w:t xml:space="preserve">n March 5, 2018, the Office of Small Business Advocate (OSBA) filed a Notice of Intervention and Public Statement.  </w:t>
      </w:r>
      <w:r w:rsidR="000117DD" w:rsidRPr="00C74D34">
        <w:rPr>
          <w:szCs w:val="26"/>
        </w:rPr>
        <w:t xml:space="preserve">On the same date, </w:t>
      </w:r>
      <w:proofErr w:type="spellStart"/>
      <w:r w:rsidR="000117DD" w:rsidRPr="00C74D34">
        <w:rPr>
          <w:szCs w:val="26"/>
        </w:rPr>
        <w:t>Transource</w:t>
      </w:r>
      <w:proofErr w:type="spellEnd"/>
      <w:r w:rsidR="000117DD" w:rsidRPr="00C74D34">
        <w:rPr>
          <w:szCs w:val="26"/>
        </w:rPr>
        <w:t xml:space="preserve"> filed a Petition for a Protective Order.</w:t>
      </w:r>
      <w:r w:rsidR="00411962" w:rsidRPr="00C74D34">
        <w:rPr>
          <w:szCs w:val="26"/>
        </w:rPr>
        <w:t xml:space="preserve"> </w:t>
      </w:r>
      <w:r w:rsidR="000117DD" w:rsidRPr="00C74D34">
        <w:rPr>
          <w:szCs w:val="26"/>
        </w:rPr>
        <w:t xml:space="preserve"> </w:t>
      </w:r>
      <w:r w:rsidR="00687B4E" w:rsidRPr="00C74D34">
        <w:rPr>
          <w:szCs w:val="26"/>
        </w:rPr>
        <w:t>A</w:t>
      </w:r>
      <w:r w:rsidR="00411962" w:rsidRPr="00C74D34">
        <w:rPr>
          <w:szCs w:val="26"/>
        </w:rPr>
        <w:t>n Initial</w:t>
      </w:r>
      <w:r w:rsidR="00687B4E" w:rsidRPr="00C74D34">
        <w:rPr>
          <w:szCs w:val="26"/>
        </w:rPr>
        <w:t xml:space="preserve"> Prehearing Conference was held on March</w:t>
      </w:r>
      <w:r w:rsidR="00852B72" w:rsidRPr="00C74D34">
        <w:rPr>
          <w:szCs w:val="26"/>
        </w:rPr>
        <w:t> </w:t>
      </w:r>
      <w:r w:rsidR="00687B4E" w:rsidRPr="00C74D34">
        <w:rPr>
          <w:szCs w:val="26"/>
        </w:rPr>
        <w:t>13,</w:t>
      </w:r>
      <w:r w:rsidR="00852B72" w:rsidRPr="00C74D34">
        <w:rPr>
          <w:szCs w:val="26"/>
        </w:rPr>
        <w:t> </w:t>
      </w:r>
      <w:r w:rsidR="00687B4E" w:rsidRPr="00C74D34">
        <w:rPr>
          <w:szCs w:val="26"/>
        </w:rPr>
        <w:t>2018, at which time counsel for S</w:t>
      </w:r>
      <w:r w:rsidR="00292EB1" w:rsidRPr="00C74D34">
        <w:rPr>
          <w:szCs w:val="26"/>
        </w:rPr>
        <w:t>TOP</w:t>
      </w:r>
      <w:r w:rsidR="00687B4E" w:rsidRPr="00C74D34">
        <w:rPr>
          <w:szCs w:val="26"/>
        </w:rPr>
        <w:t xml:space="preserve"> </w:t>
      </w:r>
      <w:proofErr w:type="spellStart"/>
      <w:r w:rsidR="00687B4E" w:rsidRPr="00C74D34">
        <w:rPr>
          <w:szCs w:val="26"/>
        </w:rPr>
        <w:t>Transource</w:t>
      </w:r>
      <w:proofErr w:type="spellEnd"/>
      <w:r w:rsidR="00687B4E" w:rsidRPr="00C74D34">
        <w:rPr>
          <w:szCs w:val="26"/>
        </w:rPr>
        <w:t xml:space="preserve"> Franklin County (STFC) offered to provide declarations from members with respect to standing in support of its Petition to Intervene.</w:t>
      </w:r>
      <w:r w:rsidR="002B4288" w:rsidRPr="00C74D34">
        <w:rPr>
          <w:szCs w:val="26"/>
        </w:rPr>
        <w:t xml:space="preserve">  </w:t>
      </w:r>
      <w:r w:rsidR="000117DD" w:rsidRPr="00C74D34">
        <w:rPr>
          <w:szCs w:val="26"/>
        </w:rPr>
        <w:t xml:space="preserve">On </w:t>
      </w:r>
      <w:r w:rsidR="00687B4E" w:rsidRPr="00C74D34">
        <w:rPr>
          <w:szCs w:val="26"/>
        </w:rPr>
        <w:t xml:space="preserve">March 14, 2018, </w:t>
      </w:r>
      <w:proofErr w:type="spellStart"/>
      <w:r w:rsidR="000117DD" w:rsidRPr="00C74D34">
        <w:rPr>
          <w:szCs w:val="26"/>
        </w:rPr>
        <w:t>Transource’s</w:t>
      </w:r>
      <w:proofErr w:type="spellEnd"/>
      <w:r w:rsidR="000117DD" w:rsidRPr="00C74D34">
        <w:rPr>
          <w:szCs w:val="26"/>
        </w:rPr>
        <w:t xml:space="preserve"> Petition for a Protective Order</w:t>
      </w:r>
      <w:r w:rsidR="00411962" w:rsidRPr="00C74D34">
        <w:rPr>
          <w:szCs w:val="26"/>
        </w:rPr>
        <w:t xml:space="preserve"> being unopposed</w:t>
      </w:r>
      <w:r w:rsidR="000117DD" w:rsidRPr="00C74D34">
        <w:rPr>
          <w:szCs w:val="26"/>
        </w:rPr>
        <w:t>, a</w:t>
      </w:r>
      <w:r w:rsidR="00687B4E" w:rsidRPr="00C74D34">
        <w:rPr>
          <w:szCs w:val="26"/>
        </w:rPr>
        <w:t xml:space="preserve"> Protective Order was issued.  On March 20, 2018, STFC filed a Petition to add Appendix A, containing member standing affidavits to its February</w:t>
      </w:r>
      <w:r w:rsidR="00852B72" w:rsidRPr="00C74D34">
        <w:rPr>
          <w:szCs w:val="26"/>
        </w:rPr>
        <w:t> </w:t>
      </w:r>
      <w:r w:rsidR="00687B4E" w:rsidRPr="00C74D34">
        <w:rPr>
          <w:szCs w:val="26"/>
        </w:rPr>
        <w:t>20,</w:t>
      </w:r>
      <w:r w:rsidR="00852B72" w:rsidRPr="00C74D34">
        <w:rPr>
          <w:szCs w:val="26"/>
        </w:rPr>
        <w:t> </w:t>
      </w:r>
      <w:r w:rsidR="00687B4E" w:rsidRPr="00C74D34">
        <w:rPr>
          <w:szCs w:val="26"/>
        </w:rPr>
        <w:t xml:space="preserve">2018 Petition to Intervene and Protest.  </w:t>
      </w:r>
    </w:p>
    <w:p w14:paraId="52D82157" w14:textId="36E0DFF0" w:rsidR="00687B4E" w:rsidRPr="00C74D34" w:rsidRDefault="00687B4E" w:rsidP="00B11342">
      <w:pPr>
        <w:ind w:firstLine="1440"/>
        <w:rPr>
          <w:szCs w:val="26"/>
        </w:rPr>
      </w:pPr>
    </w:p>
    <w:p w14:paraId="34CBB66D" w14:textId="44677517" w:rsidR="00CD44D1" w:rsidRPr="00C74D34" w:rsidRDefault="00F76600" w:rsidP="00B11342">
      <w:pPr>
        <w:ind w:firstLine="1440"/>
        <w:rPr>
          <w:szCs w:val="26"/>
        </w:rPr>
      </w:pPr>
      <w:r w:rsidRPr="00C74D34">
        <w:rPr>
          <w:szCs w:val="26"/>
        </w:rPr>
        <w:t>On March 28, 2018, a P</w:t>
      </w:r>
      <w:r w:rsidR="006652EE" w:rsidRPr="00C74D34">
        <w:rPr>
          <w:szCs w:val="26"/>
        </w:rPr>
        <w:t>rehearing</w:t>
      </w:r>
      <w:r w:rsidRPr="00C74D34">
        <w:rPr>
          <w:szCs w:val="26"/>
        </w:rPr>
        <w:t xml:space="preserve"> Order was issued consolidating Docket Nos. A-2017-2640195 and A-2017-2640200 for the purposes of discovery, litigation, and decision.  The P</w:t>
      </w:r>
      <w:r w:rsidR="006652EE" w:rsidRPr="00C74D34">
        <w:rPr>
          <w:szCs w:val="26"/>
        </w:rPr>
        <w:t>rehearing</w:t>
      </w:r>
      <w:r w:rsidRPr="00C74D34">
        <w:rPr>
          <w:szCs w:val="26"/>
        </w:rPr>
        <w:t xml:space="preserve"> Order adopted a litigation schedule, modified the discovery rules, and granted Intervenor status to the following: </w:t>
      </w:r>
      <w:r w:rsidR="001F364B" w:rsidRPr="00C74D34">
        <w:rPr>
          <w:szCs w:val="26"/>
        </w:rPr>
        <w:t xml:space="preserve"> </w:t>
      </w:r>
      <w:r w:rsidRPr="00C74D34">
        <w:rPr>
          <w:szCs w:val="26"/>
        </w:rPr>
        <w:t>John and Louise Kennedy</w:t>
      </w:r>
      <w:r w:rsidR="00CA1296" w:rsidRPr="00C74D34">
        <w:rPr>
          <w:szCs w:val="26"/>
        </w:rPr>
        <w:t>;</w:t>
      </w:r>
      <w:r w:rsidRPr="00C74D34">
        <w:rPr>
          <w:szCs w:val="26"/>
        </w:rPr>
        <w:t xml:space="preserve"> Kira D. and J. Lamar Rohrer</w:t>
      </w:r>
      <w:r w:rsidR="00CA1296" w:rsidRPr="00C74D34">
        <w:rPr>
          <w:szCs w:val="26"/>
        </w:rPr>
        <w:t>;</w:t>
      </w:r>
      <w:r w:rsidRPr="00C74D34">
        <w:rPr>
          <w:szCs w:val="26"/>
        </w:rPr>
        <w:t xml:space="preserve"> Stephen Snell</w:t>
      </w:r>
      <w:r w:rsidR="00CA1296" w:rsidRPr="00C74D34">
        <w:rPr>
          <w:szCs w:val="26"/>
        </w:rPr>
        <w:t>;</w:t>
      </w:r>
      <w:r w:rsidRPr="00C74D34">
        <w:rPr>
          <w:szCs w:val="26"/>
        </w:rPr>
        <w:t xml:space="preserve"> Lynda Manning</w:t>
      </w:r>
      <w:r w:rsidR="00CA1296" w:rsidRPr="00C74D34">
        <w:rPr>
          <w:szCs w:val="26"/>
        </w:rPr>
        <w:t>;</w:t>
      </w:r>
      <w:r w:rsidRPr="00C74D34">
        <w:rPr>
          <w:szCs w:val="26"/>
        </w:rPr>
        <w:t xml:space="preserve"> Kay A. Baldwin</w:t>
      </w:r>
      <w:r w:rsidR="00CA1296" w:rsidRPr="00C74D34">
        <w:rPr>
          <w:szCs w:val="26"/>
        </w:rPr>
        <w:t>;</w:t>
      </w:r>
      <w:r w:rsidRPr="00C74D34">
        <w:rPr>
          <w:szCs w:val="26"/>
        </w:rPr>
        <w:t xml:space="preserve"> Carl Baldwin</w:t>
      </w:r>
      <w:r w:rsidR="00CA1296" w:rsidRPr="00C74D34">
        <w:rPr>
          <w:szCs w:val="26"/>
        </w:rPr>
        <w:t>;</w:t>
      </w:r>
      <w:r w:rsidRPr="00C74D34">
        <w:rPr>
          <w:szCs w:val="26"/>
        </w:rPr>
        <w:t xml:space="preserve"> Tim and John </w:t>
      </w:r>
      <w:proofErr w:type="spellStart"/>
      <w:r w:rsidRPr="00C74D34">
        <w:rPr>
          <w:szCs w:val="26"/>
        </w:rPr>
        <w:t>Krick</w:t>
      </w:r>
      <w:proofErr w:type="spellEnd"/>
      <w:r w:rsidR="00CA1296" w:rsidRPr="00C74D34">
        <w:rPr>
          <w:szCs w:val="26"/>
        </w:rPr>
        <w:t>;</w:t>
      </w:r>
      <w:r w:rsidRPr="00C74D34">
        <w:rPr>
          <w:szCs w:val="26"/>
        </w:rPr>
        <w:t xml:space="preserve"> David Good</w:t>
      </w:r>
      <w:r w:rsidR="00CA1296" w:rsidRPr="00C74D34">
        <w:rPr>
          <w:szCs w:val="26"/>
        </w:rPr>
        <w:t>;</w:t>
      </w:r>
      <w:r w:rsidRPr="00C74D34">
        <w:rPr>
          <w:szCs w:val="26"/>
        </w:rPr>
        <w:t xml:space="preserve"> Addyson Creamers</w:t>
      </w:r>
      <w:r w:rsidR="00CA1296" w:rsidRPr="00C74D34">
        <w:rPr>
          <w:szCs w:val="26"/>
        </w:rPr>
        <w:t>;</w:t>
      </w:r>
      <w:r w:rsidRPr="00C74D34">
        <w:rPr>
          <w:szCs w:val="26"/>
        </w:rPr>
        <w:t xml:space="preserve"> Christine Crowe</w:t>
      </w:r>
      <w:r w:rsidR="00CA1296" w:rsidRPr="00C74D34">
        <w:rPr>
          <w:szCs w:val="26"/>
        </w:rPr>
        <w:t>;</w:t>
      </w:r>
      <w:r w:rsidRPr="00C74D34">
        <w:rPr>
          <w:szCs w:val="26"/>
        </w:rPr>
        <w:t xml:space="preserve"> Brian McCleary</w:t>
      </w:r>
      <w:r w:rsidR="00CA1296" w:rsidRPr="00C74D34">
        <w:rPr>
          <w:szCs w:val="26"/>
        </w:rPr>
        <w:t>;</w:t>
      </w:r>
      <w:r w:rsidRPr="00C74D34">
        <w:rPr>
          <w:szCs w:val="26"/>
        </w:rPr>
        <w:t xml:space="preserve"> Jordyn Creamers</w:t>
      </w:r>
      <w:r w:rsidR="00CA1296" w:rsidRPr="00C74D34">
        <w:rPr>
          <w:szCs w:val="26"/>
        </w:rPr>
        <w:t>;</w:t>
      </w:r>
      <w:r w:rsidRPr="00C74D34">
        <w:rPr>
          <w:szCs w:val="26"/>
        </w:rPr>
        <w:t xml:space="preserve"> Summer Ledford</w:t>
      </w:r>
      <w:r w:rsidR="00CA1296" w:rsidRPr="00C74D34">
        <w:rPr>
          <w:szCs w:val="26"/>
        </w:rPr>
        <w:t>;</w:t>
      </w:r>
      <w:r w:rsidRPr="00C74D34">
        <w:rPr>
          <w:szCs w:val="26"/>
        </w:rPr>
        <w:t xml:space="preserve"> Neil Autry</w:t>
      </w:r>
      <w:r w:rsidR="00CA1296" w:rsidRPr="00C74D34">
        <w:rPr>
          <w:szCs w:val="26"/>
        </w:rPr>
        <w:t>;</w:t>
      </w:r>
      <w:r w:rsidRPr="00C74D34">
        <w:rPr>
          <w:szCs w:val="26"/>
        </w:rPr>
        <w:t xml:space="preserve"> William Creamers</w:t>
      </w:r>
      <w:r w:rsidR="000A78BB" w:rsidRPr="00C74D34">
        <w:rPr>
          <w:szCs w:val="26"/>
        </w:rPr>
        <w:t>;</w:t>
      </w:r>
      <w:r w:rsidRPr="00C74D34">
        <w:rPr>
          <w:szCs w:val="26"/>
        </w:rPr>
        <w:t xml:space="preserve"> Katharine Creamers</w:t>
      </w:r>
      <w:r w:rsidR="000A78BB" w:rsidRPr="00C74D34">
        <w:rPr>
          <w:szCs w:val="26"/>
        </w:rPr>
        <w:t>;</w:t>
      </w:r>
      <w:r w:rsidRPr="00C74D34">
        <w:rPr>
          <w:szCs w:val="26"/>
        </w:rPr>
        <w:t xml:space="preserve"> Donald Culp</w:t>
      </w:r>
      <w:r w:rsidR="000A78BB" w:rsidRPr="00C74D34">
        <w:rPr>
          <w:szCs w:val="26"/>
        </w:rPr>
        <w:t>;</w:t>
      </w:r>
      <w:r w:rsidRPr="00C74D34">
        <w:rPr>
          <w:szCs w:val="26"/>
        </w:rPr>
        <w:t xml:space="preserve"> Kenny Grove</w:t>
      </w:r>
      <w:r w:rsidR="000A78BB" w:rsidRPr="00C74D34">
        <w:rPr>
          <w:szCs w:val="26"/>
        </w:rPr>
        <w:t>;</w:t>
      </w:r>
      <w:r w:rsidRPr="00C74D34">
        <w:rPr>
          <w:szCs w:val="26"/>
        </w:rPr>
        <w:t xml:space="preserve"> Cletus P. and Diane M. </w:t>
      </w:r>
      <w:proofErr w:type="spellStart"/>
      <w:r w:rsidRPr="00C74D34">
        <w:rPr>
          <w:szCs w:val="26"/>
        </w:rPr>
        <w:t>Gohn</w:t>
      </w:r>
      <w:proofErr w:type="spellEnd"/>
      <w:r w:rsidR="000A78BB" w:rsidRPr="00C74D34">
        <w:rPr>
          <w:szCs w:val="26"/>
        </w:rPr>
        <w:t>;</w:t>
      </w:r>
      <w:r w:rsidRPr="00C74D34">
        <w:rPr>
          <w:szCs w:val="26"/>
        </w:rPr>
        <w:t xml:space="preserve"> Blaine Ham</w:t>
      </w:r>
      <w:r w:rsidR="000A78BB" w:rsidRPr="00C74D34">
        <w:rPr>
          <w:szCs w:val="26"/>
        </w:rPr>
        <w:t>;</w:t>
      </w:r>
      <w:r w:rsidRPr="00C74D34">
        <w:rPr>
          <w:szCs w:val="26"/>
        </w:rPr>
        <w:t xml:space="preserve"> Matt Moser</w:t>
      </w:r>
      <w:r w:rsidR="000A78BB" w:rsidRPr="00C74D34">
        <w:rPr>
          <w:szCs w:val="26"/>
        </w:rPr>
        <w:t>;</w:t>
      </w:r>
      <w:r w:rsidRPr="00C74D34">
        <w:rPr>
          <w:szCs w:val="26"/>
        </w:rPr>
        <w:t xml:space="preserve"> Virginia M. and Ginny </w:t>
      </w:r>
      <w:proofErr w:type="spellStart"/>
      <w:r w:rsidRPr="00C74D34">
        <w:rPr>
          <w:szCs w:val="26"/>
        </w:rPr>
        <w:t>Gibble</w:t>
      </w:r>
      <w:proofErr w:type="spellEnd"/>
      <w:r w:rsidR="000A78BB" w:rsidRPr="00C74D34">
        <w:rPr>
          <w:szCs w:val="26"/>
        </w:rPr>
        <w:t>;</w:t>
      </w:r>
      <w:r w:rsidRPr="00C74D34">
        <w:rPr>
          <w:szCs w:val="26"/>
        </w:rPr>
        <w:t xml:space="preserve"> Garland Sweitzer</w:t>
      </w:r>
      <w:r w:rsidR="000A78BB" w:rsidRPr="00C74D34">
        <w:rPr>
          <w:szCs w:val="26"/>
        </w:rPr>
        <w:t>;</w:t>
      </w:r>
      <w:r w:rsidRPr="00C74D34">
        <w:rPr>
          <w:szCs w:val="26"/>
        </w:rPr>
        <w:t xml:space="preserve"> Brandy Miller</w:t>
      </w:r>
      <w:r w:rsidR="000A78BB" w:rsidRPr="00C74D34">
        <w:rPr>
          <w:szCs w:val="26"/>
        </w:rPr>
        <w:t>;</w:t>
      </w:r>
      <w:r w:rsidRPr="00C74D34">
        <w:rPr>
          <w:szCs w:val="26"/>
        </w:rPr>
        <w:t xml:space="preserve"> Todd Dorn</w:t>
      </w:r>
      <w:r w:rsidR="000A78BB" w:rsidRPr="00C74D34">
        <w:rPr>
          <w:szCs w:val="26"/>
        </w:rPr>
        <w:t>;</w:t>
      </w:r>
      <w:r w:rsidRPr="00C74D34">
        <w:rPr>
          <w:szCs w:val="26"/>
        </w:rPr>
        <w:t xml:space="preserve"> William Grove</w:t>
      </w:r>
      <w:r w:rsidR="000A78BB" w:rsidRPr="00C74D34">
        <w:rPr>
          <w:szCs w:val="26"/>
        </w:rPr>
        <w:t>;</w:t>
      </w:r>
      <w:r w:rsidRPr="00C74D34">
        <w:rPr>
          <w:szCs w:val="26"/>
        </w:rPr>
        <w:t xml:space="preserve"> David Saxman</w:t>
      </w:r>
      <w:r w:rsidR="000A78BB" w:rsidRPr="00C74D34">
        <w:rPr>
          <w:szCs w:val="26"/>
        </w:rPr>
        <w:t>;</w:t>
      </w:r>
      <w:r w:rsidRPr="00C74D34">
        <w:rPr>
          <w:szCs w:val="26"/>
        </w:rPr>
        <w:t xml:space="preserve"> Tiffany </w:t>
      </w:r>
      <w:proofErr w:type="spellStart"/>
      <w:r w:rsidRPr="00C74D34">
        <w:rPr>
          <w:szCs w:val="26"/>
        </w:rPr>
        <w:t>Peiffer</w:t>
      </w:r>
      <w:proofErr w:type="spellEnd"/>
      <w:r w:rsidR="000A78BB" w:rsidRPr="00C74D34">
        <w:rPr>
          <w:szCs w:val="26"/>
        </w:rPr>
        <w:t>;</w:t>
      </w:r>
      <w:r w:rsidRPr="00C74D34">
        <w:rPr>
          <w:szCs w:val="26"/>
        </w:rPr>
        <w:t xml:space="preserve"> Dale R. Saxman</w:t>
      </w:r>
      <w:r w:rsidR="000A78BB" w:rsidRPr="00C74D34">
        <w:rPr>
          <w:szCs w:val="26"/>
        </w:rPr>
        <w:t>;</w:t>
      </w:r>
      <w:r w:rsidRPr="00C74D34">
        <w:rPr>
          <w:szCs w:val="26"/>
        </w:rPr>
        <w:t xml:space="preserve"> Melvin Saylor</w:t>
      </w:r>
      <w:r w:rsidR="000A78BB" w:rsidRPr="00C74D34">
        <w:rPr>
          <w:szCs w:val="26"/>
        </w:rPr>
        <w:t>;</w:t>
      </w:r>
      <w:r w:rsidRPr="00C74D34">
        <w:rPr>
          <w:szCs w:val="26"/>
        </w:rPr>
        <w:t xml:space="preserve"> Zac Moser</w:t>
      </w:r>
      <w:r w:rsidR="000A78BB" w:rsidRPr="00C74D34">
        <w:rPr>
          <w:szCs w:val="26"/>
        </w:rPr>
        <w:t>;</w:t>
      </w:r>
      <w:r w:rsidRPr="00C74D34">
        <w:rPr>
          <w:szCs w:val="26"/>
        </w:rPr>
        <w:t xml:space="preserve"> Harry E. </w:t>
      </w:r>
      <w:proofErr w:type="spellStart"/>
      <w:r w:rsidRPr="00C74D34">
        <w:rPr>
          <w:szCs w:val="26"/>
        </w:rPr>
        <w:t>Peiffer</w:t>
      </w:r>
      <w:proofErr w:type="spellEnd"/>
      <w:r w:rsidRPr="00C74D34">
        <w:rPr>
          <w:szCs w:val="26"/>
        </w:rPr>
        <w:t xml:space="preserve"> Jr.</w:t>
      </w:r>
      <w:r w:rsidR="000A78BB" w:rsidRPr="00C74D34">
        <w:rPr>
          <w:szCs w:val="26"/>
        </w:rPr>
        <w:t>;</w:t>
      </w:r>
      <w:r w:rsidRPr="00C74D34">
        <w:rPr>
          <w:szCs w:val="26"/>
        </w:rPr>
        <w:t xml:space="preserve"> Jesse Thompson</w:t>
      </w:r>
      <w:r w:rsidR="000A78BB" w:rsidRPr="00C74D34">
        <w:rPr>
          <w:szCs w:val="26"/>
        </w:rPr>
        <w:t>;</w:t>
      </w:r>
      <w:r w:rsidRPr="00C74D34">
        <w:rPr>
          <w:szCs w:val="26"/>
        </w:rPr>
        <w:t xml:space="preserve"> Dan Moser</w:t>
      </w:r>
      <w:r w:rsidR="000A78BB" w:rsidRPr="00C74D34">
        <w:rPr>
          <w:szCs w:val="26"/>
        </w:rPr>
        <w:t>;</w:t>
      </w:r>
      <w:r w:rsidRPr="00C74D34">
        <w:rPr>
          <w:szCs w:val="26"/>
        </w:rPr>
        <w:t xml:space="preserve"> Jeremiah Good</w:t>
      </w:r>
      <w:r w:rsidR="000A78BB" w:rsidRPr="00C74D34">
        <w:rPr>
          <w:szCs w:val="26"/>
        </w:rPr>
        <w:t>;</w:t>
      </w:r>
      <w:r w:rsidRPr="00C74D34">
        <w:rPr>
          <w:szCs w:val="26"/>
        </w:rPr>
        <w:t xml:space="preserve"> Daniel E. </w:t>
      </w:r>
      <w:proofErr w:type="spellStart"/>
      <w:r w:rsidRPr="00C74D34">
        <w:rPr>
          <w:szCs w:val="26"/>
        </w:rPr>
        <w:t>Dickmyer</w:t>
      </w:r>
      <w:proofErr w:type="spellEnd"/>
      <w:r w:rsidR="000A78BB" w:rsidRPr="00C74D34">
        <w:rPr>
          <w:szCs w:val="26"/>
        </w:rPr>
        <w:t>;</w:t>
      </w:r>
      <w:r w:rsidRPr="00C74D34">
        <w:rPr>
          <w:szCs w:val="26"/>
        </w:rPr>
        <w:t xml:space="preserve"> Kevin Elko</w:t>
      </w:r>
      <w:r w:rsidR="000A78BB" w:rsidRPr="00C74D34">
        <w:rPr>
          <w:szCs w:val="26"/>
        </w:rPr>
        <w:t>;</w:t>
      </w:r>
      <w:r w:rsidRPr="00C74D34">
        <w:rPr>
          <w:szCs w:val="26"/>
        </w:rPr>
        <w:t xml:space="preserve"> Jim Hershey</w:t>
      </w:r>
      <w:r w:rsidR="000A78BB" w:rsidRPr="00C74D34">
        <w:rPr>
          <w:szCs w:val="26"/>
        </w:rPr>
        <w:t>;</w:t>
      </w:r>
      <w:r w:rsidRPr="00C74D34">
        <w:rPr>
          <w:szCs w:val="26"/>
        </w:rPr>
        <w:t xml:space="preserve"> Steven Mink</w:t>
      </w:r>
      <w:r w:rsidR="000A78BB" w:rsidRPr="00C74D34">
        <w:rPr>
          <w:szCs w:val="26"/>
        </w:rPr>
        <w:t>;</w:t>
      </w:r>
      <w:r w:rsidRPr="00C74D34">
        <w:rPr>
          <w:szCs w:val="26"/>
        </w:rPr>
        <w:t xml:space="preserve"> Christine Rogers</w:t>
      </w:r>
      <w:r w:rsidR="000A78BB" w:rsidRPr="00C74D34">
        <w:rPr>
          <w:szCs w:val="26"/>
        </w:rPr>
        <w:t>;</w:t>
      </w:r>
      <w:r w:rsidRPr="00C74D34">
        <w:rPr>
          <w:szCs w:val="26"/>
        </w:rPr>
        <w:t xml:space="preserve"> Diane Keys</w:t>
      </w:r>
      <w:r w:rsidR="000A78BB" w:rsidRPr="00C74D34">
        <w:rPr>
          <w:szCs w:val="26"/>
        </w:rPr>
        <w:t>;</w:t>
      </w:r>
      <w:r w:rsidRPr="00C74D34">
        <w:rPr>
          <w:szCs w:val="26"/>
        </w:rPr>
        <w:t xml:space="preserve"> Jamie Diamond</w:t>
      </w:r>
      <w:r w:rsidR="000A78BB" w:rsidRPr="00C74D34">
        <w:rPr>
          <w:szCs w:val="26"/>
        </w:rPr>
        <w:t>;</w:t>
      </w:r>
      <w:r w:rsidRPr="00C74D34">
        <w:rPr>
          <w:szCs w:val="26"/>
        </w:rPr>
        <w:t xml:space="preserve"> Garry Keys</w:t>
      </w:r>
      <w:r w:rsidR="00C531D4" w:rsidRPr="00C74D34">
        <w:rPr>
          <w:szCs w:val="26"/>
        </w:rPr>
        <w:t>;</w:t>
      </w:r>
      <w:r w:rsidRPr="00C74D34">
        <w:rPr>
          <w:szCs w:val="26"/>
        </w:rPr>
        <w:t xml:space="preserve"> Joseph </w:t>
      </w:r>
      <w:proofErr w:type="spellStart"/>
      <w:r w:rsidRPr="00C74D34">
        <w:rPr>
          <w:szCs w:val="26"/>
        </w:rPr>
        <w:t>Clubb</w:t>
      </w:r>
      <w:proofErr w:type="spellEnd"/>
      <w:r w:rsidR="00C531D4" w:rsidRPr="00C74D34">
        <w:rPr>
          <w:szCs w:val="26"/>
        </w:rPr>
        <w:t>;</w:t>
      </w:r>
      <w:r w:rsidRPr="00C74D34">
        <w:rPr>
          <w:szCs w:val="26"/>
        </w:rPr>
        <w:t xml:space="preserve"> Mandy Welch</w:t>
      </w:r>
      <w:r w:rsidR="00C531D4" w:rsidRPr="00C74D34">
        <w:rPr>
          <w:szCs w:val="26"/>
        </w:rPr>
        <w:t>;</w:t>
      </w:r>
      <w:r w:rsidRPr="00C74D34">
        <w:rPr>
          <w:szCs w:val="26"/>
        </w:rPr>
        <w:t xml:space="preserve"> Kimberly Slezak</w:t>
      </w:r>
      <w:r w:rsidR="00C531D4" w:rsidRPr="00C74D34">
        <w:rPr>
          <w:szCs w:val="26"/>
        </w:rPr>
        <w:t>;</w:t>
      </w:r>
      <w:r w:rsidRPr="00C74D34">
        <w:rPr>
          <w:szCs w:val="26"/>
        </w:rPr>
        <w:t xml:space="preserve"> Linda A. Dickinson</w:t>
      </w:r>
      <w:r w:rsidR="00C531D4" w:rsidRPr="00C74D34">
        <w:rPr>
          <w:szCs w:val="26"/>
        </w:rPr>
        <w:t>;</w:t>
      </w:r>
      <w:r w:rsidRPr="00C74D34">
        <w:rPr>
          <w:szCs w:val="26"/>
        </w:rPr>
        <w:t xml:space="preserve"> James </w:t>
      </w:r>
      <w:proofErr w:type="spellStart"/>
      <w:r w:rsidRPr="00C74D34">
        <w:rPr>
          <w:szCs w:val="26"/>
        </w:rPr>
        <w:t>Strack</w:t>
      </w:r>
      <w:proofErr w:type="spellEnd"/>
      <w:r w:rsidR="00C531D4" w:rsidRPr="00C74D34">
        <w:rPr>
          <w:szCs w:val="26"/>
        </w:rPr>
        <w:t>;</w:t>
      </w:r>
      <w:r w:rsidRPr="00C74D34">
        <w:rPr>
          <w:szCs w:val="26"/>
        </w:rPr>
        <w:t xml:space="preserve"> Gary Mink</w:t>
      </w:r>
      <w:r w:rsidR="00C531D4" w:rsidRPr="00C74D34">
        <w:rPr>
          <w:szCs w:val="26"/>
        </w:rPr>
        <w:t>;</w:t>
      </w:r>
      <w:r w:rsidRPr="00C74D34">
        <w:rPr>
          <w:szCs w:val="26"/>
        </w:rPr>
        <w:t xml:space="preserve"> David Koons</w:t>
      </w:r>
      <w:r w:rsidR="00C531D4" w:rsidRPr="00C74D34">
        <w:rPr>
          <w:szCs w:val="26"/>
        </w:rPr>
        <w:t>;</w:t>
      </w:r>
      <w:r w:rsidRPr="00C74D34">
        <w:rPr>
          <w:szCs w:val="26"/>
        </w:rPr>
        <w:t xml:space="preserve"> David C. and Suzan E. Miller</w:t>
      </w:r>
      <w:r w:rsidR="00C531D4" w:rsidRPr="00C74D34">
        <w:rPr>
          <w:szCs w:val="26"/>
        </w:rPr>
        <w:t>;</w:t>
      </w:r>
      <w:r w:rsidRPr="00C74D34">
        <w:rPr>
          <w:szCs w:val="26"/>
        </w:rPr>
        <w:t xml:space="preserve"> Ann Lavin</w:t>
      </w:r>
      <w:r w:rsidR="00C531D4" w:rsidRPr="00C74D34">
        <w:rPr>
          <w:szCs w:val="26"/>
        </w:rPr>
        <w:t>;</w:t>
      </w:r>
      <w:r w:rsidRPr="00C74D34">
        <w:rPr>
          <w:szCs w:val="26"/>
        </w:rPr>
        <w:t xml:space="preserve"> Jennifer </w:t>
      </w:r>
      <w:proofErr w:type="spellStart"/>
      <w:r w:rsidRPr="00C74D34">
        <w:rPr>
          <w:szCs w:val="26"/>
        </w:rPr>
        <w:t>Clubb</w:t>
      </w:r>
      <w:proofErr w:type="spellEnd"/>
      <w:r w:rsidR="00C531D4" w:rsidRPr="00C74D34">
        <w:rPr>
          <w:szCs w:val="26"/>
        </w:rPr>
        <w:t>;</w:t>
      </w:r>
      <w:r w:rsidRPr="00C74D34">
        <w:rPr>
          <w:szCs w:val="26"/>
        </w:rPr>
        <w:t xml:space="preserve"> Margaret Williams</w:t>
      </w:r>
      <w:r w:rsidR="00C531D4" w:rsidRPr="00C74D34">
        <w:rPr>
          <w:szCs w:val="26"/>
        </w:rPr>
        <w:t>;</w:t>
      </w:r>
      <w:r w:rsidRPr="00C74D34">
        <w:rPr>
          <w:szCs w:val="26"/>
        </w:rPr>
        <w:t xml:space="preserve"> Mac Moser</w:t>
      </w:r>
      <w:r w:rsidR="00F7107B" w:rsidRPr="00C74D34">
        <w:rPr>
          <w:szCs w:val="26"/>
        </w:rPr>
        <w:t>;</w:t>
      </w:r>
      <w:r w:rsidRPr="00C74D34">
        <w:rPr>
          <w:szCs w:val="26"/>
        </w:rPr>
        <w:t xml:space="preserve"> Bill Wilt</w:t>
      </w:r>
      <w:r w:rsidR="00F7107B" w:rsidRPr="00C74D34">
        <w:rPr>
          <w:szCs w:val="26"/>
        </w:rPr>
        <w:t>;</w:t>
      </w:r>
      <w:r w:rsidRPr="00C74D34">
        <w:rPr>
          <w:szCs w:val="26"/>
        </w:rPr>
        <w:t xml:space="preserve"> Dean Moser</w:t>
      </w:r>
      <w:r w:rsidR="00F7107B" w:rsidRPr="00C74D34">
        <w:rPr>
          <w:szCs w:val="26"/>
        </w:rPr>
        <w:t>;</w:t>
      </w:r>
      <w:r w:rsidRPr="00C74D34">
        <w:rPr>
          <w:szCs w:val="26"/>
        </w:rPr>
        <w:t xml:space="preserve"> Caroline Winkler</w:t>
      </w:r>
      <w:r w:rsidR="00F7107B" w:rsidRPr="00C74D34">
        <w:rPr>
          <w:szCs w:val="26"/>
        </w:rPr>
        <w:t>;</w:t>
      </w:r>
      <w:r w:rsidRPr="00C74D34">
        <w:rPr>
          <w:szCs w:val="26"/>
        </w:rPr>
        <w:t xml:space="preserve"> T.R. Corcoran</w:t>
      </w:r>
      <w:r w:rsidR="00F7107B" w:rsidRPr="00C74D34">
        <w:rPr>
          <w:szCs w:val="26"/>
        </w:rPr>
        <w:t>;</w:t>
      </w:r>
      <w:r w:rsidRPr="00C74D34">
        <w:rPr>
          <w:szCs w:val="26"/>
        </w:rPr>
        <w:t xml:space="preserve"> Richard Diamond</w:t>
      </w:r>
      <w:r w:rsidR="00F7107B" w:rsidRPr="00C74D34">
        <w:rPr>
          <w:szCs w:val="26"/>
        </w:rPr>
        <w:t>;</w:t>
      </w:r>
      <w:r w:rsidRPr="00C74D34">
        <w:rPr>
          <w:szCs w:val="26"/>
        </w:rPr>
        <w:t xml:space="preserve"> Valerie Dorn</w:t>
      </w:r>
      <w:r w:rsidR="00F7107B" w:rsidRPr="00C74D34">
        <w:rPr>
          <w:szCs w:val="26"/>
        </w:rPr>
        <w:t>;</w:t>
      </w:r>
      <w:r w:rsidRPr="00C74D34">
        <w:rPr>
          <w:szCs w:val="26"/>
        </w:rPr>
        <w:t xml:space="preserve"> Katherine Traynor</w:t>
      </w:r>
      <w:r w:rsidR="00F7107B" w:rsidRPr="00C74D34">
        <w:rPr>
          <w:szCs w:val="26"/>
        </w:rPr>
        <w:t>;</w:t>
      </w:r>
      <w:r w:rsidRPr="00C74D34">
        <w:rPr>
          <w:szCs w:val="26"/>
        </w:rPr>
        <w:t xml:space="preserve"> Madeline Traynor</w:t>
      </w:r>
      <w:r w:rsidR="00F7107B" w:rsidRPr="00C74D34">
        <w:rPr>
          <w:szCs w:val="26"/>
        </w:rPr>
        <w:t>;</w:t>
      </w:r>
      <w:r w:rsidRPr="00C74D34">
        <w:rPr>
          <w:szCs w:val="26"/>
        </w:rPr>
        <w:t xml:space="preserve"> Jon Smeltzer</w:t>
      </w:r>
      <w:r w:rsidR="00F7107B" w:rsidRPr="00C74D34">
        <w:rPr>
          <w:szCs w:val="26"/>
        </w:rPr>
        <w:t>;</w:t>
      </w:r>
      <w:r w:rsidRPr="00C74D34">
        <w:rPr>
          <w:szCs w:val="26"/>
        </w:rPr>
        <w:t xml:space="preserve"> Thomas Wheatley</w:t>
      </w:r>
      <w:r w:rsidR="00F7107B" w:rsidRPr="00C74D34">
        <w:rPr>
          <w:szCs w:val="26"/>
        </w:rPr>
        <w:t>;</w:t>
      </w:r>
      <w:r w:rsidRPr="00C74D34">
        <w:rPr>
          <w:szCs w:val="26"/>
        </w:rPr>
        <w:t xml:space="preserve"> Tony Ham</w:t>
      </w:r>
      <w:r w:rsidR="00F7107B" w:rsidRPr="00C74D34">
        <w:rPr>
          <w:szCs w:val="26"/>
        </w:rPr>
        <w:t>;</w:t>
      </w:r>
      <w:r w:rsidRPr="00C74D34">
        <w:rPr>
          <w:szCs w:val="26"/>
        </w:rPr>
        <w:t xml:space="preserve"> Scott Welch</w:t>
      </w:r>
      <w:r w:rsidR="00F7107B" w:rsidRPr="00C74D34">
        <w:rPr>
          <w:szCs w:val="26"/>
        </w:rPr>
        <w:t>;</w:t>
      </w:r>
      <w:r w:rsidRPr="00C74D34">
        <w:rPr>
          <w:szCs w:val="26"/>
        </w:rPr>
        <w:t xml:space="preserve"> Amber Geiger</w:t>
      </w:r>
      <w:r w:rsidR="00F7107B" w:rsidRPr="00C74D34">
        <w:rPr>
          <w:szCs w:val="26"/>
        </w:rPr>
        <w:t>;</w:t>
      </w:r>
      <w:r w:rsidRPr="00C74D34">
        <w:rPr>
          <w:szCs w:val="26"/>
        </w:rPr>
        <w:t xml:space="preserve"> Trevor Lewis</w:t>
      </w:r>
      <w:r w:rsidR="00F7107B" w:rsidRPr="00C74D34">
        <w:rPr>
          <w:szCs w:val="26"/>
        </w:rPr>
        <w:t>;</w:t>
      </w:r>
      <w:r w:rsidRPr="00C74D34">
        <w:rPr>
          <w:szCs w:val="26"/>
        </w:rPr>
        <w:t xml:space="preserve"> David Hawkins</w:t>
      </w:r>
      <w:r w:rsidR="00F7107B" w:rsidRPr="00C74D34">
        <w:rPr>
          <w:szCs w:val="26"/>
        </w:rPr>
        <w:t>;</w:t>
      </w:r>
      <w:r w:rsidRPr="00C74D34">
        <w:rPr>
          <w:szCs w:val="26"/>
        </w:rPr>
        <w:t xml:space="preserve"> Mike Martinez Jr.</w:t>
      </w:r>
      <w:r w:rsidR="00F7107B" w:rsidRPr="00C74D34">
        <w:rPr>
          <w:szCs w:val="26"/>
        </w:rPr>
        <w:t>;</w:t>
      </w:r>
      <w:r w:rsidRPr="00C74D34">
        <w:rPr>
          <w:szCs w:val="26"/>
        </w:rPr>
        <w:t xml:space="preserve"> Judith Hawkins</w:t>
      </w:r>
      <w:r w:rsidR="00F7107B" w:rsidRPr="00C74D34">
        <w:rPr>
          <w:szCs w:val="26"/>
        </w:rPr>
        <w:t>;</w:t>
      </w:r>
      <w:r w:rsidRPr="00C74D34">
        <w:rPr>
          <w:szCs w:val="26"/>
        </w:rPr>
        <w:t xml:space="preserve"> West Penn Power Company</w:t>
      </w:r>
      <w:r w:rsidR="00F7107B" w:rsidRPr="00C74D34">
        <w:rPr>
          <w:szCs w:val="26"/>
        </w:rPr>
        <w:t>;</w:t>
      </w:r>
      <w:r w:rsidR="00CD44D1" w:rsidRPr="00C74D34">
        <w:rPr>
          <w:szCs w:val="26"/>
        </w:rPr>
        <w:t xml:space="preserve"> PECO Energy Company</w:t>
      </w:r>
      <w:r w:rsidR="00F7107B" w:rsidRPr="00C74D34">
        <w:rPr>
          <w:szCs w:val="26"/>
        </w:rPr>
        <w:t>;</w:t>
      </w:r>
      <w:r w:rsidR="00CD44D1" w:rsidRPr="00C74D34">
        <w:rPr>
          <w:szCs w:val="26"/>
        </w:rPr>
        <w:t xml:space="preserve"> </w:t>
      </w:r>
      <w:r w:rsidRPr="00C74D34">
        <w:rPr>
          <w:szCs w:val="26"/>
        </w:rPr>
        <w:t>Mid-Atlantic Interstate Transmission LLC., (MAIT)</w:t>
      </w:r>
      <w:r w:rsidR="00C85805" w:rsidRPr="00C74D34">
        <w:rPr>
          <w:szCs w:val="26"/>
        </w:rPr>
        <w:t>;</w:t>
      </w:r>
      <w:r w:rsidR="00CD44D1" w:rsidRPr="00C74D34">
        <w:rPr>
          <w:szCs w:val="26"/>
        </w:rPr>
        <w:t xml:space="preserve"> </w:t>
      </w:r>
      <w:r w:rsidR="00CD44D1" w:rsidRPr="00C74D34">
        <w:rPr>
          <w:szCs w:val="26"/>
        </w:rPr>
        <w:lastRenderedPageBreak/>
        <w:t>York County Planning Commission</w:t>
      </w:r>
      <w:r w:rsidR="00C85805" w:rsidRPr="00C74D34">
        <w:rPr>
          <w:szCs w:val="26"/>
        </w:rPr>
        <w:t>;</w:t>
      </w:r>
      <w:r w:rsidR="00CD44D1" w:rsidRPr="00C74D34">
        <w:rPr>
          <w:szCs w:val="26"/>
        </w:rPr>
        <w:t xml:space="preserve"> </w:t>
      </w:r>
      <w:r w:rsidR="00B413D4" w:rsidRPr="00C74D34">
        <w:rPr>
          <w:szCs w:val="26"/>
        </w:rPr>
        <w:t>STFC</w:t>
      </w:r>
      <w:r w:rsidR="00C85805" w:rsidRPr="00C74D34">
        <w:rPr>
          <w:szCs w:val="26"/>
        </w:rPr>
        <w:t>;</w:t>
      </w:r>
      <w:r w:rsidR="00B413D4" w:rsidRPr="00C74D34">
        <w:rPr>
          <w:szCs w:val="26"/>
        </w:rPr>
        <w:t xml:space="preserve"> Citizens to Stop </w:t>
      </w:r>
      <w:proofErr w:type="spellStart"/>
      <w:r w:rsidR="00B413D4" w:rsidRPr="00C74D34">
        <w:rPr>
          <w:szCs w:val="26"/>
        </w:rPr>
        <w:t>Transource</w:t>
      </w:r>
      <w:proofErr w:type="spellEnd"/>
      <w:r w:rsidR="00B413D4" w:rsidRPr="00C74D34">
        <w:rPr>
          <w:szCs w:val="26"/>
        </w:rPr>
        <w:t xml:space="preserve"> York County (Citizens)</w:t>
      </w:r>
      <w:r w:rsidR="00C85805" w:rsidRPr="00C74D34">
        <w:rPr>
          <w:szCs w:val="26"/>
        </w:rPr>
        <w:t>;</w:t>
      </w:r>
      <w:r w:rsidR="00CD44D1" w:rsidRPr="00C74D34">
        <w:rPr>
          <w:szCs w:val="26"/>
        </w:rPr>
        <w:t xml:space="preserve"> Maryland and Pennsylvania Railroad Preservation Society</w:t>
      </w:r>
      <w:r w:rsidR="00C85805" w:rsidRPr="00C74D34">
        <w:rPr>
          <w:szCs w:val="26"/>
        </w:rPr>
        <w:t>;</w:t>
      </w:r>
      <w:r w:rsidRPr="00C74D34">
        <w:rPr>
          <w:szCs w:val="26"/>
        </w:rPr>
        <w:t xml:space="preserve"> and PPL Electric Utilities Corporation (PPL).  </w:t>
      </w:r>
      <w:r w:rsidR="00CD44D1" w:rsidRPr="00C74D34">
        <w:rPr>
          <w:szCs w:val="26"/>
        </w:rPr>
        <w:t xml:space="preserve">The Prehearing Order also granted Intervenor status to the OCA and the OSBA as a matter of statutory right.  </w:t>
      </w:r>
      <w:r w:rsidRPr="00C74D34">
        <w:rPr>
          <w:szCs w:val="26"/>
        </w:rPr>
        <w:t xml:space="preserve">On April 3, 2018, an Order </w:t>
      </w:r>
      <w:r w:rsidR="00CD44D1" w:rsidRPr="00C74D34">
        <w:rPr>
          <w:szCs w:val="26"/>
        </w:rPr>
        <w:t xml:space="preserve">amending the March 28, 2018 Prehearing Order was </w:t>
      </w:r>
      <w:r w:rsidRPr="00C74D34">
        <w:rPr>
          <w:szCs w:val="26"/>
        </w:rPr>
        <w:t xml:space="preserve">issued amending Ordering Paragraph No. 5 per </w:t>
      </w:r>
      <w:r w:rsidR="00CD44D1" w:rsidRPr="00C74D34">
        <w:rPr>
          <w:szCs w:val="26"/>
        </w:rPr>
        <w:t>a</w:t>
      </w:r>
      <w:r w:rsidRPr="00C74D34">
        <w:rPr>
          <w:szCs w:val="26"/>
        </w:rPr>
        <w:t xml:space="preserve"> request from </w:t>
      </w:r>
      <w:r w:rsidR="00CD44D1" w:rsidRPr="00C74D34">
        <w:rPr>
          <w:szCs w:val="26"/>
        </w:rPr>
        <w:t xml:space="preserve">the </w:t>
      </w:r>
      <w:r w:rsidRPr="00C74D34">
        <w:rPr>
          <w:szCs w:val="26"/>
        </w:rPr>
        <w:t xml:space="preserve">OCA and </w:t>
      </w:r>
      <w:proofErr w:type="spellStart"/>
      <w:r w:rsidRPr="00C74D34">
        <w:rPr>
          <w:szCs w:val="26"/>
        </w:rPr>
        <w:t>Transource</w:t>
      </w:r>
      <w:proofErr w:type="spellEnd"/>
      <w:r w:rsidRPr="00C74D34">
        <w:rPr>
          <w:szCs w:val="26"/>
        </w:rPr>
        <w:t xml:space="preserve">.  </w:t>
      </w:r>
    </w:p>
    <w:p w14:paraId="6B9A4386" w14:textId="77777777" w:rsidR="00CD44D1" w:rsidRPr="00C74D34" w:rsidRDefault="00CD44D1" w:rsidP="00B11342">
      <w:pPr>
        <w:ind w:firstLine="1440"/>
        <w:rPr>
          <w:szCs w:val="26"/>
        </w:rPr>
      </w:pPr>
    </w:p>
    <w:p w14:paraId="4F00CAC8" w14:textId="77DEDB6E" w:rsidR="00F07E5C" w:rsidRPr="00C74D34" w:rsidRDefault="00F07E5C" w:rsidP="00B11342">
      <w:pPr>
        <w:ind w:firstLine="1440"/>
        <w:rPr>
          <w:szCs w:val="26"/>
        </w:rPr>
      </w:pPr>
      <w:r w:rsidRPr="00C74D34">
        <w:rPr>
          <w:szCs w:val="26"/>
        </w:rPr>
        <w:t xml:space="preserve">On April 27, 2018, certain landowners filed a </w:t>
      </w:r>
      <w:r w:rsidR="008F6032" w:rsidRPr="00C74D34">
        <w:rPr>
          <w:szCs w:val="26"/>
        </w:rPr>
        <w:t>J</w:t>
      </w:r>
      <w:r w:rsidRPr="00C74D34">
        <w:rPr>
          <w:szCs w:val="26"/>
        </w:rPr>
        <w:t xml:space="preserve">oint Petition for Interim Emergency Relief in the Nature of a Protective Order.  On May 2, 2018, these landowners withdrew their Petition for Interim Emergency Relief without prejudice.  </w:t>
      </w:r>
    </w:p>
    <w:p w14:paraId="3B9509D1" w14:textId="77777777" w:rsidR="00B938D0" w:rsidRPr="00C74D34" w:rsidRDefault="00B938D0" w:rsidP="00B11342">
      <w:pPr>
        <w:ind w:firstLine="1440"/>
        <w:rPr>
          <w:szCs w:val="26"/>
        </w:rPr>
      </w:pPr>
    </w:p>
    <w:p w14:paraId="2AD9786F" w14:textId="4B1AC02F" w:rsidR="00F07E5C" w:rsidRPr="00C74D34" w:rsidRDefault="00F07E5C" w:rsidP="00B938D0">
      <w:pPr>
        <w:spacing w:after="144"/>
        <w:ind w:firstLine="1440"/>
        <w:rPr>
          <w:szCs w:val="26"/>
        </w:rPr>
      </w:pPr>
      <w:r w:rsidRPr="00C74D34">
        <w:rPr>
          <w:szCs w:val="26"/>
        </w:rPr>
        <w:t xml:space="preserve">On May 15, 2018, at Docket No. P-2018-3001883, </w:t>
      </w:r>
      <w:proofErr w:type="spellStart"/>
      <w:r w:rsidRPr="00C74D34">
        <w:rPr>
          <w:szCs w:val="26"/>
        </w:rPr>
        <w:t>Transource</w:t>
      </w:r>
      <w:proofErr w:type="spellEnd"/>
      <w:r w:rsidRPr="00C74D34">
        <w:rPr>
          <w:szCs w:val="26"/>
        </w:rPr>
        <w:t xml:space="preserve"> filed a Petition for a Finding that a Building to Shelter Control Equipment at the Furnace Run Substation in York County, P</w:t>
      </w:r>
      <w:r w:rsidR="005050E4" w:rsidRPr="00C74D34">
        <w:rPr>
          <w:szCs w:val="26"/>
        </w:rPr>
        <w:t xml:space="preserve">ennsylvania </w:t>
      </w:r>
      <w:r w:rsidRPr="00C74D34">
        <w:rPr>
          <w:szCs w:val="26"/>
        </w:rPr>
        <w:t xml:space="preserve">is Reasonably Necessary for the Convenience or Welfare of the Public.  On the same day, </w:t>
      </w:r>
      <w:proofErr w:type="spellStart"/>
      <w:r w:rsidRPr="00C74D34">
        <w:rPr>
          <w:szCs w:val="26"/>
        </w:rPr>
        <w:t>Transource</w:t>
      </w:r>
      <w:proofErr w:type="spellEnd"/>
      <w:r w:rsidRPr="00C74D34">
        <w:rPr>
          <w:szCs w:val="26"/>
        </w:rPr>
        <w:t xml:space="preserve"> filed a similar petition at Docket No. P-2018-3001878 relating to the Rice Substation in Franklin County.  On May</w:t>
      </w:r>
      <w:r w:rsidR="00B938D0" w:rsidRPr="00C74D34">
        <w:rPr>
          <w:szCs w:val="26"/>
        </w:rPr>
        <w:t> </w:t>
      </w:r>
      <w:r w:rsidRPr="00C74D34">
        <w:rPr>
          <w:szCs w:val="26"/>
        </w:rPr>
        <w:t>15,</w:t>
      </w:r>
      <w:r w:rsidR="00B938D0" w:rsidRPr="00C74D34">
        <w:rPr>
          <w:szCs w:val="26"/>
        </w:rPr>
        <w:t> </w:t>
      </w:r>
      <w:r w:rsidRPr="00C74D34">
        <w:rPr>
          <w:szCs w:val="26"/>
        </w:rPr>
        <w:t xml:space="preserve">2018, </w:t>
      </w:r>
      <w:proofErr w:type="spellStart"/>
      <w:r w:rsidRPr="00C74D34">
        <w:rPr>
          <w:szCs w:val="26"/>
        </w:rPr>
        <w:t>Transource</w:t>
      </w:r>
      <w:proofErr w:type="spellEnd"/>
      <w:r w:rsidRPr="00C74D34">
        <w:rPr>
          <w:szCs w:val="26"/>
        </w:rPr>
        <w:t xml:space="preserve"> also filed 40 eminent domain applications pertaining to lands in York County and 93 eminent domain applications pertaining to lands in Franklin County.  Notice of the 133 eminent domain applications was published in the </w:t>
      </w:r>
      <w:r w:rsidRPr="00C74D34">
        <w:rPr>
          <w:i/>
          <w:szCs w:val="26"/>
        </w:rPr>
        <w:t>Pennsylvania Bulletin</w:t>
      </w:r>
      <w:r w:rsidRPr="00C74D34">
        <w:rPr>
          <w:szCs w:val="26"/>
        </w:rPr>
        <w:t xml:space="preserve"> on June 16, 2018 at 48 </w:t>
      </w:r>
      <w:proofErr w:type="spellStart"/>
      <w:r w:rsidRPr="00C74D34">
        <w:rPr>
          <w:i/>
          <w:iCs/>
          <w:szCs w:val="26"/>
        </w:rPr>
        <w:t>Pa.B</w:t>
      </w:r>
      <w:proofErr w:type="spellEnd"/>
      <w:r w:rsidRPr="00C74D34">
        <w:rPr>
          <w:i/>
          <w:iCs/>
          <w:szCs w:val="26"/>
        </w:rPr>
        <w:t>.</w:t>
      </w:r>
      <w:r w:rsidRPr="00C74D34">
        <w:rPr>
          <w:szCs w:val="26"/>
        </w:rPr>
        <w:t xml:space="preserve"> 3679.  </w:t>
      </w:r>
    </w:p>
    <w:p w14:paraId="73EE1210" w14:textId="77777777" w:rsidR="00F07E5C" w:rsidRPr="00C74D34" w:rsidRDefault="00F07E5C" w:rsidP="00B11342">
      <w:pPr>
        <w:spacing w:after="112"/>
        <w:ind w:left="91"/>
        <w:rPr>
          <w:szCs w:val="26"/>
        </w:rPr>
      </w:pPr>
      <w:r w:rsidRPr="00C74D34">
        <w:rPr>
          <w:szCs w:val="26"/>
        </w:rPr>
        <w:t xml:space="preserve"> </w:t>
      </w:r>
    </w:p>
    <w:p w14:paraId="0F37E48E" w14:textId="2368248F" w:rsidR="00F07E5C" w:rsidRPr="00C74D34" w:rsidRDefault="00BB2DB3" w:rsidP="00B11342">
      <w:pPr>
        <w:ind w:firstLine="1440"/>
        <w:rPr>
          <w:szCs w:val="26"/>
        </w:rPr>
      </w:pPr>
      <w:r w:rsidRPr="00C74D34">
        <w:rPr>
          <w:szCs w:val="26"/>
        </w:rPr>
        <w:t xml:space="preserve">Two </w:t>
      </w:r>
      <w:r w:rsidR="00DA5E52" w:rsidRPr="00C74D34">
        <w:rPr>
          <w:szCs w:val="26"/>
        </w:rPr>
        <w:t xml:space="preserve">sets of </w:t>
      </w:r>
      <w:r w:rsidRPr="00C74D34">
        <w:rPr>
          <w:szCs w:val="26"/>
        </w:rPr>
        <w:t>P</w:t>
      </w:r>
      <w:r w:rsidR="00F07E5C" w:rsidRPr="00C74D34">
        <w:rPr>
          <w:szCs w:val="26"/>
        </w:rPr>
        <w:t xml:space="preserve">ublic Input </w:t>
      </w:r>
      <w:r w:rsidRPr="00C74D34">
        <w:rPr>
          <w:szCs w:val="26"/>
        </w:rPr>
        <w:t>H</w:t>
      </w:r>
      <w:r w:rsidR="00F07E5C" w:rsidRPr="00C74D34">
        <w:rPr>
          <w:szCs w:val="26"/>
        </w:rPr>
        <w:t xml:space="preserve">earings </w:t>
      </w:r>
      <w:r w:rsidRPr="00C74D34">
        <w:rPr>
          <w:szCs w:val="26"/>
        </w:rPr>
        <w:t xml:space="preserve">on the </w:t>
      </w:r>
      <w:r w:rsidR="00C90B4F" w:rsidRPr="00C74D34">
        <w:rPr>
          <w:szCs w:val="26"/>
        </w:rPr>
        <w:t xml:space="preserve">respective </w:t>
      </w:r>
      <w:r w:rsidRPr="00C74D34">
        <w:rPr>
          <w:szCs w:val="26"/>
        </w:rPr>
        <w:t>Siting Application</w:t>
      </w:r>
      <w:r w:rsidR="00C90B4F" w:rsidRPr="00C74D34">
        <w:rPr>
          <w:szCs w:val="26"/>
        </w:rPr>
        <w:t>s</w:t>
      </w:r>
      <w:r w:rsidRPr="00C74D34">
        <w:rPr>
          <w:szCs w:val="26"/>
        </w:rPr>
        <w:t xml:space="preserve"> </w:t>
      </w:r>
      <w:r w:rsidR="00F07E5C" w:rsidRPr="00C74D34">
        <w:rPr>
          <w:szCs w:val="26"/>
        </w:rPr>
        <w:t xml:space="preserve">were held </w:t>
      </w:r>
      <w:r w:rsidRPr="00C74D34">
        <w:rPr>
          <w:szCs w:val="26"/>
        </w:rPr>
        <w:t xml:space="preserve">in York and Franklin Counties </w:t>
      </w:r>
      <w:r w:rsidR="00F07E5C" w:rsidRPr="00C74D34">
        <w:rPr>
          <w:szCs w:val="26"/>
        </w:rPr>
        <w:t xml:space="preserve">on May 9 and 15, </w:t>
      </w:r>
      <w:r w:rsidRPr="00C74D34">
        <w:rPr>
          <w:szCs w:val="26"/>
        </w:rPr>
        <w:t>a</w:t>
      </w:r>
      <w:r w:rsidR="00F07E5C" w:rsidRPr="00C74D34">
        <w:rPr>
          <w:szCs w:val="26"/>
        </w:rPr>
        <w:t>nd May 22 and 23</w:t>
      </w:r>
      <w:r w:rsidRPr="00C74D34">
        <w:rPr>
          <w:szCs w:val="26"/>
        </w:rPr>
        <w:t>, 2018, respectively.  Thereafter, o</w:t>
      </w:r>
      <w:r w:rsidR="00F07E5C" w:rsidRPr="00C74D34">
        <w:rPr>
          <w:szCs w:val="26"/>
        </w:rPr>
        <w:t>n May 29 and 30, 2018, site vi</w:t>
      </w:r>
      <w:r w:rsidRPr="00C74D34">
        <w:rPr>
          <w:szCs w:val="26"/>
        </w:rPr>
        <w:t>sits</w:t>
      </w:r>
      <w:r w:rsidR="00F07E5C" w:rsidRPr="00C74D34">
        <w:rPr>
          <w:szCs w:val="26"/>
        </w:rPr>
        <w:t xml:space="preserve"> </w:t>
      </w:r>
      <w:r w:rsidRPr="00C74D34">
        <w:rPr>
          <w:szCs w:val="26"/>
        </w:rPr>
        <w:t>were conducted</w:t>
      </w:r>
      <w:r w:rsidR="00F07E5C" w:rsidRPr="00C74D34">
        <w:rPr>
          <w:szCs w:val="26"/>
        </w:rPr>
        <w:t xml:space="preserve"> in Franklin County on properties of all landowners requesting a site vi</w:t>
      </w:r>
      <w:r w:rsidR="00B30598" w:rsidRPr="00C74D34">
        <w:rPr>
          <w:szCs w:val="26"/>
        </w:rPr>
        <w:t>sit</w:t>
      </w:r>
      <w:r w:rsidRPr="00C74D34">
        <w:rPr>
          <w:szCs w:val="26"/>
        </w:rPr>
        <w:t>, and similarly, o</w:t>
      </w:r>
      <w:r w:rsidR="00F07E5C" w:rsidRPr="00C74D34">
        <w:rPr>
          <w:szCs w:val="26"/>
        </w:rPr>
        <w:t>n June</w:t>
      </w:r>
      <w:r w:rsidR="00B938D0" w:rsidRPr="00C74D34">
        <w:rPr>
          <w:szCs w:val="26"/>
        </w:rPr>
        <w:t> </w:t>
      </w:r>
      <w:r w:rsidR="00F07E5C" w:rsidRPr="00C74D34">
        <w:rPr>
          <w:szCs w:val="26"/>
        </w:rPr>
        <w:t>1,</w:t>
      </w:r>
      <w:r w:rsidR="00B938D0" w:rsidRPr="00C74D34">
        <w:rPr>
          <w:szCs w:val="26"/>
        </w:rPr>
        <w:t> </w:t>
      </w:r>
      <w:r w:rsidR="00F07E5C" w:rsidRPr="00C74D34">
        <w:rPr>
          <w:szCs w:val="26"/>
        </w:rPr>
        <w:t>2018, site vi</w:t>
      </w:r>
      <w:r w:rsidRPr="00C74D34">
        <w:rPr>
          <w:szCs w:val="26"/>
        </w:rPr>
        <w:t xml:space="preserve">sits were conducted </w:t>
      </w:r>
      <w:r w:rsidR="00F07E5C" w:rsidRPr="00C74D34">
        <w:rPr>
          <w:szCs w:val="26"/>
        </w:rPr>
        <w:t>in York County on all properties of landowners requesting a site vi</w:t>
      </w:r>
      <w:r w:rsidR="00B30598" w:rsidRPr="00C74D34">
        <w:rPr>
          <w:szCs w:val="26"/>
        </w:rPr>
        <w:t>sit</w:t>
      </w:r>
      <w:r w:rsidR="00F07E5C" w:rsidRPr="00C74D34">
        <w:rPr>
          <w:szCs w:val="26"/>
        </w:rPr>
        <w:t xml:space="preserve">.  </w:t>
      </w:r>
      <w:r w:rsidR="00B30598" w:rsidRPr="00C74D34">
        <w:rPr>
          <w:szCs w:val="26"/>
        </w:rPr>
        <w:t xml:space="preserve">These site visits </w:t>
      </w:r>
      <w:r w:rsidR="000117DD" w:rsidRPr="00C74D34">
        <w:rPr>
          <w:szCs w:val="26"/>
        </w:rPr>
        <w:t>provide</w:t>
      </w:r>
      <w:r w:rsidR="00B30598" w:rsidRPr="00C74D34">
        <w:rPr>
          <w:szCs w:val="26"/>
        </w:rPr>
        <w:t>d</w:t>
      </w:r>
      <w:r w:rsidR="000117DD" w:rsidRPr="00C74D34">
        <w:rPr>
          <w:szCs w:val="26"/>
        </w:rPr>
        <w:t xml:space="preserve"> an opportunity for the ALJs, </w:t>
      </w:r>
      <w:r w:rsidR="00B30598" w:rsidRPr="00C74D34">
        <w:rPr>
          <w:szCs w:val="26"/>
        </w:rPr>
        <w:t>parties’ counsel,</w:t>
      </w:r>
      <w:r w:rsidR="000117DD" w:rsidRPr="00C74D34">
        <w:rPr>
          <w:szCs w:val="26"/>
        </w:rPr>
        <w:t xml:space="preserve"> and </w:t>
      </w:r>
      <w:r w:rsidR="00B30598" w:rsidRPr="00C74D34">
        <w:rPr>
          <w:szCs w:val="26"/>
        </w:rPr>
        <w:t xml:space="preserve">all </w:t>
      </w:r>
      <w:r w:rsidR="000117DD" w:rsidRPr="00C74D34">
        <w:rPr>
          <w:szCs w:val="26"/>
        </w:rPr>
        <w:t>other interested parties to visit a specific location</w:t>
      </w:r>
      <w:r w:rsidR="00B30598" w:rsidRPr="00C74D34">
        <w:rPr>
          <w:szCs w:val="26"/>
        </w:rPr>
        <w:t>.</w:t>
      </w:r>
    </w:p>
    <w:p w14:paraId="45117E77" w14:textId="2FACC2E0" w:rsidR="004B5F56" w:rsidRPr="00C74D34" w:rsidRDefault="004B5F56" w:rsidP="00B11342">
      <w:pPr>
        <w:ind w:firstLine="1440"/>
        <w:rPr>
          <w:szCs w:val="26"/>
        </w:rPr>
      </w:pPr>
      <w:r w:rsidRPr="00C74D34">
        <w:rPr>
          <w:szCs w:val="26"/>
        </w:rPr>
        <w:lastRenderedPageBreak/>
        <w:t xml:space="preserve">On June 1, 2018, </w:t>
      </w:r>
      <w:r w:rsidR="00906677" w:rsidRPr="00C74D34">
        <w:rPr>
          <w:szCs w:val="26"/>
        </w:rPr>
        <w:t xml:space="preserve">the </w:t>
      </w:r>
      <w:r w:rsidRPr="00C74D34">
        <w:rPr>
          <w:szCs w:val="26"/>
        </w:rPr>
        <w:t xml:space="preserve">OCA filed a </w:t>
      </w:r>
      <w:r w:rsidR="00E06BDA" w:rsidRPr="00C74D34">
        <w:rPr>
          <w:szCs w:val="26"/>
        </w:rPr>
        <w:t>N</w:t>
      </w:r>
      <w:r w:rsidRPr="00C74D34">
        <w:rPr>
          <w:szCs w:val="26"/>
        </w:rPr>
        <w:t xml:space="preserve">otice of </w:t>
      </w:r>
      <w:r w:rsidR="00E06BDA" w:rsidRPr="00C74D34">
        <w:rPr>
          <w:szCs w:val="26"/>
        </w:rPr>
        <w:t>I</w:t>
      </w:r>
      <w:r w:rsidRPr="00C74D34">
        <w:rPr>
          <w:szCs w:val="26"/>
        </w:rPr>
        <w:t>ntervention in the two petitions and a Motion to Amend the Procedural Schedule.  On June 4, 2018,</w:t>
      </w:r>
      <w:r w:rsidR="00DA5E52" w:rsidRPr="00C74D34">
        <w:rPr>
          <w:szCs w:val="26"/>
        </w:rPr>
        <w:t xml:space="preserve"> a</w:t>
      </w:r>
      <w:r w:rsidRPr="00C74D34">
        <w:rPr>
          <w:szCs w:val="26"/>
        </w:rPr>
        <w:t xml:space="preserve"> Notice of a Further Prehearing Conference was issued scheduling a second prehearing conference for July 9, 2018.  On June 5, 2018, a Second Prehearing Conference Order was issued.  On June 6, 2018, </w:t>
      </w:r>
      <w:proofErr w:type="spellStart"/>
      <w:r w:rsidRPr="00C74D34">
        <w:rPr>
          <w:szCs w:val="26"/>
        </w:rPr>
        <w:t>Transource</w:t>
      </w:r>
      <w:proofErr w:type="spellEnd"/>
      <w:r w:rsidRPr="00C74D34">
        <w:rPr>
          <w:szCs w:val="26"/>
        </w:rPr>
        <w:t xml:space="preserve"> filed an Answer to </w:t>
      </w:r>
      <w:r w:rsidR="00C90B4F" w:rsidRPr="00C74D34">
        <w:rPr>
          <w:szCs w:val="26"/>
        </w:rPr>
        <w:t xml:space="preserve">the </w:t>
      </w:r>
      <w:r w:rsidRPr="00C74D34">
        <w:rPr>
          <w:szCs w:val="26"/>
        </w:rPr>
        <w:t xml:space="preserve">OCA’s Motion to Amend the Procedural Schedule.  The Second Prehearing Conference Order was published in the </w:t>
      </w:r>
      <w:r w:rsidRPr="00C74D34">
        <w:rPr>
          <w:i/>
          <w:szCs w:val="26"/>
        </w:rPr>
        <w:t>Pennsylvania Bulletin</w:t>
      </w:r>
      <w:r w:rsidRPr="00C74D34">
        <w:rPr>
          <w:szCs w:val="26"/>
        </w:rPr>
        <w:t xml:space="preserve"> on June 16, 2018.  48 </w:t>
      </w:r>
      <w:proofErr w:type="spellStart"/>
      <w:r w:rsidRPr="00C74D34">
        <w:rPr>
          <w:i/>
          <w:iCs/>
          <w:szCs w:val="26"/>
        </w:rPr>
        <w:t>Pa.B</w:t>
      </w:r>
      <w:proofErr w:type="spellEnd"/>
      <w:r w:rsidRPr="00C74D34">
        <w:rPr>
          <w:i/>
          <w:iCs/>
          <w:szCs w:val="26"/>
        </w:rPr>
        <w:t>.</w:t>
      </w:r>
      <w:r w:rsidRPr="00C74D34">
        <w:rPr>
          <w:szCs w:val="26"/>
        </w:rPr>
        <w:t xml:space="preserve"> 3679.  On June 26, 2018, a Third Prehearing Order was issued granting </w:t>
      </w:r>
      <w:r w:rsidR="00C90B4F" w:rsidRPr="00C74D34">
        <w:rPr>
          <w:szCs w:val="26"/>
        </w:rPr>
        <w:t xml:space="preserve">the </w:t>
      </w:r>
      <w:r w:rsidRPr="00C74D34">
        <w:rPr>
          <w:szCs w:val="26"/>
        </w:rPr>
        <w:t xml:space="preserve">OCA’s </w:t>
      </w:r>
      <w:r w:rsidR="006247AD" w:rsidRPr="00C74D34">
        <w:rPr>
          <w:szCs w:val="26"/>
        </w:rPr>
        <w:t>M</w:t>
      </w:r>
      <w:r w:rsidRPr="00C74D34">
        <w:rPr>
          <w:szCs w:val="26"/>
        </w:rPr>
        <w:t xml:space="preserve">otion for an </w:t>
      </w:r>
      <w:r w:rsidR="006247AD" w:rsidRPr="00C74D34">
        <w:rPr>
          <w:szCs w:val="26"/>
        </w:rPr>
        <w:t>E</w:t>
      </w:r>
      <w:r w:rsidRPr="00C74D34">
        <w:rPr>
          <w:szCs w:val="26"/>
        </w:rPr>
        <w:t xml:space="preserve">xtension of </w:t>
      </w:r>
      <w:r w:rsidR="006247AD" w:rsidRPr="00C74D34">
        <w:rPr>
          <w:szCs w:val="26"/>
        </w:rPr>
        <w:t>T</w:t>
      </w:r>
      <w:r w:rsidRPr="00C74D34">
        <w:rPr>
          <w:szCs w:val="26"/>
        </w:rPr>
        <w:t>ime allowed for intervenor direct testimony from July 25 to September 25, 2018.  Pursuant to 52 Pa. Code § 57.75, the Order consolidated the 133 eminent domain applications and zoning petitions with the applications at Docket No. A-2017-2640195.  A Fourth Prehearing Order was issued on July 30, 2018, admitting photographs (marked as PUC exhibits) taken by Commission Staff at the Franklin and York County site vi</w:t>
      </w:r>
      <w:r w:rsidR="004B51E3" w:rsidRPr="00C74D34">
        <w:rPr>
          <w:szCs w:val="26"/>
        </w:rPr>
        <w:t>sits</w:t>
      </w:r>
      <w:r w:rsidRPr="00C74D34">
        <w:rPr>
          <w:szCs w:val="26"/>
        </w:rPr>
        <w:t xml:space="preserve"> </w:t>
      </w:r>
      <w:r w:rsidR="004B51E3" w:rsidRPr="00C74D34">
        <w:rPr>
          <w:szCs w:val="26"/>
        </w:rPr>
        <w:t xml:space="preserve">in late May and June 1, 2018, respectively, </w:t>
      </w:r>
      <w:r w:rsidRPr="00C74D34">
        <w:rPr>
          <w:szCs w:val="26"/>
        </w:rPr>
        <w:t>into the record.</w:t>
      </w:r>
    </w:p>
    <w:p w14:paraId="779B7F0C" w14:textId="2365F3C2" w:rsidR="004F3705" w:rsidRPr="00C74D34" w:rsidRDefault="004F3705" w:rsidP="00B11342">
      <w:pPr>
        <w:ind w:firstLine="1440"/>
        <w:rPr>
          <w:szCs w:val="26"/>
        </w:rPr>
      </w:pPr>
    </w:p>
    <w:p w14:paraId="0E94FEB0" w14:textId="287FDDF4" w:rsidR="004F3705" w:rsidRPr="00C74D34" w:rsidRDefault="004F3705" w:rsidP="00B11342">
      <w:pPr>
        <w:ind w:firstLine="1440"/>
        <w:rPr>
          <w:szCs w:val="26"/>
        </w:rPr>
      </w:pPr>
      <w:r w:rsidRPr="00C74D34">
        <w:rPr>
          <w:szCs w:val="26"/>
        </w:rPr>
        <w:t xml:space="preserve">Because the 133 eminent domain applications were not filed with the initial </w:t>
      </w:r>
      <w:r w:rsidR="00C90B4F" w:rsidRPr="00C74D34">
        <w:rPr>
          <w:szCs w:val="26"/>
        </w:rPr>
        <w:t>Siting A</w:t>
      </w:r>
      <w:r w:rsidRPr="00C74D34">
        <w:rPr>
          <w:szCs w:val="26"/>
        </w:rPr>
        <w:t xml:space="preserve">pplications, but rather after some public input hearings, in order to afford </w:t>
      </w:r>
      <w:r w:rsidR="00B135A1" w:rsidRPr="00C74D34">
        <w:rPr>
          <w:szCs w:val="26"/>
        </w:rPr>
        <w:t xml:space="preserve">due process to </w:t>
      </w:r>
      <w:r w:rsidRPr="00C74D34">
        <w:rPr>
          <w:szCs w:val="26"/>
        </w:rPr>
        <w:t>those landowners</w:t>
      </w:r>
      <w:r w:rsidR="00B135A1" w:rsidRPr="00C74D34">
        <w:rPr>
          <w:szCs w:val="26"/>
        </w:rPr>
        <w:t xml:space="preserve"> that were</w:t>
      </w:r>
      <w:r w:rsidRPr="00C74D34">
        <w:rPr>
          <w:szCs w:val="26"/>
        </w:rPr>
        <w:t xml:space="preserve"> the subject of</w:t>
      </w:r>
      <w:r w:rsidR="00B135A1" w:rsidRPr="00C74D34">
        <w:rPr>
          <w:szCs w:val="26"/>
        </w:rPr>
        <w:t xml:space="preserve"> the</w:t>
      </w:r>
      <w:r w:rsidRPr="00C74D34">
        <w:rPr>
          <w:szCs w:val="26"/>
        </w:rPr>
        <w:t xml:space="preserve"> eminent domain applications, further public input hearings were held on September 18, 2018</w:t>
      </w:r>
      <w:r w:rsidR="00B135A1" w:rsidRPr="00C74D34">
        <w:rPr>
          <w:szCs w:val="26"/>
        </w:rPr>
        <w:t>,</w:t>
      </w:r>
      <w:r w:rsidRPr="00C74D34">
        <w:rPr>
          <w:szCs w:val="26"/>
        </w:rPr>
        <w:t xml:space="preserve"> in Chambersburg, Franklin County and on September 20, 2018</w:t>
      </w:r>
      <w:r w:rsidR="00B135A1" w:rsidRPr="00C74D34">
        <w:rPr>
          <w:szCs w:val="26"/>
        </w:rPr>
        <w:t>,</w:t>
      </w:r>
      <w:r w:rsidRPr="00C74D34">
        <w:rPr>
          <w:szCs w:val="26"/>
        </w:rPr>
        <w:t xml:space="preserve"> in </w:t>
      </w:r>
      <w:proofErr w:type="spellStart"/>
      <w:r w:rsidRPr="00C74D34">
        <w:rPr>
          <w:szCs w:val="26"/>
        </w:rPr>
        <w:t>Airville</w:t>
      </w:r>
      <w:proofErr w:type="spellEnd"/>
      <w:r w:rsidRPr="00C74D34">
        <w:rPr>
          <w:szCs w:val="26"/>
        </w:rPr>
        <w:t xml:space="preserve">, York County. </w:t>
      </w:r>
    </w:p>
    <w:p w14:paraId="04FB5EAA" w14:textId="77777777" w:rsidR="004F3705" w:rsidRPr="00C74D34" w:rsidRDefault="004F3705" w:rsidP="00B11342">
      <w:pPr>
        <w:spacing w:after="113" w:line="259" w:lineRule="auto"/>
        <w:ind w:left="1531"/>
        <w:rPr>
          <w:szCs w:val="26"/>
        </w:rPr>
      </w:pPr>
      <w:r w:rsidRPr="00C74D34">
        <w:rPr>
          <w:szCs w:val="26"/>
        </w:rPr>
        <w:t xml:space="preserve"> </w:t>
      </w:r>
    </w:p>
    <w:p w14:paraId="3A6B4021" w14:textId="1272370D" w:rsidR="004F3705" w:rsidRPr="00C74D34" w:rsidRDefault="004F3705" w:rsidP="00B11342">
      <w:pPr>
        <w:spacing w:line="358" w:lineRule="auto"/>
        <w:ind w:left="76" w:right="60" w:firstLine="1440"/>
        <w:rPr>
          <w:szCs w:val="26"/>
        </w:rPr>
      </w:pPr>
      <w:r w:rsidRPr="00C74D34">
        <w:rPr>
          <w:szCs w:val="26"/>
        </w:rPr>
        <w:t xml:space="preserve">On September 25, 2018, STFC requested an extension of time to submit </w:t>
      </w:r>
      <w:r w:rsidR="00C90B4F" w:rsidRPr="00C74D34">
        <w:rPr>
          <w:szCs w:val="26"/>
        </w:rPr>
        <w:t>i</w:t>
      </w:r>
      <w:r w:rsidRPr="00C74D34">
        <w:rPr>
          <w:szCs w:val="26"/>
        </w:rPr>
        <w:t>ntervenor testimonies and exhibits.  On October 2, 2018, a Fifth Prehearing Order was issued extending the deadline for intervenor direct testimony from September 25, 2018</w:t>
      </w:r>
      <w:r w:rsidR="00B135A1" w:rsidRPr="00C74D34">
        <w:rPr>
          <w:szCs w:val="26"/>
        </w:rPr>
        <w:t>,</w:t>
      </w:r>
      <w:r w:rsidRPr="00C74D34">
        <w:rPr>
          <w:szCs w:val="26"/>
        </w:rPr>
        <w:t xml:space="preserve"> to October 11, 2018</w:t>
      </w:r>
      <w:r w:rsidR="00B135A1" w:rsidRPr="00C74D34">
        <w:rPr>
          <w:szCs w:val="26"/>
        </w:rPr>
        <w:t>,</w:t>
      </w:r>
      <w:r w:rsidRPr="00C74D34">
        <w:rPr>
          <w:szCs w:val="26"/>
        </w:rPr>
        <w:t xml:space="preserve"> and deeming the following eminent domain application dockets withdrawn: </w:t>
      </w:r>
    </w:p>
    <w:p w14:paraId="42B69A88" w14:textId="77777777" w:rsidR="00B938D0" w:rsidRPr="00C74D34" w:rsidRDefault="00B938D0" w:rsidP="00B938D0">
      <w:pPr>
        <w:spacing w:line="240" w:lineRule="auto"/>
        <w:ind w:left="76" w:right="60" w:firstLine="1440"/>
        <w:rPr>
          <w:szCs w:val="26"/>
        </w:rPr>
      </w:pPr>
    </w:p>
    <w:p w14:paraId="3F87F772" w14:textId="42F85BCA" w:rsidR="004F3705" w:rsidRPr="00C74D34" w:rsidRDefault="004F3705" w:rsidP="0047446A">
      <w:pPr>
        <w:tabs>
          <w:tab w:val="left" w:pos="3240"/>
        </w:tabs>
        <w:spacing w:line="240" w:lineRule="auto"/>
        <w:ind w:left="1440" w:right="1440" w:hanging="720"/>
        <w:rPr>
          <w:szCs w:val="26"/>
        </w:rPr>
      </w:pPr>
      <w:r w:rsidRPr="00C74D34">
        <w:rPr>
          <w:szCs w:val="26"/>
        </w:rPr>
        <w:t>A-2018-3002070</w:t>
      </w:r>
      <w:r w:rsidR="00DC31B8" w:rsidRPr="00C74D34">
        <w:rPr>
          <w:szCs w:val="26"/>
        </w:rPr>
        <w:tab/>
      </w:r>
      <w:r w:rsidRPr="00C74D34">
        <w:rPr>
          <w:szCs w:val="26"/>
        </w:rPr>
        <w:t xml:space="preserve">Laverne &amp; Ellen Martin </w:t>
      </w:r>
    </w:p>
    <w:p w14:paraId="71D2DD3B" w14:textId="77777777" w:rsidR="00DC31B8" w:rsidRPr="00C74D34" w:rsidRDefault="004F3705" w:rsidP="0047446A">
      <w:pPr>
        <w:tabs>
          <w:tab w:val="left" w:pos="3240"/>
        </w:tabs>
        <w:spacing w:after="1" w:line="240" w:lineRule="auto"/>
        <w:ind w:left="1440" w:right="1440" w:hanging="720"/>
        <w:rPr>
          <w:szCs w:val="26"/>
        </w:rPr>
      </w:pPr>
      <w:r w:rsidRPr="00C74D34">
        <w:rPr>
          <w:szCs w:val="26"/>
        </w:rPr>
        <w:t>A-2018-3002311</w:t>
      </w:r>
      <w:r w:rsidR="00DC31B8" w:rsidRPr="00C74D34">
        <w:rPr>
          <w:szCs w:val="26"/>
        </w:rPr>
        <w:tab/>
      </w:r>
      <w:r w:rsidRPr="00C74D34">
        <w:rPr>
          <w:szCs w:val="26"/>
        </w:rPr>
        <w:t>Gerald L. &amp; Elaine</w:t>
      </w:r>
      <w:r w:rsidR="00FA5741" w:rsidRPr="00C74D34">
        <w:rPr>
          <w:szCs w:val="26"/>
        </w:rPr>
        <w:t xml:space="preserve"> Eberly</w:t>
      </w:r>
      <w:r w:rsidR="00B135A1" w:rsidRPr="00C74D34">
        <w:rPr>
          <w:szCs w:val="26"/>
        </w:rPr>
        <w:t xml:space="preserve"> </w:t>
      </w:r>
    </w:p>
    <w:p w14:paraId="2391C3FD" w14:textId="26347F0C" w:rsidR="00FA5741" w:rsidRPr="00C74D34" w:rsidRDefault="004F3705" w:rsidP="0047446A">
      <w:pPr>
        <w:tabs>
          <w:tab w:val="left" w:pos="3240"/>
        </w:tabs>
        <w:spacing w:after="1" w:line="240" w:lineRule="auto"/>
        <w:ind w:left="1440" w:right="1440" w:hanging="720"/>
        <w:rPr>
          <w:szCs w:val="26"/>
        </w:rPr>
      </w:pPr>
      <w:r w:rsidRPr="00C74D34">
        <w:rPr>
          <w:szCs w:val="26"/>
        </w:rPr>
        <w:t>A-2018-3002019</w:t>
      </w:r>
      <w:r w:rsidR="00DC31B8" w:rsidRPr="00C74D34">
        <w:rPr>
          <w:szCs w:val="26"/>
        </w:rPr>
        <w:tab/>
      </w:r>
      <w:r w:rsidRPr="00C74D34">
        <w:rPr>
          <w:szCs w:val="26"/>
        </w:rPr>
        <w:t xml:space="preserve">Joseph N. </w:t>
      </w:r>
      <w:proofErr w:type="spellStart"/>
      <w:r w:rsidRPr="00C74D34">
        <w:rPr>
          <w:szCs w:val="26"/>
        </w:rPr>
        <w:t>Weagley</w:t>
      </w:r>
      <w:proofErr w:type="spellEnd"/>
      <w:r w:rsidRPr="00C74D34">
        <w:rPr>
          <w:szCs w:val="26"/>
        </w:rPr>
        <w:t xml:space="preserve"> </w:t>
      </w:r>
    </w:p>
    <w:p w14:paraId="5E2CB8DD" w14:textId="37624F6E" w:rsidR="004F3705" w:rsidRPr="00C74D34" w:rsidRDefault="004F3705" w:rsidP="0047446A">
      <w:pPr>
        <w:tabs>
          <w:tab w:val="left" w:pos="3240"/>
        </w:tabs>
        <w:spacing w:after="1" w:line="240" w:lineRule="auto"/>
        <w:ind w:left="1440" w:right="1440" w:hanging="720"/>
        <w:rPr>
          <w:szCs w:val="26"/>
        </w:rPr>
      </w:pPr>
      <w:r w:rsidRPr="00C74D34">
        <w:rPr>
          <w:szCs w:val="26"/>
        </w:rPr>
        <w:lastRenderedPageBreak/>
        <w:t>A-2018-3002348</w:t>
      </w:r>
      <w:r w:rsidR="00DC31B8" w:rsidRPr="00C74D34">
        <w:rPr>
          <w:szCs w:val="26"/>
        </w:rPr>
        <w:tab/>
      </w:r>
      <w:r w:rsidRPr="00C74D34">
        <w:rPr>
          <w:szCs w:val="26"/>
        </w:rPr>
        <w:t xml:space="preserve">Forrester Farms, II, Inc. </w:t>
      </w:r>
    </w:p>
    <w:p w14:paraId="74BCD810" w14:textId="10873BA3" w:rsidR="004F3705" w:rsidRPr="00C74D34" w:rsidRDefault="004F3705" w:rsidP="0047446A">
      <w:pPr>
        <w:tabs>
          <w:tab w:val="left" w:pos="3240"/>
        </w:tabs>
        <w:spacing w:line="240" w:lineRule="auto"/>
        <w:ind w:left="1440" w:right="1440" w:hanging="720"/>
        <w:rPr>
          <w:szCs w:val="26"/>
        </w:rPr>
      </w:pPr>
      <w:r w:rsidRPr="00C74D34">
        <w:rPr>
          <w:szCs w:val="26"/>
        </w:rPr>
        <w:t>A-2018-3002030</w:t>
      </w:r>
      <w:r w:rsidR="00DC31B8" w:rsidRPr="00C74D34">
        <w:rPr>
          <w:szCs w:val="26"/>
        </w:rPr>
        <w:tab/>
      </w:r>
      <w:r w:rsidRPr="00C74D34">
        <w:rPr>
          <w:szCs w:val="26"/>
        </w:rPr>
        <w:t xml:space="preserve">Jason M. &amp; Rosalie Hostetter </w:t>
      </w:r>
    </w:p>
    <w:p w14:paraId="0BB9DF98" w14:textId="4FF592DA" w:rsidR="004F3705" w:rsidRPr="00C74D34" w:rsidRDefault="004F3705" w:rsidP="0047446A">
      <w:pPr>
        <w:tabs>
          <w:tab w:val="left" w:pos="3240"/>
        </w:tabs>
        <w:spacing w:line="240" w:lineRule="auto"/>
        <w:ind w:left="1440" w:right="1440" w:hanging="720"/>
        <w:rPr>
          <w:szCs w:val="26"/>
        </w:rPr>
      </w:pPr>
      <w:r w:rsidRPr="00C74D34">
        <w:rPr>
          <w:szCs w:val="26"/>
        </w:rPr>
        <w:t>A-2018-3002120</w:t>
      </w:r>
      <w:r w:rsidR="00DC31B8" w:rsidRPr="00C74D34">
        <w:rPr>
          <w:szCs w:val="26"/>
        </w:rPr>
        <w:tab/>
      </w:r>
      <w:r w:rsidRPr="00C74D34">
        <w:rPr>
          <w:szCs w:val="26"/>
        </w:rPr>
        <w:t xml:space="preserve">Iven H. &amp; Ruby E Benedict </w:t>
      </w:r>
    </w:p>
    <w:p w14:paraId="74C36E68" w14:textId="1A0DE660" w:rsidR="004F3705" w:rsidRPr="00C74D34" w:rsidRDefault="004F3705" w:rsidP="0047446A">
      <w:pPr>
        <w:tabs>
          <w:tab w:val="left" w:pos="3240"/>
        </w:tabs>
        <w:spacing w:line="240" w:lineRule="auto"/>
        <w:ind w:left="1440" w:right="1440" w:hanging="720"/>
        <w:rPr>
          <w:szCs w:val="26"/>
        </w:rPr>
      </w:pPr>
      <w:r w:rsidRPr="00C74D34">
        <w:rPr>
          <w:szCs w:val="26"/>
        </w:rPr>
        <w:t>A-2018-3002040</w:t>
      </w:r>
      <w:r w:rsidR="00DC31B8" w:rsidRPr="00C74D34">
        <w:rPr>
          <w:szCs w:val="26"/>
        </w:rPr>
        <w:tab/>
      </w:r>
      <w:r w:rsidRPr="00C74D34">
        <w:rPr>
          <w:szCs w:val="26"/>
        </w:rPr>
        <w:t xml:space="preserve">Harold H. Wenger Living Trust </w:t>
      </w:r>
    </w:p>
    <w:p w14:paraId="086F81B9" w14:textId="4D45A756" w:rsidR="004F3705" w:rsidRPr="00C74D34" w:rsidRDefault="004F3705" w:rsidP="0047446A">
      <w:pPr>
        <w:tabs>
          <w:tab w:val="left" w:pos="3240"/>
        </w:tabs>
        <w:spacing w:line="240" w:lineRule="auto"/>
        <w:ind w:left="1440" w:right="1440" w:hanging="720"/>
        <w:rPr>
          <w:szCs w:val="26"/>
        </w:rPr>
      </w:pPr>
      <w:r w:rsidRPr="00C74D34">
        <w:rPr>
          <w:szCs w:val="26"/>
        </w:rPr>
        <w:t>A-2018-3002222</w:t>
      </w:r>
      <w:r w:rsidR="00DC31B8" w:rsidRPr="00C74D34">
        <w:rPr>
          <w:szCs w:val="26"/>
        </w:rPr>
        <w:tab/>
      </w:r>
      <w:r w:rsidRPr="00C74D34">
        <w:rPr>
          <w:szCs w:val="26"/>
        </w:rPr>
        <w:t xml:space="preserve">REK Properties LLC </w:t>
      </w:r>
    </w:p>
    <w:p w14:paraId="38D04616" w14:textId="79893BBC" w:rsidR="004F3705" w:rsidRPr="00C74D34" w:rsidRDefault="004F3705" w:rsidP="0047446A">
      <w:pPr>
        <w:tabs>
          <w:tab w:val="left" w:pos="3240"/>
        </w:tabs>
        <w:spacing w:line="240" w:lineRule="auto"/>
        <w:ind w:left="1440" w:right="1440" w:hanging="720"/>
        <w:rPr>
          <w:szCs w:val="26"/>
        </w:rPr>
      </w:pPr>
      <w:r w:rsidRPr="00C74D34">
        <w:rPr>
          <w:szCs w:val="26"/>
        </w:rPr>
        <w:t>A-2018-3002035</w:t>
      </w:r>
      <w:r w:rsidR="00DC31B8" w:rsidRPr="00C74D34">
        <w:rPr>
          <w:szCs w:val="26"/>
        </w:rPr>
        <w:tab/>
      </w:r>
      <w:r w:rsidRPr="00C74D34">
        <w:rPr>
          <w:szCs w:val="26"/>
        </w:rPr>
        <w:t xml:space="preserve">Salt Creek Partners LLC </w:t>
      </w:r>
    </w:p>
    <w:p w14:paraId="291D9675" w14:textId="37737584" w:rsidR="004F3705" w:rsidRPr="00C74D34" w:rsidRDefault="004F3705" w:rsidP="0047446A">
      <w:pPr>
        <w:tabs>
          <w:tab w:val="left" w:pos="3240"/>
        </w:tabs>
        <w:spacing w:line="240" w:lineRule="auto"/>
        <w:ind w:left="3240" w:right="1440" w:hanging="2520"/>
        <w:rPr>
          <w:szCs w:val="26"/>
        </w:rPr>
      </w:pPr>
      <w:r w:rsidRPr="00C74D34">
        <w:rPr>
          <w:szCs w:val="26"/>
        </w:rPr>
        <w:t>A-2018-3002001</w:t>
      </w:r>
      <w:r w:rsidR="00DC31B8" w:rsidRPr="00C74D34">
        <w:rPr>
          <w:szCs w:val="26"/>
        </w:rPr>
        <w:tab/>
      </w:r>
      <w:r w:rsidRPr="00C74D34">
        <w:rPr>
          <w:szCs w:val="26"/>
        </w:rPr>
        <w:t xml:space="preserve">Jack E. &amp; Emily L. Martin and Jason E. &amp; Megan L. Martin </w:t>
      </w:r>
    </w:p>
    <w:p w14:paraId="6F21BF86" w14:textId="60A89BB7" w:rsidR="004F3705" w:rsidRPr="00C74D34" w:rsidRDefault="004F3705" w:rsidP="0047446A">
      <w:pPr>
        <w:tabs>
          <w:tab w:val="left" w:pos="3240"/>
        </w:tabs>
        <w:spacing w:line="240" w:lineRule="auto"/>
        <w:ind w:left="1440" w:right="1440" w:hanging="720"/>
        <w:rPr>
          <w:szCs w:val="26"/>
        </w:rPr>
      </w:pPr>
      <w:r w:rsidRPr="00C74D34">
        <w:rPr>
          <w:szCs w:val="26"/>
        </w:rPr>
        <w:t>A-2018-3002141</w:t>
      </w:r>
      <w:r w:rsidR="00DC31B8" w:rsidRPr="00C74D34">
        <w:rPr>
          <w:szCs w:val="26"/>
        </w:rPr>
        <w:tab/>
      </w:r>
      <w:r w:rsidRPr="00C74D34">
        <w:rPr>
          <w:szCs w:val="26"/>
        </w:rPr>
        <w:t xml:space="preserve">David F. &amp; Kimberly Jo </w:t>
      </w:r>
      <w:proofErr w:type="spellStart"/>
      <w:r w:rsidRPr="00C74D34">
        <w:rPr>
          <w:szCs w:val="26"/>
        </w:rPr>
        <w:t>Neibert</w:t>
      </w:r>
      <w:proofErr w:type="spellEnd"/>
      <w:r w:rsidRPr="00C74D34">
        <w:rPr>
          <w:szCs w:val="26"/>
        </w:rPr>
        <w:t xml:space="preserve"> </w:t>
      </w:r>
    </w:p>
    <w:p w14:paraId="7CBD5A48" w14:textId="7A72F3FB" w:rsidR="004F3705" w:rsidRPr="00C74D34" w:rsidRDefault="004F3705" w:rsidP="0047446A">
      <w:pPr>
        <w:tabs>
          <w:tab w:val="left" w:pos="3240"/>
        </w:tabs>
        <w:spacing w:line="240" w:lineRule="auto"/>
        <w:ind w:left="1440" w:right="1440" w:hanging="720"/>
        <w:rPr>
          <w:szCs w:val="26"/>
        </w:rPr>
      </w:pPr>
      <w:r w:rsidRPr="00C74D34">
        <w:rPr>
          <w:szCs w:val="26"/>
        </w:rPr>
        <w:t>A-2018-3001887</w:t>
      </w:r>
      <w:r w:rsidR="00DC31B8" w:rsidRPr="00C74D34">
        <w:rPr>
          <w:szCs w:val="26"/>
        </w:rPr>
        <w:tab/>
      </w:r>
      <w:r w:rsidRPr="00C74D34">
        <w:rPr>
          <w:szCs w:val="26"/>
        </w:rPr>
        <w:t xml:space="preserve">Henry M. &amp; Glenda J. Sommer </w:t>
      </w:r>
    </w:p>
    <w:p w14:paraId="073D7DDC" w14:textId="665946E1" w:rsidR="004F3705" w:rsidRPr="00C74D34" w:rsidRDefault="004F3705" w:rsidP="0047446A">
      <w:pPr>
        <w:tabs>
          <w:tab w:val="left" w:pos="3240"/>
        </w:tabs>
        <w:spacing w:line="240" w:lineRule="auto"/>
        <w:ind w:left="1440" w:right="1440" w:hanging="720"/>
        <w:rPr>
          <w:szCs w:val="26"/>
        </w:rPr>
      </w:pPr>
      <w:r w:rsidRPr="00C74D34">
        <w:rPr>
          <w:szCs w:val="26"/>
        </w:rPr>
        <w:t>A-2018-3001914</w:t>
      </w:r>
      <w:r w:rsidR="00DC31B8" w:rsidRPr="00C74D34">
        <w:rPr>
          <w:szCs w:val="26"/>
        </w:rPr>
        <w:tab/>
      </w:r>
      <w:r w:rsidRPr="00C74D34">
        <w:rPr>
          <w:szCs w:val="26"/>
        </w:rPr>
        <w:t xml:space="preserve">Joseph L. &amp; Barbara G. Lapp </w:t>
      </w:r>
    </w:p>
    <w:p w14:paraId="5D122495" w14:textId="651FCE01" w:rsidR="004F3705" w:rsidRPr="00C74D34" w:rsidRDefault="004F3705" w:rsidP="0047446A">
      <w:pPr>
        <w:tabs>
          <w:tab w:val="left" w:pos="3240"/>
        </w:tabs>
        <w:spacing w:line="240" w:lineRule="auto"/>
        <w:ind w:left="1440" w:right="1440" w:hanging="720"/>
        <w:rPr>
          <w:szCs w:val="26"/>
        </w:rPr>
      </w:pPr>
      <w:r w:rsidRPr="00C74D34">
        <w:rPr>
          <w:szCs w:val="26"/>
        </w:rPr>
        <w:t>A-2018-3002049</w:t>
      </w:r>
      <w:r w:rsidR="00DC31B8" w:rsidRPr="00C74D34">
        <w:rPr>
          <w:szCs w:val="26"/>
        </w:rPr>
        <w:tab/>
      </w:r>
      <w:r w:rsidRPr="00C74D34">
        <w:rPr>
          <w:szCs w:val="26"/>
        </w:rPr>
        <w:t xml:space="preserve">Kenneth M. &amp; Marie A. Lehman </w:t>
      </w:r>
    </w:p>
    <w:p w14:paraId="1C1242CB" w14:textId="65BE6ED3" w:rsidR="004F3705" w:rsidRPr="00C74D34" w:rsidRDefault="004F3705" w:rsidP="0047446A">
      <w:pPr>
        <w:tabs>
          <w:tab w:val="left" w:pos="3240"/>
        </w:tabs>
        <w:spacing w:line="240" w:lineRule="auto"/>
        <w:ind w:left="1440" w:right="1440" w:hanging="720"/>
        <w:rPr>
          <w:szCs w:val="26"/>
        </w:rPr>
      </w:pPr>
      <w:r w:rsidRPr="00C74D34">
        <w:rPr>
          <w:szCs w:val="26"/>
        </w:rPr>
        <w:t>A-2018-3001969</w:t>
      </w:r>
      <w:r w:rsidR="00DC31B8" w:rsidRPr="00C74D34">
        <w:rPr>
          <w:szCs w:val="26"/>
        </w:rPr>
        <w:tab/>
      </w:r>
      <w:r w:rsidRPr="00C74D34">
        <w:rPr>
          <w:szCs w:val="26"/>
        </w:rPr>
        <w:t xml:space="preserve">Troy W. Kline </w:t>
      </w:r>
    </w:p>
    <w:p w14:paraId="03993759" w14:textId="2449B5FA" w:rsidR="004F3705" w:rsidRPr="00C74D34" w:rsidRDefault="004F3705" w:rsidP="0047446A">
      <w:pPr>
        <w:tabs>
          <w:tab w:val="left" w:pos="3240"/>
        </w:tabs>
        <w:spacing w:line="240" w:lineRule="auto"/>
        <w:ind w:left="1440" w:right="1440" w:hanging="720"/>
        <w:rPr>
          <w:szCs w:val="26"/>
        </w:rPr>
      </w:pPr>
      <w:r w:rsidRPr="00C74D34">
        <w:rPr>
          <w:szCs w:val="26"/>
        </w:rPr>
        <w:t>A-2018-3002240</w:t>
      </w:r>
      <w:r w:rsidR="00DC31B8" w:rsidRPr="00C74D34">
        <w:rPr>
          <w:szCs w:val="26"/>
        </w:rPr>
        <w:tab/>
      </w:r>
      <w:r w:rsidRPr="00C74D34">
        <w:rPr>
          <w:szCs w:val="26"/>
        </w:rPr>
        <w:t xml:space="preserve">J. Ray &amp; Linda D. </w:t>
      </w:r>
      <w:proofErr w:type="spellStart"/>
      <w:r w:rsidRPr="00C74D34">
        <w:rPr>
          <w:szCs w:val="26"/>
        </w:rPr>
        <w:t>Geesaman</w:t>
      </w:r>
      <w:proofErr w:type="spellEnd"/>
      <w:r w:rsidRPr="00C74D34">
        <w:rPr>
          <w:szCs w:val="26"/>
        </w:rPr>
        <w:t xml:space="preserve"> </w:t>
      </w:r>
    </w:p>
    <w:p w14:paraId="27ECFD64" w14:textId="636684C3" w:rsidR="004F3705" w:rsidRPr="00C74D34" w:rsidRDefault="004F3705" w:rsidP="0047446A">
      <w:pPr>
        <w:tabs>
          <w:tab w:val="left" w:pos="3240"/>
        </w:tabs>
        <w:spacing w:line="240" w:lineRule="auto"/>
        <w:ind w:left="1440" w:right="1440" w:hanging="720"/>
        <w:rPr>
          <w:szCs w:val="26"/>
        </w:rPr>
      </w:pPr>
      <w:r w:rsidRPr="00C74D34">
        <w:rPr>
          <w:szCs w:val="26"/>
        </w:rPr>
        <w:t>A-2018-3002170</w:t>
      </w:r>
      <w:r w:rsidR="00DC31B8" w:rsidRPr="00C74D34">
        <w:rPr>
          <w:szCs w:val="26"/>
        </w:rPr>
        <w:tab/>
      </w:r>
      <w:r w:rsidRPr="00C74D34">
        <w:rPr>
          <w:szCs w:val="26"/>
        </w:rPr>
        <w:t xml:space="preserve">John O. &amp; Penny Lee Garber </w:t>
      </w:r>
    </w:p>
    <w:p w14:paraId="49C1B7AD" w14:textId="6F9CCC6A" w:rsidR="004F3705" w:rsidRPr="00C74D34" w:rsidRDefault="004F3705" w:rsidP="0047446A">
      <w:pPr>
        <w:tabs>
          <w:tab w:val="left" w:pos="3240"/>
        </w:tabs>
        <w:spacing w:line="240" w:lineRule="auto"/>
        <w:ind w:left="1440" w:right="1440" w:hanging="720"/>
        <w:rPr>
          <w:szCs w:val="26"/>
        </w:rPr>
      </w:pPr>
      <w:r w:rsidRPr="00C74D34">
        <w:rPr>
          <w:szCs w:val="26"/>
        </w:rPr>
        <w:t>A-2018-3002043</w:t>
      </w:r>
      <w:r w:rsidR="00DC31B8" w:rsidRPr="00C74D34">
        <w:rPr>
          <w:szCs w:val="26"/>
        </w:rPr>
        <w:tab/>
      </w:r>
      <w:r w:rsidRPr="00C74D34">
        <w:rPr>
          <w:szCs w:val="26"/>
        </w:rPr>
        <w:t xml:space="preserve">Justin &amp; Sharla Dunlap </w:t>
      </w:r>
    </w:p>
    <w:p w14:paraId="27B0333A" w14:textId="0A36B527" w:rsidR="004F3705" w:rsidRPr="00C74D34" w:rsidRDefault="004F3705" w:rsidP="0047446A">
      <w:pPr>
        <w:tabs>
          <w:tab w:val="left" w:pos="3240"/>
        </w:tabs>
        <w:spacing w:line="240" w:lineRule="auto"/>
        <w:ind w:left="1440" w:right="1440" w:hanging="720"/>
        <w:rPr>
          <w:szCs w:val="26"/>
        </w:rPr>
      </w:pPr>
      <w:r w:rsidRPr="00C74D34">
        <w:rPr>
          <w:szCs w:val="26"/>
        </w:rPr>
        <w:t>A-2018-3001988</w:t>
      </w:r>
      <w:r w:rsidR="00DC31B8" w:rsidRPr="00C74D34">
        <w:rPr>
          <w:szCs w:val="26"/>
        </w:rPr>
        <w:tab/>
      </w:r>
      <w:r w:rsidRPr="00C74D34">
        <w:rPr>
          <w:szCs w:val="26"/>
        </w:rPr>
        <w:t xml:space="preserve">Derek J. &amp; Courtney </w:t>
      </w:r>
      <w:proofErr w:type="spellStart"/>
      <w:r w:rsidRPr="00C74D34">
        <w:rPr>
          <w:szCs w:val="26"/>
        </w:rPr>
        <w:t>Dettinger</w:t>
      </w:r>
      <w:proofErr w:type="spellEnd"/>
      <w:r w:rsidRPr="00C74D34">
        <w:rPr>
          <w:szCs w:val="26"/>
        </w:rPr>
        <w:t xml:space="preserve"> </w:t>
      </w:r>
    </w:p>
    <w:p w14:paraId="2DAA0792" w14:textId="2DDCE00C" w:rsidR="004F3705" w:rsidRPr="00C74D34" w:rsidRDefault="004F3705" w:rsidP="0047446A">
      <w:pPr>
        <w:tabs>
          <w:tab w:val="left" w:pos="3240"/>
        </w:tabs>
        <w:spacing w:line="240" w:lineRule="auto"/>
        <w:ind w:left="1440" w:right="1440" w:hanging="720"/>
        <w:rPr>
          <w:szCs w:val="26"/>
        </w:rPr>
      </w:pPr>
      <w:r w:rsidRPr="00C74D34">
        <w:rPr>
          <w:szCs w:val="26"/>
        </w:rPr>
        <w:t>A-2018-3002207</w:t>
      </w:r>
      <w:r w:rsidR="00DC31B8" w:rsidRPr="00C74D34">
        <w:rPr>
          <w:szCs w:val="26"/>
        </w:rPr>
        <w:tab/>
      </w:r>
      <w:r w:rsidRPr="00C74D34">
        <w:rPr>
          <w:szCs w:val="26"/>
        </w:rPr>
        <w:t xml:space="preserve">Michael D. Cordell </w:t>
      </w:r>
    </w:p>
    <w:p w14:paraId="6EF13B29" w14:textId="6C9F6236" w:rsidR="004F3705" w:rsidRPr="00C74D34" w:rsidRDefault="004F3705" w:rsidP="0047446A">
      <w:pPr>
        <w:tabs>
          <w:tab w:val="left" w:pos="3240"/>
        </w:tabs>
        <w:spacing w:line="240" w:lineRule="auto"/>
        <w:ind w:left="1440" w:right="1440" w:hanging="720"/>
        <w:rPr>
          <w:szCs w:val="26"/>
        </w:rPr>
      </w:pPr>
      <w:r w:rsidRPr="00C74D34">
        <w:rPr>
          <w:szCs w:val="26"/>
        </w:rPr>
        <w:t>A-2018-3002173</w:t>
      </w:r>
      <w:r w:rsidR="00DC31B8" w:rsidRPr="00C74D34">
        <w:rPr>
          <w:szCs w:val="26"/>
        </w:rPr>
        <w:tab/>
      </w:r>
      <w:r w:rsidRPr="00C74D34">
        <w:rPr>
          <w:szCs w:val="26"/>
        </w:rPr>
        <w:t xml:space="preserve">Colt R. Martin &amp; Kristyn Benedict </w:t>
      </w:r>
    </w:p>
    <w:p w14:paraId="37778CE8" w14:textId="22D238AA" w:rsidR="004F3705" w:rsidRPr="00C74D34" w:rsidRDefault="004F3705" w:rsidP="0047446A">
      <w:pPr>
        <w:tabs>
          <w:tab w:val="left" w:pos="3240"/>
        </w:tabs>
        <w:spacing w:line="240" w:lineRule="auto"/>
        <w:ind w:left="1440" w:right="1440" w:hanging="720"/>
        <w:rPr>
          <w:szCs w:val="26"/>
        </w:rPr>
      </w:pPr>
      <w:r w:rsidRPr="00C74D34">
        <w:rPr>
          <w:szCs w:val="26"/>
        </w:rPr>
        <w:t>A-2018-3002124</w:t>
      </w:r>
      <w:r w:rsidR="00DC31B8" w:rsidRPr="00C74D34">
        <w:rPr>
          <w:szCs w:val="26"/>
        </w:rPr>
        <w:tab/>
      </w:r>
      <w:r w:rsidRPr="00C74D34">
        <w:rPr>
          <w:szCs w:val="26"/>
        </w:rPr>
        <w:t xml:space="preserve">Richard L. &amp; Fern L. Peck </w:t>
      </w:r>
    </w:p>
    <w:p w14:paraId="00656140" w14:textId="759AB9DF" w:rsidR="004F3705" w:rsidRPr="00C74D34" w:rsidRDefault="004F3705" w:rsidP="0047446A">
      <w:pPr>
        <w:tabs>
          <w:tab w:val="left" w:pos="3240"/>
        </w:tabs>
        <w:spacing w:line="240" w:lineRule="auto"/>
        <w:ind w:left="1440" w:right="1440" w:hanging="720"/>
        <w:rPr>
          <w:szCs w:val="26"/>
        </w:rPr>
      </w:pPr>
      <w:r w:rsidRPr="00C74D34">
        <w:rPr>
          <w:szCs w:val="26"/>
        </w:rPr>
        <w:t>A-2018-3002068</w:t>
      </w:r>
      <w:r w:rsidR="00DC31B8" w:rsidRPr="00C74D34">
        <w:rPr>
          <w:szCs w:val="26"/>
        </w:rPr>
        <w:tab/>
      </w:r>
      <w:proofErr w:type="spellStart"/>
      <w:r w:rsidRPr="00C74D34">
        <w:rPr>
          <w:szCs w:val="26"/>
        </w:rPr>
        <w:t>Mahlon</w:t>
      </w:r>
      <w:proofErr w:type="spellEnd"/>
      <w:r w:rsidRPr="00C74D34">
        <w:rPr>
          <w:szCs w:val="26"/>
        </w:rPr>
        <w:t xml:space="preserve"> R. &amp; Debra S. </w:t>
      </w:r>
      <w:proofErr w:type="spellStart"/>
      <w:r w:rsidRPr="00C74D34">
        <w:rPr>
          <w:szCs w:val="26"/>
        </w:rPr>
        <w:t>Eby</w:t>
      </w:r>
      <w:proofErr w:type="spellEnd"/>
      <w:r w:rsidRPr="00C74D34">
        <w:rPr>
          <w:szCs w:val="26"/>
        </w:rPr>
        <w:t xml:space="preserve"> </w:t>
      </w:r>
    </w:p>
    <w:p w14:paraId="4C5073DF" w14:textId="7415900E" w:rsidR="004F3705" w:rsidRPr="00C74D34" w:rsidRDefault="004F3705" w:rsidP="0047446A">
      <w:pPr>
        <w:tabs>
          <w:tab w:val="left" w:pos="3240"/>
        </w:tabs>
        <w:spacing w:line="240" w:lineRule="auto"/>
        <w:ind w:left="1440" w:right="1440" w:hanging="720"/>
        <w:rPr>
          <w:szCs w:val="26"/>
        </w:rPr>
      </w:pPr>
      <w:r w:rsidRPr="00C74D34">
        <w:rPr>
          <w:szCs w:val="26"/>
        </w:rPr>
        <w:t>A-2018-3002255</w:t>
      </w:r>
      <w:r w:rsidR="00DC31B8" w:rsidRPr="00C74D34">
        <w:rPr>
          <w:szCs w:val="26"/>
        </w:rPr>
        <w:tab/>
      </w:r>
      <w:r w:rsidRPr="00C74D34">
        <w:rPr>
          <w:szCs w:val="26"/>
        </w:rPr>
        <w:t xml:space="preserve">Daniel W. &amp; Clara Sue Benedict </w:t>
      </w:r>
    </w:p>
    <w:p w14:paraId="4579FE84" w14:textId="2DAD6BE0" w:rsidR="004F3705" w:rsidRPr="00C74D34" w:rsidRDefault="004F3705" w:rsidP="0047446A">
      <w:pPr>
        <w:tabs>
          <w:tab w:val="left" w:pos="3240"/>
        </w:tabs>
        <w:spacing w:line="240" w:lineRule="auto"/>
        <w:ind w:left="1440" w:right="1440" w:hanging="720"/>
        <w:rPr>
          <w:szCs w:val="26"/>
        </w:rPr>
      </w:pPr>
      <w:r w:rsidRPr="00C74D34">
        <w:rPr>
          <w:szCs w:val="26"/>
        </w:rPr>
        <w:t>A-2018-3002346</w:t>
      </w:r>
      <w:r w:rsidR="00DC31B8" w:rsidRPr="00C74D34">
        <w:rPr>
          <w:szCs w:val="26"/>
        </w:rPr>
        <w:tab/>
      </w:r>
      <w:r w:rsidRPr="00C74D34">
        <w:rPr>
          <w:szCs w:val="26"/>
        </w:rPr>
        <w:t xml:space="preserve">Mary I. &amp; Paul J. Baker </w:t>
      </w:r>
    </w:p>
    <w:p w14:paraId="7425E145" w14:textId="57366C4E" w:rsidR="004F3705" w:rsidRPr="00C74D34" w:rsidRDefault="004F3705" w:rsidP="0047446A">
      <w:pPr>
        <w:tabs>
          <w:tab w:val="left" w:pos="3240"/>
        </w:tabs>
        <w:spacing w:line="240" w:lineRule="auto"/>
        <w:ind w:left="1440" w:right="1440" w:hanging="720"/>
        <w:rPr>
          <w:szCs w:val="26"/>
        </w:rPr>
      </w:pPr>
      <w:r w:rsidRPr="00C74D34">
        <w:rPr>
          <w:szCs w:val="26"/>
        </w:rPr>
        <w:t>A-2018-3002168</w:t>
      </w:r>
      <w:r w:rsidR="00ED01E8" w:rsidRPr="00C74D34">
        <w:rPr>
          <w:szCs w:val="26"/>
        </w:rPr>
        <w:tab/>
      </w:r>
      <w:r w:rsidRPr="00C74D34">
        <w:rPr>
          <w:szCs w:val="26"/>
        </w:rPr>
        <w:t xml:space="preserve">Daniel R. &amp; Doreen F. </w:t>
      </w:r>
      <w:proofErr w:type="spellStart"/>
      <w:r w:rsidRPr="00C74D34">
        <w:rPr>
          <w:szCs w:val="26"/>
        </w:rPr>
        <w:t>Strite</w:t>
      </w:r>
      <w:proofErr w:type="spellEnd"/>
      <w:r w:rsidRPr="00C74D34">
        <w:rPr>
          <w:szCs w:val="26"/>
        </w:rPr>
        <w:t xml:space="preserve"> </w:t>
      </w:r>
    </w:p>
    <w:p w14:paraId="6C4013AB" w14:textId="72CAC5F2" w:rsidR="004F3705" w:rsidRPr="00C74D34" w:rsidRDefault="004F3705" w:rsidP="0047446A">
      <w:pPr>
        <w:tabs>
          <w:tab w:val="left" w:pos="3240"/>
        </w:tabs>
        <w:spacing w:line="240" w:lineRule="auto"/>
        <w:ind w:left="1440" w:right="1440" w:hanging="720"/>
        <w:rPr>
          <w:szCs w:val="26"/>
        </w:rPr>
      </w:pPr>
      <w:r w:rsidRPr="00C74D34">
        <w:rPr>
          <w:szCs w:val="26"/>
        </w:rPr>
        <w:t>A-2018-3002162</w:t>
      </w:r>
      <w:r w:rsidR="00ED01E8" w:rsidRPr="00C74D34">
        <w:rPr>
          <w:szCs w:val="26"/>
        </w:rPr>
        <w:tab/>
      </w:r>
      <w:r w:rsidRPr="00C74D34">
        <w:rPr>
          <w:szCs w:val="26"/>
        </w:rPr>
        <w:t xml:space="preserve">John V. &amp; Eunice Rudolph </w:t>
      </w:r>
    </w:p>
    <w:p w14:paraId="713F6DD8" w14:textId="18C3AA76" w:rsidR="004F3705" w:rsidRPr="00C74D34" w:rsidRDefault="004F3705" w:rsidP="0047446A">
      <w:pPr>
        <w:tabs>
          <w:tab w:val="left" w:pos="3240"/>
        </w:tabs>
        <w:spacing w:line="240" w:lineRule="auto"/>
        <w:ind w:left="1440" w:right="1440" w:hanging="720"/>
        <w:rPr>
          <w:szCs w:val="26"/>
        </w:rPr>
      </w:pPr>
      <w:r w:rsidRPr="00C74D34">
        <w:rPr>
          <w:szCs w:val="26"/>
        </w:rPr>
        <w:t>A-2018-3002119</w:t>
      </w:r>
      <w:r w:rsidR="00ED01E8" w:rsidRPr="00C74D34">
        <w:rPr>
          <w:szCs w:val="26"/>
        </w:rPr>
        <w:tab/>
      </w:r>
      <w:r w:rsidRPr="00C74D34">
        <w:rPr>
          <w:szCs w:val="26"/>
        </w:rPr>
        <w:t xml:space="preserve">Lamar D. &amp; Esther M. Horst </w:t>
      </w:r>
    </w:p>
    <w:p w14:paraId="2965F8DF" w14:textId="3339BC7F" w:rsidR="004F3705" w:rsidRPr="00C74D34" w:rsidRDefault="004F3705" w:rsidP="0047446A">
      <w:pPr>
        <w:tabs>
          <w:tab w:val="left" w:pos="3240"/>
        </w:tabs>
        <w:spacing w:line="240" w:lineRule="auto"/>
        <w:ind w:left="1440" w:right="1440" w:hanging="720"/>
        <w:rPr>
          <w:szCs w:val="26"/>
        </w:rPr>
      </w:pPr>
      <w:r w:rsidRPr="00C74D34">
        <w:rPr>
          <w:szCs w:val="26"/>
        </w:rPr>
        <w:t>A-2018-3002038</w:t>
      </w:r>
      <w:r w:rsidR="00ED01E8" w:rsidRPr="00C74D34">
        <w:rPr>
          <w:szCs w:val="26"/>
        </w:rPr>
        <w:tab/>
      </w:r>
      <w:r w:rsidRPr="00C74D34">
        <w:rPr>
          <w:szCs w:val="26"/>
        </w:rPr>
        <w:t xml:space="preserve">Charles W. Mellott </w:t>
      </w:r>
    </w:p>
    <w:p w14:paraId="48095129" w14:textId="4B791692" w:rsidR="004F3705" w:rsidRPr="00C74D34" w:rsidRDefault="004F3705" w:rsidP="0047446A">
      <w:pPr>
        <w:tabs>
          <w:tab w:val="left" w:pos="3240"/>
        </w:tabs>
        <w:spacing w:line="240" w:lineRule="auto"/>
        <w:ind w:left="1440" w:right="1440" w:hanging="720"/>
        <w:rPr>
          <w:szCs w:val="26"/>
        </w:rPr>
      </w:pPr>
      <w:r w:rsidRPr="00C74D34">
        <w:rPr>
          <w:szCs w:val="26"/>
        </w:rPr>
        <w:t>A-2018-3002064</w:t>
      </w:r>
      <w:r w:rsidR="00ED01E8" w:rsidRPr="00C74D34">
        <w:rPr>
          <w:szCs w:val="26"/>
        </w:rPr>
        <w:tab/>
      </w:r>
      <w:r w:rsidRPr="00C74D34">
        <w:rPr>
          <w:szCs w:val="26"/>
        </w:rPr>
        <w:t xml:space="preserve">Roy S. &amp; Regina F. Martin </w:t>
      </w:r>
    </w:p>
    <w:p w14:paraId="287B7D0B" w14:textId="3295606F" w:rsidR="004F3705" w:rsidRPr="00C74D34" w:rsidRDefault="004F3705" w:rsidP="0047446A">
      <w:pPr>
        <w:tabs>
          <w:tab w:val="left" w:pos="3240"/>
        </w:tabs>
        <w:spacing w:line="240" w:lineRule="auto"/>
        <w:ind w:left="1440" w:right="1440" w:hanging="720"/>
        <w:rPr>
          <w:szCs w:val="26"/>
        </w:rPr>
      </w:pPr>
      <w:r w:rsidRPr="00C74D34">
        <w:rPr>
          <w:szCs w:val="26"/>
        </w:rPr>
        <w:t>A-2018-3002013</w:t>
      </w:r>
      <w:r w:rsidR="00ED01E8" w:rsidRPr="00C74D34">
        <w:rPr>
          <w:szCs w:val="26"/>
        </w:rPr>
        <w:tab/>
      </w:r>
      <w:r w:rsidRPr="00C74D34">
        <w:rPr>
          <w:szCs w:val="26"/>
        </w:rPr>
        <w:t xml:space="preserve">Donald L. &amp; Isabelle M. Hess </w:t>
      </w:r>
    </w:p>
    <w:p w14:paraId="2478DF19" w14:textId="72096391" w:rsidR="004F3705" w:rsidRPr="00C74D34" w:rsidRDefault="004F3705" w:rsidP="0047446A">
      <w:pPr>
        <w:tabs>
          <w:tab w:val="left" w:pos="3240"/>
        </w:tabs>
        <w:spacing w:line="240" w:lineRule="auto"/>
        <w:ind w:left="1440" w:right="1440" w:hanging="720"/>
        <w:rPr>
          <w:szCs w:val="26"/>
        </w:rPr>
      </w:pPr>
      <w:r w:rsidRPr="00C74D34">
        <w:rPr>
          <w:szCs w:val="26"/>
        </w:rPr>
        <w:t>A-2018-3002167</w:t>
      </w:r>
      <w:r w:rsidR="00ED01E8" w:rsidRPr="00C74D34">
        <w:rPr>
          <w:szCs w:val="26"/>
        </w:rPr>
        <w:tab/>
      </w:r>
      <w:r w:rsidRPr="00C74D34">
        <w:rPr>
          <w:szCs w:val="26"/>
        </w:rPr>
        <w:t xml:space="preserve">Lamar V. &amp; Edna F. Rudolph </w:t>
      </w:r>
    </w:p>
    <w:p w14:paraId="4C137C3A" w14:textId="738A4EB9" w:rsidR="004F3705" w:rsidRPr="00C74D34" w:rsidRDefault="004F3705" w:rsidP="0047446A">
      <w:pPr>
        <w:tabs>
          <w:tab w:val="left" w:pos="3240"/>
        </w:tabs>
        <w:spacing w:line="240" w:lineRule="auto"/>
        <w:ind w:left="3240" w:right="1440" w:hanging="2520"/>
        <w:rPr>
          <w:szCs w:val="26"/>
        </w:rPr>
      </w:pPr>
      <w:r w:rsidRPr="00C74D34">
        <w:rPr>
          <w:szCs w:val="26"/>
        </w:rPr>
        <w:t>A-2018-3002065</w:t>
      </w:r>
      <w:r w:rsidR="00ED01E8" w:rsidRPr="00C74D34">
        <w:rPr>
          <w:szCs w:val="26"/>
        </w:rPr>
        <w:tab/>
      </w:r>
      <w:r w:rsidRPr="00C74D34">
        <w:rPr>
          <w:szCs w:val="26"/>
        </w:rPr>
        <w:t xml:space="preserve">Charles, John &amp; Margaret Diller and James &amp; Mable Diller </w:t>
      </w:r>
    </w:p>
    <w:p w14:paraId="2291951D" w14:textId="2F1A5F56" w:rsidR="004F3705" w:rsidRPr="00C74D34" w:rsidRDefault="004F3705" w:rsidP="0047446A">
      <w:pPr>
        <w:tabs>
          <w:tab w:val="left" w:pos="3240"/>
        </w:tabs>
        <w:spacing w:line="240" w:lineRule="auto"/>
        <w:ind w:left="3240" w:right="1440" w:hanging="2520"/>
        <w:rPr>
          <w:szCs w:val="26"/>
        </w:rPr>
      </w:pPr>
      <w:r w:rsidRPr="00C74D34">
        <w:rPr>
          <w:szCs w:val="26"/>
        </w:rPr>
        <w:t>A-2018-3002336</w:t>
      </w:r>
      <w:r w:rsidR="00ED01E8" w:rsidRPr="00C74D34">
        <w:rPr>
          <w:szCs w:val="26"/>
        </w:rPr>
        <w:tab/>
      </w:r>
      <w:r w:rsidRPr="00C74D34">
        <w:rPr>
          <w:szCs w:val="26"/>
        </w:rPr>
        <w:t xml:space="preserve">Roger L. &amp; Joyce E. Diller, Trustees of the Diller Family Trust </w:t>
      </w:r>
    </w:p>
    <w:p w14:paraId="46123D6C" w14:textId="5C0A4BDA" w:rsidR="004F3705" w:rsidRPr="00C74D34" w:rsidRDefault="004F3705" w:rsidP="0047446A">
      <w:pPr>
        <w:tabs>
          <w:tab w:val="left" w:pos="3240"/>
        </w:tabs>
        <w:spacing w:line="240" w:lineRule="auto"/>
        <w:ind w:left="1440" w:right="1440" w:hanging="720"/>
        <w:rPr>
          <w:szCs w:val="26"/>
        </w:rPr>
      </w:pPr>
      <w:r w:rsidRPr="00C74D34">
        <w:rPr>
          <w:szCs w:val="26"/>
        </w:rPr>
        <w:t>A-2018-3002071</w:t>
      </w:r>
      <w:r w:rsidR="00ED01E8" w:rsidRPr="00C74D34">
        <w:rPr>
          <w:szCs w:val="26"/>
        </w:rPr>
        <w:tab/>
      </w:r>
      <w:r w:rsidRPr="00C74D34">
        <w:rPr>
          <w:szCs w:val="26"/>
        </w:rPr>
        <w:t xml:space="preserve">Samuel A. &amp; Mandy L. Jones </w:t>
      </w:r>
    </w:p>
    <w:p w14:paraId="44CB2170" w14:textId="69773B1C" w:rsidR="004F3705" w:rsidRPr="00C74D34" w:rsidRDefault="004F3705" w:rsidP="0047446A">
      <w:pPr>
        <w:tabs>
          <w:tab w:val="left" w:pos="3240"/>
        </w:tabs>
        <w:spacing w:line="240" w:lineRule="auto"/>
        <w:ind w:left="1440" w:right="1440" w:hanging="720"/>
        <w:rPr>
          <w:szCs w:val="26"/>
        </w:rPr>
      </w:pPr>
      <w:r w:rsidRPr="00C74D34">
        <w:rPr>
          <w:szCs w:val="26"/>
        </w:rPr>
        <w:t>A-2018-3002352</w:t>
      </w:r>
      <w:r w:rsidR="00ED01E8" w:rsidRPr="00C74D34">
        <w:rPr>
          <w:szCs w:val="26"/>
        </w:rPr>
        <w:tab/>
      </w:r>
      <w:r w:rsidRPr="00C74D34">
        <w:rPr>
          <w:szCs w:val="26"/>
        </w:rPr>
        <w:t xml:space="preserve">Marvin Charles &amp; Lois Ellen Martin </w:t>
      </w:r>
    </w:p>
    <w:p w14:paraId="3FCEB149" w14:textId="52A30EB8" w:rsidR="004F3705" w:rsidRPr="00C74D34" w:rsidRDefault="004F3705" w:rsidP="0047446A">
      <w:pPr>
        <w:tabs>
          <w:tab w:val="left" w:pos="3240"/>
        </w:tabs>
        <w:spacing w:line="240" w:lineRule="auto"/>
        <w:ind w:left="1440" w:right="1440" w:hanging="720"/>
        <w:rPr>
          <w:szCs w:val="26"/>
        </w:rPr>
      </w:pPr>
      <w:r w:rsidRPr="00C74D34">
        <w:rPr>
          <w:szCs w:val="26"/>
        </w:rPr>
        <w:t>A-2018-3002016</w:t>
      </w:r>
      <w:r w:rsidR="00ED01E8" w:rsidRPr="00C74D34">
        <w:rPr>
          <w:szCs w:val="26"/>
        </w:rPr>
        <w:tab/>
      </w:r>
      <w:r w:rsidRPr="00C74D34">
        <w:rPr>
          <w:szCs w:val="26"/>
        </w:rPr>
        <w:t xml:space="preserve">Denver N. &amp; Katrina J. Martin </w:t>
      </w:r>
    </w:p>
    <w:p w14:paraId="77741110" w14:textId="2E2AC08A" w:rsidR="004F3705" w:rsidRPr="00C74D34" w:rsidRDefault="004F3705" w:rsidP="0047446A">
      <w:pPr>
        <w:tabs>
          <w:tab w:val="left" w:pos="3240"/>
        </w:tabs>
        <w:spacing w:line="240" w:lineRule="auto"/>
        <w:ind w:left="1440" w:right="1440" w:hanging="720"/>
        <w:rPr>
          <w:szCs w:val="26"/>
        </w:rPr>
      </w:pPr>
      <w:r w:rsidRPr="00C74D34">
        <w:rPr>
          <w:szCs w:val="26"/>
        </w:rPr>
        <w:t>A-2018-3002334</w:t>
      </w:r>
      <w:r w:rsidR="00ED01E8" w:rsidRPr="00C74D34">
        <w:rPr>
          <w:szCs w:val="26"/>
        </w:rPr>
        <w:tab/>
      </w:r>
      <w:r w:rsidRPr="00C74D34">
        <w:rPr>
          <w:szCs w:val="26"/>
        </w:rPr>
        <w:t xml:space="preserve">Kevin L. &amp; Faye I. </w:t>
      </w:r>
      <w:proofErr w:type="spellStart"/>
      <w:r w:rsidRPr="00C74D34">
        <w:rPr>
          <w:szCs w:val="26"/>
        </w:rPr>
        <w:t>Gayman</w:t>
      </w:r>
      <w:proofErr w:type="spellEnd"/>
      <w:r w:rsidRPr="00C74D34">
        <w:rPr>
          <w:szCs w:val="26"/>
        </w:rPr>
        <w:t xml:space="preserve"> </w:t>
      </w:r>
    </w:p>
    <w:p w14:paraId="3ABF80F5" w14:textId="7DF4C18F" w:rsidR="004F3705" w:rsidRPr="00C74D34" w:rsidRDefault="004F3705" w:rsidP="0047446A">
      <w:pPr>
        <w:tabs>
          <w:tab w:val="left" w:pos="3240"/>
        </w:tabs>
        <w:spacing w:line="240" w:lineRule="auto"/>
        <w:ind w:left="1440" w:right="1440" w:hanging="720"/>
        <w:rPr>
          <w:szCs w:val="26"/>
        </w:rPr>
      </w:pPr>
      <w:r w:rsidRPr="00C74D34">
        <w:rPr>
          <w:szCs w:val="26"/>
        </w:rPr>
        <w:t>A-2018-3002021</w:t>
      </w:r>
      <w:r w:rsidR="00ED01E8" w:rsidRPr="00C74D34">
        <w:rPr>
          <w:szCs w:val="26"/>
        </w:rPr>
        <w:tab/>
      </w:r>
      <w:r w:rsidRPr="00C74D34">
        <w:rPr>
          <w:szCs w:val="26"/>
        </w:rPr>
        <w:t xml:space="preserve">Roger L. &amp; Joyce E. Diller </w:t>
      </w:r>
    </w:p>
    <w:p w14:paraId="5FC31171" w14:textId="2957AB81" w:rsidR="004F3705" w:rsidRPr="00C74D34" w:rsidRDefault="004F3705" w:rsidP="0047446A">
      <w:pPr>
        <w:tabs>
          <w:tab w:val="left" w:pos="3240"/>
        </w:tabs>
        <w:spacing w:line="240" w:lineRule="auto"/>
        <w:ind w:left="1440" w:right="1440" w:hanging="720"/>
        <w:rPr>
          <w:szCs w:val="26"/>
        </w:rPr>
      </w:pPr>
      <w:r w:rsidRPr="00C74D34">
        <w:rPr>
          <w:szCs w:val="26"/>
        </w:rPr>
        <w:t>A-2018-3002020</w:t>
      </w:r>
      <w:r w:rsidR="00ED01E8" w:rsidRPr="00C74D34">
        <w:rPr>
          <w:szCs w:val="26"/>
        </w:rPr>
        <w:tab/>
      </w:r>
      <w:r w:rsidRPr="00C74D34">
        <w:rPr>
          <w:szCs w:val="26"/>
        </w:rPr>
        <w:t xml:space="preserve">J. Daniel &amp; Elaine J. </w:t>
      </w:r>
      <w:proofErr w:type="spellStart"/>
      <w:r w:rsidRPr="00C74D34">
        <w:rPr>
          <w:szCs w:val="26"/>
        </w:rPr>
        <w:t>Eshlman</w:t>
      </w:r>
      <w:proofErr w:type="spellEnd"/>
      <w:r w:rsidRPr="00C74D34">
        <w:rPr>
          <w:szCs w:val="26"/>
        </w:rPr>
        <w:t xml:space="preserve"> </w:t>
      </w:r>
    </w:p>
    <w:p w14:paraId="5980FF1B" w14:textId="215C8EE0" w:rsidR="004F3705" w:rsidRPr="00C74D34" w:rsidRDefault="004F3705" w:rsidP="0047446A">
      <w:pPr>
        <w:tabs>
          <w:tab w:val="left" w:pos="3240"/>
        </w:tabs>
        <w:spacing w:line="240" w:lineRule="auto"/>
        <w:ind w:left="1440" w:right="1440" w:hanging="720"/>
        <w:rPr>
          <w:szCs w:val="26"/>
        </w:rPr>
      </w:pPr>
      <w:r w:rsidRPr="00C74D34">
        <w:rPr>
          <w:szCs w:val="26"/>
        </w:rPr>
        <w:t>A-2018-3002039</w:t>
      </w:r>
      <w:r w:rsidR="00ED01E8" w:rsidRPr="00C74D34">
        <w:rPr>
          <w:szCs w:val="26"/>
        </w:rPr>
        <w:tab/>
      </w:r>
      <w:r w:rsidRPr="00C74D34">
        <w:rPr>
          <w:szCs w:val="26"/>
        </w:rPr>
        <w:t xml:space="preserve">Ronald P. &amp; Doris M. Stoner </w:t>
      </w:r>
    </w:p>
    <w:p w14:paraId="44C78D98" w14:textId="57FD0959" w:rsidR="004F3705" w:rsidRPr="00C74D34" w:rsidRDefault="004F3705" w:rsidP="0047446A">
      <w:pPr>
        <w:tabs>
          <w:tab w:val="left" w:pos="3240"/>
        </w:tabs>
        <w:spacing w:line="240" w:lineRule="auto"/>
        <w:ind w:left="1440" w:right="1440" w:hanging="720"/>
        <w:rPr>
          <w:szCs w:val="26"/>
        </w:rPr>
      </w:pPr>
      <w:r w:rsidRPr="00C74D34">
        <w:rPr>
          <w:szCs w:val="26"/>
        </w:rPr>
        <w:t>A-2018-3001987</w:t>
      </w:r>
      <w:r w:rsidR="00ED01E8" w:rsidRPr="00C74D34">
        <w:rPr>
          <w:szCs w:val="26"/>
        </w:rPr>
        <w:tab/>
      </w:r>
      <w:r w:rsidRPr="00C74D34">
        <w:rPr>
          <w:szCs w:val="26"/>
        </w:rPr>
        <w:t xml:space="preserve">John E.N. Blair </w:t>
      </w:r>
    </w:p>
    <w:p w14:paraId="368FD171" w14:textId="5219E8EB" w:rsidR="004F3705" w:rsidRPr="00C74D34" w:rsidRDefault="004F3705" w:rsidP="0047446A">
      <w:pPr>
        <w:tabs>
          <w:tab w:val="left" w:pos="3240"/>
        </w:tabs>
        <w:spacing w:line="240" w:lineRule="auto"/>
        <w:ind w:left="1440" w:right="1440" w:hanging="720"/>
        <w:rPr>
          <w:szCs w:val="26"/>
        </w:rPr>
      </w:pPr>
      <w:r w:rsidRPr="00C74D34">
        <w:rPr>
          <w:szCs w:val="26"/>
        </w:rPr>
        <w:t>A-2018-3002029</w:t>
      </w:r>
      <w:r w:rsidR="00ED01E8" w:rsidRPr="00C74D34">
        <w:rPr>
          <w:szCs w:val="26"/>
        </w:rPr>
        <w:tab/>
      </w:r>
      <w:r w:rsidRPr="00C74D34">
        <w:rPr>
          <w:szCs w:val="26"/>
        </w:rPr>
        <w:t xml:space="preserve">Jack E. &amp; Emily L. Martin </w:t>
      </w:r>
    </w:p>
    <w:p w14:paraId="0A468856" w14:textId="4CF53B2F" w:rsidR="00FA5741" w:rsidRPr="00C74D34" w:rsidRDefault="004F3705" w:rsidP="0047446A">
      <w:pPr>
        <w:tabs>
          <w:tab w:val="left" w:pos="3240"/>
        </w:tabs>
        <w:spacing w:line="240" w:lineRule="auto"/>
        <w:ind w:left="1440" w:right="1440" w:hanging="720"/>
        <w:rPr>
          <w:szCs w:val="26"/>
        </w:rPr>
      </w:pPr>
      <w:r w:rsidRPr="00C74D34">
        <w:rPr>
          <w:szCs w:val="26"/>
        </w:rPr>
        <w:lastRenderedPageBreak/>
        <w:t>A-2018-3001996</w:t>
      </w:r>
      <w:r w:rsidR="00ED01E8" w:rsidRPr="00C74D34">
        <w:rPr>
          <w:szCs w:val="26"/>
        </w:rPr>
        <w:tab/>
      </w:r>
      <w:r w:rsidRPr="00C74D34">
        <w:rPr>
          <w:szCs w:val="26"/>
        </w:rPr>
        <w:t xml:space="preserve">Mary Ann &amp; </w:t>
      </w:r>
      <w:proofErr w:type="spellStart"/>
      <w:r w:rsidRPr="00C74D34">
        <w:rPr>
          <w:szCs w:val="26"/>
        </w:rPr>
        <w:t>DuWayne</w:t>
      </w:r>
      <w:proofErr w:type="spellEnd"/>
      <w:r w:rsidRPr="00C74D34">
        <w:rPr>
          <w:szCs w:val="26"/>
        </w:rPr>
        <w:t xml:space="preserve"> Fox </w:t>
      </w:r>
    </w:p>
    <w:p w14:paraId="598F60E3" w14:textId="65B7AE85" w:rsidR="00FA5741" w:rsidRPr="00C74D34" w:rsidRDefault="004F3705" w:rsidP="0047446A">
      <w:pPr>
        <w:tabs>
          <w:tab w:val="left" w:pos="3240"/>
        </w:tabs>
        <w:spacing w:line="240" w:lineRule="auto"/>
        <w:ind w:left="3240" w:right="1440" w:hanging="2520"/>
        <w:rPr>
          <w:szCs w:val="26"/>
        </w:rPr>
      </w:pPr>
      <w:r w:rsidRPr="00C74D34">
        <w:rPr>
          <w:szCs w:val="26"/>
        </w:rPr>
        <w:t>A-2018-3002000</w:t>
      </w:r>
      <w:r w:rsidR="00ED01E8" w:rsidRPr="00C74D34">
        <w:rPr>
          <w:szCs w:val="26"/>
        </w:rPr>
        <w:tab/>
      </w:r>
      <w:r w:rsidRPr="00C74D34">
        <w:rPr>
          <w:szCs w:val="26"/>
        </w:rPr>
        <w:t xml:space="preserve">Donald L. &amp; Beverly A. Fahrney </w:t>
      </w:r>
    </w:p>
    <w:p w14:paraId="4662B1FE" w14:textId="16FA44EE" w:rsidR="004F3705" w:rsidRPr="00C74D34" w:rsidRDefault="004F3705" w:rsidP="0047446A">
      <w:pPr>
        <w:tabs>
          <w:tab w:val="left" w:pos="3240"/>
        </w:tabs>
        <w:spacing w:line="240" w:lineRule="auto"/>
        <w:ind w:left="1440" w:right="1440" w:hanging="720"/>
        <w:rPr>
          <w:szCs w:val="26"/>
        </w:rPr>
      </w:pPr>
      <w:r w:rsidRPr="00C74D34">
        <w:rPr>
          <w:szCs w:val="26"/>
        </w:rPr>
        <w:t>A-2018-3002099</w:t>
      </w:r>
      <w:r w:rsidR="002B4288" w:rsidRPr="00C74D34">
        <w:rPr>
          <w:szCs w:val="26"/>
        </w:rPr>
        <w:tab/>
      </w:r>
      <w:r w:rsidRPr="00C74D34">
        <w:rPr>
          <w:szCs w:val="26"/>
        </w:rPr>
        <w:t xml:space="preserve">Bruce I. </w:t>
      </w:r>
      <w:proofErr w:type="spellStart"/>
      <w:r w:rsidRPr="00C74D34">
        <w:rPr>
          <w:szCs w:val="26"/>
        </w:rPr>
        <w:t>Neibert</w:t>
      </w:r>
      <w:proofErr w:type="spellEnd"/>
      <w:r w:rsidRPr="00C74D34">
        <w:rPr>
          <w:szCs w:val="26"/>
        </w:rPr>
        <w:t xml:space="preserve">, Jr. </w:t>
      </w:r>
    </w:p>
    <w:p w14:paraId="53534439" w14:textId="3877057E" w:rsidR="004F3705" w:rsidRPr="00C74D34" w:rsidRDefault="004F3705" w:rsidP="0047446A">
      <w:pPr>
        <w:tabs>
          <w:tab w:val="left" w:pos="3240"/>
        </w:tabs>
        <w:spacing w:line="240" w:lineRule="auto"/>
        <w:ind w:left="1440" w:right="1440" w:hanging="720"/>
        <w:rPr>
          <w:szCs w:val="26"/>
        </w:rPr>
      </w:pPr>
      <w:r w:rsidRPr="00C74D34">
        <w:rPr>
          <w:szCs w:val="26"/>
        </w:rPr>
        <w:t>A-2018-3002172</w:t>
      </w:r>
      <w:r w:rsidR="002B4288" w:rsidRPr="00C74D34">
        <w:rPr>
          <w:szCs w:val="26"/>
        </w:rPr>
        <w:tab/>
      </w:r>
      <w:r w:rsidRPr="00C74D34">
        <w:rPr>
          <w:szCs w:val="26"/>
        </w:rPr>
        <w:t xml:space="preserve">Gerald L. &amp; Jennifer </w:t>
      </w:r>
      <w:proofErr w:type="spellStart"/>
      <w:r w:rsidRPr="00C74D34">
        <w:rPr>
          <w:szCs w:val="26"/>
        </w:rPr>
        <w:t>Sibal</w:t>
      </w:r>
      <w:proofErr w:type="spellEnd"/>
      <w:r w:rsidRPr="00C74D34">
        <w:rPr>
          <w:szCs w:val="26"/>
        </w:rPr>
        <w:t xml:space="preserve"> Zeigler </w:t>
      </w:r>
    </w:p>
    <w:p w14:paraId="3C6D2E93" w14:textId="197D4120" w:rsidR="004F3705" w:rsidRPr="00C74D34" w:rsidRDefault="004F3705" w:rsidP="002D03FA">
      <w:pPr>
        <w:tabs>
          <w:tab w:val="left" w:pos="3240"/>
        </w:tabs>
        <w:ind w:left="1440" w:right="1440" w:hanging="720"/>
        <w:rPr>
          <w:szCs w:val="26"/>
        </w:rPr>
      </w:pPr>
      <w:r w:rsidRPr="00C74D34">
        <w:rPr>
          <w:szCs w:val="26"/>
        </w:rPr>
        <w:t>A-2018-3002118</w:t>
      </w:r>
      <w:r w:rsidR="002B4288" w:rsidRPr="00C74D34">
        <w:rPr>
          <w:szCs w:val="26"/>
        </w:rPr>
        <w:tab/>
      </w:r>
      <w:r w:rsidRPr="00C74D34">
        <w:rPr>
          <w:szCs w:val="26"/>
        </w:rPr>
        <w:t xml:space="preserve">Tunde T. Tijani </w:t>
      </w:r>
    </w:p>
    <w:p w14:paraId="3C38F3FA" w14:textId="77777777" w:rsidR="00852565" w:rsidRPr="00C74D34" w:rsidRDefault="00852565" w:rsidP="002D03FA">
      <w:pPr>
        <w:rPr>
          <w:szCs w:val="26"/>
        </w:rPr>
      </w:pPr>
    </w:p>
    <w:p w14:paraId="7E04CC3F" w14:textId="11F830CD" w:rsidR="00B413D4" w:rsidRPr="00C74D34" w:rsidRDefault="00B413D4" w:rsidP="002D03FA">
      <w:pPr>
        <w:ind w:right="58" w:firstLine="1440"/>
        <w:rPr>
          <w:szCs w:val="26"/>
        </w:rPr>
      </w:pPr>
      <w:r w:rsidRPr="00C74D34">
        <w:rPr>
          <w:szCs w:val="26"/>
        </w:rPr>
        <w:t xml:space="preserve">On November 27, 2018, </w:t>
      </w:r>
      <w:proofErr w:type="spellStart"/>
      <w:r w:rsidRPr="00C74D34">
        <w:rPr>
          <w:szCs w:val="26"/>
        </w:rPr>
        <w:t>Transource</w:t>
      </w:r>
      <w:proofErr w:type="spellEnd"/>
      <w:r w:rsidRPr="00C74D34">
        <w:rPr>
          <w:szCs w:val="26"/>
        </w:rPr>
        <w:t xml:space="preserve"> served its rebuttal testimonies, adding several new witnesses testifying that the IEC Project would address several potential future reliability violations, a new argument not raised in its initial </w:t>
      </w:r>
      <w:r w:rsidR="00C27A9F" w:rsidRPr="00C74D34">
        <w:rPr>
          <w:szCs w:val="26"/>
        </w:rPr>
        <w:t xml:space="preserve">Siting </w:t>
      </w:r>
      <w:r w:rsidRPr="00C74D34">
        <w:rPr>
          <w:szCs w:val="26"/>
        </w:rPr>
        <w:t xml:space="preserve">Applications, which had sought approval based upon a perceived need to address market inefficiencies </w:t>
      </w:r>
      <w:r w:rsidR="0057114F" w:rsidRPr="00C74D34">
        <w:rPr>
          <w:szCs w:val="26"/>
        </w:rPr>
        <w:t xml:space="preserve">and congestion constraints </w:t>
      </w:r>
      <w:r w:rsidRPr="00C74D34">
        <w:rPr>
          <w:szCs w:val="26"/>
        </w:rPr>
        <w:t xml:space="preserve">within PJM. </w:t>
      </w:r>
    </w:p>
    <w:p w14:paraId="191C8F44" w14:textId="77777777" w:rsidR="00B413D4" w:rsidRPr="00C74D34" w:rsidRDefault="00B413D4" w:rsidP="002D03FA">
      <w:pPr>
        <w:ind w:firstLine="720"/>
        <w:rPr>
          <w:szCs w:val="26"/>
        </w:rPr>
      </w:pPr>
      <w:r w:rsidRPr="00C74D34">
        <w:rPr>
          <w:szCs w:val="26"/>
        </w:rPr>
        <w:t xml:space="preserve"> </w:t>
      </w:r>
    </w:p>
    <w:p w14:paraId="194531D2" w14:textId="35FB5032" w:rsidR="004F3705" w:rsidRPr="00C74D34" w:rsidRDefault="00B413D4" w:rsidP="00B11342">
      <w:pPr>
        <w:ind w:firstLine="1440"/>
        <w:rPr>
          <w:szCs w:val="26"/>
        </w:rPr>
      </w:pPr>
      <w:r w:rsidRPr="00C74D34">
        <w:rPr>
          <w:szCs w:val="26"/>
        </w:rPr>
        <w:t xml:space="preserve">On December 7, 2018, </w:t>
      </w:r>
      <w:r w:rsidR="00C27A9F" w:rsidRPr="00C74D34">
        <w:rPr>
          <w:szCs w:val="26"/>
        </w:rPr>
        <w:t xml:space="preserve">the </w:t>
      </w:r>
      <w:r w:rsidRPr="00C74D34">
        <w:rPr>
          <w:szCs w:val="26"/>
        </w:rPr>
        <w:t>OCA filed a Motion to Amend the Procedural Schedule seeking additional time to analyze the new generation deliverability analysis performed by PJM and to prepare surrebuttal testimony</w:t>
      </w:r>
      <w:r w:rsidR="00C97347" w:rsidRPr="00C74D34">
        <w:rPr>
          <w:szCs w:val="26"/>
        </w:rPr>
        <w:t xml:space="preserve">, and Citizens filed a motion seeking the same relief on </w:t>
      </w:r>
      <w:r w:rsidRPr="00C74D34">
        <w:rPr>
          <w:szCs w:val="26"/>
        </w:rPr>
        <w:t>December 10, 2018</w:t>
      </w:r>
      <w:r w:rsidR="00C97347" w:rsidRPr="00C74D34">
        <w:rPr>
          <w:szCs w:val="26"/>
        </w:rPr>
        <w:t>.  O</w:t>
      </w:r>
      <w:r w:rsidRPr="00C74D34">
        <w:rPr>
          <w:szCs w:val="26"/>
        </w:rPr>
        <w:t xml:space="preserve">n December 13, 2018, STFC filed a Motion to Amend the Procedural Schedule and to Strike Certain Testimony, </w:t>
      </w:r>
      <w:r w:rsidRPr="00C74D34">
        <w:rPr>
          <w:i/>
          <w:szCs w:val="26"/>
        </w:rPr>
        <w:t>i.e.</w:t>
      </w:r>
      <w:r w:rsidR="00C97347" w:rsidRPr="00C74D34">
        <w:rPr>
          <w:iCs/>
          <w:szCs w:val="26"/>
        </w:rPr>
        <w:t>,</w:t>
      </w:r>
      <w:r w:rsidRPr="00C74D34">
        <w:rPr>
          <w:szCs w:val="26"/>
        </w:rPr>
        <w:t xml:space="preserve"> portions of testimony raising the new issue of reliability concerns.  </w:t>
      </w:r>
      <w:proofErr w:type="spellStart"/>
      <w:r w:rsidRPr="00C74D34">
        <w:rPr>
          <w:szCs w:val="26"/>
        </w:rPr>
        <w:t>Transource</w:t>
      </w:r>
      <w:proofErr w:type="spellEnd"/>
      <w:r w:rsidRPr="00C74D34">
        <w:rPr>
          <w:szCs w:val="26"/>
        </w:rPr>
        <w:t xml:space="preserve"> submitted timely answers to all three motions.</w:t>
      </w:r>
    </w:p>
    <w:p w14:paraId="2C7551DF" w14:textId="2BD2A364" w:rsidR="0057114F" w:rsidRPr="00C74D34" w:rsidRDefault="0057114F" w:rsidP="00B11342">
      <w:pPr>
        <w:ind w:firstLine="1440"/>
        <w:rPr>
          <w:szCs w:val="26"/>
        </w:rPr>
      </w:pPr>
    </w:p>
    <w:p w14:paraId="1CDC7BC8" w14:textId="4FEE81AA" w:rsidR="00733185" w:rsidRPr="00C74D34" w:rsidRDefault="0057114F" w:rsidP="00B11342">
      <w:pPr>
        <w:ind w:right="144" w:firstLine="1440"/>
        <w:rPr>
          <w:szCs w:val="26"/>
        </w:rPr>
      </w:pPr>
      <w:r w:rsidRPr="00C74D34">
        <w:rPr>
          <w:szCs w:val="26"/>
        </w:rPr>
        <w:t xml:space="preserve">On December 28, 2018, </w:t>
      </w:r>
      <w:r w:rsidR="00785E16" w:rsidRPr="00C74D34">
        <w:rPr>
          <w:szCs w:val="26"/>
        </w:rPr>
        <w:t>a</w:t>
      </w:r>
      <w:r w:rsidR="00733185" w:rsidRPr="00C74D34">
        <w:rPr>
          <w:szCs w:val="26"/>
        </w:rPr>
        <w:t xml:space="preserve"> Sixth Prehearing Order was issued, granting </w:t>
      </w:r>
      <w:proofErr w:type="spellStart"/>
      <w:r w:rsidR="00733185" w:rsidRPr="00C74D34">
        <w:rPr>
          <w:szCs w:val="26"/>
        </w:rPr>
        <w:t>Transource’s</w:t>
      </w:r>
      <w:proofErr w:type="spellEnd"/>
      <w:r w:rsidR="00733185" w:rsidRPr="00C74D34">
        <w:rPr>
          <w:szCs w:val="26"/>
        </w:rPr>
        <w:t xml:space="preserve"> Petitions for Leave to Withdraw Eminent Domain Applications and removing the following docket numbers from the caption:  </w:t>
      </w:r>
    </w:p>
    <w:p w14:paraId="5185761B" w14:textId="2D3BFE69" w:rsidR="00733185" w:rsidRPr="00C74D34" w:rsidRDefault="00733185" w:rsidP="00B11342">
      <w:pPr>
        <w:spacing w:line="259" w:lineRule="auto"/>
        <w:ind w:left="1531"/>
        <w:rPr>
          <w:szCs w:val="26"/>
        </w:rPr>
      </w:pPr>
    </w:p>
    <w:p w14:paraId="0810CA78" w14:textId="704715A7" w:rsidR="00733185" w:rsidRPr="00C74D34" w:rsidRDefault="00733185" w:rsidP="0047446A">
      <w:pPr>
        <w:tabs>
          <w:tab w:val="left" w:pos="3240"/>
        </w:tabs>
        <w:spacing w:line="240" w:lineRule="auto"/>
        <w:ind w:left="1440" w:right="60" w:hanging="720"/>
        <w:rPr>
          <w:szCs w:val="26"/>
        </w:rPr>
      </w:pPr>
      <w:r w:rsidRPr="00C74D34">
        <w:rPr>
          <w:szCs w:val="26"/>
        </w:rPr>
        <w:t>A-2018-3001971</w:t>
      </w:r>
      <w:r w:rsidR="002B4288" w:rsidRPr="00C74D34">
        <w:rPr>
          <w:szCs w:val="26"/>
        </w:rPr>
        <w:tab/>
      </w:r>
      <w:r w:rsidRPr="00C74D34">
        <w:rPr>
          <w:szCs w:val="26"/>
        </w:rPr>
        <w:t xml:space="preserve">Carol K. Long </w:t>
      </w:r>
    </w:p>
    <w:p w14:paraId="07341D36" w14:textId="68641CA7" w:rsidR="00733185" w:rsidRPr="00C74D34" w:rsidRDefault="00733185" w:rsidP="0047446A">
      <w:pPr>
        <w:tabs>
          <w:tab w:val="left" w:pos="3240"/>
        </w:tabs>
        <w:spacing w:line="240" w:lineRule="auto"/>
        <w:ind w:left="1440" w:right="60" w:hanging="720"/>
        <w:rPr>
          <w:szCs w:val="26"/>
        </w:rPr>
      </w:pPr>
      <w:r w:rsidRPr="00C74D34">
        <w:rPr>
          <w:szCs w:val="26"/>
        </w:rPr>
        <w:t>A-2018-3002204</w:t>
      </w:r>
      <w:r w:rsidR="002B4288" w:rsidRPr="00C74D34">
        <w:rPr>
          <w:szCs w:val="26"/>
        </w:rPr>
        <w:tab/>
      </w:r>
      <w:r w:rsidRPr="00C74D34">
        <w:rPr>
          <w:szCs w:val="26"/>
        </w:rPr>
        <w:t xml:space="preserve">Edwin W. Shank and Dawn L. Shank </w:t>
      </w:r>
    </w:p>
    <w:p w14:paraId="75515C42" w14:textId="3FDB4059" w:rsidR="00733185" w:rsidRPr="00C74D34" w:rsidRDefault="00733185" w:rsidP="0047446A">
      <w:pPr>
        <w:tabs>
          <w:tab w:val="left" w:pos="3240"/>
          <w:tab w:val="center" w:pos="4253"/>
        </w:tabs>
        <w:spacing w:line="240" w:lineRule="auto"/>
        <w:ind w:left="1440" w:hanging="720"/>
        <w:rPr>
          <w:szCs w:val="26"/>
        </w:rPr>
      </w:pPr>
      <w:r w:rsidRPr="00C74D34">
        <w:rPr>
          <w:szCs w:val="26"/>
        </w:rPr>
        <w:t>A-2018-3002137</w:t>
      </w:r>
      <w:r w:rsidRPr="00C74D34">
        <w:rPr>
          <w:szCs w:val="26"/>
        </w:rPr>
        <w:tab/>
        <w:t xml:space="preserve">IESI PA Blue Ridge Landfill Corporation </w:t>
      </w:r>
    </w:p>
    <w:p w14:paraId="4D4D404B" w14:textId="7F75ACA4" w:rsidR="00733185" w:rsidRPr="00C74D34" w:rsidRDefault="00733185" w:rsidP="0047446A">
      <w:pPr>
        <w:tabs>
          <w:tab w:val="left" w:pos="3240"/>
        </w:tabs>
        <w:spacing w:line="240" w:lineRule="auto"/>
        <w:ind w:left="1440" w:right="60" w:hanging="720"/>
        <w:rPr>
          <w:szCs w:val="26"/>
        </w:rPr>
      </w:pPr>
      <w:r w:rsidRPr="00C74D34">
        <w:rPr>
          <w:szCs w:val="26"/>
        </w:rPr>
        <w:t>A-2018-3002129</w:t>
      </w:r>
      <w:r w:rsidR="002B4288" w:rsidRPr="00C74D34">
        <w:rPr>
          <w:szCs w:val="26"/>
        </w:rPr>
        <w:tab/>
      </w:r>
      <w:r w:rsidRPr="00C74D34">
        <w:rPr>
          <w:szCs w:val="26"/>
        </w:rPr>
        <w:t xml:space="preserve">West Penn Power Company </w:t>
      </w:r>
    </w:p>
    <w:p w14:paraId="27A861E0" w14:textId="5EB0CDFD" w:rsidR="00733185" w:rsidRPr="00C74D34" w:rsidRDefault="00733185" w:rsidP="002D03FA">
      <w:pPr>
        <w:tabs>
          <w:tab w:val="center" w:pos="3126"/>
          <w:tab w:val="left" w:pos="3240"/>
        </w:tabs>
        <w:ind w:left="1440" w:hanging="720"/>
        <w:rPr>
          <w:szCs w:val="26"/>
        </w:rPr>
      </w:pPr>
      <w:r w:rsidRPr="00C74D34">
        <w:rPr>
          <w:szCs w:val="26"/>
        </w:rPr>
        <w:t>A-2018-3001970</w:t>
      </w:r>
      <w:r w:rsidRPr="00C74D34">
        <w:rPr>
          <w:szCs w:val="26"/>
        </w:rPr>
        <w:tab/>
      </w:r>
      <w:r w:rsidR="002B4288" w:rsidRPr="00C74D34">
        <w:rPr>
          <w:szCs w:val="26"/>
        </w:rPr>
        <w:tab/>
      </w:r>
      <w:r w:rsidRPr="00C74D34">
        <w:rPr>
          <w:szCs w:val="26"/>
        </w:rPr>
        <w:t xml:space="preserve">Jeffrey C. </w:t>
      </w:r>
      <w:proofErr w:type="spellStart"/>
      <w:r w:rsidRPr="00C74D34">
        <w:rPr>
          <w:szCs w:val="26"/>
        </w:rPr>
        <w:t>Neutzel</w:t>
      </w:r>
      <w:proofErr w:type="spellEnd"/>
      <w:r w:rsidRPr="00C74D34">
        <w:rPr>
          <w:szCs w:val="26"/>
        </w:rPr>
        <w:t xml:space="preserve"> </w:t>
      </w:r>
    </w:p>
    <w:p w14:paraId="01BFA60C" w14:textId="59405D37" w:rsidR="00733185" w:rsidRPr="00C74D34" w:rsidRDefault="00733185" w:rsidP="002D03FA">
      <w:pPr>
        <w:spacing w:after="112"/>
        <w:ind w:left="1531"/>
        <w:rPr>
          <w:szCs w:val="26"/>
        </w:rPr>
      </w:pPr>
    </w:p>
    <w:p w14:paraId="4AD302D4" w14:textId="24A9AEE6" w:rsidR="0057114F" w:rsidRPr="00C74D34" w:rsidRDefault="00733185" w:rsidP="002D03FA">
      <w:pPr>
        <w:rPr>
          <w:szCs w:val="26"/>
        </w:rPr>
      </w:pPr>
      <w:r w:rsidRPr="00C74D34">
        <w:rPr>
          <w:szCs w:val="26"/>
        </w:rPr>
        <w:lastRenderedPageBreak/>
        <w:t>Additionally, upon consideration of the above three motions</w:t>
      </w:r>
      <w:r w:rsidRPr="00C74D34">
        <w:rPr>
          <w:szCs w:val="26"/>
          <w:vertAlign w:val="superscript"/>
        </w:rPr>
        <w:t xml:space="preserve"> </w:t>
      </w:r>
      <w:r w:rsidRPr="00C74D34">
        <w:rPr>
          <w:szCs w:val="26"/>
        </w:rPr>
        <w:t xml:space="preserve">regarding the request to strike certain testimony, the ALJs in the same order struck certain portions of rebuttal testimony, concluding that </w:t>
      </w:r>
      <w:proofErr w:type="spellStart"/>
      <w:r w:rsidRPr="00C74D34">
        <w:rPr>
          <w:szCs w:val="26"/>
        </w:rPr>
        <w:t>Transource</w:t>
      </w:r>
      <w:proofErr w:type="spellEnd"/>
      <w:r w:rsidRPr="00C74D34">
        <w:rPr>
          <w:szCs w:val="26"/>
        </w:rPr>
        <w:t xml:space="preserve"> should have offered on direct the testimony pertaining to reliability claims </w:t>
      </w:r>
      <w:r w:rsidR="0057114F" w:rsidRPr="00C74D34">
        <w:rPr>
          <w:szCs w:val="26"/>
        </w:rPr>
        <w:t xml:space="preserve">that </w:t>
      </w:r>
      <w:r w:rsidR="002D03FA" w:rsidRPr="00C74D34">
        <w:rPr>
          <w:szCs w:val="26"/>
        </w:rPr>
        <w:t>“</w:t>
      </w:r>
      <w:r w:rsidR="0057114F" w:rsidRPr="00C74D34">
        <w:rPr>
          <w:szCs w:val="26"/>
        </w:rPr>
        <w:t xml:space="preserve">effectively altered the scope and complexity of </w:t>
      </w:r>
      <w:r w:rsidR="006B1B34" w:rsidRPr="00C74D34">
        <w:rPr>
          <w:szCs w:val="26"/>
        </w:rPr>
        <w:t>issues that are to be addressed</w:t>
      </w:r>
      <w:r w:rsidR="002D03FA" w:rsidRPr="00C74D34">
        <w:rPr>
          <w:szCs w:val="26"/>
        </w:rPr>
        <w:t>”</w:t>
      </w:r>
      <w:r w:rsidR="006B1B34" w:rsidRPr="00C74D34">
        <w:rPr>
          <w:szCs w:val="26"/>
        </w:rPr>
        <w:t xml:space="preserve"> by the </w:t>
      </w:r>
      <w:r w:rsidR="00C27A9F" w:rsidRPr="00C74D34">
        <w:rPr>
          <w:szCs w:val="26"/>
        </w:rPr>
        <w:t>P</w:t>
      </w:r>
      <w:r w:rsidR="006B1B34" w:rsidRPr="00C74D34">
        <w:rPr>
          <w:szCs w:val="26"/>
        </w:rPr>
        <w:t xml:space="preserve">arties subject to the </w:t>
      </w:r>
      <w:r w:rsidR="00C27A9F" w:rsidRPr="00C74D34">
        <w:rPr>
          <w:szCs w:val="26"/>
        </w:rPr>
        <w:t>a</w:t>
      </w:r>
      <w:r w:rsidR="006B1B34" w:rsidRPr="00C74D34">
        <w:rPr>
          <w:szCs w:val="26"/>
        </w:rPr>
        <w:t>pplications for eminent domain.</w:t>
      </w:r>
      <w:r w:rsidR="0057114F" w:rsidRPr="00C74D34">
        <w:rPr>
          <w:szCs w:val="26"/>
        </w:rPr>
        <w:t xml:space="preserve">  Sixth Prehearing Order at </w:t>
      </w:r>
      <w:r w:rsidR="006B1B34" w:rsidRPr="00C74D34">
        <w:rPr>
          <w:szCs w:val="26"/>
        </w:rPr>
        <w:t>4</w:t>
      </w:r>
      <w:r w:rsidR="0057114F" w:rsidRPr="00C74D34">
        <w:rPr>
          <w:szCs w:val="26"/>
        </w:rPr>
        <w:t>.</w:t>
      </w:r>
      <w:r w:rsidR="00A67CEA" w:rsidRPr="00C74D34">
        <w:rPr>
          <w:szCs w:val="26"/>
        </w:rPr>
        <w:t xml:space="preserve"> </w:t>
      </w:r>
      <w:r w:rsidR="0057114F" w:rsidRPr="00C74D34">
        <w:rPr>
          <w:szCs w:val="26"/>
        </w:rPr>
        <w:t xml:space="preserve">The Sixth Prehearing Order also granted a two-week extension on the submission of </w:t>
      </w:r>
      <w:r w:rsidR="00C27A9F" w:rsidRPr="00C74D34">
        <w:rPr>
          <w:szCs w:val="26"/>
        </w:rPr>
        <w:t>s</w:t>
      </w:r>
      <w:r w:rsidR="0057114F" w:rsidRPr="00C74D34">
        <w:rPr>
          <w:szCs w:val="26"/>
        </w:rPr>
        <w:t xml:space="preserve">urrebuttal </w:t>
      </w:r>
      <w:r w:rsidR="00C27A9F" w:rsidRPr="00C74D34">
        <w:rPr>
          <w:szCs w:val="26"/>
        </w:rPr>
        <w:t>t</w:t>
      </w:r>
      <w:r w:rsidR="0057114F" w:rsidRPr="00C74D34">
        <w:rPr>
          <w:szCs w:val="26"/>
        </w:rPr>
        <w:t>estimony</w:t>
      </w:r>
      <w:r w:rsidR="006E311F" w:rsidRPr="00C74D34">
        <w:rPr>
          <w:szCs w:val="26"/>
        </w:rPr>
        <w:t xml:space="preserve"> until January 30, 2019</w:t>
      </w:r>
      <w:r w:rsidR="0057114F" w:rsidRPr="00C74D34">
        <w:rPr>
          <w:szCs w:val="26"/>
        </w:rPr>
        <w:t>.</w:t>
      </w:r>
    </w:p>
    <w:p w14:paraId="26C3C955" w14:textId="400F8829" w:rsidR="00733185" w:rsidRPr="00C74D34" w:rsidRDefault="00733185" w:rsidP="00B11342">
      <w:pPr>
        <w:ind w:firstLine="1440"/>
        <w:rPr>
          <w:szCs w:val="26"/>
        </w:rPr>
      </w:pPr>
    </w:p>
    <w:p w14:paraId="7B116C25" w14:textId="6112CE35" w:rsidR="00292EB1" w:rsidRPr="00C74D34" w:rsidRDefault="00292EB1" w:rsidP="00B11342">
      <w:pPr>
        <w:ind w:firstLine="1440"/>
        <w:rPr>
          <w:szCs w:val="26"/>
        </w:rPr>
      </w:pPr>
      <w:r w:rsidRPr="00C74D34">
        <w:rPr>
          <w:szCs w:val="26"/>
        </w:rPr>
        <w:t>On January 1</w:t>
      </w:r>
      <w:r w:rsidR="00F922A0" w:rsidRPr="00C74D34">
        <w:rPr>
          <w:szCs w:val="26"/>
        </w:rPr>
        <w:t>0</w:t>
      </w:r>
      <w:r w:rsidRPr="00C74D34">
        <w:rPr>
          <w:szCs w:val="26"/>
        </w:rPr>
        <w:t xml:space="preserve">, 2019, STFC </w:t>
      </w:r>
      <w:r w:rsidR="00F922A0" w:rsidRPr="00C74D34">
        <w:rPr>
          <w:szCs w:val="26"/>
        </w:rPr>
        <w:t>filed</w:t>
      </w:r>
      <w:r w:rsidRPr="00C74D34">
        <w:rPr>
          <w:szCs w:val="26"/>
        </w:rPr>
        <w:t xml:space="preserve"> a Motion to Designate </w:t>
      </w:r>
      <w:r w:rsidR="00F922A0" w:rsidRPr="00C74D34">
        <w:rPr>
          <w:szCs w:val="26"/>
        </w:rPr>
        <w:t xml:space="preserve">Certain Testimony </w:t>
      </w:r>
      <w:r w:rsidRPr="00C74D34">
        <w:rPr>
          <w:szCs w:val="26"/>
        </w:rPr>
        <w:t xml:space="preserve">Stricken consistent with the ALJs’ Sixth Prehearing Order.  The OCA and Citizens submitted </w:t>
      </w:r>
      <w:r w:rsidR="00C27A9F" w:rsidRPr="00C74D34">
        <w:rPr>
          <w:szCs w:val="26"/>
        </w:rPr>
        <w:t>A</w:t>
      </w:r>
      <w:r w:rsidRPr="00C74D34">
        <w:rPr>
          <w:szCs w:val="26"/>
        </w:rPr>
        <w:t xml:space="preserve">nswers concurring with the Motion.  </w:t>
      </w:r>
      <w:r w:rsidR="00D62B7A" w:rsidRPr="00C74D34">
        <w:rPr>
          <w:szCs w:val="26"/>
        </w:rPr>
        <w:t>On January 17, 201</w:t>
      </w:r>
      <w:r w:rsidR="009A1AFB" w:rsidRPr="00C74D34">
        <w:rPr>
          <w:szCs w:val="26"/>
        </w:rPr>
        <w:t>9</w:t>
      </w:r>
      <w:r w:rsidR="00D62B7A" w:rsidRPr="00C74D34">
        <w:rPr>
          <w:szCs w:val="26"/>
        </w:rPr>
        <w:t xml:space="preserve">, </w:t>
      </w:r>
      <w:proofErr w:type="spellStart"/>
      <w:r w:rsidR="00F922A0" w:rsidRPr="00C74D34">
        <w:rPr>
          <w:szCs w:val="26"/>
        </w:rPr>
        <w:t>Transource</w:t>
      </w:r>
      <w:proofErr w:type="spellEnd"/>
      <w:r w:rsidR="00F922A0" w:rsidRPr="00C74D34">
        <w:rPr>
          <w:szCs w:val="26"/>
        </w:rPr>
        <w:t xml:space="preserve"> answered the Motion</w:t>
      </w:r>
      <w:r w:rsidR="00D62B7A" w:rsidRPr="00C74D34">
        <w:rPr>
          <w:szCs w:val="26"/>
        </w:rPr>
        <w:t xml:space="preserve">.  </w:t>
      </w:r>
      <w:r w:rsidR="009A1AFB" w:rsidRPr="00C74D34">
        <w:rPr>
          <w:szCs w:val="26"/>
        </w:rPr>
        <w:t>On January 24, 2019, t</w:t>
      </w:r>
      <w:r w:rsidR="00F922A0" w:rsidRPr="00C74D34">
        <w:rPr>
          <w:szCs w:val="26"/>
        </w:rPr>
        <w:t>he ALJs issued the</w:t>
      </w:r>
      <w:r w:rsidRPr="00C74D34">
        <w:rPr>
          <w:szCs w:val="26"/>
        </w:rPr>
        <w:t xml:space="preserve"> Seventh Prehearing Order</w:t>
      </w:r>
      <w:r w:rsidR="009A1AFB" w:rsidRPr="00C74D34">
        <w:rPr>
          <w:szCs w:val="26"/>
        </w:rPr>
        <w:t xml:space="preserve"> </w:t>
      </w:r>
      <w:r w:rsidRPr="00C74D34">
        <w:rPr>
          <w:szCs w:val="26"/>
        </w:rPr>
        <w:t>grant</w:t>
      </w:r>
      <w:r w:rsidR="009A1AFB" w:rsidRPr="00C74D34">
        <w:rPr>
          <w:szCs w:val="26"/>
        </w:rPr>
        <w:t>ing</w:t>
      </w:r>
      <w:r w:rsidRPr="00C74D34">
        <w:rPr>
          <w:szCs w:val="26"/>
        </w:rPr>
        <w:t xml:space="preserve"> STFC’s </w:t>
      </w:r>
      <w:r w:rsidR="00C27A9F" w:rsidRPr="00C74D34">
        <w:rPr>
          <w:szCs w:val="26"/>
        </w:rPr>
        <w:t>m</w:t>
      </w:r>
      <w:r w:rsidRPr="00C74D34">
        <w:rPr>
          <w:szCs w:val="26"/>
        </w:rPr>
        <w:t>otion</w:t>
      </w:r>
      <w:r w:rsidR="009A1AFB" w:rsidRPr="00C74D34">
        <w:rPr>
          <w:szCs w:val="26"/>
        </w:rPr>
        <w:t xml:space="preserve"> and</w:t>
      </w:r>
      <w:r w:rsidR="00F922A0" w:rsidRPr="00C74D34">
        <w:rPr>
          <w:szCs w:val="26"/>
        </w:rPr>
        <w:t xml:space="preserve"> confirming the specific </w:t>
      </w:r>
      <w:r w:rsidRPr="00C74D34">
        <w:rPr>
          <w:szCs w:val="26"/>
        </w:rPr>
        <w:t xml:space="preserve">page and line numbers of the </w:t>
      </w:r>
      <w:r w:rsidR="00D62B7A" w:rsidRPr="00C74D34">
        <w:rPr>
          <w:szCs w:val="26"/>
        </w:rPr>
        <w:t xml:space="preserve">rebuttal </w:t>
      </w:r>
      <w:r w:rsidRPr="00C74D34">
        <w:rPr>
          <w:szCs w:val="26"/>
        </w:rPr>
        <w:t>testimony and exhibits to be stricken</w:t>
      </w:r>
      <w:r w:rsidR="00F922A0" w:rsidRPr="00C74D34">
        <w:rPr>
          <w:szCs w:val="26"/>
        </w:rPr>
        <w:t xml:space="preserve"> as inadmissible</w:t>
      </w:r>
      <w:r w:rsidR="009A1AFB" w:rsidRPr="00C74D34">
        <w:rPr>
          <w:szCs w:val="26"/>
        </w:rPr>
        <w:t xml:space="preserve">.  The ALJs reiterated in the Order </w:t>
      </w:r>
      <w:r w:rsidR="00D62B7A" w:rsidRPr="00C74D34">
        <w:rPr>
          <w:szCs w:val="26"/>
        </w:rPr>
        <w:t xml:space="preserve">that these new reliability </w:t>
      </w:r>
      <w:r w:rsidR="009A1AFB" w:rsidRPr="00C74D34">
        <w:rPr>
          <w:szCs w:val="26"/>
        </w:rPr>
        <w:t>claims</w:t>
      </w:r>
      <w:r w:rsidR="00D62B7A" w:rsidRPr="00C74D34">
        <w:rPr>
          <w:szCs w:val="26"/>
        </w:rPr>
        <w:t xml:space="preserve"> should have been raised in the </w:t>
      </w:r>
      <w:r w:rsidR="009A1AFB" w:rsidRPr="00C74D34">
        <w:rPr>
          <w:szCs w:val="26"/>
        </w:rPr>
        <w:t>S</w:t>
      </w:r>
      <w:r w:rsidR="00D62B7A" w:rsidRPr="00C74D34">
        <w:rPr>
          <w:szCs w:val="26"/>
        </w:rPr>
        <w:t xml:space="preserve">iting </w:t>
      </w:r>
      <w:r w:rsidR="009A1AFB" w:rsidRPr="00C74D34">
        <w:rPr>
          <w:szCs w:val="26"/>
        </w:rPr>
        <w:t>A</w:t>
      </w:r>
      <w:r w:rsidR="00D62B7A" w:rsidRPr="00C74D34">
        <w:rPr>
          <w:szCs w:val="26"/>
        </w:rPr>
        <w:t xml:space="preserve">pplications and in </w:t>
      </w:r>
      <w:proofErr w:type="spellStart"/>
      <w:r w:rsidR="00D62B7A" w:rsidRPr="00C74D34">
        <w:rPr>
          <w:szCs w:val="26"/>
        </w:rPr>
        <w:t>Transource’s</w:t>
      </w:r>
      <w:proofErr w:type="spellEnd"/>
      <w:r w:rsidR="00D62B7A" w:rsidRPr="00C74D34">
        <w:rPr>
          <w:szCs w:val="26"/>
        </w:rPr>
        <w:t xml:space="preserve"> direct testimony</w:t>
      </w:r>
      <w:r w:rsidRPr="00C74D34">
        <w:rPr>
          <w:szCs w:val="26"/>
        </w:rPr>
        <w:t xml:space="preserve">.  Seventh Prehearing Order at </w:t>
      </w:r>
      <w:r w:rsidR="00D62B7A" w:rsidRPr="00C74D34">
        <w:rPr>
          <w:szCs w:val="26"/>
        </w:rPr>
        <w:t>2</w:t>
      </w:r>
      <w:r w:rsidRPr="00C74D34">
        <w:rPr>
          <w:szCs w:val="26"/>
        </w:rPr>
        <w:t xml:space="preserve">-4.  The Seventh Prehearing Order also clarified that portions of the rebuttal testimonies of the </w:t>
      </w:r>
      <w:r w:rsidR="009A1AFB" w:rsidRPr="00C74D34">
        <w:rPr>
          <w:szCs w:val="26"/>
        </w:rPr>
        <w:t>five different</w:t>
      </w:r>
      <w:r w:rsidRPr="00C74D34">
        <w:rPr>
          <w:szCs w:val="26"/>
        </w:rPr>
        <w:t xml:space="preserve"> </w:t>
      </w:r>
      <w:proofErr w:type="spellStart"/>
      <w:r w:rsidRPr="00C74D34">
        <w:rPr>
          <w:szCs w:val="26"/>
        </w:rPr>
        <w:t>Transource</w:t>
      </w:r>
      <w:proofErr w:type="spellEnd"/>
      <w:r w:rsidRPr="00C74D34">
        <w:rPr>
          <w:szCs w:val="26"/>
        </w:rPr>
        <w:t xml:space="preserve"> witnesses were to be stricken to the extent they mention the new potential future reliability </w:t>
      </w:r>
      <w:r w:rsidR="009A1AFB" w:rsidRPr="00C74D34">
        <w:rPr>
          <w:szCs w:val="26"/>
        </w:rPr>
        <w:t>benefits</w:t>
      </w:r>
      <w:r w:rsidRPr="00C74D34">
        <w:rPr>
          <w:szCs w:val="26"/>
        </w:rPr>
        <w:t xml:space="preserve">. </w:t>
      </w:r>
    </w:p>
    <w:p w14:paraId="666EC325" w14:textId="77777777" w:rsidR="00292EB1" w:rsidRPr="00C74D34" w:rsidRDefault="00292EB1" w:rsidP="00B11342">
      <w:pPr>
        <w:spacing w:after="123"/>
        <w:ind w:right="60" w:firstLine="720"/>
        <w:rPr>
          <w:szCs w:val="26"/>
        </w:rPr>
      </w:pPr>
    </w:p>
    <w:p w14:paraId="35D9EC0F" w14:textId="330533C0" w:rsidR="00FB35A0" w:rsidRPr="00C74D34" w:rsidRDefault="00292EB1" w:rsidP="002D03FA">
      <w:pPr>
        <w:ind w:left="76" w:right="60" w:firstLine="1440"/>
        <w:rPr>
          <w:szCs w:val="26"/>
        </w:rPr>
      </w:pPr>
      <w:r w:rsidRPr="00C74D34">
        <w:rPr>
          <w:szCs w:val="26"/>
        </w:rPr>
        <w:t>Opposing</w:t>
      </w:r>
      <w:r w:rsidR="00D10C62" w:rsidRPr="00C74D34">
        <w:rPr>
          <w:szCs w:val="26"/>
        </w:rPr>
        <w:t xml:space="preserve"> </w:t>
      </w:r>
      <w:r w:rsidRPr="00C74D34">
        <w:rPr>
          <w:szCs w:val="26"/>
        </w:rPr>
        <w:t xml:space="preserve">parties served surrebuttal testimony on January 28, 2019.  </w:t>
      </w:r>
      <w:r w:rsidR="00013E32" w:rsidRPr="00C74D34">
        <w:rPr>
          <w:szCs w:val="26"/>
        </w:rPr>
        <w:t xml:space="preserve">On February 1, 2019, </w:t>
      </w:r>
      <w:proofErr w:type="spellStart"/>
      <w:r w:rsidR="00013E32" w:rsidRPr="00C74D34">
        <w:rPr>
          <w:szCs w:val="26"/>
        </w:rPr>
        <w:t>Transource</w:t>
      </w:r>
      <w:proofErr w:type="spellEnd"/>
      <w:r w:rsidR="00013E32" w:rsidRPr="00C74D34">
        <w:rPr>
          <w:szCs w:val="26"/>
        </w:rPr>
        <w:t xml:space="preserve"> PA filed a Petition for Interlocutory Review and Answer to Material Questions requesting that the Commission </w:t>
      </w:r>
      <w:r w:rsidR="00BD0E71" w:rsidRPr="00C74D34">
        <w:rPr>
          <w:szCs w:val="26"/>
        </w:rPr>
        <w:t>grant interlocutory review of</w:t>
      </w:r>
      <w:r w:rsidR="00013E32" w:rsidRPr="00C74D34">
        <w:rPr>
          <w:szCs w:val="26"/>
        </w:rPr>
        <w:t xml:space="preserve"> the ALJs' Seventh Prehearing Order </w:t>
      </w:r>
      <w:r w:rsidR="00FB35A0" w:rsidRPr="00C74D34">
        <w:rPr>
          <w:szCs w:val="26"/>
        </w:rPr>
        <w:t xml:space="preserve">in order to challenge the decision </w:t>
      </w:r>
      <w:r w:rsidR="00BD0E71" w:rsidRPr="00C74D34">
        <w:rPr>
          <w:szCs w:val="26"/>
        </w:rPr>
        <w:t xml:space="preserve">to </w:t>
      </w:r>
      <w:r w:rsidR="00013E32" w:rsidRPr="00C74D34">
        <w:rPr>
          <w:szCs w:val="26"/>
        </w:rPr>
        <w:t>strik</w:t>
      </w:r>
      <w:r w:rsidR="00FB35A0" w:rsidRPr="00C74D34">
        <w:rPr>
          <w:szCs w:val="26"/>
        </w:rPr>
        <w:t>e</w:t>
      </w:r>
      <w:r w:rsidR="00013E32" w:rsidRPr="00C74D34">
        <w:rPr>
          <w:szCs w:val="26"/>
        </w:rPr>
        <w:t xml:space="preserve"> </w:t>
      </w:r>
      <w:proofErr w:type="spellStart"/>
      <w:r w:rsidR="00013E32" w:rsidRPr="00C74D34">
        <w:rPr>
          <w:szCs w:val="26"/>
        </w:rPr>
        <w:t>Transource's</w:t>
      </w:r>
      <w:proofErr w:type="spellEnd"/>
      <w:r w:rsidR="00013E32" w:rsidRPr="00C74D34">
        <w:rPr>
          <w:szCs w:val="26"/>
        </w:rPr>
        <w:t xml:space="preserve"> rebuttal testimony regarding Project</w:t>
      </w:r>
      <w:r w:rsidR="00771271" w:rsidRPr="00C74D34">
        <w:rPr>
          <w:szCs w:val="26"/>
        </w:rPr>
        <w:t xml:space="preserve"> 9A</w:t>
      </w:r>
      <w:r w:rsidR="00013E32" w:rsidRPr="00C74D34">
        <w:rPr>
          <w:szCs w:val="26"/>
        </w:rPr>
        <w:t>'s reliability benefits.</w:t>
      </w:r>
      <w:r w:rsidR="00FB35A0" w:rsidRPr="00C74D34">
        <w:rPr>
          <w:szCs w:val="26"/>
        </w:rPr>
        <w:t xml:space="preserve">  On February, 11, 2019, all </w:t>
      </w:r>
      <w:r w:rsidR="00C27A9F" w:rsidRPr="00C74D34">
        <w:rPr>
          <w:szCs w:val="26"/>
        </w:rPr>
        <w:t>P</w:t>
      </w:r>
      <w:r w:rsidR="00FB35A0" w:rsidRPr="00C74D34">
        <w:rPr>
          <w:szCs w:val="26"/>
        </w:rPr>
        <w:t>arties submitted briefs in support of their respective positions on the Petition</w:t>
      </w:r>
      <w:r w:rsidR="003D1B9B" w:rsidRPr="00C74D34">
        <w:rPr>
          <w:szCs w:val="26"/>
        </w:rPr>
        <w:t xml:space="preserve"> for Interlocutory Review</w:t>
      </w:r>
      <w:r w:rsidR="00FB35A0" w:rsidRPr="00C74D34">
        <w:rPr>
          <w:szCs w:val="26"/>
        </w:rPr>
        <w:t xml:space="preserve">, and </w:t>
      </w:r>
      <w:proofErr w:type="spellStart"/>
      <w:r w:rsidR="00FB35A0" w:rsidRPr="00C74D34">
        <w:rPr>
          <w:szCs w:val="26"/>
        </w:rPr>
        <w:t>Transource</w:t>
      </w:r>
      <w:proofErr w:type="spellEnd"/>
      <w:r w:rsidR="00FB35A0" w:rsidRPr="00C74D34">
        <w:rPr>
          <w:szCs w:val="26"/>
        </w:rPr>
        <w:t xml:space="preserve"> served its written rejoinder testimony.  </w:t>
      </w:r>
      <w:r w:rsidR="003D1B9B" w:rsidRPr="00C74D34">
        <w:rPr>
          <w:szCs w:val="26"/>
        </w:rPr>
        <w:t>On February 14, 2019, t</w:t>
      </w:r>
      <w:r w:rsidR="00FB35A0" w:rsidRPr="00C74D34">
        <w:rPr>
          <w:szCs w:val="26"/>
        </w:rPr>
        <w:t xml:space="preserve">he OCA </w:t>
      </w:r>
      <w:r w:rsidR="003D1B9B" w:rsidRPr="00C74D34">
        <w:rPr>
          <w:szCs w:val="26"/>
        </w:rPr>
        <w:t xml:space="preserve">and STFC filed </w:t>
      </w:r>
      <w:r w:rsidR="00FB35A0" w:rsidRPr="00C74D34">
        <w:rPr>
          <w:szCs w:val="26"/>
        </w:rPr>
        <w:t>Motion</w:t>
      </w:r>
      <w:r w:rsidR="003D1B9B" w:rsidRPr="00C74D34">
        <w:rPr>
          <w:szCs w:val="26"/>
        </w:rPr>
        <w:t>s</w:t>
      </w:r>
      <w:r w:rsidR="00FB35A0" w:rsidRPr="00C74D34">
        <w:rPr>
          <w:szCs w:val="26"/>
        </w:rPr>
        <w:t xml:space="preserve"> to Strike the Rejoinder to the </w:t>
      </w:r>
      <w:r w:rsidR="00FB35A0" w:rsidRPr="00C74D34">
        <w:rPr>
          <w:szCs w:val="26"/>
        </w:rPr>
        <w:lastRenderedPageBreak/>
        <w:t xml:space="preserve">extent that it failed to comply with the Sixth Prehearing Order.  </w:t>
      </w:r>
      <w:r w:rsidR="003D1B9B" w:rsidRPr="00C74D34">
        <w:rPr>
          <w:szCs w:val="26"/>
        </w:rPr>
        <w:t xml:space="preserve">Citizens filed a letter in support of the Motions to Strike portions of the rejoinder testimony.  </w:t>
      </w:r>
      <w:r w:rsidR="00FB35A0" w:rsidRPr="00C74D34">
        <w:rPr>
          <w:szCs w:val="26"/>
        </w:rPr>
        <w:t xml:space="preserve">In response to these several </w:t>
      </w:r>
      <w:r w:rsidR="00C27A9F" w:rsidRPr="00C74D34">
        <w:rPr>
          <w:szCs w:val="26"/>
        </w:rPr>
        <w:t>m</w:t>
      </w:r>
      <w:r w:rsidR="00FB35A0" w:rsidRPr="00C74D34">
        <w:rPr>
          <w:szCs w:val="26"/>
        </w:rPr>
        <w:t xml:space="preserve">otions, </w:t>
      </w:r>
      <w:proofErr w:type="spellStart"/>
      <w:r w:rsidR="00FB35A0" w:rsidRPr="00C74D34">
        <w:rPr>
          <w:szCs w:val="26"/>
        </w:rPr>
        <w:t>Transource</w:t>
      </w:r>
      <w:proofErr w:type="spellEnd"/>
      <w:r w:rsidR="00FB35A0" w:rsidRPr="00C74D34">
        <w:rPr>
          <w:szCs w:val="26"/>
        </w:rPr>
        <w:t xml:space="preserve"> thereafter served redacted versions of the rejoinder statements that were consistent with the ALJs’ previous Orders. </w:t>
      </w:r>
    </w:p>
    <w:p w14:paraId="0441D870" w14:textId="77777777" w:rsidR="00FB35A0" w:rsidRPr="00C74D34" w:rsidRDefault="00FB35A0" w:rsidP="002D03FA">
      <w:pPr>
        <w:ind w:left="1531"/>
        <w:rPr>
          <w:szCs w:val="26"/>
        </w:rPr>
      </w:pPr>
      <w:r w:rsidRPr="00C74D34">
        <w:rPr>
          <w:szCs w:val="26"/>
        </w:rPr>
        <w:t xml:space="preserve"> </w:t>
      </w:r>
    </w:p>
    <w:p w14:paraId="6D19041F" w14:textId="7C9D7704" w:rsidR="00FB35A0" w:rsidRPr="00C74D34" w:rsidRDefault="003D1B9B" w:rsidP="002D03FA">
      <w:pPr>
        <w:ind w:firstLine="1440"/>
        <w:rPr>
          <w:szCs w:val="26"/>
        </w:rPr>
      </w:pPr>
      <w:r w:rsidRPr="00C74D34">
        <w:rPr>
          <w:szCs w:val="26"/>
        </w:rPr>
        <w:t xml:space="preserve">Evidentiary </w:t>
      </w:r>
      <w:r w:rsidR="00FB35A0" w:rsidRPr="00C74D34">
        <w:rPr>
          <w:szCs w:val="26"/>
        </w:rPr>
        <w:t xml:space="preserve">hearings </w:t>
      </w:r>
      <w:r w:rsidRPr="00C74D34">
        <w:rPr>
          <w:szCs w:val="26"/>
        </w:rPr>
        <w:t xml:space="preserve">were held on February 21-22 and 25-27, 2019, </w:t>
      </w:r>
      <w:r w:rsidR="00FB35A0" w:rsidRPr="00C74D34">
        <w:rPr>
          <w:szCs w:val="26"/>
        </w:rPr>
        <w:t>for the purposes of entering all pre-served direct, rebuttal and surrebuttal testimonies and exhibits into the evidentiary record</w:t>
      </w:r>
      <w:r w:rsidR="002C1C1C" w:rsidRPr="00C74D34">
        <w:rPr>
          <w:szCs w:val="26"/>
        </w:rPr>
        <w:t xml:space="preserve">.  During the hearings, </w:t>
      </w:r>
      <w:proofErr w:type="spellStart"/>
      <w:r w:rsidR="002C1C1C" w:rsidRPr="00C74D34">
        <w:rPr>
          <w:szCs w:val="26"/>
        </w:rPr>
        <w:t>Transource’s</w:t>
      </w:r>
      <w:proofErr w:type="spellEnd"/>
      <w:r w:rsidR="002C1C1C" w:rsidRPr="00C74D34">
        <w:rPr>
          <w:szCs w:val="26"/>
        </w:rPr>
        <w:t xml:space="preserve"> witnesses were </w:t>
      </w:r>
      <w:r w:rsidR="00160F5C" w:rsidRPr="00C74D34">
        <w:rPr>
          <w:szCs w:val="26"/>
        </w:rPr>
        <w:t>cross-examined,</w:t>
      </w:r>
      <w:r w:rsidR="002C1C1C" w:rsidRPr="00C74D34">
        <w:rPr>
          <w:szCs w:val="26"/>
        </w:rPr>
        <w:t xml:space="preserve"> and their testimony admitted into the record, except for the stricken testimony regarding reliability benefits.</w:t>
      </w:r>
      <w:r w:rsidR="00FB35A0" w:rsidRPr="00C74D34">
        <w:rPr>
          <w:szCs w:val="26"/>
        </w:rPr>
        <w:t xml:space="preserve">  The ALJs also allowed oral testimony by several </w:t>
      </w:r>
      <w:r w:rsidR="00FB35A0" w:rsidRPr="00C74D34">
        <w:rPr>
          <w:i/>
          <w:szCs w:val="26"/>
        </w:rPr>
        <w:t>pro se</w:t>
      </w:r>
      <w:r w:rsidR="00FB35A0" w:rsidRPr="00C74D34">
        <w:rPr>
          <w:szCs w:val="26"/>
        </w:rPr>
        <w:t xml:space="preserve"> parties. </w:t>
      </w:r>
    </w:p>
    <w:p w14:paraId="74C7F39E" w14:textId="612C48A6" w:rsidR="00FB35A0" w:rsidRPr="00C74D34" w:rsidRDefault="00FB35A0" w:rsidP="002D03FA">
      <w:pPr>
        <w:ind w:left="76" w:right="60" w:firstLine="1440"/>
        <w:rPr>
          <w:szCs w:val="26"/>
        </w:rPr>
      </w:pPr>
    </w:p>
    <w:p w14:paraId="1AFEFBDE" w14:textId="539B09D2" w:rsidR="00EA1758" w:rsidRPr="00C74D34" w:rsidRDefault="00EA1758" w:rsidP="002D03FA">
      <w:pPr>
        <w:ind w:firstLine="1440"/>
        <w:rPr>
          <w:szCs w:val="26"/>
        </w:rPr>
      </w:pPr>
      <w:r w:rsidRPr="00C74D34">
        <w:rPr>
          <w:szCs w:val="26"/>
        </w:rPr>
        <w:t xml:space="preserve">On March 20, 2019, the Commission issued an Order granting </w:t>
      </w:r>
      <w:proofErr w:type="spellStart"/>
      <w:r w:rsidRPr="00C74D34">
        <w:rPr>
          <w:szCs w:val="26"/>
        </w:rPr>
        <w:t>Transource’s</w:t>
      </w:r>
      <w:proofErr w:type="spellEnd"/>
      <w:r w:rsidRPr="00C74D34">
        <w:rPr>
          <w:szCs w:val="26"/>
        </w:rPr>
        <w:t xml:space="preserve"> Petition for Interlocutory Review and answered the following questions in the affirmative: </w:t>
      </w:r>
    </w:p>
    <w:p w14:paraId="43113E6D" w14:textId="77777777" w:rsidR="00EA1758" w:rsidRPr="00C74D34" w:rsidRDefault="00EA1758" w:rsidP="002D03FA">
      <w:pPr>
        <w:spacing w:line="240" w:lineRule="auto"/>
        <w:ind w:left="1526"/>
        <w:rPr>
          <w:szCs w:val="26"/>
        </w:rPr>
      </w:pPr>
      <w:r w:rsidRPr="00C74D34">
        <w:rPr>
          <w:szCs w:val="26"/>
        </w:rPr>
        <w:t xml:space="preserve"> </w:t>
      </w:r>
    </w:p>
    <w:p w14:paraId="0794C015" w14:textId="200A21EC" w:rsidR="00EA1758" w:rsidRPr="00C74D34" w:rsidRDefault="00EA1758" w:rsidP="0047446A">
      <w:pPr>
        <w:numPr>
          <w:ilvl w:val="0"/>
          <w:numId w:val="1"/>
        </w:numPr>
        <w:spacing w:line="240" w:lineRule="auto"/>
        <w:ind w:right="1353"/>
        <w:rPr>
          <w:szCs w:val="26"/>
        </w:rPr>
      </w:pPr>
      <w:r w:rsidRPr="00C74D34">
        <w:rPr>
          <w:szCs w:val="26"/>
        </w:rPr>
        <w:t xml:space="preserve">Whether the ALJs erred by striking </w:t>
      </w:r>
      <w:proofErr w:type="spellStart"/>
      <w:r w:rsidRPr="00C74D34">
        <w:rPr>
          <w:szCs w:val="26"/>
        </w:rPr>
        <w:t>Transource’s</w:t>
      </w:r>
      <w:proofErr w:type="spellEnd"/>
      <w:r w:rsidRPr="00C74D34">
        <w:rPr>
          <w:szCs w:val="26"/>
        </w:rPr>
        <w:t xml:space="preserve"> rebuttal testimony regarding the Project</w:t>
      </w:r>
      <w:r w:rsidR="00771271" w:rsidRPr="00C74D34">
        <w:rPr>
          <w:szCs w:val="26"/>
        </w:rPr>
        <w:t xml:space="preserve"> 9A</w:t>
      </w:r>
      <w:r w:rsidRPr="00C74D34">
        <w:rPr>
          <w:szCs w:val="26"/>
        </w:rPr>
        <w:t>’s reliability benefits, thereby violating 66 Pa.</w:t>
      </w:r>
      <w:r w:rsidR="00771271" w:rsidRPr="00C74D34">
        <w:rPr>
          <w:szCs w:val="26"/>
        </w:rPr>
        <w:t xml:space="preserve"> </w:t>
      </w:r>
      <w:r w:rsidRPr="00C74D34">
        <w:rPr>
          <w:szCs w:val="26"/>
        </w:rPr>
        <w:t>C.S.</w:t>
      </w:r>
      <w:r w:rsidR="00771271" w:rsidRPr="00C74D34">
        <w:rPr>
          <w:szCs w:val="26"/>
        </w:rPr>
        <w:t xml:space="preserve"> §</w:t>
      </w:r>
      <w:r w:rsidRPr="00C74D34">
        <w:rPr>
          <w:szCs w:val="26"/>
        </w:rPr>
        <w:t xml:space="preserve"> 332(c) and denying </w:t>
      </w:r>
      <w:proofErr w:type="spellStart"/>
      <w:r w:rsidRPr="00C74D34">
        <w:rPr>
          <w:szCs w:val="26"/>
        </w:rPr>
        <w:t>Transource</w:t>
      </w:r>
      <w:proofErr w:type="spellEnd"/>
      <w:r w:rsidRPr="00C74D34">
        <w:rPr>
          <w:szCs w:val="26"/>
        </w:rPr>
        <w:t xml:space="preserve"> due process of law? </w:t>
      </w:r>
    </w:p>
    <w:p w14:paraId="709988FE" w14:textId="77777777" w:rsidR="00EA1758" w:rsidRPr="00C74D34" w:rsidRDefault="00EA1758" w:rsidP="0047446A">
      <w:pPr>
        <w:spacing w:after="5" w:line="240" w:lineRule="auto"/>
        <w:ind w:left="1531"/>
        <w:rPr>
          <w:szCs w:val="26"/>
        </w:rPr>
      </w:pPr>
      <w:r w:rsidRPr="00C74D34">
        <w:rPr>
          <w:szCs w:val="26"/>
        </w:rPr>
        <w:t xml:space="preserve"> </w:t>
      </w:r>
    </w:p>
    <w:p w14:paraId="4D296E49" w14:textId="61F7218B" w:rsidR="00EA1758" w:rsidRPr="00C74D34" w:rsidRDefault="00EA1758" w:rsidP="0047446A">
      <w:pPr>
        <w:numPr>
          <w:ilvl w:val="0"/>
          <w:numId w:val="1"/>
        </w:numPr>
        <w:spacing w:line="240" w:lineRule="auto"/>
        <w:ind w:right="1353"/>
        <w:rPr>
          <w:szCs w:val="26"/>
        </w:rPr>
      </w:pPr>
      <w:r w:rsidRPr="00C74D34">
        <w:rPr>
          <w:szCs w:val="26"/>
        </w:rPr>
        <w:t xml:space="preserve">Whether the ALJs’ error unreasonably prevents the development of a full and complete record and denies the </w:t>
      </w:r>
      <w:r w:rsidR="00771271" w:rsidRPr="00C74D34">
        <w:rPr>
          <w:szCs w:val="26"/>
        </w:rPr>
        <w:t>Commission</w:t>
      </w:r>
      <w:r w:rsidRPr="00C74D34">
        <w:rPr>
          <w:szCs w:val="26"/>
        </w:rPr>
        <w:t xml:space="preserve"> access to the most recent available information in determining the need for this transmission line </w:t>
      </w:r>
      <w:r w:rsidR="00771271" w:rsidRPr="00C74D34">
        <w:rPr>
          <w:szCs w:val="26"/>
        </w:rPr>
        <w:t>p</w:t>
      </w:r>
      <w:r w:rsidRPr="00C74D34">
        <w:rPr>
          <w:szCs w:val="26"/>
        </w:rPr>
        <w:t xml:space="preserve">roject? </w:t>
      </w:r>
    </w:p>
    <w:p w14:paraId="4978C3A8" w14:textId="77777777" w:rsidR="00EA1758" w:rsidRPr="00C74D34" w:rsidRDefault="00EA1758" w:rsidP="002D03FA">
      <w:pPr>
        <w:spacing w:line="480" w:lineRule="auto"/>
        <w:ind w:left="1526"/>
        <w:rPr>
          <w:szCs w:val="26"/>
        </w:rPr>
      </w:pPr>
      <w:r w:rsidRPr="00C74D34">
        <w:rPr>
          <w:szCs w:val="26"/>
        </w:rPr>
        <w:t xml:space="preserve"> </w:t>
      </w:r>
    </w:p>
    <w:p w14:paraId="38F6D567" w14:textId="1A4D6F06" w:rsidR="00EA1758" w:rsidRPr="00C74D34" w:rsidRDefault="00EA1758" w:rsidP="002D03FA">
      <w:pPr>
        <w:ind w:firstLine="1440"/>
        <w:rPr>
          <w:szCs w:val="26"/>
        </w:rPr>
      </w:pPr>
      <w:r w:rsidRPr="00C74D34">
        <w:rPr>
          <w:szCs w:val="26"/>
        </w:rPr>
        <w:t>The Commission remanded the matter to the Office of Administrative Law Judge (OALJ) for further proceedings consistent with its Order</w:t>
      </w:r>
      <w:r w:rsidR="00771271" w:rsidRPr="00C74D34">
        <w:rPr>
          <w:szCs w:val="26"/>
        </w:rPr>
        <w:t>.</w:t>
      </w:r>
      <w:r w:rsidRPr="00C74D34">
        <w:rPr>
          <w:szCs w:val="26"/>
        </w:rPr>
        <w:t xml:space="preserve">  A Tenth Prehearing Order was issued on April 2, 2019, directing </w:t>
      </w:r>
      <w:proofErr w:type="spellStart"/>
      <w:r w:rsidRPr="00C74D34">
        <w:rPr>
          <w:szCs w:val="26"/>
        </w:rPr>
        <w:t>Transource</w:t>
      </w:r>
      <w:proofErr w:type="spellEnd"/>
      <w:r w:rsidRPr="00C74D34">
        <w:rPr>
          <w:szCs w:val="26"/>
        </w:rPr>
        <w:t xml:space="preserve"> to serve its unredacted rebuttal and rejoinder statements within ten days.  Furthermore, the ALJs modified the procedural schedule to allow for the submission of supplemental surrebuttal and rejoinder </w:t>
      </w:r>
      <w:r w:rsidRPr="00C74D34">
        <w:rPr>
          <w:szCs w:val="26"/>
        </w:rPr>
        <w:lastRenderedPageBreak/>
        <w:t xml:space="preserve">testimonies with respect to the previously redacted matter relating to reliability and scheduled evidentiary hearings for June 28-29, 2019. </w:t>
      </w:r>
    </w:p>
    <w:p w14:paraId="7065B44B" w14:textId="77777777" w:rsidR="00EA1758" w:rsidRPr="00C74D34" w:rsidRDefault="00EA1758" w:rsidP="002D03FA">
      <w:pPr>
        <w:ind w:left="1531"/>
        <w:rPr>
          <w:szCs w:val="26"/>
        </w:rPr>
      </w:pPr>
      <w:r w:rsidRPr="00C74D34">
        <w:rPr>
          <w:szCs w:val="26"/>
        </w:rPr>
        <w:t xml:space="preserve"> </w:t>
      </w:r>
    </w:p>
    <w:p w14:paraId="5CA250A6" w14:textId="704C9E45" w:rsidR="00DE5286" w:rsidRPr="00C74D34" w:rsidRDefault="00EA1758" w:rsidP="002D03FA">
      <w:pPr>
        <w:ind w:firstLine="1440"/>
        <w:rPr>
          <w:szCs w:val="26"/>
        </w:rPr>
      </w:pPr>
      <w:r w:rsidRPr="00C74D34">
        <w:rPr>
          <w:szCs w:val="26"/>
        </w:rPr>
        <w:t xml:space="preserve">The </w:t>
      </w:r>
      <w:r w:rsidR="00C27A9F" w:rsidRPr="00C74D34">
        <w:rPr>
          <w:szCs w:val="26"/>
        </w:rPr>
        <w:t>P</w:t>
      </w:r>
      <w:r w:rsidRPr="00C74D34">
        <w:rPr>
          <w:szCs w:val="26"/>
        </w:rPr>
        <w:t xml:space="preserve">arties proceeded with additional discovery and responses on the unredacted statements.  </w:t>
      </w:r>
      <w:r w:rsidR="00276C35" w:rsidRPr="00C74D34">
        <w:rPr>
          <w:szCs w:val="26"/>
        </w:rPr>
        <w:t xml:space="preserve">In this regard, on May 14, 2019, </w:t>
      </w:r>
      <w:proofErr w:type="spellStart"/>
      <w:r w:rsidR="00276C35" w:rsidRPr="00C74D34">
        <w:rPr>
          <w:szCs w:val="26"/>
        </w:rPr>
        <w:t>Transource</w:t>
      </w:r>
      <w:proofErr w:type="spellEnd"/>
      <w:r w:rsidR="00276C35" w:rsidRPr="00C74D34">
        <w:rPr>
          <w:szCs w:val="26"/>
        </w:rPr>
        <w:t xml:space="preserve"> submitted supplemental testimony for the purpose of providing an update on a conceptual alternative to the originally proposed </w:t>
      </w:r>
      <w:r w:rsidR="00BD02F3" w:rsidRPr="00C74D34">
        <w:rPr>
          <w:szCs w:val="26"/>
        </w:rPr>
        <w:t xml:space="preserve">IEC </w:t>
      </w:r>
      <w:r w:rsidR="00276C35" w:rsidRPr="00C74D34">
        <w:rPr>
          <w:szCs w:val="26"/>
        </w:rPr>
        <w:t xml:space="preserve">East Project.  </w:t>
      </w:r>
      <w:r w:rsidRPr="00C74D34">
        <w:rPr>
          <w:szCs w:val="26"/>
        </w:rPr>
        <w:t xml:space="preserve">On May 29, 2019, the OCA served </w:t>
      </w:r>
      <w:r w:rsidR="00DE5286" w:rsidRPr="00C74D34">
        <w:rPr>
          <w:szCs w:val="26"/>
        </w:rPr>
        <w:t xml:space="preserve">its supplemental rebuttal testimony </w:t>
      </w:r>
      <w:r w:rsidRPr="00C74D34">
        <w:rPr>
          <w:szCs w:val="26"/>
        </w:rPr>
        <w:t xml:space="preserve">responding to </w:t>
      </w:r>
      <w:proofErr w:type="spellStart"/>
      <w:r w:rsidR="00771271" w:rsidRPr="00C74D34">
        <w:rPr>
          <w:szCs w:val="26"/>
        </w:rPr>
        <w:t>Transource’s</w:t>
      </w:r>
      <w:proofErr w:type="spellEnd"/>
      <w:r w:rsidR="00771271" w:rsidRPr="00C74D34">
        <w:rPr>
          <w:szCs w:val="26"/>
        </w:rPr>
        <w:t xml:space="preserve"> </w:t>
      </w:r>
      <w:r w:rsidRPr="00C74D34">
        <w:rPr>
          <w:szCs w:val="26"/>
        </w:rPr>
        <w:t>claims of potential future reliability violations.</w:t>
      </w:r>
      <w:r w:rsidR="00276C35" w:rsidRPr="00C74D34">
        <w:rPr>
          <w:szCs w:val="26"/>
        </w:rPr>
        <w:t xml:space="preserve">  Similarly, on June 3, 2019, STFC served its supplemental surrebuttal testimony.  </w:t>
      </w:r>
      <w:r w:rsidR="00DE5286" w:rsidRPr="00C74D34">
        <w:rPr>
          <w:szCs w:val="26"/>
        </w:rPr>
        <w:t xml:space="preserve">On June 17, 2019, </w:t>
      </w:r>
      <w:proofErr w:type="spellStart"/>
      <w:r w:rsidR="00DE5286" w:rsidRPr="00C74D34">
        <w:rPr>
          <w:szCs w:val="26"/>
        </w:rPr>
        <w:t>Transource</w:t>
      </w:r>
      <w:proofErr w:type="spellEnd"/>
      <w:r w:rsidR="00DE5286" w:rsidRPr="00C74D34">
        <w:rPr>
          <w:szCs w:val="26"/>
        </w:rPr>
        <w:t xml:space="preserve"> served supplemental rejoinder testimony.  </w:t>
      </w:r>
    </w:p>
    <w:p w14:paraId="505DEFFA" w14:textId="1C40A12C" w:rsidR="00276C35" w:rsidRPr="00C74D34" w:rsidRDefault="00276C35" w:rsidP="002D03FA">
      <w:pPr>
        <w:ind w:firstLine="1440"/>
        <w:rPr>
          <w:szCs w:val="26"/>
        </w:rPr>
      </w:pPr>
    </w:p>
    <w:p w14:paraId="7673E528" w14:textId="19F664AE" w:rsidR="00276C35" w:rsidRPr="00C74D34" w:rsidRDefault="00276C35" w:rsidP="002D03FA">
      <w:pPr>
        <w:ind w:firstLine="1440"/>
        <w:rPr>
          <w:szCs w:val="26"/>
        </w:rPr>
      </w:pPr>
      <w:r w:rsidRPr="00C74D34">
        <w:rPr>
          <w:szCs w:val="26"/>
        </w:rPr>
        <w:t xml:space="preserve">The next day, June 18, 2019, </w:t>
      </w:r>
      <w:proofErr w:type="spellStart"/>
      <w:r w:rsidRPr="00C74D34">
        <w:rPr>
          <w:szCs w:val="26"/>
        </w:rPr>
        <w:t>Transource</w:t>
      </w:r>
      <w:proofErr w:type="spellEnd"/>
      <w:r w:rsidRPr="00C74D34">
        <w:rPr>
          <w:szCs w:val="26"/>
        </w:rPr>
        <w:t xml:space="preserve"> filed a Motion to Suspend the Procedural Schedule in order to: </w:t>
      </w:r>
      <w:r w:rsidR="00831D2C" w:rsidRPr="00C74D34">
        <w:rPr>
          <w:szCs w:val="26"/>
        </w:rPr>
        <w:t xml:space="preserve"> </w:t>
      </w:r>
      <w:r w:rsidRPr="00C74D34">
        <w:rPr>
          <w:szCs w:val="26"/>
        </w:rPr>
        <w:t>(1) allow the parties additional time to engage in settlement discussions</w:t>
      </w:r>
      <w:r w:rsidR="00B30598" w:rsidRPr="00C74D34">
        <w:rPr>
          <w:szCs w:val="26"/>
        </w:rPr>
        <w:t>;</w:t>
      </w:r>
      <w:r w:rsidRPr="00C74D34">
        <w:rPr>
          <w:szCs w:val="26"/>
        </w:rPr>
        <w:t xml:space="preserve"> (2) request that the evidentiary hearings scheduled for June</w:t>
      </w:r>
      <w:r w:rsidR="002D03FA" w:rsidRPr="00C74D34">
        <w:rPr>
          <w:szCs w:val="26"/>
        </w:rPr>
        <w:t> </w:t>
      </w:r>
      <w:r w:rsidRPr="00C74D34">
        <w:rPr>
          <w:szCs w:val="26"/>
        </w:rPr>
        <w:t>28</w:t>
      </w:r>
      <w:r w:rsidR="002D03FA" w:rsidRPr="00C74D34">
        <w:rPr>
          <w:szCs w:val="26"/>
        </w:rPr>
        <w:noBreakHyphen/>
      </w:r>
      <w:r w:rsidRPr="00C74D34">
        <w:rPr>
          <w:szCs w:val="26"/>
        </w:rPr>
        <w:t>29,</w:t>
      </w:r>
      <w:r w:rsidR="002D03FA" w:rsidRPr="00C74D34">
        <w:rPr>
          <w:szCs w:val="26"/>
        </w:rPr>
        <w:t> </w:t>
      </w:r>
      <w:r w:rsidRPr="00C74D34">
        <w:rPr>
          <w:szCs w:val="26"/>
        </w:rPr>
        <w:t>2019, be postponed</w:t>
      </w:r>
      <w:r w:rsidR="00B30598" w:rsidRPr="00C74D34">
        <w:rPr>
          <w:szCs w:val="26"/>
        </w:rPr>
        <w:t>;</w:t>
      </w:r>
      <w:r w:rsidRPr="00C74D34">
        <w:rPr>
          <w:szCs w:val="26"/>
        </w:rPr>
        <w:t xml:space="preserve"> and (3) ask that the </w:t>
      </w:r>
      <w:r w:rsidR="00CE7858" w:rsidRPr="00C74D34">
        <w:rPr>
          <w:szCs w:val="26"/>
        </w:rPr>
        <w:t>P</w:t>
      </w:r>
      <w:r w:rsidRPr="00C74D34">
        <w:rPr>
          <w:szCs w:val="26"/>
        </w:rPr>
        <w:t xml:space="preserve">arties provide status updates to the Presiding Officers every 30 days.  On June 21, 2019, the ALJs issued the Eleventh Prehearing Order </w:t>
      </w:r>
      <w:r w:rsidR="00282312" w:rsidRPr="00C74D34">
        <w:rPr>
          <w:szCs w:val="26"/>
        </w:rPr>
        <w:t xml:space="preserve">granting </w:t>
      </w:r>
      <w:proofErr w:type="spellStart"/>
      <w:r w:rsidR="00282312" w:rsidRPr="00C74D34">
        <w:rPr>
          <w:szCs w:val="26"/>
        </w:rPr>
        <w:t>Transource’s</w:t>
      </w:r>
      <w:proofErr w:type="spellEnd"/>
      <w:r w:rsidR="00282312" w:rsidRPr="00C74D34">
        <w:rPr>
          <w:szCs w:val="26"/>
        </w:rPr>
        <w:t xml:space="preserve"> Motion to Suspend the Procedural Schedule and </w:t>
      </w:r>
      <w:r w:rsidRPr="00C74D34">
        <w:rPr>
          <w:szCs w:val="26"/>
        </w:rPr>
        <w:t xml:space="preserve">delaying evidentiary hearings until August 7-8, 2019.  </w:t>
      </w:r>
      <w:r w:rsidR="00282312" w:rsidRPr="00C74D34">
        <w:rPr>
          <w:szCs w:val="26"/>
        </w:rPr>
        <w:t xml:space="preserve">On July 26, 2019, </w:t>
      </w:r>
      <w:proofErr w:type="spellStart"/>
      <w:r w:rsidR="00282312" w:rsidRPr="00C74D34">
        <w:rPr>
          <w:szCs w:val="26"/>
        </w:rPr>
        <w:t>Transource’s</w:t>
      </w:r>
      <w:proofErr w:type="spellEnd"/>
      <w:r w:rsidR="00282312" w:rsidRPr="00C74D34">
        <w:rPr>
          <w:szCs w:val="26"/>
        </w:rPr>
        <w:t xml:space="preserve"> counsel informed the ALJs that the </w:t>
      </w:r>
      <w:r w:rsidR="008A6580" w:rsidRPr="00C74D34">
        <w:rPr>
          <w:szCs w:val="26"/>
        </w:rPr>
        <w:t>P</w:t>
      </w:r>
      <w:r w:rsidR="00282312" w:rsidRPr="00C74D34">
        <w:rPr>
          <w:szCs w:val="26"/>
        </w:rPr>
        <w:t xml:space="preserve">arties were continuing their settlement discussions and requested that the evidentiary hearings be rescheduled.  On </w:t>
      </w:r>
      <w:r w:rsidRPr="00C74D34">
        <w:rPr>
          <w:szCs w:val="26"/>
        </w:rPr>
        <w:t xml:space="preserve">August 1, 2019, </w:t>
      </w:r>
      <w:r w:rsidR="00282312" w:rsidRPr="00C74D34">
        <w:rPr>
          <w:szCs w:val="26"/>
        </w:rPr>
        <w:t xml:space="preserve">the ALJs issued a Hearing Notice </w:t>
      </w:r>
      <w:r w:rsidRPr="00C74D34">
        <w:rPr>
          <w:szCs w:val="26"/>
        </w:rPr>
        <w:t>further postpon</w:t>
      </w:r>
      <w:r w:rsidR="00282312" w:rsidRPr="00C74D34">
        <w:rPr>
          <w:szCs w:val="26"/>
        </w:rPr>
        <w:t>ing the evidentiary hearings</w:t>
      </w:r>
      <w:r w:rsidRPr="00C74D34">
        <w:rPr>
          <w:szCs w:val="26"/>
        </w:rPr>
        <w:t xml:space="preserve"> until October</w:t>
      </w:r>
      <w:r w:rsidR="002D03FA" w:rsidRPr="00C74D34">
        <w:rPr>
          <w:szCs w:val="26"/>
        </w:rPr>
        <w:t> </w:t>
      </w:r>
      <w:r w:rsidRPr="00C74D34">
        <w:rPr>
          <w:szCs w:val="26"/>
        </w:rPr>
        <w:t>2</w:t>
      </w:r>
      <w:r w:rsidR="002D03FA" w:rsidRPr="00C74D34">
        <w:rPr>
          <w:szCs w:val="26"/>
        </w:rPr>
        <w:noBreakHyphen/>
      </w:r>
      <w:r w:rsidRPr="00C74D34">
        <w:rPr>
          <w:szCs w:val="26"/>
        </w:rPr>
        <w:t>4,</w:t>
      </w:r>
      <w:r w:rsidR="002D03FA" w:rsidRPr="00C74D34">
        <w:rPr>
          <w:szCs w:val="26"/>
        </w:rPr>
        <w:t> </w:t>
      </w:r>
      <w:r w:rsidRPr="00C74D34">
        <w:rPr>
          <w:szCs w:val="26"/>
        </w:rPr>
        <w:t>2019, to provide additional time for settlement discussions.</w:t>
      </w:r>
    </w:p>
    <w:p w14:paraId="5E27A7C8" w14:textId="325C9D7E" w:rsidR="00C26FD6" w:rsidRPr="00C74D34" w:rsidRDefault="00C26FD6" w:rsidP="00B11342">
      <w:pPr>
        <w:ind w:firstLine="1440"/>
        <w:rPr>
          <w:szCs w:val="26"/>
        </w:rPr>
      </w:pPr>
    </w:p>
    <w:p w14:paraId="354D77E7" w14:textId="20F4F796" w:rsidR="00C26FD6" w:rsidRPr="00C74D34" w:rsidRDefault="00B30598" w:rsidP="002D03FA">
      <w:pPr>
        <w:ind w:firstLine="1440"/>
        <w:rPr>
          <w:szCs w:val="26"/>
        </w:rPr>
      </w:pPr>
      <w:r w:rsidRPr="00C74D34">
        <w:rPr>
          <w:szCs w:val="26"/>
        </w:rPr>
        <w:t xml:space="preserve">The </w:t>
      </w:r>
      <w:r w:rsidR="008A6580" w:rsidRPr="00C74D34">
        <w:rPr>
          <w:szCs w:val="26"/>
        </w:rPr>
        <w:t>P</w:t>
      </w:r>
      <w:r w:rsidRPr="00C74D34">
        <w:rPr>
          <w:szCs w:val="26"/>
        </w:rPr>
        <w:t>arties continued to engage in settlement discussions</w:t>
      </w:r>
      <w:r w:rsidR="00D52FCD" w:rsidRPr="00C74D34">
        <w:rPr>
          <w:szCs w:val="26"/>
        </w:rPr>
        <w:t>;</w:t>
      </w:r>
      <w:r w:rsidRPr="00C74D34">
        <w:rPr>
          <w:szCs w:val="26"/>
        </w:rPr>
        <w:t xml:space="preserve"> and o</w:t>
      </w:r>
      <w:r w:rsidR="00C26FD6" w:rsidRPr="00C74D34">
        <w:rPr>
          <w:szCs w:val="26"/>
        </w:rPr>
        <w:t>n October</w:t>
      </w:r>
      <w:r w:rsidR="002D03FA" w:rsidRPr="00C74D34">
        <w:rPr>
          <w:szCs w:val="26"/>
        </w:rPr>
        <w:t> </w:t>
      </w:r>
      <w:r w:rsidR="00C26FD6" w:rsidRPr="00C74D34">
        <w:rPr>
          <w:szCs w:val="26"/>
        </w:rPr>
        <w:t>17, 2019, Joint Partial Settlements were filed with the Commission between</w:t>
      </w:r>
      <w:r w:rsidRPr="00C74D34">
        <w:rPr>
          <w:szCs w:val="26"/>
        </w:rPr>
        <w:t>:</w:t>
      </w:r>
      <w:r w:rsidR="0072500F" w:rsidRPr="00C74D34">
        <w:rPr>
          <w:szCs w:val="26"/>
        </w:rPr>
        <w:t xml:space="preserve"> </w:t>
      </w:r>
      <w:r w:rsidR="00831D2C" w:rsidRPr="00C74D34">
        <w:rPr>
          <w:szCs w:val="26"/>
        </w:rPr>
        <w:t xml:space="preserve"> </w:t>
      </w:r>
      <w:r w:rsidRPr="00C74D34">
        <w:rPr>
          <w:szCs w:val="26"/>
        </w:rPr>
        <w:t>(</w:t>
      </w:r>
      <w:r w:rsidR="00C26FD6" w:rsidRPr="00C74D34">
        <w:rPr>
          <w:szCs w:val="26"/>
        </w:rPr>
        <w:t>1)</w:t>
      </w:r>
      <w:r w:rsidR="002B4288" w:rsidRPr="00C74D34">
        <w:rPr>
          <w:szCs w:val="26"/>
        </w:rPr>
        <w:t> </w:t>
      </w:r>
      <w:proofErr w:type="spellStart"/>
      <w:r w:rsidR="00C26FD6" w:rsidRPr="00C74D34">
        <w:rPr>
          <w:szCs w:val="26"/>
        </w:rPr>
        <w:t>Transource</w:t>
      </w:r>
      <w:proofErr w:type="spellEnd"/>
      <w:r w:rsidR="00C26FD6" w:rsidRPr="00C74D34">
        <w:rPr>
          <w:szCs w:val="26"/>
        </w:rPr>
        <w:t xml:space="preserve"> and the York County Planning </w:t>
      </w:r>
      <w:r w:rsidR="00677BF6" w:rsidRPr="00C74D34">
        <w:rPr>
          <w:szCs w:val="26"/>
        </w:rPr>
        <w:t>Commission</w:t>
      </w:r>
      <w:r w:rsidR="00C26FD6" w:rsidRPr="00C74D34">
        <w:rPr>
          <w:szCs w:val="26"/>
        </w:rPr>
        <w:t xml:space="preserve">; </w:t>
      </w:r>
      <w:r w:rsidRPr="00C74D34">
        <w:rPr>
          <w:szCs w:val="26"/>
        </w:rPr>
        <w:t>(</w:t>
      </w:r>
      <w:r w:rsidR="00C26FD6" w:rsidRPr="00C74D34">
        <w:rPr>
          <w:szCs w:val="26"/>
        </w:rPr>
        <w:t xml:space="preserve">2) </w:t>
      </w:r>
      <w:proofErr w:type="spellStart"/>
      <w:r w:rsidR="00C26FD6" w:rsidRPr="00C74D34">
        <w:rPr>
          <w:szCs w:val="26"/>
        </w:rPr>
        <w:t>Transource</w:t>
      </w:r>
      <w:proofErr w:type="spellEnd"/>
      <w:r w:rsidR="00C26FD6" w:rsidRPr="00C74D34">
        <w:rPr>
          <w:szCs w:val="26"/>
        </w:rPr>
        <w:t xml:space="preserve"> and Citizens, Maple Lawn Farms, Barron Shaw and Shaw Orchards; and </w:t>
      </w:r>
      <w:r w:rsidRPr="00C74D34">
        <w:rPr>
          <w:szCs w:val="26"/>
        </w:rPr>
        <w:t>(</w:t>
      </w:r>
      <w:r w:rsidR="00C26FD6" w:rsidRPr="00C74D34">
        <w:rPr>
          <w:szCs w:val="26"/>
        </w:rPr>
        <w:t xml:space="preserve">3) </w:t>
      </w:r>
      <w:proofErr w:type="spellStart"/>
      <w:r w:rsidR="00C26FD6" w:rsidRPr="00C74D34">
        <w:rPr>
          <w:szCs w:val="26"/>
        </w:rPr>
        <w:t>Transource</w:t>
      </w:r>
      <w:proofErr w:type="spellEnd"/>
      <w:r w:rsidR="00C26FD6" w:rsidRPr="00C74D34">
        <w:rPr>
          <w:szCs w:val="26"/>
        </w:rPr>
        <w:t xml:space="preserve"> and PPL</w:t>
      </w:r>
      <w:r w:rsidRPr="00C74D34">
        <w:rPr>
          <w:szCs w:val="26"/>
        </w:rPr>
        <w:t xml:space="preserve"> Electric</w:t>
      </w:r>
      <w:r w:rsidR="00C26FD6" w:rsidRPr="00C74D34">
        <w:rPr>
          <w:szCs w:val="26"/>
        </w:rPr>
        <w:t xml:space="preserve">.  Under the </w:t>
      </w:r>
      <w:r w:rsidR="00E06BDA" w:rsidRPr="00C74D34">
        <w:rPr>
          <w:szCs w:val="26"/>
        </w:rPr>
        <w:t xml:space="preserve">Partial </w:t>
      </w:r>
      <w:r w:rsidR="00C26FD6" w:rsidRPr="00C74D34">
        <w:rPr>
          <w:szCs w:val="26"/>
        </w:rPr>
        <w:t xml:space="preserve">Settlements, </w:t>
      </w:r>
      <w:proofErr w:type="spellStart"/>
      <w:r w:rsidR="00C26FD6" w:rsidRPr="00C74D34">
        <w:rPr>
          <w:szCs w:val="26"/>
        </w:rPr>
        <w:t>Transource</w:t>
      </w:r>
      <w:proofErr w:type="spellEnd"/>
      <w:r w:rsidR="00C26FD6" w:rsidRPr="00C74D34">
        <w:rPr>
          <w:szCs w:val="26"/>
        </w:rPr>
        <w:t xml:space="preserve"> agreed to file an amended application </w:t>
      </w:r>
      <w:r w:rsidR="00C26FD6" w:rsidRPr="00C74D34">
        <w:rPr>
          <w:szCs w:val="26"/>
        </w:rPr>
        <w:lastRenderedPageBreak/>
        <w:t xml:space="preserve">to propose an alternative configuration for the East Portion of the IEC Project in York County.  The alternative configuration would primarily utilize existing rights-of-way (ROW) and transmission infrastructure in York County.  </w:t>
      </w:r>
    </w:p>
    <w:p w14:paraId="77FDADA9" w14:textId="77777777" w:rsidR="00C26FD6" w:rsidRPr="00C74D34" w:rsidRDefault="00C26FD6" w:rsidP="002D03FA">
      <w:pPr>
        <w:ind w:left="1531"/>
        <w:rPr>
          <w:szCs w:val="26"/>
        </w:rPr>
      </w:pPr>
      <w:r w:rsidRPr="00C74D34">
        <w:rPr>
          <w:szCs w:val="26"/>
        </w:rPr>
        <w:t xml:space="preserve"> </w:t>
      </w:r>
    </w:p>
    <w:p w14:paraId="2612AB97" w14:textId="0078EA86" w:rsidR="00C26FD6" w:rsidRPr="00C74D34" w:rsidRDefault="00C26FD6" w:rsidP="002D03FA">
      <w:pPr>
        <w:ind w:firstLine="1440"/>
        <w:rPr>
          <w:szCs w:val="26"/>
        </w:rPr>
      </w:pPr>
      <w:r w:rsidRPr="00C74D34">
        <w:rPr>
          <w:szCs w:val="26"/>
        </w:rPr>
        <w:t xml:space="preserve">A Prehearing Conference was held on October 28, 2019, for the </w:t>
      </w:r>
      <w:r w:rsidR="000A4153" w:rsidRPr="00C74D34">
        <w:rPr>
          <w:szCs w:val="26"/>
        </w:rPr>
        <w:t>ALJs</w:t>
      </w:r>
      <w:r w:rsidRPr="00C74D34">
        <w:rPr>
          <w:szCs w:val="26"/>
        </w:rPr>
        <w:t xml:space="preserve"> to obtain further details of the</w:t>
      </w:r>
      <w:r w:rsidR="00E06BDA" w:rsidRPr="00C74D34">
        <w:rPr>
          <w:szCs w:val="26"/>
        </w:rPr>
        <w:t xml:space="preserve"> Partial</w:t>
      </w:r>
      <w:r w:rsidRPr="00C74D34">
        <w:rPr>
          <w:szCs w:val="26"/>
        </w:rPr>
        <w:t xml:space="preserve"> Settlement</w:t>
      </w:r>
      <w:r w:rsidR="000A4153" w:rsidRPr="00C74D34">
        <w:rPr>
          <w:szCs w:val="26"/>
        </w:rPr>
        <w:t>s</w:t>
      </w:r>
      <w:r w:rsidRPr="00C74D34">
        <w:rPr>
          <w:szCs w:val="26"/>
        </w:rPr>
        <w:t xml:space="preserve"> and to check the status of the ongoing litigation for the West Project </w:t>
      </w:r>
      <w:r w:rsidR="000A4153" w:rsidRPr="00C74D34">
        <w:rPr>
          <w:szCs w:val="26"/>
        </w:rPr>
        <w:t>in</w:t>
      </w:r>
      <w:r w:rsidRPr="00C74D34">
        <w:rPr>
          <w:szCs w:val="26"/>
        </w:rPr>
        <w:t xml:space="preserve"> the consolidated proceeding.  During the </w:t>
      </w:r>
      <w:r w:rsidR="000A4153" w:rsidRPr="00C74D34">
        <w:rPr>
          <w:szCs w:val="26"/>
        </w:rPr>
        <w:t xml:space="preserve">Prehearing </w:t>
      </w:r>
      <w:r w:rsidRPr="00C74D34">
        <w:rPr>
          <w:szCs w:val="26"/>
        </w:rPr>
        <w:t xml:space="preserve">Conference, the </w:t>
      </w:r>
      <w:r w:rsidR="00E06BDA" w:rsidRPr="00C74D34">
        <w:rPr>
          <w:szCs w:val="26"/>
        </w:rPr>
        <w:t>P</w:t>
      </w:r>
      <w:r w:rsidRPr="00C74D34">
        <w:rPr>
          <w:szCs w:val="26"/>
        </w:rPr>
        <w:t xml:space="preserve">arties advised that, although a </w:t>
      </w:r>
      <w:r w:rsidR="000A4153" w:rsidRPr="00C74D34">
        <w:rPr>
          <w:szCs w:val="26"/>
        </w:rPr>
        <w:t>s</w:t>
      </w:r>
      <w:r w:rsidRPr="00C74D34">
        <w:rPr>
          <w:szCs w:val="26"/>
        </w:rPr>
        <w:t xml:space="preserve">ettlement had been reached for the </w:t>
      </w:r>
      <w:r w:rsidR="00296F10" w:rsidRPr="00C74D34">
        <w:rPr>
          <w:szCs w:val="26"/>
        </w:rPr>
        <w:t xml:space="preserve">IEC </w:t>
      </w:r>
      <w:r w:rsidRPr="00C74D34">
        <w:rPr>
          <w:szCs w:val="26"/>
        </w:rPr>
        <w:t xml:space="preserve">East Project, </w:t>
      </w:r>
      <w:proofErr w:type="spellStart"/>
      <w:r w:rsidRPr="00C74D34">
        <w:rPr>
          <w:szCs w:val="26"/>
        </w:rPr>
        <w:t>Transource</w:t>
      </w:r>
      <w:proofErr w:type="spellEnd"/>
      <w:r w:rsidRPr="00C74D34">
        <w:rPr>
          <w:szCs w:val="26"/>
        </w:rPr>
        <w:t xml:space="preserve"> intended to file various documents with the Commission, including, without limitation, Joint or Amended Application(s) and related filings.  Further, </w:t>
      </w:r>
      <w:r w:rsidR="000A4153" w:rsidRPr="00C74D34">
        <w:rPr>
          <w:szCs w:val="26"/>
        </w:rPr>
        <w:t xml:space="preserve">the </w:t>
      </w:r>
      <w:r w:rsidRPr="00C74D34">
        <w:rPr>
          <w:szCs w:val="26"/>
        </w:rPr>
        <w:t xml:space="preserve">OCA requested to move into the record the </w:t>
      </w:r>
      <w:r w:rsidR="00E06BDA" w:rsidRPr="00C74D34">
        <w:rPr>
          <w:szCs w:val="26"/>
        </w:rPr>
        <w:t>s</w:t>
      </w:r>
      <w:r w:rsidRPr="00C74D34">
        <w:rPr>
          <w:szCs w:val="26"/>
        </w:rPr>
        <w:t xml:space="preserve">upplemental </w:t>
      </w:r>
      <w:r w:rsidR="00E06BDA" w:rsidRPr="00C74D34">
        <w:rPr>
          <w:szCs w:val="26"/>
        </w:rPr>
        <w:t>s</w:t>
      </w:r>
      <w:r w:rsidRPr="00C74D34">
        <w:rPr>
          <w:szCs w:val="26"/>
        </w:rPr>
        <w:t xml:space="preserve">urrebuttal </w:t>
      </w:r>
      <w:r w:rsidR="00E06BDA" w:rsidRPr="00C74D34">
        <w:rPr>
          <w:szCs w:val="26"/>
        </w:rPr>
        <w:t>t</w:t>
      </w:r>
      <w:r w:rsidRPr="00C74D34">
        <w:rPr>
          <w:szCs w:val="26"/>
        </w:rPr>
        <w:t xml:space="preserve">estimony of Peter J. </w:t>
      </w:r>
      <w:proofErr w:type="spellStart"/>
      <w:r w:rsidRPr="00C74D34">
        <w:rPr>
          <w:szCs w:val="26"/>
        </w:rPr>
        <w:t>Lanzalotta</w:t>
      </w:r>
      <w:proofErr w:type="spellEnd"/>
      <w:r w:rsidRPr="00C74D34">
        <w:rPr>
          <w:szCs w:val="26"/>
        </w:rPr>
        <w:t xml:space="preserve">, who was to retire before the anticipated further hearing.  The ALJs held that as long as Mr. </w:t>
      </w:r>
      <w:proofErr w:type="spellStart"/>
      <w:r w:rsidRPr="00C74D34">
        <w:rPr>
          <w:szCs w:val="26"/>
        </w:rPr>
        <w:t>Lanzalotta</w:t>
      </w:r>
      <w:proofErr w:type="spellEnd"/>
      <w:r w:rsidRPr="00C74D34">
        <w:rPr>
          <w:szCs w:val="26"/>
        </w:rPr>
        <w:t xml:space="preserve"> signed a verification attached to his testimony, a Joint Stipulation for Admission of Evidence with Mr. </w:t>
      </w:r>
      <w:proofErr w:type="spellStart"/>
      <w:r w:rsidRPr="00C74D34">
        <w:rPr>
          <w:szCs w:val="26"/>
        </w:rPr>
        <w:t>Lanzalotta’s</w:t>
      </w:r>
      <w:proofErr w:type="spellEnd"/>
      <w:r w:rsidRPr="00C74D34">
        <w:rPr>
          <w:szCs w:val="26"/>
        </w:rPr>
        <w:t xml:space="preserve"> testimony may be filed and admitted into the record.</w:t>
      </w:r>
    </w:p>
    <w:p w14:paraId="20F3520D" w14:textId="319F7A9E" w:rsidR="009A38F9" w:rsidRPr="00C74D34" w:rsidRDefault="009A38F9" w:rsidP="002D03FA">
      <w:pPr>
        <w:ind w:left="76" w:right="60" w:firstLine="1440"/>
        <w:rPr>
          <w:szCs w:val="26"/>
        </w:rPr>
      </w:pPr>
    </w:p>
    <w:p w14:paraId="18DB06DF" w14:textId="23191E3C" w:rsidR="009A38F9" w:rsidRPr="00C74D34" w:rsidRDefault="009A38F9" w:rsidP="002D03FA">
      <w:pPr>
        <w:ind w:firstLine="1440"/>
        <w:rPr>
          <w:szCs w:val="26"/>
        </w:rPr>
      </w:pPr>
      <w:r w:rsidRPr="00C74D34">
        <w:rPr>
          <w:szCs w:val="26"/>
        </w:rPr>
        <w:t xml:space="preserve">On November 26, 2019, </w:t>
      </w:r>
      <w:r w:rsidR="009D67AF" w:rsidRPr="00C74D34">
        <w:rPr>
          <w:szCs w:val="26"/>
        </w:rPr>
        <w:t xml:space="preserve">the </w:t>
      </w:r>
      <w:r w:rsidRPr="00C74D34">
        <w:rPr>
          <w:szCs w:val="26"/>
        </w:rPr>
        <w:t xml:space="preserve">OCA moved for admission into the evidentiary record the </w:t>
      </w:r>
      <w:r w:rsidR="00E06BDA" w:rsidRPr="00C74D34">
        <w:rPr>
          <w:szCs w:val="26"/>
        </w:rPr>
        <w:t>s</w:t>
      </w:r>
      <w:r w:rsidRPr="00C74D34">
        <w:rPr>
          <w:szCs w:val="26"/>
        </w:rPr>
        <w:t xml:space="preserve">upplemental </w:t>
      </w:r>
      <w:r w:rsidR="00E06BDA" w:rsidRPr="00C74D34">
        <w:rPr>
          <w:szCs w:val="26"/>
        </w:rPr>
        <w:t>s</w:t>
      </w:r>
      <w:r w:rsidRPr="00C74D34">
        <w:rPr>
          <w:szCs w:val="26"/>
        </w:rPr>
        <w:t xml:space="preserve">urrebuttal </w:t>
      </w:r>
      <w:r w:rsidR="00E06BDA" w:rsidRPr="00C74D34">
        <w:rPr>
          <w:szCs w:val="26"/>
        </w:rPr>
        <w:t>t</w:t>
      </w:r>
      <w:r w:rsidRPr="00C74D34">
        <w:rPr>
          <w:szCs w:val="26"/>
        </w:rPr>
        <w:t xml:space="preserve">estimony of Peter J. </w:t>
      </w:r>
      <w:proofErr w:type="spellStart"/>
      <w:r w:rsidRPr="00C74D34">
        <w:rPr>
          <w:szCs w:val="26"/>
        </w:rPr>
        <w:t>Lanzalotta</w:t>
      </w:r>
      <w:proofErr w:type="spellEnd"/>
      <w:r w:rsidRPr="00C74D34">
        <w:rPr>
          <w:szCs w:val="26"/>
        </w:rPr>
        <w:t xml:space="preserve">. </w:t>
      </w:r>
      <w:r w:rsidR="00E06BDA" w:rsidRPr="00C74D34">
        <w:rPr>
          <w:szCs w:val="26"/>
        </w:rPr>
        <w:t xml:space="preserve"> </w:t>
      </w:r>
      <w:r w:rsidRPr="00C74D34">
        <w:rPr>
          <w:szCs w:val="26"/>
        </w:rPr>
        <w:t xml:space="preserve">Pursuant to the Joint Stipulation attached to the Motion, </w:t>
      </w:r>
      <w:r w:rsidR="009D67AF" w:rsidRPr="00C74D34">
        <w:rPr>
          <w:szCs w:val="26"/>
        </w:rPr>
        <w:t xml:space="preserve">the </w:t>
      </w:r>
      <w:r w:rsidRPr="00C74D34">
        <w:rPr>
          <w:szCs w:val="26"/>
        </w:rPr>
        <w:t xml:space="preserve">OCA stipulated to the authenticity of OCA St. No. 2-SSR and accompanying exhibits.  A verification was also attached to OCA St. No. 2-SSR.  </w:t>
      </w:r>
      <w:r w:rsidR="009D67AF" w:rsidRPr="00C74D34">
        <w:rPr>
          <w:szCs w:val="26"/>
        </w:rPr>
        <w:t>The ALJs granted th</w:t>
      </w:r>
      <w:r w:rsidRPr="00C74D34">
        <w:rPr>
          <w:szCs w:val="26"/>
        </w:rPr>
        <w:t xml:space="preserve">is unopposed Motion and the Joint Stipulation on November 27, 2019.  </w:t>
      </w:r>
    </w:p>
    <w:p w14:paraId="25A34EF6" w14:textId="77777777" w:rsidR="009A38F9" w:rsidRPr="00C74D34" w:rsidRDefault="009A38F9" w:rsidP="002D03FA">
      <w:pPr>
        <w:ind w:firstLine="720"/>
        <w:rPr>
          <w:szCs w:val="26"/>
        </w:rPr>
      </w:pPr>
      <w:r w:rsidRPr="00C74D34">
        <w:rPr>
          <w:szCs w:val="26"/>
        </w:rPr>
        <w:t xml:space="preserve"> </w:t>
      </w:r>
    </w:p>
    <w:p w14:paraId="62A05A04" w14:textId="5E04A165" w:rsidR="009D67AF" w:rsidRPr="00C74D34" w:rsidRDefault="009A38F9" w:rsidP="002D03FA">
      <w:pPr>
        <w:ind w:firstLine="1440"/>
        <w:rPr>
          <w:szCs w:val="26"/>
        </w:rPr>
      </w:pPr>
      <w:r w:rsidRPr="00C74D34">
        <w:rPr>
          <w:szCs w:val="26"/>
        </w:rPr>
        <w:t xml:space="preserve">On January 29, 2020, pursuant to the </w:t>
      </w:r>
      <w:r w:rsidR="0072500F" w:rsidRPr="00C74D34">
        <w:rPr>
          <w:szCs w:val="26"/>
        </w:rPr>
        <w:t>Joint Partial Settlements</w:t>
      </w:r>
      <w:r w:rsidRPr="00C74D34">
        <w:rPr>
          <w:szCs w:val="26"/>
        </w:rPr>
        <w:t xml:space="preserve">, </w:t>
      </w:r>
      <w:proofErr w:type="spellStart"/>
      <w:r w:rsidRPr="00C74D34">
        <w:rPr>
          <w:szCs w:val="26"/>
        </w:rPr>
        <w:t>Transource</w:t>
      </w:r>
      <w:proofErr w:type="spellEnd"/>
      <w:r w:rsidRPr="00C74D34">
        <w:rPr>
          <w:szCs w:val="26"/>
        </w:rPr>
        <w:t xml:space="preserve"> and PPL</w:t>
      </w:r>
      <w:r w:rsidR="009D67AF" w:rsidRPr="00C74D34">
        <w:rPr>
          <w:szCs w:val="26"/>
        </w:rPr>
        <w:t xml:space="preserve"> Electric</w:t>
      </w:r>
      <w:r w:rsidRPr="00C74D34">
        <w:rPr>
          <w:szCs w:val="26"/>
        </w:rPr>
        <w:t xml:space="preserve"> filed a Joint Amended Application for the Siting and Construction of the 230 kV Transmission Lines </w:t>
      </w:r>
      <w:r w:rsidR="00C16C82" w:rsidRPr="00C74D34">
        <w:rPr>
          <w:szCs w:val="26"/>
        </w:rPr>
        <w:t xml:space="preserve">proposing an alternative route for the </w:t>
      </w:r>
      <w:r w:rsidR="002457DD" w:rsidRPr="00C74D34">
        <w:rPr>
          <w:szCs w:val="26"/>
        </w:rPr>
        <w:t>eastern portion</w:t>
      </w:r>
      <w:r w:rsidR="00C16C82" w:rsidRPr="00C74D34">
        <w:rPr>
          <w:szCs w:val="26"/>
        </w:rPr>
        <w:t xml:space="preserve"> of the IEC Project transmission line in York County</w:t>
      </w:r>
      <w:r w:rsidRPr="00C74D34">
        <w:rPr>
          <w:szCs w:val="26"/>
        </w:rPr>
        <w:t xml:space="preserve">. </w:t>
      </w:r>
      <w:r w:rsidR="00C16C82" w:rsidRPr="00C74D34">
        <w:rPr>
          <w:szCs w:val="26"/>
        </w:rPr>
        <w:t xml:space="preserve"> </w:t>
      </w:r>
      <w:r w:rsidRPr="00C74D34">
        <w:rPr>
          <w:szCs w:val="26"/>
        </w:rPr>
        <w:t xml:space="preserve">Under the Amended Siting Application, instead of pursuing greenfield construction of a new 230 kV transmission line in York County, </w:t>
      </w:r>
      <w:proofErr w:type="spellStart"/>
      <w:r w:rsidRPr="00C74D34">
        <w:rPr>
          <w:szCs w:val="26"/>
        </w:rPr>
        <w:t>Transource</w:t>
      </w:r>
      <w:proofErr w:type="spellEnd"/>
      <w:r w:rsidRPr="00C74D34">
        <w:rPr>
          <w:szCs w:val="26"/>
        </w:rPr>
        <w:t xml:space="preserve"> </w:t>
      </w:r>
      <w:r w:rsidR="00C16C82" w:rsidRPr="00C74D34">
        <w:rPr>
          <w:szCs w:val="26"/>
        </w:rPr>
        <w:t xml:space="preserve">and </w:t>
      </w:r>
      <w:r w:rsidRPr="00C74D34">
        <w:rPr>
          <w:szCs w:val="26"/>
        </w:rPr>
        <w:t>PPL</w:t>
      </w:r>
      <w:r w:rsidR="009D67AF" w:rsidRPr="00C74D34">
        <w:rPr>
          <w:szCs w:val="26"/>
        </w:rPr>
        <w:t xml:space="preserve"> Electric</w:t>
      </w:r>
      <w:r w:rsidR="00C16C82" w:rsidRPr="00C74D34">
        <w:rPr>
          <w:szCs w:val="26"/>
        </w:rPr>
        <w:t xml:space="preserve"> seek</w:t>
      </w:r>
      <w:r w:rsidRPr="00C74D34">
        <w:rPr>
          <w:szCs w:val="26"/>
        </w:rPr>
        <w:t xml:space="preserve"> to reroute the majority of the </w:t>
      </w:r>
      <w:r w:rsidR="00D737FF" w:rsidRPr="00C74D34">
        <w:rPr>
          <w:szCs w:val="26"/>
        </w:rPr>
        <w:lastRenderedPageBreak/>
        <w:t>eastern portion</w:t>
      </w:r>
      <w:r w:rsidR="00BB2182" w:rsidRPr="00C74D34">
        <w:rPr>
          <w:szCs w:val="26"/>
        </w:rPr>
        <w:t xml:space="preserve"> of the </w:t>
      </w:r>
      <w:r w:rsidRPr="00C74D34">
        <w:rPr>
          <w:szCs w:val="26"/>
        </w:rPr>
        <w:t xml:space="preserve">IEC Project to two existing transmission lines in York County.  Currently operating as single circuit lines, PPL </w:t>
      </w:r>
      <w:r w:rsidR="009D67AF" w:rsidRPr="00C74D34">
        <w:rPr>
          <w:szCs w:val="26"/>
        </w:rPr>
        <w:t xml:space="preserve">Electric </w:t>
      </w:r>
      <w:r w:rsidRPr="00C74D34">
        <w:rPr>
          <w:szCs w:val="26"/>
        </w:rPr>
        <w:t>will convert the existing Manor-</w:t>
      </w:r>
      <w:proofErr w:type="spellStart"/>
      <w:r w:rsidRPr="00C74D34">
        <w:rPr>
          <w:szCs w:val="26"/>
        </w:rPr>
        <w:t>Graceton</w:t>
      </w:r>
      <w:proofErr w:type="spellEnd"/>
      <w:r w:rsidRPr="00C74D34">
        <w:rPr>
          <w:szCs w:val="26"/>
        </w:rPr>
        <w:t xml:space="preserve"> 230 kV line and the Otter Creek-</w:t>
      </w:r>
      <w:proofErr w:type="spellStart"/>
      <w:r w:rsidRPr="00C74D34">
        <w:rPr>
          <w:szCs w:val="26"/>
        </w:rPr>
        <w:t>Conastone</w:t>
      </w:r>
      <w:proofErr w:type="spellEnd"/>
      <w:r w:rsidRPr="00C74D34">
        <w:rPr>
          <w:szCs w:val="26"/>
        </w:rPr>
        <w:t xml:space="preserve"> 230 kV line to double circuit 230 kV lines.  Additionally, PPL </w:t>
      </w:r>
      <w:r w:rsidR="009D67AF" w:rsidRPr="00C74D34">
        <w:rPr>
          <w:szCs w:val="26"/>
        </w:rPr>
        <w:t xml:space="preserve">Electric </w:t>
      </w:r>
      <w:r w:rsidRPr="00C74D34">
        <w:rPr>
          <w:szCs w:val="26"/>
        </w:rPr>
        <w:t>will utilize an existing ROW, currently hosting an abandoned transmission line, to construct two new 230 kV transmission lines that will connect the double circuit Manor-</w:t>
      </w:r>
      <w:proofErr w:type="spellStart"/>
      <w:r w:rsidRPr="00C74D34">
        <w:rPr>
          <w:szCs w:val="26"/>
        </w:rPr>
        <w:t>Graceton</w:t>
      </w:r>
      <w:proofErr w:type="spellEnd"/>
      <w:r w:rsidRPr="00C74D34">
        <w:rPr>
          <w:szCs w:val="26"/>
        </w:rPr>
        <w:t xml:space="preserve"> and Otter Creek-</w:t>
      </w:r>
      <w:proofErr w:type="spellStart"/>
      <w:r w:rsidRPr="00C74D34">
        <w:rPr>
          <w:szCs w:val="26"/>
        </w:rPr>
        <w:t>Conastone</w:t>
      </w:r>
      <w:proofErr w:type="spellEnd"/>
      <w:r w:rsidRPr="00C74D34">
        <w:rPr>
          <w:szCs w:val="26"/>
        </w:rPr>
        <w:t xml:space="preserve"> transmission lines to the proposed Furnace Run Substation.  </w:t>
      </w:r>
    </w:p>
    <w:p w14:paraId="6AC68D7B" w14:textId="77777777" w:rsidR="009D67AF" w:rsidRPr="00C74D34" w:rsidRDefault="009D67AF" w:rsidP="002D03FA">
      <w:pPr>
        <w:ind w:firstLine="1440"/>
        <w:rPr>
          <w:szCs w:val="26"/>
        </w:rPr>
      </w:pPr>
    </w:p>
    <w:p w14:paraId="46B4E149" w14:textId="699F1175" w:rsidR="0072500F" w:rsidRPr="00C74D34" w:rsidRDefault="009A38F9" w:rsidP="002D03FA">
      <w:pPr>
        <w:ind w:firstLine="1440"/>
        <w:rPr>
          <w:szCs w:val="26"/>
        </w:rPr>
      </w:pPr>
      <w:r w:rsidRPr="00C74D34">
        <w:rPr>
          <w:szCs w:val="26"/>
        </w:rPr>
        <w:t xml:space="preserve">Under its amended plan, </w:t>
      </w:r>
      <w:proofErr w:type="spellStart"/>
      <w:r w:rsidRPr="00C74D34">
        <w:rPr>
          <w:szCs w:val="26"/>
        </w:rPr>
        <w:t>Transource</w:t>
      </w:r>
      <w:proofErr w:type="spellEnd"/>
      <w:r w:rsidRPr="00C74D34">
        <w:rPr>
          <w:szCs w:val="26"/>
        </w:rPr>
        <w:t xml:space="preserve"> will construct, own, and operate the Furnace Run Substation as originally proposed.  </w:t>
      </w:r>
      <w:proofErr w:type="spellStart"/>
      <w:r w:rsidRPr="00C74D34">
        <w:rPr>
          <w:szCs w:val="26"/>
        </w:rPr>
        <w:t>Transource</w:t>
      </w:r>
      <w:proofErr w:type="spellEnd"/>
      <w:r w:rsidRPr="00C74D34">
        <w:rPr>
          <w:szCs w:val="26"/>
        </w:rPr>
        <w:t xml:space="preserve"> asserted that the alternative configuration of the</w:t>
      </w:r>
      <w:r w:rsidR="00BB2182" w:rsidRPr="00C74D34">
        <w:rPr>
          <w:szCs w:val="26"/>
        </w:rPr>
        <w:t xml:space="preserve"> </w:t>
      </w:r>
      <w:r w:rsidR="00D737FF" w:rsidRPr="00C74D34">
        <w:rPr>
          <w:szCs w:val="26"/>
        </w:rPr>
        <w:t xml:space="preserve">eastern portion </w:t>
      </w:r>
      <w:r w:rsidR="00BB2182" w:rsidRPr="00C74D34">
        <w:rPr>
          <w:szCs w:val="26"/>
        </w:rPr>
        <w:t xml:space="preserve">of the </w:t>
      </w:r>
      <w:r w:rsidRPr="00C74D34">
        <w:rPr>
          <w:szCs w:val="26"/>
        </w:rPr>
        <w:t xml:space="preserve">IEC Project will provide the same benefits as the original IEC Project.  The Furnace Run to </w:t>
      </w:r>
      <w:proofErr w:type="spellStart"/>
      <w:r w:rsidRPr="00C74D34">
        <w:rPr>
          <w:szCs w:val="26"/>
        </w:rPr>
        <w:t>Conastone</w:t>
      </w:r>
      <w:proofErr w:type="spellEnd"/>
      <w:r w:rsidRPr="00C74D34">
        <w:rPr>
          <w:szCs w:val="26"/>
        </w:rPr>
        <w:t xml:space="preserve"> double circuit will be approximately eighteen miles in length of which two miles will be constructed in the expanded ROW with new transmission towers and sixteen miles will be in the existing ROW on PPL</w:t>
      </w:r>
      <w:r w:rsidR="009D67AF" w:rsidRPr="00C74D34">
        <w:rPr>
          <w:szCs w:val="26"/>
        </w:rPr>
        <w:t xml:space="preserve"> Electric</w:t>
      </w:r>
      <w:r w:rsidRPr="00C74D34">
        <w:rPr>
          <w:szCs w:val="26"/>
        </w:rPr>
        <w:t xml:space="preserve">’s existing towers.  The Furnace Run to </w:t>
      </w:r>
      <w:proofErr w:type="spellStart"/>
      <w:r w:rsidRPr="00C74D34">
        <w:rPr>
          <w:szCs w:val="26"/>
        </w:rPr>
        <w:t>Graceton</w:t>
      </w:r>
      <w:proofErr w:type="spellEnd"/>
      <w:r w:rsidRPr="00C74D34">
        <w:rPr>
          <w:szCs w:val="26"/>
        </w:rPr>
        <w:t xml:space="preserve"> double circuit will be approximately eleven miles in length of which two miles will be constructed in the expanded ROW and nine miles will be in the existing ROW on existing towers.  The </w:t>
      </w:r>
      <w:r w:rsidR="00D737FF" w:rsidRPr="00C74D34">
        <w:rPr>
          <w:szCs w:val="26"/>
        </w:rPr>
        <w:t xml:space="preserve">western portion </w:t>
      </w:r>
      <w:r w:rsidR="00BB2182" w:rsidRPr="00C74D34">
        <w:rPr>
          <w:szCs w:val="26"/>
        </w:rPr>
        <w:t xml:space="preserve">of the </w:t>
      </w:r>
      <w:r w:rsidRPr="00C74D34">
        <w:rPr>
          <w:szCs w:val="26"/>
        </w:rPr>
        <w:t xml:space="preserve">IEC Project remains the same as originally proposed by </w:t>
      </w:r>
      <w:proofErr w:type="spellStart"/>
      <w:r w:rsidRPr="00C74D34">
        <w:rPr>
          <w:szCs w:val="26"/>
        </w:rPr>
        <w:t>Transource</w:t>
      </w:r>
      <w:proofErr w:type="spellEnd"/>
      <w:r w:rsidR="00C16C82" w:rsidRPr="00C74D34">
        <w:rPr>
          <w:szCs w:val="26"/>
        </w:rPr>
        <w:t xml:space="preserve"> in its</w:t>
      </w:r>
      <w:r w:rsidR="00E06BDA" w:rsidRPr="00C74D34">
        <w:rPr>
          <w:szCs w:val="26"/>
        </w:rPr>
        <w:t xml:space="preserve"> </w:t>
      </w:r>
      <w:r w:rsidR="00C16C82" w:rsidRPr="00C74D34">
        <w:rPr>
          <w:szCs w:val="26"/>
        </w:rPr>
        <w:t>Siting Application</w:t>
      </w:r>
      <w:r w:rsidRPr="00C74D34">
        <w:rPr>
          <w:szCs w:val="26"/>
        </w:rPr>
        <w:t>.</w:t>
      </w:r>
    </w:p>
    <w:p w14:paraId="11A99D11" w14:textId="32FB5D08" w:rsidR="00707118" w:rsidRPr="00C74D34" w:rsidRDefault="00707118" w:rsidP="002D03FA">
      <w:pPr>
        <w:ind w:firstLine="1440"/>
        <w:rPr>
          <w:szCs w:val="26"/>
        </w:rPr>
      </w:pPr>
    </w:p>
    <w:p w14:paraId="702CDD29" w14:textId="67748AF5" w:rsidR="00707118" w:rsidRPr="00C74D34" w:rsidRDefault="00707118" w:rsidP="002D03FA">
      <w:pPr>
        <w:ind w:firstLine="1440"/>
        <w:rPr>
          <w:szCs w:val="26"/>
        </w:rPr>
      </w:pPr>
      <w:r w:rsidRPr="00C74D34">
        <w:rPr>
          <w:szCs w:val="26"/>
        </w:rPr>
        <w:t xml:space="preserve">On January 31, 2020, the Fourteenth Prehearing Order was issued advising the </w:t>
      </w:r>
      <w:r w:rsidR="00E06BDA" w:rsidRPr="00C74D34">
        <w:rPr>
          <w:szCs w:val="26"/>
        </w:rPr>
        <w:t>P</w:t>
      </w:r>
      <w:r w:rsidRPr="00C74D34">
        <w:rPr>
          <w:szCs w:val="26"/>
        </w:rPr>
        <w:t xml:space="preserve">arties of a </w:t>
      </w:r>
      <w:r w:rsidR="00E06BDA" w:rsidRPr="00C74D34">
        <w:rPr>
          <w:szCs w:val="26"/>
        </w:rPr>
        <w:t>P</w:t>
      </w:r>
      <w:r w:rsidRPr="00C74D34">
        <w:rPr>
          <w:szCs w:val="26"/>
        </w:rPr>
        <w:t xml:space="preserve">rehearing </w:t>
      </w:r>
      <w:r w:rsidR="00E06BDA" w:rsidRPr="00C74D34">
        <w:rPr>
          <w:szCs w:val="26"/>
        </w:rPr>
        <w:t>C</w:t>
      </w:r>
      <w:r w:rsidRPr="00C74D34">
        <w:rPr>
          <w:szCs w:val="26"/>
        </w:rPr>
        <w:t xml:space="preserve">onference scheduled for March 18, 2020.  Additionally, </w:t>
      </w:r>
      <w:r w:rsidR="00E06BDA" w:rsidRPr="00C74D34">
        <w:rPr>
          <w:szCs w:val="26"/>
        </w:rPr>
        <w:t>N</w:t>
      </w:r>
      <w:r w:rsidRPr="00C74D34">
        <w:rPr>
          <w:szCs w:val="26"/>
        </w:rPr>
        <w:t xml:space="preserve">otice of </w:t>
      </w:r>
      <w:proofErr w:type="spellStart"/>
      <w:r w:rsidRPr="00C74D34">
        <w:rPr>
          <w:szCs w:val="26"/>
        </w:rPr>
        <w:t>Transource’s</w:t>
      </w:r>
      <w:proofErr w:type="spellEnd"/>
      <w:r w:rsidRPr="00C74D34">
        <w:rPr>
          <w:szCs w:val="26"/>
        </w:rPr>
        <w:t xml:space="preserve"> Amended Siting Application was published in the </w:t>
      </w:r>
      <w:r w:rsidRPr="00C74D34">
        <w:rPr>
          <w:i/>
          <w:szCs w:val="26"/>
        </w:rPr>
        <w:t>Pennsylvania Bulletin</w:t>
      </w:r>
      <w:r w:rsidRPr="00C74D34">
        <w:rPr>
          <w:szCs w:val="26"/>
        </w:rPr>
        <w:t xml:space="preserve"> on February 8, 2020, indicating that Protests and Petitions to Intervene should be filed on or before February 28, 2020.  50 </w:t>
      </w:r>
      <w:proofErr w:type="spellStart"/>
      <w:r w:rsidRPr="00C74D34">
        <w:rPr>
          <w:szCs w:val="26"/>
        </w:rPr>
        <w:t>Pa.B</w:t>
      </w:r>
      <w:proofErr w:type="spellEnd"/>
      <w:r w:rsidRPr="00C74D34">
        <w:rPr>
          <w:szCs w:val="26"/>
        </w:rPr>
        <w:t xml:space="preserve">. 892.  </w:t>
      </w:r>
    </w:p>
    <w:p w14:paraId="7D03D528" w14:textId="77777777" w:rsidR="002B4288" w:rsidRPr="00C74D34" w:rsidRDefault="002B4288" w:rsidP="002D03FA">
      <w:pPr>
        <w:ind w:firstLine="1440"/>
        <w:rPr>
          <w:szCs w:val="26"/>
        </w:rPr>
      </w:pPr>
    </w:p>
    <w:p w14:paraId="53959FB6" w14:textId="6A660902" w:rsidR="00555A8E" w:rsidRPr="00C74D34" w:rsidRDefault="00555A8E" w:rsidP="002D03FA">
      <w:pPr>
        <w:ind w:firstLine="1440"/>
        <w:rPr>
          <w:szCs w:val="26"/>
        </w:rPr>
      </w:pPr>
      <w:r w:rsidRPr="00C74D34">
        <w:rPr>
          <w:szCs w:val="26"/>
        </w:rPr>
        <w:t xml:space="preserve">Thereafter, on February 19, 2020, STFC filed an Answer to the Amended Siting Application.  </w:t>
      </w:r>
      <w:r w:rsidR="009A38F9" w:rsidRPr="00C74D34">
        <w:rPr>
          <w:szCs w:val="26"/>
        </w:rPr>
        <w:t xml:space="preserve">On February 28, 2020, Franklin County filed a Petition to Intervene </w:t>
      </w:r>
      <w:r w:rsidR="004348FB" w:rsidRPr="00C74D34">
        <w:rPr>
          <w:szCs w:val="26"/>
        </w:rPr>
        <w:t xml:space="preserve">and </w:t>
      </w:r>
      <w:r w:rsidR="009A38F9" w:rsidRPr="00C74D34">
        <w:rPr>
          <w:szCs w:val="26"/>
        </w:rPr>
        <w:t>Protest</w:t>
      </w:r>
      <w:r w:rsidR="004348FB" w:rsidRPr="00C74D34">
        <w:rPr>
          <w:szCs w:val="26"/>
        </w:rPr>
        <w:t xml:space="preserve"> to protect the interests of the County and its citize</w:t>
      </w:r>
      <w:r w:rsidR="00F847A3" w:rsidRPr="00C74D34">
        <w:rPr>
          <w:szCs w:val="26"/>
        </w:rPr>
        <w:t xml:space="preserve">ns, contending that there is </w:t>
      </w:r>
      <w:r w:rsidR="00F847A3" w:rsidRPr="00C74D34">
        <w:rPr>
          <w:szCs w:val="26"/>
        </w:rPr>
        <w:lastRenderedPageBreak/>
        <w:t>no need for this Project</w:t>
      </w:r>
      <w:r w:rsidR="009A38F9" w:rsidRPr="00C74D34">
        <w:rPr>
          <w:szCs w:val="26"/>
        </w:rPr>
        <w:t xml:space="preserve">. </w:t>
      </w:r>
      <w:r w:rsidR="004348FB" w:rsidRPr="00C74D34">
        <w:rPr>
          <w:szCs w:val="26"/>
        </w:rPr>
        <w:t xml:space="preserve"> </w:t>
      </w:r>
      <w:r w:rsidRPr="00C74D34">
        <w:rPr>
          <w:szCs w:val="26"/>
        </w:rPr>
        <w:t xml:space="preserve">On this same date, the OCA filed its Protest in opposition to the Amended Siting Application.  On March 10, 2020, </w:t>
      </w:r>
      <w:proofErr w:type="spellStart"/>
      <w:r w:rsidRPr="00C74D34">
        <w:rPr>
          <w:szCs w:val="26"/>
        </w:rPr>
        <w:t>Transource</w:t>
      </w:r>
      <w:proofErr w:type="spellEnd"/>
      <w:r w:rsidRPr="00C74D34">
        <w:rPr>
          <w:szCs w:val="26"/>
        </w:rPr>
        <w:t xml:space="preserve"> and PPL </w:t>
      </w:r>
      <w:r w:rsidR="00E06BDA" w:rsidRPr="00C74D34">
        <w:rPr>
          <w:szCs w:val="26"/>
        </w:rPr>
        <w:t xml:space="preserve">Electric </w:t>
      </w:r>
      <w:r w:rsidRPr="00C74D34">
        <w:rPr>
          <w:szCs w:val="26"/>
        </w:rPr>
        <w:t xml:space="preserve">filed a joint reply to STFC’s Answer, and on March 19, 2020, </w:t>
      </w:r>
      <w:proofErr w:type="spellStart"/>
      <w:r w:rsidR="009A38F9" w:rsidRPr="00C74D34">
        <w:rPr>
          <w:szCs w:val="26"/>
        </w:rPr>
        <w:t>Transource</w:t>
      </w:r>
      <w:proofErr w:type="spellEnd"/>
      <w:r w:rsidR="009A38F9" w:rsidRPr="00C74D34">
        <w:rPr>
          <w:szCs w:val="26"/>
        </w:rPr>
        <w:t xml:space="preserve"> filed an Answer to Franklin County’s Petition to Intervene</w:t>
      </w:r>
      <w:r w:rsidR="00906677" w:rsidRPr="00C74D34">
        <w:rPr>
          <w:szCs w:val="26"/>
        </w:rPr>
        <w:t>.</w:t>
      </w:r>
      <w:r w:rsidR="00227761" w:rsidRPr="00C74D34">
        <w:rPr>
          <w:rStyle w:val="FootnoteReference"/>
          <w:szCs w:val="26"/>
        </w:rPr>
        <w:footnoteReference w:id="8"/>
      </w:r>
      <w:r w:rsidR="009A38F9" w:rsidRPr="00C74D34">
        <w:rPr>
          <w:szCs w:val="26"/>
        </w:rPr>
        <w:t xml:space="preserve">  </w:t>
      </w:r>
    </w:p>
    <w:p w14:paraId="23F9B12A" w14:textId="77777777" w:rsidR="00555A8E" w:rsidRPr="00C74D34" w:rsidRDefault="00555A8E" w:rsidP="002D03FA">
      <w:pPr>
        <w:ind w:firstLine="1440"/>
        <w:rPr>
          <w:szCs w:val="26"/>
        </w:rPr>
      </w:pPr>
    </w:p>
    <w:p w14:paraId="3C177AB8" w14:textId="77777777" w:rsidR="00227761" w:rsidRPr="00C74D34" w:rsidRDefault="00F847A3" w:rsidP="002D03FA">
      <w:pPr>
        <w:ind w:firstLine="1440"/>
        <w:rPr>
          <w:szCs w:val="26"/>
        </w:rPr>
      </w:pPr>
      <w:r w:rsidRPr="00C74D34">
        <w:rPr>
          <w:szCs w:val="26"/>
        </w:rPr>
        <w:t>In the Fifteenth Prehearing Order entered April 16, 2020, F</w:t>
      </w:r>
      <w:r w:rsidR="009A38F9" w:rsidRPr="00C74D34">
        <w:rPr>
          <w:szCs w:val="26"/>
        </w:rPr>
        <w:t>ranklin County</w:t>
      </w:r>
      <w:r w:rsidRPr="00C74D34">
        <w:rPr>
          <w:szCs w:val="26"/>
        </w:rPr>
        <w:t xml:space="preserve"> was granted Intervenor status.</w:t>
      </w:r>
      <w:r w:rsidR="009A38F9" w:rsidRPr="00C74D34">
        <w:rPr>
          <w:szCs w:val="26"/>
        </w:rPr>
        <w:t xml:space="preserve">  </w:t>
      </w:r>
    </w:p>
    <w:p w14:paraId="02D20C14" w14:textId="77777777" w:rsidR="00227761" w:rsidRPr="00C74D34" w:rsidRDefault="00227761" w:rsidP="002D03FA">
      <w:pPr>
        <w:ind w:firstLine="1440"/>
        <w:rPr>
          <w:szCs w:val="26"/>
        </w:rPr>
      </w:pPr>
    </w:p>
    <w:p w14:paraId="6C83605C" w14:textId="1CC936DE" w:rsidR="005F5CC0" w:rsidRPr="00C74D34" w:rsidRDefault="00F847A3" w:rsidP="002D03FA">
      <w:pPr>
        <w:ind w:firstLine="1440"/>
        <w:rPr>
          <w:szCs w:val="26"/>
        </w:rPr>
      </w:pPr>
      <w:r w:rsidRPr="00C74D34">
        <w:rPr>
          <w:szCs w:val="26"/>
        </w:rPr>
        <w:t>On June 22, 2020, Franklin County and STFC filed new testimony, and o</w:t>
      </w:r>
      <w:r w:rsidR="009A38F9" w:rsidRPr="00C74D34">
        <w:rPr>
          <w:szCs w:val="26"/>
        </w:rPr>
        <w:t xml:space="preserve">n July 8, 2020, </w:t>
      </w:r>
      <w:proofErr w:type="spellStart"/>
      <w:r w:rsidR="009A38F9" w:rsidRPr="00C74D34">
        <w:rPr>
          <w:szCs w:val="26"/>
        </w:rPr>
        <w:t>Transource</w:t>
      </w:r>
      <w:proofErr w:type="spellEnd"/>
      <w:r w:rsidR="009A38F9" w:rsidRPr="00C74D34">
        <w:rPr>
          <w:szCs w:val="26"/>
        </w:rPr>
        <w:t xml:space="preserve"> filed </w:t>
      </w:r>
      <w:r w:rsidRPr="00C74D34">
        <w:rPr>
          <w:szCs w:val="26"/>
        </w:rPr>
        <w:t xml:space="preserve">its </w:t>
      </w:r>
      <w:r w:rsidR="009A38F9" w:rsidRPr="00C74D34">
        <w:rPr>
          <w:szCs w:val="26"/>
        </w:rPr>
        <w:t>rejoinder testimony</w:t>
      </w:r>
      <w:r w:rsidRPr="00C74D34">
        <w:rPr>
          <w:szCs w:val="26"/>
        </w:rPr>
        <w:t xml:space="preserve">.  </w:t>
      </w:r>
      <w:r w:rsidR="00234E49" w:rsidRPr="00C74D34">
        <w:rPr>
          <w:szCs w:val="26"/>
        </w:rPr>
        <w:t>An additional evidentiary hearing was held on July 9, 2020,</w:t>
      </w:r>
      <w:r w:rsidR="006179E0" w:rsidRPr="00C74D34">
        <w:rPr>
          <w:szCs w:val="26"/>
        </w:rPr>
        <w:t xml:space="preserve"> in order to</w:t>
      </w:r>
      <w:r w:rsidR="00234E49" w:rsidRPr="00C74D34">
        <w:rPr>
          <w:szCs w:val="26"/>
        </w:rPr>
        <w:t xml:space="preserve"> admit the remaining </w:t>
      </w:r>
      <w:r w:rsidR="00227761" w:rsidRPr="00C74D34">
        <w:rPr>
          <w:szCs w:val="26"/>
        </w:rPr>
        <w:t>testimony</w:t>
      </w:r>
      <w:r w:rsidR="00234E49" w:rsidRPr="00C74D34">
        <w:rPr>
          <w:szCs w:val="26"/>
        </w:rPr>
        <w:t xml:space="preserve"> into the record and </w:t>
      </w:r>
      <w:r w:rsidR="006179E0" w:rsidRPr="00C74D34">
        <w:rPr>
          <w:szCs w:val="26"/>
        </w:rPr>
        <w:t xml:space="preserve">to </w:t>
      </w:r>
      <w:r w:rsidR="00234E49" w:rsidRPr="00C74D34">
        <w:rPr>
          <w:szCs w:val="26"/>
        </w:rPr>
        <w:t xml:space="preserve">conduct cross-examination regarding the Company’s reliability claims and the amended configuration of the IEC Project.  </w:t>
      </w:r>
      <w:r w:rsidR="00707118" w:rsidRPr="00C74D34">
        <w:rPr>
          <w:szCs w:val="26"/>
        </w:rPr>
        <w:t xml:space="preserve">A Briefing Order was later issued on August 5, 2020, directing the parties to file </w:t>
      </w:r>
      <w:r w:rsidR="00E06BDA" w:rsidRPr="00C74D34">
        <w:rPr>
          <w:szCs w:val="26"/>
        </w:rPr>
        <w:t>M</w:t>
      </w:r>
      <w:r w:rsidR="00707118" w:rsidRPr="00C74D34">
        <w:rPr>
          <w:szCs w:val="26"/>
        </w:rPr>
        <w:t xml:space="preserve">ain </w:t>
      </w:r>
      <w:r w:rsidR="00E06BDA" w:rsidRPr="00C74D34">
        <w:rPr>
          <w:szCs w:val="26"/>
        </w:rPr>
        <w:t>B</w:t>
      </w:r>
      <w:r w:rsidR="00707118" w:rsidRPr="00C74D34">
        <w:rPr>
          <w:szCs w:val="26"/>
        </w:rPr>
        <w:t>riefs on August 11, 2020, and Reply Briefs on September 25, 2020.</w:t>
      </w:r>
      <w:r w:rsidR="00DE5286" w:rsidRPr="00C74D34">
        <w:rPr>
          <w:szCs w:val="26"/>
        </w:rPr>
        <w:t xml:space="preserve">  </w:t>
      </w:r>
      <w:proofErr w:type="spellStart"/>
      <w:r w:rsidR="005F5CC0" w:rsidRPr="00C74D34">
        <w:rPr>
          <w:szCs w:val="26"/>
        </w:rPr>
        <w:t>Transource</w:t>
      </w:r>
      <w:proofErr w:type="spellEnd"/>
      <w:r w:rsidR="005F5CC0" w:rsidRPr="00C74D34">
        <w:rPr>
          <w:szCs w:val="26"/>
        </w:rPr>
        <w:t xml:space="preserve">, OCA, Franklin County, and STFC filed </w:t>
      </w:r>
      <w:r w:rsidR="00D805A9" w:rsidRPr="00C74D34">
        <w:rPr>
          <w:szCs w:val="26"/>
        </w:rPr>
        <w:t>M</w:t>
      </w:r>
      <w:r w:rsidR="005F5CC0" w:rsidRPr="00C74D34">
        <w:rPr>
          <w:szCs w:val="26"/>
        </w:rPr>
        <w:t xml:space="preserve">ain </w:t>
      </w:r>
      <w:r w:rsidR="00D805A9" w:rsidRPr="00C74D34">
        <w:rPr>
          <w:szCs w:val="26"/>
        </w:rPr>
        <w:t>B</w:t>
      </w:r>
      <w:r w:rsidR="005F5CC0" w:rsidRPr="00C74D34">
        <w:rPr>
          <w:szCs w:val="26"/>
        </w:rPr>
        <w:t xml:space="preserve">riefs on August 11, 2020, consistent with the Briefing Order, and those same entities filed </w:t>
      </w:r>
      <w:r w:rsidR="00D805A9" w:rsidRPr="00C74D34">
        <w:rPr>
          <w:szCs w:val="26"/>
        </w:rPr>
        <w:t>R</w:t>
      </w:r>
      <w:r w:rsidR="005F5CC0" w:rsidRPr="00C74D34">
        <w:rPr>
          <w:szCs w:val="26"/>
        </w:rPr>
        <w:t xml:space="preserve">eply </w:t>
      </w:r>
      <w:r w:rsidR="00D805A9" w:rsidRPr="00C74D34">
        <w:rPr>
          <w:szCs w:val="26"/>
        </w:rPr>
        <w:t>B</w:t>
      </w:r>
      <w:r w:rsidR="005F5CC0" w:rsidRPr="00C74D34">
        <w:rPr>
          <w:szCs w:val="26"/>
        </w:rPr>
        <w:t xml:space="preserve">riefs on or about September 25, 2020.  York County Planning Commission and Citizens filed letters in support of the Joint Partial Settlement in lieu of briefs on August 11, 2020.  The record closed on September 25, 2020, when the </w:t>
      </w:r>
      <w:r w:rsidR="00D805A9" w:rsidRPr="00C74D34">
        <w:rPr>
          <w:szCs w:val="26"/>
        </w:rPr>
        <w:t>R</w:t>
      </w:r>
      <w:r w:rsidR="005F5CC0" w:rsidRPr="00C74D34">
        <w:rPr>
          <w:szCs w:val="26"/>
        </w:rPr>
        <w:t xml:space="preserve">eply </w:t>
      </w:r>
      <w:r w:rsidR="00D805A9" w:rsidRPr="00C74D34">
        <w:rPr>
          <w:szCs w:val="26"/>
        </w:rPr>
        <w:t>B</w:t>
      </w:r>
      <w:r w:rsidR="005F5CC0" w:rsidRPr="00C74D34">
        <w:rPr>
          <w:szCs w:val="26"/>
        </w:rPr>
        <w:t xml:space="preserve">riefs were filed.  </w:t>
      </w:r>
    </w:p>
    <w:p w14:paraId="081FF6E6" w14:textId="71595607" w:rsidR="00EA1758" w:rsidRPr="00C74D34" w:rsidRDefault="00EA1758" w:rsidP="002D03FA">
      <w:pPr>
        <w:spacing w:line="477" w:lineRule="auto"/>
        <w:ind w:left="-13" w:right="13" w:firstLine="720"/>
        <w:rPr>
          <w:szCs w:val="26"/>
        </w:rPr>
      </w:pPr>
      <w:r w:rsidRPr="00C74D34">
        <w:rPr>
          <w:szCs w:val="26"/>
        </w:rPr>
        <w:t xml:space="preserve"> </w:t>
      </w:r>
    </w:p>
    <w:p w14:paraId="6E9279DD" w14:textId="5255B18C" w:rsidR="004A2CEE" w:rsidRPr="00C74D34" w:rsidRDefault="003E3902" w:rsidP="002D03FA">
      <w:pPr>
        <w:ind w:firstLine="1440"/>
        <w:rPr>
          <w:szCs w:val="26"/>
        </w:rPr>
      </w:pPr>
      <w:r w:rsidRPr="00C74D34">
        <w:rPr>
          <w:szCs w:val="26"/>
        </w:rPr>
        <w:t xml:space="preserve">On December 22, 2020, ALJ Barnes issued her Recommended Decision.  ALJ Barnes </w:t>
      </w:r>
      <w:r w:rsidR="00D660A5" w:rsidRPr="00C74D34">
        <w:rPr>
          <w:szCs w:val="26"/>
        </w:rPr>
        <w:t>recommend</w:t>
      </w:r>
      <w:r w:rsidRPr="00C74D34">
        <w:rPr>
          <w:szCs w:val="26"/>
        </w:rPr>
        <w:t xml:space="preserve">ed </w:t>
      </w:r>
      <w:r w:rsidR="00D660A5" w:rsidRPr="00C74D34">
        <w:rPr>
          <w:szCs w:val="26"/>
        </w:rPr>
        <w:t xml:space="preserve">that the Commission deny </w:t>
      </w:r>
      <w:proofErr w:type="spellStart"/>
      <w:r w:rsidR="00127E36" w:rsidRPr="00C74D34">
        <w:rPr>
          <w:szCs w:val="26"/>
        </w:rPr>
        <w:t>Transource’s</w:t>
      </w:r>
      <w:proofErr w:type="spellEnd"/>
      <w:r w:rsidR="00127E36" w:rsidRPr="00C74D34">
        <w:rPr>
          <w:szCs w:val="26"/>
        </w:rPr>
        <w:t xml:space="preserve"> S</w:t>
      </w:r>
      <w:r w:rsidR="00D660A5" w:rsidRPr="00C74D34">
        <w:rPr>
          <w:szCs w:val="26"/>
        </w:rPr>
        <w:t xml:space="preserve">iting </w:t>
      </w:r>
      <w:r w:rsidR="00127E36" w:rsidRPr="00C74D34">
        <w:rPr>
          <w:szCs w:val="26"/>
        </w:rPr>
        <w:t>A</w:t>
      </w:r>
      <w:r w:rsidR="00D660A5" w:rsidRPr="00C74D34">
        <w:rPr>
          <w:szCs w:val="26"/>
        </w:rPr>
        <w:t>pplications</w:t>
      </w:r>
      <w:r w:rsidR="00487C55" w:rsidRPr="00C74D34">
        <w:rPr>
          <w:szCs w:val="26"/>
        </w:rPr>
        <w:t>, as amended</w:t>
      </w:r>
      <w:r w:rsidR="00ED52EC" w:rsidRPr="00C74D34">
        <w:rPr>
          <w:szCs w:val="26"/>
        </w:rPr>
        <w:t>,</w:t>
      </w:r>
      <w:r w:rsidR="00487C55" w:rsidRPr="00C74D34">
        <w:rPr>
          <w:szCs w:val="26"/>
        </w:rPr>
        <w:t xml:space="preserve"> </w:t>
      </w:r>
      <w:r w:rsidR="00D660A5" w:rsidRPr="00C74D34">
        <w:rPr>
          <w:szCs w:val="26"/>
        </w:rPr>
        <w:t xml:space="preserve">proposing </w:t>
      </w:r>
      <w:r w:rsidR="00D805A9" w:rsidRPr="00C74D34">
        <w:rPr>
          <w:szCs w:val="26"/>
        </w:rPr>
        <w:t>the</w:t>
      </w:r>
      <w:r w:rsidR="00D660A5" w:rsidRPr="00C74D34">
        <w:rPr>
          <w:szCs w:val="26"/>
        </w:rPr>
        <w:t xml:space="preserve"> high voltage transmission lines project in York and Franklin Counties</w:t>
      </w:r>
      <w:r w:rsidR="00ED52EC" w:rsidRPr="00C74D34">
        <w:rPr>
          <w:szCs w:val="26"/>
        </w:rPr>
        <w:t xml:space="preserve">, and </w:t>
      </w:r>
      <w:r w:rsidR="00850CE6" w:rsidRPr="00C74D34">
        <w:rPr>
          <w:szCs w:val="26"/>
        </w:rPr>
        <w:t>all ancillary matters,</w:t>
      </w:r>
      <w:r w:rsidR="00D660A5" w:rsidRPr="00C74D34">
        <w:rPr>
          <w:szCs w:val="26"/>
        </w:rPr>
        <w:t xml:space="preserve"> because </w:t>
      </w:r>
      <w:proofErr w:type="spellStart"/>
      <w:r w:rsidR="00127E36" w:rsidRPr="00C74D34">
        <w:rPr>
          <w:szCs w:val="26"/>
        </w:rPr>
        <w:t>Transource</w:t>
      </w:r>
      <w:proofErr w:type="spellEnd"/>
      <w:r w:rsidR="00127E36" w:rsidRPr="00C74D34">
        <w:rPr>
          <w:szCs w:val="26"/>
        </w:rPr>
        <w:t xml:space="preserve"> </w:t>
      </w:r>
      <w:r w:rsidR="00D660A5" w:rsidRPr="00C74D34">
        <w:rPr>
          <w:szCs w:val="26"/>
        </w:rPr>
        <w:t xml:space="preserve">has failed to show need for the </w:t>
      </w:r>
      <w:r w:rsidR="00D660A5" w:rsidRPr="00C74D34">
        <w:rPr>
          <w:szCs w:val="26"/>
        </w:rPr>
        <w:lastRenderedPageBreak/>
        <w:t xml:space="preserve">project within the meaning of Commission </w:t>
      </w:r>
      <w:r w:rsidR="00127E36" w:rsidRPr="00C74D34">
        <w:rPr>
          <w:szCs w:val="26"/>
        </w:rPr>
        <w:t>R</w:t>
      </w:r>
      <w:r w:rsidR="00D660A5" w:rsidRPr="00C74D34">
        <w:rPr>
          <w:szCs w:val="26"/>
        </w:rPr>
        <w:t xml:space="preserve">egulations and the Pennsylvania Public Utility Code.  </w:t>
      </w:r>
    </w:p>
    <w:p w14:paraId="0C06F27A" w14:textId="77777777" w:rsidR="004A2CEE" w:rsidRPr="00C74D34" w:rsidRDefault="004A2CEE" w:rsidP="002D03FA">
      <w:pPr>
        <w:ind w:firstLine="1440"/>
        <w:rPr>
          <w:szCs w:val="26"/>
        </w:rPr>
      </w:pPr>
    </w:p>
    <w:p w14:paraId="6CBF1A92" w14:textId="15144BE2" w:rsidR="00D660A5" w:rsidRPr="00C74D34" w:rsidRDefault="00D42BCD" w:rsidP="002D03FA">
      <w:pPr>
        <w:ind w:firstLine="1440"/>
        <w:rPr>
          <w:szCs w:val="26"/>
        </w:rPr>
      </w:pPr>
      <w:proofErr w:type="spellStart"/>
      <w:r w:rsidRPr="00C74D34">
        <w:rPr>
          <w:szCs w:val="26"/>
        </w:rPr>
        <w:t>Transource</w:t>
      </w:r>
      <w:proofErr w:type="spellEnd"/>
      <w:r w:rsidRPr="00C74D34">
        <w:rPr>
          <w:szCs w:val="26"/>
        </w:rPr>
        <w:t xml:space="preserve"> filed </w:t>
      </w:r>
      <w:r w:rsidR="00A41D84" w:rsidRPr="00C74D34">
        <w:rPr>
          <w:szCs w:val="26"/>
        </w:rPr>
        <w:t xml:space="preserve">Exceptions on January 12, 2021, and Reply Exceptions were filed </w:t>
      </w:r>
      <w:r w:rsidRPr="00C74D34">
        <w:rPr>
          <w:szCs w:val="26"/>
        </w:rPr>
        <w:t xml:space="preserve">by </w:t>
      </w:r>
      <w:r w:rsidR="00085CE0" w:rsidRPr="00C74D34">
        <w:rPr>
          <w:szCs w:val="26"/>
        </w:rPr>
        <w:t xml:space="preserve">the OCA, </w:t>
      </w:r>
      <w:r w:rsidR="003754BB" w:rsidRPr="00C74D34">
        <w:rPr>
          <w:szCs w:val="26"/>
        </w:rPr>
        <w:t>STFC</w:t>
      </w:r>
      <w:r w:rsidR="00085CE0" w:rsidRPr="00C74D34">
        <w:rPr>
          <w:szCs w:val="26"/>
        </w:rPr>
        <w:t xml:space="preserve">, </w:t>
      </w:r>
      <w:r w:rsidR="00AC5DBE" w:rsidRPr="00C74D34">
        <w:rPr>
          <w:szCs w:val="26"/>
        </w:rPr>
        <w:t xml:space="preserve">and Franklin County </w:t>
      </w:r>
      <w:r w:rsidR="00A41D84" w:rsidRPr="00C74D34">
        <w:rPr>
          <w:szCs w:val="26"/>
        </w:rPr>
        <w:t xml:space="preserve">on January 22, 2021.  </w:t>
      </w:r>
    </w:p>
    <w:p w14:paraId="0B464E0C" w14:textId="54AA658D" w:rsidR="00D660A5" w:rsidRPr="00C74D34" w:rsidRDefault="00D660A5" w:rsidP="002D03FA">
      <w:pPr>
        <w:ind w:left="-13" w:right="13" w:firstLine="720"/>
        <w:rPr>
          <w:szCs w:val="26"/>
        </w:rPr>
      </w:pPr>
    </w:p>
    <w:p w14:paraId="392FE494" w14:textId="63C9BBBA" w:rsidR="00F962F1" w:rsidRPr="00C74D34" w:rsidRDefault="003949AE" w:rsidP="002D03FA">
      <w:pPr>
        <w:pStyle w:val="Heading1"/>
      </w:pPr>
      <w:bookmarkStart w:id="4" w:name="_Toc70516602"/>
      <w:r w:rsidRPr="00C74D34">
        <w:t>III.</w:t>
      </w:r>
      <w:r w:rsidRPr="00C74D34">
        <w:tab/>
      </w:r>
      <w:bookmarkStart w:id="5" w:name="_Hlk69371139"/>
      <w:r w:rsidR="00F962F1" w:rsidRPr="00C74D34">
        <w:t>Discussion</w:t>
      </w:r>
      <w:bookmarkEnd w:id="4"/>
      <w:r w:rsidR="00F962F1" w:rsidRPr="00C74D34">
        <w:t xml:space="preserve"> </w:t>
      </w:r>
    </w:p>
    <w:p w14:paraId="4D33C94D" w14:textId="410B907C" w:rsidR="00FD2EC5" w:rsidRPr="00C74D34" w:rsidRDefault="00FD2EC5" w:rsidP="002D03FA">
      <w:pPr>
        <w:rPr>
          <w:szCs w:val="26"/>
        </w:rPr>
      </w:pPr>
    </w:p>
    <w:p w14:paraId="2AFDED7B" w14:textId="5A00C4D5" w:rsidR="00FD2EC5" w:rsidRPr="00C74D34" w:rsidRDefault="00FD2EC5" w:rsidP="002D03FA">
      <w:pPr>
        <w:ind w:firstLine="1440"/>
        <w:rPr>
          <w:color w:val="auto"/>
          <w:szCs w:val="26"/>
        </w:rPr>
      </w:pPr>
      <w:r w:rsidRPr="00C74D34">
        <w:rPr>
          <w:color w:val="auto"/>
          <w:szCs w:val="26"/>
        </w:rPr>
        <w:t>We note that any issue or Exception</w:t>
      </w:r>
      <w:r w:rsidR="006C19B2" w:rsidRPr="00C74D34">
        <w:rPr>
          <w:color w:val="auto"/>
          <w:szCs w:val="26"/>
        </w:rPr>
        <w:t>,</w:t>
      </w:r>
      <w:r w:rsidRPr="00C74D34">
        <w:rPr>
          <w:color w:val="auto"/>
          <w:szCs w:val="26"/>
        </w:rPr>
        <w:t xml:space="preserve"> which we do not specifically address herein, has been duly considered and will be denied without further discussion.  It is well settled that we are not required to consider expressly or at length each contention or argument raised by the parties.  </w:t>
      </w:r>
      <w:r w:rsidRPr="00C74D34">
        <w:rPr>
          <w:i/>
          <w:iCs/>
          <w:color w:val="auto"/>
          <w:szCs w:val="26"/>
        </w:rPr>
        <w:t>Wheeling &amp; Lake Erie Railway Co. v. Pa. PUC</w:t>
      </w:r>
      <w:r w:rsidRPr="00C74D34">
        <w:rPr>
          <w:color w:val="auto"/>
          <w:szCs w:val="26"/>
        </w:rPr>
        <w:t>, 778</w:t>
      </w:r>
      <w:r w:rsidR="002D03FA" w:rsidRPr="00C74D34">
        <w:rPr>
          <w:color w:val="auto"/>
          <w:szCs w:val="26"/>
        </w:rPr>
        <w:t> </w:t>
      </w:r>
      <w:r w:rsidRPr="00C74D34">
        <w:rPr>
          <w:color w:val="auto"/>
          <w:szCs w:val="26"/>
        </w:rPr>
        <w:t>A.2d</w:t>
      </w:r>
      <w:r w:rsidR="002D03FA" w:rsidRPr="00C74D34">
        <w:rPr>
          <w:color w:val="auto"/>
          <w:szCs w:val="26"/>
        </w:rPr>
        <w:t> </w:t>
      </w:r>
      <w:r w:rsidRPr="00C74D34">
        <w:rPr>
          <w:color w:val="auto"/>
          <w:szCs w:val="26"/>
        </w:rPr>
        <w:t xml:space="preserve">785, 794 (Pa. </w:t>
      </w:r>
      <w:proofErr w:type="spellStart"/>
      <w:r w:rsidRPr="00C74D34">
        <w:rPr>
          <w:color w:val="auto"/>
          <w:szCs w:val="26"/>
        </w:rPr>
        <w:t>Cmwlth</w:t>
      </w:r>
      <w:proofErr w:type="spellEnd"/>
      <w:r w:rsidRPr="00C74D34">
        <w:rPr>
          <w:color w:val="auto"/>
          <w:szCs w:val="26"/>
        </w:rPr>
        <w:t>. 2001)</w:t>
      </w:r>
      <w:r w:rsidRPr="00C74D34">
        <w:rPr>
          <w:i/>
          <w:iCs/>
          <w:color w:val="auto"/>
          <w:szCs w:val="26"/>
        </w:rPr>
        <w:t xml:space="preserve">, </w:t>
      </w:r>
      <w:r w:rsidRPr="00C74D34">
        <w:rPr>
          <w:color w:val="auto"/>
          <w:szCs w:val="26"/>
        </w:rPr>
        <w:t xml:space="preserve">also </w:t>
      </w:r>
      <w:r w:rsidRPr="00C74D34">
        <w:rPr>
          <w:i/>
          <w:iCs/>
          <w:color w:val="auto"/>
          <w:szCs w:val="26"/>
        </w:rPr>
        <w:t>see, generally, University of Pennsylvania v. Pa. PUC</w:t>
      </w:r>
      <w:r w:rsidRPr="00C74D34">
        <w:rPr>
          <w:color w:val="auto"/>
          <w:szCs w:val="26"/>
        </w:rPr>
        <w:t xml:space="preserve">, 485 A.2d 1217 (Pa. </w:t>
      </w:r>
      <w:proofErr w:type="spellStart"/>
      <w:r w:rsidRPr="00C74D34">
        <w:rPr>
          <w:color w:val="auto"/>
          <w:szCs w:val="26"/>
        </w:rPr>
        <w:t>Cmwlth</w:t>
      </w:r>
      <w:proofErr w:type="spellEnd"/>
      <w:r w:rsidRPr="00C74D34">
        <w:rPr>
          <w:color w:val="auto"/>
          <w:szCs w:val="26"/>
        </w:rPr>
        <w:t>. 1984).</w:t>
      </w:r>
    </w:p>
    <w:p w14:paraId="50140483" w14:textId="77777777" w:rsidR="00FD2EC5" w:rsidRPr="00C74D34" w:rsidRDefault="00FD2EC5" w:rsidP="002D03FA">
      <w:pPr>
        <w:rPr>
          <w:szCs w:val="26"/>
        </w:rPr>
      </w:pPr>
    </w:p>
    <w:p w14:paraId="798C6A97" w14:textId="67454113" w:rsidR="004E6023" w:rsidRPr="00C74D34" w:rsidRDefault="003949AE" w:rsidP="002D03FA">
      <w:pPr>
        <w:pStyle w:val="TOCH2"/>
        <w:keepNext/>
        <w:rPr>
          <w:rFonts w:ascii="Times New Roman" w:hAnsi="Times New Roman"/>
        </w:rPr>
      </w:pPr>
      <w:bookmarkStart w:id="6" w:name="_Toc70516603"/>
      <w:r w:rsidRPr="00C74D34">
        <w:rPr>
          <w:rFonts w:ascii="Times New Roman" w:hAnsi="Times New Roman"/>
        </w:rPr>
        <w:t>Legal Standards</w:t>
      </w:r>
      <w:bookmarkEnd w:id="6"/>
    </w:p>
    <w:p w14:paraId="1AE21C18" w14:textId="77777777" w:rsidR="004E6023" w:rsidRPr="00C74D34" w:rsidRDefault="004E6023" w:rsidP="002D03FA">
      <w:pPr>
        <w:keepNext/>
        <w:rPr>
          <w:color w:val="auto"/>
          <w:szCs w:val="26"/>
        </w:rPr>
      </w:pPr>
    </w:p>
    <w:p w14:paraId="6F5C744C" w14:textId="40978DBA" w:rsidR="004E6023" w:rsidRPr="00C74D34" w:rsidRDefault="004E6023" w:rsidP="002D03FA">
      <w:pPr>
        <w:pStyle w:val="TOCH3"/>
        <w:keepNext/>
        <w:spacing w:line="360" w:lineRule="auto"/>
      </w:pPr>
      <w:bookmarkStart w:id="7" w:name="_Toc253739913"/>
      <w:bookmarkStart w:id="8" w:name="_Toc70516604"/>
      <w:r w:rsidRPr="00C74D34">
        <w:t>Burden of Proof</w:t>
      </w:r>
      <w:bookmarkEnd w:id="7"/>
      <w:bookmarkEnd w:id="8"/>
    </w:p>
    <w:p w14:paraId="48E66E90" w14:textId="77777777" w:rsidR="004E6023" w:rsidRPr="00C74D34" w:rsidRDefault="004E6023" w:rsidP="002D03FA">
      <w:pPr>
        <w:keepNext/>
        <w:contextualSpacing/>
        <w:rPr>
          <w:color w:val="auto"/>
          <w:szCs w:val="26"/>
        </w:rPr>
      </w:pPr>
    </w:p>
    <w:p w14:paraId="7E9E19C5" w14:textId="30011568" w:rsidR="004E6023" w:rsidRPr="00C74D34" w:rsidRDefault="004E6023" w:rsidP="002D03FA">
      <w:pPr>
        <w:keepNext/>
        <w:contextualSpacing/>
        <w:rPr>
          <w:color w:val="auto"/>
          <w:szCs w:val="26"/>
        </w:rPr>
      </w:pPr>
      <w:r w:rsidRPr="00C74D34">
        <w:rPr>
          <w:color w:val="auto"/>
          <w:szCs w:val="26"/>
        </w:rPr>
        <w:tab/>
      </w:r>
      <w:r w:rsidRPr="00C74D34">
        <w:rPr>
          <w:color w:val="auto"/>
          <w:szCs w:val="26"/>
        </w:rPr>
        <w:tab/>
        <w:t xml:space="preserve">The proponent of a rule or order in any Commission proceeding has the burden of proof, 66 Pa. C.S. § 332, and </w:t>
      </w:r>
      <w:proofErr w:type="spellStart"/>
      <w:r w:rsidR="00107478" w:rsidRPr="00C74D34">
        <w:rPr>
          <w:color w:val="auto"/>
          <w:szCs w:val="26"/>
        </w:rPr>
        <w:t>Transource</w:t>
      </w:r>
      <w:proofErr w:type="spellEnd"/>
      <w:r w:rsidRPr="00C74D34">
        <w:rPr>
          <w:color w:val="auto"/>
          <w:szCs w:val="26"/>
        </w:rPr>
        <w:t xml:space="preserve">, as the Applicant, has the burden of proving its case by a preponderance of the evidence, or evidence which is more convincing than the evidence presented by the other parties.  </w:t>
      </w:r>
      <w:r w:rsidRPr="00C74D34">
        <w:rPr>
          <w:i/>
          <w:color w:val="auto"/>
          <w:szCs w:val="26"/>
        </w:rPr>
        <w:t>Se-Ling Hosiery v. Margulies</w:t>
      </w:r>
      <w:r w:rsidRPr="00C74D34">
        <w:rPr>
          <w:color w:val="auto"/>
          <w:szCs w:val="26"/>
        </w:rPr>
        <w:t xml:space="preserve">, 364 Pa. 45, 70 A.3d 854 (1950); </w:t>
      </w:r>
      <w:r w:rsidRPr="00C74D34">
        <w:rPr>
          <w:i/>
          <w:color w:val="auto"/>
          <w:szCs w:val="26"/>
        </w:rPr>
        <w:t xml:space="preserve">Samuel J. </w:t>
      </w:r>
      <w:proofErr w:type="spellStart"/>
      <w:r w:rsidRPr="00C74D34">
        <w:rPr>
          <w:i/>
          <w:color w:val="auto"/>
          <w:szCs w:val="26"/>
        </w:rPr>
        <w:t>Lansberry</w:t>
      </w:r>
      <w:proofErr w:type="spellEnd"/>
      <w:r w:rsidRPr="00C74D34">
        <w:rPr>
          <w:i/>
          <w:color w:val="auto"/>
          <w:szCs w:val="26"/>
        </w:rPr>
        <w:t>, Inc. v. Pa. PUC</w:t>
      </w:r>
      <w:r w:rsidRPr="00C74D34">
        <w:rPr>
          <w:color w:val="auto"/>
          <w:szCs w:val="26"/>
        </w:rPr>
        <w:t>, 578</w:t>
      </w:r>
      <w:r w:rsidR="002D03FA" w:rsidRPr="00C74D34">
        <w:rPr>
          <w:color w:val="auto"/>
          <w:szCs w:val="26"/>
        </w:rPr>
        <w:t> </w:t>
      </w:r>
      <w:r w:rsidRPr="00C74D34">
        <w:rPr>
          <w:color w:val="auto"/>
          <w:szCs w:val="26"/>
        </w:rPr>
        <w:t xml:space="preserve">A.2d 600 (Pa. </w:t>
      </w:r>
      <w:proofErr w:type="spellStart"/>
      <w:r w:rsidRPr="00C74D34">
        <w:rPr>
          <w:color w:val="auto"/>
          <w:szCs w:val="26"/>
        </w:rPr>
        <w:t>Cmwlth</w:t>
      </w:r>
      <w:proofErr w:type="spellEnd"/>
      <w:r w:rsidRPr="00C74D34">
        <w:rPr>
          <w:color w:val="auto"/>
          <w:szCs w:val="26"/>
        </w:rPr>
        <w:t xml:space="preserve">. 1990).  </w:t>
      </w:r>
    </w:p>
    <w:p w14:paraId="64B3471C" w14:textId="77777777" w:rsidR="00E04573" w:rsidRPr="00C74D34" w:rsidRDefault="00E04573" w:rsidP="002D03FA">
      <w:pPr>
        <w:keepNext/>
        <w:contextualSpacing/>
        <w:rPr>
          <w:color w:val="auto"/>
          <w:szCs w:val="26"/>
        </w:rPr>
      </w:pPr>
    </w:p>
    <w:p w14:paraId="124FA21D" w14:textId="6F58B03F" w:rsidR="004E6023" w:rsidRPr="00C74D34" w:rsidRDefault="004E6023" w:rsidP="002D03FA">
      <w:pPr>
        <w:rPr>
          <w:color w:val="auto"/>
          <w:szCs w:val="26"/>
        </w:rPr>
      </w:pPr>
      <w:r w:rsidRPr="00C74D34">
        <w:rPr>
          <w:color w:val="auto"/>
          <w:szCs w:val="26"/>
        </w:rPr>
        <w:tab/>
      </w:r>
      <w:r w:rsidRPr="00C74D34">
        <w:rPr>
          <w:color w:val="auto"/>
          <w:szCs w:val="26"/>
        </w:rPr>
        <w:tab/>
        <w:t xml:space="preserve">Additionally, any finding of fact necessary to support an adjudication of the Commission must be based upon substantial evidence, which is such relevant evidence as a reasonable mind might accept as adequate to support a conclusion.  </w:t>
      </w:r>
      <w:r w:rsidRPr="00C74D34">
        <w:rPr>
          <w:i/>
          <w:color w:val="auto"/>
          <w:szCs w:val="26"/>
        </w:rPr>
        <w:t xml:space="preserve">Mill v. Comm., </w:t>
      </w:r>
      <w:r w:rsidRPr="00C74D34">
        <w:rPr>
          <w:i/>
          <w:color w:val="auto"/>
          <w:szCs w:val="26"/>
        </w:rPr>
        <w:lastRenderedPageBreak/>
        <w:t>Pa.</w:t>
      </w:r>
      <w:r w:rsidR="002D03FA" w:rsidRPr="00C74D34">
        <w:rPr>
          <w:i/>
          <w:color w:val="auto"/>
          <w:szCs w:val="26"/>
        </w:rPr>
        <w:t> </w:t>
      </w:r>
      <w:r w:rsidRPr="00C74D34">
        <w:rPr>
          <w:i/>
          <w:color w:val="auto"/>
          <w:szCs w:val="26"/>
        </w:rPr>
        <w:t>PUC</w:t>
      </w:r>
      <w:r w:rsidRPr="00C74D34">
        <w:rPr>
          <w:color w:val="auto"/>
          <w:szCs w:val="26"/>
        </w:rPr>
        <w:t xml:space="preserve">, 447 A.2d 1100 (Pa. </w:t>
      </w:r>
      <w:proofErr w:type="spellStart"/>
      <w:r w:rsidRPr="00C74D34">
        <w:rPr>
          <w:color w:val="auto"/>
          <w:szCs w:val="26"/>
        </w:rPr>
        <w:t>Cmwlth</w:t>
      </w:r>
      <w:proofErr w:type="spellEnd"/>
      <w:r w:rsidRPr="00C74D34">
        <w:rPr>
          <w:color w:val="auto"/>
          <w:szCs w:val="26"/>
        </w:rPr>
        <w:t xml:space="preserve">. Ct.1982); </w:t>
      </w:r>
      <w:r w:rsidRPr="00C74D34">
        <w:rPr>
          <w:i/>
          <w:color w:val="auto"/>
          <w:szCs w:val="26"/>
        </w:rPr>
        <w:t xml:space="preserve">Edan Transportation Corp. v. </w:t>
      </w:r>
      <w:r w:rsidR="00C74D34" w:rsidRPr="00C74D34">
        <w:rPr>
          <w:i/>
          <w:color w:val="auto"/>
          <w:szCs w:val="26"/>
        </w:rPr>
        <w:t xml:space="preserve">Pa. </w:t>
      </w:r>
      <w:r w:rsidRPr="00C74D34">
        <w:rPr>
          <w:i/>
          <w:color w:val="auto"/>
          <w:szCs w:val="26"/>
        </w:rPr>
        <w:t>PUC</w:t>
      </w:r>
      <w:r w:rsidRPr="00C74D34">
        <w:rPr>
          <w:iCs/>
          <w:color w:val="auto"/>
          <w:szCs w:val="26"/>
        </w:rPr>
        <w:t xml:space="preserve">, </w:t>
      </w:r>
      <w:r w:rsidRPr="00C74D34">
        <w:rPr>
          <w:color w:val="auto"/>
          <w:szCs w:val="26"/>
        </w:rPr>
        <w:t xml:space="preserve">623 A.2d 6 (Pa. </w:t>
      </w:r>
      <w:proofErr w:type="spellStart"/>
      <w:r w:rsidRPr="00C74D34">
        <w:rPr>
          <w:color w:val="auto"/>
          <w:szCs w:val="26"/>
        </w:rPr>
        <w:t>Cmwlth</w:t>
      </w:r>
      <w:proofErr w:type="spellEnd"/>
      <w:r w:rsidRPr="00C74D34">
        <w:rPr>
          <w:color w:val="auto"/>
          <w:szCs w:val="26"/>
        </w:rPr>
        <w:t xml:space="preserve">. 1993), 2 Pa. C.S. § 704.  More is required than a mere trace of evidence or a suspicion of the existence of a fact sought to be established.  </w:t>
      </w:r>
      <w:r w:rsidRPr="00C74D34">
        <w:rPr>
          <w:i/>
          <w:color w:val="auto"/>
          <w:szCs w:val="26"/>
        </w:rPr>
        <w:t>Norfolk &amp; Western Ry. v. Pa. PUC</w:t>
      </w:r>
      <w:r w:rsidRPr="00C74D34">
        <w:rPr>
          <w:iCs/>
          <w:color w:val="auto"/>
          <w:szCs w:val="26"/>
        </w:rPr>
        <w:t>,</w:t>
      </w:r>
      <w:r w:rsidRPr="00C74D34">
        <w:rPr>
          <w:i/>
          <w:color w:val="auto"/>
          <w:szCs w:val="26"/>
        </w:rPr>
        <w:t xml:space="preserve"> </w:t>
      </w:r>
      <w:r w:rsidRPr="00C74D34">
        <w:rPr>
          <w:color w:val="auto"/>
          <w:szCs w:val="26"/>
        </w:rPr>
        <w:t xml:space="preserve">489 Pa. 109, 413 A.2d 1037 (1980); </w:t>
      </w:r>
      <w:r w:rsidRPr="00C74D34">
        <w:rPr>
          <w:i/>
          <w:color w:val="auto"/>
          <w:szCs w:val="26"/>
        </w:rPr>
        <w:t>Erie Resistor Corp. v. Unemployment Com. Bd. Of Review</w:t>
      </w:r>
      <w:r w:rsidRPr="00C74D34">
        <w:rPr>
          <w:color w:val="auto"/>
          <w:szCs w:val="26"/>
        </w:rPr>
        <w:t xml:space="preserve">, 166 A.2d 96 (Pa. Super. 1960); </w:t>
      </w:r>
      <w:r w:rsidRPr="00C74D34">
        <w:rPr>
          <w:i/>
          <w:color w:val="auto"/>
          <w:szCs w:val="26"/>
        </w:rPr>
        <w:t>Murphy v. Comm., Dept. of Public Welfare, White Haven Center</w:t>
      </w:r>
      <w:r w:rsidRPr="00C74D34">
        <w:rPr>
          <w:iCs/>
          <w:color w:val="auto"/>
          <w:szCs w:val="26"/>
        </w:rPr>
        <w:t>,</w:t>
      </w:r>
      <w:r w:rsidRPr="00C74D34">
        <w:rPr>
          <w:i/>
          <w:color w:val="auto"/>
          <w:szCs w:val="26"/>
        </w:rPr>
        <w:t xml:space="preserve"> </w:t>
      </w:r>
      <w:r w:rsidRPr="00C74D34">
        <w:rPr>
          <w:color w:val="auto"/>
          <w:szCs w:val="26"/>
        </w:rPr>
        <w:t xml:space="preserve">480 A.2d 382 (Pa. </w:t>
      </w:r>
      <w:proofErr w:type="spellStart"/>
      <w:r w:rsidRPr="00C74D34">
        <w:rPr>
          <w:color w:val="auto"/>
          <w:szCs w:val="26"/>
        </w:rPr>
        <w:t>Cmwlth</w:t>
      </w:r>
      <w:proofErr w:type="spellEnd"/>
      <w:r w:rsidRPr="00C74D34">
        <w:rPr>
          <w:color w:val="auto"/>
          <w:szCs w:val="26"/>
        </w:rPr>
        <w:t xml:space="preserve">. 1984).  </w:t>
      </w:r>
    </w:p>
    <w:p w14:paraId="140AFCA4" w14:textId="77777777" w:rsidR="004E6023" w:rsidRPr="00C74D34" w:rsidRDefault="004E6023" w:rsidP="002D03FA">
      <w:pPr>
        <w:rPr>
          <w:color w:val="auto"/>
          <w:szCs w:val="26"/>
        </w:rPr>
      </w:pPr>
    </w:p>
    <w:p w14:paraId="5A95AEE5" w14:textId="299821B2" w:rsidR="004E6023" w:rsidRPr="00C74D34" w:rsidRDefault="004E6023" w:rsidP="002D03FA">
      <w:pPr>
        <w:ind w:firstLine="1440"/>
        <w:rPr>
          <w:color w:val="auto"/>
          <w:szCs w:val="26"/>
        </w:rPr>
      </w:pPr>
      <w:r w:rsidRPr="00C74D34">
        <w:rPr>
          <w:color w:val="auto"/>
          <w:szCs w:val="26"/>
        </w:rPr>
        <w:t>The “burden of proof” is composed of two distinct burdens:</w:t>
      </w:r>
      <w:r w:rsidR="00831D2C" w:rsidRPr="00C74D34">
        <w:rPr>
          <w:color w:val="auto"/>
          <w:szCs w:val="26"/>
        </w:rPr>
        <w:t xml:space="preserve"> </w:t>
      </w:r>
      <w:r w:rsidRPr="00C74D34">
        <w:rPr>
          <w:color w:val="auto"/>
          <w:szCs w:val="26"/>
        </w:rPr>
        <w:t xml:space="preserve"> the burden of production and the burden of persuasion.  </w:t>
      </w:r>
      <w:r w:rsidRPr="00C74D34">
        <w:rPr>
          <w:i/>
          <w:color w:val="auto"/>
          <w:szCs w:val="26"/>
        </w:rPr>
        <w:t>Hurley v. Hurley</w:t>
      </w:r>
      <w:r w:rsidRPr="00C74D34">
        <w:rPr>
          <w:color w:val="auto"/>
          <w:szCs w:val="26"/>
        </w:rPr>
        <w:t>, 2000 Pa. Super. 178, 754</w:t>
      </w:r>
      <w:r w:rsidR="00C74D34">
        <w:rPr>
          <w:color w:val="auto"/>
          <w:szCs w:val="26"/>
        </w:rPr>
        <w:t> </w:t>
      </w:r>
      <w:r w:rsidRPr="00C74D34">
        <w:rPr>
          <w:color w:val="auto"/>
          <w:szCs w:val="26"/>
        </w:rPr>
        <w:t>A.2d 1283 (2000).</w:t>
      </w:r>
      <w:r w:rsidR="00E04573" w:rsidRPr="00C74D34">
        <w:rPr>
          <w:color w:val="auto"/>
          <w:szCs w:val="26"/>
        </w:rPr>
        <w:t xml:space="preserve">  </w:t>
      </w:r>
      <w:r w:rsidRPr="00C74D34">
        <w:rPr>
          <w:color w:val="auto"/>
          <w:szCs w:val="26"/>
        </w:rPr>
        <w:t xml:space="preserve">The burden of production, also called the burden of producing evidence or the burden of coming forward with evidence, determines which party must come forward with evidence to support a particular proposition.  This burden may shift between the parties during the course of a trial.  If the party (initially, this will usually be the complainant, applicant, or petitioner, as the case may be) with the burden of production fails to introduce sufficient evidence the opposing party is entitled to receive a favorable ruling.  That is, the opposing party would be entitled to a compulsory nonsuit, a directed verdict, or a judgment notwithstanding the verdict.  Once the party with the initial burden of production introduces sufficient evidence to make a </w:t>
      </w:r>
      <w:r w:rsidRPr="00C74D34">
        <w:rPr>
          <w:i/>
          <w:color w:val="auto"/>
          <w:szCs w:val="26"/>
        </w:rPr>
        <w:t>prima facie</w:t>
      </w:r>
      <w:r w:rsidRPr="00C74D34">
        <w:rPr>
          <w:color w:val="auto"/>
          <w:szCs w:val="26"/>
        </w:rPr>
        <w:t xml:space="preserve"> case, that burden shifts to the opposing party.  If the opposing party introduces evidence sufficient to balance the evidence introduced by the party having the initial burden of production, the burden then shifts back to the party who had the initial burden to introduce more evidence favorable to his position.  The burden of production goes to the legal sufficiency of a party’s case.  </w:t>
      </w:r>
    </w:p>
    <w:p w14:paraId="3B635D96" w14:textId="77777777" w:rsidR="004E6023" w:rsidRPr="00C74D34" w:rsidRDefault="004E6023" w:rsidP="002D03FA">
      <w:pPr>
        <w:tabs>
          <w:tab w:val="left" w:pos="-1440"/>
          <w:tab w:val="left" w:pos="-720"/>
        </w:tabs>
        <w:suppressAutoHyphens/>
        <w:ind w:firstLine="1440"/>
        <w:rPr>
          <w:color w:val="auto"/>
          <w:szCs w:val="26"/>
        </w:rPr>
      </w:pPr>
    </w:p>
    <w:p w14:paraId="6E0A0786" w14:textId="1F68330F" w:rsidR="004E6023" w:rsidRPr="00C74D34" w:rsidRDefault="004E6023" w:rsidP="00C74D34">
      <w:pPr>
        <w:tabs>
          <w:tab w:val="left" w:pos="-1440"/>
          <w:tab w:val="left" w:pos="-720"/>
        </w:tabs>
        <w:suppressAutoHyphens/>
        <w:ind w:firstLine="1440"/>
        <w:rPr>
          <w:color w:val="auto"/>
          <w:szCs w:val="26"/>
        </w:rPr>
      </w:pPr>
      <w:r w:rsidRPr="00C74D34">
        <w:rPr>
          <w:color w:val="auto"/>
          <w:szCs w:val="26"/>
        </w:rPr>
        <w:t xml:space="preserve">Having passed the test of legal sufficiency, the party with the burden of proof must then bear the burden of persuasion to be entitled to a verdict in his favor.  “[T]he burden of persuasion never leaves the party on whom it is originally cast, but the burden of production may shift during the course of the proceedings.”  </w:t>
      </w:r>
      <w:r w:rsidRPr="00C74D34">
        <w:rPr>
          <w:i/>
          <w:color w:val="auto"/>
          <w:szCs w:val="26"/>
        </w:rPr>
        <w:t>Riedel v. County of Allegheny</w:t>
      </w:r>
      <w:r w:rsidRPr="00C74D34">
        <w:rPr>
          <w:color w:val="auto"/>
          <w:szCs w:val="26"/>
        </w:rPr>
        <w:t xml:space="preserve">, 159 Pa. </w:t>
      </w:r>
      <w:proofErr w:type="spellStart"/>
      <w:r w:rsidRPr="00C74D34">
        <w:rPr>
          <w:color w:val="auto"/>
          <w:szCs w:val="26"/>
        </w:rPr>
        <w:t>Cmwlth</w:t>
      </w:r>
      <w:proofErr w:type="spellEnd"/>
      <w:r w:rsidRPr="00C74D34">
        <w:rPr>
          <w:color w:val="auto"/>
          <w:szCs w:val="26"/>
        </w:rPr>
        <w:t xml:space="preserve">. 583, 591, 633 A.2d 1325, 1328 n. 11 (1993).  The burden </w:t>
      </w:r>
      <w:r w:rsidRPr="00C74D34">
        <w:rPr>
          <w:color w:val="auto"/>
          <w:szCs w:val="26"/>
        </w:rPr>
        <w:lastRenderedPageBreak/>
        <w:t>of persuasion, usually placed on the complainant, applicant, or petitioner</w:t>
      </w:r>
      <w:r w:rsidR="00C90D1C" w:rsidRPr="00C74D34">
        <w:rPr>
          <w:color w:val="auto"/>
          <w:szCs w:val="26"/>
        </w:rPr>
        <w:t>,</w:t>
      </w:r>
      <w:r w:rsidRPr="00C74D34">
        <w:rPr>
          <w:color w:val="auto"/>
          <w:szCs w:val="26"/>
          <w:vertAlign w:val="superscript"/>
        </w:rPr>
        <w:footnoteReference w:id="9"/>
      </w:r>
      <w:r w:rsidRPr="00C74D34">
        <w:rPr>
          <w:color w:val="auto"/>
          <w:szCs w:val="26"/>
        </w:rPr>
        <w:t xml:space="preserve"> determines which party must produce sufficient evidence to meet the applicable standard of proof.  </w:t>
      </w:r>
      <w:r w:rsidRPr="00C74D34">
        <w:rPr>
          <w:i/>
          <w:color w:val="auto"/>
          <w:szCs w:val="26"/>
        </w:rPr>
        <w:t>Hurley v. Hurley</w:t>
      </w:r>
      <w:r w:rsidRPr="00C74D34">
        <w:rPr>
          <w:color w:val="auto"/>
          <w:szCs w:val="26"/>
        </w:rPr>
        <w:t xml:space="preserve">, 2000 Pa. Super. 178, 754 A.2d 1283 (2000).  It is entirely possible for a party to successfully bear the burden of production but not be entitled to a verdict in his favor because the party did not bear the burden of persuasion.  Unlike the burden of production, the burden of persuasion includes determinations of credibility and acceptance or rejection of inferences.  Even unrebutted evidence may be disbelieved.  </w:t>
      </w:r>
      <w:proofErr w:type="spellStart"/>
      <w:r w:rsidRPr="00C74D34">
        <w:rPr>
          <w:i/>
          <w:color w:val="auto"/>
          <w:szCs w:val="26"/>
        </w:rPr>
        <w:t>Suber</w:t>
      </w:r>
      <w:proofErr w:type="spellEnd"/>
      <w:r w:rsidRPr="00C74D34">
        <w:rPr>
          <w:i/>
          <w:color w:val="auto"/>
          <w:szCs w:val="26"/>
        </w:rPr>
        <w:t xml:space="preserve"> v. Pa. Comm’n on Crime and Delinquency</w:t>
      </w:r>
      <w:r w:rsidRPr="00C74D34">
        <w:rPr>
          <w:color w:val="auto"/>
          <w:szCs w:val="26"/>
        </w:rPr>
        <w:t>, 885 A.2d 678 (Pa.</w:t>
      </w:r>
      <w:r w:rsidR="00C74D34">
        <w:rPr>
          <w:color w:val="auto"/>
          <w:szCs w:val="26"/>
        </w:rPr>
        <w:t xml:space="preserve"> </w:t>
      </w:r>
      <w:proofErr w:type="spellStart"/>
      <w:r w:rsidRPr="00C74D34">
        <w:rPr>
          <w:color w:val="auto"/>
          <w:szCs w:val="26"/>
        </w:rPr>
        <w:t>Cmwlth</w:t>
      </w:r>
      <w:proofErr w:type="spellEnd"/>
      <w:r w:rsidRPr="00C74D34">
        <w:rPr>
          <w:color w:val="auto"/>
          <w:szCs w:val="26"/>
        </w:rPr>
        <w:t xml:space="preserve">. 2005), </w:t>
      </w:r>
      <w:r w:rsidRPr="00C74D34">
        <w:rPr>
          <w:i/>
          <w:color w:val="auto"/>
          <w:szCs w:val="26"/>
        </w:rPr>
        <w:t>app</w:t>
      </w:r>
      <w:r w:rsidR="00C74D34">
        <w:rPr>
          <w:i/>
          <w:color w:val="auto"/>
          <w:szCs w:val="26"/>
        </w:rPr>
        <w:t>eal</w:t>
      </w:r>
      <w:r w:rsidRPr="00C74D34">
        <w:rPr>
          <w:i/>
          <w:color w:val="auto"/>
          <w:szCs w:val="26"/>
        </w:rPr>
        <w:t xml:space="preserve"> denied</w:t>
      </w:r>
      <w:r w:rsidRPr="00C74D34">
        <w:rPr>
          <w:color w:val="auto"/>
          <w:szCs w:val="26"/>
        </w:rPr>
        <w:t xml:space="preserve">, 586 Pa. 776, 895 A.2d 1264 (2006).  In order to bear the burden of proof and be entitled to a decision in his favor, a party must bear both the burden of production and the burden of persuasion.  </w:t>
      </w:r>
    </w:p>
    <w:p w14:paraId="11CF9D30" w14:textId="77777777" w:rsidR="004E6023" w:rsidRPr="00C74D34" w:rsidRDefault="004E6023" w:rsidP="00C74D34">
      <w:pPr>
        <w:tabs>
          <w:tab w:val="left" w:pos="-1440"/>
          <w:tab w:val="left" w:pos="-720"/>
        </w:tabs>
        <w:suppressAutoHyphens/>
        <w:ind w:firstLine="1440"/>
        <w:rPr>
          <w:color w:val="auto"/>
          <w:szCs w:val="26"/>
        </w:rPr>
      </w:pPr>
    </w:p>
    <w:p w14:paraId="64CDF781" w14:textId="6E9F8DC8" w:rsidR="004E6023" w:rsidRPr="00C74D34" w:rsidRDefault="004E6023" w:rsidP="00C74D34">
      <w:pPr>
        <w:pStyle w:val="TOCH3"/>
        <w:keepNext/>
        <w:spacing w:line="360" w:lineRule="auto"/>
      </w:pPr>
      <w:bookmarkStart w:id="9" w:name="_Toc253739914"/>
      <w:bookmarkStart w:id="10" w:name="_Toc70516605"/>
      <w:r w:rsidRPr="00C74D34">
        <w:t xml:space="preserve">Applicable </w:t>
      </w:r>
      <w:r w:rsidR="0012490C">
        <w:t>S</w:t>
      </w:r>
      <w:r w:rsidRPr="00C74D34">
        <w:t xml:space="preserve">tatutes and </w:t>
      </w:r>
      <w:r w:rsidR="0012490C">
        <w:t>R</w:t>
      </w:r>
      <w:r w:rsidRPr="00C74D34">
        <w:t>egulations</w:t>
      </w:r>
      <w:bookmarkEnd w:id="9"/>
      <w:bookmarkEnd w:id="10"/>
    </w:p>
    <w:p w14:paraId="4C9CEB20" w14:textId="77777777" w:rsidR="004E6023" w:rsidRPr="00C74D34" w:rsidRDefault="004E6023" w:rsidP="00C74D34">
      <w:pPr>
        <w:keepNext/>
        <w:rPr>
          <w:color w:val="auto"/>
          <w:szCs w:val="26"/>
        </w:rPr>
      </w:pPr>
    </w:p>
    <w:p w14:paraId="3AF50D9B" w14:textId="075FAF45" w:rsidR="004E6023" w:rsidRPr="00C74D34" w:rsidRDefault="004E6023" w:rsidP="00C74D34">
      <w:pPr>
        <w:keepNext/>
        <w:ind w:firstLine="1440"/>
        <w:rPr>
          <w:color w:val="auto"/>
          <w:szCs w:val="26"/>
        </w:rPr>
      </w:pPr>
      <w:r w:rsidRPr="00C74D34">
        <w:rPr>
          <w:color w:val="auto"/>
          <w:szCs w:val="26"/>
        </w:rPr>
        <w:t xml:space="preserve">The </w:t>
      </w:r>
      <w:r w:rsidR="00F13DA5" w:rsidRPr="00C74D34">
        <w:rPr>
          <w:color w:val="auto"/>
          <w:szCs w:val="26"/>
        </w:rPr>
        <w:t>P</w:t>
      </w:r>
      <w:r w:rsidRPr="00C74D34">
        <w:rPr>
          <w:color w:val="auto"/>
          <w:szCs w:val="26"/>
        </w:rPr>
        <w:t>arties differ regarding what the Company must prove by a preponderance of the evidence</w:t>
      </w:r>
      <w:r w:rsidR="007105D5" w:rsidRPr="00C74D34">
        <w:rPr>
          <w:color w:val="auto"/>
          <w:szCs w:val="26"/>
        </w:rPr>
        <w:t xml:space="preserve"> in this </w:t>
      </w:r>
      <w:r w:rsidR="007A50E3" w:rsidRPr="00C74D34">
        <w:rPr>
          <w:color w:val="auto"/>
          <w:szCs w:val="26"/>
        </w:rPr>
        <w:t>proceeding</w:t>
      </w:r>
      <w:r w:rsidR="00DF577E" w:rsidRPr="00C74D34">
        <w:rPr>
          <w:color w:val="auto"/>
          <w:szCs w:val="26"/>
        </w:rPr>
        <w:t xml:space="preserve"> pertaining to </w:t>
      </w:r>
      <w:r w:rsidR="00C4527B" w:rsidRPr="00C74D34">
        <w:rPr>
          <w:color w:val="auto"/>
          <w:szCs w:val="26"/>
        </w:rPr>
        <w:t>matters including</w:t>
      </w:r>
      <w:r w:rsidR="00905FFA" w:rsidRPr="00C74D34">
        <w:rPr>
          <w:color w:val="auto"/>
          <w:szCs w:val="26"/>
        </w:rPr>
        <w:t>:</w:t>
      </w:r>
      <w:r w:rsidR="00EA5695" w:rsidRPr="00C74D34">
        <w:rPr>
          <w:color w:val="auto"/>
          <w:szCs w:val="26"/>
        </w:rPr>
        <w:t xml:space="preserve"> </w:t>
      </w:r>
      <w:r w:rsidR="00905FFA" w:rsidRPr="00C74D34">
        <w:rPr>
          <w:color w:val="auto"/>
          <w:szCs w:val="26"/>
        </w:rPr>
        <w:t xml:space="preserve"> </w:t>
      </w:r>
      <w:r w:rsidR="00DF577E" w:rsidRPr="00C74D34">
        <w:rPr>
          <w:color w:val="auto"/>
          <w:szCs w:val="26"/>
        </w:rPr>
        <w:t xml:space="preserve">the grant </w:t>
      </w:r>
      <w:r w:rsidR="00C4527B" w:rsidRPr="00C74D34">
        <w:rPr>
          <w:color w:val="auto"/>
          <w:szCs w:val="26"/>
        </w:rPr>
        <w:t xml:space="preserve">to </w:t>
      </w:r>
      <w:proofErr w:type="spellStart"/>
      <w:r w:rsidR="00C4527B" w:rsidRPr="00C74D34">
        <w:rPr>
          <w:color w:val="auto"/>
          <w:szCs w:val="26"/>
        </w:rPr>
        <w:t>T</w:t>
      </w:r>
      <w:r w:rsidR="00905FFA" w:rsidRPr="00C74D34">
        <w:rPr>
          <w:color w:val="auto"/>
          <w:szCs w:val="26"/>
        </w:rPr>
        <w:t>r</w:t>
      </w:r>
      <w:r w:rsidR="00C4527B" w:rsidRPr="00C74D34">
        <w:rPr>
          <w:color w:val="auto"/>
          <w:szCs w:val="26"/>
        </w:rPr>
        <w:t>ansource</w:t>
      </w:r>
      <w:proofErr w:type="spellEnd"/>
      <w:r w:rsidR="00C4527B" w:rsidRPr="00C74D34">
        <w:rPr>
          <w:color w:val="auto"/>
          <w:szCs w:val="26"/>
        </w:rPr>
        <w:t xml:space="preserve"> of a </w:t>
      </w:r>
      <w:r w:rsidR="00DF577E" w:rsidRPr="00C74D34">
        <w:rPr>
          <w:color w:val="auto"/>
          <w:szCs w:val="26"/>
        </w:rPr>
        <w:t>CPC</w:t>
      </w:r>
      <w:r w:rsidR="00905FFA" w:rsidRPr="00C74D34">
        <w:rPr>
          <w:color w:val="auto"/>
          <w:szCs w:val="26"/>
        </w:rPr>
        <w:t>;</w:t>
      </w:r>
      <w:r w:rsidR="00671F9E" w:rsidRPr="00C74D34">
        <w:rPr>
          <w:color w:val="auto"/>
          <w:szCs w:val="26"/>
        </w:rPr>
        <w:t xml:space="preserve"> </w:t>
      </w:r>
      <w:r w:rsidR="00622E6B" w:rsidRPr="00C74D34">
        <w:rPr>
          <w:color w:val="auto"/>
          <w:szCs w:val="26"/>
        </w:rPr>
        <w:t xml:space="preserve">the </w:t>
      </w:r>
      <w:r w:rsidR="002F42AE" w:rsidRPr="00C74D34">
        <w:rPr>
          <w:color w:val="auto"/>
          <w:szCs w:val="26"/>
        </w:rPr>
        <w:t xml:space="preserve">grant of </w:t>
      </w:r>
      <w:r w:rsidR="00622E6B" w:rsidRPr="00C74D34">
        <w:rPr>
          <w:color w:val="auto"/>
          <w:szCs w:val="26"/>
        </w:rPr>
        <w:t>approval</w:t>
      </w:r>
      <w:r w:rsidR="00671F9E" w:rsidRPr="00C74D34">
        <w:rPr>
          <w:color w:val="auto"/>
          <w:szCs w:val="26"/>
        </w:rPr>
        <w:t xml:space="preserve"> necessary </w:t>
      </w:r>
      <w:r w:rsidR="007105D5" w:rsidRPr="00C74D34">
        <w:rPr>
          <w:color w:val="auto"/>
          <w:szCs w:val="26"/>
        </w:rPr>
        <w:t xml:space="preserve">for </w:t>
      </w:r>
      <w:r w:rsidR="007C462C" w:rsidRPr="00C74D34">
        <w:rPr>
          <w:color w:val="auto"/>
          <w:szCs w:val="26"/>
        </w:rPr>
        <w:t xml:space="preserve">the </w:t>
      </w:r>
      <w:r w:rsidR="007105D5" w:rsidRPr="00C74D34">
        <w:rPr>
          <w:color w:val="auto"/>
          <w:szCs w:val="26"/>
        </w:rPr>
        <w:t>siting and construction of transmission lines</w:t>
      </w:r>
      <w:r w:rsidR="00622E6B" w:rsidRPr="00C74D34">
        <w:rPr>
          <w:color w:val="auto"/>
          <w:szCs w:val="26"/>
        </w:rPr>
        <w:t>;</w:t>
      </w:r>
      <w:r w:rsidR="007105D5" w:rsidRPr="00C74D34">
        <w:rPr>
          <w:color w:val="auto"/>
          <w:szCs w:val="26"/>
        </w:rPr>
        <w:t xml:space="preserve"> </w:t>
      </w:r>
      <w:r w:rsidR="007C462C" w:rsidRPr="00C74D34">
        <w:rPr>
          <w:color w:val="auto"/>
          <w:szCs w:val="26"/>
        </w:rPr>
        <w:t xml:space="preserve">and </w:t>
      </w:r>
      <w:r w:rsidR="00622E6B" w:rsidRPr="00C74D34">
        <w:rPr>
          <w:color w:val="auto"/>
          <w:szCs w:val="26"/>
        </w:rPr>
        <w:t xml:space="preserve">the </w:t>
      </w:r>
      <w:r w:rsidR="002F42AE" w:rsidRPr="00C74D34">
        <w:rPr>
          <w:color w:val="auto"/>
          <w:szCs w:val="26"/>
        </w:rPr>
        <w:t xml:space="preserve">grant of </w:t>
      </w:r>
      <w:r w:rsidR="007C462C" w:rsidRPr="00C74D34">
        <w:rPr>
          <w:color w:val="auto"/>
          <w:szCs w:val="26"/>
        </w:rPr>
        <w:t xml:space="preserve">other authority </w:t>
      </w:r>
      <w:r w:rsidR="00B702F2" w:rsidRPr="00C74D34">
        <w:rPr>
          <w:color w:val="auto"/>
          <w:szCs w:val="26"/>
        </w:rPr>
        <w:t>required in connection with Project 9A.</w:t>
      </w:r>
    </w:p>
    <w:p w14:paraId="6617CB1F" w14:textId="77777777" w:rsidR="004E6023" w:rsidRPr="00C74D34" w:rsidRDefault="004E6023" w:rsidP="002D03FA">
      <w:pPr>
        <w:rPr>
          <w:color w:val="auto"/>
          <w:szCs w:val="26"/>
        </w:rPr>
      </w:pPr>
    </w:p>
    <w:p w14:paraId="4D94F350" w14:textId="59FB3C77" w:rsidR="00AE4AC9" w:rsidRPr="00C74D34" w:rsidRDefault="005C72CA" w:rsidP="002D03FA">
      <w:pPr>
        <w:ind w:firstLine="1440"/>
        <w:rPr>
          <w:color w:val="auto"/>
          <w:szCs w:val="26"/>
        </w:rPr>
      </w:pPr>
      <w:r w:rsidRPr="00C74D34">
        <w:rPr>
          <w:color w:val="auto"/>
          <w:szCs w:val="26"/>
        </w:rPr>
        <w:t xml:space="preserve">This case presents the unique circumstance in which the Commission </w:t>
      </w:r>
      <w:r w:rsidR="00303DDE" w:rsidRPr="00C74D34">
        <w:rPr>
          <w:color w:val="auto"/>
          <w:szCs w:val="26"/>
        </w:rPr>
        <w:t xml:space="preserve">has granted a provisional CPC to </w:t>
      </w:r>
      <w:proofErr w:type="spellStart"/>
      <w:r w:rsidR="00303DDE" w:rsidRPr="00C74D34">
        <w:rPr>
          <w:color w:val="auto"/>
          <w:szCs w:val="26"/>
        </w:rPr>
        <w:t>Transource</w:t>
      </w:r>
      <w:proofErr w:type="spellEnd"/>
      <w:r w:rsidR="00303DDE" w:rsidRPr="00C74D34">
        <w:rPr>
          <w:color w:val="auto"/>
          <w:szCs w:val="26"/>
        </w:rPr>
        <w:t xml:space="preserve">.  </w:t>
      </w:r>
      <w:r w:rsidR="00C12DA7" w:rsidRPr="00C74D34">
        <w:rPr>
          <w:i/>
          <w:color w:val="auto"/>
        </w:rPr>
        <w:t>See</w:t>
      </w:r>
      <w:r w:rsidR="00C12DA7" w:rsidRPr="00C74D34">
        <w:rPr>
          <w:color w:val="auto"/>
          <w:szCs w:val="26"/>
        </w:rPr>
        <w:t xml:space="preserve"> </w:t>
      </w:r>
      <w:r w:rsidR="00C12DA7" w:rsidRPr="00C74D34">
        <w:rPr>
          <w:i/>
          <w:iCs/>
          <w:color w:val="auto"/>
          <w:szCs w:val="26"/>
        </w:rPr>
        <w:t xml:space="preserve">Application of </w:t>
      </w:r>
      <w:proofErr w:type="spellStart"/>
      <w:r w:rsidR="00C12DA7" w:rsidRPr="00C74D34">
        <w:rPr>
          <w:i/>
          <w:iCs/>
          <w:color w:val="auto"/>
          <w:szCs w:val="26"/>
        </w:rPr>
        <w:t>Transource</w:t>
      </w:r>
      <w:proofErr w:type="spellEnd"/>
      <w:r w:rsidR="00C12DA7" w:rsidRPr="00C74D34">
        <w:rPr>
          <w:i/>
          <w:iCs/>
          <w:color w:val="auto"/>
          <w:szCs w:val="26"/>
        </w:rPr>
        <w:t xml:space="preserve"> Pennsylvania LLC</w:t>
      </w:r>
      <w:r w:rsidR="00C12DA7" w:rsidRPr="00C74D34">
        <w:rPr>
          <w:color w:val="auto"/>
          <w:szCs w:val="26"/>
        </w:rPr>
        <w:t xml:space="preserve">, Docket No. A-2017-2587821 (Opinion and Order entered January 23, 2018).  </w:t>
      </w:r>
      <w:r w:rsidR="00303DDE" w:rsidRPr="00C74D34">
        <w:rPr>
          <w:color w:val="auto"/>
          <w:szCs w:val="26"/>
        </w:rPr>
        <w:t xml:space="preserve">As such, </w:t>
      </w:r>
      <w:r w:rsidR="004E6023" w:rsidRPr="00C74D34">
        <w:rPr>
          <w:color w:val="auto"/>
          <w:szCs w:val="26"/>
        </w:rPr>
        <w:t xml:space="preserve">Sections 1101, 1102 and 1103 of the Public Utility Code (Code), 66 Pa. C.S. </w:t>
      </w:r>
      <w:r w:rsidR="00C90D1C" w:rsidRPr="00C74D34">
        <w:rPr>
          <w:color w:val="auto"/>
          <w:szCs w:val="26"/>
        </w:rPr>
        <w:t>§§ </w:t>
      </w:r>
      <w:r w:rsidR="004E6023" w:rsidRPr="00C74D34">
        <w:rPr>
          <w:color w:val="auto"/>
          <w:szCs w:val="26"/>
        </w:rPr>
        <w:t>1101, 1102(a)(1) and 1103, govern</w:t>
      </w:r>
      <w:r w:rsidR="00503400" w:rsidRPr="00C74D34">
        <w:rPr>
          <w:color w:val="auto"/>
          <w:szCs w:val="26"/>
        </w:rPr>
        <w:t>ing</w:t>
      </w:r>
      <w:r w:rsidR="004E6023" w:rsidRPr="00C74D34">
        <w:rPr>
          <w:color w:val="auto"/>
          <w:szCs w:val="26"/>
        </w:rPr>
        <w:t xml:space="preserve"> the organization of a public utility and its initiating certificate of public convenience, </w:t>
      </w:r>
      <w:r w:rsidR="00503400" w:rsidRPr="00C74D34">
        <w:rPr>
          <w:color w:val="auto"/>
          <w:szCs w:val="26"/>
        </w:rPr>
        <w:t xml:space="preserve">are </w:t>
      </w:r>
      <w:r w:rsidR="004E6023" w:rsidRPr="00C74D34">
        <w:rPr>
          <w:color w:val="auto"/>
          <w:szCs w:val="26"/>
        </w:rPr>
        <w:t xml:space="preserve">among the statutory sections which need to be addressed.  These </w:t>
      </w:r>
      <w:r w:rsidR="00474DE1" w:rsidRPr="00C74D34">
        <w:rPr>
          <w:color w:val="auto"/>
          <w:szCs w:val="26"/>
        </w:rPr>
        <w:t>provisions of the</w:t>
      </w:r>
      <w:r w:rsidR="001E222B" w:rsidRPr="00C74D34">
        <w:rPr>
          <w:color w:val="auto"/>
          <w:szCs w:val="26"/>
        </w:rPr>
        <w:t xml:space="preserve"> Code are relevant </w:t>
      </w:r>
      <w:r w:rsidR="00EF7240" w:rsidRPr="00C74D34">
        <w:rPr>
          <w:color w:val="auto"/>
          <w:szCs w:val="26"/>
        </w:rPr>
        <w:t xml:space="preserve">to the present proceedings, </w:t>
      </w:r>
      <w:r w:rsidR="00BC7D64" w:rsidRPr="00C74D34">
        <w:rPr>
          <w:color w:val="auto"/>
          <w:szCs w:val="26"/>
        </w:rPr>
        <w:t xml:space="preserve">as </w:t>
      </w:r>
      <w:r w:rsidR="00BC7D64" w:rsidRPr="00C74D34">
        <w:rPr>
          <w:color w:val="auto"/>
          <w:szCs w:val="26"/>
        </w:rPr>
        <w:lastRenderedPageBreak/>
        <w:t xml:space="preserve">is their application </w:t>
      </w:r>
      <w:r w:rsidR="00704F54" w:rsidRPr="00C74D34">
        <w:rPr>
          <w:color w:val="auto"/>
          <w:szCs w:val="26"/>
        </w:rPr>
        <w:t xml:space="preserve">to </w:t>
      </w:r>
      <w:r w:rsidR="004E6023" w:rsidRPr="00C74D34">
        <w:rPr>
          <w:i/>
          <w:color w:val="auto"/>
          <w:szCs w:val="26"/>
        </w:rPr>
        <w:t>In re: Application of Trans-Allegheny Interstate Line Co.,</w:t>
      </w:r>
      <w:r w:rsidR="004E6023" w:rsidRPr="00C74D34">
        <w:rPr>
          <w:color w:val="auto"/>
          <w:szCs w:val="26"/>
        </w:rPr>
        <w:t xml:space="preserve"> Docket No. A-110172 (Order entered December 12, 2008) (</w:t>
      </w:r>
      <w:proofErr w:type="spellStart"/>
      <w:r w:rsidR="004E6023" w:rsidRPr="00C74D34">
        <w:rPr>
          <w:i/>
          <w:color w:val="auto"/>
          <w:szCs w:val="26"/>
        </w:rPr>
        <w:t>TrAILCo</w:t>
      </w:r>
      <w:proofErr w:type="spellEnd"/>
      <w:r w:rsidR="004E6023" w:rsidRPr="00C74D34">
        <w:rPr>
          <w:i/>
          <w:color w:val="auto"/>
          <w:szCs w:val="26"/>
        </w:rPr>
        <w:t xml:space="preserve"> Case</w:t>
      </w:r>
      <w:r w:rsidR="004E6023" w:rsidRPr="00C74D34">
        <w:rPr>
          <w:color w:val="auto"/>
          <w:szCs w:val="26"/>
        </w:rPr>
        <w:t xml:space="preserve">), </w:t>
      </w:r>
      <w:r w:rsidR="00AE4AC9" w:rsidRPr="00C74D34">
        <w:rPr>
          <w:color w:val="auto"/>
          <w:szCs w:val="26"/>
        </w:rPr>
        <w:t xml:space="preserve">a case extensively </w:t>
      </w:r>
      <w:r w:rsidR="004E6023" w:rsidRPr="00C74D34">
        <w:rPr>
          <w:color w:val="auto"/>
          <w:szCs w:val="26"/>
        </w:rPr>
        <w:t>cited in the Parties’ briefs here</w:t>
      </w:r>
      <w:r w:rsidR="00704F54" w:rsidRPr="00C74D34">
        <w:rPr>
          <w:color w:val="auto"/>
          <w:szCs w:val="26"/>
        </w:rPr>
        <w:t>in</w:t>
      </w:r>
      <w:r w:rsidR="004E6023" w:rsidRPr="00C74D34">
        <w:rPr>
          <w:color w:val="auto"/>
          <w:szCs w:val="26"/>
        </w:rPr>
        <w:t xml:space="preserve">.  </w:t>
      </w:r>
    </w:p>
    <w:p w14:paraId="5418F8A5" w14:textId="77777777" w:rsidR="00AE4AC9" w:rsidRPr="00C74D34" w:rsidRDefault="00AE4AC9" w:rsidP="002D03FA">
      <w:pPr>
        <w:rPr>
          <w:color w:val="auto"/>
          <w:szCs w:val="26"/>
          <w:highlight w:val="yellow"/>
        </w:rPr>
      </w:pPr>
    </w:p>
    <w:p w14:paraId="0B9BB2BE" w14:textId="0E2040B1" w:rsidR="001C5641" w:rsidRPr="00C74D34" w:rsidRDefault="004D4DC8" w:rsidP="002D03FA">
      <w:pPr>
        <w:ind w:firstLine="1440"/>
        <w:rPr>
          <w:color w:val="auto"/>
          <w:szCs w:val="26"/>
        </w:rPr>
      </w:pPr>
      <w:r w:rsidRPr="00C74D34">
        <w:rPr>
          <w:color w:val="auto"/>
          <w:szCs w:val="26"/>
        </w:rPr>
        <w:t>Here</w:t>
      </w:r>
      <w:r w:rsidR="00AE4AC9" w:rsidRPr="00C74D34">
        <w:rPr>
          <w:color w:val="auto"/>
          <w:szCs w:val="26"/>
        </w:rPr>
        <w:t xml:space="preserve">, </w:t>
      </w:r>
      <w:r w:rsidRPr="00C74D34">
        <w:rPr>
          <w:color w:val="auto"/>
          <w:szCs w:val="26"/>
        </w:rPr>
        <w:t xml:space="preserve">as in </w:t>
      </w:r>
      <w:proofErr w:type="spellStart"/>
      <w:r w:rsidRPr="00C74D34">
        <w:rPr>
          <w:i/>
          <w:color w:val="auto"/>
          <w:szCs w:val="26"/>
        </w:rPr>
        <w:t>TrAILCo</w:t>
      </w:r>
      <w:proofErr w:type="spellEnd"/>
      <w:r w:rsidRPr="00C74D34">
        <w:rPr>
          <w:i/>
          <w:color w:val="auto"/>
          <w:szCs w:val="26"/>
        </w:rPr>
        <w:t xml:space="preserve"> Case</w:t>
      </w:r>
      <w:r w:rsidR="00341EFA" w:rsidRPr="00C74D34">
        <w:rPr>
          <w:color w:val="auto"/>
          <w:szCs w:val="26"/>
        </w:rPr>
        <w:t xml:space="preserve">, </w:t>
      </w:r>
      <w:r w:rsidR="004E6023" w:rsidRPr="00C74D34">
        <w:rPr>
          <w:color w:val="auto"/>
          <w:szCs w:val="26"/>
        </w:rPr>
        <w:t xml:space="preserve">the entity seeking authority </w:t>
      </w:r>
      <w:r w:rsidR="0014170E" w:rsidRPr="00C74D34">
        <w:rPr>
          <w:color w:val="auto"/>
          <w:szCs w:val="26"/>
        </w:rPr>
        <w:t xml:space="preserve">for siting and construction of </w:t>
      </w:r>
      <w:r w:rsidR="004E6023" w:rsidRPr="00C74D34">
        <w:rPr>
          <w:color w:val="auto"/>
          <w:szCs w:val="26"/>
        </w:rPr>
        <w:t>transmission line</w:t>
      </w:r>
      <w:r w:rsidR="003F354D" w:rsidRPr="00C74D34">
        <w:rPr>
          <w:color w:val="auto"/>
          <w:szCs w:val="26"/>
        </w:rPr>
        <w:t>s</w:t>
      </w:r>
      <w:r w:rsidR="004E6023" w:rsidRPr="00C74D34">
        <w:rPr>
          <w:color w:val="auto"/>
          <w:szCs w:val="26"/>
        </w:rPr>
        <w:t xml:space="preserve"> was not </w:t>
      </w:r>
      <w:r w:rsidR="00341EFA" w:rsidRPr="00C74D34">
        <w:rPr>
          <w:color w:val="auto"/>
          <w:szCs w:val="26"/>
        </w:rPr>
        <w:t xml:space="preserve">previously designated as a </w:t>
      </w:r>
      <w:r w:rsidR="004E6023" w:rsidRPr="00C74D34">
        <w:rPr>
          <w:color w:val="auto"/>
          <w:szCs w:val="26"/>
        </w:rPr>
        <w:t>public utility</w:t>
      </w:r>
      <w:r w:rsidR="003A4CC8" w:rsidRPr="00C74D34">
        <w:rPr>
          <w:color w:val="auto"/>
          <w:szCs w:val="26"/>
        </w:rPr>
        <w:t xml:space="preserve">.  In </w:t>
      </w:r>
      <w:proofErr w:type="spellStart"/>
      <w:r w:rsidR="003A4CC8" w:rsidRPr="00C74D34">
        <w:rPr>
          <w:i/>
          <w:color w:val="auto"/>
          <w:szCs w:val="26"/>
        </w:rPr>
        <w:t>TrAILCo</w:t>
      </w:r>
      <w:proofErr w:type="spellEnd"/>
      <w:r w:rsidR="003A4CC8" w:rsidRPr="00C74D34">
        <w:rPr>
          <w:i/>
          <w:color w:val="auto"/>
          <w:szCs w:val="26"/>
        </w:rPr>
        <w:t xml:space="preserve"> Case</w:t>
      </w:r>
      <w:r w:rsidR="003A4CC8" w:rsidRPr="00C74D34">
        <w:rPr>
          <w:color w:val="auto"/>
          <w:szCs w:val="26"/>
        </w:rPr>
        <w:t xml:space="preserve">, </w:t>
      </w:r>
      <w:proofErr w:type="spellStart"/>
      <w:r w:rsidR="003A4CC8" w:rsidRPr="00C74D34">
        <w:rPr>
          <w:color w:val="auto"/>
          <w:szCs w:val="26"/>
        </w:rPr>
        <w:t>T</w:t>
      </w:r>
      <w:r w:rsidR="00400238" w:rsidRPr="00C74D34">
        <w:rPr>
          <w:color w:val="auto"/>
          <w:szCs w:val="26"/>
        </w:rPr>
        <w:t>rAILCo</w:t>
      </w:r>
      <w:proofErr w:type="spellEnd"/>
      <w:r w:rsidR="00400238" w:rsidRPr="00C74D34">
        <w:rPr>
          <w:color w:val="auto"/>
          <w:szCs w:val="26"/>
        </w:rPr>
        <w:t xml:space="preserve"> sought a certificate of public convenience and designation as a public utility </w:t>
      </w:r>
      <w:r w:rsidR="004E6023" w:rsidRPr="00C74D34">
        <w:rPr>
          <w:color w:val="auto"/>
          <w:szCs w:val="26"/>
        </w:rPr>
        <w:t>as part of th</w:t>
      </w:r>
      <w:r w:rsidR="00400238" w:rsidRPr="00C74D34">
        <w:rPr>
          <w:color w:val="auto"/>
          <w:szCs w:val="26"/>
        </w:rPr>
        <w:t>e</w:t>
      </w:r>
      <w:r w:rsidR="004E6023" w:rsidRPr="00C74D34">
        <w:rPr>
          <w:color w:val="auto"/>
          <w:szCs w:val="26"/>
        </w:rPr>
        <w:t xml:space="preserve"> application</w:t>
      </w:r>
      <w:r w:rsidR="00FE4727" w:rsidRPr="00C74D34">
        <w:rPr>
          <w:color w:val="auto"/>
          <w:szCs w:val="26"/>
        </w:rPr>
        <w:t xml:space="preserve"> to construct transmission lines.  Here, </w:t>
      </w:r>
      <w:r w:rsidR="002A7515" w:rsidRPr="00C74D34">
        <w:rPr>
          <w:color w:val="auto"/>
          <w:szCs w:val="26"/>
        </w:rPr>
        <w:t xml:space="preserve">however, </w:t>
      </w:r>
      <w:proofErr w:type="spellStart"/>
      <w:r w:rsidR="00FE4727" w:rsidRPr="00C74D34">
        <w:rPr>
          <w:color w:val="auto"/>
          <w:szCs w:val="26"/>
        </w:rPr>
        <w:t>Transource</w:t>
      </w:r>
      <w:proofErr w:type="spellEnd"/>
      <w:r w:rsidR="00FE4727" w:rsidRPr="00C74D34">
        <w:rPr>
          <w:color w:val="auto"/>
          <w:szCs w:val="26"/>
        </w:rPr>
        <w:t xml:space="preserve"> was designated as a public utility and granted a </w:t>
      </w:r>
      <w:r w:rsidR="00F42A21" w:rsidRPr="00C74D34">
        <w:rPr>
          <w:color w:val="auto"/>
          <w:szCs w:val="26"/>
        </w:rPr>
        <w:t>certificate</w:t>
      </w:r>
      <w:r w:rsidR="00FE4727" w:rsidRPr="00C74D34">
        <w:rPr>
          <w:color w:val="auto"/>
          <w:szCs w:val="26"/>
        </w:rPr>
        <w:t xml:space="preserve"> of public </w:t>
      </w:r>
      <w:r w:rsidR="00F42A21" w:rsidRPr="00C74D34">
        <w:rPr>
          <w:color w:val="auto"/>
          <w:szCs w:val="26"/>
        </w:rPr>
        <w:t>convenience</w:t>
      </w:r>
      <w:r w:rsidR="00FE4727" w:rsidRPr="00C74D34">
        <w:rPr>
          <w:color w:val="auto"/>
          <w:szCs w:val="26"/>
        </w:rPr>
        <w:t xml:space="preserve"> </w:t>
      </w:r>
      <w:r w:rsidR="00F42A21" w:rsidRPr="00C74D34">
        <w:rPr>
          <w:color w:val="auto"/>
          <w:szCs w:val="26"/>
        </w:rPr>
        <w:t xml:space="preserve">in advance of and </w:t>
      </w:r>
      <w:r w:rsidR="00F2314D" w:rsidRPr="00C74D34">
        <w:rPr>
          <w:color w:val="auto"/>
          <w:szCs w:val="26"/>
        </w:rPr>
        <w:t>specifically related to the outcome</w:t>
      </w:r>
      <w:r w:rsidR="009E4A0B" w:rsidRPr="00C74D34">
        <w:rPr>
          <w:color w:val="auto"/>
          <w:szCs w:val="26"/>
        </w:rPr>
        <w:t xml:space="preserve"> of the instant application </w:t>
      </w:r>
      <w:r w:rsidR="007771D4" w:rsidRPr="00C74D34">
        <w:rPr>
          <w:color w:val="auto"/>
          <w:szCs w:val="26"/>
        </w:rPr>
        <w:t xml:space="preserve">for approval of the siting </w:t>
      </w:r>
      <w:r w:rsidR="00FE4727" w:rsidRPr="00C74D34">
        <w:rPr>
          <w:color w:val="auto"/>
          <w:szCs w:val="26"/>
        </w:rPr>
        <w:t>a</w:t>
      </w:r>
      <w:r w:rsidR="007771D4" w:rsidRPr="00C74D34">
        <w:rPr>
          <w:color w:val="auto"/>
          <w:szCs w:val="26"/>
        </w:rPr>
        <w:t>nd construction of transmission lines</w:t>
      </w:r>
      <w:r w:rsidR="004E6023" w:rsidRPr="00C74D34">
        <w:rPr>
          <w:color w:val="auto"/>
          <w:szCs w:val="26"/>
        </w:rPr>
        <w:t xml:space="preserve">.  </w:t>
      </w:r>
      <w:r w:rsidR="002A7515" w:rsidRPr="00C74D34">
        <w:rPr>
          <w:i/>
          <w:color w:val="auto"/>
        </w:rPr>
        <w:t>See</w:t>
      </w:r>
      <w:r w:rsidR="00102819" w:rsidRPr="00C74D34">
        <w:rPr>
          <w:color w:val="auto"/>
          <w:szCs w:val="26"/>
        </w:rPr>
        <w:t xml:space="preserve"> </w:t>
      </w:r>
      <w:r w:rsidR="00102819" w:rsidRPr="00C74D34">
        <w:rPr>
          <w:i/>
          <w:iCs/>
          <w:color w:val="auto"/>
          <w:szCs w:val="26"/>
        </w:rPr>
        <w:t xml:space="preserve">Application of </w:t>
      </w:r>
      <w:proofErr w:type="spellStart"/>
      <w:r w:rsidR="00102819" w:rsidRPr="00C74D34">
        <w:rPr>
          <w:i/>
          <w:iCs/>
          <w:color w:val="auto"/>
          <w:szCs w:val="26"/>
        </w:rPr>
        <w:t>Transource</w:t>
      </w:r>
      <w:proofErr w:type="spellEnd"/>
      <w:r w:rsidR="00102819" w:rsidRPr="00C74D34">
        <w:rPr>
          <w:i/>
          <w:iCs/>
          <w:color w:val="auto"/>
          <w:szCs w:val="26"/>
        </w:rPr>
        <w:t xml:space="preserve"> Pennsylvania LLC</w:t>
      </w:r>
      <w:r w:rsidR="00102819" w:rsidRPr="00C74D34">
        <w:rPr>
          <w:color w:val="auto"/>
          <w:szCs w:val="26"/>
        </w:rPr>
        <w:t>, Docket No. A-2017-2587821</w:t>
      </w:r>
      <w:r w:rsidR="001D5AC2" w:rsidRPr="00C74D34">
        <w:rPr>
          <w:color w:val="auto"/>
          <w:szCs w:val="26"/>
        </w:rPr>
        <w:t xml:space="preserve"> (Opinion</w:t>
      </w:r>
      <w:r w:rsidR="00C74D34">
        <w:rPr>
          <w:color w:val="auto"/>
          <w:szCs w:val="26"/>
        </w:rPr>
        <w:t> </w:t>
      </w:r>
      <w:r w:rsidR="001D5AC2" w:rsidRPr="00C74D34">
        <w:rPr>
          <w:color w:val="auto"/>
          <w:szCs w:val="26"/>
        </w:rPr>
        <w:t xml:space="preserve">and Order entered January 23, 2018) </w:t>
      </w:r>
      <w:r w:rsidR="009F5463" w:rsidRPr="00C74D34">
        <w:rPr>
          <w:color w:val="auto"/>
          <w:szCs w:val="26"/>
        </w:rPr>
        <w:t xml:space="preserve"> </w:t>
      </w:r>
    </w:p>
    <w:p w14:paraId="718DF1F5" w14:textId="77777777" w:rsidR="001C5641" w:rsidRPr="00C74D34" w:rsidRDefault="001C5641" w:rsidP="002D03FA">
      <w:pPr>
        <w:ind w:firstLine="1440"/>
        <w:rPr>
          <w:color w:val="auto"/>
          <w:szCs w:val="26"/>
        </w:rPr>
      </w:pPr>
    </w:p>
    <w:p w14:paraId="39D85FF8" w14:textId="2364C61D" w:rsidR="004E6023" w:rsidRPr="00C74D34" w:rsidRDefault="002A7515" w:rsidP="002D03FA">
      <w:pPr>
        <w:ind w:firstLine="1440"/>
        <w:rPr>
          <w:color w:val="auto"/>
          <w:szCs w:val="26"/>
        </w:rPr>
      </w:pPr>
      <w:r w:rsidRPr="00C74D34">
        <w:rPr>
          <w:color w:val="auto"/>
          <w:szCs w:val="26"/>
        </w:rPr>
        <w:t>T</w:t>
      </w:r>
      <w:r w:rsidR="00840B89" w:rsidRPr="00C74D34">
        <w:rPr>
          <w:color w:val="auto"/>
          <w:szCs w:val="26"/>
        </w:rPr>
        <w:t xml:space="preserve">he </w:t>
      </w:r>
      <w:r w:rsidR="0029089D" w:rsidRPr="00C74D34">
        <w:rPr>
          <w:color w:val="auto"/>
          <w:szCs w:val="26"/>
        </w:rPr>
        <w:t xml:space="preserve">CPC granted to </w:t>
      </w:r>
      <w:proofErr w:type="spellStart"/>
      <w:r w:rsidR="0029089D" w:rsidRPr="00C74D34">
        <w:rPr>
          <w:color w:val="auto"/>
          <w:szCs w:val="26"/>
        </w:rPr>
        <w:t>T</w:t>
      </w:r>
      <w:r w:rsidR="009F5463" w:rsidRPr="00C74D34">
        <w:rPr>
          <w:color w:val="auto"/>
          <w:szCs w:val="26"/>
        </w:rPr>
        <w:t>r</w:t>
      </w:r>
      <w:r w:rsidR="0029089D" w:rsidRPr="00C74D34">
        <w:rPr>
          <w:color w:val="auto"/>
          <w:szCs w:val="26"/>
        </w:rPr>
        <w:t>ansource</w:t>
      </w:r>
      <w:proofErr w:type="spellEnd"/>
      <w:r w:rsidR="0029089D" w:rsidRPr="00C74D34">
        <w:rPr>
          <w:color w:val="auto"/>
          <w:szCs w:val="26"/>
        </w:rPr>
        <w:t xml:space="preserve"> was</w:t>
      </w:r>
      <w:r w:rsidR="003E36D5" w:rsidRPr="00C74D34">
        <w:rPr>
          <w:color w:val="auto"/>
          <w:szCs w:val="26"/>
        </w:rPr>
        <w:t xml:space="preserve"> expressly limited</w:t>
      </w:r>
      <w:r w:rsidR="00BD0A6F" w:rsidRPr="00C74D34">
        <w:rPr>
          <w:color w:val="auto"/>
          <w:szCs w:val="26"/>
        </w:rPr>
        <w:t xml:space="preserve"> to the purposes of </w:t>
      </w:r>
      <w:r w:rsidR="00564D5D" w:rsidRPr="00C74D34">
        <w:rPr>
          <w:color w:val="auto"/>
          <w:szCs w:val="26"/>
        </w:rPr>
        <w:t>Project 9A</w:t>
      </w:r>
      <w:r w:rsidR="00057C34" w:rsidRPr="00C74D34">
        <w:rPr>
          <w:color w:val="auto"/>
          <w:szCs w:val="26"/>
        </w:rPr>
        <w:t xml:space="preserve">.  Further, the Commission expressly refrained from </w:t>
      </w:r>
      <w:r w:rsidR="00021D04" w:rsidRPr="00C74D34">
        <w:rPr>
          <w:color w:val="auto"/>
          <w:szCs w:val="26"/>
        </w:rPr>
        <w:t>rendering a “predetermination of need</w:t>
      </w:r>
      <w:r w:rsidR="001D5AC2" w:rsidRPr="00C74D34">
        <w:rPr>
          <w:color w:val="auto"/>
          <w:szCs w:val="26"/>
        </w:rPr>
        <w:t>”</w:t>
      </w:r>
      <w:r w:rsidR="00021D04" w:rsidRPr="00C74D34">
        <w:rPr>
          <w:color w:val="auto"/>
          <w:szCs w:val="26"/>
        </w:rPr>
        <w:t xml:space="preserve"> for the project.</w:t>
      </w:r>
      <w:r w:rsidR="00BD0A6F" w:rsidRPr="00C74D34">
        <w:rPr>
          <w:color w:val="auto"/>
          <w:szCs w:val="26"/>
        </w:rPr>
        <w:t xml:space="preserve"> </w:t>
      </w:r>
      <w:r w:rsidR="0029089D" w:rsidRPr="00C74D34">
        <w:rPr>
          <w:color w:val="auto"/>
          <w:szCs w:val="26"/>
        </w:rPr>
        <w:t xml:space="preserve"> </w:t>
      </w:r>
      <w:r w:rsidR="00D41F32" w:rsidRPr="00C74D34">
        <w:rPr>
          <w:color w:val="auto"/>
          <w:szCs w:val="26"/>
        </w:rPr>
        <w:t xml:space="preserve">Therefore, </w:t>
      </w:r>
      <w:r w:rsidR="00EA28A8" w:rsidRPr="00C74D34">
        <w:rPr>
          <w:color w:val="auto"/>
          <w:szCs w:val="26"/>
        </w:rPr>
        <w:t xml:space="preserve">once </w:t>
      </w:r>
      <w:r w:rsidR="00C91872" w:rsidRPr="00C74D34">
        <w:rPr>
          <w:color w:val="auto"/>
          <w:szCs w:val="26"/>
        </w:rPr>
        <w:t xml:space="preserve">the Commission renders a determination of the “need” for </w:t>
      </w:r>
      <w:r w:rsidR="00C92989" w:rsidRPr="00C74D34">
        <w:rPr>
          <w:color w:val="auto"/>
          <w:szCs w:val="26"/>
        </w:rPr>
        <w:t xml:space="preserve">the proposed </w:t>
      </w:r>
      <w:r w:rsidR="00563273" w:rsidRPr="00C74D34">
        <w:rPr>
          <w:color w:val="auto"/>
          <w:szCs w:val="26"/>
        </w:rPr>
        <w:t xml:space="preserve">Project 9A, comprised of the </w:t>
      </w:r>
      <w:r w:rsidR="00C92989" w:rsidRPr="00C74D34">
        <w:rPr>
          <w:color w:val="auto"/>
        </w:rPr>
        <w:t xml:space="preserve">IEC </w:t>
      </w:r>
      <w:r w:rsidR="00564D5D" w:rsidRPr="00C74D34">
        <w:rPr>
          <w:color w:val="auto"/>
        </w:rPr>
        <w:t xml:space="preserve">East and West </w:t>
      </w:r>
      <w:r w:rsidR="00C91872" w:rsidRPr="00C74D34">
        <w:rPr>
          <w:color w:val="auto"/>
        </w:rPr>
        <w:t>Project</w:t>
      </w:r>
      <w:r w:rsidR="00564D5D" w:rsidRPr="00C74D34">
        <w:rPr>
          <w:color w:val="auto"/>
        </w:rPr>
        <w:t>s</w:t>
      </w:r>
      <w:r w:rsidR="00C92989" w:rsidRPr="00C74D34">
        <w:rPr>
          <w:color w:val="auto"/>
        </w:rPr>
        <w:t>,</w:t>
      </w:r>
      <w:r w:rsidR="00131086" w:rsidRPr="00C74D34">
        <w:rPr>
          <w:color w:val="auto"/>
          <w:szCs w:val="26"/>
        </w:rPr>
        <w:t xml:space="preserve"> it </w:t>
      </w:r>
      <w:r w:rsidR="00D41F32" w:rsidRPr="00C74D34">
        <w:rPr>
          <w:color w:val="auto"/>
          <w:szCs w:val="26"/>
        </w:rPr>
        <w:t xml:space="preserve">is </w:t>
      </w:r>
      <w:r w:rsidR="00C92989" w:rsidRPr="00C74D34">
        <w:rPr>
          <w:color w:val="auto"/>
          <w:szCs w:val="26"/>
        </w:rPr>
        <w:t xml:space="preserve">then </w:t>
      </w:r>
      <w:r w:rsidR="00D41F32" w:rsidRPr="00C74D34">
        <w:rPr>
          <w:color w:val="auto"/>
          <w:szCs w:val="26"/>
        </w:rPr>
        <w:t xml:space="preserve">necessary to </w:t>
      </w:r>
      <w:r w:rsidR="00AB286E" w:rsidRPr="00C74D34">
        <w:rPr>
          <w:color w:val="auto"/>
          <w:szCs w:val="26"/>
        </w:rPr>
        <w:t>determine</w:t>
      </w:r>
      <w:r w:rsidR="00B11D97" w:rsidRPr="00C74D34">
        <w:rPr>
          <w:color w:val="auto"/>
          <w:szCs w:val="26"/>
        </w:rPr>
        <w:t xml:space="preserve"> in this proceeding </w:t>
      </w:r>
      <w:r w:rsidR="00AB286E" w:rsidRPr="00C74D34">
        <w:rPr>
          <w:color w:val="auto"/>
          <w:szCs w:val="26"/>
        </w:rPr>
        <w:t>whether</w:t>
      </w:r>
      <w:r w:rsidR="00B172FA" w:rsidRPr="00C74D34">
        <w:rPr>
          <w:color w:val="auto"/>
          <w:szCs w:val="26"/>
        </w:rPr>
        <w:t>,</w:t>
      </w:r>
      <w:r w:rsidR="00AB286E" w:rsidRPr="00C74D34">
        <w:rPr>
          <w:color w:val="auto"/>
          <w:szCs w:val="26"/>
        </w:rPr>
        <w:t xml:space="preserve"> under Sections 1101, 1102 and 1103 of the Code, the </w:t>
      </w:r>
      <w:r w:rsidR="009F5463" w:rsidRPr="00C74D34">
        <w:rPr>
          <w:color w:val="auto"/>
          <w:szCs w:val="26"/>
        </w:rPr>
        <w:t xml:space="preserve">Commission’s </w:t>
      </w:r>
      <w:r w:rsidR="00287BDE" w:rsidRPr="00C74D34">
        <w:rPr>
          <w:color w:val="auto"/>
          <w:szCs w:val="26"/>
        </w:rPr>
        <w:t xml:space="preserve">provisional grant of a </w:t>
      </w:r>
      <w:r w:rsidR="009F5463" w:rsidRPr="00C74D34">
        <w:rPr>
          <w:color w:val="auto"/>
          <w:szCs w:val="26"/>
        </w:rPr>
        <w:t>CPC</w:t>
      </w:r>
      <w:r w:rsidR="00287BDE" w:rsidRPr="00C74D34">
        <w:rPr>
          <w:color w:val="auto"/>
          <w:szCs w:val="26"/>
        </w:rPr>
        <w:t xml:space="preserve"> </w:t>
      </w:r>
      <w:r w:rsidR="00131086" w:rsidRPr="00C74D34">
        <w:rPr>
          <w:color w:val="auto"/>
          <w:szCs w:val="26"/>
        </w:rPr>
        <w:t xml:space="preserve">to </w:t>
      </w:r>
      <w:proofErr w:type="spellStart"/>
      <w:r w:rsidR="00131086" w:rsidRPr="00C74D34">
        <w:rPr>
          <w:color w:val="auto"/>
          <w:szCs w:val="26"/>
        </w:rPr>
        <w:t>Transource</w:t>
      </w:r>
      <w:proofErr w:type="spellEnd"/>
      <w:r w:rsidR="00131086" w:rsidRPr="00C74D34">
        <w:rPr>
          <w:color w:val="auto"/>
          <w:szCs w:val="26"/>
        </w:rPr>
        <w:t xml:space="preserve"> </w:t>
      </w:r>
      <w:r w:rsidR="00D60A00" w:rsidRPr="00C74D34">
        <w:rPr>
          <w:color w:val="auto"/>
          <w:szCs w:val="26"/>
        </w:rPr>
        <w:t>remains in effect, and if so, whether it shou</w:t>
      </w:r>
      <w:r w:rsidR="009E5551" w:rsidRPr="00C74D34">
        <w:rPr>
          <w:color w:val="auto"/>
          <w:szCs w:val="26"/>
        </w:rPr>
        <w:t>l</w:t>
      </w:r>
      <w:r w:rsidR="00D60A00" w:rsidRPr="00C74D34">
        <w:rPr>
          <w:color w:val="auto"/>
          <w:szCs w:val="26"/>
        </w:rPr>
        <w:t>d</w:t>
      </w:r>
      <w:r w:rsidR="009E5551" w:rsidRPr="00C74D34">
        <w:rPr>
          <w:color w:val="auto"/>
          <w:szCs w:val="26"/>
        </w:rPr>
        <w:t xml:space="preserve"> </w:t>
      </w:r>
      <w:r w:rsidR="0019121B" w:rsidRPr="00C74D34">
        <w:rPr>
          <w:color w:val="auto"/>
          <w:szCs w:val="26"/>
        </w:rPr>
        <w:t xml:space="preserve">continue to do so, or whether a Rule to Show Cause </w:t>
      </w:r>
      <w:r w:rsidR="00E86259" w:rsidRPr="00C74D34">
        <w:rPr>
          <w:color w:val="auto"/>
          <w:szCs w:val="26"/>
        </w:rPr>
        <w:t xml:space="preserve">should </w:t>
      </w:r>
      <w:r w:rsidR="00EA5695" w:rsidRPr="00C74D34">
        <w:rPr>
          <w:color w:val="auto"/>
          <w:szCs w:val="26"/>
        </w:rPr>
        <w:t xml:space="preserve">be </w:t>
      </w:r>
      <w:r w:rsidR="00E86259" w:rsidRPr="00C74D34">
        <w:rPr>
          <w:color w:val="auto"/>
          <w:szCs w:val="26"/>
        </w:rPr>
        <w:t>issue</w:t>
      </w:r>
      <w:r w:rsidR="00EA5695" w:rsidRPr="00C74D34">
        <w:rPr>
          <w:color w:val="auto"/>
          <w:szCs w:val="26"/>
        </w:rPr>
        <w:t>d</w:t>
      </w:r>
      <w:r w:rsidR="00E86259" w:rsidRPr="00C74D34">
        <w:rPr>
          <w:color w:val="auto"/>
          <w:szCs w:val="26"/>
        </w:rPr>
        <w:t xml:space="preserve"> on </w:t>
      </w:r>
      <w:r w:rsidR="0019121B" w:rsidRPr="00C74D34">
        <w:rPr>
          <w:color w:val="auto"/>
          <w:szCs w:val="26"/>
        </w:rPr>
        <w:t xml:space="preserve">why the </w:t>
      </w:r>
      <w:r w:rsidR="00E86259" w:rsidRPr="00C74D34">
        <w:rPr>
          <w:color w:val="auto"/>
          <w:szCs w:val="26"/>
        </w:rPr>
        <w:t xml:space="preserve">CPC should not be revoked. </w:t>
      </w:r>
      <w:r w:rsidR="00D60A00" w:rsidRPr="00C74D34">
        <w:rPr>
          <w:color w:val="auto"/>
          <w:szCs w:val="26"/>
        </w:rPr>
        <w:t xml:space="preserve"> </w:t>
      </w:r>
    </w:p>
    <w:p w14:paraId="3CE682AA" w14:textId="77777777" w:rsidR="004E6023" w:rsidRPr="00C74D34" w:rsidRDefault="004E6023" w:rsidP="002D03FA">
      <w:pPr>
        <w:rPr>
          <w:color w:val="auto"/>
          <w:szCs w:val="26"/>
          <w:highlight w:val="yellow"/>
        </w:rPr>
      </w:pPr>
    </w:p>
    <w:p w14:paraId="722F77DD" w14:textId="37E96C92" w:rsidR="004E6023" w:rsidRPr="00C74D34" w:rsidRDefault="004E6023" w:rsidP="002D03FA">
      <w:pPr>
        <w:rPr>
          <w:color w:val="auto"/>
          <w:szCs w:val="26"/>
        </w:rPr>
      </w:pPr>
      <w:r w:rsidRPr="00C74D34">
        <w:rPr>
          <w:color w:val="auto"/>
          <w:szCs w:val="26"/>
        </w:rPr>
        <w:tab/>
      </w:r>
      <w:r w:rsidRPr="00C74D34">
        <w:rPr>
          <w:color w:val="auto"/>
          <w:szCs w:val="26"/>
        </w:rPr>
        <w:tab/>
      </w:r>
      <w:r w:rsidR="0034508C" w:rsidRPr="00C74D34">
        <w:rPr>
          <w:color w:val="auto"/>
          <w:szCs w:val="26"/>
        </w:rPr>
        <w:t xml:space="preserve">With respect to the </w:t>
      </w:r>
      <w:proofErr w:type="spellStart"/>
      <w:r w:rsidR="0034508C" w:rsidRPr="00C74D34">
        <w:rPr>
          <w:color w:val="auto"/>
          <w:szCs w:val="26"/>
        </w:rPr>
        <w:t>Transource’s</w:t>
      </w:r>
      <w:proofErr w:type="spellEnd"/>
      <w:r w:rsidR="0034508C" w:rsidRPr="00C74D34">
        <w:rPr>
          <w:color w:val="auto"/>
          <w:szCs w:val="26"/>
        </w:rPr>
        <w:t xml:space="preserve"> Application</w:t>
      </w:r>
      <w:r w:rsidR="00713711" w:rsidRPr="00C74D34">
        <w:rPr>
          <w:color w:val="auto"/>
          <w:szCs w:val="26"/>
        </w:rPr>
        <w:t xml:space="preserve"> seeking approval for siting and construction of the transmission lines</w:t>
      </w:r>
      <w:r w:rsidR="0034508C" w:rsidRPr="00C74D34">
        <w:rPr>
          <w:color w:val="auto"/>
          <w:szCs w:val="26"/>
        </w:rPr>
        <w:t>, i</w:t>
      </w:r>
      <w:r w:rsidR="00FA18DB" w:rsidRPr="00C74D34">
        <w:rPr>
          <w:color w:val="auto"/>
          <w:szCs w:val="26"/>
        </w:rPr>
        <w:t xml:space="preserve">n determining </w:t>
      </w:r>
      <w:r w:rsidRPr="00C74D34">
        <w:rPr>
          <w:color w:val="auto"/>
          <w:szCs w:val="26"/>
        </w:rPr>
        <w:t xml:space="preserve">whether a proposed transmission project satisfies the requirements of the Code, </w:t>
      </w:r>
      <w:r w:rsidR="00165E5A" w:rsidRPr="00C74D34">
        <w:rPr>
          <w:color w:val="auto"/>
          <w:szCs w:val="26"/>
        </w:rPr>
        <w:t xml:space="preserve">our analysis </w:t>
      </w:r>
      <w:r w:rsidRPr="00C74D34">
        <w:rPr>
          <w:color w:val="auto"/>
          <w:szCs w:val="26"/>
        </w:rPr>
        <w:t>begin</w:t>
      </w:r>
      <w:r w:rsidR="00165E5A" w:rsidRPr="00C74D34">
        <w:rPr>
          <w:color w:val="auto"/>
          <w:szCs w:val="26"/>
        </w:rPr>
        <w:t xml:space="preserve">s </w:t>
      </w:r>
      <w:r w:rsidRPr="00C74D34">
        <w:rPr>
          <w:color w:val="auto"/>
          <w:szCs w:val="26"/>
        </w:rPr>
        <w:t xml:space="preserve">with the applicable </w:t>
      </w:r>
      <w:r w:rsidR="00165E5A" w:rsidRPr="00C74D34">
        <w:rPr>
          <w:color w:val="auto"/>
          <w:szCs w:val="26"/>
        </w:rPr>
        <w:t xml:space="preserve">portion of the Code, under Section 1501. </w:t>
      </w:r>
    </w:p>
    <w:p w14:paraId="22165DC3" w14:textId="269900B7" w:rsidR="004E6023" w:rsidRDefault="004E6023" w:rsidP="002D03FA">
      <w:pPr>
        <w:spacing w:line="240" w:lineRule="auto"/>
        <w:rPr>
          <w:color w:val="auto"/>
          <w:szCs w:val="26"/>
        </w:rPr>
      </w:pPr>
    </w:p>
    <w:p w14:paraId="56BD31CA" w14:textId="77777777" w:rsidR="00332B87" w:rsidRPr="00C74D34" w:rsidRDefault="00332B87" w:rsidP="002D03FA">
      <w:pPr>
        <w:spacing w:line="240" w:lineRule="auto"/>
        <w:rPr>
          <w:color w:val="auto"/>
          <w:szCs w:val="26"/>
        </w:rPr>
      </w:pPr>
    </w:p>
    <w:p w14:paraId="4F17BAB6" w14:textId="77777777" w:rsidR="004E6023" w:rsidRPr="00C74D34" w:rsidRDefault="004E6023" w:rsidP="002D03FA">
      <w:pPr>
        <w:spacing w:line="240" w:lineRule="auto"/>
        <w:ind w:left="1440" w:right="1440"/>
        <w:contextualSpacing/>
        <w:rPr>
          <w:b/>
          <w:color w:val="auto"/>
          <w:szCs w:val="26"/>
        </w:rPr>
      </w:pPr>
      <w:r w:rsidRPr="00C74D34">
        <w:rPr>
          <w:b/>
          <w:color w:val="auto"/>
          <w:szCs w:val="26"/>
        </w:rPr>
        <w:lastRenderedPageBreak/>
        <w:t>§1501.  Character of service and facilities.</w:t>
      </w:r>
    </w:p>
    <w:p w14:paraId="5C62ACC9" w14:textId="77777777" w:rsidR="004E6023" w:rsidRPr="00C74D34" w:rsidRDefault="004E6023" w:rsidP="002D03FA">
      <w:pPr>
        <w:spacing w:line="240" w:lineRule="auto"/>
        <w:ind w:left="1440" w:right="1440"/>
        <w:contextualSpacing/>
        <w:rPr>
          <w:b/>
          <w:color w:val="auto"/>
          <w:szCs w:val="26"/>
        </w:rPr>
      </w:pPr>
    </w:p>
    <w:p w14:paraId="508B7E99" w14:textId="77777777" w:rsidR="004E6023" w:rsidRPr="00C74D34" w:rsidRDefault="004E6023" w:rsidP="002D03FA">
      <w:pPr>
        <w:spacing w:line="240" w:lineRule="auto"/>
        <w:ind w:left="1440" w:right="1440"/>
        <w:contextualSpacing/>
        <w:rPr>
          <w:color w:val="auto"/>
          <w:szCs w:val="26"/>
        </w:rPr>
      </w:pPr>
      <w:r w:rsidRPr="00C74D34">
        <w:rPr>
          <w:b/>
          <w:color w:val="auto"/>
          <w:szCs w:val="26"/>
        </w:rPr>
        <w:tab/>
      </w:r>
      <w:r w:rsidRPr="00C74D34">
        <w:rPr>
          <w:color w:val="auto"/>
          <w:szCs w:val="26"/>
        </w:rPr>
        <w:t xml:space="preserve">Every public utility shall furnish and maintain adequate, efficient, safe, and reasonable service and facilities, and </w:t>
      </w:r>
      <w:r w:rsidRPr="00C74D34">
        <w:rPr>
          <w:i/>
          <w:iCs/>
          <w:color w:val="auto"/>
          <w:szCs w:val="26"/>
        </w:rPr>
        <w:t>shall make all such repairs, changes, alterations, substitutions, extensions, and improvements in or to such service and facilities as shall be necessary or proper for the accommodation, convenience, and safety of its patrons, employees, and the public</w:t>
      </w:r>
      <w:r w:rsidRPr="00C74D34">
        <w:rPr>
          <w:color w:val="auto"/>
          <w:szCs w:val="26"/>
        </w:rPr>
        <w:t xml:space="preserve">.  Such service also shall be reasonably continuous and without unreasonable interruptions or delay.  Such service and facilities shall be in conformity with the regulations and orders of the commission . . . . </w:t>
      </w:r>
    </w:p>
    <w:p w14:paraId="12849CC9" w14:textId="77777777" w:rsidR="004E6023" w:rsidRPr="00C74D34" w:rsidRDefault="004E6023" w:rsidP="00332B87">
      <w:pPr>
        <w:ind w:left="1440" w:right="1440"/>
        <w:contextualSpacing/>
        <w:rPr>
          <w:color w:val="auto"/>
          <w:szCs w:val="26"/>
        </w:rPr>
      </w:pPr>
    </w:p>
    <w:p w14:paraId="047F7F66" w14:textId="0991F993" w:rsidR="004E6023" w:rsidRPr="00C74D34" w:rsidRDefault="004E6023" w:rsidP="00332B87">
      <w:pPr>
        <w:ind w:right="1440"/>
        <w:contextualSpacing/>
        <w:rPr>
          <w:color w:val="auto"/>
          <w:szCs w:val="26"/>
        </w:rPr>
      </w:pPr>
      <w:r w:rsidRPr="00C74D34">
        <w:rPr>
          <w:color w:val="auto"/>
          <w:szCs w:val="26"/>
        </w:rPr>
        <w:t>66 Pa. C.S. § 1501 (in pertinent part</w:t>
      </w:r>
      <w:r w:rsidR="00165E5A" w:rsidRPr="00C74D34">
        <w:rPr>
          <w:color w:val="auto"/>
          <w:szCs w:val="26"/>
        </w:rPr>
        <w:t>, emphasis added</w:t>
      </w:r>
      <w:r w:rsidRPr="00C74D34">
        <w:rPr>
          <w:color w:val="auto"/>
          <w:szCs w:val="26"/>
        </w:rPr>
        <w:t>).</w:t>
      </w:r>
    </w:p>
    <w:p w14:paraId="2A471E42" w14:textId="77777777" w:rsidR="004E6023" w:rsidRPr="00C74D34" w:rsidRDefault="004E6023" w:rsidP="00332B87">
      <w:pPr>
        <w:ind w:left="1440" w:right="1440"/>
        <w:contextualSpacing/>
        <w:rPr>
          <w:color w:val="auto"/>
          <w:szCs w:val="26"/>
        </w:rPr>
      </w:pPr>
    </w:p>
    <w:p w14:paraId="05609848" w14:textId="35884F26" w:rsidR="004E6023" w:rsidRPr="00C74D34" w:rsidRDefault="009F0F94" w:rsidP="00332B87">
      <w:pPr>
        <w:ind w:firstLine="1440"/>
        <w:rPr>
          <w:color w:val="auto"/>
          <w:szCs w:val="26"/>
        </w:rPr>
      </w:pPr>
      <w:r w:rsidRPr="00C74D34">
        <w:rPr>
          <w:color w:val="auto"/>
          <w:szCs w:val="26"/>
        </w:rPr>
        <w:t xml:space="preserve">As a certificated utility approved to operate in the Commonwealth for </w:t>
      </w:r>
      <w:r w:rsidR="006F12DA" w:rsidRPr="00C74D34">
        <w:rPr>
          <w:color w:val="auto"/>
          <w:szCs w:val="26"/>
        </w:rPr>
        <w:t xml:space="preserve">a specified purpose, Section 1501 </w:t>
      </w:r>
      <w:r w:rsidR="004E6023" w:rsidRPr="00C74D34">
        <w:rPr>
          <w:iCs/>
          <w:color w:val="auto"/>
          <w:szCs w:val="26"/>
        </w:rPr>
        <w:t xml:space="preserve">requires </w:t>
      </w:r>
      <w:proofErr w:type="spellStart"/>
      <w:r w:rsidR="00B81802" w:rsidRPr="00C74D34">
        <w:rPr>
          <w:color w:val="auto"/>
          <w:szCs w:val="26"/>
        </w:rPr>
        <w:t>Transource</w:t>
      </w:r>
      <w:proofErr w:type="spellEnd"/>
      <w:r w:rsidR="00B81802" w:rsidRPr="00C74D34">
        <w:rPr>
          <w:color w:val="auto"/>
          <w:szCs w:val="26"/>
        </w:rPr>
        <w:t xml:space="preserve"> </w:t>
      </w:r>
      <w:r w:rsidR="004E6023" w:rsidRPr="00C74D34">
        <w:rPr>
          <w:color w:val="auto"/>
          <w:szCs w:val="26"/>
        </w:rPr>
        <w:t>to furnish adequate facilities</w:t>
      </w:r>
      <w:r w:rsidR="00ED0D16" w:rsidRPr="00C74D34">
        <w:rPr>
          <w:color w:val="auto"/>
          <w:szCs w:val="26"/>
        </w:rPr>
        <w:t xml:space="preserve">, deemed to be </w:t>
      </w:r>
      <w:r w:rsidR="009B46EC" w:rsidRPr="00C74D34">
        <w:rPr>
          <w:color w:val="auto"/>
          <w:szCs w:val="26"/>
        </w:rPr>
        <w:t>necessary in the circumstances.</w:t>
      </w:r>
      <w:r w:rsidR="004E6023" w:rsidRPr="00C74D34">
        <w:rPr>
          <w:color w:val="auto"/>
          <w:szCs w:val="26"/>
        </w:rPr>
        <w:t xml:space="preserve">  </w:t>
      </w:r>
      <w:r w:rsidR="00C15C00" w:rsidRPr="00C74D34">
        <w:rPr>
          <w:color w:val="auto"/>
          <w:szCs w:val="26"/>
        </w:rPr>
        <w:t xml:space="preserve">As noted by the ALJ, </w:t>
      </w:r>
      <w:proofErr w:type="spellStart"/>
      <w:r w:rsidR="006F12DA" w:rsidRPr="00C74D34">
        <w:rPr>
          <w:color w:val="auto"/>
          <w:szCs w:val="26"/>
        </w:rPr>
        <w:t>Transource</w:t>
      </w:r>
      <w:proofErr w:type="spellEnd"/>
      <w:r w:rsidR="006F12DA" w:rsidRPr="00C74D34">
        <w:rPr>
          <w:color w:val="auto"/>
          <w:szCs w:val="26"/>
        </w:rPr>
        <w:t xml:space="preserve"> </w:t>
      </w:r>
      <w:r w:rsidR="004E6023" w:rsidRPr="00C74D34">
        <w:rPr>
          <w:color w:val="auto"/>
          <w:szCs w:val="26"/>
        </w:rPr>
        <w:t xml:space="preserve">may not </w:t>
      </w:r>
      <w:r w:rsidR="0052493D" w:rsidRPr="00C74D34">
        <w:rPr>
          <w:color w:val="auto"/>
          <w:szCs w:val="26"/>
        </w:rPr>
        <w:t xml:space="preserve">construct the proposed </w:t>
      </w:r>
      <w:r w:rsidR="004E6023" w:rsidRPr="00C74D34">
        <w:rPr>
          <w:color w:val="auto"/>
          <w:szCs w:val="26"/>
        </w:rPr>
        <w:t xml:space="preserve">regulated </w:t>
      </w:r>
      <w:r w:rsidR="0052493D" w:rsidRPr="00C74D34">
        <w:rPr>
          <w:color w:val="auto"/>
          <w:szCs w:val="26"/>
        </w:rPr>
        <w:t xml:space="preserve">facilities </w:t>
      </w:r>
      <w:r w:rsidR="004E6023" w:rsidRPr="00C74D34">
        <w:rPr>
          <w:color w:val="auto"/>
          <w:szCs w:val="26"/>
        </w:rPr>
        <w:t xml:space="preserve">unless it can show that the project is necessary or proper, and in conformity with the regulations issued by the Commission which govern transmission line siting.  Whether or not </w:t>
      </w:r>
      <w:proofErr w:type="spellStart"/>
      <w:r w:rsidR="0052066E" w:rsidRPr="00C74D34">
        <w:rPr>
          <w:color w:val="auto"/>
          <w:szCs w:val="26"/>
        </w:rPr>
        <w:t>Transource</w:t>
      </w:r>
      <w:r w:rsidR="00C26161" w:rsidRPr="00C74D34">
        <w:rPr>
          <w:color w:val="auto"/>
          <w:szCs w:val="26"/>
        </w:rPr>
        <w:t>’s</w:t>
      </w:r>
      <w:proofErr w:type="spellEnd"/>
      <w:r w:rsidR="00C26161" w:rsidRPr="00C74D34">
        <w:rPr>
          <w:color w:val="auto"/>
          <w:szCs w:val="26"/>
        </w:rPr>
        <w:t xml:space="preserve"> Application </w:t>
      </w:r>
      <w:r w:rsidR="005853E2" w:rsidRPr="00C74D34">
        <w:rPr>
          <w:color w:val="auto"/>
          <w:szCs w:val="26"/>
        </w:rPr>
        <w:t xml:space="preserve">is necessary and proper per </w:t>
      </w:r>
      <w:r w:rsidR="0026522B" w:rsidRPr="00C74D34">
        <w:rPr>
          <w:color w:val="auto"/>
          <w:szCs w:val="26"/>
        </w:rPr>
        <w:t xml:space="preserve">Section 1501 </w:t>
      </w:r>
      <w:r w:rsidR="004E6023" w:rsidRPr="00C74D34">
        <w:rPr>
          <w:color w:val="auto"/>
          <w:szCs w:val="26"/>
        </w:rPr>
        <w:t xml:space="preserve">is the </w:t>
      </w:r>
      <w:r w:rsidR="00DE5D50" w:rsidRPr="00C74D34">
        <w:rPr>
          <w:color w:val="auto"/>
          <w:szCs w:val="26"/>
        </w:rPr>
        <w:t xml:space="preserve">matter </w:t>
      </w:r>
      <w:r w:rsidR="00C90D1C" w:rsidRPr="00C74D34">
        <w:rPr>
          <w:color w:val="auto"/>
          <w:szCs w:val="26"/>
        </w:rPr>
        <w:t xml:space="preserve">to </w:t>
      </w:r>
      <w:r w:rsidR="00DE5D50" w:rsidRPr="00C74D34">
        <w:rPr>
          <w:color w:val="auto"/>
          <w:szCs w:val="26"/>
        </w:rPr>
        <w:t xml:space="preserve">be decided. </w:t>
      </w:r>
      <w:r w:rsidR="00B11342" w:rsidRPr="00C74D34">
        <w:rPr>
          <w:color w:val="auto"/>
          <w:szCs w:val="26"/>
        </w:rPr>
        <w:t xml:space="preserve"> </w:t>
      </w:r>
      <w:r w:rsidR="004E6023" w:rsidRPr="00C74D34">
        <w:rPr>
          <w:color w:val="auto"/>
          <w:szCs w:val="26"/>
        </w:rPr>
        <w:t>RD at</w:t>
      </w:r>
      <w:r w:rsidR="004165BF" w:rsidRPr="00C74D34">
        <w:rPr>
          <w:color w:val="auto"/>
          <w:szCs w:val="26"/>
        </w:rPr>
        <w:t xml:space="preserve"> </w:t>
      </w:r>
      <w:r w:rsidR="008C40EF" w:rsidRPr="00C74D34">
        <w:rPr>
          <w:color w:val="auto"/>
          <w:szCs w:val="26"/>
        </w:rPr>
        <w:t>53-54</w:t>
      </w:r>
      <w:r w:rsidR="004E6023" w:rsidRPr="00C74D34">
        <w:rPr>
          <w:color w:val="auto"/>
          <w:szCs w:val="26"/>
        </w:rPr>
        <w:t>.</w:t>
      </w:r>
    </w:p>
    <w:p w14:paraId="65BEAE83" w14:textId="77777777" w:rsidR="004E6023" w:rsidRPr="00C74D34" w:rsidRDefault="004E6023" w:rsidP="002D03FA">
      <w:pPr>
        <w:rPr>
          <w:color w:val="auto"/>
          <w:szCs w:val="26"/>
        </w:rPr>
      </w:pPr>
    </w:p>
    <w:p w14:paraId="5F39C5CF" w14:textId="38F916A0" w:rsidR="004E6023" w:rsidRPr="00C74D34" w:rsidRDefault="004E6023" w:rsidP="002D03FA">
      <w:pPr>
        <w:rPr>
          <w:color w:val="auto"/>
          <w:szCs w:val="26"/>
        </w:rPr>
      </w:pPr>
      <w:r w:rsidRPr="00C74D34">
        <w:rPr>
          <w:color w:val="auto"/>
          <w:szCs w:val="26"/>
        </w:rPr>
        <w:tab/>
      </w:r>
      <w:r w:rsidRPr="00C74D34">
        <w:rPr>
          <w:color w:val="auto"/>
          <w:szCs w:val="26"/>
        </w:rPr>
        <w:tab/>
        <w:t xml:space="preserve">In </w:t>
      </w:r>
      <w:r w:rsidR="00DF7235" w:rsidRPr="00C74D34">
        <w:rPr>
          <w:color w:val="auto"/>
          <w:szCs w:val="26"/>
        </w:rPr>
        <w:t xml:space="preserve">the </w:t>
      </w:r>
      <w:r w:rsidRPr="00C74D34">
        <w:rPr>
          <w:color w:val="auto"/>
          <w:szCs w:val="26"/>
        </w:rPr>
        <w:t>Recommended Decision</w:t>
      </w:r>
      <w:r w:rsidR="00DF7235" w:rsidRPr="00C74D34">
        <w:rPr>
          <w:color w:val="auto"/>
          <w:szCs w:val="26"/>
        </w:rPr>
        <w:t>,</w:t>
      </w:r>
      <w:r w:rsidRPr="00C74D34">
        <w:rPr>
          <w:color w:val="auto"/>
          <w:szCs w:val="26"/>
        </w:rPr>
        <w:t xml:space="preserve"> the ALJ</w:t>
      </w:r>
      <w:r w:rsidR="00DF0EA1" w:rsidRPr="00C74D34">
        <w:rPr>
          <w:color w:val="auto"/>
          <w:szCs w:val="26"/>
        </w:rPr>
        <w:t xml:space="preserve">’s analysis turned on </w:t>
      </w:r>
      <w:r w:rsidRPr="00C74D34">
        <w:rPr>
          <w:color w:val="auto"/>
          <w:szCs w:val="26"/>
        </w:rPr>
        <w:t>appl</w:t>
      </w:r>
      <w:r w:rsidR="006F4DEF" w:rsidRPr="00C74D34">
        <w:rPr>
          <w:color w:val="auto"/>
          <w:szCs w:val="26"/>
        </w:rPr>
        <w:t xml:space="preserve">ication of </w:t>
      </w:r>
      <w:r w:rsidRPr="00C74D34">
        <w:rPr>
          <w:color w:val="auto"/>
          <w:szCs w:val="26"/>
        </w:rPr>
        <w:t xml:space="preserve">the threshold “necessary or proper” standard in Section 1501 and reviewing the application in </w:t>
      </w:r>
      <w:r w:rsidR="00231977" w:rsidRPr="00C74D34">
        <w:rPr>
          <w:color w:val="auto"/>
          <w:szCs w:val="26"/>
        </w:rPr>
        <w:t xml:space="preserve">accordance </w:t>
      </w:r>
      <w:r w:rsidRPr="00C74D34">
        <w:rPr>
          <w:color w:val="auto"/>
          <w:szCs w:val="26"/>
        </w:rPr>
        <w:t>with the Commission’s regulations</w:t>
      </w:r>
      <w:r w:rsidR="00C70309" w:rsidRPr="00C74D34">
        <w:rPr>
          <w:color w:val="auto"/>
          <w:szCs w:val="26"/>
        </w:rPr>
        <w:t xml:space="preserve"> regarding </w:t>
      </w:r>
      <w:r w:rsidR="00024F16" w:rsidRPr="00C74D34">
        <w:rPr>
          <w:color w:val="auto"/>
          <w:szCs w:val="26"/>
        </w:rPr>
        <w:t>a</w:t>
      </w:r>
      <w:r w:rsidR="00CF62B1" w:rsidRPr="00C74D34">
        <w:rPr>
          <w:color w:val="auto"/>
          <w:szCs w:val="26"/>
        </w:rPr>
        <w:t xml:space="preserve"> siting application for transmission lines</w:t>
      </w:r>
      <w:r w:rsidRPr="00C74D34">
        <w:rPr>
          <w:color w:val="auto"/>
          <w:szCs w:val="26"/>
        </w:rPr>
        <w:t xml:space="preserve">:  </w:t>
      </w:r>
    </w:p>
    <w:p w14:paraId="46667775" w14:textId="0DA92AB6" w:rsidR="004E6023" w:rsidRPr="00C74D34" w:rsidRDefault="004E6023" w:rsidP="002D03FA">
      <w:pPr>
        <w:spacing w:line="240" w:lineRule="auto"/>
        <w:rPr>
          <w:color w:val="auto"/>
          <w:szCs w:val="26"/>
        </w:rPr>
      </w:pPr>
    </w:p>
    <w:p w14:paraId="64019480" w14:textId="77777777" w:rsidR="004E6023" w:rsidRPr="00C74D34" w:rsidRDefault="004E6023" w:rsidP="002D03FA">
      <w:pPr>
        <w:ind w:left="1440" w:right="1440"/>
        <w:contextualSpacing/>
        <w:outlineLvl w:val="3"/>
        <w:rPr>
          <w:b/>
          <w:bCs/>
          <w:color w:val="auto"/>
          <w:szCs w:val="26"/>
        </w:rPr>
      </w:pPr>
      <w:bookmarkStart w:id="11" w:name="57.76."/>
      <w:r w:rsidRPr="00C74D34">
        <w:rPr>
          <w:b/>
          <w:bCs/>
          <w:color w:val="auto"/>
          <w:szCs w:val="26"/>
        </w:rPr>
        <w:t>§ 57.76.  Determination and order.</w:t>
      </w:r>
    </w:p>
    <w:p w14:paraId="2BAAD9E7" w14:textId="77777777" w:rsidR="004E6023" w:rsidRPr="00C74D34" w:rsidRDefault="004E6023" w:rsidP="00332B87">
      <w:pPr>
        <w:spacing w:line="240" w:lineRule="auto"/>
        <w:ind w:left="1440" w:right="1440"/>
        <w:contextualSpacing/>
        <w:outlineLvl w:val="3"/>
        <w:rPr>
          <w:b/>
          <w:bCs/>
          <w:color w:val="auto"/>
          <w:szCs w:val="26"/>
        </w:rPr>
      </w:pPr>
    </w:p>
    <w:p w14:paraId="54763FDE" w14:textId="476E0B43" w:rsidR="004E6023" w:rsidRPr="00C74D34" w:rsidRDefault="004E6023" w:rsidP="002D03FA">
      <w:pPr>
        <w:spacing w:line="240" w:lineRule="auto"/>
        <w:ind w:left="1440" w:right="1440"/>
        <w:contextualSpacing/>
        <w:rPr>
          <w:color w:val="auto"/>
          <w:szCs w:val="26"/>
        </w:rPr>
      </w:pPr>
      <w:r w:rsidRPr="00C74D34">
        <w:rPr>
          <w:color w:val="auto"/>
          <w:szCs w:val="26"/>
        </w:rPr>
        <w:t>(a)</w:t>
      </w:r>
      <w:r w:rsidRPr="00C74D34">
        <w:rPr>
          <w:color w:val="auto"/>
          <w:szCs w:val="26"/>
        </w:rPr>
        <w:tab/>
        <w:t xml:space="preserve">The Commission will issue its order, with its opinion, if any, either granting or denying the application, in whole or in part, as filed or upon the terms, conditions or modifications, of the location, construction, operation or maintenance of the line as the Commission may deem </w:t>
      </w:r>
      <w:r w:rsidRPr="00C74D34">
        <w:rPr>
          <w:color w:val="auto"/>
          <w:szCs w:val="26"/>
        </w:rPr>
        <w:lastRenderedPageBreak/>
        <w:t xml:space="preserve">appropriate. </w:t>
      </w:r>
      <w:r w:rsidR="00B11342" w:rsidRPr="00C74D34">
        <w:rPr>
          <w:color w:val="auto"/>
          <w:szCs w:val="26"/>
        </w:rPr>
        <w:t xml:space="preserve"> </w:t>
      </w:r>
      <w:r w:rsidRPr="00C74D34">
        <w:rPr>
          <w:color w:val="auto"/>
          <w:szCs w:val="26"/>
        </w:rPr>
        <w:t xml:space="preserve">The Commission will not grant the application, either as proposed or as modified, unless it finds and determines as to the proposed HV line: </w:t>
      </w:r>
    </w:p>
    <w:p w14:paraId="577D1664" w14:textId="77777777" w:rsidR="004E6023" w:rsidRPr="00C74D34" w:rsidRDefault="004E6023" w:rsidP="002D03FA">
      <w:pPr>
        <w:spacing w:line="240" w:lineRule="auto"/>
        <w:ind w:left="1440" w:right="1440"/>
        <w:contextualSpacing/>
        <w:rPr>
          <w:color w:val="auto"/>
          <w:szCs w:val="26"/>
        </w:rPr>
      </w:pPr>
    </w:p>
    <w:p w14:paraId="74D0E5FF" w14:textId="77777777" w:rsidR="004E6023" w:rsidRPr="00C74D34" w:rsidRDefault="004E6023" w:rsidP="002D03FA">
      <w:pPr>
        <w:spacing w:line="240" w:lineRule="auto"/>
        <w:ind w:left="1440" w:right="1440"/>
        <w:contextualSpacing/>
        <w:rPr>
          <w:b/>
          <w:color w:val="auto"/>
          <w:szCs w:val="26"/>
        </w:rPr>
      </w:pPr>
      <w:r w:rsidRPr="00C74D34">
        <w:rPr>
          <w:b/>
          <w:color w:val="auto"/>
          <w:szCs w:val="26"/>
        </w:rPr>
        <w:tab/>
        <w:t>(1)</w:t>
      </w:r>
      <w:r w:rsidRPr="00C74D34">
        <w:rPr>
          <w:b/>
          <w:color w:val="auto"/>
          <w:szCs w:val="26"/>
        </w:rPr>
        <w:tab/>
        <w:t xml:space="preserve">That there is a need for it. </w:t>
      </w:r>
    </w:p>
    <w:p w14:paraId="0D146884" w14:textId="77777777" w:rsidR="004E6023" w:rsidRPr="00C74D34" w:rsidRDefault="004E6023" w:rsidP="002D03FA">
      <w:pPr>
        <w:spacing w:line="240" w:lineRule="auto"/>
        <w:ind w:left="1440" w:right="1440"/>
        <w:contextualSpacing/>
        <w:rPr>
          <w:b/>
          <w:color w:val="auto"/>
          <w:szCs w:val="26"/>
        </w:rPr>
      </w:pPr>
    </w:p>
    <w:p w14:paraId="62FA539D" w14:textId="77777777" w:rsidR="004E6023" w:rsidRPr="00C74D34" w:rsidRDefault="004E6023" w:rsidP="002D03FA">
      <w:pPr>
        <w:spacing w:line="240" w:lineRule="auto"/>
        <w:ind w:left="1440" w:right="1440"/>
        <w:contextualSpacing/>
        <w:rPr>
          <w:b/>
          <w:color w:val="auto"/>
          <w:szCs w:val="26"/>
        </w:rPr>
      </w:pPr>
      <w:r w:rsidRPr="00C74D34">
        <w:rPr>
          <w:b/>
          <w:color w:val="auto"/>
          <w:szCs w:val="26"/>
        </w:rPr>
        <w:tab/>
        <w:t>(2)</w:t>
      </w:r>
      <w:r w:rsidRPr="00C74D34">
        <w:rPr>
          <w:b/>
          <w:color w:val="auto"/>
          <w:szCs w:val="26"/>
        </w:rPr>
        <w:tab/>
        <w:t xml:space="preserve">That it will not create an unreasonable risk of danger to the health and safety of the public. </w:t>
      </w:r>
    </w:p>
    <w:p w14:paraId="386688B3" w14:textId="77777777" w:rsidR="004E6023" w:rsidRPr="00C74D34" w:rsidRDefault="004E6023" w:rsidP="002D03FA">
      <w:pPr>
        <w:spacing w:line="240" w:lineRule="auto"/>
        <w:ind w:left="1440" w:right="1440"/>
        <w:contextualSpacing/>
        <w:rPr>
          <w:b/>
          <w:color w:val="auto"/>
          <w:szCs w:val="26"/>
        </w:rPr>
      </w:pPr>
    </w:p>
    <w:p w14:paraId="50970CA0" w14:textId="77777777" w:rsidR="004E6023" w:rsidRPr="00C74D34" w:rsidRDefault="004E6023" w:rsidP="002D03FA">
      <w:pPr>
        <w:spacing w:line="240" w:lineRule="auto"/>
        <w:ind w:left="1440" w:right="1440"/>
        <w:contextualSpacing/>
        <w:rPr>
          <w:b/>
          <w:color w:val="auto"/>
          <w:szCs w:val="26"/>
        </w:rPr>
      </w:pPr>
      <w:r w:rsidRPr="00C74D34">
        <w:rPr>
          <w:b/>
          <w:color w:val="auto"/>
          <w:szCs w:val="26"/>
        </w:rPr>
        <w:tab/>
        <w:t>(3)</w:t>
      </w:r>
      <w:r w:rsidRPr="00C74D34">
        <w:rPr>
          <w:b/>
          <w:color w:val="auto"/>
          <w:szCs w:val="26"/>
        </w:rPr>
        <w:tab/>
        <w:t xml:space="preserve">That it is in compliance with applicable statutes and regulations providing for the protection of the natural resources of this Commonwealth. </w:t>
      </w:r>
    </w:p>
    <w:p w14:paraId="4DCC288C" w14:textId="77777777" w:rsidR="004E6023" w:rsidRPr="00C74D34" w:rsidRDefault="004E6023" w:rsidP="002D03FA">
      <w:pPr>
        <w:spacing w:line="240" w:lineRule="auto"/>
        <w:ind w:left="1440" w:right="1440"/>
        <w:contextualSpacing/>
        <w:rPr>
          <w:b/>
          <w:color w:val="auto"/>
          <w:szCs w:val="26"/>
        </w:rPr>
      </w:pPr>
    </w:p>
    <w:p w14:paraId="2C3C5535" w14:textId="77777777" w:rsidR="004E6023" w:rsidRPr="00C74D34" w:rsidRDefault="004E6023" w:rsidP="002D03FA">
      <w:pPr>
        <w:spacing w:line="240" w:lineRule="auto"/>
        <w:ind w:left="1440" w:right="1440"/>
        <w:contextualSpacing/>
        <w:rPr>
          <w:b/>
          <w:color w:val="auto"/>
          <w:szCs w:val="26"/>
        </w:rPr>
      </w:pPr>
      <w:r w:rsidRPr="00C74D34">
        <w:rPr>
          <w:b/>
          <w:color w:val="auto"/>
          <w:szCs w:val="26"/>
        </w:rPr>
        <w:tab/>
        <w:t>(4)</w:t>
      </w:r>
      <w:r w:rsidRPr="00C74D34">
        <w:rPr>
          <w:b/>
          <w:color w:val="auto"/>
          <w:szCs w:val="26"/>
        </w:rPr>
        <w:tab/>
        <w:t xml:space="preserve">That it will have minimum adverse environmental impact, considering the electric power needs of the public, the state of available technology and the available alternatives. </w:t>
      </w:r>
    </w:p>
    <w:p w14:paraId="219D9DA2" w14:textId="77777777" w:rsidR="004E6023" w:rsidRPr="00C74D34" w:rsidRDefault="004E6023" w:rsidP="002D03FA">
      <w:pPr>
        <w:spacing w:line="240" w:lineRule="auto"/>
        <w:ind w:left="1440" w:right="1440"/>
        <w:contextualSpacing/>
        <w:rPr>
          <w:b/>
          <w:color w:val="auto"/>
          <w:szCs w:val="26"/>
        </w:rPr>
      </w:pPr>
    </w:p>
    <w:p w14:paraId="36B51F5A" w14:textId="77777777" w:rsidR="004E6023" w:rsidRPr="00C74D34" w:rsidRDefault="004E6023" w:rsidP="002D03FA">
      <w:pPr>
        <w:spacing w:line="240" w:lineRule="auto"/>
        <w:ind w:left="1440" w:right="1440"/>
        <w:contextualSpacing/>
        <w:rPr>
          <w:color w:val="auto"/>
          <w:szCs w:val="26"/>
        </w:rPr>
      </w:pPr>
      <w:r w:rsidRPr="00C74D34">
        <w:rPr>
          <w:color w:val="auto"/>
          <w:szCs w:val="26"/>
        </w:rPr>
        <w:t>(b)</w:t>
      </w:r>
      <w:r w:rsidRPr="00C74D34">
        <w:rPr>
          <w:color w:val="auto"/>
          <w:szCs w:val="26"/>
        </w:rPr>
        <w:tab/>
        <w:t>A Commission order granting a siting application will be deemed to include a grant of authority, subject to the provisions of law, to locate and construct the proposed HV transmission line within a corridor consisting of the area of 500 feet on each side of the centerline of the proposed HV transmission line unless the applicant requests and the Commission approves a corridor of a different size. A proposed HV transmission line may not be constructed outside the corridor, except upon petition to and approval by the Commission.</w:t>
      </w:r>
    </w:p>
    <w:p w14:paraId="27F3E0F0" w14:textId="77777777" w:rsidR="004E6023" w:rsidRPr="00C74D34" w:rsidRDefault="004E6023" w:rsidP="00332B87">
      <w:pPr>
        <w:ind w:left="1440" w:right="1440"/>
        <w:contextualSpacing/>
        <w:rPr>
          <w:color w:val="auto"/>
          <w:szCs w:val="26"/>
        </w:rPr>
      </w:pPr>
    </w:p>
    <w:bookmarkEnd w:id="11"/>
    <w:p w14:paraId="4B319782" w14:textId="28AA16FC" w:rsidR="00387F1D" w:rsidRPr="00C74D34" w:rsidRDefault="004E6023" w:rsidP="002D03FA">
      <w:pPr>
        <w:spacing w:line="240" w:lineRule="auto"/>
        <w:contextualSpacing/>
        <w:rPr>
          <w:color w:val="auto"/>
          <w:szCs w:val="26"/>
        </w:rPr>
      </w:pPr>
      <w:r w:rsidRPr="00C74D34">
        <w:rPr>
          <w:color w:val="auto"/>
          <w:szCs w:val="26"/>
        </w:rPr>
        <w:t>52 Pa. Code § 57.76 (emphasis added)</w:t>
      </w:r>
      <w:r w:rsidR="00C90D1C" w:rsidRPr="00C74D34">
        <w:rPr>
          <w:color w:val="auto"/>
          <w:szCs w:val="26"/>
        </w:rPr>
        <w:t>;</w:t>
      </w:r>
      <w:r w:rsidR="00955E16" w:rsidRPr="00C74D34">
        <w:rPr>
          <w:color w:val="auto"/>
          <w:szCs w:val="26"/>
        </w:rPr>
        <w:t xml:space="preserve"> R.D. at 54-57;</w:t>
      </w:r>
      <w:r w:rsidRPr="00C74D34">
        <w:rPr>
          <w:color w:val="auto"/>
          <w:szCs w:val="26"/>
        </w:rPr>
        <w:t xml:space="preserve"> </w:t>
      </w:r>
      <w:r w:rsidRPr="00C74D34">
        <w:rPr>
          <w:i/>
          <w:color w:val="auto"/>
          <w:szCs w:val="26"/>
        </w:rPr>
        <w:t xml:space="preserve">see also </w:t>
      </w:r>
      <w:proofErr w:type="spellStart"/>
      <w:r w:rsidRPr="00C74D34">
        <w:rPr>
          <w:i/>
          <w:color w:val="auto"/>
          <w:szCs w:val="26"/>
        </w:rPr>
        <w:t>TrAILCo</w:t>
      </w:r>
      <w:proofErr w:type="spellEnd"/>
      <w:r w:rsidRPr="00C74D34">
        <w:rPr>
          <w:color w:val="auto"/>
          <w:szCs w:val="26"/>
        </w:rPr>
        <w:t xml:space="preserve"> Case</w:t>
      </w:r>
      <w:r w:rsidR="000A42C8">
        <w:rPr>
          <w:color w:val="auto"/>
          <w:szCs w:val="26"/>
        </w:rPr>
        <w:t>.</w:t>
      </w:r>
      <w:r w:rsidRPr="00C74D34">
        <w:rPr>
          <w:color w:val="auto"/>
          <w:szCs w:val="26"/>
        </w:rPr>
        <w:t xml:space="preserve"> </w:t>
      </w:r>
    </w:p>
    <w:p w14:paraId="52091813" w14:textId="742DEC44" w:rsidR="004E6023" w:rsidRPr="00C74D34" w:rsidRDefault="004E6023" w:rsidP="002D03FA">
      <w:pPr>
        <w:contextualSpacing/>
        <w:rPr>
          <w:color w:val="auto"/>
          <w:szCs w:val="26"/>
        </w:rPr>
      </w:pPr>
    </w:p>
    <w:p w14:paraId="4DDF78C7" w14:textId="75F5C3B3" w:rsidR="004E6023" w:rsidRPr="00C74D34" w:rsidRDefault="004E6023" w:rsidP="002D03FA">
      <w:pPr>
        <w:contextualSpacing/>
        <w:rPr>
          <w:color w:val="auto"/>
          <w:szCs w:val="26"/>
        </w:rPr>
      </w:pPr>
      <w:r w:rsidRPr="00C74D34">
        <w:rPr>
          <w:color w:val="auto"/>
          <w:szCs w:val="26"/>
        </w:rPr>
        <w:tab/>
      </w:r>
      <w:r w:rsidRPr="00C74D34">
        <w:rPr>
          <w:color w:val="auto"/>
          <w:szCs w:val="26"/>
        </w:rPr>
        <w:tab/>
        <w:t xml:space="preserve">The four prongs in Section 57.76 provide the structure for the Commission’s </w:t>
      </w:r>
      <w:r w:rsidR="0024645F" w:rsidRPr="00C74D34">
        <w:rPr>
          <w:color w:val="auto"/>
          <w:szCs w:val="26"/>
        </w:rPr>
        <w:t>analysis</w:t>
      </w:r>
      <w:r w:rsidRPr="00C74D34">
        <w:rPr>
          <w:color w:val="auto"/>
          <w:szCs w:val="26"/>
        </w:rPr>
        <w:t>.  In determining whether the Company has satisfied the four prongs, the Commission</w:t>
      </w:r>
      <w:r w:rsidR="0024645F" w:rsidRPr="00C74D34">
        <w:rPr>
          <w:color w:val="auto"/>
          <w:szCs w:val="26"/>
        </w:rPr>
        <w:t xml:space="preserve"> retains discretion to </w:t>
      </w:r>
      <w:r w:rsidRPr="00C74D34">
        <w:rPr>
          <w:color w:val="auto"/>
          <w:szCs w:val="26"/>
        </w:rPr>
        <w:t>consider</w:t>
      </w:r>
      <w:r w:rsidR="0024645F" w:rsidRPr="00C74D34">
        <w:rPr>
          <w:color w:val="auto"/>
          <w:szCs w:val="26"/>
        </w:rPr>
        <w:t xml:space="preserve">, </w:t>
      </w:r>
      <w:r w:rsidR="0024645F" w:rsidRPr="00C74D34">
        <w:rPr>
          <w:i/>
          <w:iCs/>
          <w:color w:val="auto"/>
          <w:szCs w:val="26"/>
        </w:rPr>
        <w:t>inter alia</w:t>
      </w:r>
      <w:r w:rsidR="0024645F" w:rsidRPr="00C74D34">
        <w:rPr>
          <w:color w:val="auto"/>
          <w:szCs w:val="26"/>
        </w:rPr>
        <w:t xml:space="preserve">, </w:t>
      </w:r>
      <w:r w:rsidRPr="00C74D34">
        <w:rPr>
          <w:color w:val="auto"/>
          <w:szCs w:val="26"/>
        </w:rPr>
        <w:t xml:space="preserve">evidence enumerated in </w:t>
      </w:r>
      <w:r w:rsidR="00387F1D" w:rsidRPr="00C74D34">
        <w:rPr>
          <w:color w:val="auto"/>
          <w:szCs w:val="26"/>
        </w:rPr>
        <w:t xml:space="preserve">Section </w:t>
      </w:r>
      <w:r w:rsidR="003D10B7" w:rsidRPr="00C74D34">
        <w:rPr>
          <w:color w:val="auto"/>
          <w:szCs w:val="26"/>
        </w:rPr>
        <w:t xml:space="preserve">57.75 of Commission Regulations: </w:t>
      </w:r>
    </w:p>
    <w:p w14:paraId="0BE94CDA" w14:textId="77777777" w:rsidR="00805A49" w:rsidRPr="00C74D34" w:rsidRDefault="00805A49" w:rsidP="002D03FA">
      <w:pPr>
        <w:contextualSpacing/>
        <w:rPr>
          <w:color w:val="auto"/>
          <w:szCs w:val="26"/>
        </w:rPr>
      </w:pPr>
    </w:p>
    <w:p w14:paraId="11295538" w14:textId="283EC6C5" w:rsidR="004E6023" w:rsidRDefault="004E6023" w:rsidP="000A42C8">
      <w:pPr>
        <w:keepNext/>
        <w:keepLines/>
        <w:spacing w:line="240" w:lineRule="auto"/>
        <w:ind w:left="1440" w:right="1440"/>
        <w:contextualSpacing/>
        <w:jc w:val="both"/>
        <w:outlineLvl w:val="3"/>
        <w:rPr>
          <w:b/>
          <w:bCs/>
          <w:color w:val="auto"/>
          <w:szCs w:val="26"/>
        </w:rPr>
      </w:pPr>
      <w:r w:rsidRPr="00C74D34">
        <w:rPr>
          <w:b/>
          <w:bCs/>
          <w:color w:val="auto"/>
          <w:szCs w:val="26"/>
        </w:rPr>
        <w:lastRenderedPageBreak/>
        <w:t>§ 57.75.  Hearing and notice.</w:t>
      </w:r>
    </w:p>
    <w:p w14:paraId="0B5C3834" w14:textId="77777777" w:rsidR="000A42C8" w:rsidRPr="00C74D34" w:rsidRDefault="000A42C8" w:rsidP="000A42C8">
      <w:pPr>
        <w:keepNext/>
        <w:keepLines/>
        <w:spacing w:line="240" w:lineRule="auto"/>
        <w:ind w:left="1440" w:right="1440"/>
        <w:contextualSpacing/>
        <w:jc w:val="both"/>
        <w:outlineLvl w:val="3"/>
        <w:rPr>
          <w:b/>
          <w:bCs/>
          <w:color w:val="auto"/>
          <w:szCs w:val="26"/>
        </w:rPr>
      </w:pPr>
    </w:p>
    <w:p w14:paraId="79B70089" w14:textId="77777777" w:rsidR="004E6023" w:rsidRPr="00C74D34" w:rsidRDefault="004E6023" w:rsidP="000A42C8">
      <w:pPr>
        <w:keepNext/>
        <w:keepLines/>
        <w:ind w:left="1440" w:right="1440"/>
        <w:contextualSpacing/>
        <w:jc w:val="center"/>
        <w:outlineLvl w:val="3"/>
        <w:rPr>
          <w:b/>
          <w:bCs/>
          <w:color w:val="auto"/>
          <w:szCs w:val="26"/>
        </w:rPr>
      </w:pPr>
      <w:r w:rsidRPr="00C74D34">
        <w:rPr>
          <w:b/>
          <w:bCs/>
          <w:color w:val="auto"/>
          <w:szCs w:val="26"/>
        </w:rPr>
        <w:t>* * *</w:t>
      </w:r>
    </w:p>
    <w:p w14:paraId="7C9C74A3" w14:textId="77777777" w:rsidR="004E6023" w:rsidRPr="00C74D34" w:rsidRDefault="004E6023" w:rsidP="000A42C8">
      <w:pPr>
        <w:keepNext/>
        <w:keepLines/>
        <w:spacing w:line="240" w:lineRule="auto"/>
        <w:ind w:left="1440" w:right="1440"/>
        <w:contextualSpacing/>
        <w:rPr>
          <w:color w:val="auto"/>
          <w:szCs w:val="26"/>
        </w:rPr>
      </w:pPr>
      <w:bookmarkStart w:id="12" w:name="57.75."/>
      <w:r w:rsidRPr="00C74D34">
        <w:rPr>
          <w:color w:val="auto"/>
          <w:szCs w:val="26"/>
        </w:rPr>
        <w:t>(e)</w:t>
      </w:r>
      <w:r w:rsidRPr="00C74D34">
        <w:rPr>
          <w:color w:val="auto"/>
          <w:szCs w:val="26"/>
        </w:rPr>
        <w:tab/>
        <w:t xml:space="preserve">At hearings held under this section, the Commission will accept evidence upon, and in its determination of the application it will consider, </w:t>
      </w:r>
      <w:r w:rsidRPr="00C74D34">
        <w:rPr>
          <w:i/>
          <w:iCs/>
          <w:color w:val="auto"/>
          <w:szCs w:val="26"/>
        </w:rPr>
        <w:t>inter alia</w:t>
      </w:r>
      <w:r w:rsidRPr="00C74D34">
        <w:rPr>
          <w:color w:val="auto"/>
          <w:szCs w:val="26"/>
        </w:rPr>
        <w:t xml:space="preserve">, the following matters: </w:t>
      </w:r>
    </w:p>
    <w:p w14:paraId="19338E93" w14:textId="77777777" w:rsidR="004E6023" w:rsidRPr="00C74D34" w:rsidRDefault="004E6023" w:rsidP="002D03FA">
      <w:pPr>
        <w:spacing w:line="240" w:lineRule="auto"/>
        <w:ind w:left="1440" w:right="1440"/>
        <w:contextualSpacing/>
        <w:rPr>
          <w:color w:val="auto"/>
          <w:szCs w:val="26"/>
        </w:rPr>
      </w:pPr>
    </w:p>
    <w:p w14:paraId="69F14C88" w14:textId="77777777" w:rsidR="004E6023" w:rsidRPr="00C74D34" w:rsidRDefault="004E6023" w:rsidP="002D03FA">
      <w:pPr>
        <w:spacing w:line="240" w:lineRule="auto"/>
        <w:ind w:left="1440" w:right="1440"/>
        <w:contextualSpacing/>
        <w:rPr>
          <w:color w:val="auto"/>
          <w:szCs w:val="26"/>
        </w:rPr>
      </w:pPr>
      <w:r w:rsidRPr="00C74D34">
        <w:rPr>
          <w:color w:val="auto"/>
          <w:szCs w:val="26"/>
        </w:rPr>
        <w:tab/>
        <w:t>(1)</w:t>
      </w:r>
      <w:r w:rsidRPr="00C74D34">
        <w:rPr>
          <w:color w:val="auto"/>
          <w:szCs w:val="26"/>
        </w:rPr>
        <w:tab/>
        <w:t xml:space="preserve">The present and future necessity of the proposed HV line in furnishing service to the public. </w:t>
      </w:r>
    </w:p>
    <w:p w14:paraId="6911E0E9" w14:textId="77777777" w:rsidR="004E6023" w:rsidRPr="00C74D34" w:rsidRDefault="004E6023" w:rsidP="002D03FA">
      <w:pPr>
        <w:spacing w:line="240" w:lineRule="auto"/>
        <w:ind w:left="1440" w:right="1440"/>
        <w:contextualSpacing/>
        <w:rPr>
          <w:color w:val="auto"/>
          <w:szCs w:val="26"/>
        </w:rPr>
      </w:pPr>
    </w:p>
    <w:p w14:paraId="6DEE2CDF" w14:textId="77777777" w:rsidR="004E6023" w:rsidRPr="00C74D34" w:rsidRDefault="004E6023" w:rsidP="002D03FA">
      <w:pPr>
        <w:spacing w:line="240" w:lineRule="auto"/>
        <w:ind w:left="1440" w:right="1440"/>
        <w:contextualSpacing/>
        <w:rPr>
          <w:color w:val="auto"/>
          <w:szCs w:val="26"/>
        </w:rPr>
      </w:pPr>
      <w:r w:rsidRPr="00C74D34">
        <w:rPr>
          <w:color w:val="auto"/>
          <w:szCs w:val="26"/>
        </w:rPr>
        <w:tab/>
        <w:t>(2)</w:t>
      </w:r>
      <w:r w:rsidRPr="00C74D34">
        <w:rPr>
          <w:color w:val="auto"/>
          <w:szCs w:val="26"/>
        </w:rPr>
        <w:tab/>
        <w:t xml:space="preserve">The safety of the proposed HV line. </w:t>
      </w:r>
    </w:p>
    <w:p w14:paraId="653C6C3B" w14:textId="77777777" w:rsidR="004E6023" w:rsidRPr="00C74D34" w:rsidRDefault="004E6023" w:rsidP="002D03FA">
      <w:pPr>
        <w:spacing w:line="240" w:lineRule="auto"/>
        <w:ind w:left="1440" w:right="1440"/>
        <w:contextualSpacing/>
        <w:rPr>
          <w:color w:val="auto"/>
          <w:szCs w:val="26"/>
        </w:rPr>
      </w:pPr>
    </w:p>
    <w:p w14:paraId="5A111223" w14:textId="77777777" w:rsidR="004E6023" w:rsidRPr="00C74D34" w:rsidRDefault="004E6023" w:rsidP="002D03FA">
      <w:pPr>
        <w:spacing w:line="240" w:lineRule="auto"/>
        <w:ind w:left="1440" w:right="1440"/>
        <w:contextualSpacing/>
        <w:rPr>
          <w:color w:val="auto"/>
          <w:szCs w:val="26"/>
        </w:rPr>
      </w:pPr>
      <w:r w:rsidRPr="00C74D34">
        <w:rPr>
          <w:color w:val="auto"/>
          <w:szCs w:val="26"/>
        </w:rPr>
        <w:tab/>
        <w:t>(3)</w:t>
      </w:r>
      <w:r w:rsidRPr="00C74D34">
        <w:rPr>
          <w:color w:val="auto"/>
          <w:szCs w:val="26"/>
        </w:rPr>
        <w:tab/>
        <w:t xml:space="preserve">The impact and the efforts which have been and will be made to minimize the impact, if any, of the proposed HV line upon the following: </w:t>
      </w:r>
    </w:p>
    <w:p w14:paraId="5BF1A879" w14:textId="77777777" w:rsidR="004E6023" w:rsidRPr="00C74D34" w:rsidRDefault="004E6023" w:rsidP="002D03FA">
      <w:pPr>
        <w:spacing w:line="240" w:lineRule="auto"/>
        <w:ind w:left="1440" w:right="1440"/>
        <w:contextualSpacing/>
        <w:rPr>
          <w:color w:val="auto"/>
          <w:szCs w:val="26"/>
        </w:rPr>
      </w:pPr>
    </w:p>
    <w:p w14:paraId="60D9090A" w14:textId="77777777" w:rsidR="004E6023" w:rsidRPr="00C74D34" w:rsidRDefault="004E6023" w:rsidP="002D03FA">
      <w:pPr>
        <w:spacing w:line="240" w:lineRule="auto"/>
        <w:ind w:left="2880" w:right="1440"/>
        <w:contextualSpacing/>
        <w:rPr>
          <w:color w:val="auto"/>
          <w:szCs w:val="26"/>
        </w:rPr>
      </w:pPr>
      <w:r w:rsidRPr="00C74D34">
        <w:rPr>
          <w:color w:val="auto"/>
          <w:szCs w:val="26"/>
        </w:rPr>
        <w:t>(</w:t>
      </w:r>
      <w:proofErr w:type="spellStart"/>
      <w:r w:rsidRPr="00C74D34">
        <w:rPr>
          <w:color w:val="auto"/>
          <w:szCs w:val="26"/>
        </w:rPr>
        <w:t>i</w:t>
      </w:r>
      <w:proofErr w:type="spellEnd"/>
      <w:r w:rsidRPr="00C74D34">
        <w:rPr>
          <w:color w:val="auto"/>
          <w:szCs w:val="26"/>
        </w:rPr>
        <w:t>)</w:t>
      </w:r>
      <w:r w:rsidRPr="00C74D34">
        <w:rPr>
          <w:color w:val="auto"/>
          <w:szCs w:val="26"/>
        </w:rPr>
        <w:tab/>
        <w:t>Land use.</w:t>
      </w:r>
    </w:p>
    <w:p w14:paraId="013CB1BC" w14:textId="77777777" w:rsidR="004E6023" w:rsidRPr="00C74D34" w:rsidRDefault="004E6023" w:rsidP="002D03FA">
      <w:pPr>
        <w:spacing w:line="240" w:lineRule="auto"/>
        <w:ind w:left="2880" w:right="1440"/>
        <w:contextualSpacing/>
        <w:rPr>
          <w:color w:val="auto"/>
          <w:szCs w:val="26"/>
        </w:rPr>
      </w:pPr>
      <w:r w:rsidRPr="00C74D34">
        <w:rPr>
          <w:color w:val="auto"/>
          <w:szCs w:val="26"/>
        </w:rPr>
        <w:t>(ii)</w:t>
      </w:r>
      <w:r w:rsidRPr="00C74D34">
        <w:rPr>
          <w:color w:val="auto"/>
          <w:szCs w:val="26"/>
        </w:rPr>
        <w:tab/>
        <w:t>Soil and sedimentation.</w:t>
      </w:r>
    </w:p>
    <w:p w14:paraId="107B1865" w14:textId="77777777" w:rsidR="004E6023" w:rsidRPr="00C74D34" w:rsidRDefault="004E6023" w:rsidP="002D03FA">
      <w:pPr>
        <w:spacing w:line="240" w:lineRule="auto"/>
        <w:ind w:left="2880" w:right="1440"/>
        <w:contextualSpacing/>
        <w:rPr>
          <w:color w:val="auto"/>
          <w:szCs w:val="26"/>
        </w:rPr>
      </w:pPr>
      <w:r w:rsidRPr="00C74D34">
        <w:rPr>
          <w:color w:val="auto"/>
          <w:szCs w:val="26"/>
        </w:rPr>
        <w:t>(iii)</w:t>
      </w:r>
      <w:r w:rsidRPr="00C74D34">
        <w:rPr>
          <w:color w:val="auto"/>
          <w:szCs w:val="26"/>
        </w:rPr>
        <w:tab/>
        <w:t>Plant and wildlife habitats.</w:t>
      </w:r>
    </w:p>
    <w:p w14:paraId="5D639CC7" w14:textId="77777777" w:rsidR="004E6023" w:rsidRPr="00C74D34" w:rsidRDefault="004E6023" w:rsidP="002D03FA">
      <w:pPr>
        <w:spacing w:line="240" w:lineRule="auto"/>
        <w:ind w:left="2880" w:right="1440"/>
        <w:contextualSpacing/>
        <w:rPr>
          <w:color w:val="auto"/>
          <w:szCs w:val="26"/>
        </w:rPr>
      </w:pPr>
      <w:r w:rsidRPr="00C74D34">
        <w:rPr>
          <w:color w:val="auto"/>
          <w:szCs w:val="26"/>
        </w:rPr>
        <w:t>(iv)</w:t>
      </w:r>
      <w:r w:rsidRPr="00C74D34">
        <w:rPr>
          <w:color w:val="auto"/>
          <w:szCs w:val="26"/>
        </w:rPr>
        <w:tab/>
        <w:t>Terrain.</w:t>
      </w:r>
    </w:p>
    <w:p w14:paraId="51826B93" w14:textId="77777777" w:rsidR="004E6023" w:rsidRPr="00C74D34" w:rsidRDefault="004E6023" w:rsidP="002D03FA">
      <w:pPr>
        <w:spacing w:line="240" w:lineRule="auto"/>
        <w:ind w:left="2880" w:right="1440"/>
        <w:contextualSpacing/>
        <w:rPr>
          <w:color w:val="auto"/>
          <w:szCs w:val="26"/>
        </w:rPr>
      </w:pPr>
      <w:r w:rsidRPr="00C74D34">
        <w:rPr>
          <w:color w:val="auto"/>
          <w:szCs w:val="26"/>
        </w:rPr>
        <w:t>(v)</w:t>
      </w:r>
      <w:r w:rsidRPr="00C74D34">
        <w:rPr>
          <w:color w:val="auto"/>
          <w:szCs w:val="26"/>
        </w:rPr>
        <w:tab/>
        <w:t>Hydrology.</w:t>
      </w:r>
    </w:p>
    <w:p w14:paraId="1365D081" w14:textId="77777777" w:rsidR="004E6023" w:rsidRPr="00C74D34" w:rsidRDefault="004E6023" w:rsidP="002D03FA">
      <w:pPr>
        <w:spacing w:line="240" w:lineRule="auto"/>
        <w:ind w:left="2880" w:right="1440"/>
        <w:contextualSpacing/>
        <w:rPr>
          <w:color w:val="auto"/>
          <w:szCs w:val="26"/>
        </w:rPr>
      </w:pPr>
      <w:r w:rsidRPr="00C74D34">
        <w:rPr>
          <w:color w:val="auto"/>
          <w:szCs w:val="26"/>
        </w:rPr>
        <w:t>(vi)</w:t>
      </w:r>
      <w:r w:rsidRPr="00C74D34">
        <w:rPr>
          <w:color w:val="auto"/>
          <w:szCs w:val="26"/>
        </w:rPr>
        <w:tab/>
        <w:t xml:space="preserve">Landscape. </w:t>
      </w:r>
    </w:p>
    <w:p w14:paraId="43FCA022" w14:textId="77777777" w:rsidR="004E6023" w:rsidRPr="00C74D34" w:rsidRDefault="004E6023" w:rsidP="002D03FA">
      <w:pPr>
        <w:spacing w:line="240" w:lineRule="auto"/>
        <w:ind w:left="2880" w:right="1440"/>
        <w:contextualSpacing/>
        <w:rPr>
          <w:color w:val="auto"/>
          <w:szCs w:val="26"/>
        </w:rPr>
      </w:pPr>
      <w:r w:rsidRPr="00C74D34">
        <w:rPr>
          <w:color w:val="auto"/>
          <w:szCs w:val="26"/>
        </w:rPr>
        <w:t>(vii)</w:t>
      </w:r>
      <w:r w:rsidRPr="00C74D34">
        <w:rPr>
          <w:color w:val="auto"/>
          <w:szCs w:val="26"/>
        </w:rPr>
        <w:tab/>
        <w:t>Archeologic areas.</w:t>
      </w:r>
    </w:p>
    <w:p w14:paraId="4D9805D4" w14:textId="77777777" w:rsidR="004E6023" w:rsidRPr="00C74D34" w:rsidRDefault="004E6023" w:rsidP="002D03FA">
      <w:pPr>
        <w:spacing w:line="240" w:lineRule="auto"/>
        <w:ind w:left="2880" w:right="1440"/>
        <w:contextualSpacing/>
        <w:rPr>
          <w:color w:val="auto"/>
          <w:szCs w:val="26"/>
        </w:rPr>
      </w:pPr>
      <w:r w:rsidRPr="00C74D34">
        <w:rPr>
          <w:color w:val="auto"/>
          <w:szCs w:val="26"/>
        </w:rPr>
        <w:t>(viii)</w:t>
      </w:r>
      <w:r w:rsidRPr="00C74D34">
        <w:rPr>
          <w:color w:val="auto"/>
          <w:szCs w:val="26"/>
        </w:rPr>
        <w:tab/>
        <w:t>Geologic areas.</w:t>
      </w:r>
    </w:p>
    <w:p w14:paraId="5C2468CF" w14:textId="77777777" w:rsidR="004E6023" w:rsidRPr="00C74D34" w:rsidRDefault="004E6023" w:rsidP="002D03FA">
      <w:pPr>
        <w:spacing w:line="240" w:lineRule="auto"/>
        <w:ind w:left="2880" w:right="1440"/>
        <w:contextualSpacing/>
        <w:rPr>
          <w:color w:val="auto"/>
          <w:szCs w:val="26"/>
        </w:rPr>
      </w:pPr>
      <w:r w:rsidRPr="00C74D34">
        <w:rPr>
          <w:color w:val="auto"/>
          <w:szCs w:val="26"/>
        </w:rPr>
        <w:t>(ix)</w:t>
      </w:r>
      <w:r w:rsidRPr="00C74D34">
        <w:rPr>
          <w:color w:val="auto"/>
          <w:szCs w:val="26"/>
        </w:rPr>
        <w:tab/>
        <w:t>Historic areas.</w:t>
      </w:r>
    </w:p>
    <w:p w14:paraId="7BD5C262" w14:textId="77777777" w:rsidR="004E6023" w:rsidRPr="00C74D34" w:rsidRDefault="004E6023" w:rsidP="002D03FA">
      <w:pPr>
        <w:spacing w:line="240" w:lineRule="auto"/>
        <w:ind w:left="2880" w:right="1440"/>
        <w:contextualSpacing/>
        <w:rPr>
          <w:color w:val="auto"/>
          <w:szCs w:val="26"/>
        </w:rPr>
      </w:pPr>
      <w:r w:rsidRPr="00C74D34">
        <w:rPr>
          <w:color w:val="auto"/>
          <w:szCs w:val="26"/>
        </w:rPr>
        <w:t>(x)</w:t>
      </w:r>
      <w:r w:rsidRPr="00C74D34">
        <w:rPr>
          <w:color w:val="auto"/>
          <w:szCs w:val="26"/>
        </w:rPr>
        <w:tab/>
        <w:t>Scenic areas.</w:t>
      </w:r>
    </w:p>
    <w:p w14:paraId="528F2D1A" w14:textId="77777777" w:rsidR="004E6023" w:rsidRPr="00C74D34" w:rsidRDefault="004E6023" w:rsidP="002D03FA">
      <w:pPr>
        <w:spacing w:line="240" w:lineRule="auto"/>
        <w:ind w:left="2880" w:right="1440"/>
        <w:contextualSpacing/>
        <w:rPr>
          <w:color w:val="auto"/>
          <w:szCs w:val="26"/>
        </w:rPr>
      </w:pPr>
      <w:r w:rsidRPr="00C74D34">
        <w:rPr>
          <w:color w:val="auto"/>
          <w:szCs w:val="26"/>
        </w:rPr>
        <w:t>(xi)</w:t>
      </w:r>
      <w:r w:rsidRPr="00C74D34">
        <w:rPr>
          <w:color w:val="auto"/>
          <w:szCs w:val="26"/>
        </w:rPr>
        <w:tab/>
        <w:t>Wilderness areas.</w:t>
      </w:r>
    </w:p>
    <w:p w14:paraId="59C20FE4" w14:textId="77777777" w:rsidR="004E6023" w:rsidRPr="00C74D34" w:rsidRDefault="004E6023" w:rsidP="002D03FA">
      <w:pPr>
        <w:spacing w:line="240" w:lineRule="auto"/>
        <w:ind w:left="2880" w:right="1440"/>
        <w:contextualSpacing/>
        <w:rPr>
          <w:color w:val="auto"/>
          <w:szCs w:val="26"/>
        </w:rPr>
      </w:pPr>
      <w:r w:rsidRPr="00C74D34">
        <w:rPr>
          <w:color w:val="auto"/>
          <w:szCs w:val="26"/>
        </w:rPr>
        <w:t>(xii)</w:t>
      </w:r>
      <w:r w:rsidRPr="00C74D34">
        <w:rPr>
          <w:color w:val="auto"/>
          <w:szCs w:val="26"/>
        </w:rPr>
        <w:tab/>
        <w:t>Scenic rivers.</w:t>
      </w:r>
    </w:p>
    <w:p w14:paraId="04E888AE" w14:textId="77777777" w:rsidR="004E6023" w:rsidRPr="00C74D34" w:rsidRDefault="004E6023" w:rsidP="002D03FA">
      <w:pPr>
        <w:spacing w:line="240" w:lineRule="auto"/>
        <w:ind w:left="1440" w:right="1440"/>
        <w:contextualSpacing/>
        <w:rPr>
          <w:color w:val="auto"/>
          <w:szCs w:val="26"/>
        </w:rPr>
      </w:pPr>
    </w:p>
    <w:p w14:paraId="67D02F6F" w14:textId="77777777" w:rsidR="004E6023" w:rsidRPr="00C74D34" w:rsidRDefault="004E6023" w:rsidP="002D03FA">
      <w:pPr>
        <w:spacing w:line="240" w:lineRule="auto"/>
        <w:ind w:left="1440" w:right="1440"/>
        <w:contextualSpacing/>
        <w:rPr>
          <w:color w:val="auto"/>
          <w:szCs w:val="26"/>
        </w:rPr>
      </w:pPr>
      <w:r w:rsidRPr="00C74D34">
        <w:rPr>
          <w:color w:val="auto"/>
          <w:szCs w:val="26"/>
        </w:rPr>
        <w:tab/>
        <w:t>(4)</w:t>
      </w:r>
      <w:r w:rsidRPr="00C74D34">
        <w:rPr>
          <w:color w:val="auto"/>
          <w:szCs w:val="26"/>
        </w:rPr>
        <w:tab/>
        <w:t xml:space="preserve">The availability of reasonable alternative routes. </w:t>
      </w:r>
    </w:p>
    <w:p w14:paraId="38B8A651" w14:textId="77777777" w:rsidR="004E6023" w:rsidRPr="00C74D34" w:rsidRDefault="004E6023" w:rsidP="000A42C8">
      <w:pPr>
        <w:ind w:left="1440" w:right="1440"/>
        <w:contextualSpacing/>
        <w:rPr>
          <w:color w:val="auto"/>
          <w:szCs w:val="26"/>
        </w:rPr>
      </w:pPr>
    </w:p>
    <w:p w14:paraId="1ED147F8" w14:textId="77777777" w:rsidR="004E6023" w:rsidRPr="00C74D34" w:rsidRDefault="004E6023" w:rsidP="0012490C">
      <w:pPr>
        <w:ind w:right="1440"/>
        <w:contextualSpacing/>
        <w:rPr>
          <w:color w:val="auto"/>
          <w:szCs w:val="26"/>
        </w:rPr>
      </w:pPr>
      <w:r w:rsidRPr="00C74D34">
        <w:rPr>
          <w:color w:val="auto"/>
          <w:szCs w:val="26"/>
        </w:rPr>
        <w:t>52 Pa. Code § 57.75(e).</w:t>
      </w:r>
    </w:p>
    <w:p w14:paraId="5DC2C710" w14:textId="77777777" w:rsidR="004E6023" w:rsidRPr="00C74D34" w:rsidRDefault="004E6023" w:rsidP="0012490C">
      <w:pPr>
        <w:ind w:left="1440" w:right="1440"/>
        <w:contextualSpacing/>
        <w:rPr>
          <w:color w:val="auto"/>
          <w:szCs w:val="26"/>
        </w:rPr>
      </w:pPr>
    </w:p>
    <w:bookmarkEnd w:id="12"/>
    <w:p w14:paraId="145BA614" w14:textId="42A6CE58" w:rsidR="004E6023" w:rsidRPr="00C74D34" w:rsidRDefault="004E6023" w:rsidP="0012490C">
      <w:pPr>
        <w:contextualSpacing/>
        <w:rPr>
          <w:color w:val="auto"/>
          <w:szCs w:val="26"/>
        </w:rPr>
      </w:pPr>
      <w:r w:rsidRPr="00C74D34">
        <w:rPr>
          <w:color w:val="auto"/>
          <w:szCs w:val="26"/>
        </w:rPr>
        <w:tab/>
      </w:r>
      <w:r w:rsidRPr="00C74D34">
        <w:rPr>
          <w:color w:val="auto"/>
          <w:szCs w:val="26"/>
        </w:rPr>
        <w:tab/>
      </w:r>
      <w:r w:rsidR="00B546DA" w:rsidRPr="00C74D34">
        <w:rPr>
          <w:color w:val="auto"/>
          <w:szCs w:val="26"/>
        </w:rPr>
        <w:t xml:space="preserve">The Commission </w:t>
      </w:r>
      <w:r w:rsidR="00DF6912" w:rsidRPr="00C74D34">
        <w:rPr>
          <w:color w:val="auto"/>
          <w:szCs w:val="26"/>
        </w:rPr>
        <w:t>Regulation at Section 57.75</w:t>
      </w:r>
      <w:r w:rsidRPr="00C74D34">
        <w:rPr>
          <w:color w:val="auto"/>
          <w:szCs w:val="26"/>
        </w:rPr>
        <w:t xml:space="preserve"> enumerates</w:t>
      </w:r>
      <w:r w:rsidR="001060CB" w:rsidRPr="00C74D34">
        <w:rPr>
          <w:color w:val="auto"/>
          <w:szCs w:val="26"/>
        </w:rPr>
        <w:t xml:space="preserve"> some</w:t>
      </w:r>
      <w:r w:rsidR="002A62FA" w:rsidRPr="00C74D34">
        <w:rPr>
          <w:color w:val="auto"/>
          <w:szCs w:val="26"/>
        </w:rPr>
        <w:t>,</w:t>
      </w:r>
      <w:r w:rsidR="001060CB" w:rsidRPr="00C74D34">
        <w:rPr>
          <w:color w:val="auto"/>
          <w:szCs w:val="26"/>
        </w:rPr>
        <w:t xml:space="preserve"> but not all</w:t>
      </w:r>
      <w:r w:rsidR="002A62FA" w:rsidRPr="00C74D34">
        <w:rPr>
          <w:color w:val="auto"/>
          <w:szCs w:val="26"/>
        </w:rPr>
        <w:t>,</w:t>
      </w:r>
      <w:r w:rsidR="001060CB" w:rsidRPr="00C74D34">
        <w:rPr>
          <w:color w:val="auto"/>
          <w:szCs w:val="26"/>
        </w:rPr>
        <w:t xml:space="preserve"> </w:t>
      </w:r>
      <w:r w:rsidRPr="00C74D34">
        <w:rPr>
          <w:color w:val="auto"/>
          <w:szCs w:val="26"/>
        </w:rPr>
        <w:t xml:space="preserve">information relevant in evaluating the standard set forth in </w:t>
      </w:r>
      <w:r w:rsidR="00B216CB" w:rsidRPr="00C74D34">
        <w:rPr>
          <w:color w:val="auto"/>
          <w:szCs w:val="26"/>
        </w:rPr>
        <w:t xml:space="preserve">Section </w:t>
      </w:r>
      <w:r w:rsidRPr="00C74D34">
        <w:rPr>
          <w:color w:val="auto"/>
          <w:szCs w:val="26"/>
        </w:rPr>
        <w:t>57.76(a).  In addition, case law has evaluated this standard and holds that, when a project will affect the environment:</w:t>
      </w:r>
    </w:p>
    <w:p w14:paraId="1446D120" w14:textId="77777777" w:rsidR="009D088D" w:rsidRPr="00C74D34" w:rsidRDefault="009D088D" w:rsidP="002D03FA">
      <w:pPr>
        <w:contextualSpacing/>
        <w:rPr>
          <w:color w:val="auto"/>
          <w:szCs w:val="26"/>
        </w:rPr>
      </w:pPr>
    </w:p>
    <w:p w14:paraId="1AFF0B02" w14:textId="3645B24C" w:rsidR="004E6023" w:rsidRPr="00C74D34" w:rsidRDefault="00EC578D" w:rsidP="002D03FA">
      <w:pPr>
        <w:spacing w:line="240" w:lineRule="auto"/>
        <w:ind w:left="1440" w:right="1440"/>
        <w:contextualSpacing/>
        <w:rPr>
          <w:color w:val="auto"/>
          <w:szCs w:val="26"/>
        </w:rPr>
      </w:pPr>
      <w:r>
        <w:rPr>
          <w:color w:val="auto"/>
          <w:szCs w:val="26"/>
        </w:rPr>
        <w:lastRenderedPageBreak/>
        <w:t>T</w:t>
      </w:r>
      <w:r w:rsidR="004E6023" w:rsidRPr="00C74D34">
        <w:rPr>
          <w:color w:val="auto"/>
          <w:szCs w:val="26"/>
        </w:rPr>
        <w:t xml:space="preserve">he Commission is constitutionally obligated to evaluate whether a proposal to locate and construct high voltage transmission lines ensures the protection of the environment whenever the issue of damage to the environment is raised.  </w:t>
      </w:r>
      <w:r w:rsidR="004E6023" w:rsidRPr="00C74D34">
        <w:rPr>
          <w:i/>
          <w:color w:val="auto"/>
          <w:szCs w:val="26"/>
        </w:rPr>
        <w:t>Pa. Const. of 1968, Art. I § 27.</w:t>
      </w:r>
      <w:r w:rsidR="004E6023" w:rsidRPr="00C74D34">
        <w:rPr>
          <w:color w:val="auto"/>
          <w:szCs w:val="26"/>
        </w:rPr>
        <w:t xml:space="preserve">  This requirement is satisfied when the Commission is able to determine that all applicable statutes and regulations relevant to the protection of the environment have been complied with, that a reasonable effort has been made to reduce the impact on the environment to a minimum, and that the environmental harm is clearly outweighed by the benefits to be derived from the facilities to be constructed. </w:t>
      </w:r>
    </w:p>
    <w:p w14:paraId="455618FA" w14:textId="77777777" w:rsidR="004E6023" w:rsidRPr="00C74D34" w:rsidRDefault="004E6023" w:rsidP="00EC578D">
      <w:pPr>
        <w:ind w:left="1440" w:right="1440"/>
        <w:contextualSpacing/>
        <w:rPr>
          <w:color w:val="auto"/>
          <w:szCs w:val="26"/>
        </w:rPr>
      </w:pPr>
    </w:p>
    <w:p w14:paraId="13091314" w14:textId="6CF25D17" w:rsidR="004E6023" w:rsidRPr="00C74D34" w:rsidRDefault="004E6023" w:rsidP="00EC578D">
      <w:pPr>
        <w:ind w:right="1440"/>
        <w:contextualSpacing/>
        <w:rPr>
          <w:color w:val="auto"/>
          <w:szCs w:val="26"/>
        </w:rPr>
      </w:pPr>
      <w:r w:rsidRPr="00C74D34">
        <w:rPr>
          <w:i/>
          <w:color w:val="auto"/>
          <w:szCs w:val="26"/>
        </w:rPr>
        <w:t xml:space="preserve">Payne v. </w:t>
      </w:r>
      <w:proofErr w:type="spellStart"/>
      <w:r w:rsidRPr="00C74D34">
        <w:rPr>
          <w:i/>
          <w:color w:val="auto"/>
          <w:szCs w:val="26"/>
        </w:rPr>
        <w:t>Kassab</w:t>
      </w:r>
      <w:proofErr w:type="spellEnd"/>
      <w:r w:rsidRPr="00C74D34">
        <w:rPr>
          <w:color w:val="auto"/>
          <w:szCs w:val="26"/>
        </w:rPr>
        <w:t xml:space="preserve">, 312 A.2d 86 (Pa. </w:t>
      </w:r>
      <w:proofErr w:type="spellStart"/>
      <w:r w:rsidRPr="00C74D34">
        <w:rPr>
          <w:color w:val="auto"/>
          <w:szCs w:val="26"/>
        </w:rPr>
        <w:t>Cmwlth</w:t>
      </w:r>
      <w:proofErr w:type="spellEnd"/>
      <w:r w:rsidRPr="00C74D34">
        <w:rPr>
          <w:color w:val="auto"/>
          <w:szCs w:val="26"/>
        </w:rPr>
        <w:t xml:space="preserve">. 1973), </w:t>
      </w:r>
      <w:r w:rsidRPr="00C74D34">
        <w:rPr>
          <w:i/>
          <w:color w:val="auto"/>
          <w:szCs w:val="26"/>
        </w:rPr>
        <w:t>aff’d</w:t>
      </w:r>
      <w:r w:rsidRPr="00C74D34">
        <w:rPr>
          <w:color w:val="auto"/>
          <w:szCs w:val="26"/>
        </w:rPr>
        <w:t>, 323 A.2d 407 (Pa.</w:t>
      </w:r>
      <w:r w:rsidR="00EC578D">
        <w:rPr>
          <w:color w:val="auto"/>
          <w:szCs w:val="26"/>
        </w:rPr>
        <w:t> </w:t>
      </w:r>
      <w:proofErr w:type="spellStart"/>
      <w:r w:rsidRPr="00C74D34">
        <w:rPr>
          <w:color w:val="auto"/>
          <w:szCs w:val="26"/>
        </w:rPr>
        <w:t>Cmwlth</w:t>
      </w:r>
      <w:proofErr w:type="spellEnd"/>
      <w:r w:rsidRPr="00C74D34">
        <w:rPr>
          <w:color w:val="auto"/>
          <w:szCs w:val="26"/>
        </w:rPr>
        <w:t xml:space="preserve">. 1974), </w:t>
      </w:r>
      <w:r w:rsidRPr="00C74D34">
        <w:rPr>
          <w:i/>
          <w:color w:val="auto"/>
          <w:szCs w:val="26"/>
        </w:rPr>
        <w:t>and aff’d</w:t>
      </w:r>
      <w:r w:rsidRPr="00C74D34">
        <w:rPr>
          <w:color w:val="auto"/>
          <w:szCs w:val="26"/>
        </w:rPr>
        <w:t>, 468 Pa. 226, 361 A.2d 263 (1976).</w:t>
      </w:r>
    </w:p>
    <w:p w14:paraId="5E2D9B17" w14:textId="77777777" w:rsidR="004E6023" w:rsidRPr="00C74D34" w:rsidRDefault="004E6023" w:rsidP="00EC578D">
      <w:pPr>
        <w:ind w:left="1440" w:right="1440"/>
        <w:contextualSpacing/>
        <w:rPr>
          <w:color w:val="auto"/>
          <w:szCs w:val="26"/>
        </w:rPr>
      </w:pPr>
    </w:p>
    <w:p w14:paraId="16A39D5F" w14:textId="0A861766" w:rsidR="004E6023" w:rsidRPr="00C74D34" w:rsidRDefault="004E6023" w:rsidP="00EC578D">
      <w:pPr>
        <w:contextualSpacing/>
        <w:rPr>
          <w:color w:val="auto"/>
          <w:szCs w:val="26"/>
        </w:rPr>
      </w:pPr>
      <w:r w:rsidRPr="00C74D34">
        <w:rPr>
          <w:color w:val="auto"/>
          <w:szCs w:val="26"/>
        </w:rPr>
        <w:tab/>
      </w:r>
      <w:r w:rsidRPr="00C74D34">
        <w:rPr>
          <w:color w:val="auto"/>
          <w:szCs w:val="26"/>
        </w:rPr>
        <w:tab/>
        <w:t>Th</w:t>
      </w:r>
      <w:r w:rsidR="006D6170" w:rsidRPr="00C74D34">
        <w:rPr>
          <w:color w:val="auto"/>
          <w:szCs w:val="26"/>
        </w:rPr>
        <w:t xml:space="preserve">e present </w:t>
      </w:r>
      <w:r w:rsidRPr="00C74D34">
        <w:rPr>
          <w:color w:val="auto"/>
          <w:szCs w:val="26"/>
        </w:rPr>
        <w:t xml:space="preserve">Opinion and Order reviews the evidence as it relates to the required four-pronged test in 52 Pa. Code § 57.76(a), above.  As the regulation states, the first element to be established is “need,” 52 Pa. Code § 57.76(a)(1), specifically the “present and future necessity of the proposed HV line in furnishing service to the public.” 52 Pa. Code § 57.75(e)(1).  </w:t>
      </w:r>
      <w:r w:rsidR="00F330FC" w:rsidRPr="00C74D34">
        <w:rPr>
          <w:color w:val="auto"/>
          <w:szCs w:val="26"/>
        </w:rPr>
        <w:t>Only a</w:t>
      </w:r>
      <w:r w:rsidRPr="00C74D34">
        <w:rPr>
          <w:color w:val="auto"/>
          <w:szCs w:val="26"/>
        </w:rPr>
        <w:t>fter establishment of need</w:t>
      </w:r>
      <w:r w:rsidR="001D2108" w:rsidRPr="00C74D34">
        <w:rPr>
          <w:color w:val="auto"/>
          <w:szCs w:val="26"/>
        </w:rPr>
        <w:t xml:space="preserve"> for the proposed transmission lines</w:t>
      </w:r>
      <w:r w:rsidRPr="00C74D34">
        <w:rPr>
          <w:color w:val="auto"/>
          <w:szCs w:val="26"/>
        </w:rPr>
        <w:t xml:space="preserve">, </w:t>
      </w:r>
      <w:r w:rsidR="00F330FC" w:rsidRPr="00C74D34">
        <w:rPr>
          <w:color w:val="auto"/>
          <w:szCs w:val="26"/>
        </w:rPr>
        <w:t xml:space="preserve">will </w:t>
      </w:r>
      <w:r w:rsidRPr="00C74D34">
        <w:rPr>
          <w:color w:val="auto"/>
          <w:szCs w:val="26"/>
        </w:rPr>
        <w:t xml:space="preserve">the remaining requirements </w:t>
      </w:r>
      <w:r w:rsidR="00F330FC" w:rsidRPr="00C74D34">
        <w:rPr>
          <w:color w:val="auto"/>
          <w:szCs w:val="26"/>
        </w:rPr>
        <w:t>be reviewed</w:t>
      </w:r>
      <w:r w:rsidR="00E73783" w:rsidRPr="00C74D34">
        <w:rPr>
          <w:color w:val="auto"/>
          <w:szCs w:val="26"/>
        </w:rPr>
        <w:t xml:space="preserve"> under the standards for </w:t>
      </w:r>
      <w:r w:rsidR="009813D1" w:rsidRPr="00C74D34">
        <w:rPr>
          <w:color w:val="auto"/>
          <w:szCs w:val="26"/>
        </w:rPr>
        <w:t>sound land-use planning, in</w:t>
      </w:r>
      <w:r w:rsidR="009C2C5B" w:rsidRPr="00C74D34">
        <w:rPr>
          <w:color w:val="auto"/>
          <w:szCs w:val="26"/>
        </w:rPr>
        <w:t>c</w:t>
      </w:r>
      <w:r w:rsidR="009813D1" w:rsidRPr="00C74D34">
        <w:rPr>
          <w:color w:val="auto"/>
          <w:szCs w:val="26"/>
        </w:rPr>
        <w:t>luding</w:t>
      </w:r>
      <w:r w:rsidR="009C2C5B" w:rsidRPr="00C74D34">
        <w:rPr>
          <w:color w:val="auto"/>
          <w:szCs w:val="26"/>
        </w:rPr>
        <w:t xml:space="preserve"> </w:t>
      </w:r>
      <w:r w:rsidR="00CE0031" w:rsidRPr="00C74D34">
        <w:rPr>
          <w:color w:val="auto"/>
          <w:szCs w:val="26"/>
        </w:rPr>
        <w:t xml:space="preserve">for </w:t>
      </w:r>
      <w:r w:rsidR="00E74593" w:rsidRPr="00C74D34">
        <w:rPr>
          <w:color w:val="auto"/>
          <w:szCs w:val="26"/>
        </w:rPr>
        <w:t xml:space="preserve">the exercise of the power of </w:t>
      </w:r>
      <w:r w:rsidR="009C2C5B" w:rsidRPr="00C74D34">
        <w:rPr>
          <w:color w:val="auto"/>
          <w:szCs w:val="26"/>
        </w:rPr>
        <w:t>eminent domain and</w:t>
      </w:r>
      <w:r w:rsidR="007C1D9E" w:rsidRPr="00C74D34">
        <w:rPr>
          <w:color w:val="auto"/>
          <w:szCs w:val="26"/>
        </w:rPr>
        <w:t xml:space="preserve"> </w:t>
      </w:r>
      <w:r w:rsidR="00CE0031" w:rsidRPr="00C74D34">
        <w:rPr>
          <w:color w:val="auto"/>
          <w:szCs w:val="26"/>
        </w:rPr>
        <w:t xml:space="preserve">for </w:t>
      </w:r>
      <w:r w:rsidR="007C1D9E" w:rsidRPr="00C74D34">
        <w:rPr>
          <w:color w:val="auto"/>
          <w:szCs w:val="26"/>
        </w:rPr>
        <w:t>siting a public utility “building” under section 619 of the Municipalities Planning Code</w:t>
      </w:r>
      <w:r w:rsidRPr="00C74D34">
        <w:rPr>
          <w:color w:val="auto"/>
          <w:szCs w:val="26"/>
        </w:rPr>
        <w:t xml:space="preserve">.  RD at </w:t>
      </w:r>
      <w:r w:rsidR="00930C8B" w:rsidRPr="00C74D34">
        <w:rPr>
          <w:color w:val="auto"/>
          <w:szCs w:val="26"/>
        </w:rPr>
        <w:t>57-65</w:t>
      </w:r>
      <w:r w:rsidRPr="00C74D34">
        <w:rPr>
          <w:color w:val="auto"/>
          <w:szCs w:val="26"/>
        </w:rPr>
        <w:t>.</w:t>
      </w:r>
    </w:p>
    <w:p w14:paraId="5ECF8638" w14:textId="77777777" w:rsidR="004E6023" w:rsidRPr="00C74D34" w:rsidRDefault="004E6023" w:rsidP="00EC578D">
      <w:pPr>
        <w:contextualSpacing/>
        <w:rPr>
          <w:color w:val="auto"/>
          <w:szCs w:val="26"/>
        </w:rPr>
      </w:pPr>
    </w:p>
    <w:p w14:paraId="5A5CEE94" w14:textId="59031CC0" w:rsidR="004E6023" w:rsidRPr="00C74D34" w:rsidRDefault="004E6023" w:rsidP="00EC578D">
      <w:pPr>
        <w:pStyle w:val="TOCH3"/>
        <w:spacing w:line="360" w:lineRule="auto"/>
      </w:pPr>
      <w:bookmarkStart w:id="13" w:name="_Toc241651319"/>
      <w:bookmarkStart w:id="14" w:name="_Toc241652869"/>
      <w:bookmarkStart w:id="15" w:name="_Toc241653620"/>
      <w:bookmarkStart w:id="16" w:name="_Toc241899219"/>
      <w:bookmarkStart w:id="17" w:name="_Toc242178277"/>
      <w:bookmarkStart w:id="18" w:name="_Toc253739915"/>
      <w:bookmarkStart w:id="19" w:name="_Toc70516606"/>
      <w:r w:rsidRPr="00C74D34">
        <w:t>Standards for Approval to Exercise the Power of Eminent Domain</w:t>
      </w:r>
      <w:bookmarkEnd w:id="13"/>
      <w:bookmarkEnd w:id="14"/>
      <w:bookmarkEnd w:id="15"/>
      <w:bookmarkEnd w:id="16"/>
      <w:bookmarkEnd w:id="17"/>
      <w:bookmarkEnd w:id="18"/>
      <w:bookmarkEnd w:id="19"/>
    </w:p>
    <w:p w14:paraId="3A39949C" w14:textId="77777777" w:rsidR="004E6023" w:rsidRPr="00C74D34" w:rsidRDefault="004E6023" w:rsidP="00EC578D">
      <w:pPr>
        <w:rPr>
          <w:color w:val="auto"/>
          <w:szCs w:val="26"/>
        </w:rPr>
      </w:pPr>
    </w:p>
    <w:p w14:paraId="22B2F5E1" w14:textId="13F83142" w:rsidR="004E6023" w:rsidRPr="00C74D34" w:rsidRDefault="004E6023" w:rsidP="00EC578D">
      <w:pPr>
        <w:rPr>
          <w:color w:val="auto"/>
          <w:szCs w:val="26"/>
        </w:rPr>
      </w:pPr>
      <w:r w:rsidRPr="00C74D34">
        <w:rPr>
          <w:color w:val="auto"/>
          <w:szCs w:val="26"/>
        </w:rPr>
        <w:tab/>
      </w:r>
      <w:r w:rsidRPr="00C74D34">
        <w:rPr>
          <w:color w:val="auto"/>
          <w:szCs w:val="26"/>
        </w:rPr>
        <w:tab/>
        <w:t>A public utility may condemn property to provide electricity under Section</w:t>
      </w:r>
      <w:r w:rsidR="00EC578D">
        <w:rPr>
          <w:color w:val="auto"/>
          <w:szCs w:val="26"/>
        </w:rPr>
        <w:t> </w:t>
      </w:r>
      <w:r w:rsidRPr="00C74D34">
        <w:rPr>
          <w:color w:val="auto"/>
          <w:szCs w:val="26"/>
        </w:rPr>
        <w:t xml:space="preserve">1511 of the Business Corporation Law of 1988 (BCL).  </w:t>
      </w:r>
      <w:proofErr w:type="spellStart"/>
      <w:r w:rsidR="003E34AD" w:rsidRPr="00C74D34">
        <w:rPr>
          <w:color w:val="auto"/>
          <w:szCs w:val="26"/>
        </w:rPr>
        <w:t>Transource</w:t>
      </w:r>
      <w:proofErr w:type="spellEnd"/>
      <w:r w:rsidR="003E34AD" w:rsidRPr="00C74D34">
        <w:rPr>
          <w:color w:val="auto"/>
          <w:szCs w:val="26"/>
        </w:rPr>
        <w:t xml:space="preserve"> </w:t>
      </w:r>
      <w:r w:rsidRPr="00C74D34">
        <w:rPr>
          <w:color w:val="auto"/>
          <w:szCs w:val="26"/>
        </w:rPr>
        <w:t xml:space="preserve">has filed its </w:t>
      </w:r>
      <w:r w:rsidR="00734824" w:rsidRPr="00C74D34">
        <w:rPr>
          <w:color w:val="auto"/>
          <w:szCs w:val="26"/>
        </w:rPr>
        <w:t xml:space="preserve">Application related to </w:t>
      </w:r>
      <w:r w:rsidR="00B73E3F" w:rsidRPr="00C74D34">
        <w:rPr>
          <w:color w:val="auto"/>
          <w:szCs w:val="26"/>
        </w:rPr>
        <w:t>s</w:t>
      </w:r>
      <w:r w:rsidR="00734824" w:rsidRPr="00C74D34">
        <w:rPr>
          <w:color w:val="auto"/>
          <w:szCs w:val="26"/>
        </w:rPr>
        <w:t>eventy-</w:t>
      </w:r>
      <w:r w:rsidR="00B73E3F" w:rsidRPr="00C74D34">
        <w:rPr>
          <w:color w:val="auto"/>
          <w:szCs w:val="26"/>
        </w:rPr>
        <w:t>s</w:t>
      </w:r>
      <w:r w:rsidR="00734824" w:rsidRPr="00C74D34">
        <w:rPr>
          <w:color w:val="auto"/>
          <w:szCs w:val="26"/>
        </w:rPr>
        <w:t>even (77) out</w:t>
      </w:r>
      <w:r w:rsidR="00795135" w:rsidRPr="00C74D34">
        <w:rPr>
          <w:color w:val="auto"/>
          <w:szCs w:val="26"/>
        </w:rPr>
        <w:t>standing c</w:t>
      </w:r>
      <w:r w:rsidRPr="00C74D34">
        <w:rPr>
          <w:color w:val="auto"/>
          <w:szCs w:val="26"/>
        </w:rPr>
        <w:t>ondemnation</w:t>
      </w:r>
      <w:r w:rsidR="00795135" w:rsidRPr="00C74D34">
        <w:rPr>
          <w:color w:val="auto"/>
          <w:szCs w:val="26"/>
        </w:rPr>
        <w:t>s</w:t>
      </w:r>
      <w:r w:rsidRPr="00C74D34">
        <w:rPr>
          <w:color w:val="auto"/>
          <w:szCs w:val="26"/>
        </w:rPr>
        <w:t>, under this section:</w:t>
      </w:r>
    </w:p>
    <w:p w14:paraId="468F7D99" w14:textId="77777777" w:rsidR="004E6023" w:rsidRPr="00C74D34" w:rsidRDefault="004E6023" w:rsidP="002D03FA">
      <w:pPr>
        <w:spacing w:line="240" w:lineRule="auto"/>
        <w:ind w:left="1440" w:right="1440"/>
        <w:contextualSpacing/>
        <w:rPr>
          <w:color w:val="auto"/>
          <w:szCs w:val="26"/>
        </w:rPr>
      </w:pPr>
    </w:p>
    <w:p w14:paraId="09D22DA7" w14:textId="77777777" w:rsidR="004E6023" w:rsidRPr="00C74D34" w:rsidRDefault="004E6023" w:rsidP="002D03FA">
      <w:pPr>
        <w:spacing w:line="240" w:lineRule="auto"/>
        <w:ind w:left="1440" w:right="1440"/>
        <w:rPr>
          <w:color w:val="auto"/>
          <w:szCs w:val="26"/>
        </w:rPr>
      </w:pPr>
      <w:r w:rsidRPr="00C74D34">
        <w:rPr>
          <w:color w:val="auto"/>
          <w:szCs w:val="26"/>
        </w:rPr>
        <w:lastRenderedPageBreak/>
        <w:t>(a)</w:t>
      </w:r>
      <w:r w:rsidRPr="00C74D34">
        <w:rPr>
          <w:color w:val="auto"/>
          <w:szCs w:val="26"/>
        </w:rPr>
        <w:tab/>
        <w:t>General Rule. -- A public utility corporation shall … have the right to take, occupy and condemn property for one or more of the following principal purposes and ancillary purposes reasonably necessary or appropriate for the accomplishment of the principal purposes:</w:t>
      </w:r>
    </w:p>
    <w:p w14:paraId="45330E8A" w14:textId="77777777" w:rsidR="00EC578D" w:rsidRDefault="00EC578D" w:rsidP="002D03FA">
      <w:pPr>
        <w:spacing w:line="240" w:lineRule="auto"/>
        <w:ind w:left="1440" w:right="1440"/>
        <w:jc w:val="center"/>
        <w:rPr>
          <w:color w:val="auto"/>
          <w:szCs w:val="26"/>
        </w:rPr>
      </w:pPr>
    </w:p>
    <w:p w14:paraId="5F2E15B1" w14:textId="3386608F" w:rsidR="004E6023" w:rsidRPr="00C74D34" w:rsidRDefault="004E6023" w:rsidP="00EC578D">
      <w:pPr>
        <w:ind w:left="1440" w:right="1440"/>
        <w:jc w:val="center"/>
        <w:rPr>
          <w:color w:val="auto"/>
          <w:szCs w:val="26"/>
        </w:rPr>
      </w:pPr>
      <w:r w:rsidRPr="00C74D34">
        <w:rPr>
          <w:color w:val="auto"/>
          <w:szCs w:val="26"/>
        </w:rPr>
        <w:t>* * * *</w:t>
      </w:r>
    </w:p>
    <w:p w14:paraId="0602FFB8" w14:textId="77777777" w:rsidR="004E6023" w:rsidRPr="00C74D34" w:rsidRDefault="004E6023" w:rsidP="002D03FA">
      <w:pPr>
        <w:spacing w:line="240" w:lineRule="auto"/>
        <w:ind w:left="1440" w:right="1440"/>
        <w:rPr>
          <w:color w:val="auto"/>
          <w:szCs w:val="26"/>
        </w:rPr>
      </w:pPr>
      <w:r w:rsidRPr="00C74D34">
        <w:rPr>
          <w:color w:val="auto"/>
          <w:szCs w:val="26"/>
        </w:rPr>
        <w:t>(3)</w:t>
      </w:r>
      <w:r w:rsidRPr="00C74D34">
        <w:rPr>
          <w:color w:val="auto"/>
          <w:szCs w:val="26"/>
        </w:rPr>
        <w:tab/>
        <w:t xml:space="preserve">The … transmission … distribution or furnishing of … electricity … to or for the public. </w:t>
      </w:r>
    </w:p>
    <w:p w14:paraId="3C18F635" w14:textId="77777777" w:rsidR="004E6023" w:rsidRPr="00C74D34" w:rsidRDefault="004E6023" w:rsidP="00EC578D">
      <w:pPr>
        <w:rPr>
          <w:color w:val="auto"/>
          <w:szCs w:val="26"/>
        </w:rPr>
      </w:pPr>
    </w:p>
    <w:p w14:paraId="24AA2A38" w14:textId="77777777" w:rsidR="004E6023" w:rsidRPr="00C74D34" w:rsidRDefault="004E6023" w:rsidP="00EC578D">
      <w:pPr>
        <w:ind w:right="1440"/>
        <w:rPr>
          <w:color w:val="auto"/>
          <w:szCs w:val="26"/>
        </w:rPr>
      </w:pPr>
      <w:r w:rsidRPr="00C74D34">
        <w:rPr>
          <w:color w:val="auto"/>
          <w:szCs w:val="26"/>
        </w:rPr>
        <w:t xml:space="preserve">15 Pa. C.S. § 1511(a)(3).  </w:t>
      </w:r>
    </w:p>
    <w:p w14:paraId="2F226D74" w14:textId="77777777" w:rsidR="004E6023" w:rsidRPr="00C74D34" w:rsidRDefault="004E6023" w:rsidP="00EC578D">
      <w:pPr>
        <w:ind w:left="1440" w:right="1440"/>
        <w:rPr>
          <w:color w:val="auto"/>
          <w:szCs w:val="26"/>
        </w:rPr>
      </w:pPr>
    </w:p>
    <w:p w14:paraId="2DDB7C1D" w14:textId="77777777" w:rsidR="004E6023" w:rsidRPr="00C74D34" w:rsidRDefault="004E6023" w:rsidP="00EC578D">
      <w:pPr>
        <w:ind w:firstLine="1440"/>
        <w:rPr>
          <w:color w:val="auto"/>
          <w:szCs w:val="26"/>
        </w:rPr>
      </w:pPr>
      <w:r w:rsidRPr="00C74D34">
        <w:rPr>
          <w:color w:val="auto"/>
          <w:szCs w:val="26"/>
        </w:rPr>
        <w:t>Section 1511(b) of the BCL restricts the authority of a public utility to take and condemn property for the purpose of providing electricity to the public, stating, in pertinent part, as follows:</w:t>
      </w:r>
    </w:p>
    <w:p w14:paraId="583521D3" w14:textId="77777777" w:rsidR="004E6023" w:rsidRPr="00C74D34" w:rsidRDefault="004E6023" w:rsidP="00EC578D">
      <w:pPr>
        <w:spacing w:line="240" w:lineRule="auto"/>
        <w:ind w:left="1440" w:right="1440"/>
        <w:rPr>
          <w:color w:val="auto"/>
          <w:szCs w:val="26"/>
        </w:rPr>
      </w:pPr>
    </w:p>
    <w:p w14:paraId="095F8BD3" w14:textId="4B1AD676" w:rsidR="004E6023" w:rsidRPr="00A37C1D" w:rsidRDefault="00A37C1D" w:rsidP="00B551A5">
      <w:pPr>
        <w:spacing w:line="240" w:lineRule="auto"/>
        <w:ind w:left="1440" w:right="1440" w:firstLine="720"/>
        <w:rPr>
          <w:color w:val="auto"/>
          <w:szCs w:val="26"/>
        </w:rPr>
      </w:pPr>
      <w:r w:rsidRPr="00A37C1D">
        <w:rPr>
          <w:b/>
          <w:bCs/>
        </w:rPr>
        <w:t>(b)  </w:t>
      </w:r>
      <w:r w:rsidR="00C426B0">
        <w:rPr>
          <w:b/>
          <w:bCs/>
        </w:rPr>
        <w:tab/>
      </w:r>
      <w:r w:rsidRPr="00A37C1D">
        <w:rPr>
          <w:b/>
          <w:bCs/>
        </w:rPr>
        <w:t>Restrictions.--</w:t>
      </w:r>
      <w:r w:rsidRPr="00A37C1D">
        <w:t xml:space="preserve">The powers conferred by subsection (a) shall not be exercised: </w:t>
      </w:r>
      <w:r w:rsidR="004E6023" w:rsidRPr="00A37C1D">
        <w:rPr>
          <w:color w:val="auto"/>
          <w:szCs w:val="26"/>
        </w:rPr>
        <w:t xml:space="preserve">The powers conferred by subsection (a) shall not be exercised: </w:t>
      </w:r>
    </w:p>
    <w:p w14:paraId="3183CDE8" w14:textId="77777777" w:rsidR="004E6023" w:rsidRPr="00A37C1D" w:rsidRDefault="004E6023" w:rsidP="00A37C1D">
      <w:pPr>
        <w:spacing w:line="240" w:lineRule="auto"/>
        <w:rPr>
          <w:color w:val="auto"/>
          <w:szCs w:val="26"/>
        </w:rPr>
      </w:pPr>
    </w:p>
    <w:p w14:paraId="287F1639" w14:textId="77777777" w:rsidR="004E6023" w:rsidRPr="00A37C1D" w:rsidRDefault="004E6023" w:rsidP="00C426B0">
      <w:pPr>
        <w:spacing w:line="240" w:lineRule="auto"/>
        <w:ind w:left="2160" w:right="1440" w:firstLine="720"/>
        <w:rPr>
          <w:color w:val="auto"/>
          <w:szCs w:val="26"/>
        </w:rPr>
      </w:pPr>
      <w:r w:rsidRPr="00A37C1D">
        <w:rPr>
          <w:color w:val="auto"/>
          <w:szCs w:val="26"/>
        </w:rPr>
        <w:t>(1)</w:t>
      </w:r>
      <w:r w:rsidRPr="00A37C1D">
        <w:rPr>
          <w:color w:val="auto"/>
          <w:szCs w:val="26"/>
        </w:rPr>
        <w:tab/>
        <w:t>To condemn for the purpose of constructing … aerial electric transmission … lines:</w:t>
      </w:r>
    </w:p>
    <w:p w14:paraId="2E84537D" w14:textId="77777777" w:rsidR="004E6023" w:rsidRPr="00A37C1D" w:rsidRDefault="004E6023" w:rsidP="00A37C1D">
      <w:pPr>
        <w:spacing w:line="240" w:lineRule="auto"/>
        <w:rPr>
          <w:color w:val="auto"/>
          <w:szCs w:val="26"/>
        </w:rPr>
      </w:pPr>
    </w:p>
    <w:p w14:paraId="2583A087" w14:textId="77777777" w:rsidR="004E6023" w:rsidRPr="00C74D34" w:rsidRDefault="004E6023" w:rsidP="00C426B0">
      <w:pPr>
        <w:numPr>
          <w:ilvl w:val="0"/>
          <w:numId w:val="33"/>
        </w:numPr>
        <w:spacing w:line="240" w:lineRule="auto"/>
        <w:ind w:left="2880" w:right="1440" w:firstLine="720"/>
        <w:rPr>
          <w:color w:val="auto"/>
          <w:szCs w:val="26"/>
        </w:rPr>
      </w:pPr>
      <w:r w:rsidRPr="00A37C1D">
        <w:rPr>
          <w:color w:val="auto"/>
          <w:szCs w:val="26"/>
        </w:rPr>
        <w:t>Any dwelling house or, except in the case of any condemnation for petroleum or petroleum products transportation lines, any part of the reasonable curtilage of a dwelling house within 100 meters therefrom and not within the limits of any street</w:t>
      </w:r>
      <w:r w:rsidRPr="00C74D34">
        <w:rPr>
          <w:color w:val="auto"/>
          <w:szCs w:val="26"/>
        </w:rPr>
        <w:t>, highway, water or other public way or place.</w:t>
      </w:r>
    </w:p>
    <w:p w14:paraId="5E398F94" w14:textId="77777777" w:rsidR="004E6023" w:rsidRPr="00C74D34" w:rsidRDefault="004E6023" w:rsidP="00C426B0">
      <w:pPr>
        <w:spacing w:line="240" w:lineRule="auto"/>
        <w:ind w:left="2880" w:firstLine="720"/>
        <w:rPr>
          <w:color w:val="auto"/>
          <w:szCs w:val="26"/>
        </w:rPr>
      </w:pPr>
    </w:p>
    <w:p w14:paraId="6145FDD3" w14:textId="77777777" w:rsidR="004E6023" w:rsidRPr="00C74D34" w:rsidRDefault="004E6023" w:rsidP="00C426B0">
      <w:pPr>
        <w:spacing w:line="240" w:lineRule="auto"/>
        <w:ind w:left="2880" w:right="1440" w:firstLine="720"/>
        <w:rPr>
          <w:color w:val="auto"/>
          <w:szCs w:val="26"/>
        </w:rPr>
      </w:pPr>
      <w:r w:rsidRPr="00C74D34">
        <w:rPr>
          <w:color w:val="auto"/>
          <w:szCs w:val="26"/>
        </w:rPr>
        <w:t>(ii)</w:t>
      </w:r>
      <w:r w:rsidRPr="00C74D34">
        <w:rPr>
          <w:color w:val="auto"/>
          <w:szCs w:val="26"/>
        </w:rPr>
        <w:tab/>
        <w:t>Any place of public worship or burying ground.</w:t>
      </w:r>
    </w:p>
    <w:p w14:paraId="5527786B" w14:textId="77777777" w:rsidR="004E6023" w:rsidRPr="00C74D34" w:rsidRDefault="004E6023" w:rsidP="00D7068A">
      <w:pPr>
        <w:rPr>
          <w:color w:val="auto"/>
          <w:szCs w:val="26"/>
        </w:rPr>
      </w:pPr>
    </w:p>
    <w:p w14:paraId="664388DF" w14:textId="77777777" w:rsidR="004E6023" w:rsidRPr="00C74D34" w:rsidRDefault="004E6023" w:rsidP="00D7068A">
      <w:pPr>
        <w:ind w:right="1440"/>
        <w:rPr>
          <w:color w:val="auto"/>
          <w:szCs w:val="26"/>
        </w:rPr>
      </w:pPr>
      <w:r w:rsidRPr="00C74D34">
        <w:rPr>
          <w:color w:val="auto"/>
          <w:szCs w:val="26"/>
        </w:rPr>
        <w:t>15 Pa. C.S. § 1511(b).</w:t>
      </w:r>
    </w:p>
    <w:p w14:paraId="47E6B159" w14:textId="77777777" w:rsidR="004E6023" w:rsidRPr="00C74D34" w:rsidRDefault="004E6023" w:rsidP="00EC578D">
      <w:pPr>
        <w:ind w:left="1440" w:right="1440"/>
        <w:rPr>
          <w:color w:val="auto"/>
          <w:szCs w:val="26"/>
        </w:rPr>
      </w:pPr>
    </w:p>
    <w:p w14:paraId="782E711B" w14:textId="0D715130" w:rsidR="004E6023" w:rsidRPr="00C74D34" w:rsidRDefault="00F13B54" w:rsidP="00EC578D">
      <w:pPr>
        <w:ind w:firstLine="1440"/>
        <w:rPr>
          <w:color w:val="auto"/>
          <w:szCs w:val="26"/>
        </w:rPr>
      </w:pPr>
      <w:r w:rsidRPr="00C74D34">
        <w:rPr>
          <w:color w:val="auto"/>
          <w:szCs w:val="26"/>
        </w:rPr>
        <w:lastRenderedPageBreak/>
        <w:t>For</w:t>
      </w:r>
      <w:r w:rsidR="00044A10" w:rsidRPr="00C74D34">
        <w:rPr>
          <w:color w:val="auto"/>
          <w:szCs w:val="26"/>
        </w:rPr>
        <w:t xml:space="preserve"> </w:t>
      </w:r>
      <w:r w:rsidR="004E6023" w:rsidRPr="00C74D34">
        <w:rPr>
          <w:color w:val="auto"/>
          <w:szCs w:val="26"/>
        </w:rPr>
        <w:t xml:space="preserve">a public utility </w:t>
      </w:r>
      <w:r w:rsidR="00044A10" w:rsidRPr="00C74D34">
        <w:rPr>
          <w:color w:val="auto"/>
          <w:szCs w:val="26"/>
        </w:rPr>
        <w:t xml:space="preserve">to </w:t>
      </w:r>
      <w:r w:rsidR="004E6023" w:rsidRPr="00C74D34">
        <w:rPr>
          <w:color w:val="auto"/>
          <w:szCs w:val="26"/>
        </w:rPr>
        <w:t xml:space="preserve">exercise its </w:t>
      </w:r>
      <w:r w:rsidRPr="00C74D34">
        <w:rPr>
          <w:color w:val="auto"/>
          <w:szCs w:val="26"/>
        </w:rPr>
        <w:t>Section 15</w:t>
      </w:r>
      <w:r w:rsidR="005113FE" w:rsidRPr="00C74D34">
        <w:rPr>
          <w:color w:val="auto"/>
          <w:szCs w:val="26"/>
        </w:rPr>
        <w:t xml:space="preserve">11(a) </w:t>
      </w:r>
      <w:r w:rsidR="004E6023" w:rsidRPr="00C74D34">
        <w:rPr>
          <w:color w:val="auto"/>
          <w:szCs w:val="26"/>
        </w:rPr>
        <w:t xml:space="preserve">statutory authority to condemn property for the purposes of constructing aerial transmission or distribution facilities, </w:t>
      </w:r>
      <w:r w:rsidR="00242C90" w:rsidRPr="00C74D34">
        <w:rPr>
          <w:color w:val="auto"/>
          <w:szCs w:val="26"/>
        </w:rPr>
        <w:t xml:space="preserve">the utility must first </w:t>
      </w:r>
      <w:r w:rsidR="004E6023" w:rsidRPr="00C74D34">
        <w:rPr>
          <w:color w:val="auto"/>
          <w:szCs w:val="26"/>
        </w:rPr>
        <w:t>obtain a finding from the Commission that the taking is “necessary”</w:t>
      </w:r>
      <w:r w:rsidR="005113FE" w:rsidRPr="00C74D34">
        <w:rPr>
          <w:color w:val="auto"/>
          <w:szCs w:val="26"/>
        </w:rPr>
        <w:t xml:space="preserve"> under Section 1511(c)</w:t>
      </w:r>
      <w:r w:rsidR="004E6023" w:rsidRPr="00C74D34">
        <w:rPr>
          <w:color w:val="auto"/>
          <w:szCs w:val="26"/>
        </w:rPr>
        <w:t>:</w:t>
      </w:r>
    </w:p>
    <w:p w14:paraId="28B6077B" w14:textId="77777777" w:rsidR="004E6023" w:rsidRPr="00C74D34" w:rsidRDefault="004E6023" w:rsidP="002D03FA">
      <w:pPr>
        <w:spacing w:line="240" w:lineRule="auto"/>
        <w:ind w:left="1440" w:right="1440"/>
        <w:rPr>
          <w:color w:val="auto"/>
          <w:szCs w:val="26"/>
        </w:rPr>
      </w:pPr>
    </w:p>
    <w:p w14:paraId="6A49B819" w14:textId="77777777" w:rsidR="004E6023" w:rsidRPr="00C74D34" w:rsidRDefault="004E6023" w:rsidP="002D03FA">
      <w:pPr>
        <w:spacing w:line="240" w:lineRule="auto"/>
        <w:ind w:left="1440" w:right="1440"/>
        <w:rPr>
          <w:color w:val="auto"/>
          <w:szCs w:val="26"/>
        </w:rPr>
      </w:pPr>
      <w:r w:rsidRPr="00C74D34">
        <w:rPr>
          <w:color w:val="auto"/>
          <w:szCs w:val="26"/>
        </w:rPr>
        <w:t>(c)</w:t>
      </w:r>
      <w:r w:rsidRPr="00C74D34">
        <w:rPr>
          <w:color w:val="auto"/>
          <w:szCs w:val="26"/>
        </w:rPr>
        <w:tab/>
        <w:t>The powers conferred by subsection (a) [for the running of aerial electric facilities] may be exercised to condemn property … only after the Pennsylvania Public Utility Commission, upon application of the public utility corporation, has found and determined … that the service to be furnished by the corporation through the exercise of those powers is necessary for the service, accommodation, convenience or safety of the public.</w:t>
      </w:r>
    </w:p>
    <w:p w14:paraId="29287CB0" w14:textId="77777777" w:rsidR="004E6023" w:rsidRPr="00C74D34" w:rsidRDefault="004E6023" w:rsidP="00B551A5">
      <w:pPr>
        <w:rPr>
          <w:color w:val="auto"/>
          <w:szCs w:val="26"/>
        </w:rPr>
      </w:pPr>
    </w:p>
    <w:p w14:paraId="11442B1B" w14:textId="21F0BAA6" w:rsidR="004E6023" w:rsidRPr="00C74D34" w:rsidRDefault="004E6023" w:rsidP="002D03FA">
      <w:pPr>
        <w:rPr>
          <w:b/>
          <w:bCs/>
          <w:color w:val="auto"/>
          <w:szCs w:val="26"/>
        </w:rPr>
      </w:pPr>
      <w:r w:rsidRPr="00C74D34">
        <w:rPr>
          <w:color w:val="auto"/>
          <w:szCs w:val="26"/>
        </w:rPr>
        <w:t xml:space="preserve">15 Pa. C.S. § 1511(c).  </w:t>
      </w:r>
    </w:p>
    <w:p w14:paraId="43EB8861" w14:textId="77777777" w:rsidR="004E6023" w:rsidRPr="00C74D34" w:rsidRDefault="004E6023" w:rsidP="002D03FA">
      <w:pPr>
        <w:rPr>
          <w:color w:val="auto"/>
          <w:szCs w:val="26"/>
        </w:rPr>
      </w:pPr>
    </w:p>
    <w:p w14:paraId="3DDBB7AC" w14:textId="512F4338" w:rsidR="004E6023" w:rsidRPr="00C74D34" w:rsidRDefault="004E6023" w:rsidP="002D03FA">
      <w:pPr>
        <w:pStyle w:val="TOCH3"/>
        <w:keepNext/>
      </w:pPr>
      <w:bookmarkStart w:id="20" w:name="_Toc253739916"/>
      <w:bookmarkStart w:id="21" w:name="_Toc241651320"/>
      <w:bookmarkStart w:id="22" w:name="_Toc241652870"/>
      <w:bookmarkStart w:id="23" w:name="_Toc241653621"/>
      <w:bookmarkStart w:id="24" w:name="_Toc241899220"/>
      <w:bookmarkStart w:id="25" w:name="_Toc242178278"/>
      <w:bookmarkStart w:id="26" w:name="_Toc70516607"/>
      <w:r w:rsidRPr="00C74D34">
        <w:t>Standards for Approval of the Siting of Substation Control Equipment Buildings</w:t>
      </w:r>
      <w:bookmarkEnd w:id="20"/>
      <w:bookmarkEnd w:id="21"/>
      <w:bookmarkEnd w:id="22"/>
      <w:bookmarkEnd w:id="23"/>
      <w:bookmarkEnd w:id="24"/>
      <w:bookmarkEnd w:id="25"/>
      <w:bookmarkEnd w:id="26"/>
    </w:p>
    <w:p w14:paraId="3122116F" w14:textId="77777777" w:rsidR="004E6023" w:rsidRPr="00C74D34" w:rsidRDefault="004E6023" w:rsidP="00B551A5">
      <w:pPr>
        <w:keepNext/>
        <w:spacing w:line="480" w:lineRule="auto"/>
        <w:rPr>
          <w:color w:val="auto"/>
          <w:szCs w:val="26"/>
        </w:rPr>
      </w:pPr>
    </w:p>
    <w:p w14:paraId="0303A1E6" w14:textId="4A9E6BDE" w:rsidR="004E6023" w:rsidRPr="00C74D34" w:rsidRDefault="004E6023" w:rsidP="002D03FA">
      <w:pPr>
        <w:keepNext/>
        <w:ind w:firstLine="1440"/>
        <w:rPr>
          <w:color w:val="auto"/>
          <w:szCs w:val="26"/>
        </w:rPr>
      </w:pPr>
      <w:r w:rsidRPr="00C74D34">
        <w:rPr>
          <w:color w:val="auto"/>
          <w:szCs w:val="26"/>
        </w:rPr>
        <w:t xml:space="preserve">There </w:t>
      </w:r>
      <w:r w:rsidR="00AE5F56" w:rsidRPr="00C74D34">
        <w:rPr>
          <w:color w:val="auto"/>
          <w:szCs w:val="26"/>
        </w:rPr>
        <w:t xml:space="preserve">is no dispute </w:t>
      </w:r>
      <w:r w:rsidRPr="00C74D34">
        <w:rPr>
          <w:color w:val="auto"/>
          <w:szCs w:val="26"/>
        </w:rPr>
        <w:t>regarding th</w:t>
      </w:r>
      <w:r w:rsidR="004F7289" w:rsidRPr="00C74D34">
        <w:rPr>
          <w:color w:val="auto"/>
          <w:szCs w:val="26"/>
        </w:rPr>
        <w:t>e</w:t>
      </w:r>
      <w:r w:rsidRPr="00C74D34">
        <w:rPr>
          <w:color w:val="auto"/>
          <w:szCs w:val="26"/>
        </w:rPr>
        <w:t xml:space="preserve"> standard</w:t>
      </w:r>
      <w:r w:rsidR="004F7289" w:rsidRPr="00C74D34">
        <w:rPr>
          <w:color w:val="auto"/>
          <w:szCs w:val="26"/>
        </w:rPr>
        <w:t xml:space="preserve"> for siting of </w:t>
      </w:r>
      <w:r w:rsidR="0079256B" w:rsidRPr="00C74D34">
        <w:rPr>
          <w:color w:val="auto"/>
          <w:szCs w:val="26"/>
        </w:rPr>
        <w:t xml:space="preserve">a public utility “building” under Section 619 of the </w:t>
      </w:r>
      <w:r w:rsidR="003E70F3" w:rsidRPr="00C74D34">
        <w:rPr>
          <w:color w:val="auto"/>
          <w:szCs w:val="26"/>
        </w:rPr>
        <w:t>Municipalities Planning Code</w:t>
      </w:r>
      <w:r w:rsidR="00CC50B5" w:rsidRPr="00C74D34">
        <w:rPr>
          <w:color w:val="auto"/>
          <w:szCs w:val="26"/>
        </w:rPr>
        <w:t xml:space="preserve"> (MPC)</w:t>
      </w:r>
      <w:r w:rsidRPr="00C74D34">
        <w:rPr>
          <w:color w:val="auto"/>
          <w:szCs w:val="26"/>
        </w:rPr>
        <w:t>,</w:t>
      </w:r>
      <w:r w:rsidR="003E70F3" w:rsidRPr="00C74D34">
        <w:rPr>
          <w:color w:val="auto"/>
          <w:szCs w:val="26"/>
        </w:rPr>
        <w:t xml:space="preserve"> 53</w:t>
      </w:r>
      <w:r w:rsidR="00B551A5">
        <w:rPr>
          <w:color w:val="auto"/>
          <w:szCs w:val="26"/>
        </w:rPr>
        <w:t> </w:t>
      </w:r>
      <w:r w:rsidR="003E70F3" w:rsidRPr="00C74D34">
        <w:rPr>
          <w:color w:val="auto"/>
          <w:szCs w:val="26"/>
        </w:rPr>
        <w:t>P.S.</w:t>
      </w:r>
      <w:r w:rsidR="00B551A5">
        <w:rPr>
          <w:color w:val="auto"/>
          <w:szCs w:val="26"/>
        </w:rPr>
        <w:t> </w:t>
      </w:r>
      <w:r w:rsidR="003E70F3" w:rsidRPr="00C74D34">
        <w:rPr>
          <w:color w:val="auto"/>
          <w:szCs w:val="26"/>
        </w:rPr>
        <w:t>§</w:t>
      </w:r>
      <w:r w:rsidR="00160F5C" w:rsidRPr="00C74D34">
        <w:rPr>
          <w:color w:val="auto"/>
          <w:szCs w:val="26"/>
        </w:rPr>
        <w:t> </w:t>
      </w:r>
      <w:r w:rsidR="00CC50B5" w:rsidRPr="00C74D34">
        <w:rPr>
          <w:color w:val="auto"/>
          <w:szCs w:val="26"/>
        </w:rPr>
        <w:t>10619:</w:t>
      </w:r>
    </w:p>
    <w:p w14:paraId="3D66AE7A" w14:textId="77777777" w:rsidR="004E6023" w:rsidRPr="00C74D34" w:rsidRDefault="004E6023" w:rsidP="00B551A5">
      <w:pPr>
        <w:spacing w:line="240" w:lineRule="auto"/>
        <w:rPr>
          <w:color w:val="auto"/>
          <w:szCs w:val="26"/>
        </w:rPr>
      </w:pPr>
    </w:p>
    <w:p w14:paraId="3A222D7E" w14:textId="77777777" w:rsidR="004E6023" w:rsidRPr="00C74D34" w:rsidRDefault="004E6023" w:rsidP="002D03FA">
      <w:pPr>
        <w:spacing w:line="240" w:lineRule="auto"/>
        <w:ind w:left="1440" w:right="1440"/>
        <w:rPr>
          <w:color w:val="auto"/>
          <w:szCs w:val="26"/>
        </w:rPr>
      </w:pPr>
      <w:r w:rsidRPr="00C74D34">
        <w:rPr>
          <w:color w:val="auto"/>
          <w:szCs w:val="26"/>
        </w:rPr>
        <w:t xml:space="preserve">This article shall not apply to any existing or proposed building, or extension thereof, used or to be used by a public utility corporation, if, upon petition of the corporation, the Pennsylvania Public Utility Commission shall, after a public hearing, decide that the present or proposed situation of the building in question is </w:t>
      </w:r>
      <w:r w:rsidRPr="00C74D34">
        <w:rPr>
          <w:i/>
          <w:iCs/>
          <w:color w:val="auto"/>
          <w:szCs w:val="26"/>
        </w:rPr>
        <w:t>reasonably necessary for the convenience or welfare of the public</w:t>
      </w:r>
      <w:r w:rsidRPr="00C74D34">
        <w:rPr>
          <w:color w:val="auto"/>
          <w:szCs w:val="26"/>
        </w:rPr>
        <w:t>. It shall be the responsibility of the Pennsylvania Public Utility Commission to ensure that both the corporation and the municipality in which the building or proposed building is located have notice of the hearing and are granted an opportunity to appear, present witnesses, cross-examine witnesses presented by other parties and otherwise exercise the rights of a party to the proceedings.</w:t>
      </w:r>
    </w:p>
    <w:p w14:paraId="4C380B65" w14:textId="77777777" w:rsidR="004E6023" w:rsidRPr="00C74D34" w:rsidRDefault="004E6023" w:rsidP="002D03FA">
      <w:pPr>
        <w:rPr>
          <w:color w:val="auto"/>
          <w:szCs w:val="26"/>
        </w:rPr>
      </w:pPr>
    </w:p>
    <w:p w14:paraId="1D1A0C9E" w14:textId="738C5063" w:rsidR="004E6023" w:rsidRPr="00C74D34" w:rsidRDefault="004E6023" w:rsidP="002D03FA">
      <w:pPr>
        <w:ind w:left="14" w:hanging="14"/>
        <w:rPr>
          <w:color w:val="auto"/>
          <w:szCs w:val="26"/>
        </w:rPr>
      </w:pPr>
      <w:r w:rsidRPr="00C74D34">
        <w:rPr>
          <w:color w:val="auto"/>
          <w:szCs w:val="26"/>
        </w:rPr>
        <w:t>53 P.S. § 10619</w:t>
      </w:r>
      <w:r w:rsidR="00BA6597" w:rsidRPr="00C74D34">
        <w:rPr>
          <w:color w:val="auto"/>
          <w:szCs w:val="26"/>
        </w:rPr>
        <w:t xml:space="preserve"> (emphasis added)</w:t>
      </w:r>
      <w:r w:rsidRPr="00C74D34">
        <w:rPr>
          <w:color w:val="auto"/>
          <w:szCs w:val="26"/>
        </w:rPr>
        <w:t xml:space="preserve">.  Thus, a public utility building that is </w:t>
      </w:r>
      <w:r w:rsidR="00166B39" w:rsidRPr="00C74D34">
        <w:rPr>
          <w:color w:val="auto"/>
          <w:szCs w:val="26"/>
        </w:rPr>
        <w:t xml:space="preserve">found by the Commission to be </w:t>
      </w:r>
      <w:r w:rsidRPr="00C74D34">
        <w:rPr>
          <w:color w:val="auto"/>
          <w:szCs w:val="26"/>
        </w:rPr>
        <w:t xml:space="preserve">reasonably necessary for the convenience or welfare of the public is exempt from local zoning ordinance provisions under the MPC.  </w:t>
      </w:r>
      <w:r w:rsidRPr="00C74D34">
        <w:rPr>
          <w:i/>
          <w:color w:val="auto"/>
          <w:szCs w:val="26"/>
        </w:rPr>
        <w:t>Del-AWARE Unlimited, Inc. v. Pa. PUC</w:t>
      </w:r>
      <w:r w:rsidRPr="00C74D34">
        <w:rPr>
          <w:color w:val="auto"/>
          <w:szCs w:val="26"/>
        </w:rPr>
        <w:t xml:space="preserve">, 513 A.2d 593, 596 (Pa. </w:t>
      </w:r>
      <w:proofErr w:type="spellStart"/>
      <w:r w:rsidRPr="00C74D34">
        <w:rPr>
          <w:color w:val="auto"/>
          <w:szCs w:val="26"/>
        </w:rPr>
        <w:t>Cmwlth</w:t>
      </w:r>
      <w:proofErr w:type="spellEnd"/>
      <w:r w:rsidRPr="00C74D34">
        <w:rPr>
          <w:color w:val="auto"/>
          <w:szCs w:val="26"/>
        </w:rPr>
        <w:t xml:space="preserve">. 1986).  Further, </w:t>
      </w:r>
      <w:r w:rsidR="00096B10" w:rsidRPr="00C74D34">
        <w:rPr>
          <w:color w:val="auto"/>
          <w:szCs w:val="26"/>
        </w:rPr>
        <w:t xml:space="preserve">in upholding the Commission’s discretion to determine what is reasonable and necessary under </w:t>
      </w:r>
      <w:r w:rsidRPr="00C74D34">
        <w:rPr>
          <w:color w:val="auto"/>
          <w:szCs w:val="26"/>
        </w:rPr>
        <w:t>Section 619 of the MPC</w:t>
      </w:r>
      <w:r w:rsidR="00096B10" w:rsidRPr="00C74D34">
        <w:rPr>
          <w:color w:val="auto"/>
          <w:szCs w:val="26"/>
        </w:rPr>
        <w:t xml:space="preserve">, the Commonwealth Court </w:t>
      </w:r>
      <w:r w:rsidR="00F44FB5" w:rsidRPr="00C74D34">
        <w:rPr>
          <w:color w:val="auto"/>
          <w:szCs w:val="26"/>
        </w:rPr>
        <w:t xml:space="preserve">has held </w:t>
      </w:r>
      <w:r w:rsidR="00283298" w:rsidRPr="00C74D34">
        <w:rPr>
          <w:color w:val="auto"/>
          <w:szCs w:val="26"/>
        </w:rPr>
        <w:t xml:space="preserve">that Section 619 </w:t>
      </w:r>
      <w:r w:rsidRPr="00C74D34">
        <w:rPr>
          <w:color w:val="auto"/>
          <w:szCs w:val="26"/>
        </w:rPr>
        <w:t xml:space="preserve">does not require a utility to prove that the site it has selected is absolutely necessary or that it is the best possible site.  </w:t>
      </w:r>
      <w:r w:rsidRPr="00C74D34">
        <w:rPr>
          <w:i/>
          <w:color w:val="auto"/>
          <w:szCs w:val="26"/>
        </w:rPr>
        <w:t>O’Connor v. Pa. PUC</w:t>
      </w:r>
      <w:r w:rsidRPr="00C74D34">
        <w:rPr>
          <w:color w:val="auto"/>
          <w:szCs w:val="26"/>
        </w:rPr>
        <w:t xml:space="preserve">, 582 A.2d 427 (Pa. </w:t>
      </w:r>
      <w:proofErr w:type="spellStart"/>
      <w:r w:rsidRPr="00C74D34">
        <w:rPr>
          <w:color w:val="auto"/>
          <w:szCs w:val="26"/>
        </w:rPr>
        <w:t>Cmwlth</w:t>
      </w:r>
      <w:proofErr w:type="spellEnd"/>
      <w:r w:rsidRPr="00C74D34">
        <w:rPr>
          <w:color w:val="auto"/>
          <w:szCs w:val="26"/>
        </w:rPr>
        <w:t>. 1990).</w:t>
      </w:r>
      <w:r w:rsidRPr="00C74D34">
        <w:rPr>
          <w:color w:val="auto"/>
          <w:szCs w:val="26"/>
          <w:vertAlign w:val="superscript"/>
        </w:rPr>
        <w:footnoteReference w:id="10"/>
      </w:r>
    </w:p>
    <w:p w14:paraId="0B62C498" w14:textId="77777777" w:rsidR="004E6023" w:rsidRPr="00C74D34" w:rsidRDefault="004E6023" w:rsidP="002D03FA">
      <w:pPr>
        <w:ind w:left="1440" w:right="1440"/>
        <w:rPr>
          <w:color w:val="auto"/>
          <w:szCs w:val="26"/>
        </w:rPr>
      </w:pPr>
    </w:p>
    <w:p w14:paraId="671CC1B9" w14:textId="7DE7D94D" w:rsidR="004E6023" w:rsidRPr="00C74D34" w:rsidRDefault="002A38AD" w:rsidP="002D03FA">
      <w:pPr>
        <w:ind w:firstLine="1430"/>
        <w:rPr>
          <w:color w:val="auto"/>
          <w:szCs w:val="26"/>
        </w:rPr>
      </w:pPr>
      <w:r w:rsidRPr="00C74D34">
        <w:rPr>
          <w:color w:val="auto"/>
          <w:szCs w:val="26"/>
        </w:rPr>
        <w:t>Finally, t</w:t>
      </w:r>
      <w:r w:rsidR="004E6023" w:rsidRPr="00C74D34">
        <w:rPr>
          <w:color w:val="auto"/>
          <w:szCs w:val="26"/>
        </w:rPr>
        <w:t>he Commission’s policy statement regarding local land-use plans and ordinances provides, in pertinent part, as follows:</w:t>
      </w:r>
    </w:p>
    <w:p w14:paraId="2B3CEA87" w14:textId="77777777" w:rsidR="002A38AD" w:rsidRPr="00C74D34" w:rsidRDefault="002A38AD" w:rsidP="00B551A5">
      <w:pPr>
        <w:spacing w:line="240" w:lineRule="auto"/>
        <w:ind w:left="1440" w:right="1440"/>
        <w:rPr>
          <w:color w:val="auto"/>
          <w:szCs w:val="26"/>
        </w:rPr>
      </w:pPr>
    </w:p>
    <w:p w14:paraId="5540D37C" w14:textId="0B6E8DA7" w:rsidR="004E6023" w:rsidRPr="00C74D34" w:rsidRDefault="004E6023" w:rsidP="002D03FA">
      <w:pPr>
        <w:spacing w:line="240" w:lineRule="auto"/>
        <w:ind w:left="1440" w:right="1440"/>
        <w:rPr>
          <w:color w:val="auto"/>
          <w:szCs w:val="26"/>
        </w:rPr>
      </w:pPr>
      <w:r w:rsidRPr="00C74D34">
        <w:rPr>
          <w:color w:val="auto"/>
          <w:szCs w:val="26"/>
        </w:rPr>
        <w:t>To further the State’s goal of making State agency actions consistent with sound land-use planning … the Commission will consider the impact of its decisions upon local comprehensive plans and zoning ordinances.  This will include reviewing applications for:</w:t>
      </w:r>
    </w:p>
    <w:p w14:paraId="32FE30DC" w14:textId="77777777" w:rsidR="004E6023" w:rsidRPr="00C74D34" w:rsidRDefault="004E6023" w:rsidP="002D03FA">
      <w:pPr>
        <w:spacing w:line="240" w:lineRule="auto"/>
        <w:rPr>
          <w:color w:val="auto"/>
          <w:szCs w:val="26"/>
        </w:rPr>
      </w:pPr>
    </w:p>
    <w:p w14:paraId="5CA54894" w14:textId="77777777" w:rsidR="004E6023" w:rsidRPr="00C74D34" w:rsidRDefault="004E6023" w:rsidP="002D03FA">
      <w:pPr>
        <w:tabs>
          <w:tab w:val="left" w:pos="2250"/>
        </w:tabs>
        <w:spacing w:line="240" w:lineRule="auto"/>
        <w:ind w:left="2160" w:right="1440" w:hanging="720"/>
        <w:rPr>
          <w:color w:val="auto"/>
          <w:szCs w:val="26"/>
        </w:rPr>
      </w:pPr>
      <w:r w:rsidRPr="00C74D34">
        <w:rPr>
          <w:color w:val="auto"/>
          <w:szCs w:val="26"/>
        </w:rPr>
        <w:t>(1)</w:t>
      </w:r>
      <w:r w:rsidRPr="00C74D34">
        <w:rPr>
          <w:color w:val="auto"/>
          <w:szCs w:val="26"/>
        </w:rPr>
        <w:tab/>
        <w:t>Certificates of public convenience.</w:t>
      </w:r>
    </w:p>
    <w:p w14:paraId="4BDE3BBE" w14:textId="77777777" w:rsidR="004E6023" w:rsidRPr="00C74D34" w:rsidRDefault="004E6023" w:rsidP="002D03FA">
      <w:pPr>
        <w:spacing w:line="240" w:lineRule="auto"/>
        <w:ind w:left="2160" w:hanging="720"/>
        <w:rPr>
          <w:color w:val="auto"/>
          <w:szCs w:val="26"/>
        </w:rPr>
      </w:pPr>
    </w:p>
    <w:p w14:paraId="27A6CA08" w14:textId="77777777" w:rsidR="004E6023" w:rsidRPr="00C74D34" w:rsidRDefault="004E6023" w:rsidP="002D03FA">
      <w:pPr>
        <w:spacing w:line="240" w:lineRule="auto"/>
        <w:ind w:left="2160" w:right="1440" w:hanging="720"/>
        <w:jc w:val="both"/>
        <w:rPr>
          <w:color w:val="auto"/>
          <w:szCs w:val="26"/>
        </w:rPr>
      </w:pPr>
      <w:r w:rsidRPr="00C74D34">
        <w:rPr>
          <w:color w:val="auto"/>
          <w:szCs w:val="26"/>
        </w:rPr>
        <w:t>(2)</w:t>
      </w:r>
      <w:r w:rsidRPr="00C74D34">
        <w:rPr>
          <w:color w:val="auto"/>
          <w:szCs w:val="26"/>
        </w:rPr>
        <w:tab/>
        <w:t>Siting electric transmission lines.</w:t>
      </w:r>
    </w:p>
    <w:p w14:paraId="44A15EDC" w14:textId="77777777" w:rsidR="004E6023" w:rsidRPr="00C74D34" w:rsidRDefault="004E6023" w:rsidP="002D03FA">
      <w:pPr>
        <w:spacing w:line="240" w:lineRule="auto"/>
        <w:ind w:left="2160" w:hanging="720"/>
        <w:rPr>
          <w:color w:val="auto"/>
          <w:szCs w:val="26"/>
        </w:rPr>
      </w:pPr>
    </w:p>
    <w:p w14:paraId="7DC10279" w14:textId="77777777" w:rsidR="004E6023" w:rsidRPr="00C74D34" w:rsidRDefault="004E6023" w:rsidP="002D03FA">
      <w:pPr>
        <w:spacing w:line="240" w:lineRule="auto"/>
        <w:ind w:left="2160" w:right="1440" w:hanging="720"/>
        <w:jc w:val="both"/>
        <w:rPr>
          <w:color w:val="auto"/>
          <w:szCs w:val="26"/>
        </w:rPr>
      </w:pPr>
      <w:r w:rsidRPr="00C74D34">
        <w:rPr>
          <w:color w:val="auto"/>
          <w:szCs w:val="26"/>
        </w:rPr>
        <w:t>(3)</w:t>
      </w:r>
      <w:r w:rsidRPr="00C74D34">
        <w:rPr>
          <w:color w:val="auto"/>
          <w:szCs w:val="26"/>
        </w:rPr>
        <w:tab/>
        <w:t>Siting a public utility “building” under section 619 of the Municipalities Planning Code (53 P.S. § 10619).</w:t>
      </w:r>
    </w:p>
    <w:p w14:paraId="7088D304" w14:textId="77777777" w:rsidR="004E6023" w:rsidRPr="00C74D34" w:rsidRDefault="004E6023" w:rsidP="002D03FA">
      <w:pPr>
        <w:spacing w:line="240" w:lineRule="auto"/>
        <w:rPr>
          <w:color w:val="auto"/>
          <w:szCs w:val="26"/>
        </w:rPr>
      </w:pPr>
    </w:p>
    <w:p w14:paraId="4C14326B" w14:textId="77777777" w:rsidR="004E6023" w:rsidRPr="00C74D34" w:rsidRDefault="004E6023" w:rsidP="004A5001">
      <w:pPr>
        <w:spacing w:line="240" w:lineRule="auto"/>
        <w:ind w:left="2160" w:right="1440" w:hanging="720"/>
        <w:rPr>
          <w:color w:val="auto"/>
          <w:szCs w:val="26"/>
        </w:rPr>
      </w:pPr>
      <w:r w:rsidRPr="00C74D34">
        <w:rPr>
          <w:color w:val="auto"/>
          <w:szCs w:val="26"/>
        </w:rPr>
        <w:t>(4)</w:t>
      </w:r>
      <w:r w:rsidRPr="00C74D34">
        <w:rPr>
          <w:color w:val="auto"/>
          <w:szCs w:val="26"/>
        </w:rPr>
        <w:tab/>
        <w:t>Other Commission decision.</w:t>
      </w:r>
    </w:p>
    <w:p w14:paraId="3DDF175A" w14:textId="77777777" w:rsidR="004E6023" w:rsidRPr="00C74D34" w:rsidRDefault="004E6023" w:rsidP="004A5001">
      <w:pPr>
        <w:rPr>
          <w:color w:val="auto"/>
          <w:szCs w:val="26"/>
        </w:rPr>
      </w:pPr>
    </w:p>
    <w:p w14:paraId="4B30A23F" w14:textId="2E2C2934" w:rsidR="004E6023" w:rsidRPr="00C74D34" w:rsidRDefault="004E6023" w:rsidP="004A5001">
      <w:pPr>
        <w:spacing w:line="240" w:lineRule="auto"/>
        <w:ind w:left="90" w:right="1440"/>
        <w:rPr>
          <w:color w:val="auto"/>
          <w:szCs w:val="26"/>
        </w:rPr>
      </w:pPr>
      <w:r w:rsidRPr="00C74D34">
        <w:rPr>
          <w:color w:val="auto"/>
          <w:szCs w:val="26"/>
        </w:rPr>
        <w:t>52 Pa. Code § 69.1101</w:t>
      </w:r>
      <w:r w:rsidR="00FD39A1" w:rsidRPr="00C74D34">
        <w:rPr>
          <w:color w:val="auto"/>
          <w:szCs w:val="26"/>
        </w:rPr>
        <w:t>.</w:t>
      </w:r>
      <w:r w:rsidRPr="00C74D34">
        <w:rPr>
          <w:color w:val="auto"/>
          <w:szCs w:val="26"/>
        </w:rPr>
        <w:t xml:space="preserve"> </w:t>
      </w:r>
    </w:p>
    <w:p w14:paraId="6F3569F5" w14:textId="77777777" w:rsidR="00FD39A1" w:rsidRPr="00C74D34" w:rsidRDefault="00FD39A1" w:rsidP="004A5001">
      <w:pPr>
        <w:spacing w:line="240" w:lineRule="auto"/>
        <w:ind w:left="90" w:right="1440"/>
        <w:rPr>
          <w:color w:val="auto"/>
          <w:szCs w:val="26"/>
        </w:rPr>
      </w:pPr>
    </w:p>
    <w:p w14:paraId="23CD27F3" w14:textId="304F9F07" w:rsidR="004E6023" w:rsidRPr="004A5001" w:rsidRDefault="004E6023" w:rsidP="004A5001">
      <w:pPr>
        <w:spacing w:line="240" w:lineRule="auto"/>
        <w:ind w:left="720"/>
        <w:outlineLvl w:val="2"/>
        <w:rPr>
          <w:b/>
          <w:bCs/>
          <w:color w:val="auto"/>
          <w:szCs w:val="26"/>
        </w:rPr>
      </w:pPr>
      <w:bookmarkStart w:id="27" w:name="_Toc253739917"/>
      <w:r w:rsidRPr="004A5001">
        <w:rPr>
          <w:b/>
          <w:bCs/>
          <w:color w:val="auto"/>
        </w:rPr>
        <w:t>5.</w:t>
      </w:r>
      <w:r w:rsidRPr="004A5001">
        <w:rPr>
          <w:b/>
          <w:bCs/>
          <w:color w:val="auto"/>
        </w:rPr>
        <w:tab/>
        <w:t>Types of Evidence</w:t>
      </w:r>
      <w:bookmarkEnd w:id="27"/>
    </w:p>
    <w:p w14:paraId="10825FAF" w14:textId="77777777" w:rsidR="004E6023" w:rsidRPr="00C74D34" w:rsidRDefault="004E6023" w:rsidP="004A5001">
      <w:pPr>
        <w:rPr>
          <w:b/>
          <w:color w:val="auto"/>
          <w:szCs w:val="26"/>
        </w:rPr>
      </w:pPr>
    </w:p>
    <w:p w14:paraId="749D7E35" w14:textId="2FC067FF" w:rsidR="004E6023" w:rsidRPr="00C74D34" w:rsidRDefault="004E6023" w:rsidP="004A5001">
      <w:pPr>
        <w:rPr>
          <w:color w:val="auto"/>
          <w:szCs w:val="26"/>
        </w:rPr>
      </w:pPr>
      <w:r w:rsidRPr="00C74D34">
        <w:rPr>
          <w:color w:val="auto"/>
          <w:szCs w:val="26"/>
        </w:rPr>
        <w:tab/>
      </w:r>
      <w:r w:rsidRPr="00C74D34">
        <w:rPr>
          <w:color w:val="auto"/>
          <w:szCs w:val="26"/>
        </w:rPr>
        <w:tab/>
      </w:r>
      <w:r w:rsidR="00FC6CA5" w:rsidRPr="00C74D34">
        <w:rPr>
          <w:color w:val="auto"/>
          <w:szCs w:val="26"/>
        </w:rPr>
        <w:t>Q</w:t>
      </w:r>
      <w:r w:rsidRPr="00C74D34">
        <w:rPr>
          <w:color w:val="auto"/>
          <w:szCs w:val="26"/>
        </w:rPr>
        <w:t xml:space="preserve">uestions </w:t>
      </w:r>
      <w:r w:rsidR="00FC6CA5" w:rsidRPr="00C74D34">
        <w:rPr>
          <w:color w:val="auto"/>
          <w:szCs w:val="26"/>
        </w:rPr>
        <w:t xml:space="preserve">arise </w:t>
      </w:r>
      <w:r w:rsidRPr="00C74D34">
        <w:rPr>
          <w:color w:val="auto"/>
          <w:szCs w:val="26"/>
        </w:rPr>
        <w:t xml:space="preserve">in this case </w:t>
      </w:r>
      <w:r w:rsidR="00863265" w:rsidRPr="00C74D34">
        <w:rPr>
          <w:color w:val="auto"/>
          <w:szCs w:val="26"/>
        </w:rPr>
        <w:t xml:space="preserve">regarding the reliance </w:t>
      </w:r>
      <w:r w:rsidR="00404DC5" w:rsidRPr="00C74D34">
        <w:rPr>
          <w:color w:val="auto"/>
          <w:szCs w:val="26"/>
        </w:rPr>
        <w:t>upon la</w:t>
      </w:r>
      <w:r w:rsidR="009F3786" w:rsidRPr="00C74D34">
        <w:rPr>
          <w:color w:val="auto"/>
          <w:szCs w:val="26"/>
        </w:rPr>
        <w:t>y witness</w:t>
      </w:r>
      <w:r w:rsidR="00F1244C" w:rsidRPr="00C74D34">
        <w:rPr>
          <w:color w:val="auto"/>
          <w:szCs w:val="26"/>
        </w:rPr>
        <w:t>’</w:t>
      </w:r>
      <w:r w:rsidR="009F3786" w:rsidRPr="00C74D34">
        <w:rPr>
          <w:color w:val="auto"/>
          <w:szCs w:val="26"/>
        </w:rPr>
        <w:t xml:space="preserve"> </w:t>
      </w:r>
      <w:r w:rsidR="00404DC5" w:rsidRPr="00C74D34">
        <w:rPr>
          <w:color w:val="auto"/>
          <w:szCs w:val="26"/>
        </w:rPr>
        <w:t>testimony and opinions</w:t>
      </w:r>
      <w:r w:rsidR="009F3786" w:rsidRPr="00C74D34">
        <w:rPr>
          <w:color w:val="auto"/>
          <w:szCs w:val="26"/>
        </w:rPr>
        <w:t xml:space="preserve"> versus expert witness</w:t>
      </w:r>
      <w:r w:rsidR="00F1244C" w:rsidRPr="00C74D34">
        <w:rPr>
          <w:color w:val="auto"/>
          <w:szCs w:val="26"/>
        </w:rPr>
        <w:t xml:space="preserve">’ testimony and opinions. </w:t>
      </w:r>
      <w:r w:rsidRPr="00C74D34">
        <w:rPr>
          <w:color w:val="auto"/>
          <w:szCs w:val="26"/>
        </w:rPr>
        <w:t xml:space="preserve"> The Pennsylvania Rules of Evidence provide the </w:t>
      </w:r>
      <w:r w:rsidR="00AE37B2" w:rsidRPr="00C74D34">
        <w:rPr>
          <w:color w:val="auto"/>
          <w:szCs w:val="26"/>
        </w:rPr>
        <w:t>para</w:t>
      </w:r>
      <w:r w:rsidR="00917AAB" w:rsidRPr="00C74D34">
        <w:rPr>
          <w:color w:val="auto"/>
          <w:szCs w:val="26"/>
        </w:rPr>
        <w:t xml:space="preserve">meters </w:t>
      </w:r>
      <w:r w:rsidR="0001359E" w:rsidRPr="00C74D34">
        <w:rPr>
          <w:color w:val="auto"/>
          <w:szCs w:val="26"/>
        </w:rPr>
        <w:t xml:space="preserve">within which </w:t>
      </w:r>
      <w:r w:rsidR="00917AAB" w:rsidRPr="00C74D34">
        <w:rPr>
          <w:color w:val="auto"/>
          <w:szCs w:val="26"/>
        </w:rPr>
        <w:t>lay witness</w:t>
      </w:r>
      <w:r w:rsidR="00773C97" w:rsidRPr="00C74D34">
        <w:rPr>
          <w:color w:val="auto"/>
          <w:szCs w:val="26"/>
        </w:rPr>
        <w:t>es’</w:t>
      </w:r>
      <w:r w:rsidR="00917AAB" w:rsidRPr="00C74D34">
        <w:rPr>
          <w:color w:val="auto"/>
          <w:szCs w:val="26"/>
        </w:rPr>
        <w:t xml:space="preserve"> </w:t>
      </w:r>
      <w:r w:rsidR="00B02947" w:rsidRPr="00C74D34">
        <w:rPr>
          <w:color w:val="auto"/>
          <w:szCs w:val="26"/>
        </w:rPr>
        <w:t>testimony</w:t>
      </w:r>
      <w:r w:rsidR="00AE37B2" w:rsidRPr="00C74D34">
        <w:rPr>
          <w:color w:val="auto"/>
          <w:szCs w:val="26"/>
        </w:rPr>
        <w:t xml:space="preserve"> </w:t>
      </w:r>
      <w:r w:rsidR="0001359E" w:rsidRPr="00C74D34">
        <w:rPr>
          <w:color w:val="auto"/>
          <w:szCs w:val="26"/>
        </w:rPr>
        <w:t>may be relied upon</w:t>
      </w:r>
      <w:r w:rsidR="005A06B9" w:rsidRPr="00C74D34">
        <w:rPr>
          <w:color w:val="auto"/>
          <w:szCs w:val="26"/>
        </w:rPr>
        <w:t xml:space="preserve"> for factual findings</w:t>
      </w:r>
      <w:r w:rsidR="00B02947" w:rsidRPr="00C74D34">
        <w:rPr>
          <w:color w:val="auto"/>
          <w:szCs w:val="26"/>
        </w:rPr>
        <w:t xml:space="preserve">. </w:t>
      </w:r>
    </w:p>
    <w:p w14:paraId="58FFBBF3" w14:textId="77777777" w:rsidR="004E6023" w:rsidRPr="00C74D34" w:rsidRDefault="004E6023" w:rsidP="004A5001">
      <w:pPr>
        <w:spacing w:line="240" w:lineRule="auto"/>
        <w:contextualSpacing/>
        <w:rPr>
          <w:color w:val="auto"/>
          <w:szCs w:val="26"/>
        </w:rPr>
      </w:pPr>
      <w:r w:rsidRPr="00C74D34">
        <w:rPr>
          <w:color w:val="auto"/>
          <w:szCs w:val="26"/>
        </w:rPr>
        <w:t xml:space="preserve"> </w:t>
      </w:r>
    </w:p>
    <w:p w14:paraId="65DA4D7D" w14:textId="77777777" w:rsidR="004E6023" w:rsidRPr="00C74D34" w:rsidRDefault="004E6023" w:rsidP="002D03FA">
      <w:pPr>
        <w:spacing w:line="240" w:lineRule="auto"/>
        <w:ind w:left="1440" w:right="1440"/>
        <w:contextualSpacing/>
        <w:rPr>
          <w:b/>
          <w:color w:val="auto"/>
          <w:szCs w:val="26"/>
        </w:rPr>
      </w:pPr>
      <w:r w:rsidRPr="00C74D34">
        <w:rPr>
          <w:b/>
          <w:color w:val="auto"/>
          <w:szCs w:val="26"/>
        </w:rPr>
        <w:t>Rule 701.  Opinion testimony by lay witnesses</w:t>
      </w:r>
    </w:p>
    <w:p w14:paraId="02DBAA0D" w14:textId="77777777" w:rsidR="004E6023" w:rsidRPr="00C74D34" w:rsidRDefault="004E6023" w:rsidP="002D03FA">
      <w:pPr>
        <w:spacing w:line="240" w:lineRule="auto"/>
        <w:ind w:left="1440" w:right="1440"/>
        <w:contextualSpacing/>
        <w:rPr>
          <w:b/>
          <w:color w:val="auto"/>
          <w:szCs w:val="26"/>
        </w:rPr>
      </w:pPr>
    </w:p>
    <w:p w14:paraId="40176EF1" w14:textId="77777777" w:rsidR="004E6023" w:rsidRPr="00C74D34" w:rsidRDefault="004E6023" w:rsidP="002D03FA">
      <w:pPr>
        <w:spacing w:line="240" w:lineRule="auto"/>
        <w:ind w:left="1440" w:right="1440"/>
        <w:contextualSpacing/>
        <w:rPr>
          <w:color w:val="auto"/>
          <w:szCs w:val="26"/>
        </w:rPr>
      </w:pPr>
      <w:r w:rsidRPr="00C74D34">
        <w:rPr>
          <w:color w:val="auto"/>
          <w:szCs w:val="26"/>
        </w:rPr>
        <w:tab/>
        <w:t>If the witness is not testifying as an expert, the witness’ testimony in the form of opinions or inferences is limited to those opinions or inferences which are rationally based on the perception of the witness, helpful to a clear understanding of the witness’ testimony or the determination of a fact in issue, and not based on scientific, technical, or other specialized knowledge within the scope of Rule 702.</w:t>
      </w:r>
    </w:p>
    <w:p w14:paraId="5E07F290" w14:textId="77777777" w:rsidR="004E6023" w:rsidRPr="00C74D34" w:rsidRDefault="004E6023" w:rsidP="004A5001">
      <w:pPr>
        <w:spacing w:line="480" w:lineRule="auto"/>
        <w:contextualSpacing/>
        <w:rPr>
          <w:color w:val="auto"/>
          <w:szCs w:val="26"/>
        </w:rPr>
      </w:pPr>
    </w:p>
    <w:p w14:paraId="5259C724" w14:textId="568020F5" w:rsidR="004E6023" w:rsidRPr="00C74D34" w:rsidRDefault="004E6023" w:rsidP="002D03FA">
      <w:pPr>
        <w:contextualSpacing/>
        <w:rPr>
          <w:color w:val="auto"/>
          <w:szCs w:val="26"/>
        </w:rPr>
      </w:pPr>
      <w:r w:rsidRPr="00C74D34">
        <w:rPr>
          <w:color w:val="auto"/>
          <w:szCs w:val="26"/>
        </w:rPr>
        <w:tab/>
      </w:r>
      <w:r w:rsidRPr="00C74D34">
        <w:rPr>
          <w:color w:val="auto"/>
          <w:szCs w:val="26"/>
        </w:rPr>
        <w:tab/>
        <w:t xml:space="preserve">The testimony taken at the public input hearings </w:t>
      </w:r>
      <w:r w:rsidR="00543800" w:rsidRPr="00C74D34">
        <w:rPr>
          <w:color w:val="auto"/>
          <w:szCs w:val="26"/>
        </w:rPr>
        <w:t>by lay witness</w:t>
      </w:r>
      <w:r w:rsidR="00762B4E" w:rsidRPr="00C74D34">
        <w:rPr>
          <w:color w:val="auto"/>
          <w:szCs w:val="26"/>
        </w:rPr>
        <w:t xml:space="preserve">es </w:t>
      </w:r>
      <w:r w:rsidRPr="00C74D34">
        <w:rPr>
          <w:color w:val="auto"/>
          <w:szCs w:val="26"/>
        </w:rPr>
        <w:t xml:space="preserve">falls into this category.  On </w:t>
      </w:r>
      <w:r w:rsidR="00E62C3B" w:rsidRPr="00C74D34">
        <w:rPr>
          <w:color w:val="auto"/>
          <w:szCs w:val="26"/>
        </w:rPr>
        <w:t xml:space="preserve">various </w:t>
      </w:r>
      <w:r w:rsidRPr="00C74D34">
        <w:rPr>
          <w:color w:val="auto"/>
          <w:szCs w:val="26"/>
        </w:rPr>
        <w:t xml:space="preserve">issues, however, expertise is required.  For example, while the lay public input witnesses can legitimately express their </w:t>
      </w:r>
      <w:r w:rsidR="009B1E2C" w:rsidRPr="00C74D34">
        <w:rPr>
          <w:color w:val="auto"/>
          <w:szCs w:val="26"/>
        </w:rPr>
        <w:t>personal or anecdotal concerns and experience</w:t>
      </w:r>
      <w:r w:rsidR="0094137A" w:rsidRPr="00C74D34">
        <w:rPr>
          <w:color w:val="auto"/>
          <w:szCs w:val="26"/>
        </w:rPr>
        <w:t xml:space="preserve"> with transmission lines, technical </w:t>
      </w:r>
      <w:r w:rsidRPr="00C74D34">
        <w:rPr>
          <w:color w:val="auto"/>
          <w:szCs w:val="26"/>
        </w:rPr>
        <w:t xml:space="preserve">issues such as the health effects of the line, the probability of structural failure, and the effect on real estate values require expert evidence to be persuasive enough to support the proposing party’s burden of proof or persuasion.  </w:t>
      </w:r>
    </w:p>
    <w:p w14:paraId="0C7D3AE3" w14:textId="77777777" w:rsidR="006B2DDD" w:rsidRPr="00C74D34" w:rsidRDefault="006B2DDD" w:rsidP="004A5001">
      <w:pPr>
        <w:spacing w:line="240" w:lineRule="auto"/>
        <w:contextualSpacing/>
        <w:rPr>
          <w:color w:val="auto"/>
          <w:szCs w:val="26"/>
        </w:rPr>
      </w:pPr>
    </w:p>
    <w:p w14:paraId="5939990D" w14:textId="77777777" w:rsidR="004E6023" w:rsidRPr="00C74D34" w:rsidRDefault="004E6023" w:rsidP="002D03FA">
      <w:pPr>
        <w:keepNext/>
        <w:spacing w:line="240" w:lineRule="auto"/>
        <w:ind w:left="1440" w:right="1440"/>
        <w:contextualSpacing/>
        <w:rPr>
          <w:b/>
          <w:color w:val="auto"/>
          <w:szCs w:val="26"/>
        </w:rPr>
      </w:pPr>
      <w:r w:rsidRPr="00C74D34">
        <w:rPr>
          <w:b/>
          <w:color w:val="auto"/>
          <w:szCs w:val="26"/>
        </w:rPr>
        <w:t>Rule 702.  Testimony by experts</w:t>
      </w:r>
    </w:p>
    <w:p w14:paraId="11B173EC" w14:textId="77777777" w:rsidR="004E6023" w:rsidRPr="00C74D34" w:rsidRDefault="004E6023" w:rsidP="002D03FA">
      <w:pPr>
        <w:keepNext/>
        <w:spacing w:line="240" w:lineRule="auto"/>
        <w:ind w:left="1440" w:right="1440"/>
        <w:contextualSpacing/>
        <w:rPr>
          <w:b/>
          <w:color w:val="auto"/>
          <w:szCs w:val="26"/>
        </w:rPr>
      </w:pPr>
    </w:p>
    <w:p w14:paraId="5FB8E34C" w14:textId="77777777" w:rsidR="004E6023" w:rsidRPr="00C74D34" w:rsidRDefault="004E6023" w:rsidP="002D03FA">
      <w:pPr>
        <w:keepNext/>
        <w:spacing w:line="240" w:lineRule="auto"/>
        <w:ind w:left="1440" w:right="1440"/>
        <w:contextualSpacing/>
        <w:rPr>
          <w:color w:val="auto"/>
          <w:szCs w:val="26"/>
        </w:rPr>
      </w:pPr>
      <w:r w:rsidRPr="00C74D34">
        <w:rPr>
          <w:color w:val="auto"/>
          <w:szCs w:val="26"/>
        </w:rPr>
        <w:tab/>
        <w:t xml:space="preserve">If scientific, technical or other specialized knowledge beyond that possessed by a layperson will assist the trier of fact to understand the evidence or to determine a fact in issue, a witness qualified as an expert by knowledge, skill, experience, training or education may testify thereto in the form of an opinion or otherwise.  </w:t>
      </w:r>
    </w:p>
    <w:p w14:paraId="52F4CE26" w14:textId="77777777" w:rsidR="004E6023" w:rsidRPr="00C74D34" w:rsidRDefault="004E6023" w:rsidP="002D03FA">
      <w:pPr>
        <w:contextualSpacing/>
        <w:rPr>
          <w:color w:val="auto"/>
          <w:szCs w:val="26"/>
        </w:rPr>
      </w:pPr>
    </w:p>
    <w:p w14:paraId="14956518" w14:textId="77777777" w:rsidR="004E6023" w:rsidRPr="00C74D34" w:rsidRDefault="004E6023" w:rsidP="002D03FA">
      <w:pPr>
        <w:contextualSpacing/>
        <w:rPr>
          <w:color w:val="auto"/>
          <w:szCs w:val="26"/>
        </w:rPr>
      </w:pPr>
      <w:r w:rsidRPr="00C74D34">
        <w:rPr>
          <w:color w:val="auto"/>
          <w:szCs w:val="26"/>
        </w:rPr>
        <w:lastRenderedPageBreak/>
        <w:tab/>
      </w:r>
      <w:r w:rsidRPr="00C74D34">
        <w:rPr>
          <w:color w:val="auto"/>
          <w:szCs w:val="26"/>
        </w:rPr>
        <w:tab/>
        <w:t xml:space="preserve">The definition of “expert” is “whether the witness has any reasonable pretension to specialized knowledge on the subject under investigation.  If he does, he may testify and the weight to be given such testimony is for the trier of fact to determine.”  </w:t>
      </w:r>
      <w:r w:rsidRPr="00C74D34">
        <w:rPr>
          <w:i/>
          <w:color w:val="auto"/>
          <w:szCs w:val="26"/>
        </w:rPr>
        <w:t>Miller v. Brass Rail Tavern, Inc.</w:t>
      </w:r>
      <w:r w:rsidRPr="00371B9D">
        <w:rPr>
          <w:b/>
          <w:bCs/>
          <w:i/>
          <w:color w:val="auto"/>
          <w:szCs w:val="26"/>
        </w:rPr>
        <w:t>,</w:t>
      </w:r>
      <w:r w:rsidRPr="00C74D34">
        <w:rPr>
          <w:color w:val="auto"/>
          <w:szCs w:val="26"/>
        </w:rPr>
        <w:t xml:space="preserve"> 541 Pa. 474, 480-481, 664 A.2d 525, 528 (1995).</w:t>
      </w:r>
    </w:p>
    <w:p w14:paraId="425402AA" w14:textId="77777777" w:rsidR="004E6023" w:rsidRPr="00C74D34" w:rsidRDefault="004E6023" w:rsidP="002D03FA">
      <w:pPr>
        <w:contextualSpacing/>
        <w:rPr>
          <w:color w:val="auto"/>
          <w:szCs w:val="26"/>
        </w:rPr>
      </w:pPr>
    </w:p>
    <w:p w14:paraId="2BF70F66" w14:textId="7DA73159" w:rsidR="004E6023" w:rsidRPr="00C74D34" w:rsidRDefault="004E6023" w:rsidP="002D03FA">
      <w:pPr>
        <w:contextualSpacing/>
        <w:rPr>
          <w:color w:val="auto"/>
          <w:szCs w:val="26"/>
        </w:rPr>
      </w:pPr>
      <w:r w:rsidRPr="00C74D34">
        <w:rPr>
          <w:color w:val="auto"/>
          <w:szCs w:val="26"/>
        </w:rPr>
        <w:tab/>
      </w:r>
      <w:r w:rsidRPr="00C74D34">
        <w:rPr>
          <w:color w:val="auto"/>
          <w:szCs w:val="26"/>
        </w:rPr>
        <w:tab/>
      </w:r>
      <w:r w:rsidR="00FD39A1" w:rsidRPr="00C74D34">
        <w:rPr>
          <w:color w:val="auto"/>
          <w:szCs w:val="26"/>
        </w:rPr>
        <w:t xml:space="preserve">We note that the </w:t>
      </w:r>
      <w:r w:rsidR="008037FB" w:rsidRPr="00C74D34">
        <w:rPr>
          <w:color w:val="auto"/>
          <w:szCs w:val="26"/>
        </w:rPr>
        <w:t xml:space="preserve">four </w:t>
      </w:r>
      <w:r w:rsidRPr="00C74D34">
        <w:rPr>
          <w:color w:val="auto"/>
          <w:szCs w:val="26"/>
        </w:rPr>
        <w:t xml:space="preserve">public input hearings </w:t>
      </w:r>
      <w:r w:rsidR="008F6635" w:rsidRPr="00C74D34">
        <w:rPr>
          <w:color w:val="auto"/>
          <w:szCs w:val="26"/>
        </w:rPr>
        <w:t>and three days of scheduled site views for landow</w:t>
      </w:r>
      <w:r w:rsidR="005E1F08" w:rsidRPr="00C74D34">
        <w:rPr>
          <w:color w:val="auto"/>
          <w:szCs w:val="26"/>
        </w:rPr>
        <w:t xml:space="preserve">ners requesting site views </w:t>
      </w:r>
      <w:r w:rsidRPr="00C74D34">
        <w:rPr>
          <w:color w:val="auto"/>
          <w:szCs w:val="26"/>
        </w:rPr>
        <w:t>gave the public ample opportunity to express their concerns and opinions.</w:t>
      </w:r>
      <w:r w:rsidR="005E1F08" w:rsidRPr="00C74D34">
        <w:rPr>
          <w:color w:val="auto"/>
          <w:szCs w:val="26"/>
        </w:rPr>
        <w:t xml:space="preserve">  R.D. at 5.</w:t>
      </w:r>
      <w:r w:rsidRPr="00C74D34">
        <w:rPr>
          <w:color w:val="auto"/>
          <w:szCs w:val="26"/>
        </w:rPr>
        <w:t xml:space="preserve">  Lay testimony is encouraged at the public input hearings, and in this case </w:t>
      </w:r>
      <w:r w:rsidR="005E1F08" w:rsidRPr="00C74D34">
        <w:rPr>
          <w:color w:val="auto"/>
          <w:szCs w:val="26"/>
        </w:rPr>
        <w:t xml:space="preserve">served the important </w:t>
      </w:r>
      <w:r w:rsidR="004A251C" w:rsidRPr="00C74D34">
        <w:rPr>
          <w:color w:val="auto"/>
          <w:szCs w:val="26"/>
        </w:rPr>
        <w:t xml:space="preserve">function of </w:t>
      </w:r>
      <w:r w:rsidR="00B779F8" w:rsidRPr="00C74D34">
        <w:rPr>
          <w:color w:val="auto"/>
          <w:szCs w:val="26"/>
        </w:rPr>
        <w:t>both</w:t>
      </w:r>
      <w:r w:rsidRPr="00C74D34">
        <w:rPr>
          <w:color w:val="auto"/>
          <w:szCs w:val="26"/>
        </w:rPr>
        <w:t xml:space="preserve"> inform</w:t>
      </w:r>
      <w:r w:rsidR="004A251C" w:rsidRPr="00C74D34">
        <w:rPr>
          <w:color w:val="auto"/>
          <w:szCs w:val="26"/>
        </w:rPr>
        <w:t>ing</w:t>
      </w:r>
      <w:r w:rsidRPr="00C74D34">
        <w:rPr>
          <w:color w:val="auto"/>
          <w:szCs w:val="26"/>
        </w:rPr>
        <w:t xml:space="preserve"> the Commission </w:t>
      </w:r>
      <w:r w:rsidR="004A251C" w:rsidRPr="00C74D34">
        <w:rPr>
          <w:color w:val="auto"/>
          <w:szCs w:val="26"/>
        </w:rPr>
        <w:t xml:space="preserve">of the </w:t>
      </w:r>
      <w:r w:rsidRPr="00C74D34">
        <w:rPr>
          <w:color w:val="auto"/>
          <w:szCs w:val="26"/>
        </w:rPr>
        <w:t xml:space="preserve">real and pressing concerns of the citizens of the Commonwealth; and </w:t>
      </w:r>
      <w:r w:rsidR="004A251C" w:rsidRPr="00C74D34">
        <w:rPr>
          <w:color w:val="auto"/>
          <w:szCs w:val="26"/>
        </w:rPr>
        <w:t>informing the</w:t>
      </w:r>
      <w:r w:rsidRPr="00C74D34">
        <w:rPr>
          <w:color w:val="auto"/>
          <w:szCs w:val="26"/>
        </w:rPr>
        <w:t xml:space="preserve"> litiga</w:t>
      </w:r>
      <w:r w:rsidR="00B779F8" w:rsidRPr="00C74D34">
        <w:rPr>
          <w:color w:val="auto"/>
          <w:szCs w:val="26"/>
        </w:rPr>
        <w:t>nts</w:t>
      </w:r>
      <w:r w:rsidRPr="00C74D34">
        <w:rPr>
          <w:color w:val="auto"/>
          <w:szCs w:val="26"/>
        </w:rPr>
        <w:t xml:space="preserve"> </w:t>
      </w:r>
      <w:r w:rsidR="004A251C" w:rsidRPr="00C74D34">
        <w:rPr>
          <w:color w:val="auto"/>
          <w:szCs w:val="26"/>
        </w:rPr>
        <w:t xml:space="preserve">of the </w:t>
      </w:r>
      <w:r w:rsidRPr="00C74D34">
        <w:rPr>
          <w:color w:val="auto"/>
          <w:szCs w:val="26"/>
        </w:rPr>
        <w:t>issues which should be addressed in the evidentiary portion of the case.  Concerns regarding</w:t>
      </w:r>
      <w:r w:rsidR="004255F2" w:rsidRPr="00C74D34">
        <w:rPr>
          <w:color w:val="auto"/>
          <w:szCs w:val="26"/>
        </w:rPr>
        <w:t xml:space="preserve"> </w:t>
      </w:r>
      <w:r w:rsidR="004255F2" w:rsidRPr="00C74D34">
        <w:rPr>
          <w:i/>
          <w:iCs/>
          <w:color w:val="auto"/>
          <w:szCs w:val="26"/>
        </w:rPr>
        <w:t>inter alia</w:t>
      </w:r>
      <w:r w:rsidR="004255F2" w:rsidRPr="00C74D34">
        <w:rPr>
          <w:color w:val="auto"/>
          <w:szCs w:val="26"/>
        </w:rPr>
        <w:t xml:space="preserve">, </w:t>
      </w:r>
      <w:r w:rsidRPr="00C74D34">
        <w:rPr>
          <w:color w:val="auto"/>
          <w:szCs w:val="26"/>
        </w:rPr>
        <w:t xml:space="preserve">need, safety, health effects, environmental impacts, real estate values, </w:t>
      </w:r>
      <w:r w:rsidR="004255F2" w:rsidRPr="00C74D34">
        <w:rPr>
          <w:color w:val="auto"/>
          <w:szCs w:val="26"/>
        </w:rPr>
        <w:t xml:space="preserve">eminent domain, </w:t>
      </w:r>
      <w:r w:rsidRPr="00C74D34">
        <w:rPr>
          <w:color w:val="auto"/>
          <w:szCs w:val="26"/>
        </w:rPr>
        <w:t>project costs and rate recovery can be and were raised by witnesses, including public input witnesses.  R</w:t>
      </w:r>
      <w:r w:rsidR="00D94553" w:rsidRPr="00C74D34">
        <w:rPr>
          <w:color w:val="auto"/>
          <w:szCs w:val="26"/>
        </w:rPr>
        <w:t>.</w:t>
      </w:r>
      <w:r w:rsidRPr="00C74D34">
        <w:rPr>
          <w:color w:val="auto"/>
          <w:szCs w:val="26"/>
        </w:rPr>
        <w:t>D</w:t>
      </w:r>
      <w:r w:rsidR="00D94553" w:rsidRPr="00C74D34">
        <w:rPr>
          <w:color w:val="auto"/>
          <w:szCs w:val="26"/>
        </w:rPr>
        <w:t>.</w:t>
      </w:r>
      <w:r w:rsidRPr="00C74D34">
        <w:rPr>
          <w:color w:val="auto"/>
          <w:szCs w:val="26"/>
        </w:rPr>
        <w:t xml:space="preserve"> at </w:t>
      </w:r>
      <w:r w:rsidR="00C90952" w:rsidRPr="00C74D34">
        <w:rPr>
          <w:color w:val="auto"/>
          <w:szCs w:val="26"/>
        </w:rPr>
        <w:t>36-49</w:t>
      </w:r>
      <w:r w:rsidRPr="00C74D34">
        <w:rPr>
          <w:color w:val="auto"/>
          <w:szCs w:val="26"/>
        </w:rPr>
        <w:t>.</w:t>
      </w:r>
    </w:p>
    <w:p w14:paraId="32B416A7" w14:textId="77777777" w:rsidR="00F962F1" w:rsidRPr="00C74D34" w:rsidRDefault="00F962F1" w:rsidP="002D03FA">
      <w:pPr>
        <w:rPr>
          <w:szCs w:val="26"/>
        </w:rPr>
      </w:pPr>
    </w:p>
    <w:p w14:paraId="6B565242" w14:textId="173A2093" w:rsidR="00F962F1" w:rsidRPr="00C74D34" w:rsidRDefault="0085468E" w:rsidP="00371B9D">
      <w:pPr>
        <w:pStyle w:val="TOCH2"/>
        <w:keepNext/>
        <w:rPr>
          <w:rFonts w:ascii="Times New Roman" w:hAnsi="Times New Roman"/>
        </w:rPr>
      </w:pPr>
      <w:bookmarkStart w:id="28" w:name="_Toc70516608"/>
      <w:r w:rsidRPr="00C74D34">
        <w:rPr>
          <w:rFonts w:ascii="Times New Roman" w:hAnsi="Times New Roman"/>
        </w:rPr>
        <w:t>Exceptions</w:t>
      </w:r>
      <w:bookmarkEnd w:id="28"/>
      <w:r w:rsidR="000C25D8" w:rsidRPr="00C74D34">
        <w:rPr>
          <w:rFonts w:ascii="Times New Roman" w:hAnsi="Times New Roman"/>
        </w:rPr>
        <w:t xml:space="preserve"> </w:t>
      </w:r>
    </w:p>
    <w:p w14:paraId="2C006ED0" w14:textId="77777777" w:rsidR="009D088D" w:rsidRPr="00C74D34" w:rsidRDefault="009D088D" w:rsidP="00371B9D">
      <w:pPr>
        <w:pStyle w:val="TOCH2"/>
        <w:keepNext/>
        <w:numPr>
          <w:ilvl w:val="0"/>
          <w:numId w:val="0"/>
        </w:numPr>
        <w:ind w:left="720"/>
        <w:rPr>
          <w:rFonts w:ascii="Times New Roman" w:hAnsi="Times New Roman"/>
        </w:rPr>
      </w:pPr>
    </w:p>
    <w:p w14:paraId="17440C24" w14:textId="7FA19D85" w:rsidR="0071780A" w:rsidRPr="00C74D34" w:rsidRDefault="00497960" w:rsidP="002D03FA">
      <w:pPr>
        <w:pStyle w:val="TOCH3"/>
        <w:keepNext/>
        <w:numPr>
          <w:ilvl w:val="0"/>
          <w:numId w:val="32"/>
        </w:numPr>
        <w:ind w:left="1440" w:hanging="720"/>
      </w:pPr>
      <w:bookmarkStart w:id="29" w:name="_Toc70516609"/>
      <w:proofErr w:type="spellStart"/>
      <w:r w:rsidRPr="00C74D34">
        <w:t>Transource</w:t>
      </w:r>
      <w:proofErr w:type="spellEnd"/>
      <w:r w:rsidRPr="00C74D34">
        <w:t xml:space="preserve"> Exception N</w:t>
      </w:r>
      <w:r w:rsidR="00245BDE" w:rsidRPr="00C74D34">
        <w:t>o</w:t>
      </w:r>
      <w:r w:rsidRPr="00C74D34">
        <w:t xml:space="preserve">. 1: The ALJ Erred in </w:t>
      </w:r>
      <w:r w:rsidR="00371B9D">
        <w:t>C</w:t>
      </w:r>
      <w:r w:rsidRPr="00C74D34">
        <w:t>oncluding</w:t>
      </w:r>
      <w:r w:rsidR="00D81E60" w:rsidRPr="00C74D34">
        <w:t xml:space="preserve"> the “</w:t>
      </w:r>
      <w:r w:rsidR="00371B9D">
        <w:t>N</w:t>
      </w:r>
      <w:r w:rsidR="00D81E60" w:rsidRPr="00C74D34">
        <w:t xml:space="preserve">eed” </w:t>
      </w:r>
      <w:r w:rsidR="00371B9D">
        <w:t>E</w:t>
      </w:r>
      <w:r w:rsidR="00D81E60" w:rsidRPr="00C74D34">
        <w:t>lement, per 52</w:t>
      </w:r>
      <w:r w:rsidR="008645EA" w:rsidRPr="00C74D34">
        <w:t xml:space="preserve"> Pa. Code</w:t>
      </w:r>
      <w:r w:rsidR="00543169" w:rsidRPr="00C74D34">
        <w:t xml:space="preserve"> </w:t>
      </w:r>
      <w:r w:rsidR="008645EA" w:rsidRPr="00C74D34">
        <w:t>§</w:t>
      </w:r>
      <w:r w:rsidR="00543169" w:rsidRPr="00C74D34">
        <w:t>57.76</w:t>
      </w:r>
      <w:r w:rsidR="00C12075" w:rsidRPr="00C74D34">
        <w:t xml:space="preserve">(a) </w:t>
      </w:r>
      <w:r w:rsidR="00371B9D">
        <w:t>H</w:t>
      </w:r>
      <w:r w:rsidR="00092076" w:rsidRPr="00C74D34">
        <w:t xml:space="preserve">as </w:t>
      </w:r>
      <w:r w:rsidR="00371B9D">
        <w:t>N</w:t>
      </w:r>
      <w:r w:rsidR="00092076" w:rsidRPr="00C74D34">
        <w:t xml:space="preserve">ot </w:t>
      </w:r>
      <w:r w:rsidR="00371B9D">
        <w:t>B</w:t>
      </w:r>
      <w:r w:rsidR="00092076" w:rsidRPr="00C74D34">
        <w:t xml:space="preserve">een </w:t>
      </w:r>
      <w:r w:rsidR="00371B9D">
        <w:t>S</w:t>
      </w:r>
      <w:r w:rsidR="00092076" w:rsidRPr="00C74D34">
        <w:t>how</w:t>
      </w:r>
      <w:r w:rsidR="00371B9D">
        <w:t>n</w:t>
      </w:r>
      <w:r w:rsidR="00092076" w:rsidRPr="00C74D34">
        <w:t xml:space="preserve"> by a </w:t>
      </w:r>
      <w:r w:rsidR="00371B9D">
        <w:t>P</w:t>
      </w:r>
      <w:r w:rsidR="00092076" w:rsidRPr="00C74D34">
        <w:t xml:space="preserve">reponderance of the </w:t>
      </w:r>
      <w:r w:rsidR="00371B9D">
        <w:t>E</w:t>
      </w:r>
      <w:r w:rsidR="00092076" w:rsidRPr="00C74D34">
        <w:t>vidence</w:t>
      </w:r>
      <w:bookmarkEnd w:id="29"/>
      <w:r w:rsidR="00092076" w:rsidRPr="00C74D34">
        <w:t xml:space="preserve"> </w:t>
      </w:r>
      <w:r w:rsidRPr="00C74D34">
        <w:t xml:space="preserve"> </w:t>
      </w:r>
    </w:p>
    <w:p w14:paraId="597DE004" w14:textId="2A061E8B" w:rsidR="00092076" w:rsidRDefault="00092076" w:rsidP="00371B9D">
      <w:pPr>
        <w:pStyle w:val="TOCH3"/>
        <w:keepNext/>
        <w:numPr>
          <w:ilvl w:val="0"/>
          <w:numId w:val="0"/>
        </w:numPr>
        <w:spacing w:line="480" w:lineRule="auto"/>
        <w:ind w:left="1080"/>
      </w:pPr>
    </w:p>
    <w:p w14:paraId="5B124715" w14:textId="61DD15A0" w:rsidR="00F962F1" w:rsidRPr="00C74D34" w:rsidRDefault="00F962F1" w:rsidP="00D44F4A">
      <w:pPr>
        <w:pStyle w:val="TOCH4"/>
        <w:keepNext/>
      </w:pPr>
      <w:bookmarkStart w:id="30" w:name="_Toc70516610"/>
      <w:r w:rsidRPr="00C74D34">
        <w:t>Position of the Parties</w:t>
      </w:r>
      <w:bookmarkEnd w:id="30"/>
    </w:p>
    <w:p w14:paraId="799384B2" w14:textId="77777777" w:rsidR="00B11342" w:rsidRPr="00C74D34" w:rsidRDefault="00B11342" w:rsidP="00D44F4A">
      <w:pPr>
        <w:pStyle w:val="TOCH4"/>
        <w:keepNext/>
        <w:numPr>
          <w:ilvl w:val="0"/>
          <w:numId w:val="0"/>
        </w:numPr>
        <w:ind w:left="2160"/>
      </w:pPr>
    </w:p>
    <w:p w14:paraId="5F8EE76D" w14:textId="18D3CDD0" w:rsidR="001E450A" w:rsidRPr="00C74D34" w:rsidRDefault="00A902A7" w:rsidP="00925F66">
      <w:pPr>
        <w:pStyle w:val="TOCH5"/>
      </w:pPr>
      <w:bookmarkStart w:id="31" w:name="_Toc70516611"/>
      <w:proofErr w:type="spellStart"/>
      <w:r w:rsidRPr="00C74D34">
        <w:t>Transource’s</w:t>
      </w:r>
      <w:proofErr w:type="spellEnd"/>
      <w:r w:rsidRPr="00C74D34">
        <w:t xml:space="preserve"> </w:t>
      </w:r>
      <w:r w:rsidR="001A32FA">
        <w:t>P</w:t>
      </w:r>
      <w:r w:rsidRPr="00C74D34">
        <w:t>osition</w:t>
      </w:r>
      <w:bookmarkEnd w:id="31"/>
    </w:p>
    <w:p w14:paraId="347372D6" w14:textId="58730F7E" w:rsidR="00FC4A11" w:rsidRPr="00C74D34" w:rsidRDefault="00FC4A11" w:rsidP="00D44F4A">
      <w:pPr>
        <w:pStyle w:val="TOCH4"/>
        <w:keepNext/>
        <w:numPr>
          <w:ilvl w:val="0"/>
          <w:numId w:val="0"/>
        </w:numPr>
        <w:ind w:left="2880"/>
      </w:pPr>
    </w:p>
    <w:p w14:paraId="11D20414" w14:textId="121D1779" w:rsidR="0066625E" w:rsidRPr="00C74D34" w:rsidRDefault="00A3608D" w:rsidP="00D44F4A">
      <w:pPr>
        <w:keepNext/>
        <w:ind w:firstLine="1440"/>
        <w:rPr>
          <w:szCs w:val="26"/>
        </w:rPr>
      </w:pPr>
      <w:r w:rsidRPr="00C74D34">
        <w:rPr>
          <w:szCs w:val="26"/>
        </w:rPr>
        <w:t xml:space="preserve">In the proceeding before the ALJ, </w:t>
      </w:r>
      <w:proofErr w:type="spellStart"/>
      <w:r w:rsidRPr="00C74D34">
        <w:rPr>
          <w:szCs w:val="26"/>
        </w:rPr>
        <w:t>Transource</w:t>
      </w:r>
      <w:proofErr w:type="spellEnd"/>
      <w:r w:rsidRPr="00C74D34">
        <w:rPr>
          <w:szCs w:val="26"/>
        </w:rPr>
        <w:t xml:space="preserve"> asserted that</w:t>
      </w:r>
      <w:r w:rsidR="00B2063A" w:rsidRPr="00C74D34">
        <w:rPr>
          <w:szCs w:val="26"/>
        </w:rPr>
        <w:t>,</w:t>
      </w:r>
      <w:r w:rsidRPr="00C74D34">
        <w:rPr>
          <w:szCs w:val="26"/>
        </w:rPr>
        <w:t xml:space="preserve"> as a threshold matter, Project 9A meets the need requirement for siting approval, based upon </w:t>
      </w:r>
      <w:proofErr w:type="spellStart"/>
      <w:r w:rsidRPr="00C74D34">
        <w:rPr>
          <w:szCs w:val="26"/>
        </w:rPr>
        <w:t>Transource’s</w:t>
      </w:r>
      <w:proofErr w:type="spellEnd"/>
      <w:r w:rsidRPr="00C74D34">
        <w:rPr>
          <w:szCs w:val="26"/>
        </w:rPr>
        <w:t xml:space="preserve"> contention that the Federal Power Act provides FERC with exclusive </w:t>
      </w:r>
      <w:r w:rsidRPr="00C74D34">
        <w:rPr>
          <w:szCs w:val="26"/>
        </w:rPr>
        <w:lastRenderedPageBreak/>
        <w:t xml:space="preserve">jurisdiction over the interstate transmission of electricity, as well as the wholesale power market.  </w:t>
      </w:r>
      <w:proofErr w:type="spellStart"/>
      <w:r w:rsidRPr="00C74D34">
        <w:rPr>
          <w:szCs w:val="26"/>
        </w:rPr>
        <w:t>Transource</w:t>
      </w:r>
      <w:proofErr w:type="spellEnd"/>
      <w:r w:rsidRPr="00C74D34">
        <w:rPr>
          <w:szCs w:val="26"/>
        </w:rPr>
        <w:t xml:space="preserve"> argued that pursuant to Order No. 1000</w:t>
      </w:r>
      <w:r w:rsidR="004368A6" w:rsidRPr="00C74D34">
        <w:rPr>
          <w:szCs w:val="26"/>
        </w:rPr>
        <w:t>,</w:t>
      </w:r>
      <w:r w:rsidR="00B6319E" w:rsidRPr="00C74D34">
        <w:rPr>
          <w:rStyle w:val="FootnoteReference"/>
          <w:szCs w:val="26"/>
        </w:rPr>
        <w:footnoteReference w:id="11"/>
      </w:r>
      <w:r w:rsidRPr="00C74D34">
        <w:rPr>
          <w:szCs w:val="26"/>
        </w:rPr>
        <w:t xml:space="preserve"> FERC has ordered PJM to identify and resolve congestion on the transmission system to improve the economic efficiency of the system on a region-wide basis.  </w:t>
      </w:r>
      <w:proofErr w:type="spellStart"/>
      <w:r w:rsidR="00EB7360" w:rsidRPr="00C74D34">
        <w:rPr>
          <w:szCs w:val="26"/>
        </w:rPr>
        <w:t>Transource</w:t>
      </w:r>
      <w:proofErr w:type="spellEnd"/>
      <w:r w:rsidR="00EB7360" w:rsidRPr="00C74D34">
        <w:rPr>
          <w:szCs w:val="26"/>
        </w:rPr>
        <w:t xml:space="preserve"> asserted that the Pennsylvania case law, as well as the Public Utility Code and Commission Regulations </w:t>
      </w:r>
      <w:r w:rsidR="00DB1A67" w:rsidRPr="00C74D34">
        <w:rPr>
          <w:szCs w:val="26"/>
        </w:rPr>
        <w:t xml:space="preserve">acknowledge the need for regional transmission planning.  </w:t>
      </w:r>
      <w:proofErr w:type="spellStart"/>
      <w:r w:rsidR="00DB1A67" w:rsidRPr="00C74D34">
        <w:rPr>
          <w:szCs w:val="26"/>
        </w:rPr>
        <w:t>Transource</w:t>
      </w:r>
      <w:proofErr w:type="spellEnd"/>
      <w:r w:rsidR="00DB1A67" w:rsidRPr="00C74D34">
        <w:rPr>
          <w:szCs w:val="26"/>
        </w:rPr>
        <w:t xml:space="preserve"> argued that</w:t>
      </w:r>
      <w:r w:rsidR="004368A6" w:rsidRPr="00C74D34">
        <w:rPr>
          <w:szCs w:val="26"/>
        </w:rPr>
        <w:t>,</w:t>
      </w:r>
      <w:r w:rsidR="00DB1A67" w:rsidRPr="00C74D34">
        <w:rPr>
          <w:szCs w:val="26"/>
        </w:rPr>
        <w:t xml:space="preserve"> as a regional </w:t>
      </w:r>
      <w:r w:rsidR="00F26D53" w:rsidRPr="00C74D34">
        <w:rPr>
          <w:szCs w:val="26"/>
        </w:rPr>
        <w:t>transmission plan to alleviate congestion, Project 9A satisfies the “need”</w:t>
      </w:r>
      <w:r w:rsidR="006B598A" w:rsidRPr="00C74D34">
        <w:rPr>
          <w:szCs w:val="26"/>
        </w:rPr>
        <w:t xml:space="preserve"> </w:t>
      </w:r>
      <w:r w:rsidR="00F26D53" w:rsidRPr="00C74D34">
        <w:rPr>
          <w:szCs w:val="26"/>
        </w:rPr>
        <w:t xml:space="preserve">requirement under 52 Pa. Code §57.76(a).  </w:t>
      </w:r>
      <w:proofErr w:type="spellStart"/>
      <w:r w:rsidR="0066625E" w:rsidRPr="00C74D34">
        <w:rPr>
          <w:szCs w:val="26"/>
        </w:rPr>
        <w:t>Transource</w:t>
      </w:r>
      <w:proofErr w:type="spellEnd"/>
      <w:r w:rsidR="0066625E" w:rsidRPr="00C74D34">
        <w:rPr>
          <w:szCs w:val="26"/>
        </w:rPr>
        <w:t xml:space="preserve"> M.B. at </w:t>
      </w:r>
      <w:r w:rsidR="00774D78" w:rsidRPr="00C74D34">
        <w:rPr>
          <w:szCs w:val="26"/>
        </w:rPr>
        <w:t>35-73.</w:t>
      </w:r>
      <w:r w:rsidR="0066625E" w:rsidRPr="00C74D34">
        <w:rPr>
          <w:szCs w:val="26"/>
        </w:rPr>
        <w:t xml:space="preserve"> </w:t>
      </w:r>
    </w:p>
    <w:p w14:paraId="4EA01079" w14:textId="77777777" w:rsidR="0066625E" w:rsidRPr="00C74D34" w:rsidRDefault="0066625E" w:rsidP="002D03FA">
      <w:pPr>
        <w:ind w:firstLine="1440"/>
        <w:rPr>
          <w:szCs w:val="26"/>
        </w:rPr>
      </w:pPr>
    </w:p>
    <w:p w14:paraId="49F11D9C" w14:textId="011A456B" w:rsidR="005B5ED8" w:rsidRPr="00C74D34" w:rsidRDefault="0066625E" w:rsidP="002D03FA">
      <w:pPr>
        <w:ind w:firstLine="1440"/>
        <w:rPr>
          <w:szCs w:val="26"/>
        </w:rPr>
      </w:pPr>
      <w:r w:rsidRPr="00C74D34">
        <w:rPr>
          <w:szCs w:val="26"/>
        </w:rPr>
        <w:t>Specifically, w</w:t>
      </w:r>
      <w:r w:rsidR="005B5ED8" w:rsidRPr="00C74D34">
        <w:rPr>
          <w:szCs w:val="26"/>
        </w:rPr>
        <w:t xml:space="preserve">ith respect to </w:t>
      </w:r>
      <w:r w:rsidR="004C5700" w:rsidRPr="00C74D34">
        <w:rPr>
          <w:szCs w:val="26"/>
        </w:rPr>
        <w:t>regional transmission planning needs,</w:t>
      </w:r>
      <w:r w:rsidR="0041319B" w:rsidRPr="00C74D34">
        <w:rPr>
          <w:szCs w:val="26"/>
        </w:rPr>
        <w:t xml:space="preserve"> </w:t>
      </w:r>
      <w:proofErr w:type="spellStart"/>
      <w:r w:rsidR="0001360A" w:rsidRPr="00C74D34">
        <w:rPr>
          <w:szCs w:val="26"/>
        </w:rPr>
        <w:t>Transource</w:t>
      </w:r>
      <w:proofErr w:type="spellEnd"/>
      <w:r w:rsidR="0001360A" w:rsidRPr="00C74D34">
        <w:rPr>
          <w:szCs w:val="26"/>
        </w:rPr>
        <w:t xml:space="preserve"> cited </w:t>
      </w:r>
      <w:r w:rsidR="00FA357C" w:rsidRPr="00C74D34">
        <w:rPr>
          <w:szCs w:val="26"/>
        </w:rPr>
        <w:t xml:space="preserve">the federal authority under which PJM performs its duties and the Pennsylvania authority which </w:t>
      </w:r>
      <w:r w:rsidR="00B04033" w:rsidRPr="00C74D34">
        <w:rPr>
          <w:szCs w:val="26"/>
        </w:rPr>
        <w:t xml:space="preserve">has approved prior determination </w:t>
      </w:r>
      <w:r w:rsidR="00F47331" w:rsidRPr="00C74D34">
        <w:rPr>
          <w:szCs w:val="26"/>
        </w:rPr>
        <w:t>o</w:t>
      </w:r>
      <w:r w:rsidR="00B04033" w:rsidRPr="00C74D34">
        <w:rPr>
          <w:szCs w:val="26"/>
        </w:rPr>
        <w:t>f</w:t>
      </w:r>
      <w:r w:rsidR="00F47331" w:rsidRPr="00C74D34">
        <w:rPr>
          <w:szCs w:val="26"/>
        </w:rPr>
        <w:t xml:space="preserve"> </w:t>
      </w:r>
      <w:r w:rsidR="00B04033" w:rsidRPr="00C74D34">
        <w:rPr>
          <w:szCs w:val="26"/>
        </w:rPr>
        <w:t xml:space="preserve">need by PJM. </w:t>
      </w:r>
      <w:r w:rsidR="0041319B" w:rsidRPr="00C74D34">
        <w:rPr>
          <w:szCs w:val="26"/>
          <w:highlight w:val="yellow"/>
        </w:rPr>
        <w:t xml:space="preserve"> </w:t>
      </w:r>
      <w:proofErr w:type="spellStart"/>
      <w:r w:rsidR="0041319B" w:rsidRPr="00C74D34">
        <w:rPr>
          <w:szCs w:val="26"/>
        </w:rPr>
        <w:t>Transource</w:t>
      </w:r>
      <w:proofErr w:type="spellEnd"/>
      <w:r w:rsidR="0041319B" w:rsidRPr="00C74D34">
        <w:rPr>
          <w:szCs w:val="26"/>
        </w:rPr>
        <w:t xml:space="preserve"> M</w:t>
      </w:r>
      <w:r w:rsidR="00C41322" w:rsidRPr="00C74D34">
        <w:rPr>
          <w:szCs w:val="26"/>
        </w:rPr>
        <w:t>. B. at 20-23</w:t>
      </w:r>
      <w:r w:rsidR="0041319B" w:rsidRPr="00C74D34">
        <w:rPr>
          <w:szCs w:val="26"/>
        </w:rPr>
        <w:t xml:space="preserve">. </w:t>
      </w:r>
      <w:r w:rsidR="0001360A" w:rsidRPr="00C74D34">
        <w:rPr>
          <w:szCs w:val="26"/>
        </w:rPr>
        <w:t xml:space="preserve"> </w:t>
      </w:r>
    </w:p>
    <w:p w14:paraId="3B6901C3" w14:textId="77777777" w:rsidR="00E92224" w:rsidRPr="00C74D34" w:rsidRDefault="00E92224" w:rsidP="002D03FA">
      <w:pPr>
        <w:ind w:firstLine="1440"/>
        <w:rPr>
          <w:szCs w:val="26"/>
        </w:rPr>
      </w:pPr>
    </w:p>
    <w:p w14:paraId="13582C57" w14:textId="67E5BFC8" w:rsidR="00A3608D" w:rsidRPr="00C74D34" w:rsidRDefault="00A3608D" w:rsidP="002D03FA">
      <w:pPr>
        <w:ind w:firstLine="1440"/>
        <w:rPr>
          <w:szCs w:val="26"/>
        </w:rPr>
      </w:pPr>
      <w:proofErr w:type="spellStart"/>
      <w:r w:rsidRPr="00C74D34">
        <w:rPr>
          <w:szCs w:val="26"/>
        </w:rPr>
        <w:t>Transource</w:t>
      </w:r>
      <w:proofErr w:type="spellEnd"/>
      <w:r w:rsidRPr="00C74D34">
        <w:rPr>
          <w:szCs w:val="26"/>
        </w:rPr>
        <w:t xml:space="preserve"> </w:t>
      </w:r>
      <w:r w:rsidR="005B5ED8" w:rsidRPr="00C74D34">
        <w:rPr>
          <w:szCs w:val="26"/>
        </w:rPr>
        <w:t xml:space="preserve">further </w:t>
      </w:r>
      <w:r w:rsidRPr="00C74D34">
        <w:rPr>
          <w:szCs w:val="26"/>
        </w:rPr>
        <w:t>asserted that the PJM’s market efficiency process itself reflects that the need f</w:t>
      </w:r>
      <w:r w:rsidR="0086238B" w:rsidRPr="00C74D34">
        <w:rPr>
          <w:szCs w:val="26"/>
        </w:rPr>
        <w:t>o</w:t>
      </w:r>
      <w:r w:rsidRPr="00C74D34">
        <w:rPr>
          <w:szCs w:val="26"/>
        </w:rPr>
        <w:t>r Project 9A is well established.</w:t>
      </w:r>
      <w:r w:rsidR="00B11342" w:rsidRPr="00C74D34">
        <w:rPr>
          <w:szCs w:val="26"/>
        </w:rPr>
        <w:t xml:space="preserve">  </w:t>
      </w:r>
      <w:proofErr w:type="spellStart"/>
      <w:r w:rsidRPr="00C74D34">
        <w:rPr>
          <w:szCs w:val="26"/>
        </w:rPr>
        <w:t>Transource</w:t>
      </w:r>
      <w:proofErr w:type="spellEnd"/>
      <w:r w:rsidRPr="00C74D34">
        <w:rPr>
          <w:szCs w:val="26"/>
        </w:rPr>
        <w:t xml:space="preserve"> noted that PJM identified significant and persistent congestion on the AP South and related constraints and solicited competitive proposals to address the congestion.  As part of its review, PJM reviewed 41 competitive proposals and selected </w:t>
      </w:r>
      <w:proofErr w:type="spellStart"/>
      <w:r w:rsidRPr="00C74D34">
        <w:rPr>
          <w:szCs w:val="26"/>
        </w:rPr>
        <w:t>Transource’s</w:t>
      </w:r>
      <w:proofErr w:type="spellEnd"/>
      <w:r w:rsidRPr="00C74D34">
        <w:rPr>
          <w:szCs w:val="26"/>
        </w:rPr>
        <w:t xml:space="preserve"> Project 9A as the more efficient, cost effective solution.  The PJM Board subsequently approved the modification of the eastern portion of the IEC Project of Project 9A,</w:t>
      </w:r>
      <w:r w:rsidR="00E159A7" w:rsidRPr="00C74D34">
        <w:rPr>
          <w:szCs w:val="26"/>
        </w:rPr>
        <w:t xml:space="preserve"> </w:t>
      </w:r>
      <w:r w:rsidRPr="00C74D34">
        <w:rPr>
          <w:szCs w:val="26"/>
        </w:rPr>
        <w:t xml:space="preserve">contingent upon approvals in both Pennsylvania and Maryland. </w:t>
      </w:r>
      <w:r w:rsidR="0086238B" w:rsidRPr="00C74D34">
        <w:rPr>
          <w:szCs w:val="26"/>
        </w:rPr>
        <w:t xml:space="preserve"> </w:t>
      </w:r>
      <w:proofErr w:type="spellStart"/>
      <w:r w:rsidR="00EC7A18" w:rsidRPr="00C74D34">
        <w:rPr>
          <w:szCs w:val="26"/>
        </w:rPr>
        <w:t>Transource</w:t>
      </w:r>
      <w:proofErr w:type="spellEnd"/>
      <w:r w:rsidR="00EC7A18" w:rsidRPr="00C74D34">
        <w:rPr>
          <w:szCs w:val="26"/>
        </w:rPr>
        <w:t xml:space="preserve"> M.B. at</w:t>
      </w:r>
      <w:r w:rsidR="00774D78" w:rsidRPr="00C74D34">
        <w:rPr>
          <w:szCs w:val="26"/>
        </w:rPr>
        <w:t xml:space="preserve"> 40-45</w:t>
      </w:r>
      <w:r w:rsidR="00EC7A18" w:rsidRPr="00C74D34">
        <w:rPr>
          <w:szCs w:val="26"/>
        </w:rPr>
        <w:t xml:space="preserve">. </w:t>
      </w:r>
    </w:p>
    <w:p w14:paraId="38A9B1BD" w14:textId="77777777" w:rsidR="00A3608D" w:rsidRPr="00C74D34" w:rsidRDefault="00A3608D" w:rsidP="002D03FA">
      <w:pPr>
        <w:rPr>
          <w:szCs w:val="26"/>
        </w:rPr>
      </w:pPr>
    </w:p>
    <w:p w14:paraId="54AEEA71" w14:textId="7CD39B5E" w:rsidR="00A3608D" w:rsidRPr="00C74D34" w:rsidRDefault="00A3608D" w:rsidP="002D03FA">
      <w:pPr>
        <w:ind w:firstLine="1440"/>
        <w:rPr>
          <w:szCs w:val="26"/>
        </w:rPr>
      </w:pPr>
      <w:proofErr w:type="spellStart"/>
      <w:r w:rsidRPr="00C74D34">
        <w:rPr>
          <w:szCs w:val="26"/>
        </w:rPr>
        <w:t>Transource</w:t>
      </w:r>
      <w:proofErr w:type="spellEnd"/>
      <w:r w:rsidRPr="00C74D34">
        <w:rPr>
          <w:szCs w:val="26"/>
        </w:rPr>
        <w:t xml:space="preserve"> asserted that pursuant to</w:t>
      </w:r>
      <w:r w:rsidR="005918DF" w:rsidRPr="00C74D34">
        <w:rPr>
          <w:szCs w:val="26"/>
        </w:rPr>
        <w:t xml:space="preserve"> </w:t>
      </w:r>
      <w:r w:rsidR="00437E7B" w:rsidRPr="00C74D34">
        <w:rPr>
          <w:szCs w:val="26"/>
        </w:rPr>
        <w:t xml:space="preserve">the decision in </w:t>
      </w:r>
      <w:r w:rsidR="00437E7B" w:rsidRPr="00C74D34">
        <w:rPr>
          <w:i/>
          <w:iCs/>
          <w:szCs w:val="26"/>
        </w:rPr>
        <w:t>Application of Trans-Allegheny Interstate Line Company</w:t>
      </w:r>
      <w:r w:rsidR="00437E7B" w:rsidRPr="00C74D34">
        <w:rPr>
          <w:szCs w:val="26"/>
        </w:rPr>
        <w:t xml:space="preserve"> (</w:t>
      </w:r>
      <w:proofErr w:type="spellStart"/>
      <w:r w:rsidR="005918DF" w:rsidRPr="00C74D34">
        <w:rPr>
          <w:i/>
          <w:iCs/>
          <w:szCs w:val="26"/>
        </w:rPr>
        <w:t>TrAILC</w:t>
      </w:r>
      <w:r w:rsidR="000A5A85" w:rsidRPr="00C74D34">
        <w:rPr>
          <w:i/>
          <w:iCs/>
          <w:szCs w:val="26"/>
        </w:rPr>
        <w:t>o</w:t>
      </w:r>
      <w:proofErr w:type="spellEnd"/>
      <w:r w:rsidR="00870B3C" w:rsidRPr="00C74D34">
        <w:rPr>
          <w:i/>
          <w:iCs/>
          <w:szCs w:val="26"/>
        </w:rPr>
        <w:t xml:space="preserve"> Case</w:t>
      </w:r>
      <w:r w:rsidR="00437E7B" w:rsidRPr="00C74D34">
        <w:rPr>
          <w:szCs w:val="26"/>
        </w:rPr>
        <w:t xml:space="preserve">) </w:t>
      </w:r>
      <w:r w:rsidR="002057B1" w:rsidRPr="00C74D34">
        <w:rPr>
          <w:szCs w:val="26"/>
        </w:rPr>
        <w:t xml:space="preserve">this </w:t>
      </w:r>
      <w:r w:rsidRPr="00C74D34">
        <w:rPr>
          <w:szCs w:val="26"/>
        </w:rPr>
        <w:t xml:space="preserve">Commission is required to work with the Federal government and other states with respect to the interstate transmission </w:t>
      </w:r>
      <w:r w:rsidRPr="00C74D34">
        <w:rPr>
          <w:szCs w:val="26"/>
        </w:rPr>
        <w:lastRenderedPageBreak/>
        <w:t xml:space="preserve">system and interstate power pools to enhance competition and complement electric restructuring.  </w:t>
      </w:r>
      <w:proofErr w:type="spellStart"/>
      <w:r w:rsidR="00437E7B" w:rsidRPr="00C74D34">
        <w:rPr>
          <w:szCs w:val="26"/>
        </w:rPr>
        <w:t>Transource</w:t>
      </w:r>
      <w:proofErr w:type="spellEnd"/>
      <w:r w:rsidR="00437E7B" w:rsidRPr="00C74D34">
        <w:rPr>
          <w:szCs w:val="26"/>
        </w:rPr>
        <w:t xml:space="preserve"> M.B. at 21.  </w:t>
      </w:r>
      <w:r w:rsidRPr="00C74D34">
        <w:rPr>
          <w:szCs w:val="26"/>
        </w:rPr>
        <w:t xml:space="preserve">Accordingly, </w:t>
      </w:r>
      <w:proofErr w:type="spellStart"/>
      <w:r w:rsidRPr="00C74D34">
        <w:rPr>
          <w:szCs w:val="26"/>
        </w:rPr>
        <w:t>Transource</w:t>
      </w:r>
      <w:proofErr w:type="spellEnd"/>
      <w:r w:rsidRPr="00C74D34">
        <w:rPr>
          <w:szCs w:val="26"/>
        </w:rPr>
        <w:t xml:space="preserve"> maintained that Pennsylvania is served by PJM and is therefore required under the Code to work with PJM to operate the transmission system and interstate power pools.  </w:t>
      </w:r>
    </w:p>
    <w:p w14:paraId="5C5BE3F0" w14:textId="77777777" w:rsidR="006D7103" w:rsidRPr="00C74D34" w:rsidRDefault="006D7103" w:rsidP="002D03FA">
      <w:pPr>
        <w:ind w:firstLine="1440"/>
        <w:rPr>
          <w:szCs w:val="26"/>
        </w:rPr>
      </w:pPr>
    </w:p>
    <w:p w14:paraId="5564E557" w14:textId="7F35DDEC" w:rsidR="00A3608D" w:rsidRPr="00C74D34" w:rsidRDefault="00A3608D" w:rsidP="002D03FA">
      <w:pPr>
        <w:ind w:firstLine="1440"/>
        <w:rPr>
          <w:szCs w:val="26"/>
        </w:rPr>
      </w:pPr>
      <w:proofErr w:type="spellStart"/>
      <w:r w:rsidRPr="00C74D34">
        <w:rPr>
          <w:szCs w:val="26"/>
        </w:rPr>
        <w:t>Transource</w:t>
      </w:r>
      <w:proofErr w:type="spellEnd"/>
      <w:r w:rsidRPr="00C74D34">
        <w:rPr>
          <w:szCs w:val="26"/>
        </w:rPr>
        <w:t xml:space="preserve"> concluded that, once approved by PJM pursuant to a FERC-approved planning process, a market efficiency transmission project such as Project 9A, has indisputably satisfied the preponderance of evidence to establish the “need” requirement under the Commission’s </w:t>
      </w:r>
      <w:r w:rsidR="004C47D1" w:rsidRPr="00C74D34">
        <w:rPr>
          <w:szCs w:val="26"/>
        </w:rPr>
        <w:t>R</w:t>
      </w:r>
      <w:r w:rsidRPr="00C74D34">
        <w:rPr>
          <w:szCs w:val="26"/>
        </w:rPr>
        <w:t xml:space="preserve">egulations.  </w:t>
      </w:r>
      <w:proofErr w:type="spellStart"/>
      <w:r w:rsidRPr="00C74D34">
        <w:rPr>
          <w:szCs w:val="26"/>
        </w:rPr>
        <w:t>Transource</w:t>
      </w:r>
      <w:proofErr w:type="spellEnd"/>
      <w:r w:rsidRPr="00C74D34">
        <w:rPr>
          <w:szCs w:val="26"/>
        </w:rPr>
        <w:t xml:space="preserve"> M.B. at </w:t>
      </w:r>
      <w:r w:rsidR="00437E7B" w:rsidRPr="00C74D34">
        <w:rPr>
          <w:szCs w:val="26"/>
        </w:rPr>
        <w:t>14 and 72</w:t>
      </w:r>
      <w:r w:rsidRPr="00C74D34">
        <w:rPr>
          <w:szCs w:val="26"/>
        </w:rPr>
        <w:t xml:space="preserve">.  </w:t>
      </w:r>
    </w:p>
    <w:p w14:paraId="1ABF10DA" w14:textId="77777777" w:rsidR="00A3608D" w:rsidRPr="00C74D34" w:rsidRDefault="00A3608D" w:rsidP="002D03FA">
      <w:pPr>
        <w:rPr>
          <w:szCs w:val="26"/>
        </w:rPr>
      </w:pPr>
    </w:p>
    <w:p w14:paraId="2EF6314B" w14:textId="498EDF2F" w:rsidR="00A3608D" w:rsidRPr="00C74D34" w:rsidRDefault="00A3608D" w:rsidP="002D03FA">
      <w:pPr>
        <w:ind w:firstLine="1440"/>
        <w:rPr>
          <w:szCs w:val="26"/>
        </w:rPr>
      </w:pPr>
      <w:proofErr w:type="spellStart"/>
      <w:r w:rsidRPr="00C74D34">
        <w:rPr>
          <w:szCs w:val="26"/>
        </w:rPr>
        <w:t>Transource</w:t>
      </w:r>
      <w:proofErr w:type="spellEnd"/>
      <w:r w:rsidRPr="00C74D34">
        <w:rPr>
          <w:szCs w:val="26"/>
        </w:rPr>
        <w:t xml:space="preserve"> argued that the Parties’ arguments challenging PJM’s selection of Project 9A should be rejected.</w:t>
      </w:r>
      <w:r w:rsidR="006D7103" w:rsidRPr="00C74D34">
        <w:rPr>
          <w:szCs w:val="26"/>
        </w:rPr>
        <w:t xml:space="preserve"> </w:t>
      </w:r>
      <w:r w:rsidRPr="00C74D34">
        <w:rPr>
          <w:szCs w:val="26"/>
        </w:rPr>
        <w:t xml:space="preserve"> </w:t>
      </w:r>
      <w:proofErr w:type="spellStart"/>
      <w:r w:rsidRPr="00C74D34">
        <w:rPr>
          <w:szCs w:val="26"/>
        </w:rPr>
        <w:t>Transource</w:t>
      </w:r>
      <w:proofErr w:type="spellEnd"/>
      <w:r w:rsidRPr="00C74D34">
        <w:rPr>
          <w:szCs w:val="26"/>
        </w:rPr>
        <w:t xml:space="preserve"> maintained that any argument that PJM’s FERC-approved benefit-to-cost ratio is flawed, that congestion on the </w:t>
      </w:r>
      <w:r w:rsidRPr="00C74D34">
        <w:t xml:space="preserve">AP South </w:t>
      </w:r>
      <w:r w:rsidR="005E4629" w:rsidRPr="00C74D34">
        <w:t>Reactive Interface</w:t>
      </w:r>
      <w:r w:rsidRPr="00C74D34">
        <w:rPr>
          <w:szCs w:val="26"/>
        </w:rPr>
        <w:t xml:space="preserve"> has decreased and that non-transmission alternatives could eliminate the need for Settlement 9A, must be rejected, so long as PJM’s selection of Project 9A followed its FERC-accepted and tariffed processes for selection of such projects.</w:t>
      </w:r>
      <w:r w:rsidR="00B11342" w:rsidRPr="00C74D34">
        <w:rPr>
          <w:szCs w:val="26"/>
        </w:rPr>
        <w:t xml:space="preserve">  </w:t>
      </w:r>
      <w:proofErr w:type="spellStart"/>
      <w:r w:rsidRPr="00C74D34">
        <w:rPr>
          <w:szCs w:val="26"/>
        </w:rPr>
        <w:t>Transource</w:t>
      </w:r>
      <w:proofErr w:type="spellEnd"/>
      <w:r w:rsidRPr="00C74D34">
        <w:rPr>
          <w:szCs w:val="26"/>
        </w:rPr>
        <w:t xml:space="preserve"> M.B. at</w:t>
      </w:r>
      <w:r w:rsidR="00D44F4A">
        <w:rPr>
          <w:szCs w:val="26"/>
        </w:rPr>
        <w:t> </w:t>
      </w:r>
      <w:r w:rsidR="00437E7B" w:rsidRPr="00C74D34">
        <w:rPr>
          <w:szCs w:val="26"/>
        </w:rPr>
        <w:t>58-70</w:t>
      </w:r>
      <w:r w:rsidRPr="00C74D34">
        <w:rPr>
          <w:szCs w:val="26"/>
        </w:rPr>
        <w:t xml:space="preserve">.  </w:t>
      </w:r>
    </w:p>
    <w:p w14:paraId="35CDE9A1" w14:textId="77777777" w:rsidR="00A3608D" w:rsidRPr="00C74D34" w:rsidRDefault="00A3608D" w:rsidP="002D03FA">
      <w:pPr>
        <w:rPr>
          <w:szCs w:val="26"/>
        </w:rPr>
      </w:pPr>
    </w:p>
    <w:p w14:paraId="367AE095" w14:textId="382EEA98" w:rsidR="00F77150" w:rsidRPr="00C74D34" w:rsidRDefault="00A3608D" w:rsidP="002D03FA">
      <w:pPr>
        <w:ind w:firstLine="1440"/>
        <w:rPr>
          <w:szCs w:val="26"/>
        </w:rPr>
      </w:pPr>
      <w:r w:rsidRPr="00C74D34">
        <w:rPr>
          <w:szCs w:val="26"/>
        </w:rPr>
        <w:t xml:space="preserve">In addition, </w:t>
      </w:r>
      <w:proofErr w:type="spellStart"/>
      <w:r w:rsidRPr="00C74D34">
        <w:rPr>
          <w:szCs w:val="26"/>
        </w:rPr>
        <w:t>Transource</w:t>
      </w:r>
      <w:proofErr w:type="spellEnd"/>
      <w:r w:rsidRPr="00C74D34">
        <w:rPr>
          <w:szCs w:val="26"/>
        </w:rPr>
        <w:t xml:space="preserve"> argued that the Parties’ arguments that PJM’s benefit-to-cost methodology is flawed</w:t>
      </w:r>
      <w:r w:rsidR="000D61DE" w:rsidRPr="00C74D34">
        <w:rPr>
          <w:szCs w:val="26"/>
        </w:rPr>
        <w:t xml:space="preserve"> due to outdated data </w:t>
      </w:r>
      <w:r w:rsidRPr="00C74D34">
        <w:rPr>
          <w:szCs w:val="26"/>
        </w:rPr>
        <w:t>should be denied.</w:t>
      </w:r>
      <w:r w:rsidR="00B11342" w:rsidRPr="00C74D34">
        <w:rPr>
          <w:szCs w:val="26"/>
        </w:rPr>
        <w:t xml:space="preserve">  </w:t>
      </w:r>
      <w:proofErr w:type="spellStart"/>
      <w:r w:rsidR="00F77150" w:rsidRPr="00C74D34">
        <w:rPr>
          <w:szCs w:val="26"/>
        </w:rPr>
        <w:t>Transource</w:t>
      </w:r>
      <w:r w:rsidR="00086B39" w:rsidRPr="00C74D34">
        <w:rPr>
          <w:szCs w:val="26"/>
        </w:rPr>
        <w:t>’s</w:t>
      </w:r>
      <w:proofErr w:type="spellEnd"/>
      <w:r w:rsidR="00F77150" w:rsidRPr="00C74D34">
        <w:rPr>
          <w:szCs w:val="26"/>
        </w:rPr>
        <w:t xml:space="preserve"> witness, Mr. Weber, refute</w:t>
      </w:r>
      <w:r w:rsidR="00086B39" w:rsidRPr="00C74D34">
        <w:rPr>
          <w:szCs w:val="26"/>
        </w:rPr>
        <w:t>d</w:t>
      </w:r>
      <w:r w:rsidR="00F77150" w:rsidRPr="00C74D34">
        <w:rPr>
          <w:szCs w:val="26"/>
        </w:rPr>
        <w:t xml:space="preserve"> the testimony of Franklin County’s witness </w:t>
      </w:r>
      <w:proofErr w:type="spellStart"/>
      <w:r w:rsidR="00F77150" w:rsidRPr="00C74D34">
        <w:rPr>
          <w:szCs w:val="26"/>
        </w:rPr>
        <w:t>McGavern</w:t>
      </w:r>
      <w:proofErr w:type="spellEnd"/>
      <w:r w:rsidR="00F77150" w:rsidRPr="00C74D34">
        <w:rPr>
          <w:szCs w:val="26"/>
        </w:rPr>
        <w:t xml:space="preserve">, who testified the cost/benefit analysis was flawed due to the reliance on outdated data.  Mr. Weber testified that costs estimates are reviewed quarterly and that the latest comprehensive cost update was provided to PJM in April 2020.  </w:t>
      </w:r>
      <w:proofErr w:type="spellStart"/>
      <w:r w:rsidR="00F77150" w:rsidRPr="00C74D34">
        <w:rPr>
          <w:szCs w:val="26"/>
        </w:rPr>
        <w:t>Transource</w:t>
      </w:r>
      <w:proofErr w:type="spellEnd"/>
      <w:r w:rsidR="00F77150" w:rsidRPr="00C74D34">
        <w:rPr>
          <w:szCs w:val="26"/>
        </w:rPr>
        <w:t xml:space="preserve"> St. No. 1AA-RJ, p. 3.  R.D. at </w:t>
      </w:r>
      <w:r w:rsidR="00A24A45" w:rsidRPr="00C74D34">
        <w:rPr>
          <w:szCs w:val="26"/>
        </w:rPr>
        <w:t xml:space="preserve">66; </w:t>
      </w:r>
      <w:proofErr w:type="spellStart"/>
      <w:r w:rsidR="00F77150" w:rsidRPr="00C74D34">
        <w:rPr>
          <w:szCs w:val="26"/>
        </w:rPr>
        <w:t>Transource</w:t>
      </w:r>
      <w:proofErr w:type="spellEnd"/>
      <w:r w:rsidR="00F77150" w:rsidRPr="00C74D34">
        <w:rPr>
          <w:szCs w:val="26"/>
        </w:rPr>
        <w:t xml:space="preserve"> St. No. 1AA-RJ, p. 4.  </w:t>
      </w:r>
    </w:p>
    <w:p w14:paraId="23067A30" w14:textId="77777777" w:rsidR="00F77150" w:rsidRPr="00C74D34" w:rsidRDefault="00F77150" w:rsidP="002D03FA">
      <w:pPr>
        <w:rPr>
          <w:szCs w:val="26"/>
        </w:rPr>
      </w:pPr>
      <w:r w:rsidRPr="00C74D34">
        <w:rPr>
          <w:szCs w:val="26"/>
        </w:rPr>
        <w:t xml:space="preserve"> </w:t>
      </w:r>
    </w:p>
    <w:p w14:paraId="4A8A56E8" w14:textId="6796BD21" w:rsidR="00F77150" w:rsidRDefault="00F77150" w:rsidP="002D03FA">
      <w:pPr>
        <w:ind w:firstLine="720"/>
        <w:rPr>
          <w:szCs w:val="26"/>
        </w:rPr>
      </w:pPr>
      <w:r w:rsidRPr="00C74D34">
        <w:rPr>
          <w:szCs w:val="26"/>
        </w:rPr>
        <w:t xml:space="preserve"> </w:t>
      </w:r>
      <w:r w:rsidRPr="00C74D34">
        <w:rPr>
          <w:szCs w:val="26"/>
        </w:rPr>
        <w:tab/>
        <w:t xml:space="preserve">Further, </w:t>
      </w:r>
      <w:proofErr w:type="spellStart"/>
      <w:r w:rsidRPr="00C74D34">
        <w:rPr>
          <w:szCs w:val="26"/>
        </w:rPr>
        <w:t>Transource</w:t>
      </w:r>
      <w:proofErr w:type="spellEnd"/>
      <w:r w:rsidRPr="00C74D34">
        <w:rPr>
          <w:szCs w:val="26"/>
        </w:rPr>
        <w:t xml:space="preserve"> argue</w:t>
      </w:r>
      <w:r w:rsidR="00664BDC" w:rsidRPr="00C74D34">
        <w:rPr>
          <w:szCs w:val="26"/>
        </w:rPr>
        <w:t>d</w:t>
      </w:r>
      <w:r w:rsidRPr="00C74D34">
        <w:rPr>
          <w:szCs w:val="26"/>
        </w:rPr>
        <w:t xml:space="preserve"> that the Project 9A was re-evaluated by PJM multiple times and has passed the benefit-to-cost ratio every time.  The chart below </w:t>
      </w:r>
      <w:r w:rsidRPr="00C74D34">
        <w:rPr>
          <w:szCs w:val="26"/>
        </w:rPr>
        <w:lastRenderedPageBreak/>
        <w:t xml:space="preserve">identifies all the times that Project 9A was evaluated and the resulting benefit- to-cost ratio. </w:t>
      </w:r>
    </w:p>
    <w:p w14:paraId="1CE27B80" w14:textId="77777777" w:rsidR="00C13DA7" w:rsidRPr="00C74D34" w:rsidRDefault="00C13DA7" w:rsidP="00C13DA7">
      <w:pPr>
        <w:spacing w:line="240" w:lineRule="auto"/>
        <w:ind w:firstLine="720"/>
        <w:rPr>
          <w:szCs w:val="26"/>
        </w:rPr>
      </w:pPr>
    </w:p>
    <w:tbl>
      <w:tblPr>
        <w:tblStyle w:val="TableGrid1"/>
        <w:tblW w:w="9578" w:type="dxa"/>
        <w:tblInd w:w="-17" w:type="dxa"/>
        <w:tblCellMar>
          <w:top w:w="48" w:type="dxa"/>
          <w:left w:w="108" w:type="dxa"/>
          <w:right w:w="115" w:type="dxa"/>
        </w:tblCellMar>
        <w:tblLook w:val="04A0" w:firstRow="1" w:lastRow="0" w:firstColumn="1" w:lastColumn="0" w:noHBand="0" w:noVBand="1"/>
      </w:tblPr>
      <w:tblGrid>
        <w:gridCol w:w="4789"/>
        <w:gridCol w:w="4789"/>
      </w:tblGrid>
      <w:tr w:rsidR="00E9750C" w:rsidRPr="00C74D34" w14:paraId="324321F8" w14:textId="77777777" w:rsidTr="00B11342">
        <w:trPr>
          <w:trHeight w:val="548"/>
        </w:trPr>
        <w:tc>
          <w:tcPr>
            <w:tcW w:w="4789" w:type="dxa"/>
            <w:tcBorders>
              <w:top w:val="single" w:sz="4" w:space="0" w:color="000000"/>
              <w:left w:val="single" w:sz="4" w:space="0" w:color="000000"/>
              <w:bottom w:val="single" w:sz="4" w:space="0" w:color="000000"/>
              <w:right w:val="single" w:sz="4" w:space="0" w:color="000000"/>
            </w:tcBorders>
          </w:tcPr>
          <w:p w14:paraId="0026B3B8" w14:textId="77777777" w:rsidR="00E9750C" w:rsidRPr="00C74D34" w:rsidRDefault="00E9750C" w:rsidP="002D03FA">
            <w:pPr>
              <w:spacing w:line="259" w:lineRule="auto"/>
              <w:ind w:left="9"/>
              <w:jc w:val="center"/>
              <w:rPr>
                <w:rFonts w:ascii="Times New Roman" w:hAnsi="Times New Roman" w:cs="Times New Roman"/>
                <w:szCs w:val="26"/>
              </w:rPr>
            </w:pPr>
            <w:r w:rsidRPr="00C74D34">
              <w:rPr>
                <w:rFonts w:ascii="Times New Roman" w:eastAsia="Calibri" w:hAnsi="Times New Roman" w:cs="Times New Roman"/>
                <w:b/>
                <w:szCs w:val="26"/>
              </w:rPr>
              <w:t xml:space="preserve">IEC Evaluation </w:t>
            </w:r>
          </w:p>
        </w:tc>
        <w:tc>
          <w:tcPr>
            <w:tcW w:w="4789" w:type="dxa"/>
            <w:tcBorders>
              <w:top w:val="single" w:sz="4" w:space="0" w:color="000000"/>
              <w:left w:val="single" w:sz="4" w:space="0" w:color="000000"/>
              <w:bottom w:val="single" w:sz="4" w:space="0" w:color="000000"/>
              <w:right w:val="single" w:sz="4" w:space="0" w:color="000000"/>
            </w:tcBorders>
          </w:tcPr>
          <w:p w14:paraId="67C95808" w14:textId="77777777" w:rsidR="00E9750C" w:rsidRPr="00C74D34" w:rsidRDefault="00E9750C" w:rsidP="002D03FA">
            <w:pPr>
              <w:spacing w:line="259" w:lineRule="auto"/>
              <w:ind w:left="11"/>
              <w:jc w:val="center"/>
              <w:rPr>
                <w:rFonts w:ascii="Times New Roman" w:hAnsi="Times New Roman" w:cs="Times New Roman"/>
                <w:szCs w:val="26"/>
              </w:rPr>
            </w:pPr>
            <w:r w:rsidRPr="00C74D34">
              <w:rPr>
                <w:rFonts w:ascii="Times New Roman" w:eastAsia="Calibri" w:hAnsi="Times New Roman" w:cs="Times New Roman"/>
                <w:b/>
                <w:szCs w:val="26"/>
              </w:rPr>
              <w:t xml:space="preserve">Benefit/Cost Ratio </w:t>
            </w:r>
          </w:p>
        </w:tc>
      </w:tr>
      <w:tr w:rsidR="00E9750C" w:rsidRPr="00C74D34" w14:paraId="1A211231" w14:textId="77777777" w:rsidTr="00B11342">
        <w:trPr>
          <w:trHeight w:val="547"/>
        </w:trPr>
        <w:tc>
          <w:tcPr>
            <w:tcW w:w="4789" w:type="dxa"/>
            <w:tcBorders>
              <w:top w:val="single" w:sz="4" w:space="0" w:color="000000"/>
              <w:left w:val="single" w:sz="4" w:space="0" w:color="000000"/>
              <w:bottom w:val="single" w:sz="4" w:space="0" w:color="000000"/>
              <w:right w:val="single" w:sz="4" w:space="0" w:color="000000"/>
            </w:tcBorders>
          </w:tcPr>
          <w:p w14:paraId="547B0102"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Original </w:t>
            </w:r>
          </w:p>
          <w:p w14:paraId="0DE2825F"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August 11, 2016-Board Presentation </w:t>
            </w:r>
          </w:p>
        </w:tc>
        <w:tc>
          <w:tcPr>
            <w:tcW w:w="4789" w:type="dxa"/>
            <w:tcBorders>
              <w:top w:val="single" w:sz="4" w:space="0" w:color="000000"/>
              <w:left w:val="single" w:sz="4" w:space="0" w:color="000000"/>
              <w:bottom w:val="single" w:sz="4" w:space="0" w:color="000000"/>
              <w:right w:val="single" w:sz="4" w:space="0" w:color="000000"/>
            </w:tcBorders>
          </w:tcPr>
          <w:p w14:paraId="45B0256B" w14:textId="77777777" w:rsidR="00E9750C" w:rsidRPr="00C74D34" w:rsidRDefault="00E9750C" w:rsidP="002D03FA">
            <w:pPr>
              <w:spacing w:line="259" w:lineRule="auto"/>
              <w:ind w:left="55"/>
              <w:jc w:val="center"/>
              <w:rPr>
                <w:rFonts w:ascii="Times New Roman" w:hAnsi="Times New Roman" w:cs="Times New Roman"/>
                <w:szCs w:val="26"/>
              </w:rPr>
            </w:pPr>
            <w:r w:rsidRPr="00C74D34">
              <w:rPr>
                <w:rFonts w:ascii="Times New Roman" w:eastAsia="Calibri" w:hAnsi="Times New Roman" w:cs="Times New Roman"/>
                <w:szCs w:val="26"/>
              </w:rPr>
              <w:t xml:space="preserve"> </w:t>
            </w:r>
          </w:p>
          <w:p w14:paraId="11984879" w14:textId="77777777" w:rsidR="00E9750C" w:rsidRPr="00C74D34" w:rsidRDefault="00E9750C" w:rsidP="002D03FA">
            <w:pPr>
              <w:spacing w:line="259" w:lineRule="auto"/>
              <w:ind w:left="8"/>
              <w:jc w:val="center"/>
              <w:rPr>
                <w:rFonts w:ascii="Times New Roman" w:hAnsi="Times New Roman" w:cs="Times New Roman"/>
                <w:szCs w:val="26"/>
              </w:rPr>
            </w:pPr>
            <w:r w:rsidRPr="00C74D34">
              <w:rPr>
                <w:rFonts w:ascii="Times New Roman" w:eastAsia="Calibri" w:hAnsi="Times New Roman" w:cs="Times New Roman"/>
                <w:szCs w:val="26"/>
              </w:rPr>
              <w:t xml:space="preserve">2.48 </w:t>
            </w:r>
          </w:p>
        </w:tc>
      </w:tr>
      <w:tr w:rsidR="00E9750C" w:rsidRPr="00C74D34" w14:paraId="128EF627" w14:textId="77777777" w:rsidTr="00B11342">
        <w:trPr>
          <w:trHeight w:val="547"/>
        </w:trPr>
        <w:tc>
          <w:tcPr>
            <w:tcW w:w="4789" w:type="dxa"/>
            <w:tcBorders>
              <w:top w:val="single" w:sz="4" w:space="0" w:color="000000"/>
              <w:left w:val="single" w:sz="4" w:space="0" w:color="000000"/>
              <w:bottom w:val="single" w:sz="4" w:space="0" w:color="000000"/>
              <w:right w:val="single" w:sz="4" w:space="0" w:color="000000"/>
            </w:tcBorders>
          </w:tcPr>
          <w:p w14:paraId="01C3992D"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Re-Evaluation No. 1 </w:t>
            </w:r>
          </w:p>
          <w:p w14:paraId="47D80FBD"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September 14, 2017-TEAC Presentation </w:t>
            </w:r>
          </w:p>
        </w:tc>
        <w:tc>
          <w:tcPr>
            <w:tcW w:w="4789" w:type="dxa"/>
            <w:tcBorders>
              <w:top w:val="single" w:sz="4" w:space="0" w:color="000000"/>
              <w:left w:val="single" w:sz="4" w:space="0" w:color="000000"/>
              <w:bottom w:val="single" w:sz="4" w:space="0" w:color="000000"/>
              <w:right w:val="single" w:sz="4" w:space="0" w:color="000000"/>
            </w:tcBorders>
          </w:tcPr>
          <w:p w14:paraId="46E0AEF0" w14:textId="77777777" w:rsidR="00E9750C" w:rsidRPr="00C74D34" w:rsidRDefault="00E9750C" w:rsidP="002D03FA">
            <w:pPr>
              <w:spacing w:line="259" w:lineRule="auto"/>
              <w:ind w:left="55"/>
              <w:jc w:val="center"/>
              <w:rPr>
                <w:rFonts w:ascii="Times New Roman" w:hAnsi="Times New Roman" w:cs="Times New Roman"/>
                <w:szCs w:val="26"/>
              </w:rPr>
            </w:pPr>
            <w:r w:rsidRPr="00C74D34">
              <w:rPr>
                <w:rFonts w:ascii="Times New Roman" w:eastAsia="Calibri" w:hAnsi="Times New Roman" w:cs="Times New Roman"/>
                <w:szCs w:val="26"/>
              </w:rPr>
              <w:t xml:space="preserve"> </w:t>
            </w:r>
          </w:p>
          <w:p w14:paraId="34A3FF89" w14:textId="77777777" w:rsidR="00E9750C" w:rsidRPr="00C74D34" w:rsidRDefault="00E9750C" w:rsidP="002D03FA">
            <w:pPr>
              <w:spacing w:line="259" w:lineRule="auto"/>
              <w:ind w:left="6"/>
              <w:jc w:val="center"/>
              <w:rPr>
                <w:rFonts w:ascii="Times New Roman" w:hAnsi="Times New Roman" w:cs="Times New Roman"/>
                <w:szCs w:val="26"/>
              </w:rPr>
            </w:pPr>
            <w:r w:rsidRPr="00C74D34">
              <w:rPr>
                <w:rFonts w:ascii="Times New Roman" w:eastAsia="Calibri" w:hAnsi="Times New Roman" w:cs="Times New Roman"/>
                <w:szCs w:val="26"/>
              </w:rPr>
              <w:t xml:space="preserve">1.3 </w:t>
            </w:r>
          </w:p>
        </w:tc>
      </w:tr>
      <w:tr w:rsidR="00E9750C" w:rsidRPr="00C74D34" w14:paraId="19F05DAC" w14:textId="77777777" w:rsidTr="00B11342">
        <w:trPr>
          <w:trHeight w:val="814"/>
        </w:trPr>
        <w:tc>
          <w:tcPr>
            <w:tcW w:w="4789" w:type="dxa"/>
            <w:tcBorders>
              <w:top w:val="single" w:sz="4" w:space="0" w:color="000000"/>
              <w:left w:val="single" w:sz="4" w:space="0" w:color="000000"/>
              <w:bottom w:val="single" w:sz="4" w:space="0" w:color="000000"/>
              <w:right w:val="single" w:sz="4" w:space="0" w:color="000000"/>
            </w:tcBorders>
          </w:tcPr>
          <w:p w14:paraId="1185DF4F"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 </w:t>
            </w:r>
          </w:p>
          <w:p w14:paraId="57D48276"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Re-Evaluation No. 2 </w:t>
            </w:r>
          </w:p>
          <w:p w14:paraId="0E9DBB84"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February 8, 2018 – TEAC Presentation </w:t>
            </w:r>
          </w:p>
        </w:tc>
        <w:tc>
          <w:tcPr>
            <w:tcW w:w="4789" w:type="dxa"/>
            <w:tcBorders>
              <w:top w:val="single" w:sz="4" w:space="0" w:color="000000"/>
              <w:left w:val="single" w:sz="4" w:space="0" w:color="000000"/>
              <w:bottom w:val="single" w:sz="4" w:space="0" w:color="000000"/>
              <w:right w:val="single" w:sz="4" w:space="0" w:color="000000"/>
            </w:tcBorders>
          </w:tcPr>
          <w:p w14:paraId="542F77D7"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 </w:t>
            </w:r>
          </w:p>
          <w:p w14:paraId="3C15587C" w14:textId="77777777" w:rsidR="00E9750C" w:rsidRPr="00C74D34" w:rsidRDefault="00E9750C" w:rsidP="002D03FA">
            <w:pPr>
              <w:spacing w:line="259" w:lineRule="auto"/>
              <w:ind w:left="8"/>
              <w:jc w:val="center"/>
              <w:rPr>
                <w:rFonts w:ascii="Times New Roman" w:hAnsi="Times New Roman" w:cs="Times New Roman"/>
                <w:szCs w:val="26"/>
              </w:rPr>
            </w:pPr>
            <w:r w:rsidRPr="00C74D34">
              <w:rPr>
                <w:rFonts w:ascii="Times New Roman" w:eastAsia="Calibri" w:hAnsi="Times New Roman" w:cs="Times New Roman"/>
                <w:szCs w:val="26"/>
              </w:rPr>
              <w:t xml:space="preserve">1.32 </w:t>
            </w:r>
          </w:p>
        </w:tc>
      </w:tr>
      <w:tr w:rsidR="00E9750C" w:rsidRPr="00C74D34" w14:paraId="34A1C3AA" w14:textId="77777777" w:rsidTr="00B11342">
        <w:trPr>
          <w:trHeight w:val="550"/>
        </w:trPr>
        <w:tc>
          <w:tcPr>
            <w:tcW w:w="4789" w:type="dxa"/>
            <w:tcBorders>
              <w:top w:val="single" w:sz="4" w:space="0" w:color="000000"/>
              <w:left w:val="single" w:sz="4" w:space="0" w:color="000000"/>
              <w:bottom w:val="single" w:sz="4" w:space="0" w:color="000000"/>
              <w:right w:val="single" w:sz="4" w:space="0" w:color="000000"/>
            </w:tcBorders>
          </w:tcPr>
          <w:p w14:paraId="3546540B"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Re-Evaluation No. 3 </w:t>
            </w:r>
          </w:p>
          <w:p w14:paraId="66130B8D"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September 13, 2018 – TEAC Presentation </w:t>
            </w:r>
          </w:p>
        </w:tc>
        <w:tc>
          <w:tcPr>
            <w:tcW w:w="4789" w:type="dxa"/>
            <w:tcBorders>
              <w:top w:val="single" w:sz="4" w:space="0" w:color="000000"/>
              <w:left w:val="single" w:sz="4" w:space="0" w:color="000000"/>
              <w:bottom w:val="single" w:sz="4" w:space="0" w:color="000000"/>
              <w:right w:val="single" w:sz="4" w:space="0" w:color="000000"/>
            </w:tcBorders>
          </w:tcPr>
          <w:p w14:paraId="03AF0D19"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 </w:t>
            </w:r>
          </w:p>
          <w:p w14:paraId="6D9628A2" w14:textId="77777777" w:rsidR="00E9750C" w:rsidRPr="00C74D34" w:rsidRDefault="00E9750C" w:rsidP="002D03FA">
            <w:pPr>
              <w:spacing w:line="259" w:lineRule="auto"/>
              <w:ind w:left="8"/>
              <w:jc w:val="center"/>
              <w:rPr>
                <w:rFonts w:ascii="Times New Roman" w:hAnsi="Times New Roman" w:cs="Times New Roman"/>
                <w:szCs w:val="26"/>
              </w:rPr>
            </w:pPr>
            <w:r w:rsidRPr="00C74D34">
              <w:rPr>
                <w:rFonts w:ascii="Times New Roman" w:eastAsia="Calibri" w:hAnsi="Times New Roman" w:cs="Times New Roman"/>
                <w:szCs w:val="26"/>
              </w:rPr>
              <w:t xml:space="preserve">1.42 </w:t>
            </w:r>
          </w:p>
        </w:tc>
      </w:tr>
      <w:tr w:rsidR="00E9750C" w:rsidRPr="00C74D34" w14:paraId="3EA40A8E" w14:textId="77777777" w:rsidTr="00B11342">
        <w:trPr>
          <w:trHeight w:val="548"/>
        </w:trPr>
        <w:tc>
          <w:tcPr>
            <w:tcW w:w="4789" w:type="dxa"/>
            <w:tcBorders>
              <w:top w:val="single" w:sz="4" w:space="0" w:color="000000"/>
              <w:left w:val="single" w:sz="4" w:space="0" w:color="000000"/>
              <w:bottom w:val="single" w:sz="4" w:space="0" w:color="000000"/>
              <w:right w:val="single" w:sz="4" w:space="0" w:color="000000"/>
            </w:tcBorders>
          </w:tcPr>
          <w:p w14:paraId="3CDC317E"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Ratio Update </w:t>
            </w:r>
          </w:p>
          <w:p w14:paraId="6663755B"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October 16, 2018 </w:t>
            </w:r>
          </w:p>
        </w:tc>
        <w:tc>
          <w:tcPr>
            <w:tcW w:w="4789" w:type="dxa"/>
            <w:tcBorders>
              <w:top w:val="single" w:sz="4" w:space="0" w:color="000000"/>
              <w:left w:val="single" w:sz="4" w:space="0" w:color="000000"/>
              <w:bottom w:val="single" w:sz="4" w:space="0" w:color="000000"/>
              <w:right w:val="single" w:sz="4" w:space="0" w:color="000000"/>
            </w:tcBorders>
          </w:tcPr>
          <w:p w14:paraId="109A01F2"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 </w:t>
            </w:r>
          </w:p>
          <w:p w14:paraId="7F496B3D" w14:textId="77777777" w:rsidR="00E9750C" w:rsidRPr="00C74D34" w:rsidRDefault="00E9750C" w:rsidP="002D03FA">
            <w:pPr>
              <w:spacing w:line="259" w:lineRule="auto"/>
              <w:ind w:left="6"/>
              <w:jc w:val="center"/>
              <w:rPr>
                <w:rFonts w:ascii="Times New Roman" w:hAnsi="Times New Roman" w:cs="Times New Roman"/>
                <w:szCs w:val="26"/>
              </w:rPr>
            </w:pPr>
            <w:r w:rsidRPr="00C74D34">
              <w:rPr>
                <w:rFonts w:ascii="Times New Roman" w:eastAsia="Calibri" w:hAnsi="Times New Roman" w:cs="Times New Roman"/>
                <w:szCs w:val="26"/>
              </w:rPr>
              <w:t xml:space="preserve">1.4 </w:t>
            </w:r>
          </w:p>
        </w:tc>
      </w:tr>
      <w:tr w:rsidR="00E9750C" w:rsidRPr="00C74D34" w14:paraId="13528C41" w14:textId="77777777" w:rsidTr="00B11342">
        <w:trPr>
          <w:trHeight w:val="547"/>
        </w:trPr>
        <w:tc>
          <w:tcPr>
            <w:tcW w:w="4789" w:type="dxa"/>
            <w:tcBorders>
              <w:top w:val="single" w:sz="4" w:space="0" w:color="000000"/>
              <w:left w:val="single" w:sz="4" w:space="0" w:color="000000"/>
              <w:bottom w:val="single" w:sz="4" w:space="0" w:color="000000"/>
              <w:right w:val="single" w:sz="4" w:space="0" w:color="000000"/>
            </w:tcBorders>
          </w:tcPr>
          <w:p w14:paraId="3635CC1E" w14:textId="77777777" w:rsidR="00E9750C" w:rsidRPr="00C74D34" w:rsidRDefault="00E9750C" w:rsidP="002D03FA">
            <w:pPr>
              <w:spacing w:line="259" w:lineRule="auto"/>
              <w:ind w:right="1955"/>
              <w:rPr>
                <w:rFonts w:ascii="Times New Roman" w:hAnsi="Times New Roman" w:cs="Times New Roman"/>
                <w:szCs w:val="26"/>
              </w:rPr>
            </w:pPr>
            <w:r w:rsidRPr="00C74D34">
              <w:rPr>
                <w:rFonts w:ascii="Times New Roman" w:eastAsia="Calibri" w:hAnsi="Times New Roman" w:cs="Times New Roman"/>
                <w:szCs w:val="26"/>
              </w:rPr>
              <w:t xml:space="preserve">Re-Evaluation No. 4 February 2019 </w:t>
            </w:r>
          </w:p>
        </w:tc>
        <w:tc>
          <w:tcPr>
            <w:tcW w:w="4789" w:type="dxa"/>
            <w:tcBorders>
              <w:top w:val="single" w:sz="4" w:space="0" w:color="000000"/>
              <w:left w:val="single" w:sz="4" w:space="0" w:color="000000"/>
              <w:bottom w:val="single" w:sz="4" w:space="0" w:color="000000"/>
              <w:right w:val="single" w:sz="4" w:space="0" w:color="000000"/>
            </w:tcBorders>
          </w:tcPr>
          <w:p w14:paraId="48E46F44"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 </w:t>
            </w:r>
          </w:p>
          <w:p w14:paraId="7E8D71C5" w14:textId="77777777" w:rsidR="00E9750C" w:rsidRPr="00C74D34" w:rsidRDefault="00E9750C" w:rsidP="002D03FA">
            <w:pPr>
              <w:spacing w:line="259" w:lineRule="auto"/>
              <w:ind w:left="8"/>
              <w:jc w:val="center"/>
              <w:rPr>
                <w:rFonts w:ascii="Times New Roman" w:hAnsi="Times New Roman" w:cs="Times New Roman"/>
                <w:szCs w:val="26"/>
              </w:rPr>
            </w:pPr>
            <w:r w:rsidRPr="00C74D34">
              <w:rPr>
                <w:rFonts w:ascii="Times New Roman" w:eastAsia="Calibri" w:hAnsi="Times New Roman" w:cs="Times New Roman"/>
                <w:szCs w:val="26"/>
              </w:rPr>
              <w:t xml:space="preserve">2.17 </w:t>
            </w:r>
          </w:p>
        </w:tc>
      </w:tr>
      <w:tr w:rsidR="00E9750C" w:rsidRPr="00C74D34" w14:paraId="1242336E" w14:textId="77777777" w:rsidTr="00B11342">
        <w:trPr>
          <w:trHeight w:val="547"/>
        </w:trPr>
        <w:tc>
          <w:tcPr>
            <w:tcW w:w="4789" w:type="dxa"/>
            <w:tcBorders>
              <w:top w:val="single" w:sz="4" w:space="0" w:color="000000"/>
              <w:left w:val="single" w:sz="4" w:space="0" w:color="000000"/>
              <w:bottom w:val="single" w:sz="4" w:space="0" w:color="000000"/>
              <w:right w:val="single" w:sz="4" w:space="0" w:color="000000"/>
            </w:tcBorders>
          </w:tcPr>
          <w:p w14:paraId="60DB4C7D" w14:textId="77777777" w:rsidR="00E9750C" w:rsidRPr="00C74D34" w:rsidRDefault="00E9750C" w:rsidP="002D03FA">
            <w:pPr>
              <w:spacing w:line="259" w:lineRule="auto"/>
              <w:ind w:right="2024"/>
              <w:rPr>
                <w:rFonts w:ascii="Times New Roman" w:hAnsi="Times New Roman" w:cs="Times New Roman"/>
                <w:szCs w:val="26"/>
              </w:rPr>
            </w:pPr>
            <w:r w:rsidRPr="00C74D34">
              <w:rPr>
                <w:rFonts w:ascii="Times New Roman" w:eastAsia="Calibri" w:hAnsi="Times New Roman" w:cs="Times New Roman"/>
                <w:szCs w:val="26"/>
              </w:rPr>
              <w:t xml:space="preserve">Re-Evaluation No. 5 October 17, 2019 </w:t>
            </w:r>
          </w:p>
        </w:tc>
        <w:tc>
          <w:tcPr>
            <w:tcW w:w="4789" w:type="dxa"/>
            <w:tcBorders>
              <w:top w:val="single" w:sz="4" w:space="0" w:color="000000"/>
              <w:left w:val="single" w:sz="4" w:space="0" w:color="000000"/>
              <w:bottom w:val="single" w:sz="4" w:space="0" w:color="000000"/>
              <w:right w:val="single" w:sz="4" w:space="0" w:color="000000"/>
            </w:tcBorders>
          </w:tcPr>
          <w:p w14:paraId="58123E10" w14:textId="77777777" w:rsidR="00E9750C" w:rsidRPr="00C74D34" w:rsidRDefault="00E9750C" w:rsidP="002D03FA">
            <w:pPr>
              <w:spacing w:line="259" w:lineRule="auto"/>
              <w:rPr>
                <w:rFonts w:ascii="Times New Roman" w:hAnsi="Times New Roman" w:cs="Times New Roman"/>
                <w:szCs w:val="26"/>
              </w:rPr>
            </w:pPr>
            <w:r w:rsidRPr="00C74D34">
              <w:rPr>
                <w:rFonts w:ascii="Times New Roman" w:eastAsia="Calibri" w:hAnsi="Times New Roman" w:cs="Times New Roman"/>
                <w:szCs w:val="26"/>
              </w:rPr>
              <w:t xml:space="preserve"> </w:t>
            </w:r>
          </w:p>
          <w:p w14:paraId="4EE3BFCE" w14:textId="77777777" w:rsidR="00E9750C" w:rsidRPr="00C74D34" w:rsidRDefault="00E9750C" w:rsidP="002D03FA">
            <w:pPr>
              <w:spacing w:line="259" w:lineRule="auto"/>
              <w:ind w:left="6"/>
              <w:jc w:val="center"/>
              <w:rPr>
                <w:rFonts w:ascii="Times New Roman" w:hAnsi="Times New Roman" w:cs="Times New Roman"/>
                <w:szCs w:val="26"/>
              </w:rPr>
            </w:pPr>
            <w:r w:rsidRPr="00C74D34">
              <w:rPr>
                <w:rFonts w:ascii="Times New Roman" w:eastAsia="Calibri" w:hAnsi="Times New Roman" w:cs="Times New Roman"/>
                <w:szCs w:val="26"/>
              </w:rPr>
              <w:t xml:space="preserve">2.1 </w:t>
            </w:r>
          </w:p>
        </w:tc>
      </w:tr>
    </w:tbl>
    <w:p w14:paraId="38374B3B" w14:textId="3C4DE14A" w:rsidR="00E9750C" w:rsidRPr="00C74D34" w:rsidRDefault="00E9750C" w:rsidP="00C13DA7">
      <w:pPr>
        <w:spacing w:line="240" w:lineRule="auto"/>
        <w:ind w:firstLine="720"/>
        <w:rPr>
          <w:szCs w:val="26"/>
        </w:rPr>
      </w:pPr>
    </w:p>
    <w:p w14:paraId="7AE9A630" w14:textId="77777777" w:rsidR="0012047F" w:rsidRPr="00C74D34" w:rsidRDefault="00E9750C" w:rsidP="002D03FA">
      <w:pPr>
        <w:ind w:left="86" w:right="60"/>
        <w:rPr>
          <w:szCs w:val="26"/>
        </w:rPr>
      </w:pPr>
      <w:r w:rsidRPr="00C74D34">
        <w:rPr>
          <w:szCs w:val="26"/>
        </w:rPr>
        <w:t>R.D</w:t>
      </w:r>
      <w:r w:rsidR="00482D23" w:rsidRPr="00C74D34">
        <w:rPr>
          <w:szCs w:val="26"/>
        </w:rPr>
        <w:t xml:space="preserve">. at 66-67; </w:t>
      </w:r>
      <w:r w:rsidR="0012047F" w:rsidRPr="00C74D34">
        <w:rPr>
          <w:i/>
          <w:szCs w:val="26"/>
        </w:rPr>
        <w:t xml:space="preserve">See </w:t>
      </w:r>
      <w:proofErr w:type="spellStart"/>
      <w:r w:rsidR="0012047F" w:rsidRPr="00C74D34">
        <w:rPr>
          <w:szCs w:val="26"/>
        </w:rPr>
        <w:t>Transource</w:t>
      </w:r>
      <w:proofErr w:type="spellEnd"/>
      <w:r w:rsidR="0012047F" w:rsidRPr="00C74D34">
        <w:rPr>
          <w:szCs w:val="26"/>
        </w:rPr>
        <w:t xml:space="preserve"> St. No. 8-R, p. 14; </w:t>
      </w:r>
      <w:proofErr w:type="spellStart"/>
      <w:r w:rsidR="0012047F" w:rsidRPr="00C74D34">
        <w:rPr>
          <w:szCs w:val="26"/>
        </w:rPr>
        <w:t>Transource</w:t>
      </w:r>
      <w:proofErr w:type="spellEnd"/>
      <w:r w:rsidR="0012047F" w:rsidRPr="00C74D34">
        <w:rPr>
          <w:szCs w:val="26"/>
        </w:rPr>
        <w:t xml:space="preserve"> St. No. 8-RJ, p. 3; </w:t>
      </w:r>
      <w:proofErr w:type="spellStart"/>
      <w:r w:rsidR="0012047F" w:rsidRPr="00C74D34">
        <w:rPr>
          <w:szCs w:val="26"/>
        </w:rPr>
        <w:t>Transource</w:t>
      </w:r>
      <w:proofErr w:type="spellEnd"/>
      <w:r w:rsidR="0012047F" w:rsidRPr="00C74D34">
        <w:rPr>
          <w:szCs w:val="26"/>
        </w:rPr>
        <w:t xml:space="preserve"> Ex. No. TJH-AA2, p. 7. </w:t>
      </w:r>
    </w:p>
    <w:p w14:paraId="5EF48EEC" w14:textId="77777777" w:rsidR="00CB7C14" w:rsidRPr="00C74D34" w:rsidRDefault="00CB7C14" w:rsidP="002D03FA">
      <w:pPr>
        <w:ind w:firstLine="1440"/>
        <w:rPr>
          <w:szCs w:val="26"/>
        </w:rPr>
      </w:pPr>
    </w:p>
    <w:p w14:paraId="3788A818" w14:textId="26B9C43D" w:rsidR="00A3608D" w:rsidRPr="00C74D34" w:rsidRDefault="00A3608D" w:rsidP="002D03FA">
      <w:pPr>
        <w:ind w:firstLine="1440"/>
        <w:rPr>
          <w:szCs w:val="26"/>
        </w:rPr>
      </w:pPr>
      <w:proofErr w:type="spellStart"/>
      <w:r w:rsidRPr="00C74D34">
        <w:rPr>
          <w:szCs w:val="26"/>
        </w:rPr>
        <w:t>Transou</w:t>
      </w:r>
      <w:r w:rsidR="00D10C62" w:rsidRPr="00C74D34">
        <w:rPr>
          <w:szCs w:val="26"/>
        </w:rPr>
        <w:t>r</w:t>
      </w:r>
      <w:r w:rsidRPr="00C74D34">
        <w:rPr>
          <w:szCs w:val="26"/>
        </w:rPr>
        <w:t>ce</w:t>
      </w:r>
      <w:proofErr w:type="spellEnd"/>
      <w:r w:rsidRPr="00C74D34">
        <w:rPr>
          <w:szCs w:val="26"/>
        </w:rPr>
        <w:t xml:space="preserve"> argued that the efficacy of the FERC-approved methodology which aligns the benefit metric calculation with cost allocation principles is not subject to challenge.  </w:t>
      </w:r>
      <w:proofErr w:type="spellStart"/>
      <w:r w:rsidRPr="00C74D34">
        <w:rPr>
          <w:szCs w:val="26"/>
        </w:rPr>
        <w:t>Transource</w:t>
      </w:r>
      <w:proofErr w:type="spellEnd"/>
      <w:r w:rsidRPr="00C74D34">
        <w:rPr>
          <w:szCs w:val="26"/>
        </w:rPr>
        <w:t xml:space="preserve"> a</w:t>
      </w:r>
      <w:r w:rsidR="0012047F" w:rsidRPr="00C74D34">
        <w:rPr>
          <w:szCs w:val="26"/>
        </w:rPr>
        <w:t>s</w:t>
      </w:r>
      <w:r w:rsidR="00A76A4E" w:rsidRPr="00C74D34">
        <w:rPr>
          <w:szCs w:val="26"/>
        </w:rPr>
        <w:t xml:space="preserve">serted that </w:t>
      </w:r>
      <w:r w:rsidR="00664BDC" w:rsidRPr="00C74D34">
        <w:rPr>
          <w:szCs w:val="26"/>
        </w:rPr>
        <w:t xml:space="preserve">the </w:t>
      </w:r>
      <w:r w:rsidRPr="00C74D34">
        <w:rPr>
          <w:szCs w:val="26"/>
        </w:rPr>
        <w:t xml:space="preserve">FERC-approved methodology achieves a fair result on a regional basis in that the zones that benefit from a market efficiency project pay for the project.  </w:t>
      </w:r>
      <w:proofErr w:type="spellStart"/>
      <w:r w:rsidR="008E0EDF" w:rsidRPr="00C74D34">
        <w:rPr>
          <w:szCs w:val="26"/>
        </w:rPr>
        <w:t>Transource</w:t>
      </w:r>
      <w:proofErr w:type="spellEnd"/>
      <w:r w:rsidR="008E0EDF" w:rsidRPr="00C74D34">
        <w:rPr>
          <w:szCs w:val="26"/>
        </w:rPr>
        <w:t xml:space="preserve"> further asserted that</w:t>
      </w:r>
      <w:r w:rsidRPr="00C74D34">
        <w:rPr>
          <w:szCs w:val="26"/>
        </w:rPr>
        <w:t xml:space="preserve"> PJM’s use of the benefit to cost calculation methodology discourages the perpetuation of unjust, </w:t>
      </w:r>
      <w:r w:rsidR="0072118F" w:rsidRPr="00C74D34">
        <w:rPr>
          <w:szCs w:val="26"/>
        </w:rPr>
        <w:t>unreasonable,</w:t>
      </w:r>
      <w:r w:rsidRPr="00C74D34">
        <w:rPr>
          <w:szCs w:val="26"/>
        </w:rPr>
        <w:t xml:space="preserve"> and discriminatory rates.  </w:t>
      </w:r>
      <w:r w:rsidR="003D4B9B" w:rsidRPr="00C74D34">
        <w:rPr>
          <w:szCs w:val="26"/>
        </w:rPr>
        <w:t xml:space="preserve">R.D. at </w:t>
      </w:r>
      <w:r w:rsidR="00437E7B" w:rsidRPr="00C74D34">
        <w:rPr>
          <w:szCs w:val="26"/>
        </w:rPr>
        <w:t>66-68</w:t>
      </w:r>
      <w:r w:rsidR="003D4B9B" w:rsidRPr="00C74D34">
        <w:rPr>
          <w:szCs w:val="26"/>
        </w:rPr>
        <w:t xml:space="preserve">; </w:t>
      </w:r>
      <w:proofErr w:type="spellStart"/>
      <w:r w:rsidR="003D4B9B" w:rsidRPr="00C74D34">
        <w:rPr>
          <w:szCs w:val="26"/>
        </w:rPr>
        <w:t>Transource</w:t>
      </w:r>
      <w:proofErr w:type="spellEnd"/>
      <w:r w:rsidR="003D4B9B" w:rsidRPr="00C74D34">
        <w:rPr>
          <w:szCs w:val="26"/>
        </w:rPr>
        <w:t xml:space="preserve"> M.B. at </w:t>
      </w:r>
      <w:r w:rsidR="00437E7B" w:rsidRPr="00C74D34">
        <w:rPr>
          <w:szCs w:val="26"/>
        </w:rPr>
        <w:t>58-60</w:t>
      </w:r>
      <w:r w:rsidR="003D4B9B" w:rsidRPr="00C74D34">
        <w:rPr>
          <w:szCs w:val="26"/>
        </w:rPr>
        <w:t xml:space="preserve"> </w:t>
      </w:r>
    </w:p>
    <w:p w14:paraId="10A57C0F" w14:textId="77777777" w:rsidR="00A3608D" w:rsidRPr="00C74D34" w:rsidRDefault="00A3608D" w:rsidP="002D03FA">
      <w:pPr>
        <w:rPr>
          <w:szCs w:val="26"/>
        </w:rPr>
      </w:pPr>
    </w:p>
    <w:p w14:paraId="37950F09" w14:textId="5CFC52EB" w:rsidR="00A3608D" w:rsidRPr="00C74D34" w:rsidRDefault="00A3608D" w:rsidP="002D03FA">
      <w:pPr>
        <w:ind w:firstLine="1440"/>
        <w:rPr>
          <w:szCs w:val="26"/>
        </w:rPr>
      </w:pPr>
      <w:proofErr w:type="spellStart"/>
      <w:r w:rsidRPr="00C74D34">
        <w:rPr>
          <w:szCs w:val="26"/>
        </w:rPr>
        <w:lastRenderedPageBreak/>
        <w:t>Transource</w:t>
      </w:r>
      <w:proofErr w:type="spellEnd"/>
      <w:r w:rsidRPr="00C74D34">
        <w:rPr>
          <w:szCs w:val="26"/>
        </w:rPr>
        <w:t xml:space="preserve"> </w:t>
      </w:r>
      <w:r w:rsidR="00130698" w:rsidRPr="00C74D34">
        <w:rPr>
          <w:szCs w:val="26"/>
        </w:rPr>
        <w:t xml:space="preserve">further </w:t>
      </w:r>
      <w:r w:rsidRPr="00C74D34">
        <w:rPr>
          <w:szCs w:val="26"/>
        </w:rPr>
        <w:t xml:space="preserve">argued that the Parties’ arguments that the ALJ should consider resulting increases in power prices in Pennsylvania resulting from approval of Project 9A </w:t>
      </w:r>
      <w:r w:rsidR="00BF3C64" w:rsidRPr="00C74D34">
        <w:rPr>
          <w:szCs w:val="26"/>
        </w:rPr>
        <w:t xml:space="preserve">constituted </w:t>
      </w:r>
      <w:r w:rsidRPr="00C74D34">
        <w:rPr>
          <w:szCs w:val="26"/>
        </w:rPr>
        <w:t xml:space="preserve">“attempts to revise PJM’s methodology.” </w:t>
      </w:r>
      <w:r w:rsidR="00BF3C64" w:rsidRPr="00C74D34">
        <w:rPr>
          <w:szCs w:val="26"/>
        </w:rPr>
        <w:t xml:space="preserve"> </w:t>
      </w:r>
      <w:proofErr w:type="spellStart"/>
      <w:r w:rsidRPr="00C74D34">
        <w:rPr>
          <w:szCs w:val="26"/>
        </w:rPr>
        <w:t>Transou</w:t>
      </w:r>
      <w:r w:rsidR="00D10C62" w:rsidRPr="00C74D34">
        <w:rPr>
          <w:szCs w:val="26"/>
        </w:rPr>
        <w:t>r</w:t>
      </w:r>
      <w:r w:rsidRPr="00C74D34">
        <w:rPr>
          <w:szCs w:val="26"/>
        </w:rPr>
        <w:t>ce</w:t>
      </w:r>
      <w:proofErr w:type="spellEnd"/>
      <w:r w:rsidRPr="00C74D34">
        <w:rPr>
          <w:szCs w:val="26"/>
        </w:rPr>
        <w:t xml:space="preserve"> maintained that the ALJ’s consideration of increases in power prices for consumers </w:t>
      </w:r>
      <w:r w:rsidR="00107478" w:rsidRPr="00C74D34">
        <w:rPr>
          <w:szCs w:val="26"/>
        </w:rPr>
        <w:t>i</w:t>
      </w:r>
      <w:r w:rsidRPr="00C74D34">
        <w:rPr>
          <w:szCs w:val="26"/>
        </w:rPr>
        <w:t xml:space="preserve">n Pennsylvania </w:t>
      </w:r>
      <w:r w:rsidR="00365820" w:rsidRPr="00C74D34">
        <w:rPr>
          <w:szCs w:val="26"/>
        </w:rPr>
        <w:t xml:space="preserve">was precluded and </w:t>
      </w:r>
      <w:r w:rsidRPr="00C74D34">
        <w:rPr>
          <w:szCs w:val="26"/>
        </w:rPr>
        <w:t xml:space="preserve">would promote unjust, unreasonable, and unduly discriminatory wholesale power prices.  </w:t>
      </w:r>
      <w:r w:rsidR="00437E7B" w:rsidRPr="00C74D34">
        <w:rPr>
          <w:szCs w:val="26"/>
        </w:rPr>
        <w:t xml:space="preserve">R.D. at 71-73; </w:t>
      </w:r>
      <w:proofErr w:type="spellStart"/>
      <w:r w:rsidRPr="00C74D34">
        <w:rPr>
          <w:szCs w:val="26"/>
        </w:rPr>
        <w:t>Transource</w:t>
      </w:r>
      <w:proofErr w:type="spellEnd"/>
      <w:r w:rsidRPr="00C74D34">
        <w:rPr>
          <w:szCs w:val="26"/>
        </w:rPr>
        <w:t xml:space="preserve"> M.B. at</w:t>
      </w:r>
      <w:r w:rsidR="00132903" w:rsidRPr="00C74D34">
        <w:rPr>
          <w:szCs w:val="26"/>
        </w:rPr>
        <w:t xml:space="preserve"> 47-60</w:t>
      </w:r>
      <w:r w:rsidRPr="00C74D34">
        <w:rPr>
          <w:szCs w:val="26"/>
        </w:rPr>
        <w:t xml:space="preserve">. </w:t>
      </w:r>
    </w:p>
    <w:p w14:paraId="6C6E9FF6" w14:textId="77777777" w:rsidR="00A3608D" w:rsidRPr="00C74D34" w:rsidRDefault="00A3608D" w:rsidP="002D03FA">
      <w:pPr>
        <w:rPr>
          <w:szCs w:val="26"/>
        </w:rPr>
      </w:pPr>
    </w:p>
    <w:p w14:paraId="0E7ABE6F" w14:textId="6924617E" w:rsidR="00782B19" w:rsidRPr="00C74D34" w:rsidRDefault="00A3608D" w:rsidP="002D03FA">
      <w:pPr>
        <w:ind w:firstLine="1440"/>
        <w:rPr>
          <w:szCs w:val="26"/>
        </w:rPr>
      </w:pPr>
      <w:proofErr w:type="spellStart"/>
      <w:r w:rsidRPr="00C74D34">
        <w:rPr>
          <w:szCs w:val="26"/>
        </w:rPr>
        <w:t>Transource</w:t>
      </w:r>
      <w:proofErr w:type="spellEnd"/>
      <w:r w:rsidRPr="00C74D34">
        <w:rPr>
          <w:szCs w:val="26"/>
        </w:rPr>
        <w:t xml:space="preserve"> also urged that the ALJ should reject the Parties’ argument that </w:t>
      </w:r>
      <w:r w:rsidR="00FA3905" w:rsidRPr="00C74D34">
        <w:rPr>
          <w:szCs w:val="26"/>
        </w:rPr>
        <w:t>Project</w:t>
      </w:r>
      <w:r w:rsidR="007D770A" w:rsidRPr="00C74D34">
        <w:rPr>
          <w:szCs w:val="26"/>
        </w:rPr>
        <w:t xml:space="preserve"> </w:t>
      </w:r>
      <w:r w:rsidRPr="00C74D34">
        <w:rPr>
          <w:szCs w:val="26"/>
        </w:rPr>
        <w:t xml:space="preserve">9A is not needed because congestion on the AP South interface has been decreasing.  </w:t>
      </w:r>
      <w:r w:rsidR="00692D6E" w:rsidRPr="00C74D34">
        <w:rPr>
          <w:szCs w:val="26"/>
        </w:rPr>
        <w:t xml:space="preserve">Although </w:t>
      </w:r>
      <w:proofErr w:type="spellStart"/>
      <w:r w:rsidR="00692D6E" w:rsidRPr="00C74D34">
        <w:rPr>
          <w:szCs w:val="26"/>
        </w:rPr>
        <w:t>Transource</w:t>
      </w:r>
      <w:proofErr w:type="spellEnd"/>
      <w:r w:rsidR="00692D6E" w:rsidRPr="00C74D34">
        <w:rPr>
          <w:szCs w:val="26"/>
        </w:rPr>
        <w:t xml:space="preserve"> </w:t>
      </w:r>
      <w:r w:rsidR="00405CF7" w:rsidRPr="00C74D34">
        <w:rPr>
          <w:szCs w:val="26"/>
        </w:rPr>
        <w:t>did not dispute that</w:t>
      </w:r>
      <w:r w:rsidR="00BC1E72" w:rsidRPr="00C74D34">
        <w:rPr>
          <w:szCs w:val="26"/>
        </w:rPr>
        <w:t xml:space="preserve"> congestion in the AP South has fluctuated and decreased; </w:t>
      </w:r>
      <w:proofErr w:type="spellStart"/>
      <w:r w:rsidR="00D120F4" w:rsidRPr="00C74D34">
        <w:rPr>
          <w:szCs w:val="26"/>
        </w:rPr>
        <w:t>Transource</w:t>
      </w:r>
      <w:proofErr w:type="spellEnd"/>
      <w:r w:rsidR="00D120F4" w:rsidRPr="00C74D34">
        <w:rPr>
          <w:szCs w:val="26"/>
        </w:rPr>
        <w:t xml:space="preserve"> argued that </w:t>
      </w:r>
      <w:r w:rsidR="00BC1E72" w:rsidRPr="00C74D34">
        <w:rPr>
          <w:szCs w:val="26"/>
        </w:rPr>
        <w:t xml:space="preserve">congestion shifts among interfaces, and there are multiple constraints in the area that are mitigated by </w:t>
      </w:r>
      <w:r w:rsidR="00D120F4" w:rsidRPr="00C74D34">
        <w:rPr>
          <w:szCs w:val="26"/>
        </w:rPr>
        <w:t xml:space="preserve">Project </w:t>
      </w:r>
      <w:r w:rsidR="00BC1E72" w:rsidRPr="00C74D34">
        <w:rPr>
          <w:szCs w:val="26"/>
        </w:rPr>
        <w:t>9A.</w:t>
      </w:r>
      <w:r w:rsidR="00405CF7" w:rsidRPr="00C74D34">
        <w:rPr>
          <w:szCs w:val="26"/>
        </w:rPr>
        <w:t xml:space="preserve"> </w:t>
      </w:r>
      <w:r w:rsidR="00782B19" w:rsidRPr="00C74D34">
        <w:rPr>
          <w:szCs w:val="26"/>
        </w:rPr>
        <w:t xml:space="preserve"> R.D. at </w:t>
      </w:r>
      <w:r w:rsidR="00047ED8" w:rsidRPr="00C74D34">
        <w:rPr>
          <w:szCs w:val="26"/>
        </w:rPr>
        <w:t xml:space="preserve">72-73; </w:t>
      </w:r>
      <w:proofErr w:type="spellStart"/>
      <w:r w:rsidR="00047ED8" w:rsidRPr="00C74D34">
        <w:rPr>
          <w:szCs w:val="26"/>
        </w:rPr>
        <w:t>Transource</w:t>
      </w:r>
      <w:proofErr w:type="spellEnd"/>
      <w:r w:rsidR="00047ED8" w:rsidRPr="00C74D34">
        <w:rPr>
          <w:szCs w:val="26"/>
        </w:rPr>
        <w:t xml:space="preserve"> M.B. at </w:t>
      </w:r>
      <w:r w:rsidR="00132903" w:rsidRPr="00C74D34">
        <w:rPr>
          <w:szCs w:val="26"/>
        </w:rPr>
        <w:t>69-70</w:t>
      </w:r>
      <w:r w:rsidR="00047ED8" w:rsidRPr="00C74D34">
        <w:rPr>
          <w:szCs w:val="26"/>
        </w:rPr>
        <w:t xml:space="preserve">. </w:t>
      </w:r>
    </w:p>
    <w:p w14:paraId="0E52F66F" w14:textId="77777777" w:rsidR="00782B19" w:rsidRPr="00C74D34" w:rsidRDefault="00782B19" w:rsidP="002D03FA">
      <w:pPr>
        <w:ind w:left="14" w:hanging="14"/>
        <w:rPr>
          <w:szCs w:val="26"/>
        </w:rPr>
      </w:pPr>
    </w:p>
    <w:p w14:paraId="38F134FB" w14:textId="71520DAD" w:rsidR="00A05927" w:rsidRPr="00C74D34" w:rsidRDefault="00EC7A18" w:rsidP="002D03FA">
      <w:pPr>
        <w:ind w:firstLine="1440"/>
        <w:rPr>
          <w:szCs w:val="26"/>
        </w:rPr>
      </w:pPr>
      <w:proofErr w:type="spellStart"/>
      <w:r w:rsidRPr="00C74D34">
        <w:rPr>
          <w:szCs w:val="26"/>
        </w:rPr>
        <w:t>Transource</w:t>
      </w:r>
      <w:proofErr w:type="spellEnd"/>
      <w:r w:rsidRPr="00C74D34">
        <w:rPr>
          <w:szCs w:val="26"/>
        </w:rPr>
        <w:t xml:space="preserve"> asserted </w:t>
      </w:r>
      <w:r w:rsidR="005F44F7" w:rsidRPr="00C74D34">
        <w:rPr>
          <w:szCs w:val="26"/>
        </w:rPr>
        <w:t xml:space="preserve">that the </w:t>
      </w:r>
      <w:r w:rsidR="00A3608D" w:rsidRPr="00C74D34">
        <w:rPr>
          <w:szCs w:val="26"/>
        </w:rPr>
        <w:t>Parties fail</w:t>
      </w:r>
      <w:r w:rsidR="005F44F7" w:rsidRPr="00C74D34">
        <w:rPr>
          <w:szCs w:val="26"/>
        </w:rPr>
        <w:t>ed</w:t>
      </w:r>
      <w:r w:rsidR="00A3608D" w:rsidRPr="00C74D34">
        <w:rPr>
          <w:szCs w:val="26"/>
        </w:rPr>
        <w:t xml:space="preserve"> to recognize that congestion cannot be viewed in isolation on one interface and that congestion on the </w:t>
      </w:r>
      <w:r w:rsidR="00A3608D" w:rsidRPr="00C74D34">
        <w:t>AP South</w:t>
      </w:r>
      <w:r w:rsidR="005E4629" w:rsidRPr="00C74D34">
        <w:t xml:space="preserve"> Reactive </w:t>
      </w:r>
      <w:proofErr w:type="spellStart"/>
      <w:r w:rsidR="005E4629" w:rsidRPr="00C74D34">
        <w:t>Interfacer</w:t>
      </w:r>
      <w:proofErr w:type="spellEnd"/>
      <w:r w:rsidR="00A3608D" w:rsidRPr="00C74D34">
        <w:rPr>
          <w:szCs w:val="26"/>
        </w:rPr>
        <w:t xml:space="preserve"> and related constraints for 2019 is consistent with what PJM forecasted in 2015. </w:t>
      </w:r>
      <w:r w:rsidR="005F44F7" w:rsidRPr="00C74D34">
        <w:rPr>
          <w:szCs w:val="26"/>
        </w:rPr>
        <w:t xml:space="preserve"> In support of its assertion </w:t>
      </w:r>
      <w:proofErr w:type="spellStart"/>
      <w:r w:rsidR="005F44F7" w:rsidRPr="00C74D34">
        <w:rPr>
          <w:szCs w:val="26"/>
        </w:rPr>
        <w:t>Transource</w:t>
      </w:r>
      <w:proofErr w:type="spellEnd"/>
      <w:r w:rsidR="005F44F7" w:rsidRPr="00C74D34">
        <w:rPr>
          <w:szCs w:val="26"/>
        </w:rPr>
        <w:t xml:space="preserve"> provided </w:t>
      </w:r>
      <w:r w:rsidR="00A05927" w:rsidRPr="00C74D34">
        <w:rPr>
          <w:szCs w:val="26"/>
        </w:rPr>
        <w:t xml:space="preserve">the testimony of Mr. </w:t>
      </w:r>
      <w:proofErr w:type="spellStart"/>
      <w:r w:rsidR="00A05927" w:rsidRPr="00C74D34">
        <w:rPr>
          <w:szCs w:val="26"/>
        </w:rPr>
        <w:t>Horger</w:t>
      </w:r>
      <w:proofErr w:type="spellEnd"/>
      <w:r w:rsidR="00A05927" w:rsidRPr="00C74D34">
        <w:rPr>
          <w:szCs w:val="26"/>
        </w:rPr>
        <w:t xml:space="preserve">, who testified </w:t>
      </w:r>
      <w:r w:rsidR="0045773C" w:rsidRPr="00C74D34">
        <w:rPr>
          <w:szCs w:val="26"/>
        </w:rPr>
        <w:t>to this effect.</w:t>
      </w:r>
      <w:r w:rsidR="004A03E3" w:rsidRPr="00C74D34">
        <w:rPr>
          <w:szCs w:val="26"/>
        </w:rPr>
        <w:t xml:space="preserve">  </w:t>
      </w:r>
      <w:proofErr w:type="spellStart"/>
      <w:r w:rsidR="00A05927" w:rsidRPr="00C74D34">
        <w:rPr>
          <w:szCs w:val="26"/>
        </w:rPr>
        <w:t>Transource</w:t>
      </w:r>
      <w:proofErr w:type="spellEnd"/>
      <w:r w:rsidR="00A05927" w:rsidRPr="00C74D34">
        <w:rPr>
          <w:szCs w:val="26"/>
        </w:rPr>
        <w:t xml:space="preserve"> offered the below chart as evidence to support this opinion. </w:t>
      </w:r>
    </w:p>
    <w:p w14:paraId="6AFB9C72" w14:textId="188A4260" w:rsidR="00A3608D" w:rsidRPr="00C74D34" w:rsidRDefault="00581A4E" w:rsidP="002D03FA">
      <w:pPr>
        <w:ind w:firstLine="1440"/>
        <w:rPr>
          <w:szCs w:val="26"/>
        </w:rPr>
      </w:pPr>
      <w:r w:rsidRPr="00C74D34">
        <w:rPr>
          <w:szCs w:val="26"/>
        </w:rPr>
        <w:t xml:space="preserve"> </w:t>
      </w:r>
    </w:p>
    <w:p w14:paraId="75F734A0" w14:textId="27AADB68" w:rsidR="00581A4E" w:rsidRPr="00C74D34" w:rsidRDefault="00581A4E" w:rsidP="002D03FA">
      <w:pPr>
        <w:ind w:firstLine="1440"/>
        <w:rPr>
          <w:szCs w:val="26"/>
        </w:rPr>
      </w:pPr>
    </w:p>
    <w:p w14:paraId="60AFF33B" w14:textId="7F960804" w:rsidR="00581A4E" w:rsidRPr="00C74D34" w:rsidRDefault="0074701E" w:rsidP="002D03FA">
      <w:pPr>
        <w:ind w:firstLine="1440"/>
        <w:rPr>
          <w:szCs w:val="26"/>
        </w:rPr>
      </w:pPr>
      <w:r w:rsidRPr="00C74D34">
        <w:rPr>
          <w:noProof/>
          <w:szCs w:val="26"/>
        </w:rPr>
        <w:lastRenderedPageBreak/>
        <w:drawing>
          <wp:inline distT="0" distB="0" distL="0" distR="0" wp14:anchorId="5CBA8AD3" wp14:editId="7BB8E780">
            <wp:extent cx="4498975"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8975" cy="2828925"/>
                    </a:xfrm>
                    <a:prstGeom prst="rect">
                      <a:avLst/>
                    </a:prstGeom>
                    <a:noFill/>
                  </pic:spPr>
                </pic:pic>
              </a:graphicData>
            </a:graphic>
          </wp:inline>
        </w:drawing>
      </w:r>
    </w:p>
    <w:p w14:paraId="7B55476A" w14:textId="11A1B86E" w:rsidR="00581A4E" w:rsidRPr="00C74D34" w:rsidRDefault="00581A4E" w:rsidP="00C13DA7">
      <w:pPr>
        <w:spacing w:line="240" w:lineRule="auto"/>
        <w:ind w:firstLine="1440"/>
        <w:rPr>
          <w:szCs w:val="26"/>
        </w:rPr>
      </w:pPr>
    </w:p>
    <w:p w14:paraId="35D5D944" w14:textId="7F02F867" w:rsidR="00145007" w:rsidRPr="00C74D34" w:rsidRDefault="00581A4E" w:rsidP="002D03FA">
      <w:pPr>
        <w:ind w:left="86" w:right="60"/>
        <w:rPr>
          <w:szCs w:val="26"/>
        </w:rPr>
      </w:pPr>
      <w:r w:rsidRPr="00C74D34">
        <w:rPr>
          <w:szCs w:val="26"/>
        </w:rPr>
        <w:t>R.D. at 73</w:t>
      </w:r>
      <w:r w:rsidR="00145007" w:rsidRPr="00C74D34">
        <w:rPr>
          <w:szCs w:val="26"/>
        </w:rPr>
        <w:t>;</w:t>
      </w:r>
      <w:r w:rsidR="004A03E3" w:rsidRPr="00C74D34">
        <w:rPr>
          <w:szCs w:val="26"/>
        </w:rPr>
        <w:t xml:space="preserve"> </w:t>
      </w:r>
      <w:proofErr w:type="spellStart"/>
      <w:r w:rsidR="00145007" w:rsidRPr="00C74D34">
        <w:rPr>
          <w:szCs w:val="26"/>
        </w:rPr>
        <w:t>Transource</w:t>
      </w:r>
      <w:proofErr w:type="spellEnd"/>
      <w:r w:rsidR="00145007" w:rsidRPr="00C74D34">
        <w:rPr>
          <w:szCs w:val="26"/>
        </w:rPr>
        <w:t xml:space="preserve"> St. No. 3AA-RJ, p. 11. </w:t>
      </w:r>
    </w:p>
    <w:p w14:paraId="042CFE73" w14:textId="67FCC577" w:rsidR="00581A4E" w:rsidRPr="00C74D34" w:rsidRDefault="00581A4E" w:rsidP="002D03FA">
      <w:pPr>
        <w:ind w:firstLine="1440"/>
        <w:rPr>
          <w:szCs w:val="26"/>
        </w:rPr>
      </w:pPr>
    </w:p>
    <w:p w14:paraId="10BEA999" w14:textId="403FC4ED" w:rsidR="00A3608D" w:rsidRPr="00C74D34" w:rsidRDefault="00A3608D" w:rsidP="002D03FA">
      <w:pPr>
        <w:ind w:firstLine="1440"/>
        <w:rPr>
          <w:szCs w:val="26"/>
        </w:rPr>
      </w:pPr>
      <w:r w:rsidRPr="00C74D34">
        <w:rPr>
          <w:szCs w:val="26"/>
        </w:rPr>
        <w:t xml:space="preserve">Likewise, </w:t>
      </w:r>
      <w:proofErr w:type="spellStart"/>
      <w:r w:rsidRPr="00C74D34">
        <w:rPr>
          <w:szCs w:val="26"/>
        </w:rPr>
        <w:t>Transource</w:t>
      </w:r>
      <w:proofErr w:type="spellEnd"/>
      <w:r w:rsidRPr="00C74D34">
        <w:rPr>
          <w:szCs w:val="26"/>
        </w:rPr>
        <w:t xml:space="preserve"> argued that the Parties’ argument that non-transmission alternatives such as energy efficiency measures, renewable resources, distributed </w:t>
      </w:r>
      <w:r w:rsidR="00365820" w:rsidRPr="00C74D34">
        <w:rPr>
          <w:szCs w:val="26"/>
        </w:rPr>
        <w:t>generation,</w:t>
      </w:r>
      <w:r w:rsidRPr="00C74D34">
        <w:rPr>
          <w:szCs w:val="26"/>
        </w:rPr>
        <w:t xml:space="preserve"> and demand response could eliminate the need for Project 9A should be rejected.  </w:t>
      </w:r>
      <w:proofErr w:type="spellStart"/>
      <w:r w:rsidRPr="00C74D34">
        <w:rPr>
          <w:szCs w:val="26"/>
        </w:rPr>
        <w:t>Transource</w:t>
      </w:r>
      <w:proofErr w:type="spellEnd"/>
      <w:r w:rsidRPr="00C74D34">
        <w:rPr>
          <w:szCs w:val="26"/>
        </w:rPr>
        <w:t xml:space="preserve"> </w:t>
      </w:r>
      <w:r w:rsidR="00745520" w:rsidRPr="00C74D34">
        <w:rPr>
          <w:szCs w:val="26"/>
        </w:rPr>
        <w:t>asserted</w:t>
      </w:r>
      <w:r w:rsidRPr="00C74D34">
        <w:rPr>
          <w:szCs w:val="26"/>
        </w:rPr>
        <w:t xml:space="preserve"> that no evidence has been presented in this proceeding that </w:t>
      </w:r>
      <w:proofErr w:type="spellStart"/>
      <w:r w:rsidRPr="00C74D34">
        <w:rPr>
          <w:szCs w:val="26"/>
        </w:rPr>
        <w:t>nontransmission</w:t>
      </w:r>
      <w:proofErr w:type="spellEnd"/>
      <w:r w:rsidRPr="00C74D34">
        <w:rPr>
          <w:szCs w:val="26"/>
        </w:rPr>
        <w:t xml:space="preserve"> alternatives will reduce congestion on the </w:t>
      </w:r>
      <w:r w:rsidRPr="00C74D34">
        <w:t>AP South</w:t>
      </w:r>
      <w:r w:rsidRPr="00C74D34">
        <w:rPr>
          <w:szCs w:val="26"/>
        </w:rPr>
        <w:t xml:space="preserve"> </w:t>
      </w:r>
      <w:r w:rsidR="005E4629" w:rsidRPr="00C74D34">
        <w:rPr>
          <w:szCs w:val="26"/>
        </w:rPr>
        <w:t xml:space="preserve">Reactive Interface </w:t>
      </w:r>
      <w:r w:rsidRPr="00C74D34">
        <w:rPr>
          <w:szCs w:val="26"/>
        </w:rPr>
        <w:t>and related constraints.</w:t>
      </w:r>
      <w:r w:rsidR="00132903" w:rsidRPr="00C74D34">
        <w:rPr>
          <w:szCs w:val="26"/>
        </w:rPr>
        <w:t xml:space="preserve">  </w:t>
      </w:r>
      <w:proofErr w:type="spellStart"/>
      <w:r w:rsidR="00132903" w:rsidRPr="00C74D34">
        <w:rPr>
          <w:szCs w:val="26"/>
        </w:rPr>
        <w:t>Transource</w:t>
      </w:r>
      <w:proofErr w:type="spellEnd"/>
      <w:r w:rsidR="00132903" w:rsidRPr="00C74D34">
        <w:rPr>
          <w:szCs w:val="26"/>
        </w:rPr>
        <w:t xml:space="preserve"> M.B at 62-70.</w:t>
      </w:r>
    </w:p>
    <w:p w14:paraId="55CA5872" w14:textId="77777777" w:rsidR="00A3608D" w:rsidRPr="00C74D34" w:rsidRDefault="00A3608D" w:rsidP="002D03FA">
      <w:pPr>
        <w:rPr>
          <w:szCs w:val="26"/>
        </w:rPr>
      </w:pPr>
    </w:p>
    <w:p w14:paraId="5CCAC497" w14:textId="5DB16AE8" w:rsidR="00A3608D" w:rsidRPr="00C74D34" w:rsidRDefault="00A168CE" w:rsidP="002D03FA">
      <w:pPr>
        <w:ind w:firstLine="1440"/>
        <w:rPr>
          <w:szCs w:val="26"/>
        </w:rPr>
      </w:pPr>
      <w:r w:rsidRPr="00C74D34">
        <w:rPr>
          <w:szCs w:val="26"/>
        </w:rPr>
        <w:t xml:space="preserve">Finally, </w:t>
      </w:r>
      <w:proofErr w:type="spellStart"/>
      <w:r w:rsidR="00A3608D" w:rsidRPr="00C74D34">
        <w:rPr>
          <w:szCs w:val="26"/>
        </w:rPr>
        <w:t>Transource</w:t>
      </w:r>
      <w:proofErr w:type="spellEnd"/>
      <w:r w:rsidR="00A3608D" w:rsidRPr="00C74D34">
        <w:rPr>
          <w:szCs w:val="26"/>
        </w:rPr>
        <w:t xml:space="preserve"> argued that because it has conclusively demonstrated the need for Project 9A to address congestion and</w:t>
      </w:r>
      <w:r w:rsidR="002E72F1" w:rsidRPr="00C74D34">
        <w:rPr>
          <w:szCs w:val="26"/>
        </w:rPr>
        <w:t xml:space="preserve"> ancillary </w:t>
      </w:r>
      <w:r w:rsidR="00A3608D" w:rsidRPr="00C74D34">
        <w:rPr>
          <w:szCs w:val="26"/>
        </w:rPr>
        <w:t xml:space="preserve">reliability violations, the </w:t>
      </w:r>
      <w:r w:rsidR="002E72F1" w:rsidRPr="00C74D34">
        <w:rPr>
          <w:szCs w:val="26"/>
        </w:rPr>
        <w:t xml:space="preserve">opposing </w:t>
      </w:r>
      <w:r w:rsidR="00A3608D" w:rsidRPr="00C74D34">
        <w:rPr>
          <w:szCs w:val="26"/>
        </w:rPr>
        <w:t>Parties’ arguments that Project 9A is not needed should be denied.</w:t>
      </w:r>
      <w:r w:rsidR="00B11342" w:rsidRPr="00C74D34">
        <w:rPr>
          <w:szCs w:val="26"/>
        </w:rPr>
        <w:t xml:space="preserve">  </w:t>
      </w:r>
      <w:proofErr w:type="spellStart"/>
      <w:r w:rsidR="00A3608D" w:rsidRPr="00C74D34">
        <w:rPr>
          <w:szCs w:val="26"/>
        </w:rPr>
        <w:t>Transource</w:t>
      </w:r>
      <w:proofErr w:type="spellEnd"/>
      <w:r w:rsidR="00A3608D" w:rsidRPr="00C74D34">
        <w:rPr>
          <w:szCs w:val="26"/>
        </w:rPr>
        <w:t xml:space="preserve"> M.B. at </w:t>
      </w:r>
      <w:r w:rsidR="00132903" w:rsidRPr="00C74D34">
        <w:rPr>
          <w:szCs w:val="26"/>
        </w:rPr>
        <w:t>72.</w:t>
      </w:r>
      <w:r w:rsidR="00A3608D" w:rsidRPr="00C74D34">
        <w:rPr>
          <w:szCs w:val="26"/>
        </w:rPr>
        <w:t xml:space="preserve"> </w:t>
      </w:r>
    </w:p>
    <w:p w14:paraId="51264624" w14:textId="77777777" w:rsidR="00A3608D" w:rsidRPr="00C74D34" w:rsidRDefault="00A3608D" w:rsidP="002D03FA">
      <w:pPr>
        <w:pStyle w:val="TOCH4"/>
        <w:numPr>
          <w:ilvl w:val="0"/>
          <w:numId w:val="0"/>
        </w:numPr>
        <w:ind w:left="2880"/>
      </w:pPr>
    </w:p>
    <w:p w14:paraId="116B48D6" w14:textId="0D2E262C" w:rsidR="00A902A7" w:rsidRPr="00C74D34" w:rsidRDefault="00B97C3B" w:rsidP="00925F66">
      <w:pPr>
        <w:pStyle w:val="TOCH5"/>
      </w:pPr>
      <w:bookmarkStart w:id="32" w:name="_Toc70516612"/>
      <w:r w:rsidRPr="00C74D34">
        <w:t xml:space="preserve">OCA’s, Franklin </w:t>
      </w:r>
      <w:proofErr w:type="spellStart"/>
      <w:r w:rsidRPr="00C74D34">
        <w:t>County’s</w:t>
      </w:r>
      <w:proofErr w:type="spellEnd"/>
      <w:r w:rsidRPr="00C74D34">
        <w:t xml:space="preserve"> and STFC’s </w:t>
      </w:r>
      <w:r w:rsidR="00F854C8">
        <w:t>P</w:t>
      </w:r>
      <w:r w:rsidR="00FC4A11" w:rsidRPr="00C74D34">
        <w:t>osition</w:t>
      </w:r>
      <w:r w:rsidR="008B2C71" w:rsidRPr="00C74D34">
        <w:t>s</w:t>
      </w:r>
      <w:bookmarkEnd w:id="32"/>
    </w:p>
    <w:p w14:paraId="53ECE712" w14:textId="5AC0BF0D" w:rsidR="00FC4A11" w:rsidRPr="00C74D34" w:rsidRDefault="00FC4A11" w:rsidP="002D03FA">
      <w:pPr>
        <w:pStyle w:val="TOCH4"/>
        <w:keepNext/>
        <w:numPr>
          <w:ilvl w:val="0"/>
          <w:numId w:val="0"/>
        </w:numPr>
        <w:ind w:left="2160"/>
      </w:pPr>
    </w:p>
    <w:p w14:paraId="0B1C2242" w14:textId="4AEF154B" w:rsidR="00877247" w:rsidRPr="00C74D34" w:rsidRDefault="00877247" w:rsidP="002D03FA">
      <w:pPr>
        <w:keepNext/>
        <w:ind w:firstLine="1440"/>
        <w:rPr>
          <w:szCs w:val="26"/>
        </w:rPr>
      </w:pPr>
      <w:r w:rsidRPr="00C74D34">
        <w:rPr>
          <w:szCs w:val="26"/>
        </w:rPr>
        <w:t>Before the ALJ, the OCA maintained that the Company has failed to prove that Project 9</w:t>
      </w:r>
      <w:r w:rsidR="00994895" w:rsidRPr="00C74D34">
        <w:rPr>
          <w:szCs w:val="26"/>
        </w:rPr>
        <w:t>A</w:t>
      </w:r>
      <w:r w:rsidRPr="00C74D34">
        <w:rPr>
          <w:szCs w:val="26"/>
        </w:rPr>
        <w:t xml:space="preserve"> is necessary to maintain adequate, efficient, safe, and reasonable service </w:t>
      </w:r>
      <w:r w:rsidRPr="00C74D34">
        <w:rPr>
          <w:szCs w:val="26"/>
        </w:rPr>
        <w:lastRenderedPageBreak/>
        <w:t>and failed to meet the constitutional, statutory, and regulatory requirements for approval of a transmission line project in Pennsylvania.  The OCA asserted that Project 9</w:t>
      </w:r>
      <w:r w:rsidR="00994895" w:rsidRPr="00C74D34">
        <w:rPr>
          <w:szCs w:val="26"/>
        </w:rPr>
        <w:t>A</w:t>
      </w:r>
      <w:r w:rsidRPr="00C74D34">
        <w:rPr>
          <w:szCs w:val="26"/>
        </w:rPr>
        <w:t xml:space="preserve"> was developed specifically to reduce congestion on the AP South Reactive Interface.  However, the OCA’s position was that</w:t>
      </w:r>
      <w:r w:rsidR="009E4871" w:rsidRPr="00C74D34">
        <w:rPr>
          <w:szCs w:val="26"/>
        </w:rPr>
        <w:t xml:space="preserve"> </w:t>
      </w:r>
      <w:r w:rsidR="008A24D9" w:rsidRPr="00C74D34">
        <w:rPr>
          <w:szCs w:val="26"/>
        </w:rPr>
        <w:t xml:space="preserve">the evidence presented demonstrated that </w:t>
      </w:r>
      <w:r w:rsidRPr="00C74D34">
        <w:rPr>
          <w:szCs w:val="26"/>
        </w:rPr>
        <w:t xml:space="preserve">congestion on the </w:t>
      </w:r>
      <w:r w:rsidRPr="00C74D34">
        <w:t>AP South Reactive Interface</w:t>
      </w:r>
      <w:r w:rsidRPr="00C74D34">
        <w:rPr>
          <w:szCs w:val="26"/>
        </w:rPr>
        <w:t xml:space="preserve"> has experienced a marked decline and indicators do not project a precipitous increase to that congestion.</w:t>
      </w:r>
      <w:r w:rsidR="00B11342" w:rsidRPr="00C74D34">
        <w:rPr>
          <w:szCs w:val="26"/>
        </w:rPr>
        <w:t xml:space="preserve">  </w:t>
      </w:r>
      <w:r w:rsidRPr="00C74D34">
        <w:rPr>
          <w:szCs w:val="26"/>
        </w:rPr>
        <w:t xml:space="preserve">OCA M.B. at </w:t>
      </w:r>
      <w:r w:rsidR="00132903" w:rsidRPr="00C74D34">
        <w:rPr>
          <w:szCs w:val="26"/>
        </w:rPr>
        <w:t>35-40</w:t>
      </w:r>
      <w:r w:rsidR="00FA3905" w:rsidRPr="00C74D34">
        <w:rPr>
          <w:szCs w:val="26"/>
        </w:rPr>
        <w:t>,</w:t>
      </w:r>
      <w:r w:rsidRPr="00C74D34">
        <w:rPr>
          <w:szCs w:val="26"/>
        </w:rPr>
        <w:t xml:space="preserve"> citing, </w:t>
      </w:r>
      <w:proofErr w:type="spellStart"/>
      <w:r w:rsidRPr="00C74D34">
        <w:rPr>
          <w:szCs w:val="26"/>
        </w:rPr>
        <w:t>Transource</w:t>
      </w:r>
      <w:proofErr w:type="spellEnd"/>
      <w:r w:rsidRPr="00C74D34">
        <w:rPr>
          <w:szCs w:val="26"/>
        </w:rPr>
        <w:t xml:space="preserve"> St. 3 at 24, </w:t>
      </w:r>
      <w:proofErr w:type="spellStart"/>
      <w:r w:rsidRPr="00C74D34">
        <w:rPr>
          <w:szCs w:val="26"/>
        </w:rPr>
        <w:t>Transource</w:t>
      </w:r>
      <w:proofErr w:type="spellEnd"/>
      <w:r w:rsidRPr="00C74D34">
        <w:rPr>
          <w:szCs w:val="26"/>
        </w:rPr>
        <w:t xml:space="preserve"> St. 8-R, </w:t>
      </w:r>
      <w:proofErr w:type="spellStart"/>
      <w:r w:rsidRPr="00C74D34">
        <w:rPr>
          <w:szCs w:val="26"/>
        </w:rPr>
        <w:t>Exh</w:t>
      </w:r>
      <w:proofErr w:type="spellEnd"/>
      <w:r w:rsidRPr="00C74D34">
        <w:rPr>
          <w:szCs w:val="26"/>
        </w:rPr>
        <w:t xml:space="preserve">. TH-5R at 2.  </w:t>
      </w:r>
    </w:p>
    <w:p w14:paraId="515AF44D" w14:textId="77777777" w:rsidR="00877247" w:rsidRPr="00C74D34" w:rsidRDefault="00877247" w:rsidP="002D03FA">
      <w:pPr>
        <w:rPr>
          <w:szCs w:val="26"/>
        </w:rPr>
      </w:pPr>
    </w:p>
    <w:p w14:paraId="295AFBE6" w14:textId="0BDFD9BC" w:rsidR="00877247" w:rsidRPr="00C74D34" w:rsidRDefault="00877247" w:rsidP="002D03FA">
      <w:pPr>
        <w:ind w:firstLine="1440"/>
        <w:rPr>
          <w:szCs w:val="26"/>
        </w:rPr>
      </w:pPr>
      <w:r w:rsidRPr="00C74D34">
        <w:rPr>
          <w:szCs w:val="26"/>
        </w:rPr>
        <w:t xml:space="preserve">Thus, the OCA’s opposition to the issue of need for the project focused on the underpinning congestion which prompted PJM’s request for proposals, and specifically, the congestion for which Project 9A was proposed to alleviate.  The OCA asserted that at the time PJM solicited proposals to solve congestion on the </w:t>
      </w:r>
      <w:r w:rsidRPr="00C74D34">
        <w:t>AP South Reactive Interface</w:t>
      </w:r>
      <w:r w:rsidRPr="00C74D34">
        <w:rPr>
          <w:szCs w:val="26"/>
        </w:rPr>
        <w:t>, congestion totaled approximately $800 million from 2012 to 2016.</w:t>
      </w:r>
      <w:r w:rsidR="00B11342" w:rsidRPr="00C74D34">
        <w:rPr>
          <w:szCs w:val="26"/>
        </w:rPr>
        <w:t xml:space="preserve"> </w:t>
      </w:r>
      <w:r w:rsidR="00132903" w:rsidRPr="00C74D34">
        <w:rPr>
          <w:szCs w:val="26"/>
        </w:rPr>
        <w:t xml:space="preserve"> </w:t>
      </w:r>
      <w:r w:rsidR="00862A39" w:rsidRPr="00C74D34">
        <w:rPr>
          <w:szCs w:val="26"/>
        </w:rPr>
        <w:t>OCA M.B. at 35-40</w:t>
      </w:r>
      <w:r w:rsidR="00132903" w:rsidRPr="00C74D34">
        <w:rPr>
          <w:szCs w:val="26"/>
        </w:rPr>
        <w:t xml:space="preserve">, </w:t>
      </w:r>
      <w:r w:rsidRPr="00C74D34">
        <w:rPr>
          <w:szCs w:val="26"/>
        </w:rPr>
        <w:t xml:space="preserve">citing, </w:t>
      </w:r>
      <w:proofErr w:type="spellStart"/>
      <w:r w:rsidRPr="00C74D34">
        <w:rPr>
          <w:szCs w:val="26"/>
        </w:rPr>
        <w:t>Transource</w:t>
      </w:r>
      <w:proofErr w:type="spellEnd"/>
      <w:r w:rsidRPr="00C74D34">
        <w:rPr>
          <w:szCs w:val="26"/>
        </w:rPr>
        <w:t xml:space="preserve"> St. 3 at 25.  </w:t>
      </w:r>
    </w:p>
    <w:p w14:paraId="227E7CCD" w14:textId="77777777" w:rsidR="00877247" w:rsidRPr="00C74D34" w:rsidRDefault="00877247" w:rsidP="002D03FA">
      <w:pPr>
        <w:ind w:firstLine="1440"/>
        <w:rPr>
          <w:szCs w:val="26"/>
        </w:rPr>
      </w:pPr>
    </w:p>
    <w:p w14:paraId="69867A92" w14:textId="2BB57206" w:rsidR="00877247" w:rsidRPr="00C74D34" w:rsidRDefault="00877247" w:rsidP="002D03FA">
      <w:pPr>
        <w:ind w:firstLine="1440"/>
        <w:rPr>
          <w:szCs w:val="26"/>
        </w:rPr>
      </w:pPr>
      <w:r w:rsidRPr="00C74D34">
        <w:rPr>
          <w:szCs w:val="26"/>
        </w:rPr>
        <w:t xml:space="preserve">The OCA noted that in 2014 alone, the cost of congestion on the </w:t>
      </w:r>
      <w:r w:rsidRPr="00C74D34">
        <w:t>AP South Reactive Interface</w:t>
      </w:r>
      <w:r w:rsidRPr="00C74D34">
        <w:rPr>
          <w:szCs w:val="26"/>
        </w:rPr>
        <w:t xml:space="preserve"> was approximately $487 million.</w:t>
      </w:r>
      <w:r w:rsidR="00B11342" w:rsidRPr="00C74D34">
        <w:rPr>
          <w:szCs w:val="26"/>
        </w:rPr>
        <w:t xml:space="preserve">  </w:t>
      </w:r>
      <w:r w:rsidRPr="00C74D34">
        <w:rPr>
          <w:szCs w:val="26"/>
        </w:rPr>
        <w:t xml:space="preserve">Conversely, the OCA noted, that since PJM’s selection of Project 9A in 2016, congestion on the </w:t>
      </w:r>
      <w:r w:rsidRPr="00C74D34">
        <w:t>AP South Reactive</w:t>
      </w:r>
      <w:r w:rsidRPr="00C74D34">
        <w:rPr>
          <w:szCs w:val="26"/>
        </w:rPr>
        <w:t xml:space="preserve"> </w:t>
      </w:r>
      <w:r w:rsidRPr="00C74D34">
        <w:t>Interface</w:t>
      </w:r>
      <w:r w:rsidRPr="00C74D34">
        <w:rPr>
          <w:szCs w:val="26"/>
        </w:rPr>
        <w:t xml:space="preserve"> has diminished, such that, in 2019, the annual congestion cost on the </w:t>
      </w:r>
      <w:r w:rsidRPr="00C74D34">
        <w:t>AP South</w:t>
      </w:r>
      <w:r w:rsidRPr="00C74D34">
        <w:rPr>
          <w:szCs w:val="26"/>
        </w:rPr>
        <w:t xml:space="preserve"> </w:t>
      </w:r>
      <w:r w:rsidRPr="00C74D34">
        <w:t>Reactive Interface</w:t>
      </w:r>
      <w:r w:rsidRPr="00C74D34">
        <w:rPr>
          <w:szCs w:val="26"/>
        </w:rPr>
        <w:t xml:space="preserve"> was approximately $14.5 million.</w:t>
      </w:r>
      <w:r w:rsidR="00B11342" w:rsidRPr="00C74D34">
        <w:rPr>
          <w:szCs w:val="26"/>
        </w:rPr>
        <w:t xml:space="preserve">  </w:t>
      </w:r>
      <w:r w:rsidR="00132903" w:rsidRPr="00C74D34">
        <w:rPr>
          <w:i/>
          <w:iCs/>
          <w:szCs w:val="26"/>
        </w:rPr>
        <w:t>Id</w:t>
      </w:r>
      <w:r w:rsidR="00132903" w:rsidRPr="00C74D34">
        <w:rPr>
          <w:szCs w:val="26"/>
        </w:rPr>
        <w:t xml:space="preserve">., </w:t>
      </w:r>
      <w:r w:rsidRPr="00C74D34">
        <w:rPr>
          <w:szCs w:val="26"/>
        </w:rPr>
        <w:t xml:space="preserve">citing, Tr. at 2921.  The OCA further emphasize that through the first quarter of 2020, the congestion cost on the </w:t>
      </w:r>
      <w:r w:rsidRPr="00C74D34">
        <w:t>AP South Reactive Interface</w:t>
      </w:r>
      <w:r w:rsidRPr="00C74D34">
        <w:rPr>
          <w:szCs w:val="26"/>
        </w:rPr>
        <w:t xml:space="preserve"> was less than $900,000.  As such, the OCA noted that, per PJM’s own account</w:t>
      </w:r>
      <w:r w:rsidR="00CC5499" w:rsidRPr="00C74D34">
        <w:rPr>
          <w:szCs w:val="26"/>
        </w:rPr>
        <w:t>ing</w:t>
      </w:r>
      <w:r w:rsidRPr="00C74D34">
        <w:rPr>
          <w:szCs w:val="26"/>
        </w:rPr>
        <w:t xml:space="preserve">, the </w:t>
      </w:r>
      <w:r w:rsidRPr="00C74D34">
        <w:t>AP South Reactive Interface</w:t>
      </w:r>
      <w:r w:rsidRPr="00C74D34">
        <w:rPr>
          <w:szCs w:val="26"/>
        </w:rPr>
        <w:t xml:space="preserve"> failed to make the list of the top</w:t>
      </w:r>
      <w:r w:rsidR="00C13DA7">
        <w:rPr>
          <w:szCs w:val="26"/>
        </w:rPr>
        <w:t> </w:t>
      </w:r>
      <w:r w:rsidRPr="00C74D34">
        <w:rPr>
          <w:szCs w:val="26"/>
        </w:rPr>
        <w:t>25 most congested facilities in the PJM region</w:t>
      </w:r>
      <w:r w:rsidR="00CC5499" w:rsidRPr="00C74D34">
        <w:rPr>
          <w:szCs w:val="26"/>
        </w:rPr>
        <w:t xml:space="preserve"> for the </w:t>
      </w:r>
      <w:r w:rsidR="00D66C9C" w:rsidRPr="00C74D34">
        <w:rPr>
          <w:szCs w:val="26"/>
        </w:rPr>
        <w:t xml:space="preserve">most recent </w:t>
      </w:r>
      <w:r w:rsidR="00CC5499" w:rsidRPr="00C74D34">
        <w:rPr>
          <w:szCs w:val="26"/>
        </w:rPr>
        <w:t>period</w:t>
      </w:r>
      <w:r w:rsidRPr="00C74D34">
        <w:rPr>
          <w:szCs w:val="26"/>
        </w:rPr>
        <w:t xml:space="preserve">. </w:t>
      </w:r>
    </w:p>
    <w:p w14:paraId="6719126C" w14:textId="77777777" w:rsidR="00877247" w:rsidRPr="00C74D34" w:rsidRDefault="00877247" w:rsidP="002D03FA">
      <w:pPr>
        <w:ind w:firstLine="1440"/>
        <w:rPr>
          <w:szCs w:val="26"/>
        </w:rPr>
      </w:pPr>
    </w:p>
    <w:p w14:paraId="47E49BD7" w14:textId="3014958A" w:rsidR="00877247" w:rsidRPr="00C74D34" w:rsidRDefault="00877247" w:rsidP="002D03FA">
      <w:pPr>
        <w:ind w:firstLine="1440"/>
        <w:rPr>
          <w:szCs w:val="26"/>
        </w:rPr>
      </w:pPr>
      <w:r w:rsidRPr="00C74D34">
        <w:rPr>
          <w:szCs w:val="26"/>
        </w:rPr>
        <w:t xml:space="preserve">The OCA concluded, and asserted before the ALJ, that based upon the evidence of the congestion of the </w:t>
      </w:r>
      <w:r w:rsidRPr="00C74D34">
        <w:t>AP South Reactive Interface</w:t>
      </w:r>
      <w:r w:rsidRPr="00C74D34">
        <w:rPr>
          <w:szCs w:val="26"/>
        </w:rPr>
        <w:t xml:space="preserve">, the purpose for which the Project 9A </w:t>
      </w:r>
      <w:r w:rsidR="00CA020B" w:rsidRPr="00C74D34">
        <w:rPr>
          <w:szCs w:val="26"/>
        </w:rPr>
        <w:t xml:space="preserve">was proposed </w:t>
      </w:r>
      <w:r w:rsidRPr="00C74D34">
        <w:rPr>
          <w:szCs w:val="26"/>
        </w:rPr>
        <w:t xml:space="preserve">no longer exists.  Accordingly, the OCA argued the evidence </w:t>
      </w:r>
      <w:r w:rsidRPr="00C74D34">
        <w:rPr>
          <w:szCs w:val="26"/>
        </w:rPr>
        <w:lastRenderedPageBreak/>
        <w:t xml:space="preserve">failed to establish need for the project.  OCA M.B. at </w:t>
      </w:r>
      <w:r w:rsidR="006916EA" w:rsidRPr="00C74D34">
        <w:rPr>
          <w:szCs w:val="26"/>
        </w:rPr>
        <w:t xml:space="preserve">38-40, </w:t>
      </w:r>
      <w:r w:rsidRPr="00C74D34">
        <w:rPr>
          <w:szCs w:val="26"/>
        </w:rPr>
        <w:t>citing,</w:t>
      </w:r>
      <w:r w:rsidR="002B14FE" w:rsidRPr="00C74D34">
        <w:rPr>
          <w:szCs w:val="26"/>
        </w:rPr>
        <w:t xml:space="preserve"> </w:t>
      </w:r>
      <w:r w:rsidRPr="00C74D34">
        <w:rPr>
          <w:szCs w:val="26"/>
        </w:rPr>
        <w:t xml:space="preserve">OCA Hearing </w:t>
      </w:r>
      <w:proofErr w:type="spellStart"/>
      <w:r w:rsidRPr="00C74D34">
        <w:rPr>
          <w:szCs w:val="26"/>
        </w:rPr>
        <w:t>Exh</w:t>
      </w:r>
      <w:proofErr w:type="spellEnd"/>
      <w:r w:rsidRPr="00C74D34">
        <w:rPr>
          <w:szCs w:val="26"/>
        </w:rPr>
        <w:t>. 6 at 559.</w:t>
      </w:r>
    </w:p>
    <w:p w14:paraId="283B6272" w14:textId="77777777" w:rsidR="00877247" w:rsidRPr="00C74D34" w:rsidRDefault="00877247" w:rsidP="002D03FA">
      <w:pPr>
        <w:ind w:firstLine="720"/>
        <w:rPr>
          <w:szCs w:val="26"/>
        </w:rPr>
      </w:pPr>
    </w:p>
    <w:p w14:paraId="093C7301" w14:textId="123DA292" w:rsidR="00877247" w:rsidRPr="00C74D34" w:rsidRDefault="00877247" w:rsidP="002D03FA">
      <w:pPr>
        <w:ind w:firstLine="1440"/>
        <w:rPr>
          <w:szCs w:val="26"/>
        </w:rPr>
      </w:pPr>
      <w:r w:rsidRPr="00C74D34">
        <w:rPr>
          <w:szCs w:val="26"/>
        </w:rPr>
        <w:t xml:space="preserve">Further, the OCA asserted that the ALJ should not </w:t>
      </w:r>
      <w:r w:rsidR="007732B6" w:rsidRPr="00C74D34">
        <w:rPr>
          <w:szCs w:val="26"/>
        </w:rPr>
        <w:t xml:space="preserve">give </w:t>
      </w:r>
      <w:r w:rsidRPr="00C74D34">
        <w:rPr>
          <w:szCs w:val="26"/>
        </w:rPr>
        <w:t xml:space="preserve">weight </w:t>
      </w:r>
      <w:r w:rsidR="007732B6" w:rsidRPr="00C74D34">
        <w:rPr>
          <w:szCs w:val="26"/>
        </w:rPr>
        <w:t xml:space="preserve">to </w:t>
      </w:r>
      <w:r w:rsidRPr="00C74D34">
        <w:rPr>
          <w:szCs w:val="26"/>
        </w:rPr>
        <w:t xml:space="preserve">the evidence offered by </w:t>
      </w:r>
      <w:proofErr w:type="spellStart"/>
      <w:r w:rsidRPr="00C74D34">
        <w:rPr>
          <w:szCs w:val="26"/>
        </w:rPr>
        <w:t>Transource</w:t>
      </w:r>
      <w:proofErr w:type="spellEnd"/>
      <w:r w:rsidRPr="00C74D34">
        <w:rPr>
          <w:szCs w:val="26"/>
        </w:rPr>
        <w:t xml:space="preserve"> related to PJM’s analysis that </w:t>
      </w:r>
      <w:r w:rsidR="007732B6" w:rsidRPr="00C74D34">
        <w:rPr>
          <w:szCs w:val="26"/>
        </w:rPr>
        <w:t xml:space="preserve">Project 9A </w:t>
      </w:r>
      <w:r w:rsidRPr="00C74D34">
        <w:rPr>
          <w:szCs w:val="26"/>
        </w:rPr>
        <w:t xml:space="preserve">exceeds PJM’s 1.25:1 benefit-cost threshold for market efficiency projects.  The OCA maintained that PJM’s analysis is flawed in several respects and is insufficient to demonstrate need under Pennsylvania law.  OCA M.B. at </w:t>
      </w:r>
      <w:r w:rsidR="006916EA" w:rsidRPr="00C74D34">
        <w:rPr>
          <w:szCs w:val="26"/>
        </w:rPr>
        <w:t>40-62</w:t>
      </w:r>
      <w:r w:rsidR="00B11342" w:rsidRPr="00C74D34">
        <w:rPr>
          <w:szCs w:val="26"/>
        </w:rPr>
        <w:t xml:space="preserve">.  </w:t>
      </w:r>
      <w:r w:rsidRPr="00C74D34">
        <w:rPr>
          <w:szCs w:val="26"/>
        </w:rPr>
        <w:t xml:space="preserve">Therefore, the evidence of PJM’s own estimation of the project’s “benefit to cost threshold” is not persuasive on the issue whether need has been established under the applicable Pennsylvania standards.  </w:t>
      </w:r>
    </w:p>
    <w:p w14:paraId="6F149AB1" w14:textId="77777777" w:rsidR="00877247" w:rsidRPr="00C74D34" w:rsidRDefault="00877247" w:rsidP="002D03FA">
      <w:pPr>
        <w:ind w:firstLine="720"/>
        <w:rPr>
          <w:szCs w:val="26"/>
        </w:rPr>
      </w:pPr>
    </w:p>
    <w:p w14:paraId="047F7463" w14:textId="0A7C8515" w:rsidR="00877247" w:rsidRPr="00C74D34" w:rsidRDefault="00877247" w:rsidP="002D03FA">
      <w:pPr>
        <w:ind w:firstLine="1440"/>
        <w:rPr>
          <w:szCs w:val="26"/>
        </w:rPr>
      </w:pPr>
      <w:r w:rsidRPr="00C74D34">
        <w:rPr>
          <w:szCs w:val="26"/>
        </w:rPr>
        <w:t xml:space="preserve">The OCA argued that </w:t>
      </w:r>
      <w:r w:rsidR="001B07B6" w:rsidRPr="00C74D34">
        <w:rPr>
          <w:szCs w:val="26"/>
        </w:rPr>
        <w:t xml:space="preserve">the </w:t>
      </w:r>
      <w:r w:rsidRPr="00C74D34">
        <w:rPr>
          <w:szCs w:val="26"/>
        </w:rPr>
        <w:t xml:space="preserve">fundamental flaw in PJM’s analysis is that PJM does </w:t>
      </w:r>
      <w:r w:rsidRPr="00C74D34">
        <w:rPr>
          <w:i/>
          <w:iCs/>
          <w:szCs w:val="26"/>
        </w:rPr>
        <w:t>not</w:t>
      </w:r>
      <w:r w:rsidRPr="00C74D34">
        <w:rPr>
          <w:szCs w:val="26"/>
        </w:rPr>
        <w:t xml:space="preserve"> include transmission zones that experience </w:t>
      </w:r>
      <w:r w:rsidRPr="00C74D34">
        <w:rPr>
          <w:i/>
          <w:iCs/>
          <w:szCs w:val="26"/>
        </w:rPr>
        <w:t>an increase in the price of energy</w:t>
      </w:r>
      <w:r w:rsidRPr="00C74D34">
        <w:rPr>
          <w:szCs w:val="26"/>
        </w:rPr>
        <w:t xml:space="preserve"> when calculating the benefits of the IEC Project.  OCA M.B. at </w:t>
      </w:r>
      <w:r w:rsidR="006916EA" w:rsidRPr="00C74D34">
        <w:rPr>
          <w:szCs w:val="26"/>
        </w:rPr>
        <w:t>43-52,</w:t>
      </w:r>
      <w:r w:rsidRPr="00C74D34">
        <w:rPr>
          <w:szCs w:val="26"/>
        </w:rPr>
        <w:t xml:space="preserve"> citing, OCA St. 1 at 24.  </w:t>
      </w:r>
      <w:r w:rsidR="006916EA" w:rsidRPr="00C74D34">
        <w:rPr>
          <w:szCs w:val="26"/>
        </w:rPr>
        <w:t xml:space="preserve">To illustrate this point, the OCA opined that, </w:t>
      </w:r>
      <w:r w:rsidRPr="00C74D34">
        <w:rPr>
          <w:szCs w:val="26"/>
        </w:rPr>
        <w:t xml:space="preserve">if a new market efficiency project were to reduce wholesale power prices by $10 million in certain transmission zones but increase wholesale power prices by $8 million in other transmission zones, PJM would recognize a benefit of $10 million to the entire PJM region.  </w:t>
      </w:r>
    </w:p>
    <w:p w14:paraId="28A0A5A6" w14:textId="77777777" w:rsidR="00877247" w:rsidRPr="00C74D34" w:rsidRDefault="00877247" w:rsidP="002D03FA">
      <w:pPr>
        <w:ind w:firstLine="720"/>
        <w:rPr>
          <w:szCs w:val="26"/>
        </w:rPr>
      </w:pPr>
    </w:p>
    <w:p w14:paraId="35FFA72C" w14:textId="6758DB1A" w:rsidR="00877247" w:rsidRPr="00C74D34" w:rsidRDefault="00877247" w:rsidP="002D03FA">
      <w:pPr>
        <w:ind w:firstLine="1440"/>
        <w:rPr>
          <w:szCs w:val="26"/>
        </w:rPr>
      </w:pPr>
      <w:r w:rsidRPr="00C74D34">
        <w:rPr>
          <w:szCs w:val="26"/>
        </w:rPr>
        <w:t xml:space="preserve">The OCA asserted that it is inappropriate to exclude direct economic impacts resulting from an action when performing a benefit-cost analysis and particularly when determining need for the purposes of transmission siting and eminent domain under Pennsylvania law.  </w:t>
      </w:r>
      <w:r w:rsidR="006916EA" w:rsidRPr="00C74D34">
        <w:rPr>
          <w:szCs w:val="26"/>
        </w:rPr>
        <w:t xml:space="preserve">OCA M.B at 63; </w:t>
      </w:r>
      <w:r w:rsidRPr="00C74D34">
        <w:rPr>
          <w:szCs w:val="26"/>
        </w:rPr>
        <w:t xml:space="preserve">OCA St. 1 at 23-24.  </w:t>
      </w:r>
    </w:p>
    <w:p w14:paraId="2BBD22F8" w14:textId="77777777" w:rsidR="00877247" w:rsidRPr="00C74D34" w:rsidRDefault="00877247" w:rsidP="002D03FA">
      <w:pPr>
        <w:ind w:firstLine="720"/>
        <w:rPr>
          <w:szCs w:val="26"/>
        </w:rPr>
      </w:pPr>
    </w:p>
    <w:p w14:paraId="11F351B9" w14:textId="3E812A5D" w:rsidR="00877247" w:rsidRPr="00C74D34" w:rsidRDefault="00877247" w:rsidP="002D03FA">
      <w:pPr>
        <w:ind w:firstLine="1440"/>
        <w:rPr>
          <w:szCs w:val="26"/>
        </w:rPr>
      </w:pPr>
      <w:r w:rsidRPr="00C74D34">
        <w:rPr>
          <w:szCs w:val="26"/>
        </w:rPr>
        <w:t xml:space="preserve">The OCA asserted that when calculating the benefit-cost ratio for purposes of the ALJ’s determination whether there is a need for a given project in Pennsylvania, it is entirely appropriate to examine the negative factor, i.e., </w:t>
      </w:r>
      <w:r w:rsidRPr="00C74D34">
        <w:rPr>
          <w:i/>
          <w:iCs/>
          <w:szCs w:val="26"/>
        </w:rPr>
        <w:t>any projected increase in the price of energy</w:t>
      </w:r>
      <w:r w:rsidRPr="00C74D34">
        <w:rPr>
          <w:szCs w:val="26"/>
        </w:rPr>
        <w:t xml:space="preserve"> to Pennsylvania </w:t>
      </w:r>
      <w:r w:rsidR="00BD4CE8" w:rsidRPr="00C74D34">
        <w:rPr>
          <w:szCs w:val="26"/>
        </w:rPr>
        <w:t>customers</w:t>
      </w:r>
      <w:r w:rsidRPr="00C74D34">
        <w:rPr>
          <w:szCs w:val="26"/>
        </w:rPr>
        <w:t>.  The OCA argued that, using PJM’s formula, whe</w:t>
      </w:r>
      <w:r w:rsidR="00384F06" w:rsidRPr="00C74D34">
        <w:rPr>
          <w:szCs w:val="26"/>
        </w:rPr>
        <w:t>re</w:t>
      </w:r>
      <w:r w:rsidRPr="00C74D34">
        <w:rPr>
          <w:szCs w:val="26"/>
        </w:rPr>
        <w:t xml:space="preserve"> the benefit-cost ratio factors in the negative impact to Pennsylvania consumers, the </w:t>
      </w:r>
      <w:r w:rsidRPr="00C74D34">
        <w:rPr>
          <w:szCs w:val="26"/>
        </w:rPr>
        <w:lastRenderedPageBreak/>
        <w:t>IEC Project under PJM’s forward-looking model provides net benefits of $32.5 million over a period of 15 years. With a present value revenue requirement (PVRR) of $527 million, that amounts to a benefit-cost ratio of 0.06.  Thus, the OCA asserted the PJM formula i</w:t>
      </w:r>
      <w:r w:rsidR="00862A39" w:rsidRPr="00C74D34">
        <w:rPr>
          <w:szCs w:val="26"/>
        </w:rPr>
        <w:t>s</w:t>
      </w:r>
      <w:r w:rsidRPr="00C74D34">
        <w:rPr>
          <w:szCs w:val="26"/>
        </w:rPr>
        <w:t xml:space="preserve"> inherently flawed as fair measure of economic impact within Pennsylvania, by exclusion of the negative economic impacts to Pennsylvania consumers, associated with the proposed Project 9A.  </w:t>
      </w:r>
    </w:p>
    <w:p w14:paraId="3E92E094" w14:textId="77777777" w:rsidR="00877247" w:rsidRPr="00C74D34" w:rsidRDefault="00877247" w:rsidP="002D03FA">
      <w:pPr>
        <w:ind w:firstLine="720"/>
        <w:rPr>
          <w:szCs w:val="26"/>
        </w:rPr>
      </w:pPr>
    </w:p>
    <w:p w14:paraId="23BE545A" w14:textId="3263A260" w:rsidR="00877247" w:rsidRPr="00C74D34" w:rsidRDefault="00877247" w:rsidP="002D03FA">
      <w:pPr>
        <w:ind w:firstLine="1440"/>
        <w:rPr>
          <w:szCs w:val="26"/>
        </w:rPr>
      </w:pPr>
      <w:r w:rsidRPr="00C74D34">
        <w:rPr>
          <w:szCs w:val="26"/>
        </w:rPr>
        <w:t xml:space="preserve">The OCA characterized other aspects of PJM’s methodology as “flaws,” which </w:t>
      </w:r>
      <w:r w:rsidR="00862A39" w:rsidRPr="00C74D34">
        <w:rPr>
          <w:szCs w:val="26"/>
        </w:rPr>
        <w:t xml:space="preserve">the </w:t>
      </w:r>
      <w:r w:rsidRPr="00C74D34">
        <w:rPr>
          <w:szCs w:val="26"/>
        </w:rPr>
        <w:t>OCA asserted result in an overstatement of the benefits of Project 9A by ignoring certain future generation in the affected zones.  Specifically, the OCA asserted that the PJM methodology fails to factor in generation and demand reduction resulting from state legislative and policy initiatives in the affected region which would serve to mitigate congestion in the region.</w:t>
      </w:r>
    </w:p>
    <w:p w14:paraId="57B6B837" w14:textId="77777777" w:rsidR="00877247" w:rsidRPr="00C74D34" w:rsidRDefault="00877247" w:rsidP="002D03FA">
      <w:pPr>
        <w:ind w:firstLine="720"/>
        <w:rPr>
          <w:szCs w:val="26"/>
        </w:rPr>
      </w:pPr>
      <w:r w:rsidRPr="00C74D34">
        <w:rPr>
          <w:szCs w:val="26"/>
        </w:rPr>
        <w:t xml:space="preserve"> </w:t>
      </w:r>
    </w:p>
    <w:p w14:paraId="1AF974B7" w14:textId="7C42FD29" w:rsidR="00E254E0" w:rsidRPr="00C74D34" w:rsidRDefault="00877247" w:rsidP="002D03FA">
      <w:pPr>
        <w:ind w:firstLine="1440"/>
        <w:rPr>
          <w:szCs w:val="26"/>
        </w:rPr>
      </w:pPr>
      <w:r w:rsidRPr="00C74D34">
        <w:rPr>
          <w:szCs w:val="26"/>
        </w:rPr>
        <w:t xml:space="preserve">The OCA argued that </w:t>
      </w:r>
      <w:proofErr w:type="spellStart"/>
      <w:r w:rsidRPr="00C74D34">
        <w:rPr>
          <w:szCs w:val="26"/>
        </w:rPr>
        <w:t>Transource’s</w:t>
      </w:r>
      <w:proofErr w:type="spellEnd"/>
      <w:r w:rsidRPr="00C74D34">
        <w:rPr>
          <w:szCs w:val="26"/>
        </w:rPr>
        <w:t xml:space="preserve"> forecasts, which are inherently skewed toward the relevant federal objectives for which PJM approved the project, demonstrate that while the IEC Project is designed to improve “economic efficiency,” the Project’s practical impact would be detrimental to other PJM Transmission Zones, including Pennsylvania.  Using </w:t>
      </w:r>
      <w:proofErr w:type="spellStart"/>
      <w:r w:rsidRPr="00C74D34">
        <w:rPr>
          <w:szCs w:val="26"/>
        </w:rPr>
        <w:t>Transource’s</w:t>
      </w:r>
      <w:proofErr w:type="spellEnd"/>
      <w:r w:rsidRPr="00C74D34">
        <w:rPr>
          <w:szCs w:val="26"/>
        </w:rPr>
        <w:t xml:space="preserve"> data, the OCA noted that, while the Company’s projections indicate that wholesale power prices for load-serving entities in Virginia, Maryland, Washington D.C., and a portion of Western Pennsylvania will decrease by approximately $845 million over fifteen years</w:t>
      </w:r>
      <w:r w:rsidR="00E254E0" w:rsidRPr="00C74D34">
        <w:rPr>
          <w:szCs w:val="26"/>
        </w:rPr>
        <w:t xml:space="preserve"> and </w:t>
      </w:r>
      <w:proofErr w:type="spellStart"/>
      <w:r w:rsidRPr="00C74D34">
        <w:rPr>
          <w:szCs w:val="26"/>
        </w:rPr>
        <w:t>Tran</w:t>
      </w:r>
      <w:r w:rsidR="002B14FE" w:rsidRPr="00C74D34">
        <w:rPr>
          <w:szCs w:val="26"/>
        </w:rPr>
        <w:t>s</w:t>
      </w:r>
      <w:r w:rsidRPr="00C74D34">
        <w:rPr>
          <w:szCs w:val="26"/>
        </w:rPr>
        <w:t>ource</w:t>
      </w:r>
      <w:proofErr w:type="spellEnd"/>
      <w:r w:rsidRPr="00C74D34">
        <w:rPr>
          <w:szCs w:val="26"/>
        </w:rPr>
        <w:t xml:space="preserve"> acknowledges wholesale power prices will increase by approximately $812.5 million in portions of Pennsylvania, New Jersey, Ohio, Delaware, Maryland, Kentucky, and Illinois over that same period.  </w:t>
      </w:r>
      <w:r w:rsidR="007327D0" w:rsidRPr="00C74D34">
        <w:rPr>
          <w:i/>
        </w:rPr>
        <w:t>See</w:t>
      </w:r>
      <w:r w:rsidR="007327D0" w:rsidRPr="00C74D34">
        <w:rPr>
          <w:szCs w:val="26"/>
        </w:rPr>
        <w:t xml:space="preserve"> </w:t>
      </w:r>
      <w:r w:rsidRPr="00C74D34">
        <w:rPr>
          <w:szCs w:val="26"/>
        </w:rPr>
        <w:t xml:space="preserve">OCA Hearing </w:t>
      </w:r>
      <w:proofErr w:type="spellStart"/>
      <w:r w:rsidRPr="00C74D34">
        <w:rPr>
          <w:szCs w:val="26"/>
        </w:rPr>
        <w:t>Exh</w:t>
      </w:r>
      <w:proofErr w:type="spellEnd"/>
      <w:r w:rsidRPr="00C74D34">
        <w:rPr>
          <w:szCs w:val="26"/>
        </w:rPr>
        <w:t xml:space="preserve">. 3, </w:t>
      </w:r>
      <w:proofErr w:type="spellStart"/>
      <w:r w:rsidRPr="00C74D34">
        <w:rPr>
          <w:szCs w:val="26"/>
        </w:rPr>
        <w:t>Transource</w:t>
      </w:r>
      <w:proofErr w:type="spellEnd"/>
      <w:r w:rsidRPr="00C74D34">
        <w:rPr>
          <w:szCs w:val="26"/>
        </w:rPr>
        <w:t xml:space="preserve"> Response to OCA-XLIII-4</w:t>
      </w:r>
      <w:r w:rsidR="006916EA" w:rsidRPr="00C74D34">
        <w:rPr>
          <w:szCs w:val="26"/>
        </w:rPr>
        <w:t xml:space="preserve">.  </w:t>
      </w:r>
    </w:p>
    <w:p w14:paraId="3D2E0CB6" w14:textId="77777777" w:rsidR="006916EA" w:rsidRPr="00C74D34" w:rsidRDefault="006916EA" w:rsidP="002D03FA">
      <w:pPr>
        <w:ind w:firstLine="1440"/>
        <w:rPr>
          <w:szCs w:val="26"/>
        </w:rPr>
      </w:pPr>
    </w:p>
    <w:p w14:paraId="22FAD585" w14:textId="017D29FF" w:rsidR="00877247" w:rsidRPr="00C74D34" w:rsidRDefault="00877247" w:rsidP="002D03FA">
      <w:pPr>
        <w:ind w:firstLine="1440"/>
        <w:rPr>
          <w:szCs w:val="26"/>
        </w:rPr>
      </w:pPr>
      <w:r w:rsidRPr="00C74D34">
        <w:rPr>
          <w:szCs w:val="26"/>
        </w:rPr>
        <w:t xml:space="preserve">The OCA asserted that practical impact </w:t>
      </w:r>
      <w:r w:rsidRPr="00C74D34">
        <w:rPr>
          <w:i/>
          <w:iCs/>
          <w:szCs w:val="26"/>
        </w:rPr>
        <w:t>via</w:t>
      </w:r>
      <w:r w:rsidRPr="00C74D34">
        <w:rPr>
          <w:szCs w:val="26"/>
        </w:rPr>
        <w:t xml:space="preserve"> the costs of construction also weigh against a finding of need for the project.</w:t>
      </w:r>
      <w:r w:rsidR="00B11342" w:rsidRPr="00C74D34">
        <w:rPr>
          <w:szCs w:val="26"/>
        </w:rPr>
        <w:t xml:space="preserve">  </w:t>
      </w:r>
      <w:r w:rsidRPr="00C74D34">
        <w:rPr>
          <w:szCs w:val="26"/>
        </w:rPr>
        <w:t xml:space="preserve">For example, the </w:t>
      </w:r>
      <w:proofErr w:type="spellStart"/>
      <w:r w:rsidRPr="00C74D34">
        <w:rPr>
          <w:szCs w:val="26"/>
        </w:rPr>
        <w:t>loadserving</w:t>
      </w:r>
      <w:proofErr w:type="spellEnd"/>
      <w:r w:rsidRPr="00C74D34">
        <w:rPr>
          <w:szCs w:val="26"/>
        </w:rPr>
        <w:t xml:space="preserve"> entities in transmission zones that would benefit would have to pay for the costs to construct, </w:t>
      </w:r>
      <w:r w:rsidRPr="00C74D34">
        <w:rPr>
          <w:szCs w:val="26"/>
        </w:rPr>
        <w:lastRenderedPageBreak/>
        <w:t xml:space="preserve">operate, and maintain the IEC Project over its service life.  In the first fifteen years alone, load-serving entities in Virginia, Maryland, Washington D.C., and Western Pennsylvania </w:t>
      </w:r>
      <w:r w:rsidR="00E254E0" w:rsidRPr="00C74D34">
        <w:rPr>
          <w:szCs w:val="26"/>
        </w:rPr>
        <w:t xml:space="preserve">would be </w:t>
      </w:r>
      <w:r w:rsidRPr="00C74D34">
        <w:rPr>
          <w:szCs w:val="26"/>
        </w:rPr>
        <w:t xml:space="preserve">expected to pay at least $527 million.  </w:t>
      </w:r>
      <w:r w:rsidR="007327D0" w:rsidRPr="00C74D34">
        <w:rPr>
          <w:szCs w:val="26"/>
        </w:rPr>
        <w:t>OCA St. 1 at 36,</w:t>
      </w:r>
      <w:r w:rsidR="00A7190D" w:rsidRPr="00C74D34">
        <w:rPr>
          <w:szCs w:val="26"/>
        </w:rPr>
        <w:t xml:space="preserve"> citing </w:t>
      </w:r>
      <w:proofErr w:type="spellStart"/>
      <w:r w:rsidRPr="00C74D34">
        <w:rPr>
          <w:szCs w:val="26"/>
        </w:rPr>
        <w:t>Transource</w:t>
      </w:r>
      <w:proofErr w:type="spellEnd"/>
      <w:r w:rsidRPr="00C74D34">
        <w:rPr>
          <w:szCs w:val="26"/>
        </w:rPr>
        <w:t xml:space="preserve"> St. AA-3, </w:t>
      </w:r>
      <w:proofErr w:type="spellStart"/>
      <w:r w:rsidRPr="00C74D34">
        <w:rPr>
          <w:szCs w:val="26"/>
        </w:rPr>
        <w:t>Exh</w:t>
      </w:r>
      <w:proofErr w:type="spellEnd"/>
      <w:r w:rsidRPr="00C74D34">
        <w:rPr>
          <w:szCs w:val="26"/>
        </w:rPr>
        <w:t xml:space="preserve">. TJH-AA3 at 4.  </w:t>
      </w:r>
      <w:r w:rsidR="00A7190D" w:rsidRPr="00C74D34">
        <w:rPr>
          <w:szCs w:val="26"/>
        </w:rPr>
        <w:t xml:space="preserve">OCA argued, therefore </w:t>
      </w:r>
      <w:r w:rsidR="00FD45A9" w:rsidRPr="00C74D34">
        <w:rPr>
          <w:szCs w:val="26"/>
        </w:rPr>
        <w:t>that the projected costs</w:t>
      </w:r>
      <w:r w:rsidR="00F36A3B" w:rsidRPr="00C74D34">
        <w:rPr>
          <w:szCs w:val="26"/>
        </w:rPr>
        <w:t xml:space="preserve"> may</w:t>
      </w:r>
      <w:r w:rsidRPr="00C74D34">
        <w:rPr>
          <w:szCs w:val="26"/>
        </w:rPr>
        <w:t xml:space="preserve"> offset more than half of the alleged wholesale power price benefit provided to those transmission zones </w:t>
      </w:r>
      <w:r w:rsidR="00F36A3B" w:rsidRPr="00C74D34">
        <w:rPr>
          <w:szCs w:val="26"/>
        </w:rPr>
        <w:t>because of</w:t>
      </w:r>
      <w:r w:rsidRPr="00C74D34">
        <w:rPr>
          <w:szCs w:val="26"/>
        </w:rPr>
        <w:t xml:space="preserve"> constructing the Project</w:t>
      </w:r>
      <w:r w:rsidR="00F36A3B" w:rsidRPr="00C74D34">
        <w:rPr>
          <w:szCs w:val="26"/>
        </w:rPr>
        <w:t xml:space="preserve"> 9A</w:t>
      </w:r>
      <w:r w:rsidRPr="00C74D34">
        <w:rPr>
          <w:szCs w:val="26"/>
        </w:rPr>
        <w:t xml:space="preserve">. </w:t>
      </w:r>
    </w:p>
    <w:p w14:paraId="0BDE0B6A" w14:textId="77777777" w:rsidR="00877247" w:rsidRPr="00C74D34" w:rsidRDefault="00877247" w:rsidP="002D03FA">
      <w:pPr>
        <w:ind w:firstLine="720"/>
        <w:rPr>
          <w:szCs w:val="26"/>
        </w:rPr>
      </w:pPr>
    </w:p>
    <w:p w14:paraId="6068888B" w14:textId="69FE05B5" w:rsidR="00877247" w:rsidRPr="00C74D34" w:rsidRDefault="00877247" w:rsidP="002D03FA">
      <w:pPr>
        <w:ind w:firstLine="1440"/>
        <w:rPr>
          <w:szCs w:val="26"/>
        </w:rPr>
      </w:pPr>
      <w:r w:rsidRPr="00C74D34">
        <w:rPr>
          <w:szCs w:val="26"/>
        </w:rPr>
        <w:t xml:space="preserve">The OCA also asserted that, based upon </w:t>
      </w:r>
      <w:proofErr w:type="spellStart"/>
      <w:r w:rsidRPr="00C74D34">
        <w:rPr>
          <w:szCs w:val="26"/>
        </w:rPr>
        <w:t>Transource’s</w:t>
      </w:r>
      <w:proofErr w:type="spellEnd"/>
      <w:r w:rsidRPr="00C74D34">
        <w:rPr>
          <w:szCs w:val="26"/>
        </w:rPr>
        <w:t xml:space="preserve"> projections, Pennsylvania ratepayers </w:t>
      </w:r>
      <w:r w:rsidR="00F36A3B" w:rsidRPr="00C74D34">
        <w:rPr>
          <w:szCs w:val="26"/>
        </w:rPr>
        <w:t xml:space="preserve">in fact </w:t>
      </w:r>
      <w:r w:rsidRPr="00C74D34">
        <w:rPr>
          <w:szCs w:val="26"/>
        </w:rPr>
        <w:t xml:space="preserve">receive </w:t>
      </w:r>
      <w:r w:rsidRPr="00C74D34">
        <w:rPr>
          <w:i/>
          <w:iCs/>
          <w:szCs w:val="26"/>
        </w:rPr>
        <w:t>no</w:t>
      </w:r>
      <w:r w:rsidRPr="00C74D34">
        <w:rPr>
          <w:szCs w:val="26"/>
        </w:rPr>
        <w:t xml:space="preserve"> overall benefit from this Project.  The OCA noted that PJM’s latest re-evaluation forecasts that, while a small portion of Western Pennsylvania may experience reduced wholesale power prices of approximately $27 million over the first fifteen years, wholesale power prices will increase by approximately $429 million in the rest of Pennsylvania.  OCA M.B. at </w:t>
      </w:r>
      <w:r w:rsidR="007327D0" w:rsidRPr="00C74D34">
        <w:rPr>
          <w:szCs w:val="26"/>
        </w:rPr>
        <w:t>69-70;</w:t>
      </w:r>
      <w:r w:rsidRPr="00C74D34">
        <w:rPr>
          <w:szCs w:val="26"/>
        </w:rPr>
        <w:t xml:space="preserve"> OCA Hearing </w:t>
      </w:r>
      <w:proofErr w:type="spellStart"/>
      <w:r w:rsidRPr="00C74D34">
        <w:rPr>
          <w:szCs w:val="26"/>
        </w:rPr>
        <w:t>Exh</w:t>
      </w:r>
      <w:proofErr w:type="spellEnd"/>
      <w:r w:rsidRPr="00C74D34">
        <w:rPr>
          <w:szCs w:val="26"/>
        </w:rPr>
        <w:t xml:space="preserve">. 3, </w:t>
      </w:r>
      <w:proofErr w:type="spellStart"/>
      <w:r w:rsidRPr="00C74D34">
        <w:rPr>
          <w:szCs w:val="26"/>
        </w:rPr>
        <w:t>Transource</w:t>
      </w:r>
      <w:proofErr w:type="spellEnd"/>
      <w:r w:rsidRPr="00C74D34">
        <w:rPr>
          <w:szCs w:val="26"/>
        </w:rPr>
        <w:t xml:space="preserve"> Response to OCA-XLII-15.  </w:t>
      </w:r>
    </w:p>
    <w:p w14:paraId="254B2EB0" w14:textId="77777777" w:rsidR="00877247" w:rsidRPr="00C74D34" w:rsidRDefault="00877247" w:rsidP="002D03FA">
      <w:pPr>
        <w:ind w:firstLine="720"/>
        <w:rPr>
          <w:szCs w:val="26"/>
        </w:rPr>
      </w:pPr>
    </w:p>
    <w:p w14:paraId="504AE8E2" w14:textId="45442BEB" w:rsidR="00877247" w:rsidRPr="00C74D34" w:rsidRDefault="00877247" w:rsidP="002D03FA">
      <w:pPr>
        <w:ind w:firstLine="1440"/>
        <w:rPr>
          <w:szCs w:val="26"/>
        </w:rPr>
      </w:pPr>
      <w:r w:rsidRPr="00C74D34">
        <w:rPr>
          <w:szCs w:val="26"/>
        </w:rPr>
        <w:t>The OCA</w:t>
      </w:r>
      <w:r w:rsidR="00F36A3B" w:rsidRPr="00C74D34">
        <w:rPr>
          <w:szCs w:val="26"/>
        </w:rPr>
        <w:t xml:space="preserve">’s </w:t>
      </w:r>
      <w:r w:rsidRPr="00C74D34">
        <w:rPr>
          <w:szCs w:val="26"/>
        </w:rPr>
        <w:t xml:space="preserve">calculations were based upon the </w:t>
      </w:r>
      <w:r w:rsidRPr="00C74D34">
        <w:t>AP South Reactive Interface</w:t>
      </w:r>
      <w:r w:rsidRPr="00C74D34">
        <w:rPr>
          <w:szCs w:val="26"/>
        </w:rPr>
        <w:t>, as a transmission zone composed of a portion of Western Pennsylvania, West Virginia, Maryland, and Virginia</w:t>
      </w:r>
      <w:r w:rsidR="007327D0" w:rsidRPr="00C74D34">
        <w:rPr>
          <w:szCs w:val="26"/>
        </w:rPr>
        <w:t>.</w:t>
      </w:r>
      <w:r w:rsidRPr="00C74D34">
        <w:rPr>
          <w:szCs w:val="26"/>
        </w:rPr>
        <w:t xml:space="preserve">  The</w:t>
      </w:r>
      <w:r w:rsidR="00CA2325" w:rsidRPr="00C74D34">
        <w:rPr>
          <w:szCs w:val="26"/>
        </w:rPr>
        <w:t xml:space="preserve"> </w:t>
      </w:r>
      <w:r w:rsidRPr="00C74D34">
        <w:rPr>
          <w:szCs w:val="26"/>
        </w:rPr>
        <w:t xml:space="preserve">OCA asserted that, based on PJM’s latest re-evaluation, </w:t>
      </w:r>
      <w:r w:rsidRPr="00C74D34">
        <w:t>AP South Reactive Interface</w:t>
      </w:r>
      <w:r w:rsidRPr="00C74D34">
        <w:rPr>
          <w:szCs w:val="26"/>
        </w:rPr>
        <w:t xml:space="preserve"> will see reduced wholesale power prices of approximately $60 million over the first 15 years of the proposed Project’s service life.  </w:t>
      </w:r>
      <w:r w:rsidR="007327D0" w:rsidRPr="00C74D34">
        <w:rPr>
          <w:szCs w:val="26"/>
        </w:rPr>
        <w:t xml:space="preserve">OCA Cross </w:t>
      </w:r>
      <w:proofErr w:type="spellStart"/>
      <w:r w:rsidR="007327D0" w:rsidRPr="00C74D34">
        <w:rPr>
          <w:szCs w:val="26"/>
        </w:rPr>
        <w:t>Exh</w:t>
      </w:r>
      <w:proofErr w:type="spellEnd"/>
      <w:r w:rsidR="007327D0" w:rsidRPr="00C74D34">
        <w:rPr>
          <w:szCs w:val="26"/>
        </w:rPr>
        <w:t xml:space="preserve">. 10; </w:t>
      </w:r>
      <w:r w:rsidRPr="00C74D34">
        <w:rPr>
          <w:szCs w:val="26"/>
        </w:rPr>
        <w:t xml:space="preserve">OCA Hearing </w:t>
      </w:r>
      <w:proofErr w:type="spellStart"/>
      <w:r w:rsidRPr="00C74D34">
        <w:rPr>
          <w:szCs w:val="26"/>
        </w:rPr>
        <w:t>Exh</w:t>
      </w:r>
      <w:proofErr w:type="spellEnd"/>
      <w:r w:rsidRPr="00C74D34">
        <w:rPr>
          <w:szCs w:val="26"/>
        </w:rPr>
        <w:t xml:space="preserve">. 3, </w:t>
      </w:r>
      <w:proofErr w:type="spellStart"/>
      <w:r w:rsidRPr="00C74D34">
        <w:rPr>
          <w:szCs w:val="26"/>
        </w:rPr>
        <w:t>Transource</w:t>
      </w:r>
      <w:proofErr w:type="spellEnd"/>
      <w:r w:rsidRPr="00C74D34">
        <w:rPr>
          <w:szCs w:val="26"/>
        </w:rPr>
        <w:t xml:space="preserve"> Response to OCA-XLIII-15.  </w:t>
      </w:r>
    </w:p>
    <w:p w14:paraId="64D502DC" w14:textId="77777777" w:rsidR="00877247" w:rsidRPr="00C74D34" w:rsidRDefault="00877247" w:rsidP="002D03FA">
      <w:pPr>
        <w:ind w:firstLine="720"/>
        <w:rPr>
          <w:szCs w:val="26"/>
        </w:rPr>
      </w:pPr>
    </w:p>
    <w:p w14:paraId="5ADBAD2D" w14:textId="6EB708DD" w:rsidR="00877247" w:rsidRPr="00C74D34" w:rsidRDefault="00877247" w:rsidP="002D03FA">
      <w:pPr>
        <w:ind w:firstLine="1440"/>
        <w:rPr>
          <w:szCs w:val="26"/>
        </w:rPr>
      </w:pPr>
      <w:r w:rsidRPr="00C74D34">
        <w:rPr>
          <w:szCs w:val="26"/>
        </w:rPr>
        <w:t>To calculate Pennsylvania’s share of the benefits, the OCA measured Pennsylvania’s percentage of peak demand contributed to the AP</w:t>
      </w:r>
      <w:r w:rsidR="003026D9" w:rsidRPr="00C74D34">
        <w:rPr>
          <w:szCs w:val="26"/>
        </w:rPr>
        <w:t xml:space="preserve"> </w:t>
      </w:r>
      <w:r w:rsidRPr="00C74D34">
        <w:rPr>
          <w:szCs w:val="26"/>
        </w:rPr>
        <w:t>S</w:t>
      </w:r>
      <w:r w:rsidR="003026D9" w:rsidRPr="00C74D34">
        <w:rPr>
          <w:szCs w:val="26"/>
        </w:rPr>
        <w:t>outh Reactive Interface</w:t>
      </w:r>
      <w:r w:rsidRPr="00C74D34">
        <w:rPr>
          <w:szCs w:val="26"/>
        </w:rPr>
        <w:t xml:space="preserve"> system in the summer of 2018, which was approximately 44.75 percent.  Accordingly, the OCA calculated Pennsylvania would likely experience approximately $27 million in reduced wholesale power prices for the first fifteen years of the Project’s service life, or 44.75 percent of the total AP</w:t>
      </w:r>
      <w:r w:rsidR="006F5990" w:rsidRPr="00C74D34">
        <w:rPr>
          <w:szCs w:val="26"/>
        </w:rPr>
        <w:t xml:space="preserve"> South Reactive Interface </w:t>
      </w:r>
      <w:r w:rsidRPr="00C74D34">
        <w:rPr>
          <w:szCs w:val="26"/>
        </w:rPr>
        <w:t xml:space="preserve">zone’s benefit.  </w:t>
      </w:r>
      <w:r w:rsidR="007327D0" w:rsidRPr="00C74D34">
        <w:rPr>
          <w:szCs w:val="26"/>
        </w:rPr>
        <w:t>OCA St. 1, Sch. SJR-6 at 2.</w:t>
      </w:r>
    </w:p>
    <w:p w14:paraId="50E4149E" w14:textId="6AB01616" w:rsidR="00877247" w:rsidRPr="00C74D34" w:rsidRDefault="00877247" w:rsidP="002D03FA">
      <w:pPr>
        <w:ind w:firstLine="1440"/>
        <w:rPr>
          <w:szCs w:val="26"/>
        </w:rPr>
      </w:pPr>
      <w:r w:rsidRPr="00C74D34">
        <w:rPr>
          <w:szCs w:val="26"/>
        </w:rPr>
        <w:lastRenderedPageBreak/>
        <w:t>Based upon its calculations of the estimated costs of the project, including the estimated increase to Pennsylvania rates, the OCA argued this Project provides little to no benefit to Pennsylvania ratepayers.  With no benefit for Pennsylvania rate payers, consideration of other factors, including the project’s downside impacts in the separate categories of “environmental impact</w:t>
      </w:r>
      <w:r w:rsidR="00462BE3" w:rsidRPr="00C74D34">
        <w:rPr>
          <w:szCs w:val="26"/>
        </w:rPr>
        <w:t>,”</w:t>
      </w:r>
      <w:r w:rsidRPr="00C74D34">
        <w:rPr>
          <w:szCs w:val="26"/>
        </w:rPr>
        <w:t xml:space="preserve"> and consideration </w:t>
      </w:r>
      <w:r w:rsidR="00B11342" w:rsidRPr="00C74D34">
        <w:rPr>
          <w:szCs w:val="26"/>
        </w:rPr>
        <w:t>whether “</w:t>
      </w:r>
      <w:r w:rsidRPr="00C74D34">
        <w:rPr>
          <w:szCs w:val="26"/>
        </w:rPr>
        <w:t>reasonable alternatives exist” weigh heavily against a conclusion that the project is “needed” in Pennsylvania.</w:t>
      </w:r>
      <w:r w:rsidR="00B11342" w:rsidRPr="00C74D34">
        <w:rPr>
          <w:szCs w:val="26"/>
        </w:rPr>
        <w:t xml:space="preserve">  </w:t>
      </w:r>
    </w:p>
    <w:p w14:paraId="58F7DC8B" w14:textId="77777777" w:rsidR="00877247" w:rsidRPr="00C74D34" w:rsidRDefault="00877247" w:rsidP="002D03FA">
      <w:pPr>
        <w:ind w:firstLine="720"/>
        <w:rPr>
          <w:szCs w:val="26"/>
        </w:rPr>
      </w:pPr>
    </w:p>
    <w:p w14:paraId="37D4B6F5" w14:textId="468D28D5" w:rsidR="00877247" w:rsidRPr="00C74D34" w:rsidRDefault="00877247" w:rsidP="002D03FA">
      <w:pPr>
        <w:ind w:firstLine="1440"/>
        <w:rPr>
          <w:szCs w:val="26"/>
        </w:rPr>
      </w:pPr>
      <w:r w:rsidRPr="00C74D34">
        <w:rPr>
          <w:szCs w:val="26"/>
        </w:rPr>
        <w:t xml:space="preserve">Specifically, with respect to environmental impact, the OCA asserted that the negative impact to Pennsylvania’s environment from construction of 13.6 miles of greenfield construction, in addition to the two new substations and brownfield construction of several more miles of transmission line, is not justified where the project reaps no demonstrable or direct benefit to Pennsylvania consumers.  Regarding, the availability of reasonable alternatives, the OCA asserted that </w:t>
      </w:r>
      <w:proofErr w:type="spellStart"/>
      <w:r w:rsidRPr="00C74D34">
        <w:rPr>
          <w:szCs w:val="26"/>
        </w:rPr>
        <w:t>Transource</w:t>
      </w:r>
      <w:proofErr w:type="spellEnd"/>
      <w:r w:rsidRPr="00C74D34">
        <w:rPr>
          <w:szCs w:val="26"/>
        </w:rPr>
        <w:t xml:space="preserve"> failed to demonstrate that the IEC Project is the most reasonable alternative to address the alleged congestion on the AP South Reactive Interface.  Again, the OCA asserted the PJM </w:t>
      </w:r>
      <w:r w:rsidR="00AB46F5" w:rsidRPr="00C74D34">
        <w:rPr>
          <w:szCs w:val="26"/>
        </w:rPr>
        <w:t xml:space="preserve">methodology </w:t>
      </w:r>
      <w:r w:rsidRPr="00C74D34">
        <w:rPr>
          <w:szCs w:val="26"/>
        </w:rPr>
        <w:t xml:space="preserve">is inherently flawed for purposes of measuring “need” in Pennsylvania.  </w:t>
      </w:r>
      <w:r w:rsidR="007327D0" w:rsidRPr="00C74D34">
        <w:rPr>
          <w:szCs w:val="26"/>
        </w:rPr>
        <w:t>OCA M.B. at 71-77.</w:t>
      </w:r>
    </w:p>
    <w:p w14:paraId="767BB582" w14:textId="77777777" w:rsidR="00877247" w:rsidRPr="00C74D34" w:rsidRDefault="00877247" w:rsidP="002D03FA">
      <w:pPr>
        <w:ind w:firstLine="720"/>
        <w:rPr>
          <w:szCs w:val="26"/>
        </w:rPr>
      </w:pPr>
    </w:p>
    <w:p w14:paraId="02EF3AA2" w14:textId="128BD33F" w:rsidR="00877247" w:rsidRPr="00C74D34" w:rsidRDefault="00877247" w:rsidP="002D03FA">
      <w:pPr>
        <w:ind w:firstLine="1440"/>
        <w:rPr>
          <w:szCs w:val="26"/>
        </w:rPr>
      </w:pPr>
      <w:r w:rsidRPr="00C74D34">
        <w:rPr>
          <w:szCs w:val="26"/>
        </w:rPr>
        <w:t xml:space="preserve">The OCA pointed out that the ALJ should consider that the PJM’s process to identify and select market efficiency projects is, itself, not intended to identify “the most reasonable solution” to the identified inefficiency.  </w:t>
      </w:r>
      <w:r w:rsidR="00AB46F5" w:rsidRPr="00C74D34">
        <w:rPr>
          <w:szCs w:val="26"/>
        </w:rPr>
        <w:t xml:space="preserve">The OCA noted that </w:t>
      </w:r>
      <w:r w:rsidRPr="00C74D34">
        <w:rPr>
          <w:szCs w:val="26"/>
        </w:rPr>
        <w:t>PJM’</w:t>
      </w:r>
      <w:r w:rsidR="00A63750" w:rsidRPr="00C74D34">
        <w:rPr>
          <w:szCs w:val="26"/>
        </w:rPr>
        <w:t>s</w:t>
      </w:r>
      <w:r w:rsidRPr="00C74D34">
        <w:rPr>
          <w:szCs w:val="26"/>
        </w:rPr>
        <w:t xml:space="preserve"> process is to seek solutions for inefficiencies from third parties, but PJM’s consideration of solutions is limited to only those proposals received by PJM from the third parties.  In this process, PJM is not charged to identify the most reasonable solution to a congestion issue.  OCA M.B. at </w:t>
      </w:r>
      <w:r w:rsidR="007327D0" w:rsidRPr="00C74D34">
        <w:rPr>
          <w:szCs w:val="26"/>
        </w:rPr>
        <w:t>77-81;</w:t>
      </w:r>
      <w:r w:rsidRPr="00C74D34">
        <w:rPr>
          <w:szCs w:val="26"/>
        </w:rPr>
        <w:t xml:space="preserve"> </w:t>
      </w:r>
      <w:proofErr w:type="spellStart"/>
      <w:r w:rsidRPr="00C74D34">
        <w:rPr>
          <w:szCs w:val="26"/>
        </w:rPr>
        <w:t>Transource</w:t>
      </w:r>
      <w:proofErr w:type="spellEnd"/>
      <w:r w:rsidRPr="00C74D34">
        <w:rPr>
          <w:szCs w:val="26"/>
        </w:rPr>
        <w:t xml:space="preserve"> St. 7-R at 27-28; Tr. at 2272-73.  </w:t>
      </w:r>
    </w:p>
    <w:p w14:paraId="2EA91CD0" w14:textId="77777777" w:rsidR="00877247" w:rsidRPr="00C74D34" w:rsidRDefault="00877247" w:rsidP="002D03FA">
      <w:pPr>
        <w:ind w:firstLine="720"/>
        <w:rPr>
          <w:szCs w:val="26"/>
        </w:rPr>
      </w:pPr>
    </w:p>
    <w:p w14:paraId="28C327BD" w14:textId="6A7C9997" w:rsidR="00877247" w:rsidRPr="00C74D34" w:rsidRDefault="00877247" w:rsidP="002D03FA">
      <w:pPr>
        <w:ind w:firstLine="1440"/>
        <w:rPr>
          <w:szCs w:val="26"/>
        </w:rPr>
      </w:pPr>
      <w:r w:rsidRPr="00C74D34">
        <w:rPr>
          <w:szCs w:val="26"/>
        </w:rPr>
        <w:t xml:space="preserve">The OCA argued that the record shows that reasonable alternatives exist, which are not fairly considered or factored into the PJM evaluation of the project.  Accordingly, the OCA asserted that </w:t>
      </w:r>
      <w:proofErr w:type="spellStart"/>
      <w:r w:rsidRPr="00C74D34">
        <w:rPr>
          <w:szCs w:val="26"/>
        </w:rPr>
        <w:t>Transource</w:t>
      </w:r>
      <w:proofErr w:type="spellEnd"/>
      <w:r w:rsidRPr="00C74D34">
        <w:rPr>
          <w:szCs w:val="26"/>
        </w:rPr>
        <w:t xml:space="preserve"> fails to acknowledge the legislative and </w:t>
      </w:r>
      <w:r w:rsidRPr="00C74D34">
        <w:rPr>
          <w:szCs w:val="26"/>
        </w:rPr>
        <w:lastRenderedPageBreak/>
        <w:t xml:space="preserve">policy initiatives which are underway in the affected regions that, on balance, will serve to obviate the need for Project 9A.  Therefore, the OCA concluded that </w:t>
      </w:r>
      <w:proofErr w:type="spellStart"/>
      <w:r w:rsidRPr="00C74D34">
        <w:rPr>
          <w:szCs w:val="26"/>
        </w:rPr>
        <w:t>Transource</w:t>
      </w:r>
      <w:proofErr w:type="spellEnd"/>
      <w:r w:rsidRPr="00C74D34">
        <w:rPr>
          <w:szCs w:val="26"/>
        </w:rPr>
        <w:t xml:space="preserve"> has failed to demonstrate that Project 9A is the most reasonably available alternative to address congestion on the AP South Reactive Interface, or that any alternative is needed at all. </w:t>
      </w:r>
      <w:r w:rsidR="00B11342" w:rsidRPr="00C74D34">
        <w:rPr>
          <w:szCs w:val="26"/>
        </w:rPr>
        <w:t xml:space="preserve"> </w:t>
      </w:r>
      <w:r w:rsidRPr="00C74D34">
        <w:rPr>
          <w:szCs w:val="26"/>
        </w:rPr>
        <w:t>OCA M.B. at</w:t>
      </w:r>
      <w:r w:rsidR="006916EA" w:rsidRPr="00C74D34">
        <w:rPr>
          <w:szCs w:val="26"/>
        </w:rPr>
        <w:t xml:space="preserve"> 77.</w:t>
      </w:r>
      <w:r w:rsidRPr="00C74D34">
        <w:rPr>
          <w:szCs w:val="26"/>
        </w:rPr>
        <w:t xml:space="preserve">   </w:t>
      </w:r>
    </w:p>
    <w:p w14:paraId="61D855C6" w14:textId="77777777" w:rsidR="00877247" w:rsidRPr="00C74D34" w:rsidRDefault="00877247" w:rsidP="002D03FA">
      <w:pPr>
        <w:ind w:firstLine="720"/>
        <w:rPr>
          <w:szCs w:val="26"/>
        </w:rPr>
      </w:pPr>
    </w:p>
    <w:p w14:paraId="435F7E25" w14:textId="5A68DE5E" w:rsidR="00877247" w:rsidRPr="00C74D34" w:rsidRDefault="006C2C4B" w:rsidP="002D03FA">
      <w:pPr>
        <w:ind w:firstLine="1440"/>
        <w:rPr>
          <w:szCs w:val="26"/>
        </w:rPr>
      </w:pPr>
      <w:r w:rsidRPr="00C74D34">
        <w:rPr>
          <w:szCs w:val="26"/>
        </w:rPr>
        <w:t xml:space="preserve">The OCA asserted that </w:t>
      </w:r>
      <w:proofErr w:type="spellStart"/>
      <w:r w:rsidRPr="00C74D34">
        <w:rPr>
          <w:szCs w:val="26"/>
        </w:rPr>
        <w:t>Transource’s</w:t>
      </w:r>
      <w:proofErr w:type="spellEnd"/>
      <w:r w:rsidRPr="00C74D34">
        <w:rPr>
          <w:szCs w:val="26"/>
        </w:rPr>
        <w:t xml:space="preserve"> evidence demonstrating alleged reliability concerns should not be material to the ALJ’s determination of whether need exists for the proposed </w:t>
      </w:r>
      <w:r w:rsidR="003F28F9" w:rsidRPr="00C74D34">
        <w:rPr>
          <w:szCs w:val="26"/>
        </w:rPr>
        <w:t>P</w:t>
      </w:r>
      <w:r w:rsidRPr="00C74D34">
        <w:rPr>
          <w:szCs w:val="26"/>
        </w:rPr>
        <w:t xml:space="preserve">roject 9A.  </w:t>
      </w:r>
      <w:r w:rsidR="006A15A7" w:rsidRPr="00C74D34">
        <w:rPr>
          <w:szCs w:val="26"/>
        </w:rPr>
        <w:t>T</w:t>
      </w:r>
      <w:r w:rsidR="009D2544" w:rsidRPr="00C74D34">
        <w:rPr>
          <w:szCs w:val="26"/>
        </w:rPr>
        <w:t xml:space="preserve">he OCA </w:t>
      </w:r>
      <w:r w:rsidR="006A15A7" w:rsidRPr="00C74D34">
        <w:rPr>
          <w:szCs w:val="26"/>
        </w:rPr>
        <w:t xml:space="preserve">also </w:t>
      </w:r>
      <w:r w:rsidR="009D2544" w:rsidRPr="00C74D34">
        <w:rPr>
          <w:szCs w:val="26"/>
        </w:rPr>
        <w:t>c</w:t>
      </w:r>
      <w:r w:rsidR="006A15A7" w:rsidRPr="00C74D34">
        <w:rPr>
          <w:szCs w:val="26"/>
        </w:rPr>
        <w:t xml:space="preserve">riticized </w:t>
      </w:r>
      <w:proofErr w:type="spellStart"/>
      <w:r w:rsidR="009D2544" w:rsidRPr="00C74D34">
        <w:rPr>
          <w:szCs w:val="26"/>
        </w:rPr>
        <w:t>Transou</w:t>
      </w:r>
      <w:r w:rsidR="00E627E0" w:rsidRPr="00C74D34">
        <w:rPr>
          <w:szCs w:val="26"/>
        </w:rPr>
        <w:t>r</w:t>
      </w:r>
      <w:r w:rsidR="009D2544" w:rsidRPr="00C74D34">
        <w:rPr>
          <w:szCs w:val="26"/>
        </w:rPr>
        <w:t>ce’s</w:t>
      </w:r>
      <w:proofErr w:type="spellEnd"/>
      <w:r w:rsidR="009D2544" w:rsidRPr="00C74D34">
        <w:rPr>
          <w:szCs w:val="26"/>
        </w:rPr>
        <w:t xml:space="preserve"> </w:t>
      </w:r>
      <w:r w:rsidR="006C63D3" w:rsidRPr="00C74D34">
        <w:rPr>
          <w:szCs w:val="26"/>
        </w:rPr>
        <w:t>late-</w:t>
      </w:r>
      <w:r w:rsidR="009D2544" w:rsidRPr="00C74D34">
        <w:rPr>
          <w:szCs w:val="26"/>
        </w:rPr>
        <w:t>assertion of reliability issues</w:t>
      </w:r>
      <w:r w:rsidRPr="00C74D34">
        <w:rPr>
          <w:szCs w:val="26"/>
        </w:rPr>
        <w:t xml:space="preserve"> </w:t>
      </w:r>
      <w:r w:rsidR="00DC7701" w:rsidRPr="00C74D34">
        <w:rPr>
          <w:szCs w:val="26"/>
        </w:rPr>
        <w:t xml:space="preserve">and </w:t>
      </w:r>
      <w:r w:rsidR="004C6CEE" w:rsidRPr="00C74D34">
        <w:rPr>
          <w:szCs w:val="26"/>
        </w:rPr>
        <w:t xml:space="preserve">argued </w:t>
      </w:r>
      <w:r w:rsidR="00DC7701" w:rsidRPr="00C74D34">
        <w:rPr>
          <w:szCs w:val="26"/>
        </w:rPr>
        <w:t>that the allegation of reliability issues at the late-stage o</w:t>
      </w:r>
      <w:r w:rsidR="00A36011" w:rsidRPr="00C74D34">
        <w:rPr>
          <w:szCs w:val="26"/>
        </w:rPr>
        <w:t>f</w:t>
      </w:r>
      <w:r w:rsidR="00DC7701" w:rsidRPr="00C74D34">
        <w:rPr>
          <w:szCs w:val="26"/>
        </w:rPr>
        <w:t xml:space="preserve"> the </w:t>
      </w:r>
      <w:r w:rsidR="00A36011" w:rsidRPr="00C74D34">
        <w:rPr>
          <w:szCs w:val="26"/>
        </w:rPr>
        <w:t>proceeding</w:t>
      </w:r>
      <w:r w:rsidR="004C6CEE" w:rsidRPr="00C74D34">
        <w:rPr>
          <w:szCs w:val="26"/>
        </w:rPr>
        <w:t xml:space="preserve"> </w:t>
      </w:r>
      <w:r w:rsidR="003750A7" w:rsidRPr="00C74D34">
        <w:rPr>
          <w:szCs w:val="26"/>
        </w:rPr>
        <w:t xml:space="preserve">to decide </w:t>
      </w:r>
      <w:r w:rsidR="004C6CEE" w:rsidRPr="00C74D34">
        <w:rPr>
          <w:szCs w:val="26"/>
        </w:rPr>
        <w:t xml:space="preserve">the </w:t>
      </w:r>
      <w:r w:rsidR="00A36011" w:rsidRPr="00C74D34">
        <w:rPr>
          <w:szCs w:val="26"/>
        </w:rPr>
        <w:t xml:space="preserve">question of need, casts doubt upon both the allegation and the need. </w:t>
      </w:r>
      <w:r w:rsidR="009D2544" w:rsidRPr="00C74D34">
        <w:rPr>
          <w:szCs w:val="26"/>
        </w:rPr>
        <w:t xml:space="preserve"> T</w:t>
      </w:r>
      <w:r w:rsidR="00877247" w:rsidRPr="00C74D34">
        <w:rPr>
          <w:szCs w:val="26"/>
        </w:rPr>
        <w:t xml:space="preserve">he OCA asserted that the ALJ should disregard </w:t>
      </w:r>
      <w:proofErr w:type="spellStart"/>
      <w:r w:rsidR="00877247" w:rsidRPr="00C74D34">
        <w:rPr>
          <w:szCs w:val="26"/>
        </w:rPr>
        <w:t>Transource’s</w:t>
      </w:r>
      <w:proofErr w:type="spellEnd"/>
      <w:r w:rsidR="00877247" w:rsidRPr="00C74D34">
        <w:rPr>
          <w:szCs w:val="26"/>
        </w:rPr>
        <w:t xml:space="preserve"> claim that failure to construct the IEC Project will result in </w:t>
      </w:r>
      <w:r w:rsidR="00877247" w:rsidRPr="00C74D34">
        <w:rPr>
          <w:bCs/>
          <w:i/>
          <w:szCs w:val="26"/>
        </w:rPr>
        <w:t>potential</w:t>
      </w:r>
      <w:r w:rsidR="00877247" w:rsidRPr="00C74D34">
        <w:rPr>
          <w:bCs/>
          <w:szCs w:val="26"/>
        </w:rPr>
        <w:t xml:space="preserve"> </w:t>
      </w:r>
      <w:r w:rsidR="00877247" w:rsidRPr="00C74D34">
        <w:rPr>
          <w:szCs w:val="26"/>
        </w:rPr>
        <w:t xml:space="preserve">future reliability violations occurring in 2023.  The OCA </w:t>
      </w:r>
      <w:r w:rsidR="006A15A7" w:rsidRPr="00C74D34">
        <w:rPr>
          <w:szCs w:val="26"/>
        </w:rPr>
        <w:t xml:space="preserve">also </w:t>
      </w:r>
      <w:r w:rsidR="00877247" w:rsidRPr="00C74D34">
        <w:rPr>
          <w:szCs w:val="26"/>
        </w:rPr>
        <w:t xml:space="preserve">asserted that </w:t>
      </w:r>
      <w:r w:rsidR="00F32C5D" w:rsidRPr="00C74D34">
        <w:rPr>
          <w:szCs w:val="26"/>
        </w:rPr>
        <w:t xml:space="preserve">alleged reliability issues carry little to no weight, where </w:t>
      </w:r>
      <w:r w:rsidR="00877247" w:rsidRPr="00C74D34">
        <w:rPr>
          <w:szCs w:val="26"/>
        </w:rPr>
        <w:t xml:space="preserve">Project 9A was specifically designed to address congestion on the AP South Reactive Interface, </w:t>
      </w:r>
      <w:r w:rsidR="002B4AA1" w:rsidRPr="00C74D34">
        <w:rPr>
          <w:szCs w:val="26"/>
        </w:rPr>
        <w:t xml:space="preserve">not </w:t>
      </w:r>
      <w:r w:rsidR="00877247" w:rsidRPr="00C74D34">
        <w:rPr>
          <w:szCs w:val="26"/>
        </w:rPr>
        <w:t>to address reliability concerns.  OCA M.B. at</w:t>
      </w:r>
      <w:r w:rsidR="009721BD" w:rsidRPr="00C74D34">
        <w:rPr>
          <w:szCs w:val="26"/>
        </w:rPr>
        <w:t xml:space="preserve"> 13.</w:t>
      </w:r>
      <w:r w:rsidR="00877247" w:rsidRPr="00C74D34">
        <w:rPr>
          <w:szCs w:val="26"/>
        </w:rPr>
        <w:t xml:space="preserve">   </w:t>
      </w:r>
    </w:p>
    <w:p w14:paraId="41773CE4" w14:textId="77777777" w:rsidR="00877247" w:rsidRPr="00C74D34" w:rsidRDefault="00877247" w:rsidP="002D03FA">
      <w:pPr>
        <w:ind w:firstLine="720"/>
        <w:rPr>
          <w:szCs w:val="26"/>
        </w:rPr>
      </w:pPr>
    </w:p>
    <w:p w14:paraId="707A181A" w14:textId="04279E9C" w:rsidR="00765C6C" w:rsidRPr="00C74D34" w:rsidRDefault="00765C6C" w:rsidP="002D03FA">
      <w:pPr>
        <w:ind w:firstLine="1440"/>
        <w:rPr>
          <w:szCs w:val="26"/>
        </w:rPr>
      </w:pPr>
      <w:r w:rsidRPr="00C74D34">
        <w:rPr>
          <w:szCs w:val="26"/>
        </w:rPr>
        <w:t>The OCA</w:t>
      </w:r>
      <w:r w:rsidR="003750A7" w:rsidRPr="00C74D34">
        <w:rPr>
          <w:szCs w:val="26"/>
        </w:rPr>
        <w:t xml:space="preserve"> also</w:t>
      </w:r>
      <w:r w:rsidRPr="00C74D34">
        <w:rPr>
          <w:szCs w:val="26"/>
        </w:rPr>
        <w:t xml:space="preserve"> noted that </w:t>
      </w:r>
      <w:proofErr w:type="spellStart"/>
      <w:r w:rsidRPr="00C74D34">
        <w:rPr>
          <w:szCs w:val="26"/>
        </w:rPr>
        <w:t>Transource’s</w:t>
      </w:r>
      <w:proofErr w:type="spellEnd"/>
      <w:r w:rsidRPr="00C74D34">
        <w:rPr>
          <w:szCs w:val="26"/>
        </w:rPr>
        <w:t xml:space="preserve"> assertions regarding “reliability” as a basis for need refer to a </w:t>
      </w:r>
      <w:r w:rsidRPr="00C74D34">
        <w:rPr>
          <w:i/>
          <w:iCs/>
          <w:szCs w:val="26"/>
        </w:rPr>
        <w:t>single generation deliverability test</w:t>
      </w:r>
      <w:r w:rsidRPr="00C74D34">
        <w:rPr>
          <w:szCs w:val="26"/>
        </w:rPr>
        <w:t xml:space="preserve"> performed by PJM </w:t>
      </w:r>
      <w:r w:rsidRPr="00C74D34">
        <w:rPr>
          <w:i/>
          <w:iCs/>
          <w:szCs w:val="26"/>
        </w:rPr>
        <w:t>in 2018</w:t>
      </w:r>
      <w:r w:rsidRPr="00C74D34">
        <w:rPr>
          <w:szCs w:val="26"/>
        </w:rPr>
        <w:t xml:space="preserve">.  Further, the OCA noted PJM neither, performed its full suite of reliability tests to confirm that these reliability violations will result in 2023, nor, performed another generation deliverability test since 2018 which may confirm or refute the results of the 2018 test. </w:t>
      </w:r>
      <w:r w:rsidR="00AC1B51" w:rsidRPr="00C74D34">
        <w:rPr>
          <w:szCs w:val="26"/>
        </w:rPr>
        <w:t xml:space="preserve"> </w:t>
      </w:r>
      <w:r w:rsidRPr="00C74D34">
        <w:rPr>
          <w:szCs w:val="26"/>
        </w:rPr>
        <w:t xml:space="preserve">OCA St. 2-SSR at 16-17; OCA Hearing </w:t>
      </w:r>
      <w:proofErr w:type="spellStart"/>
      <w:r w:rsidRPr="00C74D34">
        <w:rPr>
          <w:szCs w:val="26"/>
        </w:rPr>
        <w:t>Exh</w:t>
      </w:r>
      <w:proofErr w:type="spellEnd"/>
      <w:r w:rsidRPr="00C74D34">
        <w:rPr>
          <w:szCs w:val="26"/>
        </w:rPr>
        <w:t xml:space="preserve">. 3, </w:t>
      </w:r>
      <w:proofErr w:type="spellStart"/>
      <w:r w:rsidRPr="00C74D34">
        <w:rPr>
          <w:szCs w:val="26"/>
        </w:rPr>
        <w:t>Transource</w:t>
      </w:r>
      <w:proofErr w:type="spellEnd"/>
      <w:r w:rsidRPr="00C74D34">
        <w:rPr>
          <w:szCs w:val="26"/>
        </w:rPr>
        <w:t xml:space="preserve"> Response to OCA-XLIII-10.  </w:t>
      </w:r>
    </w:p>
    <w:p w14:paraId="16FB951C" w14:textId="77777777" w:rsidR="00765C6C" w:rsidRPr="00C74D34" w:rsidRDefault="00765C6C" w:rsidP="002D03FA">
      <w:pPr>
        <w:ind w:firstLine="720"/>
        <w:rPr>
          <w:szCs w:val="26"/>
        </w:rPr>
      </w:pPr>
    </w:p>
    <w:p w14:paraId="4AB6F3A8" w14:textId="03D2426C" w:rsidR="00877247" w:rsidRPr="00C74D34" w:rsidRDefault="00765C6C" w:rsidP="002D03FA">
      <w:pPr>
        <w:ind w:firstLine="1440"/>
        <w:rPr>
          <w:szCs w:val="26"/>
        </w:rPr>
      </w:pPr>
      <w:r w:rsidRPr="00C74D34">
        <w:rPr>
          <w:szCs w:val="26"/>
        </w:rPr>
        <w:t xml:space="preserve">The OCA asserted that the lack of subsequent reliability testing since 2018 is of particular concern, where numerous improvements to the electric grid are presently approved and in the process of being made to some of the specific facilities that were identified by </w:t>
      </w:r>
      <w:proofErr w:type="spellStart"/>
      <w:r w:rsidRPr="00C74D34">
        <w:rPr>
          <w:szCs w:val="26"/>
        </w:rPr>
        <w:t>Transource</w:t>
      </w:r>
      <w:proofErr w:type="spellEnd"/>
      <w:r w:rsidRPr="00C74D34">
        <w:rPr>
          <w:szCs w:val="26"/>
        </w:rPr>
        <w:t xml:space="preserve"> as potentially overloading in 2023, in the absence of construction of the proposed Project 9A.</w:t>
      </w:r>
      <w:r w:rsidR="00B11342" w:rsidRPr="00C74D34">
        <w:rPr>
          <w:szCs w:val="26"/>
        </w:rPr>
        <w:t xml:space="preserve">  </w:t>
      </w:r>
      <w:bookmarkStart w:id="33" w:name="_Hlk70248949"/>
      <w:r w:rsidRPr="00C74D34">
        <w:rPr>
          <w:szCs w:val="26"/>
        </w:rPr>
        <w:t xml:space="preserve">OCA M.B. at </w:t>
      </w:r>
      <w:r w:rsidR="00AC1B51" w:rsidRPr="00C74D34">
        <w:rPr>
          <w:szCs w:val="26"/>
        </w:rPr>
        <w:t>13</w:t>
      </w:r>
      <w:bookmarkEnd w:id="33"/>
      <w:r w:rsidR="00AC1B51" w:rsidRPr="00C74D34">
        <w:rPr>
          <w:szCs w:val="26"/>
        </w:rPr>
        <w:t>.</w:t>
      </w:r>
      <w:r w:rsidRPr="00C74D34">
        <w:rPr>
          <w:szCs w:val="26"/>
        </w:rPr>
        <w:t xml:space="preserve"> </w:t>
      </w:r>
    </w:p>
    <w:p w14:paraId="1275AF3F" w14:textId="6556991E" w:rsidR="00877247" w:rsidRPr="00C74D34" w:rsidRDefault="00877247" w:rsidP="002D03FA">
      <w:pPr>
        <w:ind w:firstLine="1440"/>
        <w:rPr>
          <w:szCs w:val="26"/>
        </w:rPr>
      </w:pPr>
      <w:r w:rsidRPr="00C74D34">
        <w:rPr>
          <w:szCs w:val="26"/>
        </w:rPr>
        <w:lastRenderedPageBreak/>
        <w:t xml:space="preserve">The OCA submitted that the Commission should deny </w:t>
      </w:r>
      <w:proofErr w:type="spellStart"/>
      <w:r w:rsidRPr="00C74D34">
        <w:rPr>
          <w:szCs w:val="26"/>
        </w:rPr>
        <w:t>Transource’s</w:t>
      </w:r>
      <w:proofErr w:type="spellEnd"/>
      <w:r w:rsidRPr="00C74D34">
        <w:rPr>
          <w:szCs w:val="26"/>
        </w:rPr>
        <w:t xml:space="preserve"> Applications to construct Project 9A, based upon the Company’s failure to carry</w:t>
      </w:r>
      <w:r w:rsidR="00B763AC" w:rsidRPr="00C74D34">
        <w:rPr>
          <w:szCs w:val="26"/>
        </w:rPr>
        <w:t xml:space="preserve"> </w:t>
      </w:r>
      <w:r w:rsidRPr="00C74D34">
        <w:rPr>
          <w:szCs w:val="26"/>
        </w:rPr>
        <w:t xml:space="preserve">the burden of persuasion that the proposed project is needed in Pennsylvania, where there is a demonstrable </w:t>
      </w:r>
      <w:r w:rsidRPr="00C74D34">
        <w:rPr>
          <w:i/>
          <w:iCs/>
          <w:szCs w:val="26"/>
        </w:rPr>
        <w:t>lack</w:t>
      </w:r>
      <w:r w:rsidRPr="00C74D34">
        <w:rPr>
          <w:szCs w:val="26"/>
        </w:rPr>
        <w:t xml:space="preserve"> of need to address congestion as it originally existed on the AP South Reactive Interface.  The OCA also argued that </w:t>
      </w:r>
      <w:r w:rsidR="00124F19" w:rsidRPr="00C74D34">
        <w:rPr>
          <w:szCs w:val="26"/>
        </w:rPr>
        <w:t xml:space="preserve">on </w:t>
      </w:r>
      <w:r w:rsidRPr="00C74D34">
        <w:rPr>
          <w:szCs w:val="26"/>
        </w:rPr>
        <w:t xml:space="preserve">the extensive environmental impacts to Pennsylvania and the existence of other potential non-wires solutions, the Company has failed to demonstrate that Project 9A will have minimum adverse environmental impact, considering the electric power needs of the public, the state of available technology and the available alternatives. </w:t>
      </w:r>
      <w:bookmarkStart w:id="34" w:name="_Hlk70249038"/>
      <w:r w:rsidR="005A4AB3" w:rsidRPr="00C74D34">
        <w:rPr>
          <w:szCs w:val="26"/>
        </w:rPr>
        <w:t xml:space="preserve"> </w:t>
      </w:r>
      <w:r w:rsidRPr="00C74D34">
        <w:rPr>
          <w:szCs w:val="26"/>
        </w:rPr>
        <w:t>OCA M. B. at</w:t>
      </w:r>
      <w:r w:rsidR="005A4AB3" w:rsidRPr="00C74D34">
        <w:rPr>
          <w:szCs w:val="26"/>
        </w:rPr>
        <w:t xml:space="preserve"> 3 and 13-14</w:t>
      </w:r>
      <w:r w:rsidRPr="00C74D34">
        <w:rPr>
          <w:szCs w:val="26"/>
        </w:rPr>
        <w:t>.</w:t>
      </w:r>
      <w:bookmarkEnd w:id="34"/>
    </w:p>
    <w:p w14:paraId="47D0AF32" w14:textId="77777777" w:rsidR="00877247" w:rsidRPr="00C74D34" w:rsidRDefault="00877247" w:rsidP="002D03FA">
      <w:pPr>
        <w:ind w:firstLine="720"/>
        <w:rPr>
          <w:szCs w:val="26"/>
        </w:rPr>
      </w:pPr>
    </w:p>
    <w:p w14:paraId="2BDDEA8E" w14:textId="46186547" w:rsidR="00877247" w:rsidRPr="00C74D34" w:rsidRDefault="00877247" w:rsidP="002D03FA">
      <w:pPr>
        <w:ind w:firstLine="1440"/>
        <w:rPr>
          <w:szCs w:val="26"/>
        </w:rPr>
      </w:pPr>
      <w:r w:rsidRPr="00C74D34">
        <w:rPr>
          <w:szCs w:val="26"/>
        </w:rPr>
        <w:t xml:space="preserve">Therefore, the OCA concluded that because </w:t>
      </w:r>
      <w:proofErr w:type="spellStart"/>
      <w:r w:rsidRPr="00C74D34">
        <w:rPr>
          <w:szCs w:val="26"/>
        </w:rPr>
        <w:t>Transource</w:t>
      </w:r>
      <w:proofErr w:type="spellEnd"/>
      <w:r w:rsidRPr="00C74D34">
        <w:rPr>
          <w:szCs w:val="26"/>
        </w:rPr>
        <w:t xml:space="preserve"> failed to carry the burden of persuasion that Project 9A meets the standard for need or necessity set forth under the Pennsylvania Constitution, Pennsylvania</w:t>
      </w:r>
      <w:r w:rsidR="009F21EE" w:rsidRPr="00C74D34">
        <w:rPr>
          <w:szCs w:val="26"/>
        </w:rPr>
        <w:t xml:space="preserve"> Statutes</w:t>
      </w:r>
      <w:r w:rsidRPr="00C74D34">
        <w:rPr>
          <w:szCs w:val="26"/>
        </w:rPr>
        <w:t xml:space="preserve">, or the Commission’s </w:t>
      </w:r>
      <w:r w:rsidR="009F21EE" w:rsidRPr="00C74D34">
        <w:rPr>
          <w:szCs w:val="26"/>
        </w:rPr>
        <w:t>R</w:t>
      </w:r>
      <w:r w:rsidRPr="00C74D34">
        <w:rPr>
          <w:szCs w:val="26"/>
        </w:rPr>
        <w:t xml:space="preserve">egulations, the ALJ should deny </w:t>
      </w:r>
      <w:proofErr w:type="spellStart"/>
      <w:r w:rsidRPr="00C74D34">
        <w:rPr>
          <w:szCs w:val="26"/>
        </w:rPr>
        <w:t>Transource’s</w:t>
      </w:r>
      <w:proofErr w:type="spellEnd"/>
      <w:r w:rsidRPr="00C74D34">
        <w:rPr>
          <w:szCs w:val="26"/>
        </w:rPr>
        <w:t xml:space="preserve"> siting Applications, and all associated requests for authority.  OCA M. B. at</w:t>
      </w:r>
      <w:r w:rsidR="005A4AB3" w:rsidRPr="00C74D34">
        <w:rPr>
          <w:szCs w:val="26"/>
        </w:rPr>
        <w:t xml:space="preserve"> 110</w:t>
      </w:r>
      <w:r w:rsidRPr="00C74D34">
        <w:rPr>
          <w:szCs w:val="26"/>
        </w:rPr>
        <w:t>.</w:t>
      </w:r>
    </w:p>
    <w:p w14:paraId="0B414F4A" w14:textId="1D585CE9" w:rsidR="00A902A7" w:rsidRPr="00C74D34" w:rsidRDefault="00A902A7" w:rsidP="002D03FA">
      <w:pPr>
        <w:pStyle w:val="TOCH4"/>
        <w:numPr>
          <w:ilvl w:val="0"/>
          <w:numId w:val="0"/>
        </w:numPr>
        <w:ind w:left="2880"/>
      </w:pPr>
    </w:p>
    <w:p w14:paraId="61F10FE3" w14:textId="7EFC6DB5" w:rsidR="00365820" w:rsidRPr="00C74D34" w:rsidRDefault="00365820" w:rsidP="002D03FA">
      <w:pPr>
        <w:ind w:firstLine="1440"/>
      </w:pPr>
      <w:r w:rsidRPr="00C74D34">
        <w:t>Similar</w:t>
      </w:r>
      <w:r w:rsidR="00947224" w:rsidRPr="00C74D34">
        <w:t>ly, Franklin County and STFC argued that the ALJ shoul</w:t>
      </w:r>
      <w:r w:rsidR="002B7F86" w:rsidRPr="00C74D34">
        <w:t xml:space="preserve">d conclude that </w:t>
      </w:r>
      <w:proofErr w:type="spellStart"/>
      <w:r w:rsidR="002B7F86" w:rsidRPr="00C74D34">
        <w:t>Transource</w:t>
      </w:r>
      <w:proofErr w:type="spellEnd"/>
      <w:r w:rsidR="002B7F86" w:rsidRPr="00C74D34">
        <w:t xml:space="preserve"> failed to carry its burden of </w:t>
      </w:r>
      <w:r w:rsidR="0063070C" w:rsidRPr="00C74D34">
        <w:t xml:space="preserve">persuasion to </w:t>
      </w:r>
      <w:r w:rsidR="002B7F86" w:rsidRPr="00C74D34">
        <w:t xml:space="preserve">establish the “need” for Project 9A by a </w:t>
      </w:r>
      <w:r w:rsidR="00013EC4" w:rsidRPr="00C74D34">
        <w:t>preponderance</w:t>
      </w:r>
      <w:r w:rsidR="002B7F86" w:rsidRPr="00C74D34">
        <w:t xml:space="preserve"> o</w:t>
      </w:r>
      <w:r w:rsidR="0063070C" w:rsidRPr="00C74D34">
        <w:t>f the evidence under the Pennsylv</w:t>
      </w:r>
      <w:r w:rsidR="00013EC4" w:rsidRPr="00C74D34">
        <w:t>a</w:t>
      </w:r>
      <w:r w:rsidR="0063070C" w:rsidRPr="00C74D34">
        <w:t>nia C</w:t>
      </w:r>
      <w:r w:rsidR="00013EC4" w:rsidRPr="00C74D34">
        <w:t xml:space="preserve">onstitution, the Code and Commission Regulations. </w:t>
      </w:r>
      <w:r w:rsidR="002B7F86" w:rsidRPr="00C74D34">
        <w:t xml:space="preserve"> </w:t>
      </w:r>
    </w:p>
    <w:p w14:paraId="5AD6FE97" w14:textId="04F1CF89" w:rsidR="00D35498" w:rsidRPr="00C74D34" w:rsidRDefault="00D35498" w:rsidP="002D03FA">
      <w:pPr>
        <w:pStyle w:val="TOCH4"/>
        <w:numPr>
          <w:ilvl w:val="0"/>
          <w:numId w:val="0"/>
        </w:numPr>
        <w:ind w:firstLine="1440"/>
        <w:rPr>
          <w:b w:val="0"/>
          <w:bCs/>
        </w:rPr>
      </w:pPr>
    </w:p>
    <w:p w14:paraId="22048696" w14:textId="57F083FA" w:rsidR="004039FE" w:rsidRPr="00C74D34" w:rsidRDefault="004039FE" w:rsidP="002D03FA">
      <w:pPr>
        <w:ind w:firstLine="1440"/>
        <w:rPr>
          <w:szCs w:val="26"/>
        </w:rPr>
      </w:pPr>
      <w:r w:rsidRPr="00C74D34">
        <w:rPr>
          <w:szCs w:val="26"/>
        </w:rPr>
        <w:t xml:space="preserve">Before the ALJ, Franklin County summarized its paramount concern for the utility customers and </w:t>
      </w:r>
      <w:r w:rsidR="00B11342" w:rsidRPr="00C74D34">
        <w:rPr>
          <w:szCs w:val="26"/>
        </w:rPr>
        <w:t>landowners</w:t>
      </w:r>
      <w:r w:rsidRPr="00C74D34">
        <w:rPr>
          <w:szCs w:val="26"/>
        </w:rPr>
        <w:t xml:space="preserve"> in Franklin County, as follows: </w:t>
      </w:r>
    </w:p>
    <w:p w14:paraId="22ABEE54" w14:textId="77777777" w:rsidR="004039FE" w:rsidRPr="00C74D34" w:rsidRDefault="004039FE" w:rsidP="00C13DA7">
      <w:pPr>
        <w:spacing w:line="240" w:lineRule="auto"/>
        <w:ind w:left="288"/>
        <w:rPr>
          <w:szCs w:val="26"/>
        </w:rPr>
      </w:pPr>
    </w:p>
    <w:p w14:paraId="38E2CB15" w14:textId="2F66FF80" w:rsidR="004039FE" w:rsidRPr="00C74D34" w:rsidRDefault="004039FE" w:rsidP="002D03FA">
      <w:pPr>
        <w:spacing w:line="240" w:lineRule="auto"/>
        <w:ind w:left="1440" w:right="1440"/>
        <w:rPr>
          <w:b/>
          <w:bCs/>
          <w:szCs w:val="26"/>
        </w:rPr>
      </w:pPr>
      <w:r w:rsidRPr="00C74D34">
        <w:rPr>
          <w:szCs w:val="26"/>
        </w:rPr>
        <w:t>Franklin County cannot fathom why the Commission would consider approving a project deliberately designed to export Pennsylvania’s cheaper power to customers outside the Commonwealth and allow the forcible condemnation of Pennsylvanian’s cherished land to build it.</w:t>
      </w:r>
      <w:r w:rsidR="00B11342" w:rsidRPr="00C74D34">
        <w:rPr>
          <w:b/>
          <w:bCs/>
          <w:szCs w:val="26"/>
        </w:rPr>
        <w:t xml:space="preserve">  </w:t>
      </w:r>
    </w:p>
    <w:p w14:paraId="6F95B1CD" w14:textId="77777777" w:rsidR="004039FE" w:rsidRPr="00C74D34" w:rsidRDefault="004039FE" w:rsidP="002D03FA">
      <w:pPr>
        <w:spacing w:line="240" w:lineRule="auto"/>
        <w:ind w:right="1440"/>
        <w:rPr>
          <w:b/>
          <w:bCs/>
          <w:szCs w:val="26"/>
        </w:rPr>
      </w:pPr>
    </w:p>
    <w:p w14:paraId="5CD3091F" w14:textId="74597783" w:rsidR="004039FE" w:rsidRPr="00C74D34" w:rsidRDefault="004039FE" w:rsidP="002D03FA">
      <w:pPr>
        <w:rPr>
          <w:szCs w:val="26"/>
        </w:rPr>
      </w:pPr>
      <w:r w:rsidRPr="00C74D34">
        <w:rPr>
          <w:szCs w:val="26"/>
        </w:rPr>
        <w:lastRenderedPageBreak/>
        <w:t xml:space="preserve">Franklin County M.B. at 9. </w:t>
      </w:r>
      <w:r w:rsidR="00E715C4" w:rsidRPr="00C74D34">
        <w:rPr>
          <w:szCs w:val="26"/>
        </w:rPr>
        <w:t xml:space="preserve"> </w:t>
      </w:r>
      <w:r w:rsidRPr="00C74D34">
        <w:rPr>
          <w:szCs w:val="26"/>
        </w:rPr>
        <w:t xml:space="preserve">Franklin County concurred with the OCA’s position that the original congestion which Project 9A was designed to address no longer exists “…[o]r at the very least, since </w:t>
      </w:r>
      <w:proofErr w:type="spellStart"/>
      <w:r w:rsidRPr="00C74D34">
        <w:rPr>
          <w:szCs w:val="26"/>
        </w:rPr>
        <w:t>Transource</w:t>
      </w:r>
      <w:proofErr w:type="spellEnd"/>
      <w:r w:rsidRPr="00C74D34">
        <w:rPr>
          <w:szCs w:val="26"/>
        </w:rPr>
        <w:t xml:space="preserve"> filed its Applications, any such purported congestion has substantially decreased to the extent that the Project is no longer justified.  Franklin County M.B. at 10.  </w:t>
      </w:r>
    </w:p>
    <w:p w14:paraId="2711C9A6" w14:textId="77777777" w:rsidR="004039FE" w:rsidRPr="00C74D34" w:rsidRDefault="004039FE" w:rsidP="002D03FA">
      <w:pPr>
        <w:rPr>
          <w:szCs w:val="26"/>
        </w:rPr>
      </w:pPr>
    </w:p>
    <w:p w14:paraId="7071A18B" w14:textId="6138F58D" w:rsidR="004039FE" w:rsidRPr="00C74D34" w:rsidRDefault="004039FE" w:rsidP="002D03FA">
      <w:pPr>
        <w:ind w:firstLine="1440"/>
        <w:rPr>
          <w:szCs w:val="26"/>
        </w:rPr>
      </w:pPr>
      <w:r w:rsidRPr="00C74D34">
        <w:rPr>
          <w:szCs w:val="26"/>
        </w:rPr>
        <w:t xml:space="preserve">Franklin County argued, as did the OCA and STFC, that the testimony of </w:t>
      </w:r>
      <w:proofErr w:type="spellStart"/>
      <w:r w:rsidRPr="00C74D34">
        <w:rPr>
          <w:szCs w:val="26"/>
        </w:rPr>
        <w:t>Transource’s</w:t>
      </w:r>
      <w:proofErr w:type="spellEnd"/>
      <w:r w:rsidRPr="00C74D34">
        <w:rPr>
          <w:szCs w:val="26"/>
        </w:rPr>
        <w:t xml:space="preserve"> own witnesses cast doubt upon the genuine need for Project 9A.  Franklin County noted, </w:t>
      </w:r>
      <w:proofErr w:type="spellStart"/>
      <w:r w:rsidRPr="00C74D34">
        <w:rPr>
          <w:szCs w:val="26"/>
        </w:rPr>
        <w:t>Transource’s</w:t>
      </w:r>
      <w:proofErr w:type="spellEnd"/>
      <w:r w:rsidRPr="00C74D34">
        <w:rPr>
          <w:szCs w:val="26"/>
        </w:rPr>
        <w:t xml:space="preserve"> witness, Mr. </w:t>
      </w:r>
      <w:proofErr w:type="spellStart"/>
      <w:r w:rsidRPr="00C74D34">
        <w:rPr>
          <w:szCs w:val="26"/>
        </w:rPr>
        <w:t>Horger</w:t>
      </w:r>
      <w:proofErr w:type="spellEnd"/>
      <w:r w:rsidRPr="00C74D34">
        <w:rPr>
          <w:szCs w:val="26"/>
        </w:rPr>
        <w:t xml:space="preserve">, conceded that congestion costs on the APSRI have decreased since 2014.  The County argued that Mr. </w:t>
      </w:r>
      <w:proofErr w:type="spellStart"/>
      <w:r w:rsidRPr="00C74D34">
        <w:rPr>
          <w:szCs w:val="26"/>
        </w:rPr>
        <w:t>Horger</w:t>
      </w:r>
      <w:proofErr w:type="spellEnd"/>
      <w:r w:rsidRPr="00C74D34">
        <w:rPr>
          <w:szCs w:val="26"/>
        </w:rPr>
        <w:t xml:space="preserve"> attempted to justify the need for the Project due to the congestion on these related facilities stating, “while historical congestion on the AP South Interface has decreased somewhat since the approval of Project 9A …, the other related congestion resolved by the Project has not.”  Franklin County M.B. at 14, citing TPA Statement No 3AA-RJ, p. 8, lines 145-148.</w:t>
      </w:r>
      <w:r w:rsidR="00B11342" w:rsidRPr="00C74D34">
        <w:rPr>
          <w:szCs w:val="26"/>
        </w:rPr>
        <w:t xml:space="preserve">  </w:t>
      </w:r>
      <w:r w:rsidRPr="00C74D34">
        <w:rPr>
          <w:szCs w:val="26"/>
        </w:rPr>
        <w:t xml:space="preserve">The County argued that the Commission should not approve </w:t>
      </w:r>
      <w:proofErr w:type="spellStart"/>
      <w:r w:rsidRPr="00C74D34">
        <w:rPr>
          <w:szCs w:val="26"/>
        </w:rPr>
        <w:t>Transource’s</w:t>
      </w:r>
      <w:proofErr w:type="spellEnd"/>
      <w:r w:rsidRPr="00C74D34">
        <w:rPr>
          <w:szCs w:val="26"/>
        </w:rPr>
        <w:t xml:space="preserve"> attempt to “manufacture a basis to justify an application for which there is no longer support.” </w:t>
      </w:r>
      <w:r w:rsidRPr="00C74D34">
        <w:rPr>
          <w:i/>
          <w:iCs/>
          <w:szCs w:val="26"/>
        </w:rPr>
        <w:t>Id</w:t>
      </w:r>
      <w:r w:rsidRPr="00C74D34">
        <w:rPr>
          <w:szCs w:val="26"/>
        </w:rPr>
        <w:t xml:space="preserve">.  </w:t>
      </w:r>
    </w:p>
    <w:p w14:paraId="524F5332" w14:textId="77777777" w:rsidR="004039FE" w:rsidRPr="00C74D34" w:rsidRDefault="004039FE" w:rsidP="002D03FA">
      <w:pPr>
        <w:ind w:left="288"/>
        <w:rPr>
          <w:b/>
          <w:bCs/>
          <w:szCs w:val="26"/>
        </w:rPr>
      </w:pPr>
    </w:p>
    <w:p w14:paraId="48378F30" w14:textId="77777777" w:rsidR="004039FE" w:rsidRPr="00C74D34" w:rsidRDefault="004039FE" w:rsidP="002D03FA">
      <w:pPr>
        <w:ind w:firstLine="1440"/>
        <w:rPr>
          <w:szCs w:val="26"/>
        </w:rPr>
      </w:pPr>
      <w:r w:rsidRPr="00C74D34">
        <w:rPr>
          <w:szCs w:val="26"/>
        </w:rPr>
        <w:t>Franklin County also asserted that the inconsistency in the data relied upon by PJM regarding the alleged projected congestion versus the actual measure of the congestion, is a flawed basis upon which the ALJ should reject as establishing “need” due to congestion.  Franklin County M.B. at 10-15.</w:t>
      </w:r>
    </w:p>
    <w:p w14:paraId="167CFF1B" w14:textId="77777777" w:rsidR="004039FE" w:rsidRPr="00C74D34" w:rsidRDefault="004039FE" w:rsidP="002D03FA">
      <w:pPr>
        <w:ind w:left="288"/>
        <w:rPr>
          <w:szCs w:val="26"/>
        </w:rPr>
      </w:pPr>
    </w:p>
    <w:p w14:paraId="54535A0B" w14:textId="3FC237FF" w:rsidR="004039FE" w:rsidRPr="00C74D34" w:rsidRDefault="004039FE" w:rsidP="002D03FA">
      <w:pPr>
        <w:ind w:firstLine="1440"/>
        <w:rPr>
          <w:szCs w:val="26"/>
        </w:rPr>
      </w:pPr>
      <w:r w:rsidRPr="00C74D34">
        <w:rPr>
          <w:szCs w:val="26"/>
        </w:rPr>
        <w:t xml:space="preserve">Franklin County agreed with the OCA’s position that </w:t>
      </w:r>
      <w:proofErr w:type="spellStart"/>
      <w:r w:rsidRPr="00C74D34">
        <w:rPr>
          <w:szCs w:val="26"/>
        </w:rPr>
        <w:t>Transource’s</w:t>
      </w:r>
      <w:proofErr w:type="spellEnd"/>
      <w:r w:rsidRPr="00C74D34">
        <w:rPr>
          <w:szCs w:val="26"/>
        </w:rPr>
        <w:t xml:space="preserve"> late asserted and alleged reliability violation which </w:t>
      </w:r>
      <w:proofErr w:type="spellStart"/>
      <w:r w:rsidRPr="00C74D34">
        <w:rPr>
          <w:szCs w:val="26"/>
        </w:rPr>
        <w:t>Transource</w:t>
      </w:r>
      <w:proofErr w:type="spellEnd"/>
      <w:r w:rsidRPr="00C74D34">
        <w:rPr>
          <w:szCs w:val="26"/>
        </w:rPr>
        <w:t xml:space="preserve"> asserts are projected to occur in 2023, should be rejected as basis to establish need for Project 9A.  Franklin County asserted that Project 9A was always designed to alleviate economic congestion, not to cure the reliability violations which </w:t>
      </w:r>
      <w:proofErr w:type="spellStart"/>
      <w:r w:rsidR="008B2C71" w:rsidRPr="00C74D34">
        <w:rPr>
          <w:szCs w:val="26"/>
        </w:rPr>
        <w:t>Transource</w:t>
      </w:r>
      <w:proofErr w:type="spellEnd"/>
      <w:r w:rsidRPr="00C74D34">
        <w:rPr>
          <w:szCs w:val="26"/>
        </w:rPr>
        <w:t xml:space="preserve"> only asserted after the opposing parties cast doubt upon the existence of need due to congestion.  Franklin County M.B. at 15-19.</w:t>
      </w:r>
    </w:p>
    <w:p w14:paraId="1CB22A6B" w14:textId="77777777" w:rsidR="004039FE" w:rsidRPr="00C74D34" w:rsidRDefault="004039FE" w:rsidP="002D03FA">
      <w:pPr>
        <w:rPr>
          <w:szCs w:val="26"/>
        </w:rPr>
      </w:pPr>
    </w:p>
    <w:p w14:paraId="23F7B8B9" w14:textId="3509AAF2" w:rsidR="004039FE" w:rsidRPr="00C74D34" w:rsidRDefault="004039FE" w:rsidP="002D03FA">
      <w:pPr>
        <w:ind w:firstLine="1440"/>
        <w:rPr>
          <w:szCs w:val="26"/>
        </w:rPr>
      </w:pPr>
      <w:r w:rsidRPr="00C74D34">
        <w:rPr>
          <w:szCs w:val="26"/>
        </w:rPr>
        <w:lastRenderedPageBreak/>
        <w:t xml:space="preserve">Franklin County joined in the OCA’s and STFC’s arguments that the proposed Project 9A poses unacceptable risks to the health and safety of the public.  The County argues separately, that the proposed </w:t>
      </w:r>
      <w:r w:rsidR="000A7BBA" w:rsidRPr="00C74D34">
        <w:rPr>
          <w:szCs w:val="26"/>
        </w:rPr>
        <w:t>P</w:t>
      </w:r>
      <w:r w:rsidRPr="00C74D34">
        <w:rPr>
          <w:szCs w:val="26"/>
        </w:rPr>
        <w:t xml:space="preserve">roject 9A poses unacceptable environmental impacts.  </w:t>
      </w:r>
    </w:p>
    <w:p w14:paraId="717660DA" w14:textId="77777777" w:rsidR="004039FE" w:rsidRPr="00C74D34" w:rsidRDefault="004039FE" w:rsidP="002D03FA">
      <w:pPr>
        <w:rPr>
          <w:szCs w:val="26"/>
        </w:rPr>
      </w:pPr>
    </w:p>
    <w:p w14:paraId="656E8E9E" w14:textId="053DE616" w:rsidR="004039FE" w:rsidRPr="00513937" w:rsidRDefault="004039FE" w:rsidP="002D03FA">
      <w:pPr>
        <w:ind w:firstLine="1440"/>
        <w:rPr>
          <w:bCs/>
          <w:szCs w:val="26"/>
        </w:rPr>
      </w:pPr>
      <w:r w:rsidRPr="00C74D34">
        <w:rPr>
          <w:szCs w:val="26"/>
        </w:rPr>
        <w:t>Franklin County asserted that Project 9A conflicts with the Environmental Rights Amendment, Article I, Section 27 of the Pennsylvania Constitution (the ERA or Section 27), which provides:</w:t>
      </w:r>
      <w:r w:rsidRPr="00C74D34">
        <w:rPr>
          <w:b/>
          <w:szCs w:val="26"/>
        </w:rPr>
        <w:t xml:space="preserve"> </w:t>
      </w:r>
    </w:p>
    <w:p w14:paraId="32B09C4E" w14:textId="77777777" w:rsidR="00B11342" w:rsidRPr="00C74D34" w:rsidRDefault="00B11342" w:rsidP="00C13DA7">
      <w:pPr>
        <w:spacing w:line="240" w:lineRule="auto"/>
        <w:rPr>
          <w:szCs w:val="26"/>
        </w:rPr>
      </w:pPr>
    </w:p>
    <w:p w14:paraId="5D623450" w14:textId="77777777" w:rsidR="004039FE" w:rsidRPr="00C74D34" w:rsidRDefault="004039FE" w:rsidP="002D03FA">
      <w:pPr>
        <w:spacing w:line="240" w:lineRule="auto"/>
        <w:ind w:left="1454" w:right="1440" w:hanging="14"/>
        <w:rPr>
          <w:szCs w:val="26"/>
        </w:rPr>
      </w:pPr>
      <w:r w:rsidRPr="00C74D34">
        <w:rPr>
          <w:szCs w:val="26"/>
        </w:rPr>
        <w:t xml:space="preserve">The people have a right to clean air, pure water, and to the preservation of the natural, scenic, historic and esthetic values of the environment. Pennsylvania's public natural resources are the common property of all the people, including generations yet to come. As trustee of these resources, the Commonwealth shall conserve and maintain them for the benefit of all the people. </w:t>
      </w:r>
    </w:p>
    <w:p w14:paraId="1B7DD701" w14:textId="77777777" w:rsidR="004039FE" w:rsidRPr="00C74D34" w:rsidRDefault="004039FE" w:rsidP="002D03FA">
      <w:pPr>
        <w:rPr>
          <w:szCs w:val="26"/>
        </w:rPr>
      </w:pPr>
      <w:r w:rsidRPr="00C74D34">
        <w:rPr>
          <w:szCs w:val="26"/>
        </w:rPr>
        <w:t xml:space="preserve"> </w:t>
      </w:r>
    </w:p>
    <w:p w14:paraId="45ADF118" w14:textId="31AFA78D" w:rsidR="004039FE" w:rsidRPr="00C74D34" w:rsidRDefault="004039FE" w:rsidP="002D03FA">
      <w:pPr>
        <w:rPr>
          <w:szCs w:val="26"/>
        </w:rPr>
      </w:pPr>
      <w:r w:rsidRPr="00C74D34">
        <w:rPr>
          <w:szCs w:val="26"/>
        </w:rPr>
        <w:t>Pa. Const. art. I, § 27.</w:t>
      </w:r>
      <w:r w:rsidR="00B11342" w:rsidRPr="00C74D34">
        <w:rPr>
          <w:szCs w:val="26"/>
        </w:rPr>
        <w:t xml:space="preserve">  </w:t>
      </w:r>
    </w:p>
    <w:p w14:paraId="3D06F43E" w14:textId="77777777" w:rsidR="004039FE" w:rsidRPr="00C74D34" w:rsidRDefault="004039FE" w:rsidP="002D03FA">
      <w:pPr>
        <w:rPr>
          <w:szCs w:val="26"/>
        </w:rPr>
      </w:pPr>
    </w:p>
    <w:p w14:paraId="4ED4D626" w14:textId="37335E21" w:rsidR="004039FE" w:rsidRPr="00C74D34" w:rsidRDefault="004039FE" w:rsidP="002D03FA">
      <w:pPr>
        <w:ind w:firstLine="1440"/>
        <w:rPr>
          <w:szCs w:val="26"/>
        </w:rPr>
      </w:pPr>
      <w:r w:rsidRPr="00C74D34">
        <w:rPr>
          <w:szCs w:val="26"/>
        </w:rPr>
        <w:t xml:space="preserve">The County further asserted that the test for whether action violates the ERA is governed by </w:t>
      </w:r>
      <w:r w:rsidRPr="00C74D34">
        <w:rPr>
          <w:i/>
          <w:szCs w:val="26"/>
        </w:rPr>
        <w:t xml:space="preserve">Pennsylvania </w:t>
      </w:r>
      <w:proofErr w:type="spellStart"/>
      <w:r w:rsidRPr="00C74D34">
        <w:rPr>
          <w:i/>
          <w:szCs w:val="26"/>
        </w:rPr>
        <w:t>Envtl</w:t>
      </w:r>
      <w:proofErr w:type="spellEnd"/>
      <w:r w:rsidRPr="00C74D34">
        <w:rPr>
          <w:i/>
          <w:szCs w:val="26"/>
        </w:rPr>
        <w:t>. Def. Found. v. Commonwealth</w:t>
      </w:r>
      <w:r w:rsidRPr="00C74D34">
        <w:rPr>
          <w:szCs w:val="26"/>
        </w:rPr>
        <w:t>, 161 A.3d 911, 930 (Pa. 2017) (</w:t>
      </w:r>
      <w:r w:rsidRPr="00C74D34">
        <w:rPr>
          <w:i/>
          <w:iCs/>
          <w:szCs w:val="26"/>
        </w:rPr>
        <w:t>PEDF</w:t>
      </w:r>
      <w:r w:rsidRPr="00C74D34">
        <w:rPr>
          <w:szCs w:val="26"/>
        </w:rPr>
        <w:t xml:space="preserve">), wherein the Pennsylvania Supreme Court rejected the three-part balancing test created in </w:t>
      </w:r>
      <w:r w:rsidRPr="00C74D34">
        <w:rPr>
          <w:i/>
          <w:szCs w:val="26"/>
        </w:rPr>
        <w:t xml:space="preserve">Payne v. </w:t>
      </w:r>
      <w:proofErr w:type="spellStart"/>
      <w:r w:rsidRPr="00C74D34">
        <w:rPr>
          <w:i/>
          <w:szCs w:val="26"/>
        </w:rPr>
        <w:t>Kassab</w:t>
      </w:r>
      <w:proofErr w:type="spellEnd"/>
      <w:r w:rsidRPr="00C74D34">
        <w:rPr>
          <w:szCs w:val="26"/>
        </w:rPr>
        <w:t xml:space="preserve">, 312 A.2d 86 (1973) as the standard for determining whether government actions violate the ERA.  The County maintained that the Pennsylvania Supreme Court established that the ERA grants the people of Pennsylvania two separate constitutional rights.  “The first right is . . . the right of citizens to clean air and pure water, and to the preservation of natural, scenic, historic and esthetic values of the environment.”  Per Franklin County, the Court’s decision established that the first right “places a limitation on the state’s power to act contrary to this right, and while the subject of this right may be amenable to regulation, any laws that unreasonably impair the right are unconstitutional.”  Franklin County M.B. 19-21, citing </w:t>
      </w:r>
      <w:r w:rsidRPr="00C74D34">
        <w:rPr>
          <w:i/>
          <w:iCs/>
          <w:szCs w:val="26"/>
        </w:rPr>
        <w:t>PEDF</w:t>
      </w:r>
      <w:r w:rsidRPr="00C74D34">
        <w:rPr>
          <w:szCs w:val="26"/>
        </w:rPr>
        <w:t xml:space="preserve"> at 931</w:t>
      </w:r>
      <w:r w:rsidR="00C13DA7">
        <w:rPr>
          <w:szCs w:val="26"/>
        </w:rPr>
        <w:t xml:space="preserve"> </w:t>
      </w:r>
      <w:r w:rsidRPr="00C74D34">
        <w:rPr>
          <w:szCs w:val="26"/>
        </w:rPr>
        <w:lastRenderedPageBreak/>
        <w:t xml:space="preserve">(internal citations omitted).  The second right “is the common ownership by the people, including future generations, of Pennsylvania's public natural resources.”  </w:t>
      </w:r>
      <w:r w:rsidRPr="00C74D34">
        <w:rPr>
          <w:i/>
          <w:szCs w:val="26"/>
        </w:rPr>
        <w:t>Id.</w:t>
      </w:r>
      <w:r w:rsidRPr="00C74D34">
        <w:rPr>
          <w:szCs w:val="26"/>
        </w:rPr>
        <w:t xml:space="preserve">  </w:t>
      </w:r>
    </w:p>
    <w:p w14:paraId="562851A9" w14:textId="77777777" w:rsidR="004039FE" w:rsidRPr="00C74D34" w:rsidRDefault="004039FE" w:rsidP="002D03FA">
      <w:pPr>
        <w:rPr>
          <w:szCs w:val="26"/>
        </w:rPr>
      </w:pPr>
    </w:p>
    <w:p w14:paraId="63D1A2C6" w14:textId="4AA253B6" w:rsidR="004039FE" w:rsidRPr="00C74D34" w:rsidRDefault="004039FE" w:rsidP="002D03FA">
      <w:pPr>
        <w:ind w:left="-14" w:firstLine="1440"/>
        <w:rPr>
          <w:szCs w:val="26"/>
        </w:rPr>
      </w:pPr>
      <w:r w:rsidRPr="00C74D34">
        <w:rPr>
          <w:szCs w:val="26"/>
        </w:rPr>
        <w:t xml:space="preserve">In addition, Franklin County asserted that, “[t]he third clause of Section 27 establishes a public trust, pursuant to which the natural resources are the corpus of the trust, the Commonwealth is the trustee, and the people are the named beneficiaries.”  </w:t>
      </w:r>
      <w:r w:rsidRPr="00C74D34">
        <w:rPr>
          <w:i/>
          <w:szCs w:val="26"/>
        </w:rPr>
        <w:t xml:space="preserve">Id. </w:t>
      </w:r>
      <w:r w:rsidRPr="00C74D34">
        <w:rPr>
          <w:szCs w:val="26"/>
        </w:rPr>
        <w:t xml:space="preserve">at 931–32 (2017).  The court concluded that as trustee, Pennsylvania has two duties.  </w:t>
      </w:r>
      <w:r w:rsidRPr="00C74D34">
        <w:rPr>
          <w:i/>
          <w:szCs w:val="26"/>
        </w:rPr>
        <w:t>Id.</w:t>
      </w:r>
      <w:r w:rsidRPr="00C74D34">
        <w:rPr>
          <w:szCs w:val="26"/>
        </w:rPr>
        <w:t xml:space="preserve"> at 933 (internal citations omitted).  First, “the Commonwealth has a duty to prohibit the degradation, diminution, and depletion of our public natural resources, whether these harms might result from direct state action or from the actions of private parties.”  </w:t>
      </w:r>
      <w:r w:rsidRPr="00C74D34">
        <w:rPr>
          <w:i/>
          <w:szCs w:val="26"/>
        </w:rPr>
        <w:t>Id</w:t>
      </w:r>
      <w:r w:rsidRPr="00C74D34">
        <w:rPr>
          <w:szCs w:val="26"/>
        </w:rPr>
        <w:t xml:space="preserve">.  “Second, the Commonwealth must act affirmatively via legislative action to protect the environment.”  </w:t>
      </w:r>
      <w:r w:rsidRPr="00C74D34">
        <w:rPr>
          <w:i/>
          <w:szCs w:val="26"/>
        </w:rPr>
        <w:t>Id.</w:t>
      </w:r>
      <w:r w:rsidRPr="00C74D34">
        <w:rPr>
          <w:szCs w:val="26"/>
        </w:rPr>
        <w:t xml:space="preserve">  Importantly, the court explained that these trustee obligations are imposed upon “all agencies and entities of the Commonwealth government, both statewide and local.”  </w:t>
      </w:r>
      <w:r w:rsidRPr="00C74D34">
        <w:rPr>
          <w:i/>
          <w:szCs w:val="26"/>
        </w:rPr>
        <w:t>Id.</w:t>
      </w:r>
      <w:r w:rsidRPr="00C74D34">
        <w:rPr>
          <w:szCs w:val="26"/>
        </w:rPr>
        <w:t xml:space="preserve"> at 931 n. 23.  Commonwealth agencies, including the Commission, “have a fiduciary duty to act toward the corpus with prudence, loyalty, and impartiality.”  </w:t>
      </w:r>
      <w:r w:rsidRPr="00C74D34">
        <w:rPr>
          <w:i/>
          <w:szCs w:val="26"/>
        </w:rPr>
        <w:t xml:space="preserve">Id.  </w:t>
      </w:r>
    </w:p>
    <w:p w14:paraId="7C5E72B9" w14:textId="77777777" w:rsidR="004039FE" w:rsidRPr="00C74D34" w:rsidRDefault="004039FE" w:rsidP="002D03FA">
      <w:pPr>
        <w:ind w:left="288"/>
        <w:rPr>
          <w:szCs w:val="26"/>
        </w:rPr>
      </w:pPr>
    </w:p>
    <w:p w14:paraId="4E641985" w14:textId="1528D640" w:rsidR="004039FE" w:rsidRPr="00C74D34" w:rsidRDefault="004039FE" w:rsidP="002D03FA">
      <w:pPr>
        <w:ind w:firstLine="1440"/>
        <w:rPr>
          <w:szCs w:val="26"/>
        </w:rPr>
      </w:pPr>
      <w:r w:rsidRPr="00C74D34">
        <w:rPr>
          <w:szCs w:val="26"/>
        </w:rPr>
        <w:t xml:space="preserve">Based upon </w:t>
      </w:r>
      <w:r w:rsidR="00E715C4" w:rsidRPr="00C74D34">
        <w:rPr>
          <w:szCs w:val="26"/>
        </w:rPr>
        <w:t>i</w:t>
      </w:r>
      <w:r w:rsidRPr="00C74D34">
        <w:rPr>
          <w:szCs w:val="26"/>
        </w:rPr>
        <w:t xml:space="preserve">ts reading of the ERA, Franklin County asserted that </w:t>
      </w:r>
      <w:proofErr w:type="spellStart"/>
      <w:r w:rsidRPr="00C74D34">
        <w:rPr>
          <w:szCs w:val="26"/>
        </w:rPr>
        <w:t>Transource’s</w:t>
      </w:r>
      <w:proofErr w:type="spellEnd"/>
      <w:r w:rsidRPr="00C74D34">
        <w:rPr>
          <w:szCs w:val="26"/>
        </w:rPr>
        <w:t xml:space="preserve"> Siting Study demonstrates that the proposed IEC Project will negatively impact natural resources in Franklin County.  Specifically, the County asserted that streams, wetlands, and floodplains within the Project Study Area</w:t>
      </w:r>
      <w:r w:rsidR="008A3E59" w:rsidRPr="00C74D34">
        <w:rPr>
          <w:szCs w:val="26"/>
        </w:rPr>
        <w:t xml:space="preserve"> will be negatively impacted</w:t>
      </w:r>
      <w:r w:rsidRPr="00C74D34">
        <w:rPr>
          <w:szCs w:val="26"/>
        </w:rPr>
        <w:t xml:space="preserve">.  Franklin </w:t>
      </w:r>
      <w:r w:rsidR="00E715C4" w:rsidRPr="00C74D34">
        <w:rPr>
          <w:szCs w:val="26"/>
        </w:rPr>
        <w:t>County</w:t>
      </w:r>
      <w:r w:rsidRPr="00C74D34">
        <w:rPr>
          <w:szCs w:val="26"/>
        </w:rPr>
        <w:t xml:space="preserve"> M.B. at 21-22, citing TPA Ex. No. 1-West Application, Attachment 3</w:t>
      </w:r>
      <w:r w:rsidRPr="00C74D34">
        <w:rPr>
          <w:i/>
          <w:szCs w:val="26"/>
        </w:rPr>
        <w:t xml:space="preserve"> </w:t>
      </w:r>
      <w:r w:rsidRPr="00C74D34">
        <w:rPr>
          <w:szCs w:val="26"/>
        </w:rPr>
        <w:t xml:space="preserve">at p. 36, 39, and Figure 8a at p. 40.  The County argued that </w:t>
      </w:r>
      <w:proofErr w:type="spellStart"/>
      <w:r w:rsidRPr="00C74D34">
        <w:rPr>
          <w:szCs w:val="26"/>
        </w:rPr>
        <w:t>Transource</w:t>
      </w:r>
      <w:proofErr w:type="spellEnd"/>
      <w:r w:rsidRPr="00C74D34">
        <w:rPr>
          <w:szCs w:val="26"/>
        </w:rPr>
        <w:t xml:space="preserve"> cannot guarantee that the proposed Project will not result in negative environmental impact, and that </w:t>
      </w:r>
      <w:proofErr w:type="spellStart"/>
      <w:r w:rsidRPr="00C74D34">
        <w:rPr>
          <w:szCs w:val="26"/>
        </w:rPr>
        <w:t>Transource’s</w:t>
      </w:r>
      <w:proofErr w:type="spellEnd"/>
      <w:r w:rsidRPr="00C74D34">
        <w:rPr>
          <w:szCs w:val="26"/>
        </w:rPr>
        <w:t xml:space="preserve"> promise that the negative impact will be minimized to the best extent practi</w:t>
      </w:r>
      <w:r w:rsidR="0051608B" w:rsidRPr="00C74D34">
        <w:rPr>
          <w:szCs w:val="26"/>
        </w:rPr>
        <w:t>ca</w:t>
      </w:r>
      <w:r w:rsidRPr="00C74D34">
        <w:rPr>
          <w:szCs w:val="26"/>
        </w:rPr>
        <w:t xml:space="preserve">ble is unacceptable. </w:t>
      </w:r>
      <w:r w:rsidR="0051608B" w:rsidRPr="00C74D34">
        <w:rPr>
          <w:szCs w:val="26"/>
        </w:rPr>
        <w:t xml:space="preserve"> </w:t>
      </w:r>
      <w:r w:rsidR="0051608B" w:rsidRPr="00C74D34">
        <w:rPr>
          <w:i/>
          <w:iCs/>
          <w:szCs w:val="26"/>
        </w:rPr>
        <w:t>Id</w:t>
      </w:r>
      <w:r w:rsidR="0051608B" w:rsidRPr="00C74D34">
        <w:rPr>
          <w:szCs w:val="26"/>
        </w:rPr>
        <w:t xml:space="preserve">. </w:t>
      </w:r>
    </w:p>
    <w:p w14:paraId="1BD1286A" w14:textId="77777777" w:rsidR="007D6CEB" w:rsidRPr="00C74D34" w:rsidRDefault="007D6CEB" w:rsidP="002D03FA">
      <w:pPr>
        <w:ind w:firstLine="1440"/>
        <w:rPr>
          <w:szCs w:val="26"/>
        </w:rPr>
      </w:pPr>
    </w:p>
    <w:p w14:paraId="7C5779BB" w14:textId="18EB1764" w:rsidR="004039FE" w:rsidRPr="00C74D34" w:rsidRDefault="004039FE" w:rsidP="002D03FA">
      <w:pPr>
        <w:ind w:firstLine="1440"/>
        <w:rPr>
          <w:szCs w:val="26"/>
        </w:rPr>
      </w:pPr>
      <w:r w:rsidRPr="00C74D34">
        <w:rPr>
          <w:szCs w:val="26"/>
        </w:rPr>
        <w:t xml:space="preserve">Additionally, Franklin County opposed the transmission line siting crossing prime farmlands in Franklin County, including land subject to conservation easements </w:t>
      </w:r>
      <w:r w:rsidRPr="00C74D34">
        <w:rPr>
          <w:szCs w:val="26"/>
        </w:rPr>
        <w:lastRenderedPageBreak/>
        <w:t xml:space="preserve">and contained within agricultural security areas, and </w:t>
      </w:r>
      <w:proofErr w:type="spellStart"/>
      <w:r w:rsidRPr="00C74D34">
        <w:rPr>
          <w:szCs w:val="26"/>
        </w:rPr>
        <w:t>Transource’s</w:t>
      </w:r>
      <w:proofErr w:type="spellEnd"/>
      <w:r w:rsidRPr="00C74D34">
        <w:rPr>
          <w:szCs w:val="26"/>
        </w:rPr>
        <w:t xml:space="preserve"> request </w:t>
      </w:r>
      <w:r w:rsidR="0051608B" w:rsidRPr="00C74D34">
        <w:rPr>
          <w:szCs w:val="26"/>
        </w:rPr>
        <w:t>for an</w:t>
      </w:r>
      <w:r w:rsidR="003F12A7" w:rsidRPr="00C74D34">
        <w:rPr>
          <w:szCs w:val="26"/>
        </w:rPr>
        <w:t xml:space="preserve"> </w:t>
      </w:r>
      <w:r w:rsidR="0051608B" w:rsidRPr="00C74D34">
        <w:rPr>
          <w:szCs w:val="26"/>
        </w:rPr>
        <w:t>“</w:t>
      </w:r>
      <w:r w:rsidRPr="00C74D34">
        <w:rPr>
          <w:szCs w:val="26"/>
        </w:rPr>
        <w:t>intrusive and drastic exercise of eminent domain that will condemn and/or impact agricultural lands, including conservation easements and agricultural security areas in Franklin County.</w:t>
      </w:r>
      <w:r w:rsidR="003F12A7" w:rsidRPr="00C74D34">
        <w:rPr>
          <w:szCs w:val="26"/>
        </w:rPr>
        <w:t xml:space="preserve">” </w:t>
      </w:r>
      <w:r w:rsidRPr="00C74D34">
        <w:rPr>
          <w:szCs w:val="26"/>
        </w:rPr>
        <w:t xml:space="preserve"> Franklin County opposed the approval of the siting of the transmission lines, as proposed by </w:t>
      </w:r>
      <w:proofErr w:type="spellStart"/>
      <w:r w:rsidRPr="00C74D34">
        <w:rPr>
          <w:szCs w:val="26"/>
        </w:rPr>
        <w:t>Transource</w:t>
      </w:r>
      <w:proofErr w:type="spellEnd"/>
      <w:r w:rsidRPr="00C74D34">
        <w:rPr>
          <w:szCs w:val="26"/>
        </w:rPr>
        <w:t xml:space="preserve">, for a number of related adverse environmental and other related negative impacts which the County asserted would be unwarranted under any circumstance, but particularly so where there was no discernable need for the project.  Franklin County M.B. at 23-40. </w:t>
      </w:r>
    </w:p>
    <w:p w14:paraId="42E5E4A8" w14:textId="77777777" w:rsidR="004039FE" w:rsidRPr="00C74D34" w:rsidRDefault="004039FE" w:rsidP="002D03FA">
      <w:pPr>
        <w:ind w:left="288"/>
        <w:rPr>
          <w:szCs w:val="26"/>
        </w:rPr>
      </w:pPr>
    </w:p>
    <w:p w14:paraId="2020AEB5" w14:textId="5AB0092D" w:rsidR="005B4BA3" w:rsidRPr="00C74D34" w:rsidRDefault="00F61CAD" w:rsidP="002D03FA">
      <w:pPr>
        <w:ind w:firstLine="1440"/>
        <w:rPr>
          <w:iCs/>
          <w:szCs w:val="26"/>
        </w:rPr>
      </w:pPr>
      <w:r w:rsidRPr="00C74D34">
        <w:rPr>
          <w:szCs w:val="26"/>
        </w:rPr>
        <w:t xml:space="preserve">STFC </w:t>
      </w:r>
      <w:r w:rsidR="00292800" w:rsidRPr="00C74D34">
        <w:rPr>
          <w:szCs w:val="26"/>
        </w:rPr>
        <w:t xml:space="preserve">also concurred in the OCA’s position and </w:t>
      </w:r>
      <w:r w:rsidRPr="00C74D34">
        <w:rPr>
          <w:szCs w:val="26"/>
        </w:rPr>
        <w:t>argued that</w:t>
      </w:r>
      <w:r w:rsidR="00E6643F" w:rsidRPr="00C74D34">
        <w:rPr>
          <w:szCs w:val="26"/>
        </w:rPr>
        <w:t xml:space="preserve"> the ALJ should not find the </w:t>
      </w:r>
      <w:r w:rsidR="005B4BA3" w:rsidRPr="00C74D34">
        <w:rPr>
          <w:iCs/>
          <w:szCs w:val="26"/>
        </w:rPr>
        <w:t>PJM</w:t>
      </w:r>
      <w:r w:rsidR="00B61928" w:rsidRPr="00C74D34">
        <w:rPr>
          <w:iCs/>
          <w:szCs w:val="26"/>
        </w:rPr>
        <w:t xml:space="preserve"> methodology and </w:t>
      </w:r>
      <w:r w:rsidR="00E6643F" w:rsidRPr="00C74D34">
        <w:rPr>
          <w:iCs/>
          <w:szCs w:val="26"/>
        </w:rPr>
        <w:t>c</w:t>
      </w:r>
      <w:r w:rsidR="005B4BA3" w:rsidRPr="00C74D34">
        <w:rPr>
          <w:iCs/>
          <w:szCs w:val="26"/>
        </w:rPr>
        <w:t xml:space="preserve">ost </w:t>
      </w:r>
      <w:r w:rsidR="00E6643F" w:rsidRPr="00C74D34">
        <w:rPr>
          <w:iCs/>
          <w:szCs w:val="26"/>
        </w:rPr>
        <w:t>m</w:t>
      </w:r>
      <w:r w:rsidR="005B4BA3" w:rsidRPr="00C74D34">
        <w:rPr>
          <w:iCs/>
          <w:szCs w:val="26"/>
        </w:rPr>
        <w:t xml:space="preserve">etrics </w:t>
      </w:r>
      <w:r w:rsidR="00E6643F" w:rsidRPr="00C74D34">
        <w:rPr>
          <w:iCs/>
          <w:szCs w:val="26"/>
        </w:rPr>
        <w:t xml:space="preserve">relied upon by </w:t>
      </w:r>
      <w:proofErr w:type="spellStart"/>
      <w:r w:rsidR="00E6643F" w:rsidRPr="00C74D34">
        <w:rPr>
          <w:iCs/>
          <w:szCs w:val="26"/>
        </w:rPr>
        <w:t>Transou</w:t>
      </w:r>
      <w:r w:rsidR="008A3E59" w:rsidRPr="00C74D34">
        <w:rPr>
          <w:iCs/>
          <w:szCs w:val="26"/>
        </w:rPr>
        <w:t>r</w:t>
      </w:r>
      <w:r w:rsidR="00E6643F" w:rsidRPr="00C74D34">
        <w:rPr>
          <w:iCs/>
          <w:szCs w:val="26"/>
        </w:rPr>
        <w:t>ce</w:t>
      </w:r>
      <w:proofErr w:type="spellEnd"/>
      <w:r w:rsidR="00E6643F" w:rsidRPr="00C74D34">
        <w:rPr>
          <w:iCs/>
          <w:szCs w:val="26"/>
        </w:rPr>
        <w:t xml:space="preserve"> </w:t>
      </w:r>
      <w:r w:rsidR="009C7F4D" w:rsidRPr="00C74D34">
        <w:rPr>
          <w:iCs/>
          <w:szCs w:val="26"/>
        </w:rPr>
        <w:t>to be persuasive, arguing for the reasons set forth by the OCA and Franklin County</w:t>
      </w:r>
      <w:r w:rsidR="007E0E42" w:rsidRPr="00C74D34">
        <w:rPr>
          <w:iCs/>
          <w:szCs w:val="26"/>
        </w:rPr>
        <w:t>,</w:t>
      </w:r>
      <w:r w:rsidR="009C7F4D" w:rsidRPr="00C74D34">
        <w:rPr>
          <w:iCs/>
          <w:szCs w:val="26"/>
        </w:rPr>
        <w:t xml:space="preserve"> that the metric</w:t>
      </w:r>
      <w:r w:rsidR="007E0E42" w:rsidRPr="00C74D34">
        <w:rPr>
          <w:iCs/>
          <w:szCs w:val="26"/>
        </w:rPr>
        <w:t>s a</w:t>
      </w:r>
      <w:r w:rsidR="005B4BA3" w:rsidRPr="00C74D34">
        <w:rPr>
          <w:iCs/>
          <w:szCs w:val="26"/>
        </w:rPr>
        <w:t xml:space="preserve">re </w:t>
      </w:r>
      <w:r w:rsidR="007E0E42" w:rsidRPr="00C74D34">
        <w:rPr>
          <w:iCs/>
          <w:szCs w:val="26"/>
        </w:rPr>
        <w:t>i</w:t>
      </w:r>
      <w:r w:rsidR="005B4BA3" w:rsidRPr="00C74D34">
        <w:rPr>
          <w:iCs/>
          <w:szCs w:val="26"/>
        </w:rPr>
        <w:t>ncomplete</w:t>
      </w:r>
      <w:r w:rsidR="007E0E42" w:rsidRPr="00C74D34">
        <w:rPr>
          <w:iCs/>
          <w:szCs w:val="26"/>
        </w:rPr>
        <w:t xml:space="preserve">, </w:t>
      </w:r>
      <w:r w:rsidR="005B4BA3" w:rsidRPr="00C74D34">
        <w:rPr>
          <w:iCs/>
          <w:szCs w:val="26"/>
        </w:rPr>
        <w:t xml:space="preserve">and </w:t>
      </w:r>
      <w:r w:rsidR="007E0E42" w:rsidRPr="00C74D34">
        <w:rPr>
          <w:iCs/>
          <w:szCs w:val="26"/>
        </w:rPr>
        <w:t xml:space="preserve">therefore, inaccurate in the circumstances </w:t>
      </w:r>
      <w:r w:rsidR="005B4BA3" w:rsidRPr="00C74D34">
        <w:rPr>
          <w:iCs/>
          <w:szCs w:val="26"/>
        </w:rPr>
        <w:t xml:space="preserve">for the Commission’s </w:t>
      </w:r>
      <w:r w:rsidR="007E0E42" w:rsidRPr="00C74D34">
        <w:rPr>
          <w:iCs/>
          <w:szCs w:val="26"/>
        </w:rPr>
        <w:t>a</w:t>
      </w:r>
      <w:r w:rsidR="005B4BA3" w:rsidRPr="00C74D34">
        <w:rPr>
          <w:iCs/>
          <w:szCs w:val="26"/>
        </w:rPr>
        <w:t>nalysis</w:t>
      </w:r>
      <w:r w:rsidR="007E0E42" w:rsidRPr="00C74D34">
        <w:rPr>
          <w:iCs/>
          <w:szCs w:val="26"/>
        </w:rPr>
        <w:t xml:space="preserve"> of need</w:t>
      </w:r>
      <w:r w:rsidR="005B4BA3" w:rsidRPr="00C74D34">
        <w:rPr>
          <w:iCs/>
          <w:szCs w:val="26"/>
        </w:rPr>
        <w:t xml:space="preserve">. </w:t>
      </w:r>
      <w:r w:rsidR="00C2593B" w:rsidRPr="00C74D34">
        <w:rPr>
          <w:iCs/>
          <w:szCs w:val="26"/>
        </w:rPr>
        <w:t xml:space="preserve"> </w:t>
      </w:r>
      <w:r w:rsidR="0034020B" w:rsidRPr="00C74D34">
        <w:rPr>
          <w:iCs/>
          <w:szCs w:val="26"/>
        </w:rPr>
        <w:t xml:space="preserve">STFC M.B. at </w:t>
      </w:r>
      <w:r w:rsidR="00B17BC3" w:rsidRPr="00C74D34">
        <w:rPr>
          <w:iCs/>
          <w:szCs w:val="26"/>
        </w:rPr>
        <w:t>6-15.</w:t>
      </w:r>
      <w:r w:rsidR="0034020B" w:rsidRPr="00C74D34">
        <w:rPr>
          <w:iCs/>
          <w:szCs w:val="26"/>
        </w:rPr>
        <w:t xml:space="preserve"> </w:t>
      </w:r>
    </w:p>
    <w:p w14:paraId="4275F269" w14:textId="77777777" w:rsidR="0034020B" w:rsidRPr="00C74D34" w:rsidRDefault="0034020B" w:rsidP="002D03FA">
      <w:pPr>
        <w:ind w:firstLine="710"/>
        <w:rPr>
          <w:szCs w:val="26"/>
        </w:rPr>
      </w:pPr>
    </w:p>
    <w:p w14:paraId="68FEA141" w14:textId="107923DA" w:rsidR="00E86B05" w:rsidRPr="00C74D34" w:rsidRDefault="00AF66E3" w:rsidP="002D03FA">
      <w:pPr>
        <w:ind w:firstLine="1440"/>
        <w:rPr>
          <w:szCs w:val="26"/>
        </w:rPr>
      </w:pPr>
      <w:r w:rsidRPr="00C74D34">
        <w:rPr>
          <w:szCs w:val="26"/>
        </w:rPr>
        <w:t xml:space="preserve">STFC argued before the ALJ that </w:t>
      </w:r>
      <w:proofErr w:type="spellStart"/>
      <w:r w:rsidRPr="00C74D34">
        <w:rPr>
          <w:szCs w:val="26"/>
        </w:rPr>
        <w:t>Transource</w:t>
      </w:r>
      <w:proofErr w:type="spellEnd"/>
      <w:r w:rsidRPr="00C74D34">
        <w:rPr>
          <w:szCs w:val="26"/>
        </w:rPr>
        <w:t xml:space="preserve"> was improperly relieved of the burden of proving the need for a certificate of public convenience in the first step of the process. </w:t>
      </w:r>
      <w:r w:rsidRPr="00C74D34">
        <w:rPr>
          <w:rFonts w:eastAsia="Arial"/>
          <w:szCs w:val="26"/>
        </w:rPr>
        <w:t xml:space="preserve"> </w:t>
      </w:r>
      <w:r w:rsidR="002B283C" w:rsidRPr="00C74D34">
        <w:rPr>
          <w:rFonts w:eastAsia="Arial"/>
          <w:szCs w:val="26"/>
        </w:rPr>
        <w:t xml:space="preserve">STFC asserted that </w:t>
      </w:r>
      <w:proofErr w:type="spellStart"/>
      <w:r w:rsidRPr="00C74D34">
        <w:rPr>
          <w:szCs w:val="26"/>
        </w:rPr>
        <w:t>Transource</w:t>
      </w:r>
      <w:proofErr w:type="spellEnd"/>
      <w:r w:rsidRPr="00C74D34">
        <w:rPr>
          <w:szCs w:val="26"/>
        </w:rPr>
        <w:t xml:space="preserve"> filed its applications in December 2017, after it had reached a settlement agreement on the certification docket, Docket No. A</w:t>
      </w:r>
      <w:r w:rsidR="00C13DA7">
        <w:rPr>
          <w:szCs w:val="26"/>
        </w:rPr>
        <w:noBreakHyphen/>
      </w:r>
      <w:r w:rsidRPr="00C74D34">
        <w:rPr>
          <w:szCs w:val="26"/>
        </w:rPr>
        <w:t>2017</w:t>
      </w:r>
      <w:r w:rsidR="00C13DA7">
        <w:rPr>
          <w:szCs w:val="26"/>
        </w:rPr>
        <w:noBreakHyphen/>
      </w:r>
      <w:r w:rsidRPr="00C74D34">
        <w:rPr>
          <w:szCs w:val="26"/>
        </w:rPr>
        <w:t xml:space="preserve">2587821.  </w:t>
      </w:r>
      <w:r w:rsidR="002B283C" w:rsidRPr="00C74D34">
        <w:rPr>
          <w:szCs w:val="26"/>
        </w:rPr>
        <w:t>STFC noted that t</w:t>
      </w:r>
      <w:r w:rsidRPr="00C74D34">
        <w:rPr>
          <w:szCs w:val="26"/>
        </w:rPr>
        <w:t xml:space="preserve">he Commission’s decision specifically noted that the Application “brings a new type of entity to the Commonwealth” and that the Commission is being asked to “certificate a company as a public utility as a necessary step prior to consideration of the siting and construction of the project this company was formed to carry out.”  </w:t>
      </w:r>
      <w:r w:rsidR="00D172E9" w:rsidRPr="00C74D34">
        <w:rPr>
          <w:szCs w:val="26"/>
        </w:rPr>
        <w:t>R.D. at 78-79</w:t>
      </w:r>
      <w:r w:rsidR="0076717A" w:rsidRPr="00C74D34">
        <w:rPr>
          <w:szCs w:val="26"/>
        </w:rPr>
        <w:t>.</w:t>
      </w:r>
      <w:r w:rsidR="00E86B05" w:rsidRPr="00C74D34">
        <w:rPr>
          <w:iCs/>
          <w:szCs w:val="26"/>
        </w:rPr>
        <w:t xml:space="preserve"> </w:t>
      </w:r>
    </w:p>
    <w:p w14:paraId="5D96DD7C" w14:textId="77777777" w:rsidR="00E86B05" w:rsidRPr="00C74D34" w:rsidRDefault="00E86B05" w:rsidP="002D03FA">
      <w:pPr>
        <w:ind w:firstLine="1440"/>
        <w:rPr>
          <w:szCs w:val="26"/>
        </w:rPr>
      </w:pPr>
    </w:p>
    <w:p w14:paraId="39746018" w14:textId="625F4CAE" w:rsidR="00AF66E3" w:rsidRPr="00C74D34" w:rsidRDefault="00E86B05" w:rsidP="002D03FA">
      <w:pPr>
        <w:ind w:firstLine="1440"/>
        <w:rPr>
          <w:szCs w:val="26"/>
        </w:rPr>
      </w:pPr>
      <w:r w:rsidRPr="00C74D34">
        <w:rPr>
          <w:szCs w:val="26"/>
        </w:rPr>
        <w:t xml:space="preserve">STFC argued that </w:t>
      </w:r>
      <w:r w:rsidR="00107478" w:rsidRPr="00C74D34">
        <w:rPr>
          <w:szCs w:val="26"/>
        </w:rPr>
        <w:t xml:space="preserve">relieving </w:t>
      </w:r>
      <w:proofErr w:type="spellStart"/>
      <w:r w:rsidR="00AF66E3" w:rsidRPr="00C74D34">
        <w:rPr>
          <w:szCs w:val="26"/>
        </w:rPr>
        <w:t>Transource’s</w:t>
      </w:r>
      <w:proofErr w:type="spellEnd"/>
      <w:r w:rsidR="00AF66E3" w:rsidRPr="00C74D34">
        <w:rPr>
          <w:szCs w:val="26"/>
        </w:rPr>
        <w:t xml:space="preserve"> burden to demonstrate need for approval of the CPC </w:t>
      </w:r>
      <w:r w:rsidR="00B77E3D" w:rsidRPr="00C74D34">
        <w:rPr>
          <w:szCs w:val="26"/>
        </w:rPr>
        <w:t xml:space="preserve">impermissibly </w:t>
      </w:r>
      <w:r w:rsidR="00AF66E3" w:rsidRPr="00C74D34">
        <w:rPr>
          <w:szCs w:val="26"/>
        </w:rPr>
        <w:t>shift</w:t>
      </w:r>
      <w:r w:rsidR="00B77E3D" w:rsidRPr="00C74D34">
        <w:rPr>
          <w:szCs w:val="26"/>
        </w:rPr>
        <w:t>ed</w:t>
      </w:r>
      <w:r w:rsidR="00AF66E3" w:rsidRPr="00C74D34">
        <w:rPr>
          <w:szCs w:val="26"/>
        </w:rPr>
        <w:t xml:space="preserve"> the burden from the applicant seeking approval of a new transmission line.  </w:t>
      </w:r>
      <w:r w:rsidR="00B77E3D" w:rsidRPr="00C74D34">
        <w:rPr>
          <w:szCs w:val="26"/>
        </w:rPr>
        <w:t xml:space="preserve">STFC argued that </w:t>
      </w:r>
      <w:r w:rsidR="00A55AFA" w:rsidRPr="00C74D34">
        <w:rPr>
          <w:szCs w:val="26"/>
        </w:rPr>
        <w:t xml:space="preserve">under the provision </w:t>
      </w:r>
      <w:r w:rsidR="00B11342" w:rsidRPr="00C74D34">
        <w:rPr>
          <w:szCs w:val="26"/>
        </w:rPr>
        <w:t>t</w:t>
      </w:r>
      <w:r w:rsidR="00A55AFA" w:rsidRPr="00C74D34">
        <w:rPr>
          <w:szCs w:val="26"/>
        </w:rPr>
        <w:t xml:space="preserve">o the Code </w:t>
      </w:r>
      <w:r w:rsidR="00A55AFA" w:rsidRPr="00C74D34">
        <w:rPr>
          <w:szCs w:val="26"/>
        </w:rPr>
        <w:lastRenderedPageBreak/>
        <w:t xml:space="preserve">governing issuance of the CPC, the </w:t>
      </w:r>
      <w:r w:rsidR="00AF66E3" w:rsidRPr="00C74D34">
        <w:rPr>
          <w:szCs w:val="26"/>
        </w:rPr>
        <w:t xml:space="preserve">applicant utility bears the burden of proof in proving a need for the certificate of public convenience. </w:t>
      </w:r>
      <w:r w:rsidR="00204D92" w:rsidRPr="00C74D34">
        <w:rPr>
          <w:szCs w:val="26"/>
        </w:rPr>
        <w:t xml:space="preserve"> </w:t>
      </w:r>
      <w:r w:rsidR="0076717A" w:rsidRPr="00C74D34">
        <w:rPr>
          <w:i/>
          <w:iCs/>
          <w:szCs w:val="26"/>
        </w:rPr>
        <w:t>Id</w:t>
      </w:r>
      <w:r w:rsidR="0076717A" w:rsidRPr="00C74D34">
        <w:rPr>
          <w:szCs w:val="26"/>
        </w:rPr>
        <w:t>.;</w:t>
      </w:r>
      <w:r w:rsidR="00204D92" w:rsidRPr="00C74D34">
        <w:rPr>
          <w:szCs w:val="26"/>
        </w:rPr>
        <w:t xml:space="preserve"> </w:t>
      </w:r>
      <w:r w:rsidR="00204D92" w:rsidRPr="00C74D34">
        <w:rPr>
          <w:i/>
        </w:rPr>
        <w:t>See</w:t>
      </w:r>
      <w:r w:rsidR="00204D92" w:rsidRPr="00C74D34">
        <w:rPr>
          <w:szCs w:val="26"/>
        </w:rPr>
        <w:t xml:space="preserve"> 66 Pa. C.S.A. §</w:t>
      </w:r>
      <w:r w:rsidR="002A7D87" w:rsidRPr="00C74D34">
        <w:rPr>
          <w:szCs w:val="26"/>
        </w:rPr>
        <w:t> </w:t>
      </w:r>
      <w:r w:rsidR="00204D92" w:rsidRPr="00C74D34">
        <w:rPr>
          <w:szCs w:val="26"/>
        </w:rPr>
        <w:t>1101-1103</w:t>
      </w:r>
      <w:r w:rsidR="00BC6786" w:rsidRPr="00C74D34">
        <w:rPr>
          <w:szCs w:val="26"/>
        </w:rPr>
        <w:t xml:space="preserve">. </w:t>
      </w:r>
      <w:r w:rsidR="00AF66E3" w:rsidRPr="00C74D34">
        <w:rPr>
          <w:szCs w:val="26"/>
        </w:rPr>
        <w:t xml:space="preserve"> </w:t>
      </w:r>
    </w:p>
    <w:p w14:paraId="409756C1" w14:textId="77777777" w:rsidR="00AF66E3" w:rsidRPr="00C74D34" w:rsidRDefault="00AF66E3" w:rsidP="002D03FA">
      <w:pPr>
        <w:rPr>
          <w:szCs w:val="26"/>
        </w:rPr>
      </w:pPr>
      <w:r w:rsidRPr="00C74D34">
        <w:rPr>
          <w:szCs w:val="26"/>
        </w:rPr>
        <w:t xml:space="preserve"> </w:t>
      </w:r>
    </w:p>
    <w:p w14:paraId="7A0614EB" w14:textId="7119EFA1" w:rsidR="00C2593B" w:rsidRPr="00C74D34" w:rsidRDefault="001344BE" w:rsidP="002D03FA">
      <w:pPr>
        <w:ind w:firstLine="1440"/>
        <w:rPr>
          <w:szCs w:val="26"/>
        </w:rPr>
      </w:pPr>
      <w:r w:rsidRPr="00C74D34">
        <w:rPr>
          <w:szCs w:val="26"/>
        </w:rPr>
        <w:t>STFC noted</w:t>
      </w:r>
      <w:r w:rsidR="005C6F6B" w:rsidRPr="00C74D34">
        <w:rPr>
          <w:szCs w:val="26"/>
        </w:rPr>
        <w:t xml:space="preserve"> that, while t</w:t>
      </w:r>
      <w:r w:rsidR="00C2593B" w:rsidRPr="00C74D34">
        <w:rPr>
          <w:szCs w:val="26"/>
        </w:rPr>
        <w:t xml:space="preserve">he Commission approved a settlement agreement for issuance of the certificate of public convenience to </w:t>
      </w:r>
      <w:proofErr w:type="spellStart"/>
      <w:r w:rsidR="00C2593B" w:rsidRPr="00C74D34">
        <w:rPr>
          <w:szCs w:val="26"/>
        </w:rPr>
        <w:t>Transource</w:t>
      </w:r>
      <w:proofErr w:type="spellEnd"/>
      <w:r w:rsidR="00C2593B" w:rsidRPr="00C74D34">
        <w:rPr>
          <w:szCs w:val="26"/>
        </w:rPr>
        <w:t xml:space="preserve">, </w:t>
      </w:r>
      <w:r w:rsidR="005C6F6B" w:rsidRPr="00C74D34">
        <w:rPr>
          <w:szCs w:val="26"/>
        </w:rPr>
        <w:t xml:space="preserve">the Commission </w:t>
      </w:r>
      <w:r w:rsidR="00C2593B" w:rsidRPr="00C74D34">
        <w:rPr>
          <w:szCs w:val="26"/>
        </w:rPr>
        <w:t xml:space="preserve">specifically </w:t>
      </w:r>
      <w:r w:rsidR="002D74B4" w:rsidRPr="00C74D34">
        <w:rPr>
          <w:szCs w:val="26"/>
        </w:rPr>
        <w:t xml:space="preserve">refrained from finding </w:t>
      </w:r>
      <w:r w:rsidR="00C2593B" w:rsidRPr="00C74D34">
        <w:rPr>
          <w:szCs w:val="26"/>
        </w:rPr>
        <w:t xml:space="preserve">that there was need for </w:t>
      </w:r>
      <w:r w:rsidRPr="00C74D34">
        <w:rPr>
          <w:szCs w:val="26"/>
        </w:rPr>
        <w:t>Project 9A</w:t>
      </w:r>
      <w:r w:rsidR="00E864CC" w:rsidRPr="00C74D34">
        <w:rPr>
          <w:szCs w:val="26"/>
        </w:rPr>
        <w:t xml:space="preserve">, expressly removing language to avoid any “predetermination of need.”  </w:t>
      </w:r>
      <w:r w:rsidR="0076717A" w:rsidRPr="00C74D34">
        <w:rPr>
          <w:i/>
          <w:iCs/>
          <w:szCs w:val="26"/>
        </w:rPr>
        <w:t>Id</w:t>
      </w:r>
      <w:r w:rsidR="0076717A" w:rsidRPr="00C74D34">
        <w:rPr>
          <w:szCs w:val="26"/>
        </w:rPr>
        <w:t>.</w:t>
      </w:r>
      <w:r w:rsidR="00E864CC" w:rsidRPr="00C74D34">
        <w:rPr>
          <w:szCs w:val="26"/>
        </w:rPr>
        <w:t xml:space="preserve">; </w:t>
      </w:r>
      <w:r w:rsidR="002A7D87" w:rsidRPr="00C74D34">
        <w:rPr>
          <w:i/>
          <w:szCs w:val="26"/>
        </w:rPr>
        <w:t>see</w:t>
      </w:r>
      <w:r w:rsidR="00E864CC" w:rsidRPr="00C74D34">
        <w:rPr>
          <w:szCs w:val="26"/>
        </w:rPr>
        <w:t xml:space="preserve"> PUC Opinion and Order, Docket A</w:t>
      </w:r>
      <w:r w:rsidR="002A7D87" w:rsidRPr="00C74D34">
        <w:rPr>
          <w:szCs w:val="26"/>
        </w:rPr>
        <w:t>-</w:t>
      </w:r>
      <w:r w:rsidR="00E864CC" w:rsidRPr="00C74D34">
        <w:rPr>
          <w:szCs w:val="26"/>
        </w:rPr>
        <w:t xml:space="preserve">2017-2587821 </w:t>
      </w:r>
      <w:r w:rsidR="002A7D87" w:rsidRPr="00C74D34">
        <w:rPr>
          <w:szCs w:val="26"/>
        </w:rPr>
        <w:t xml:space="preserve">(Order entered </w:t>
      </w:r>
      <w:r w:rsidR="00E864CC" w:rsidRPr="00C74D34">
        <w:rPr>
          <w:szCs w:val="26"/>
        </w:rPr>
        <w:t>Jan</w:t>
      </w:r>
      <w:r w:rsidR="002A7D87" w:rsidRPr="00C74D34">
        <w:rPr>
          <w:szCs w:val="26"/>
        </w:rPr>
        <w:t>uary</w:t>
      </w:r>
      <w:r w:rsidR="00E864CC" w:rsidRPr="00C74D34">
        <w:rPr>
          <w:szCs w:val="26"/>
        </w:rPr>
        <w:t xml:space="preserve"> 23, 2018</w:t>
      </w:r>
      <w:r w:rsidR="002A7D87" w:rsidRPr="00C74D34">
        <w:rPr>
          <w:szCs w:val="26"/>
        </w:rPr>
        <w:t>)</w:t>
      </w:r>
      <w:r w:rsidR="00C2593B" w:rsidRPr="00C74D34">
        <w:rPr>
          <w:szCs w:val="26"/>
        </w:rPr>
        <w:t xml:space="preserve">.  </w:t>
      </w:r>
    </w:p>
    <w:p w14:paraId="0BCB2779" w14:textId="77777777" w:rsidR="00B60D9B" w:rsidRPr="00513937" w:rsidRDefault="00B60D9B" w:rsidP="002D03FA">
      <w:pPr>
        <w:ind w:firstLine="1440"/>
        <w:rPr>
          <w:szCs w:val="26"/>
        </w:rPr>
      </w:pPr>
    </w:p>
    <w:p w14:paraId="5EB6661A" w14:textId="6895DFA0" w:rsidR="00C2593B" w:rsidRPr="00C74D34" w:rsidRDefault="00B60D9B" w:rsidP="002D03FA">
      <w:pPr>
        <w:ind w:firstLine="1440"/>
        <w:rPr>
          <w:rFonts w:eastAsia="Calibri"/>
          <w:szCs w:val="26"/>
        </w:rPr>
      </w:pPr>
      <w:r w:rsidRPr="00C74D34">
        <w:rPr>
          <w:szCs w:val="26"/>
        </w:rPr>
        <w:t xml:space="preserve">STFC </w:t>
      </w:r>
      <w:r w:rsidR="007D7890" w:rsidRPr="00C74D34">
        <w:rPr>
          <w:szCs w:val="26"/>
        </w:rPr>
        <w:t xml:space="preserve">concurred with Franklin County’s </w:t>
      </w:r>
      <w:r w:rsidR="00F64C5D" w:rsidRPr="00C74D34">
        <w:rPr>
          <w:szCs w:val="26"/>
        </w:rPr>
        <w:t xml:space="preserve">asserted position regarding environmental impact and further </w:t>
      </w:r>
      <w:r w:rsidRPr="00C74D34">
        <w:rPr>
          <w:szCs w:val="26"/>
        </w:rPr>
        <w:t xml:space="preserve">argued that the </w:t>
      </w:r>
      <w:r w:rsidR="00C2593B" w:rsidRPr="00C74D34">
        <w:rPr>
          <w:szCs w:val="26"/>
        </w:rPr>
        <w:t xml:space="preserve">Commission must revisit its regulations on transmission line </w:t>
      </w:r>
      <w:r w:rsidR="00B11342" w:rsidRPr="00C74D34">
        <w:rPr>
          <w:szCs w:val="26"/>
        </w:rPr>
        <w:t>siting to</w:t>
      </w:r>
      <w:r w:rsidR="00C2593B" w:rsidRPr="00C74D34">
        <w:rPr>
          <w:szCs w:val="26"/>
        </w:rPr>
        <w:t xml:space="preserve"> ensure that they meet the standard of the Environmental Rights Amendment of Article I, Section 27 of the Pennsylvania Constitution as enunciated in </w:t>
      </w:r>
      <w:r w:rsidR="00F64C5D" w:rsidRPr="00C74D34">
        <w:rPr>
          <w:i/>
          <w:iCs/>
          <w:szCs w:val="26"/>
        </w:rPr>
        <w:t>PEDF</w:t>
      </w:r>
      <w:r w:rsidR="00C2593B" w:rsidRPr="00C74D34">
        <w:rPr>
          <w:szCs w:val="26"/>
        </w:rPr>
        <w:t xml:space="preserve">, 161 A.3d 911, 916 (Pa. 2017).  </w:t>
      </w:r>
      <w:r w:rsidR="00543BA6" w:rsidRPr="00C74D34">
        <w:rPr>
          <w:rFonts w:eastAsia="Calibri"/>
          <w:szCs w:val="26"/>
        </w:rPr>
        <w:t>STFC argued that a</w:t>
      </w:r>
      <w:r w:rsidR="00C2593B" w:rsidRPr="00C74D34">
        <w:rPr>
          <w:szCs w:val="26"/>
        </w:rPr>
        <w:t xml:space="preserve"> review of the environmental impacts to Franklin County establishes that the loss to the County is too great.  Construction of </w:t>
      </w:r>
      <w:r w:rsidR="00534708" w:rsidRPr="00C74D34">
        <w:rPr>
          <w:szCs w:val="26"/>
        </w:rPr>
        <w:t xml:space="preserve">the </w:t>
      </w:r>
      <w:r w:rsidR="00543BA6" w:rsidRPr="00C74D34">
        <w:rPr>
          <w:szCs w:val="26"/>
        </w:rPr>
        <w:t>proposed Project 9</w:t>
      </w:r>
      <w:r w:rsidR="00B11342" w:rsidRPr="00C74D34">
        <w:rPr>
          <w:szCs w:val="26"/>
        </w:rPr>
        <w:t>A will</w:t>
      </w:r>
      <w:r w:rsidR="00C2593B" w:rsidRPr="00C74D34">
        <w:rPr>
          <w:szCs w:val="26"/>
        </w:rPr>
        <w:t xml:space="preserve"> degrade the air and water quality</w:t>
      </w:r>
      <w:r w:rsidR="0044397F" w:rsidRPr="00C74D34">
        <w:rPr>
          <w:szCs w:val="26"/>
        </w:rPr>
        <w:t xml:space="preserve">, </w:t>
      </w:r>
      <w:r w:rsidR="00A435DA" w:rsidRPr="00C74D34">
        <w:rPr>
          <w:szCs w:val="26"/>
        </w:rPr>
        <w:t>as</w:t>
      </w:r>
      <w:r w:rsidR="0044397F" w:rsidRPr="00C74D34">
        <w:rPr>
          <w:szCs w:val="26"/>
        </w:rPr>
        <w:t xml:space="preserve"> </w:t>
      </w:r>
      <w:r w:rsidR="00C2593B" w:rsidRPr="00C74D34">
        <w:rPr>
          <w:szCs w:val="26"/>
        </w:rPr>
        <w:t>for example, the proposed route cross</w:t>
      </w:r>
      <w:r w:rsidR="0044397F" w:rsidRPr="00C74D34">
        <w:rPr>
          <w:szCs w:val="26"/>
        </w:rPr>
        <w:t xml:space="preserve">ing </w:t>
      </w:r>
      <w:r w:rsidR="00C2593B" w:rsidRPr="00C74D34">
        <w:rPr>
          <w:szCs w:val="26"/>
        </w:rPr>
        <w:t>19 streams</w:t>
      </w:r>
      <w:r w:rsidR="00A435DA" w:rsidRPr="00C74D34">
        <w:rPr>
          <w:szCs w:val="26"/>
        </w:rPr>
        <w:t xml:space="preserve">, and </w:t>
      </w:r>
      <w:r w:rsidR="00974F74" w:rsidRPr="00C74D34">
        <w:rPr>
          <w:szCs w:val="26"/>
        </w:rPr>
        <w:t xml:space="preserve">crossing athletic fields for elementary schools. </w:t>
      </w:r>
      <w:r w:rsidR="0040738F" w:rsidRPr="00C74D34">
        <w:rPr>
          <w:szCs w:val="26"/>
        </w:rPr>
        <w:t xml:space="preserve"> As such, STFC argued that Project 9A </w:t>
      </w:r>
      <w:r w:rsidR="00C2593B" w:rsidRPr="00C74D34">
        <w:rPr>
          <w:szCs w:val="26"/>
        </w:rPr>
        <w:t>threatens the rights to the existing rural, agricultural aesthetic of Franklin County</w:t>
      </w:r>
      <w:r w:rsidR="00FD6E29" w:rsidRPr="00C74D34">
        <w:rPr>
          <w:szCs w:val="26"/>
        </w:rPr>
        <w:t xml:space="preserve">, and should be rejected. </w:t>
      </w:r>
      <w:r w:rsidR="00F64C5D" w:rsidRPr="00C74D34">
        <w:rPr>
          <w:szCs w:val="26"/>
        </w:rPr>
        <w:t xml:space="preserve"> STFC M. B. </w:t>
      </w:r>
      <w:r w:rsidR="00F80D19" w:rsidRPr="00C74D34">
        <w:rPr>
          <w:szCs w:val="26"/>
        </w:rPr>
        <w:t>at 15-71.</w:t>
      </w:r>
    </w:p>
    <w:p w14:paraId="7ACAB347" w14:textId="77777777" w:rsidR="00A902A7" w:rsidRPr="00C74D34" w:rsidRDefault="00A902A7" w:rsidP="002D03FA"/>
    <w:p w14:paraId="16C730E4" w14:textId="4C093AAE" w:rsidR="00F962F1" w:rsidRPr="00C74D34" w:rsidRDefault="00F962F1" w:rsidP="002D03FA">
      <w:pPr>
        <w:pStyle w:val="TOCH4"/>
        <w:keepNext/>
      </w:pPr>
      <w:bookmarkStart w:id="35" w:name="_Toc70516613"/>
      <w:r w:rsidRPr="00C74D34">
        <w:t>ALJ’s Recommended Decision</w:t>
      </w:r>
      <w:bookmarkEnd w:id="35"/>
    </w:p>
    <w:p w14:paraId="191D153B" w14:textId="24581B4A" w:rsidR="00FC4A11" w:rsidRPr="00513937" w:rsidRDefault="00FC4A11" w:rsidP="002D03FA">
      <w:pPr>
        <w:pStyle w:val="TOCH4"/>
        <w:keepNext/>
        <w:numPr>
          <w:ilvl w:val="0"/>
          <w:numId w:val="0"/>
        </w:numPr>
        <w:ind w:left="2160"/>
        <w:rPr>
          <w:b w:val="0"/>
          <w:bCs/>
        </w:rPr>
      </w:pPr>
    </w:p>
    <w:p w14:paraId="631BB47B" w14:textId="39E99073" w:rsidR="002D09E1" w:rsidRPr="00C74D34" w:rsidRDefault="002D09E1" w:rsidP="002D03FA">
      <w:pPr>
        <w:keepNext/>
        <w:ind w:firstLine="1440"/>
      </w:pPr>
      <w:r w:rsidRPr="00C74D34">
        <w:t>The ALJ’s</w:t>
      </w:r>
      <w:r w:rsidR="002626A3" w:rsidRPr="00C74D34">
        <w:t xml:space="preserve"> </w:t>
      </w:r>
      <w:r w:rsidRPr="00C74D34">
        <w:t xml:space="preserve">Recommended Decision set forth the </w:t>
      </w:r>
      <w:r w:rsidR="0004058E" w:rsidRPr="00C74D34">
        <w:t xml:space="preserve">evidence presented and the </w:t>
      </w:r>
      <w:r w:rsidRPr="00C74D34">
        <w:t xml:space="preserve">positions of the </w:t>
      </w:r>
      <w:r w:rsidR="008A3E59" w:rsidRPr="00C74D34">
        <w:t>P</w:t>
      </w:r>
      <w:r w:rsidR="00D208AB" w:rsidRPr="00C74D34">
        <w:t>arties</w:t>
      </w:r>
      <w:r w:rsidR="0004058E" w:rsidRPr="00C74D34">
        <w:t xml:space="preserve"> in great detail.  </w:t>
      </w:r>
      <w:r w:rsidR="0004058E" w:rsidRPr="00C74D34">
        <w:rPr>
          <w:i/>
        </w:rPr>
        <w:t>See</w:t>
      </w:r>
      <w:r w:rsidR="0004058E" w:rsidRPr="00C74D34">
        <w:t xml:space="preserve"> R.D. at</w:t>
      </w:r>
      <w:r w:rsidR="005A4AB3" w:rsidRPr="00C74D34">
        <w:t xml:space="preserve"> 65-80</w:t>
      </w:r>
      <w:r w:rsidR="002626A3" w:rsidRPr="00C74D34">
        <w:t xml:space="preserve">.  The ALJ made extensive factual findings and </w:t>
      </w:r>
      <w:r w:rsidR="002C25AA" w:rsidRPr="00C74D34">
        <w:t>conclusions of law.  R.D. at</w:t>
      </w:r>
      <w:r w:rsidR="005A4AB3" w:rsidRPr="00C74D34">
        <w:t xml:space="preserve"> 12-49</w:t>
      </w:r>
      <w:r w:rsidR="002C25AA" w:rsidRPr="00C74D34">
        <w:t xml:space="preserve"> </w:t>
      </w:r>
      <w:r w:rsidR="005A4AB3" w:rsidRPr="00C74D34">
        <w:t>(</w:t>
      </w:r>
      <w:r w:rsidR="002C25AA" w:rsidRPr="00C74D34">
        <w:t>F.O.F. 1-</w:t>
      </w:r>
      <w:r w:rsidR="005A4AB3" w:rsidRPr="00C74D34">
        <w:t>233)</w:t>
      </w:r>
      <w:r w:rsidR="00B43A36" w:rsidRPr="00C74D34">
        <w:t xml:space="preserve">; </w:t>
      </w:r>
      <w:r w:rsidR="005A4AB3" w:rsidRPr="00C74D34">
        <w:t>R.D. at 125-129 (</w:t>
      </w:r>
      <w:r w:rsidR="00B43A36" w:rsidRPr="00C74D34">
        <w:t>C.O.L. 1-16</w:t>
      </w:r>
      <w:r w:rsidR="005A4AB3" w:rsidRPr="00C74D34">
        <w:t>)</w:t>
      </w:r>
      <w:r w:rsidR="00F80D19" w:rsidRPr="00C74D34">
        <w:t>.</w:t>
      </w:r>
      <w:r w:rsidR="00E260AA" w:rsidRPr="00C74D34">
        <w:t xml:space="preserve"> </w:t>
      </w:r>
    </w:p>
    <w:p w14:paraId="2D7F58F7" w14:textId="60DC9660" w:rsidR="00541E7C" w:rsidRPr="00C74D34" w:rsidRDefault="00541E7C" w:rsidP="002D03FA">
      <w:pPr>
        <w:pStyle w:val="TOCH4"/>
        <w:numPr>
          <w:ilvl w:val="0"/>
          <w:numId w:val="0"/>
        </w:numPr>
        <w:ind w:firstLine="1440"/>
        <w:rPr>
          <w:b w:val="0"/>
          <w:bCs/>
        </w:rPr>
      </w:pPr>
    </w:p>
    <w:p w14:paraId="74A2737B" w14:textId="50576D7C" w:rsidR="00DB68E1" w:rsidRPr="00C74D34" w:rsidRDefault="003744CB" w:rsidP="002D03FA">
      <w:pPr>
        <w:ind w:firstLine="1440"/>
        <w:rPr>
          <w:szCs w:val="26"/>
        </w:rPr>
      </w:pPr>
      <w:r w:rsidRPr="00C74D34">
        <w:rPr>
          <w:szCs w:val="26"/>
        </w:rPr>
        <w:lastRenderedPageBreak/>
        <w:t xml:space="preserve">Upon review of the evidence presented and the arguments of the parties’ the ALJ </w:t>
      </w:r>
      <w:r w:rsidR="00DB68E1" w:rsidRPr="00C74D34">
        <w:rPr>
          <w:szCs w:val="26"/>
        </w:rPr>
        <w:t xml:space="preserve">agreed with </w:t>
      </w:r>
      <w:r w:rsidR="008A3E59" w:rsidRPr="00C74D34">
        <w:rPr>
          <w:szCs w:val="26"/>
        </w:rPr>
        <w:t xml:space="preserve">the </w:t>
      </w:r>
      <w:r w:rsidR="00DB68E1" w:rsidRPr="00C74D34">
        <w:rPr>
          <w:szCs w:val="26"/>
        </w:rPr>
        <w:t xml:space="preserve">OCA, Franklin County and STFC that the element of “need” pursuant to 52 Pa. Code § 57.76(a)(1) required to approve </w:t>
      </w:r>
      <w:proofErr w:type="spellStart"/>
      <w:r w:rsidR="00DB68E1" w:rsidRPr="00C74D34">
        <w:rPr>
          <w:szCs w:val="26"/>
        </w:rPr>
        <w:t>Transource’s</w:t>
      </w:r>
      <w:proofErr w:type="spellEnd"/>
      <w:r w:rsidR="00DB68E1" w:rsidRPr="00C74D34">
        <w:rPr>
          <w:szCs w:val="26"/>
        </w:rPr>
        <w:t xml:space="preserve"> siting </w:t>
      </w:r>
      <w:r w:rsidR="008A3E59" w:rsidRPr="00C74D34">
        <w:rPr>
          <w:szCs w:val="26"/>
        </w:rPr>
        <w:t>A</w:t>
      </w:r>
      <w:r w:rsidR="00DB68E1" w:rsidRPr="00C74D34">
        <w:rPr>
          <w:szCs w:val="26"/>
        </w:rPr>
        <w:t xml:space="preserve">pplications has not been shown by a preponderance of the evidence.  The ALJ’s analysis accepted as true </w:t>
      </w:r>
      <w:proofErr w:type="spellStart"/>
      <w:r w:rsidR="00DB68E1" w:rsidRPr="00C74D34">
        <w:rPr>
          <w:szCs w:val="26"/>
        </w:rPr>
        <w:t>Transource’s</w:t>
      </w:r>
      <w:proofErr w:type="spellEnd"/>
      <w:r w:rsidR="00DB68E1" w:rsidRPr="00C74D34">
        <w:rPr>
          <w:szCs w:val="26"/>
        </w:rPr>
        <w:t xml:space="preserve"> assertion that PJM saw a need in 2015-2016 to remove a congestion constraint in the AP South </w:t>
      </w:r>
      <w:r w:rsidR="00672C2D" w:rsidRPr="00C74D34">
        <w:rPr>
          <w:szCs w:val="26"/>
        </w:rPr>
        <w:t xml:space="preserve">Reactive </w:t>
      </w:r>
      <w:r w:rsidR="00DB68E1" w:rsidRPr="00C74D34">
        <w:rPr>
          <w:szCs w:val="26"/>
        </w:rPr>
        <w:t>Interface.  However</w:t>
      </w:r>
      <w:r w:rsidR="00B11342" w:rsidRPr="00C74D34">
        <w:rPr>
          <w:szCs w:val="26"/>
        </w:rPr>
        <w:t>,</w:t>
      </w:r>
      <w:r w:rsidR="00DB68E1" w:rsidRPr="00C74D34">
        <w:rPr>
          <w:szCs w:val="26"/>
        </w:rPr>
        <w:t xml:space="preserve"> the ALJ concluded that PJM’s determination of need for Project 9A did not satisfy the “need” requirement for additional transmission service in York and Franklin Counties within the meaning of the Commission’s siting regulations.  </w:t>
      </w:r>
    </w:p>
    <w:p w14:paraId="0981C030" w14:textId="17353058" w:rsidR="003744CB" w:rsidRPr="00C74D34" w:rsidRDefault="003744CB" w:rsidP="002D03FA">
      <w:pPr>
        <w:pStyle w:val="TOCH4"/>
        <w:numPr>
          <w:ilvl w:val="0"/>
          <w:numId w:val="0"/>
        </w:numPr>
        <w:ind w:firstLine="1440"/>
        <w:rPr>
          <w:b w:val="0"/>
          <w:bCs/>
        </w:rPr>
      </w:pPr>
    </w:p>
    <w:p w14:paraId="7F855FDA" w14:textId="7D0DAA77" w:rsidR="00372E63" w:rsidRPr="00C74D34" w:rsidRDefault="007E3C26" w:rsidP="002D03FA">
      <w:pPr>
        <w:pStyle w:val="FootnoteText"/>
        <w:spacing w:line="360" w:lineRule="auto"/>
        <w:ind w:firstLine="1440"/>
        <w:rPr>
          <w:iCs/>
          <w:sz w:val="26"/>
          <w:szCs w:val="26"/>
        </w:rPr>
      </w:pPr>
      <w:r w:rsidRPr="00C74D34">
        <w:rPr>
          <w:iCs/>
          <w:sz w:val="26"/>
          <w:szCs w:val="26"/>
        </w:rPr>
        <w:t xml:space="preserve">With respect to </w:t>
      </w:r>
      <w:proofErr w:type="spellStart"/>
      <w:r w:rsidRPr="00C74D34">
        <w:rPr>
          <w:iCs/>
          <w:sz w:val="26"/>
          <w:szCs w:val="26"/>
        </w:rPr>
        <w:t>Transource</w:t>
      </w:r>
      <w:r w:rsidR="00415F8A" w:rsidRPr="00C74D34">
        <w:rPr>
          <w:iCs/>
          <w:sz w:val="26"/>
          <w:szCs w:val="26"/>
        </w:rPr>
        <w:t>’s</w:t>
      </w:r>
      <w:proofErr w:type="spellEnd"/>
      <w:r w:rsidR="00415F8A" w:rsidRPr="00C74D34">
        <w:rPr>
          <w:iCs/>
          <w:sz w:val="26"/>
          <w:szCs w:val="26"/>
        </w:rPr>
        <w:t xml:space="preserve"> claim that the question of need was to be decided and/or controlled by the outcome o</w:t>
      </w:r>
      <w:r w:rsidR="00052E0F" w:rsidRPr="00C74D34">
        <w:rPr>
          <w:iCs/>
          <w:sz w:val="26"/>
          <w:szCs w:val="26"/>
        </w:rPr>
        <w:t xml:space="preserve">f the federal analysis of need for </w:t>
      </w:r>
      <w:r w:rsidR="00174484" w:rsidRPr="00C74D34">
        <w:rPr>
          <w:iCs/>
          <w:sz w:val="26"/>
          <w:szCs w:val="26"/>
        </w:rPr>
        <w:t>P</w:t>
      </w:r>
      <w:r w:rsidR="00052E0F" w:rsidRPr="00C74D34">
        <w:rPr>
          <w:iCs/>
          <w:sz w:val="26"/>
          <w:szCs w:val="26"/>
        </w:rPr>
        <w:t xml:space="preserve">roject </w:t>
      </w:r>
      <w:r w:rsidR="007C2EC2" w:rsidRPr="00C74D34">
        <w:rPr>
          <w:iCs/>
          <w:sz w:val="26"/>
          <w:szCs w:val="26"/>
        </w:rPr>
        <w:t xml:space="preserve">9A pursuant to the </w:t>
      </w:r>
      <w:r w:rsidR="00C04D90" w:rsidRPr="00C74D34">
        <w:rPr>
          <w:iCs/>
          <w:sz w:val="26"/>
          <w:szCs w:val="26"/>
        </w:rPr>
        <w:t xml:space="preserve">authority </w:t>
      </w:r>
      <w:r w:rsidR="00A268B9" w:rsidRPr="00C74D34">
        <w:rPr>
          <w:iCs/>
          <w:sz w:val="26"/>
          <w:szCs w:val="26"/>
        </w:rPr>
        <w:t xml:space="preserve">of </w:t>
      </w:r>
      <w:r w:rsidR="007C2EC2" w:rsidRPr="00C74D34">
        <w:rPr>
          <w:iCs/>
          <w:sz w:val="26"/>
          <w:szCs w:val="26"/>
        </w:rPr>
        <w:t>FERC</w:t>
      </w:r>
      <w:r w:rsidR="00A268B9" w:rsidRPr="00C74D34">
        <w:rPr>
          <w:iCs/>
          <w:sz w:val="26"/>
          <w:szCs w:val="26"/>
        </w:rPr>
        <w:t>’s</w:t>
      </w:r>
      <w:r w:rsidR="00BD32E5" w:rsidRPr="00C74D34">
        <w:rPr>
          <w:iCs/>
          <w:sz w:val="26"/>
          <w:szCs w:val="26"/>
        </w:rPr>
        <w:t xml:space="preserve"> </w:t>
      </w:r>
      <w:r w:rsidR="007C2EC2" w:rsidRPr="00C74D34">
        <w:rPr>
          <w:iCs/>
          <w:sz w:val="26"/>
          <w:szCs w:val="26"/>
        </w:rPr>
        <w:t>directives to PJM re</w:t>
      </w:r>
      <w:r w:rsidR="00C04D90" w:rsidRPr="00C74D34">
        <w:rPr>
          <w:iCs/>
          <w:sz w:val="26"/>
          <w:szCs w:val="26"/>
        </w:rPr>
        <w:t xml:space="preserve">garding </w:t>
      </w:r>
      <w:r w:rsidR="007C2EC2" w:rsidRPr="00C74D34">
        <w:rPr>
          <w:iCs/>
          <w:sz w:val="26"/>
          <w:szCs w:val="26"/>
        </w:rPr>
        <w:t xml:space="preserve">regional </w:t>
      </w:r>
      <w:r w:rsidR="00C04D90" w:rsidRPr="00C74D34">
        <w:rPr>
          <w:iCs/>
          <w:sz w:val="26"/>
          <w:szCs w:val="26"/>
        </w:rPr>
        <w:t xml:space="preserve">transmission planning, </w:t>
      </w:r>
      <w:r w:rsidR="00FC0E4D" w:rsidRPr="00C74D34">
        <w:rPr>
          <w:iCs/>
          <w:sz w:val="26"/>
          <w:szCs w:val="26"/>
        </w:rPr>
        <w:t>t</w:t>
      </w:r>
      <w:r w:rsidR="000352F7" w:rsidRPr="00C74D34">
        <w:rPr>
          <w:iCs/>
          <w:sz w:val="26"/>
          <w:szCs w:val="26"/>
        </w:rPr>
        <w:t xml:space="preserve">he ALJ reviewed the substance of FERC’s Order 1000, and </w:t>
      </w:r>
      <w:r w:rsidR="00930FB3" w:rsidRPr="00C74D34">
        <w:rPr>
          <w:iCs/>
          <w:sz w:val="26"/>
          <w:szCs w:val="26"/>
        </w:rPr>
        <w:t>concluded</w:t>
      </w:r>
      <w:r w:rsidR="00372E63" w:rsidRPr="00C74D34">
        <w:rPr>
          <w:iCs/>
          <w:sz w:val="26"/>
          <w:szCs w:val="26"/>
        </w:rPr>
        <w:t>:</w:t>
      </w:r>
    </w:p>
    <w:p w14:paraId="380FC653" w14:textId="77777777" w:rsidR="00372E63" w:rsidRPr="00C74D34" w:rsidRDefault="00372E63" w:rsidP="00C13DA7">
      <w:pPr>
        <w:pStyle w:val="FootnoteText"/>
        <w:ind w:firstLine="1440"/>
        <w:rPr>
          <w:i/>
          <w:sz w:val="26"/>
          <w:szCs w:val="26"/>
        </w:rPr>
      </w:pPr>
    </w:p>
    <w:p w14:paraId="2D9C8581" w14:textId="0278AED2" w:rsidR="00FC0E4D" w:rsidRPr="00C74D34" w:rsidRDefault="00372E63" w:rsidP="002D03FA">
      <w:pPr>
        <w:spacing w:line="240" w:lineRule="auto"/>
        <w:ind w:left="1440" w:right="1440"/>
        <w:rPr>
          <w:szCs w:val="26"/>
        </w:rPr>
      </w:pPr>
      <w:r w:rsidRPr="00C74D34">
        <w:rPr>
          <w:szCs w:val="26"/>
        </w:rPr>
        <w:t>FERC’s authority does not pre-empt the Commission’s determination in this proceeding.  As further indication of FERC’s limited role in approving transmission facilities, the U.S. Congress granted FERC limited authority to “issue one or more permits for the construction or modification of</w:t>
      </w:r>
      <w:r w:rsidR="000819EB" w:rsidRPr="00C74D34">
        <w:rPr>
          <w:szCs w:val="26"/>
        </w:rPr>
        <w:t xml:space="preserve"> electric transmission facilities in a national interest electric transmission corridor [NIETC] designated by the Secretary” under certain limited conditions.  16 U.S.C. § 824p(b).  As the Applicant’s proposed Pennsylvania siting locations are not within an NIETC, FERC has no jurisdiction in the siting of the IEC Project and the jurisdiction remains the Commission’s alone</w:t>
      </w:r>
      <w:r w:rsidR="00FC0E4D" w:rsidRPr="00C74D34">
        <w:rPr>
          <w:szCs w:val="26"/>
        </w:rPr>
        <w:t>.</w:t>
      </w:r>
    </w:p>
    <w:p w14:paraId="534F4A41" w14:textId="77777777" w:rsidR="00FC0E4D" w:rsidRPr="00C74D34" w:rsidRDefault="00FC0E4D" w:rsidP="002D03FA">
      <w:pPr>
        <w:spacing w:line="240" w:lineRule="auto"/>
        <w:ind w:left="1440" w:right="1440"/>
        <w:rPr>
          <w:szCs w:val="26"/>
        </w:rPr>
      </w:pPr>
    </w:p>
    <w:p w14:paraId="100A956F" w14:textId="4077301F" w:rsidR="00FC0E4D" w:rsidRPr="00C74D34" w:rsidRDefault="00FC0E4D" w:rsidP="002D03FA">
      <w:pPr>
        <w:spacing w:line="240" w:lineRule="auto"/>
        <w:ind w:left="1440" w:right="1440"/>
        <w:rPr>
          <w:szCs w:val="26"/>
        </w:rPr>
      </w:pPr>
      <w:r w:rsidRPr="00C74D34">
        <w:rPr>
          <w:szCs w:val="26"/>
        </w:rPr>
        <w:t xml:space="preserve">Pursuant to the constitutional, statutory, and regulatory standards of Pennsylvania, the Commission has the exclusive jurisdiction over both whether the proposed transmission infrastructure is needed and where it should be built.  It is fully within the discretion of the Commission under Pennsylvania law to determine whether a transmission facility has sufficiently demonstrated that the proposed facility is </w:t>
      </w:r>
      <w:r w:rsidRPr="00C74D34">
        <w:rPr>
          <w:szCs w:val="26"/>
        </w:rPr>
        <w:lastRenderedPageBreak/>
        <w:t>“necessary or proper for the accommodation, convenience and safety of…the public.”  66 Pa. C.S. § 1501.</w:t>
      </w:r>
      <w:r w:rsidR="000819EB" w:rsidRPr="00C74D34">
        <w:rPr>
          <w:szCs w:val="26"/>
        </w:rPr>
        <w:t xml:space="preserve"> </w:t>
      </w:r>
    </w:p>
    <w:p w14:paraId="640BF945" w14:textId="77777777" w:rsidR="00FC0E4D" w:rsidRPr="00C74D34" w:rsidRDefault="00FC0E4D" w:rsidP="00C13DA7">
      <w:pPr>
        <w:ind w:left="1440" w:right="1440"/>
        <w:rPr>
          <w:szCs w:val="26"/>
        </w:rPr>
      </w:pPr>
    </w:p>
    <w:p w14:paraId="6C23ACF6" w14:textId="43D20D4F" w:rsidR="007E3C26" w:rsidRPr="00C74D34" w:rsidRDefault="00FC0E4D" w:rsidP="002D03FA">
      <w:pPr>
        <w:rPr>
          <w:szCs w:val="26"/>
        </w:rPr>
      </w:pPr>
      <w:r w:rsidRPr="00C74D34">
        <w:rPr>
          <w:szCs w:val="26"/>
        </w:rPr>
        <w:t xml:space="preserve">R.D at </w:t>
      </w:r>
      <w:r w:rsidR="00030F02" w:rsidRPr="00C74D34">
        <w:rPr>
          <w:szCs w:val="26"/>
        </w:rPr>
        <w:t>85-86</w:t>
      </w:r>
      <w:r w:rsidR="00FC40A8" w:rsidRPr="00C74D34">
        <w:rPr>
          <w:szCs w:val="26"/>
        </w:rPr>
        <w:t xml:space="preserve">, citing </w:t>
      </w:r>
      <w:r w:rsidR="007E3C26" w:rsidRPr="00C74D34">
        <w:rPr>
          <w:i/>
          <w:szCs w:val="26"/>
        </w:rPr>
        <w:t>Transmission Planning and Cost Allocation by Transmission Owning and Operating Public Utilities</w:t>
      </w:r>
      <w:r w:rsidR="007E3C26" w:rsidRPr="00C74D34">
        <w:rPr>
          <w:szCs w:val="26"/>
        </w:rPr>
        <w:t>, 76 Fed. Reg. ¶ 49,842, 49,861 (Aug. 11, 2011) (FERC Order No. 1000).</w:t>
      </w:r>
    </w:p>
    <w:p w14:paraId="6C556D22" w14:textId="77777777" w:rsidR="00FC40A8" w:rsidRPr="00C74D34" w:rsidRDefault="00FC40A8" w:rsidP="00C13DA7">
      <w:pPr>
        <w:ind w:right="1440"/>
        <w:rPr>
          <w:szCs w:val="26"/>
        </w:rPr>
      </w:pPr>
    </w:p>
    <w:p w14:paraId="7767C6D7" w14:textId="4E3A8174" w:rsidR="00C553F5" w:rsidRPr="00C74D34" w:rsidRDefault="00541E7C" w:rsidP="002D03FA">
      <w:pPr>
        <w:ind w:firstLine="1440"/>
      </w:pPr>
      <w:r w:rsidRPr="00C74D34">
        <w:t xml:space="preserve">The ALJ </w:t>
      </w:r>
      <w:r w:rsidR="00FB6138" w:rsidRPr="00C74D34">
        <w:t xml:space="preserve">considered the </w:t>
      </w:r>
      <w:r w:rsidR="002D0B82" w:rsidRPr="00C74D34">
        <w:t xml:space="preserve">opposing </w:t>
      </w:r>
      <w:r w:rsidR="00672C2D" w:rsidRPr="00C74D34">
        <w:t>P</w:t>
      </w:r>
      <w:r w:rsidR="002D0B82" w:rsidRPr="00C74D34">
        <w:t>arti</w:t>
      </w:r>
      <w:r w:rsidR="00672C2D" w:rsidRPr="00C74D34">
        <w:t>e</w:t>
      </w:r>
      <w:r w:rsidR="002D0B82" w:rsidRPr="00C74D34">
        <w:t xml:space="preserve">s’ </w:t>
      </w:r>
      <w:r w:rsidR="00E4732B" w:rsidRPr="00C74D34">
        <w:t xml:space="preserve">arguments and </w:t>
      </w:r>
      <w:r w:rsidR="002D0B82" w:rsidRPr="00C74D34">
        <w:t xml:space="preserve">expert witness testimony </w:t>
      </w:r>
      <w:r w:rsidR="00E4732B" w:rsidRPr="00C74D34">
        <w:t xml:space="preserve">regarding the substance of the evidence offered by </w:t>
      </w:r>
      <w:proofErr w:type="spellStart"/>
      <w:r w:rsidR="00E4732B" w:rsidRPr="00C74D34">
        <w:t>Transource</w:t>
      </w:r>
      <w:proofErr w:type="spellEnd"/>
      <w:r w:rsidR="00E4732B" w:rsidRPr="00C74D34">
        <w:t xml:space="preserve"> in support of the “need” for Pr</w:t>
      </w:r>
      <w:r w:rsidR="00D76955" w:rsidRPr="00C74D34">
        <w:t xml:space="preserve">oject 9A.  </w:t>
      </w:r>
      <w:r w:rsidR="00863760" w:rsidRPr="00C74D34">
        <w:t>R.D. at</w:t>
      </w:r>
      <w:r w:rsidR="004A4EC4" w:rsidRPr="00C74D34">
        <w:t xml:space="preserve"> </w:t>
      </w:r>
      <w:r w:rsidR="00F10D4F" w:rsidRPr="00C74D34">
        <w:t>74-80</w:t>
      </w:r>
      <w:r w:rsidR="004A4EC4" w:rsidRPr="00C74D34">
        <w:t>.</w:t>
      </w:r>
      <w:r w:rsidR="00863760" w:rsidRPr="00C74D34">
        <w:t xml:space="preserve">  </w:t>
      </w:r>
      <w:r w:rsidR="00D76955" w:rsidRPr="00C74D34">
        <w:t xml:space="preserve">The opposing </w:t>
      </w:r>
      <w:r w:rsidR="00672C2D" w:rsidRPr="00C74D34">
        <w:t>P</w:t>
      </w:r>
      <w:r w:rsidR="00D76955" w:rsidRPr="00C74D34">
        <w:t xml:space="preserve">arties </w:t>
      </w:r>
      <w:r w:rsidR="00186ADA" w:rsidRPr="00C74D34">
        <w:t xml:space="preserve">argued that </w:t>
      </w:r>
      <w:r w:rsidR="006A62A2" w:rsidRPr="00C74D34">
        <w:t xml:space="preserve">data underlying PJM’s original determination of need to alleviate </w:t>
      </w:r>
      <w:r w:rsidR="00FF67AB" w:rsidRPr="00C74D34">
        <w:t>economic congestion</w:t>
      </w:r>
      <w:r w:rsidR="00EE3E56" w:rsidRPr="00C74D34">
        <w:t xml:space="preserve"> AP South </w:t>
      </w:r>
      <w:r w:rsidR="00672C2D" w:rsidRPr="00C74D34">
        <w:t xml:space="preserve">Reactive </w:t>
      </w:r>
      <w:r w:rsidR="00EE3E56" w:rsidRPr="00C74D34">
        <w:t>Interface</w:t>
      </w:r>
      <w:r w:rsidR="00FF67AB" w:rsidRPr="00C74D34">
        <w:t xml:space="preserve">, </w:t>
      </w:r>
      <w:r w:rsidR="00186ADA" w:rsidRPr="00C74D34">
        <w:t>subsequent measure</w:t>
      </w:r>
      <w:r w:rsidR="001B6B6F" w:rsidRPr="00C74D34">
        <w:t xml:space="preserve"> of</w:t>
      </w:r>
      <w:r w:rsidR="00504227" w:rsidRPr="00C74D34">
        <w:t xml:space="preserve"> the same </w:t>
      </w:r>
      <w:r w:rsidR="001B6B6F" w:rsidRPr="00C74D34">
        <w:t xml:space="preserve">congestion </w:t>
      </w:r>
      <w:r w:rsidR="00186ADA" w:rsidRPr="00C74D34">
        <w:t xml:space="preserve">taken by PJM </w:t>
      </w:r>
      <w:r w:rsidR="00504227" w:rsidRPr="00C74D34">
        <w:t>reflected that the congestion had precipitously decre</w:t>
      </w:r>
      <w:r w:rsidR="00EE3E56" w:rsidRPr="00C74D34">
        <w:t xml:space="preserve">ased and therefore, </w:t>
      </w:r>
      <w:r w:rsidR="009617F9" w:rsidRPr="00C74D34">
        <w:t xml:space="preserve">weighed against accepting that data as a basis for need under the Pennsylvania standard. </w:t>
      </w:r>
      <w:r w:rsidR="004A4EC4" w:rsidRPr="00C74D34">
        <w:t xml:space="preserve"> </w:t>
      </w:r>
      <w:r w:rsidR="00B96690" w:rsidRPr="00C74D34">
        <w:t xml:space="preserve">The ALJ noted that </w:t>
      </w:r>
      <w:proofErr w:type="spellStart"/>
      <w:r w:rsidR="00B96690" w:rsidRPr="00C74D34">
        <w:t>Transource</w:t>
      </w:r>
      <w:proofErr w:type="spellEnd"/>
      <w:r w:rsidR="00B96690" w:rsidRPr="00C74D34">
        <w:t xml:space="preserve"> did not dispute that </w:t>
      </w:r>
      <w:r w:rsidR="006A3BE2" w:rsidRPr="00C74D34">
        <w:t xml:space="preserve">the measures of </w:t>
      </w:r>
      <w:r w:rsidR="00B96690" w:rsidRPr="00C74D34">
        <w:t xml:space="preserve">congestion </w:t>
      </w:r>
      <w:r w:rsidR="006A3BE2" w:rsidRPr="00C74D34">
        <w:t xml:space="preserve">on the AP South </w:t>
      </w:r>
      <w:r w:rsidR="00BC355C" w:rsidRPr="00C74D34">
        <w:t xml:space="preserve">Reactive </w:t>
      </w:r>
      <w:r w:rsidR="006A3BE2" w:rsidRPr="00C74D34">
        <w:t xml:space="preserve">Interface fluctuated </w:t>
      </w:r>
      <w:r w:rsidR="000615CB" w:rsidRPr="00C74D34">
        <w:t>drastically, yet maintained that</w:t>
      </w:r>
      <w:r w:rsidR="00E03B40" w:rsidRPr="00C74D34">
        <w:t>,</w:t>
      </w:r>
      <w:r w:rsidR="000615CB" w:rsidRPr="00C74D34">
        <w:t xml:space="preserve"> based on the PJM </w:t>
      </w:r>
      <w:r w:rsidR="007C45DB" w:rsidRPr="00C74D34">
        <w:t>projections</w:t>
      </w:r>
      <w:r w:rsidR="000615CB" w:rsidRPr="00C74D34">
        <w:t xml:space="preserve">, the levels </w:t>
      </w:r>
      <w:r w:rsidR="0078138F" w:rsidRPr="00C74D34">
        <w:t xml:space="preserve">of congestion are currently in line with the projected model.  </w:t>
      </w:r>
      <w:r w:rsidR="004A4EC4" w:rsidRPr="00C74D34">
        <w:t xml:space="preserve">R.D. at </w:t>
      </w:r>
      <w:r w:rsidR="00F10D4F" w:rsidRPr="00C74D34">
        <w:t>87-91</w:t>
      </w:r>
      <w:r w:rsidR="004A4EC4" w:rsidRPr="00C74D34">
        <w:t>.</w:t>
      </w:r>
    </w:p>
    <w:p w14:paraId="47BAFF3D" w14:textId="77777777" w:rsidR="00C553F5" w:rsidRPr="00C74D34" w:rsidRDefault="00C553F5" w:rsidP="002D03FA">
      <w:pPr>
        <w:pStyle w:val="TOCH4"/>
        <w:numPr>
          <w:ilvl w:val="0"/>
          <w:numId w:val="0"/>
        </w:numPr>
        <w:ind w:firstLine="1440"/>
        <w:jc w:val="left"/>
        <w:outlineLvl w:val="9"/>
        <w:rPr>
          <w:b w:val="0"/>
          <w:bCs/>
        </w:rPr>
      </w:pPr>
    </w:p>
    <w:p w14:paraId="629037AA" w14:textId="28714BA8" w:rsidR="00226E24" w:rsidRPr="00C74D34" w:rsidRDefault="0078138F" w:rsidP="002D03FA">
      <w:pPr>
        <w:ind w:firstLine="1440"/>
      </w:pPr>
      <w:r w:rsidRPr="00C74D34">
        <w:t xml:space="preserve">The ALJ acknowledged that </w:t>
      </w:r>
      <w:proofErr w:type="spellStart"/>
      <w:r w:rsidRPr="00C74D34">
        <w:t>Transource</w:t>
      </w:r>
      <w:proofErr w:type="spellEnd"/>
      <w:r w:rsidRPr="00C74D34">
        <w:t xml:space="preserve"> relied upon the PJM </w:t>
      </w:r>
      <w:r w:rsidR="0027262E" w:rsidRPr="00C74D34">
        <w:t xml:space="preserve">evaluation </w:t>
      </w:r>
      <w:r w:rsidR="00C553F5" w:rsidRPr="00C74D34">
        <w:t xml:space="preserve">of </w:t>
      </w:r>
      <w:r w:rsidR="0027262E" w:rsidRPr="00C74D34">
        <w:t xml:space="preserve">the benefit-cost ratio to establish the </w:t>
      </w:r>
      <w:r w:rsidR="00BC355C" w:rsidRPr="00C74D34">
        <w:t>P</w:t>
      </w:r>
      <w:r w:rsidR="0027262E" w:rsidRPr="00C74D34">
        <w:t xml:space="preserve">roject’s continued efficacy. </w:t>
      </w:r>
      <w:r w:rsidR="00C553F5" w:rsidRPr="00C74D34">
        <w:t xml:space="preserve"> </w:t>
      </w:r>
      <w:r w:rsidR="000F127C" w:rsidRPr="00C74D34">
        <w:t>The ALJ noted that t</w:t>
      </w:r>
      <w:r w:rsidR="00454678" w:rsidRPr="00C74D34">
        <w:t xml:space="preserve">he </w:t>
      </w:r>
      <w:r w:rsidR="004D3E83" w:rsidRPr="00C74D34">
        <w:t>o</w:t>
      </w:r>
      <w:r w:rsidR="00454678" w:rsidRPr="00C74D34">
        <w:t xml:space="preserve">pposing </w:t>
      </w:r>
      <w:r w:rsidR="00BC355C" w:rsidRPr="00C74D34">
        <w:t>P</w:t>
      </w:r>
      <w:r w:rsidR="00454678" w:rsidRPr="00C74D34">
        <w:t xml:space="preserve">arties likewise argued that </w:t>
      </w:r>
      <w:r w:rsidR="00FF67AB" w:rsidRPr="00C74D34">
        <w:t>PJM</w:t>
      </w:r>
      <w:r w:rsidR="00454678" w:rsidRPr="00C74D34">
        <w:t>’s</w:t>
      </w:r>
      <w:r w:rsidR="00FF67AB" w:rsidRPr="00C74D34">
        <w:t xml:space="preserve"> </w:t>
      </w:r>
      <w:r w:rsidR="004D3E83" w:rsidRPr="00C74D34">
        <w:t xml:space="preserve">methodology </w:t>
      </w:r>
      <w:r w:rsidR="00FF67AB" w:rsidRPr="00C74D34">
        <w:t xml:space="preserve">for </w:t>
      </w:r>
      <w:r w:rsidR="00454678" w:rsidRPr="00C74D34">
        <w:t>e</w:t>
      </w:r>
      <w:r w:rsidR="00FF67AB" w:rsidRPr="00C74D34">
        <w:t xml:space="preserve">valuating the </w:t>
      </w:r>
      <w:r w:rsidR="00454678" w:rsidRPr="00C74D34">
        <w:t xml:space="preserve">benefit-cost </w:t>
      </w:r>
      <w:r w:rsidR="00A41BE7" w:rsidRPr="00C74D34">
        <w:t>ratio of a given project, inc</w:t>
      </w:r>
      <w:r w:rsidR="00A96B43" w:rsidRPr="00C74D34">
        <w:t>l</w:t>
      </w:r>
      <w:r w:rsidR="00A41BE7" w:rsidRPr="00C74D34">
        <w:t xml:space="preserve">uding </w:t>
      </w:r>
      <w:r w:rsidR="00A96B43" w:rsidRPr="00C74D34">
        <w:t xml:space="preserve">Project </w:t>
      </w:r>
      <w:r w:rsidR="00A41BE7" w:rsidRPr="00C74D34">
        <w:t xml:space="preserve">9A, was flawed for </w:t>
      </w:r>
      <w:r w:rsidR="00BC355C" w:rsidRPr="00C74D34">
        <w:t xml:space="preserve">the </w:t>
      </w:r>
      <w:r w:rsidR="00A41BE7" w:rsidRPr="00C74D34">
        <w:t xml:space="preserve">purposes of Pennsylvania </w:t>
      </w:r>
      <w:r w:rsidR="006C7E88" w:rsidRPr="00C74D34">
        <w:t xml:space="preserve">needs, since those criteria and calculation expressly discounted any negative impact to the </w:t>
      </w:r>
      <w:r w:rsidR="004B18E1" w:rsidRPr="00C74D34">
        <w:t xml:space="preserve">rates of the Pennsylvania consumers and did not factor in any negative </w:t>
      </w:r>
      <w:r w:rsidR="004D3E83" w:rsidRPr="00C74D34">
        <w:t xml:space="preserve">environmental impact. </w:t>
      </w:r>
      <w:r w:rsidR="00C7100E" w:rsidRPr="00C74D34">
        <w:t xml:space="preserve"> </w:t>
      </w:r>
      <w:r w:rsidR="00B4081A" w:rsidRPr="00C74D34">
        <w:t xml:space="preserve">R.D. at </w:t>
      </w:r>
      <w:r w:rsidR="00F10D4F" w:rsidRPr="00C74D34">
        <w:t>98-103</w:t>
      </w:r>
      <w:r w:rsidR="00B4081A" w:rsidRPr="00C74D34">
        <w:t>.</w:t>
      </w:r>
    </w:p>
    <w:p w14:paraId="0DADEFF4" w14:textId="77777777" w:rsidR="00226E24" w:rsidRPr="00C74D34" w:rsidRDefault="00226E24" w:rsidP="002D03FA">
      <w:pPr>
        <w:pStyle w:val="TOCH4"/>
        <w:numPr>
          <w:ilvl w:val="0"/>
          <w:numId w:val="0"/>
        </w:numPr>
        <w:ind w:firstLine="1440"/>
        <w:jc w:val="left"/>
        <w:outlineLvl w:val="9"/>
        <w:rPr>
          <w:b w:val="0"/>
          <w:bCs/>
        </w:rPr>
      </w:pPr>
    </w:p>
    <w:p w14:paraId="7801EECB" w14:textId="68D45871" w:rsidR="004C3919" w:rsidRPr="00C74D34" w:rsidRDefault="000F127C" w:rsidP="002D03FA">
      <w:pPr>
        <w:ind w:firstLine="1440"/>
      </w:pPr>
      <w:r w:rsidRPr="00C74D34">
        <w:t>Finally, t</w:t>
      </w:r>
      <w:r w:rsidR="006623B5" w:rsidRPr="00C74D34">
        <w:t>he ALJ also considered t</w:t>
      </w:r>
      <w:r w:rsidR="00C7100E" w:rsidRPr="00C74D34">
        <w:t xml:space="preserve">he opposing </w:t>
      </w:r>
      <w:r w:rsidR="00BC355C" w:rsidRPr="00C74D34">
        <w:t>P</w:t>
      </w:r>
      <w:r w:rsidR="00C7100E" w:rsidRPr="00C74D34">
        <w:t>arties</w:t>
      </w:r>
      <w:r w:rsidR="004C3919" w:rsidRPr="00C74D34">
        <w:t>’</w:t>
      </w:r>
      <w:r w:rsidR="00C7100E" w:rsidRPr="00C74D34">
        <w:t xml:space="preserve"> </w:t>
      </w:r>
      <w:r w:rsidR="004C3919" w:rsidRPr="00C74D34">
        <w:t xml:space="preserve">arguments </w:t>
      </w:r>
      <w:r w:rsidR="00C7100E" w:rsidRPr="00C74D34">
        <w:t>that</w:t>
      </w:r>
      <w:r w:rsidR="00226E24" w:rsidRPr="00C74D34">
        <w:t xml:space="preserve"> the ALJ should disregard </w:t>
      </w:r>
      <w:proofErr w:type="spellStart"/>
      <w:r w:rsidR="00226E24" w:rsidRPr="00C74D34">
        <w:t>Transource’s</w:t>
      </w:r>
      <w:proofErr w:type="spellEnd"/>
      <w:r w:rsidR="00226E24" w:rsidRPr="00C74D34">
        <w:t xml:space="preserve"> late-asserted </w:t>
      </w:r>
      <w:r w:rsidR="00F62E66" w:rsidRPr="00C74D34">
        <w:t xml:space="preserve">potential </w:t>
      </w:r>
      <w:r w:rsidR="00226E24" w:rsidRPr="00C74D34">
        <w:t>reliability vio</w:t>
      </w:r>
      <w:r w:rsidR="00F62E66" w:rsidRPr="00C74D34">
        <w:t xml:space="preserve">lations as a basis to determine “need” </w:t>
      </w:r>
      <w:r w:rsidR="002938AC" w:rsidRPr="00C74D34">
        <w:t>under</w:t>
      </w:r>
      <w:r w:rsidR="00F62E66" w:rsidRPr="00C74D34">
        <w:t xml:space="preserve"> 52. Pa. Code §57.76(a)</w:t>
      </w:r>
      <w:r w:rsidR="00F10D4F" w:rsidRPr="00C74D34">
        <w:t>(</w:t>
      </w:r>
      <w:r w:rsidR="00F62E66" w:rsidRPr="00C74D34">
        <w:t>1) because</w:t>
      </w:r>
      <w:r w:rsidR="002A7D87" w:rsidRPr="00C74D34">
        <w:t xml:space="preserve">: </w:t>
      </w:r>
      <w:r w:rsidR="00174484" w:rsidRPr="00C74D34">
        <w:t xml:space="preserve"> </w:t>
      </w:r>
      <w:r w:rsidR="002A7D87" w:rsidRPr="00C74D34">
        <w:t>(1)</w:t>
      </w:r>
      <w:r w:rsidR="00F62E66" w:rsidRPr="00C74D34">
        <w:t xml:space="preserve"> the </w:t>
      </w:r>
      <w:r w:rsidR="00DB60EB" w:rsidRPr="00C74D34">
        <w:t xml:space="preserve">reliability </w:t>
      </w:r>
      <w:r w:rsidR="00DB60EB" w:rsidRPr="00C74D34">
        <w:lastRenderedPageBreak/>
        <w:t xml:space="preserve">violations were not </w:t>
      </w:r>
      <w:r w:rsidR="00200349" w:rsidRPr="00C74D34">
        <w:t xml:space="preserve">a driver for </w:t>
      </w:r>
      <w:r w:rsidR="005F412A" w:rsidRPr="00C74D34">
        <w:t>Project 9A (</w:t>
      </w:r>
      <w:r w:rsidR="005F412A" w:rsidRPr="00C74D34">
        <w:rPr>
          <w:i/>
          <w:iCs/>
        </w:rPr>
        <w:t>i.e</w:t>
      </w:r>
      <w:r w:rsidR="005F412A" w:rsidRPr="00C74D34">
        <w:t xml:space="preserve">., they were not </w:t>
      </w:r>
      <w:r w:rsidR="00DB60EB" w:rsidRPr="00C74D34">
        <w:t xml:space="preserve">a stated basis for the need for the project when </w:t>
      </w:r>
      <w:proofErr w:type="spellStart"/>
      <w:r w:rsidR="00DB60EB" w:rsidRPr="00C74D34">
        <w:t>Transource</w:t>
      </w:r>
      <w:proofErr w:type="spellEnd"/>
      <w:r w:rsidR="00200349" w:rsidRPr="00C74D34">
        <w:t xml:space="preserve"> originally filed the siting Applications</w:t>
      </w:r>
      <w:r w:rsidR="005F412A" w:rsidRPr="00C74D34">
        <w:t>)</w:t>
      </w:r>
      <w:r w:rsidR="005564B4" w:rsidRPr="00C74D34">
        <w:t xml:space="preserve">; </w:t>
      </w:r>
      <w:r w:rsidR="002A7D87" w:rsidRPr="00C74D34">
        <w:t>(2)</w:t>
      </w:r>
      <w:r w:rsidR="005564B4" w:rsidRPr="00C74D34">
        <w:t xml:space="preserve"> the reliability violations were not based on a full range of reliability testing available to PJM; </w:t>
      </w:r>
      <w:r w:rsidR="002A7D87" w:rsidRPr="00C74D34">
        <w:t>and (3)</w:t>
      </w:r>
      <w:r w:rsidR="00A576BC">
        <w:t> </w:t>
      </w:r>
      <w:r w:rsidR="00F86771" w:rsidRPr="00C74D34">
        <w:t>the reliability testing was conducted a single time in 2018 and never conducted as a follow up to confirm the results</w:t>
      </w:r>
      <w:r w:rsidR="006623B5" w:rsidRPr="00C74D34">
        <w:t xml:space="preserve">, although the ability to do so </w:t>
      </w:r>
      <w:r w:rsidR="004C3919" w:rsidRPr="00C74D34">
        <w:t>existed</w:t>
      </w:r>
      <w:r w:rsidR="00F86771" w:rsidRPr="00C74D34">
        <w:t>.</w:t>
      </w:r>
      <w:r w:rsidR="00B11342" w:rsidRPr="00C74D34">
        <w:t xml:space="preserve"> </w:t>
      </w:r>
      <w:r w:rsidR="00B4081A" w:rsidRPr="00C74D34">
        <w:t xml:space="preserve"> R.D. at </w:t>
      </w:r>
      <w:r w:rsidR="00F10D4F" w:rsidRPr="00C74D34">
        <w:t>83-84</w:t>
      </w:r>
      <w:r w:rsidR="00B4081A" w:rsidRPr="00C74D34">
        <w:t>.</w:t>
      </w:r>
    </w:p>
    <w:p w14:paraId="2F13A726" w14:textId="20001EAB" w:rsidR="009D37FD" w:rsidRPr="00C74D34" w:rsidRDefault="009D37FD" w:rsidP="002D03FA">
      <w:pPr>
        <w:ind w:firstLine="1440"/>
      </w:pPr>
    </w:p>
    <w:p w14:paraId="3FA552FF" w14:textId="1E4D4663" w:rsidR="009D37FD" w:rsidRPr="00C74D34" w:rsidRDefault="009D37FD" w:rsidP="002D03FA">
      <w:pPr>
        <w:ind w:firstLine="1440"/>
      </w:pPr>
      <w:r w:rsidRPr="00C74D34">
        <w:rPr>
          <w:szCs w:val="26"/>
        </w:rPr>
        <w:t xml:space="preserve">Viewing the evidence, the ALJ was not persuaded that </w:t>
      </w:r>
      <w:proofErr w:type="spellStart"/>
      <w:r w:rsidRPr="00C74D34">
        <w:rPr>
          <w:szCs w:val="26"/>
        </w:rPr>
        <w:t>Transource</w:t>
      </w:r>
      <w:proofErr w:type="spellEnd"/>
      <w:r w:rsidRPr="00C74D34">
        <w:rPr>
          <w:szCs w:val="26"/>
        </w:rPr>
        <w:t xml:space="preserve"> had carried the burden by a preponderance of the evidence to establish need.  The ALJ found the opposing </w:t>
      </w:r>
      <w:r w:rsidR="00BC355C" w:rsidRPr="00C74D34">
        <w:rPr>
          <w:szCs w:val="26"/>
        </w:rPr>
        <w:t>P</w:t>
      </w:r>
      <w:r w:rsidRPr="00C74D34">
        <w:rPr>
          <w:szCs w:val="26"/>
        </w:rPr>
        <w:t xml:space="preserve">arties’ arguments more persuasive that the data relied upon by PJM to determine the need to alleviate congestion on the AP South </w:t>
      </w:r>
      <w:r w:rsidR="00BC355C" w:rsidRPr="00C74D34">
        <w:rPr>
          <w:szCs w:val="26"/>
        </w:rPr>
        <w:t xml:space="preserve">Reactive </w:t>
      </w:r>
      <w:r w:rsidRPr="00C74D34">
        <w:rPr>
          <w:szCs w:val="26"/>
        </w:rPr>
        <w:t xml:space="preserve">Interface was not reliable enough to form the basis of “need” for Project 9A, where PJM’s own data reflected substantial fluctuations in congestion, and a marked decline in congestion on the AP South </w:t>
      </w:r>
      <w:r w:rsidR="00820247" w:rsidRPr="00C74D34">
        <w:rPr>
          <w:szCs w:val="26"/>
        </w:rPr>
        <w:t xml:space="preserve">Reactive </w:t>
      </w:r>
      <w:r w:rsidRPr="00C74D34">
        <w:rPr>
          <w:szCs w:val="26"/>
        </w:rPr>
        <w:t xml:space="preserve">Interface when viewed over a period of years.  The ALJ found </w:t>
      </w:r>
      <w:proofErr w:type="spellStart"/>
      <w:r w:rsidRPr="00C74D34">
        <w:rPr>
          <w:szCs w:val="26"/>
        </w:rPr>
        <w:t>Transource’s</w:t>
      </w:r>
      <w:proofErr w:type="spellEnd"/>
      <w:r w:rsidRPr="00C74D34">
        <w:rPr>
          <w:szCs w:val="26"/>
        </w:rPr>
        <w:t xml:space="preserve"> argument to be unpersuasive that the additional benefits to Pennsylvania based on the late-asserted alleviation of reliability violations weighed in favor of finding need.  The ALJ also concluded that </w:t>
      </w:r>
      <w:proofErr w:type="spellStart"/>
      <w:r w:rsidRPr="00C74D34">
        <w:rPr>
          <w:szCs w:val="26"/>
        </w:rPr>
        <w:t>Transource’s</w:t>
      </w:r>
      <w:proofErr w:type="spellEnd"/>
      <w:r w:rsidRPr="00C74D34">
        <w:rPr>
          <w:szCs w:val="26"/>
        </w:rPr>
        <w:t xml:space="preserve"> additional asserted basis for the need for Project 9A</w:t>
      </w:r>
      <w:r w:rsidR="00820247" w:rsidRPr="00C74D34">
        <w:rPr>
          <w:szCs w:val="26"/>
        </w:rPr>
        <w:t>,</w:t>
      </w:r>
      <w:r w:rsidRPr="00C74D34">
        <w:rPr>
          <w:szCs w:val="26"/>
        </w:rPr>
        <w:t xml:space="preserve"> to include “alleviation of other related constraints,” did not weigh in favor of finding need, where the </w:t>
      </w:r>
      <w:r w:rsidR="00820247" w:rsidRPr="00C74D34">
        <w:rPr>
          <w:szCs w:val="26"/>
        </w:rPr>
        <w:t xml:space="preserve">basis </w:t>
      </w:r>
      <w:r w:rsidRPr="00C74D34">
        <w:rPr>
          <w:szCs w:val="26"/>
        </w:rPr>
        <w:t xml:space="preserve">for Project 9A has always been and remains, for the purpose of alleviating of economic congestion on the AP South </w:t>
      </w:r>
      <w:r w:rsidR="00820247" w:rsidRPr="00C74D34">
        <w:rPr>
          <w:szCs w:val="26"/>
        </w:rPr>
        <w:t xml:space="preserve">Reactive </w:t>
      </w:r>
      <w:r w:rsidRPr="00C74D34">
        <w:rPr>
          <w:szCs w:val="26"/>
        </w:rPr>
        <w:t>Interface.  R.D.</w:t>
      </w:r>
      <w:r w:rsidR="00A576BC">
        <w:rPr>
          <w:szCs w:val="26"/>
        </w:rPr>
        <w:t> </w:t>
      </w:r>
      <w:r w:rsidRPr="00C74D34">
        <w:rPr>
          <w:szCs w:val="26"/>
        </w:rPr>
        <w:t>at 80</w:t>
      </w:r>
      <w:r w:rsidR="00160F5C" w:rsidRPr="00C74D34">
        <w:rPr>
          <w:szCs w:val="26"/>
        </w:rPr>
        <w:noBreakHyphen/>
      </w:r>
      <w:r w:rsidRPr="00C74D34">
        <w:rPr>
          <w:szCs w:val="26"/>
        </w:rPr>
        <w:t>103.</w:t>
      </w:r>
    </w:p>
    <w:p w14:paraId="15B7C88A" w14:textId="639CA332" w:rsidR="00FC4A11" w:rsidRPr="00C74D34" w:rsidRDefault="00FC4A11" w:rsidP="002D03FA"/>
    <w:p w14:paraId="219964E1" w14:textId="46951359" w:rsidR="00F962F1" w:rsidRPr="00C74D34" w:rsidRDefault="00F962F1" w:rsidP="002D03FA">
      <w:pPr>
        <w:pStyle w:val="TOCH4"/>
        <w:keepNext/>
      </w:pPr>
      <w:bookmarkStart w:id="36" w:name="_Toc70516614"/>
      <w:r w:rsidRPr="00C74D34">
        <w:t>Exceptions and Repl</w:t>
      </w:r>
      <w:r w:rsidR="00A96F4A" w:rsidRPr="00C74D34">
        <w:t>i</w:t>
      </w:r>
      <w:r w:rsidRPr="00C74D34">
        <w:t>es</w:t>
      </w:r>
      <w:bookmarkEnd w:id="36"/>
    </w:p>
    <w:p w14:paraId="60142688" w14:textId="245170CB" w:rsidR="00FC4A11" w:rsidRPr="00C74D34" w:rsidRDefault="00FC4A11" w:rsidP="002D03FA">
      <w:pPr>
        <w:keepNext/>
      </w:pPr>
    </w:p>
    <w:p w14:paraId="7D590C70" w14:textId="15920F32" w:rsidR="00E15080" w:rsidRPr="00C74D34" w:rsidRDefault="003B6519" w:rsidP="002D03FA">
      <w:pPr>
        <w:keepNext/>
        <w:ind w:firstLine="1440"/>
      </w:pPr>
      <w:r w:rsidRPr="00C74D34">
        <w:t xml:space="preserve">In </w:t>
      </w:r>
      <w:r w:rsidR="006F3343" w:rsidRPr="00C74D34">
        <w:t xml:space="preserve">its </w:t>
      </w:r>
      <w:r w:rsidR="00E61CDE" w:rsidRPr="00C74D34">
        <w:t>E</w:t>
      </w:r>
      <w:r w:rsidR="006F3343" w:rsidRPr="00C74D34">
        <w:t xml:space="preserve">xception No. 1, </w:t>
      </w:r>
      <w:proofErr w:type="spellStart"/>
      <w:r w:rsidR="006F3343" w:rsidRPr="00C74D34">
        <w:t>Transource</w:t>
      </w:r>
      <w:proofErr w:type="spellEnd"/>
      <w:r w:rsidR="006F3343" w:rsidRPr="00C74D34">
        <w:t xml:space="preserve"> asserts that the ALJ erred by conclu</w:t>
      </w:r>
      <w:r w:rsidRPr="00C74D34">
        <w:t xml:space="preserve">ding that </w:t>
      </w:r>
      <w:proofErr w:type="spellStart"/>
      <w:r w:rsidRPr="00C74D34">
        <w:t>Transource</w:t>
      </w:r>
      <w:proofErr w:type="spellEnd"/>
      <w:r w:rsidRPr="00C74D34">
        <w:t xml:space="preserve"> failed to carry the burden of persuasion to establish need for the proposed siting Applications, pursuant to Commission authority under Section 1501 of the Code and Commission Regulation at 52 Pa. Code Section 57.76(a)(1), by a preponderance of the evidence.  </w:t>
      </w:r>
      <w:proofErr w:type="spellStart"/>
      <w:r w:rsidR="003524C6" w:rsidRPr="00C74D34">
        <w:t>T</w:t>
      </w:r>
      <w:r w:rsidR="00876DC3" w:rsidRPr="00C74D34">
        <w:t>r</w:t>
      </w:r>
      <w:r w:rsidR="003524C6" w:rsidRPr="00C74D34">
        <w:t>ansource</w:t>
      </w:r>
      <w:proofErr w:type="spellEnd"/>
      <w:r w:rsidR="003524C6" w:rsidRPr="00C74D34">
        <w:t xml:space="preserve"> sets forth </w:t>
      </w:r>
      <w:r w:rsidR="00022D03" w:rsidRPr="00C74D34">
        <w:t>twelve</w:t>
      </w:r>
      <w:r w:rsidR="00343369" w:rsidRPr="00C74D34">
        <w:t xml:space="preserve"> </w:t>
      </w:r>
      <w:r w:rsidR="00022D03" w:rsidRPr="00C74D34">
        <w:t xml:space="preserve">(12) </w:t>
      </w:r>
      <w:r w:rsidR="00343369" w:rsidRPr="00C74D34">
        <w:t>separate allegation</w:t>
      </w:r>
      <w:r w:rsidR="00876DC3" w:rsidRPr="00C74D34">
        <w:t>s</w:t>
      </w:r>
      <w:r w:rsidR="00343369" w:rsidRPr="00C74D34">
        <w:t xml:space="preserve"> of </w:t>
      </w:r>
      <w:r w:rsidR="00876DC3" w:rsidRPr="00C74D34">
        <w:t xml:space="preserve">reversible </w:t>
      </w:r>
      <w:r w:rsidR="00343369" w:rsidRPr="00C74D34">
        <w:t xml:space="preserve">error </w:t>
      </w:r>
      <w:r w:rsidR="003524C6" w:rsidRPr="00C74D34">
        <w:t>in the Exception</w:t>
      </w:r>
      <w:r w:rsidR="00176801" w:rsidRPr="00C74D34">
        <w:t xml:space="preserve">.  All of </w:t>
      </w:r>
      <w:proofErr w:type="spellStart"/>
      <w:r w:rsidRPr="00C74D34">
        <w:t>T</w:t>
      </w:r>
      <w:r w:rsidR="00862F71" w:rsidRPr="00C74D34">
        <w:t>r</w:t>
      </w:r>
      <w:r w:rsidRPr="00C74D34">
        <w:t>ansource’s</w:t>
      </w:r>
      <w:proofErr w:type="spellEnd"/>
      <w:r w:rsidRPr="00C74D34">
        <w:t xml:space="preserve"> </w:t>
      </w:r>
      <w:r w:rsidR="00862F71" w:rsidRPr="00C74D34">
        <w:t xml:space="preserve">arguments </w:t>
      </w:r>
      <w:r w:rsidR="002A471B" w:rsidRPr="00C74D34">
        <w:t xml:space="preserve">are predicated on </w:t>
      </w:r>
      <w:r w:rsidR="003524C6" w:rsidRPr="00C74D34">
        <w:t xml:space="preserve">three </w:t>
      </w:r>
      <w:r w:rsidR="00862F71" w:rsidRPr="00C74D34">
        <w:t xml:space="preserve">general </w:t>
      </w:r>
      <w:r w:rsidR="002A471B" w:rsidRPr="00C74D34">
        <w:t>grounds</w:t>
      </w:r>
      <w:r w:rsidR="007F634C" w:rsidRPr="00C74D34">
        <w:t xml:space="preserve">, </w:t>
      </w:r>
      <w:r w:rsidR="007F634C" w:rsidRPr="00C74D34">
        <w:lastRenderedPageBreak/>
        <w:t>including that</w:t>
      </w:r>
      <w:r w:rsidR="00862F71" w:rsidRPr="00C74D34">
        <w:t>:</w:t>
      </w:r>
      <w:r w:rsidR="00174484" w:rsidRPr="00C74D34">
        <w:t xml:space="preserve"> </w:t>
      </w:r>
      <w:r w:rsidR="00862F71" w:rsidRPr="00C74D34">
        <w:t xml:space="preserve"> </w:t>
      </w:r>
      <w:r w:rsidR="00FF1D43" w:rsidRPr="00C74D34">
        <w:t>(</w:t>
      </w:r>
      <w:r w:rsidR="00862F71" w:rsidRPr="00C74D34">
        <w:t>1)</w:t>
      </w:r>
      <w:r w:rsidR="002A471B" w:rsidRPr="00C74D34">
        <w:t xml:space="preserve"> the PUC lacks </w:t>
      </w:r>
      <w:r w:rsidR="00042559" w:rsidRPr="00C74D34">
        <w:t xml:space="preserve">authority </w:t>
      </w:r>
      <w:r w:rsidR="002A471B" w:rsidRPr="00C74D34">
        <w:t xml:space="preserve">to </w:t>
      </w:r>
      <w:r w:rsidR="006874B1" w:rsidRPr="00C74D34">
        <w:t xml:space="preserve">render </w:t>
      </w:r>
      <w:r w:rsidR="00E01CC8" w:rsidRPr="00C74D34">
        <w:t>an independent determination of “need” under Section 1501 of the</w:t>
      </w:r>
      <w:r w:rsidR="00874218" w:rsidRPr="00C74D34">
        <w:t xml:space="preserve"> Code and Commission Regulation at 52 Pa. Code §</w:t>
      </w:r>
      <w:r w:rsidR="00A576BC">
        <w:t> </w:t>
      </w:r>
      <w:r w:rsidR="00874218" w:rsidRPr="00C74D34">
        <w:t>57.76(a)</w:t>
      </w:r>
      <w:r w:rsidR="00524E4E" w:rsidRPr="00C74D34">
        <w:t>(</w:t>
      </w:r>
      <w:r w:rsidR="00874218" w:rsidRPr="00C74D34">
        <w:t xml:space="preserve">1) </w:t>
      </w:r>
      <w:r w:rsidR="00524E4E" w:rsidRPr="00C74D34">
        <w:t xml:space="preserve">from </w:t>
      </w:r>
      <w:r w:rsidR="00656F98" w:rsidRPr="00C74D34">
        <w:t>PJM’s determination of “need” fo</w:t>
      </w:r>
      <w:r w:rsidR="00321F6B" w:rsidRPr="00C74D34">
        <w:t>r</w:t>
      </w:r>
      <w:r w:rsidR="00656F98" w:rsidRPr="00C74D34">
        <w:t xml:space="preserve"> project 9A</w:t>
      </w:r>
      <w:r w:rsidR="00524E4E" w:rsidRPr="00C74D34">
        <w:t>, pursu</w:t>
      </w:r>
      <w:r w:rsidR="003B496C" w:rsidRPr="00C74D34">
        <w:t>ant the PJ</w:t>
      </w:r>
      <w:r w:rsidR="008A7F6E" w:rsidRPr="00C74D34">
        <w:t>M</w:t>
      </w:r>
      <w:r w:rsidR="003B496C" w:rsidRPr="00C74D34">
        <w:t xml:space="preserve">’s </w:t>
      </w:r>
      <w:r w:rsidR="008A7F6E" w:rsidRPr="00C74D34">
        <w:t>f</w:t>
      </w:r>
      <w:r w:rsidR="003B496C" w:rsidRPr="00C74D34">
        <w:t xml:space="preserve">ederal </w:t>
      </w:r>
      <w:r w:rsidR="008A7F6E" w:rsidRPr="00C74D34">
        <w:t>r</w:t>
      </w:r>
      <w:r w:rsidR="003B496C" w:rsidRPr="00C74D34">
        <w:t xml:space="preserve">egional </w:t>
      </w:r>
      <w:r w:rsidR="008A7F6E" w:rsidRPr="00C74D34">
        <w:t>t</w:t>
      </w:r>
      <w:r w:rsidR="003B496C" w:rsidRPr="00C74D34">
        <w:t xml:space="preserve">ransmission planning authority conferred </w:t>
      </w:r>
      <w:r w:rsidR="007D2974" w:rsidRPr="00C74D34">
        <w:t xml:space="preserve">on PJM pursuant to </w:t>
      </w:r>
      <w:r w:rsidR="003B496C" w:rsidRPr="00C74D34">
        <w:t>FERC Rule 1000</w:t>
      </w:r>
      <w:r w:rsidR="00174484" w:rsidRPr="00C74D34">
        <w:t xml:space="preserve">; </w:t>
      </w:r>
      <w:r w:rsidR="00FF1D43" w:rsidRPr="00C74D34">
        <w:t>(</w:t>
      </w:r>
      <w:r w:rsidR="00886A6B" w:rsidRPr="00C74D34">
        <w:t>2</w:t>
      </w:r>
      <w:r w:rsidR="001D0798" w:rsidRPr="00C74D34">
        <w:t xml:space="preserve">) </w:t>
      </w:r>
      <w:r w:rsidR="005E626C" w:rsidRPr="00C74D34">
        <w:t>the ALJ</w:t>
      </w:r>
      <w:r w:rsidR="002E3CED" w:rsidRPr="00C74D34">
        <w:t xml:space="preserve"> improperly weighed the </w:t>
      </w:r>
      <w:r w:rsidR="0083573C" w:rsidRPr="00C74D34">
        <w:t>evidence</w:t>
      </w:r>
      <w:r w:rsidR="002163A3" w:rsidRPr="00C74D34">
        <w:t xml:space="preserve"> presented</w:t>
      </w:r>
      <w:r w:rsidR="0083573C" w:rsidRPr="00C74D34">
        <w:t>; and</w:t>
      </w:r>
      <w:r w:rsidR="00A51C6B" w:rsidRPr="00C74D34">
        <w:t>,</w:t>
      </w:r>
      <w:r w:rsidR="0083573C" w:rsidRPr="00C74D34">
        <w:t xml:space="preserve"> </w:t>
      </w:r>
      <w:r w:rsidR="00FF1D43" w:rsidRPr="00C74D34">
        <w:t>(</w:t>
      </w:r>
      <w:r w:rsidR="0083573C" w:rsidRPr="00C74D34">
        <w:t>3)</w:t>
      </w:r>
      <w:r w:rsidR="00656F98" w:rsidRPr="00C74D34">
        <w:t xml:space="preserve"> </w:t>
      </w:r>
      <w:r w:rsidR="0061100B" w:rsidRPr="00C74D34">
        <w:t>the ALJ</w:t>
      </w:r>
      <w:r w:rsidR="00BB579B" w:rsidRPr="00C74D34">
        <w:t xml:space="preserve">’s analysis </w:t>
      </w:r>
      <w:r w:rsidR="0061100B" w:rsidRPr="00C74D34">
        <w:t>fundamentally misapprehends</w:t>
      </w:r>
      <w:r w:rsidR="008B01BD" w:rsidRPr="00C74D34">
        <w:t xml:space="preserve"> the state v</w:t>
      </w:r>
      <w:r w:rsidR="00E30676" w:rsidRPr="00C74D34">
        <w:t xml:space="preserve">ersus </w:t>
      </w:r>
      <w:r w:rsidR="008B01BD" w:rsidRPr="00C74D34">
        <w:t>federal role</w:t>
      </w:r>
      <w:r w:rsidR="00E30676" w:rsidRPr="00C74D34">
        <w:t>s</w:t>
      </w:r>
      <w:r w:rsidR="008B01BD" w:rsidRPr="00C74D34">
        <w:t xml:space="preserve"> </w:t>
      </w:r>
      <w:r w:rsidR="00997521" w:rsidRPr="00C74D34">
        <w:t xml:space="preserve">in </w:t>
      </w:r>
      <w:r w:rsidR="0061100B" w:rsidRPr="00C74D34">
        <w:t xml:space="preserve">the </w:t>
      </w:r>
      <w:r w:rsidR="00366F30" w:rsidRPr="00C74D34">
        <w:t xml:space="preserve">need for and nature of regional transmission planning.  </w:t>
      </w:r>
      <w:proofErr w:type="spellStart"/>
      <w:r w:rsidR="001E54C0" w:rsidRPr="00C74D34">
        <w:t>Transource</w:t>
      </w:r>
      <w:proofErr w:type="spellEnd"/>
      <w:r w:rsidR="001E54C0" w:rsidRPr="00C74D34">
        <w:t xml:space="preserve"> Exc. at </w:t>
      </w:r>
      <w:r w:rsidR="00C502F2" w:rsidRPr="00C74D34">
        <w:t>7-31</w:t>
      </w:r>
      <w:r w:rsidR="00876DC3" w:rsidRPr="00C74D34">
        <w:t>.</w:t>
      </w:r>
    </w:p>
    <w:p w14:paraId="1ED9B12D" w14:textId="206EE0EB" w:rsidR="00947EA8" w:rsidRPr="00C74D34" w:rsidRDefault="00947EA8" w:rsidP="002D03FA">
      <w:pPr>
        <w:pStyle w:val="TOCH4"/>
        <w:numPr>
          <w:ilvl w:val="0"/>
          <w:numId w:val="0"/>
        </w:numPr>
        <w:ind w:firstLine="1440"/>
        <w:jc w:val="left"/>
        <w:outlineLvl w:val="9"/>
        <w:rPr>
          <w:b w:val="0"/>
          <w:bCs/>
        </w:rPr>
      </w:pPr>
    </w:p>
    <w:p w14:paraId="78027A6F" w14:textId="689E60EF" w:rsidR="009A6935" w:rsidRPr="00C74D34" w:rsidRDefault="00947EA8" w:rsidP="002D03FA">
      <w:pPr>
        <w:ind w:firstLine="1440"/>
        <w:rPr>
          <w:highlight w:val="magenta"/>
        </w:rPr>
      </w:pPr>
      <w:r w:rsidRPr="00C74D34">
        <w:t xml:space="preserve">Specifically, </w:t>
      </w:r>
      <w:proofErr w:type="spellStart"/>
      <w:r w:rsidRPr="00C74D34">
        <w:t>Transource’s</w:t>
      </w:r>
      <w:proofErr w:type="spellEnd"/>
      <w:r w:rsidRPr="00C74D34">
        <w:t xml:space="preserve"> assertions </w:t>
      </w:r>
      <w:r w:rsidR="008D3F97" w:rsidRPr="00C74D34">
        <w:t>based on the premise t</w:t>
      </w:r>
      <w:r w:rsidR="00DE1716" w:rsidRPr="00C74D34">
        <w:t xml:space="preserve">hat federal </w:t>
      </w:r>
      <w:r w:rsidR="009D4243" w:rsidRPr="00C74D34">
        <w:t>jurisdiction controls questions of need for state approval of the PJM-approved regional transmission project include</w:t>
      </w:r>
      <w:r w:rsidRPr="00C74D34">
        <w:t>:</w:t>
      </w:r>
      <w:r w:rsidR="00174484" w:rsidRPr="00C74D34">
        <w:t xml:space="preserve">  </w:t>
      </w:r>
      <w:r w:rsidR="00887041" w:rsidRPr="00C74D34">
        <w:t>(1)</w:t>
      </w:r>
      <w:r w:rsidRPr="00C74D34">
        <w:t xml:space="preserve"> </w:t>
      </w:r>
      <w:r w:rsidR="002479CD" w:rsidRPr="00C74D34">
        <w:t xml:space="preserve">that </w:t>
      </w:r>
      <w:proofErr w:type="spellStart"/>
      <w:r w:rsidR="003C03D4" w:rsidRPr="00C74D34">
        <w:t>Transource</w:t>
      </w:r>
      <w:proofErr w:type="spellEnd"/>
      <w:r w:rsidR="003C03D4" w:rsidRPr="00C74D34">
        <w:t xml:space="preserve"> has d</w:t>
      </w:r>
      <w:r w:rsidR="00DA4443" w:rsidRPr="00C74D34">
        <w:t xml:space="preserve">emonstrated </w:t>
      </w:r>
      <w:r w:rsidR="003C03D4" w:rsidRPr="00C74D34">
        <w:t xml:space="preserve">“need” </w:t>
      </w:r>
      <w:r w:rsidR="007658E0" w:rsidRPr="00C74D34">
        <w:t xml:space="preserve">to alleviate projected economic congestion and </w:t>
      </w:r>
      <w:r w:rsidR="006744EF" w:rsidRPr="00C74D34">
        <w:t xml:space="preserve">to prevent ancillary projected </w:t>
      </w:r>
      <w:r w:rsidR="007658E0" w:rsidRPr="00C74D34">
        <w:t>reliability v</w:t>
      </w:r>
      <w:r w:rsidR="006744EF" w:rsidRPr="00C74D34">
        <w:t>iolations</w:t>
      </w:r>
      <w:r w:rsidR="009F75D6" w:rsidRPr="00C74D34">
        <w:t xml:space="preserve">; </w:t>
      </w:r>
      <w:r w:rsidR="00887041" w:rsidRPr="00C74D34">
        <w:t xml:space="preserve">(2) </w:t>
      </w:r>
      <w:r w:rsidR="002479CD" w:rsidRPr="00C74D34">
        <w:t xml:space="preserve">that </w:t>
      </w:r>
      <w:r w:rsidR="00DA4443" w:rsidRPr="00C74D34">
        <w:t xml:space="preserve">the </w:t>
      </w:r>
      <w:r w:rsidR="00AA750A" w:rsidRPr="00C74D34">
        <w:t>R</w:t>
      </w:r>
      <w:r w:rsidR="00887041" w:rsidRPr="00C74D34">
        <w:t>ecommended Decision</w:t>
      </w:r>
      <w:r w:rsidR="00AA750A" w:rsidRPr="00C74D34">
        <w:t xml:space="preserve"> fails to consider FERC’s </w:t>
      </w:r>
      <w:r w:rsidR="00217F71" w:rsidRPr="00C74D34">
        <w:t xml:space="preserve">requirement for regional transmission planning in </w:t>
      </w:r>
      <w:r w:rsidR="00887041" w:rsidRPr="00C74D34">
        <w:t xml:space="preserve">FERC </w:t>
      </w:r>
      <w:r w:rsidR="00217F71" w:rsidRPr="00C74D34">
        <w:t>Order 1000</w:t>
      </w:r>
      <w:r w:rsidR="009F75D6" w:rsidRPr="00C74D34">
        <w:t xml:space="preserve">; </w:t>
      </w:r>
      <w:r w:rsidR="00887041" w:rsidRPr="00C74D34">
        <w:t xml:space="preserve">(3) </w:t>
      </w:r>
      <w:r w:rsidR="007A7BE8" w:rsidRPr="00C74D34">
        <w:t xml:space="preserve">that </w:t>
      </w:r>
      <w:r w:rsidR="000A76F9" w:rsidRPr="00C74D34">
        <w:t xml:space="preserve">the </w:t>
      </w:r>
      <w:r w:rsidR="001C766A" w:rsidRPr="00C74D34">
        <w:t>n</w:t>
      </w:r>
      <w:r w:rsidR="00217F71" w:rsidRPr="00C74D34">
        <w:t>eed f</w:t>
      </w:r>
      <w:r w:rsidR="00C40C07" w:rsidRPr="00C74D34">
        <w:t xml:space="preserve">rom a </w:t>
      </w:r>
      <w:r w:rsidR="00217F71" w:rsidRPr="00C74D34">
        <w:t xml:space="preserve">PJM </w:t>
      </w:r>
      <w:r w:rsidR="00C40C07" w:rsidRPr="00C74D34">
        <w:t xml:space="preserve">regional planning perspective is consistent with the standard for need under Pennsylvania </w:t>
      </w:r>
      <w:r w:rsidR="008615FF" w:rsidRPr="00C74D34">
        <w:t>l</w:t>
      </w:r>
      <w:r w:rsidR="00C40C07" w:rsidRPr="00C74D34">
        <w:t>aw</w:t>
      </w:r>
      <w:r w:rsidR="001C766A" w:rsidRPr="00C74D34">
        <w:t xml:space="preserve">; </w:t>
      </w:r>
      <w:r w:rsidR="00174484" w:rsidRPr="00C74D34">
        <w:t>(4)</w:t>
      </w:r>
      <w:r w:rsidR="00A576BC">
        <w:t> </w:t>
      </w:r>
      <w:r w:rsidR="000A76F9" w:rsidRPr="00C74D34">
        <w:t>that t</w:t>
      </w:r>
      <w:r w:rsidR="008615FF" w:rsidRPr="00C74D34">
        <w:t>he R</w:t>
      </w:r>
      <w:r w:rsidR="00887041" w:rsidRPr="00C74D34">
        <w:t>ecommended D</w:t>
      </w:r>
      <w:r w:rsidR="00174484" w:rsidRPr="00C74D34">
        <w:t>e</w:t>
      </w:r>
      <w:r w:rsidR="00887041" w:rsidRPr="00C74D34">
        <w:t>cision</w:t>
      </w:r>
      <w:r w:rsidR="008615FF" w:rsidRPr="00C74D34">
        <w:t xml:space="preserve"> fails to give proper weight to PJM’s regional planning authority</w:t>
      </w:r>
      <w:r w:rsidR="002263AF" w:rsidRPr="00C74D34">
        <w:t xml:space="preserve"> as directed by FERC Order 1000</w:t>
      </w:r>
      <w:r w:rsidR="001C766A" w:rsidRPr="00C74D34">
        <w:t>;</w:t>
      </w:r>
      <w:r w:rsidR="000A76F9" w:rsidRPr="00C74D34">
        <w:t xml:space="preserve"> </w:t>
      </w:r>
      <w:r w:rsidR="00887041" w:rsidRPr="00C74D34">
        <w:t xml:space="preserve">(5) </w:t>
      </w:r>
      <w:r w:rsidR="007A7BE8" w:rsidRPr="00C74D34">
        <w:t xml:space="preserve">that </w:t>
      </w:r>
      <w:r w:rsidR="000A76F9" w:rsidRPr="00C74D34">
        <w:t>th</w:t>
      </w:r>
      <w:r w:rsidR="00E557E4" w:rsidRPr="00C74D34">
        <w:t xml:space="preserve">e </w:t>
      </w:r>
      <w:r w:rsidR="00E50A87" w:rsidRPr="00C74D34">
        <w:t>R</w:t>
      </w:r>
      <w:r w:rsidR="00887041" w:rsidRPr="00C74D34">
        <w:t>ecommended Decision</w:t>
      </w:r>
      <w:r w:rsidR="00E50A87" w:rsidRPr="00C74D34">
        <w:t xml:space="preserve"> </w:t>
      </w:r>
      <w:r w:rsidR="00E557E4" w:rsidRPr="00C74D34">
        <w:t>improperly</w:t>
      </w:r>
      <w:r w:rsidR="00E50A87" w:rsidRPr="00C74D34">
        <w:t xml:space="preserve"> accepts </w:t>
      </w:r>
      <w:r w:rsidR="00887041" w:rsidRPr="00C74D34">
        <w:t xml:space="preserve">the </w:t>
      </w:r>
      <w:r w:rsidR="00E557E4" w:rsidRPr="00C74D34">
        <w:t xml:space="preserve">other </w:t>
      </w:r>
      <w:r w:rsidR="00BA16F2" w:rsidRPr="00C74D34">
        <w:t>P</w:t>
      </w:r>
      <w:r w:rsidR="00E557E4" w:rsidRPr="00C74D34">
        <w:t>arties’ speculation</w:t>
      </w:r>
      <w:r w:rsidR="0016771F" w:rsidRPr="00C74D34">
        <w:t xml:space="preserve"> and unsupported claims as credible evidence </w:t>
      </w:r>
      <w:r w:rsidR="00661248" w:rsidRPr="00C74D34">
        <w:t>over the expert opinion of</w:t>
      </w:r>
      <w:r w:rsidR="00851282" w:rsidRPr="00C74D34">
        <w:t xml:space="preserve"> </w:t>
      </w:r>
      <w:r w:rsidR="00661248" w:rsidRPr="00C74D34">
        <w:t>PJM witnesses</w:t>
      </w:r>
      <w:r w:rsidR="001C766A" w:rsidRPr="00C74D34">
        <w:t xml:space="preserve">; and </w:t>
      </w:r>
      <w:r w:rsidR="00887041" w:rsidRPr="00C74D34">
        <w:t xml:space="preserve">(6) </w:t>
      </w:r>
      <w:r w:rsidR="007A7BE8" w:rsidRPr="00C74D34">
        <w:t xml:space="preserve">that </w:t>
      </w:r>
      <w:r w:rsidR="00851282" w:rsidRPr="00C74D34">
        <w:t>t</w:t>
      </w:r>
      <w:r w:rsidR="00661248" w:rsidRPr="00C74D34">
        <w:t>he R</w:t>
      </w:r>
      <w:r w:rsidR="00887041" w:rsidRPr="00C74D34">
        <w:t>ecommended Decision</w:t>
      </w:r>
      <w:r w:rsidR="00A6554C" w:rsidRPr="00C74D34">
        <w:t>’s</w:t>
      </w:r>
      <w:r w:rsidR="00661248" w:rsidRPr="00C74D34">
        <w:t xml:space="preserve"> </w:t>
      </w:r>
      <w:r w:rsidR="00344352" w:rsidRPr="00C74D34">
        <w:t>criticisms of PJM’s market efficiency process should not be accepted</w:t>
      </w:r>
      <w:r w:rsidR="00F77756" w:rsidRPr="00C74D34">
        <w:t xml:space="preserve">.  </w:t>
      </w:r>
      <w:proofErr w:type="spellStart"/>
      <w:r w:rsidR="00F77756" w:rsidRPr="00C74D34">
        <w:t>Transource</w:t>
      </w:r>
      <w:proofErr w:type="spellEnd"/>
      <w:r w:rsidR="00F77756" w:rsidRPr="00C74D34">
        <w:t xml:space="preserve"> Exc. at </w:t>
      </w:r>
      <w:r w:rsidR="000E3798" w:rsidRPr="00C74D34">
        <w:t>7-18 (</w:t>
      </w:r>
      <w:r w:rsidR="00D65465" w:rsidRPr="00C74D34">
        <w:t>Exc. No. 1, A</w:t>
      </w:r>
      <w:r w:rsidR="000E3798" w:rsidRPr="00C74D34">
        <w:t>.1-6</w:t>
      </w:r>
      <w:r w:rsidR="00D65465" w:rsidRPr="00C74D34">
        <w:t>)</w:t>
      </w:r>
      <w:r w:rsidR="0088510F" w:rsidRPr="00C74D34">
        <w:t>.</w:t>
      </w:r>
      <w:r w:rsidR="00D65465" w:rsidRPr="00C74D34">
        <w:t xml:space="preserve"> </w:t>
      </w:r>
      <w:r w:rsidR="00C40C07" w:rsidRPr="00C74D34">
        <w:t xml:space="preserve"> </w:t>
      </w:r>
      <w:r w:rsidR="00E7138A" w:rsidRPr="00C74D34">
        <w:t xml:space="preserve">On </w:t>
      </w:r>
      <w:r w:rsidR="0088510F" w:rsidRPr="00C74D34">
        <w:t xml:space="preserve">these bases, </w:t>
      </w:r>
      <w:proofErr w:type="spellStart"/>
      <w:r w:rsidR="00E33248" w:rsidRPr="00C74D34">
        <w:t>T</w:t>
      </w:r>
      <w:r w:rsidR="00F91924" w:rsidRPr="00C74D34">
        <w:t>r</w:t>
      </w:r>
      <w:r w:rsidR="00E33248" w:rsidRPr="00C74D34">
        <w:t>ansource</w:t>
      </w:r>
      <w:proofErr w:type="spellEnd"/>
      <w:r w:rsidR="00E33248" w:rsidRPr="00C74D34">
        <w:t xml:space="preserve"> asserts that</w:t>
      </w:r>
      <w:r w:rsidR="009A6935" w:rsidRPr="00C74D34">
        <w:t xml:space="preserve"> </w:t>
      </w:r>
      <w:r w:rsidR="00E33248" w:rsidRPr="00C74D34">
        <w:t xml:space="preserve">federal jurisdiction over regional planning </w:t>
      </w:r>
      <w:r w:rsidR="00F91924" w:rsidRPr="00C74D34">
        <w:t xml:space="preserve">for transmission projects </w:t>
      </w:r>
      <w:r w:rsidR="00E33248" w:rsidRPr="00C74D34">
        <w:t xml:space="preserve">controls the </w:t>
      </w:r>
      <w:r w:rsidR="00B31322" w:rsidRPr="00C74D34">
        <w:t xml:space="preserve">PUC’s </w:t>
      </w:r>
      <w:r w:rsidR="000D6361" w:rsidRPr="00C74D34">
        <w:t xml:space="preserve">determination of </w:t>
      </w:r>
      <w:r w:rsidR="00E33248" w:rsidRPr="00C74D34">
        <w:t>need for the proposed</w:t>
      </w:r>
      <w:r w:rsidR="00F91924" w:rsidRPr="00C74D34">
        <w:t xml:space="preserve"> Project 9A</w:t>
      </w:r>
      <w:r w:rsidR="0088510F" w:rsidRPr="00C74D34">
        <w:t>.</w:t>
      </w:r>
      <w:r w:rsidR="00E33248" w:rsidRPr="00C74D34">
        <w:rPr>
          <w:highlight w:val="magenta"/>
        </w:rPr>
        <w:t xml:space="preserve"> </w:t>
      </w:r>
    </w:p>
    <w:p w14:paraId="0B7A24E2" w14:textId="67E59BC2" w:rsidR="003C03D4" w:rsidRPr="00C74D34" w:rsidRDefault="003C03D4" w:rsidP="002D03FA">
      <w:pPr>
        <w:pStyle w:val="TOCH4"/>
        <w:numPr>
          <w:ilvl w:val="0"/>
          <w:numId w:val="0"/>
        </w:numPr>
        <w:ind w:firstLine="1440"/>
        <w:jc w:val="left"/>
        <w:outlineLvl w:val="9"/>
        <w:rPr>
          <w:b w:val="0"/>
          <w:bCs/>
        </w:rPr>
      </w:pPr>
    </w:p>
    <w:p w14:paraId="6AEA9114" w14:textId="2050D4CB" w:rsidR="00D65465" w:rsidRPr="00C74D34" w:rsidRDefault="0083573C" w:rsidP="002D03FA">
      <w:pPr>
        <w:ind w:firstLine="1440"/>
      </w:pPr>
      <w:proofErr w:type="spellStart"/>
      <w:r w:rsidRPr="00C74D34">
        <w:t>Transource’s</w:t>
      </w:r>
      <w:proofErr w:type="spellEnd"/>
      <w:r w:rsidRPr="00C74D34">
        <w:t xml:space="preserve"> assertions </w:t>
      </w:r>
      <w:r w:rsidR="008D3F97" w:rsidRPr="00C74D34">
        <w:t xml:space="preserve">based on the premise </w:t>
      </w:r>
      <w:r w:rsidRPr="00C74D34">
        <w:t>that the AL</w:t>
      </w:r>
      <w:r w:rsidR="002163A3" w:rsidRPr="00C74D34">
        <w:t xml:space="preserve">J improperly </w:t>
      </w:r>
      <w:r w:rsidR="00194195" w:rsidRPr="00C74D34">
        <w:t>weighed the ev</w:t>
      </w:r>
      <w:r w:rsidR="00870209" w:rsidRPr="00C74D34">
        <w:t xml:space="preserve">idence presented </w:t>
      </w:r>
      <w:r w:rsidR="00E142EF" w:rsidRPr="00C74D34">
        <w:t>include</w:t>
      </w:r>
      <w:r w:rsidR="00DC41E6" w:rsidRPr="00C74D34">
        <w:t>:</w:t>
      </w:r>
      <w:r w:rsidR="00E142EF" w:rsidRPr="00C74D34">
        <w:t xml:space="preserve"> </w:t>
      </w:r>
      <w:r w:rsidR="00A11FEB" w:rsidRPr="00C74D34">
        <w:t xml:space="preserve"> </w:t>
      </w:r>
      <w:r w:rsidR="00A6554C" w:rsidRPr="00C74D34">
        <w:t>(1)</w:t>
      </w:r>
      <w:r w:rsidR="0022617C" w:rsidRPr="00C74D34">
        <w:t>that the</w:t>
      </w:r>
      <w:r w:rsidR="00870209" w:rsidRPr="00C74D34">
        <w:t xml:space="preserve"> ALJ’s conclusion that economic congestion does not equal rate discrimination is contrary to law</w:t>
      </w:r>
      <w:r w:rsidR="00F77756" w:rsidRPr="00C74D34">
        <w:t>;</w:t>
      </w:r>
      <w:r w:rsidR="00AD12A0" w:rsidRPr="00C74D34">
        <w:t xml:space="preserve"> and,</w:t>
      </w:r>
      <w:r w:rsidR="00A6554C" w:rsidRPr="00C74D34">
        <w:t xml:space="preserve"> (2)</w:t>
      </w:r>
      <w:r w:rsidR="00AD12A0" w:rsidRPr="00C74D34">
        <w:t xml:space="preserve"> </w:t>
      </w:r>
      <w:r w:rsidR="0022617C" w:rsidRPr="00C74D34">
        <w:t xml:space="preserve">that </w:t>
      </w:r>
      <w:r w:rsidR="00DC1BAB" w:rsidRPr="00C74D34">
        <w:t>the ALJ’s f</w:t>
      </w:r>
      <w:r w:rsidR="00F77756" w:rsidRPr="00C74D34">
        <w:t xml:space="preserve">inding that </w:t>
      </w:r>
      <w:proofErr w:type="spellStart"/>
      <w:r w:rsidR="00F77756" w:rsidRPr="00C74D34">
        <w:t>Hunterstown</w:t>
      </w:r>
      <w:proofErr w:type="spellEnd"/>
      <w:r w:rsidR="00F77756" w:rsidRPr="00C74D34">
        <w:t>-Lincoln Project a</w:t>
      </w:r>
      <w:r w:rsidR="0088510F" w:rsidRPr="00C74D34">
        <w:t>n</w:t>
      </w:r>
      <w:r w:rsidR="00F77756" w:rsidRPr="00C74D34">
        <w:t xml:space="preserve">d Project 5E may alleviate the AP South </w:t>
      </w:r>
      <w:r w:rsidR="00D504BB" w:rsidRPr="00C74D34">
        <w:lastRenderedPageBreak/>
        <w:t xml:space="preserve">Reactive Interface </w:t>
      </w:r>
      <w:r w:rsidR="00F77756" w:rsidRPr="00C74D34">
        <w:t>congestion is speculation unsupported by substantial evidence</w:t>
      </w:r>
      <w:r w:rsidR="00D65465" w:rsidRPr="00C74D34">
        <w:t xml:space="preserve">.  </w:t>
      </w:r>
      <w:proofErr w:type="spellStart"/>
      <w:r w:rsidR="00D65465" w:rsidRPr="00C74D34">
        <w:t>Transource</w:t>
      </w:r>
      <w:proofErr w:type="spellEnd"/>
      <w:r w:rsidR="00D65465" w:rsidRPr="00C74D34">
        <w:t xml:space="preserve"> Exc. at 18</w:t>
      </w:r>
      <w:r w:rsidR="00800406" w:rsidRPr="00C74D34">
        <w:t>-20 and 23</w:t>
      </w:r>
      <w:r w:rsidR="00D65465" w:rsidRPr="00C74D34">
        <w:t xml:space="preserve"> (Exc. No. 1, </w:t>
      </w:r>
      <w:r w:rsidR="00B11342" w:rsidRPr="00C74D34">
        <w:t>A. (</w:t>
      </w:r>
      <w:r w:rsidR="00847018" w:rsidRPr="00C74D34">
        <w:t xml:space="preserve">7) and </w:t>
      </w:r>
      <w:r w:rsidR="00181FE3" w:rsidRPr="00C74D34">
        <w:t>A. (</w:t>
      </w:r>
      <w:r w:rsidR="00847018" w:rsidRPr="00C74D34">
        <w:t>9</w:t>
      </w:r>
      <w:r w:rsidR="00D65465" w:rsidRPr="00C74D34">
        <w:t>)</w:t>
      </w:r>
      <w:r w:rsidR="00847018" w:rsidRPr="00C74D34">
        <w:t>.</w:t>
      </w:r>
      <w:r w:rsidR="00D65465" w:rsidRPr="00C74D34">
        <w:t xml:space="preserve">  </w:t>
      </w:r>
    </w:p>
    <w:p w14:paraId="6E956160" w14:textId="77E7B5B1" w:rsidR="00A51C6B" w:rsidRPr="00C74D34" w:rsidRDefault="00D65465" w:rsidP="002D03FA">
      <w:pPr>
        <w:pStyle w:val="TOCH4"/>
        <w:numPr>
          <w:ilvl w:val="0"/>
          <w:numId w:val="0"/>
        </w:numPr>
        <w:ind w:firstLine="1440"/>
        <w:jc w:val="left"/>
        <w:outlineLvl w:val="9"/>
        <w:rPr>
          <w:b w:val="0"/>
          <w:bCs/>
        </w:rPr>
      </w:pPr>
      <w:r w:rsidRPr="00C74D34">
        <w:rPr>
          <w:b w:val="0"/>
          <w:bCs/>
        </w:rPr>
        <w:t xml:space="preserve"> </w:t>
      </w:r>
    </w:p>
    <w:p w14:paraId="6360ECC7" w14:textId="7E17F4BA" w:rsidR="00E61CDE" w:rsidRPr="00C74D34" w:rsidRDefault="00EC1A67" w:rsidP="002D03FA">
      <w:pPr>
        <w:ind w:firstLine="1440"/>
      </w:pPr>
      <w:proofErr w:type="spellStart"/>
      <w:r w:rsidRPr="00C74D34">
        <w:t>Transource’s</w:t>
      </w:r>
      <w:proofErr w:type="spellEnd"/>
      <w:r w:rsidRPr="00C74D34">
        <w:t xml:space="preserve"> assertions </w:t>
      </w:r>
      <w:r w:rsidR="00342912" w:rsidRPr="00C74D34">
        <w:t xml:space="preserve">based on the premise </w:t>
      </w:r>
      <w:r w:rsidRPr="00C74D34">
        <w:t xml:space="preserve">that the ALJ’s analysis fundamentally misapprehends the </w:t>
      </w:r>
      <w:r w:rsidR="00997521" w:rsidRPr="00C74D34">
        <w:t xml:space="preserve">state versus </w:t>
      </w:r>
      <w:r w:rsidR="00E30676" w:rsidRPr="00C74D34">
        <w:t xml:space="preserve">federal roles </w:t>
      </w:r>
      <w:r w:rsidRPr="00C74D34">
        <w:t>need for and nature of regional transmission planning include:</w:t>
      </w:r>
      <w:r w:rsidR="00142CB0" w:rsidRPr="00C74D34">
        <w:t xml:space="preserve"> </w:t>
      </w:r>
      <w:r w:rsidR="00A11FEB" w:rsidRPr="00C74D34">
        <w:t xml:space="preserve"> </w:t>
      </w:r>
      <w:r w:rsidR="00A6554C" w:rsidRPr="00C74D34">
        <w:t xml:space="preserve">(1) </w:t>
      </w:r>
      <w:r w:rsidR="00B40E18" w:rsidRPr="00C74D34">
        <w:t>that</w:t>
      </w:r>
      <w:r w:rsidR="00672F4E" w:rsidRPr="00C74D34">
        <w:t xml:space="preserve"> </w:t>
      </w:r>
      <w:r w:rsidR="006B7043" w:rsidRPr="00C74D34">
        <w:t xml:space="preserve">the </w:t>
      </w:r>
      <w:r w:rsidR="00672F4E" w:rsidRPr="00C74D34">
        <w:t xml:space="preserve">ALJ’s </w:t>
      </w:r>
      <w:r w:rsidR="0082133A" w:rsidRPr="00C74D34">
        <w:t xml:space="preserve">sole </w:t>
      </w:r>
      <w:r w:rsidR="006B7043" w:rsidRPr="00C74D34">
        <w:t>f</w:t>
      </w:r>
      <w:r w:rsidR="00672F4E" w:rsidRPr="00C74D34">
        <w:t>ocus on hist</w:t>
      </w:r>
      <w:r w:rsidR="00575640" w:rsidRPr="00C74D34">
        <w:t xml:space="preserve">oric </w:t>
      </w:r>
      <w:r w:rsidR="00672F4E" w:rsidRPr="00C74D34">
        <w:t xml:space="preserve">AP South </w:t>
      </w:r>
      <w:r w:rsidR="00E94CED" w:rsidRPr="00C74D34">
        <w:t xml:space="preserve">Reactive Interface </w:t>
      </w:r>
      <w:r w:rsidR="00672F4E" w:rsidRPr="00C74D34">
        <w:t xml:space="preserve">Congestion </w:t>
      </w:r>
      <w:r w:rsidR="00E24F09" w:rsidRPr="00C74D34">
        <w:t>levels</w:t>
      </w:r>
      <w:r w:rsidR="0072675A" w:rsidRPr="00C74D34">
        <w:t xml:space="preserve"> was in error</w:t>
      </w:r>
      <w:r w:rsidR="0082133A" w:rsidRPr="00C74D34">
        <w:t>;</w:t>
      </w:r>
      <w:r w:rsidR="00D449E8" w:rsidRPr="00C74D34">
        <w:t xml:space="preserve"> </w:t>
      </w:r>
      <w:r w:rsidR="00A6554C" w:rsidRPr="00C74D34">
        <w:t xml:space="preserve">(2) </w:t>
      </w:r>
      <w:r w:rsidR="00B40E18" w:rsidRPr="00C74D34">
        <w:t xml:space="preserve">that </w:t>
      </w:r>
      <w:r w:rsidR="00F43238" w:rsidRPr="00C74D34">
        <w:t xml:space="preserve">the </w:t>
      </w:r>
      <w:r w:rsidR="00E27415" w:rsidRPr="00C74D34">
        <w:t xml:space="preserve">ALJ erred by failing to consider </w:t>
      </w:r>
      <w:r w:rsidR="00CB5870" w:rsidRPr="00C74D34">
        <w:t xml:space="preserve">reliability violations </w:t>
      </w:r>
      <w:r w:rsidR="00575640" w:rsidRPr="00C74D34">
        <w:t xml:space="preserve">that would be resolved by </w:t>
      </w:r>
      <w:r w:rsidR="00A11FEB" w:rsidRPr="00C74D34">
        <w:t>P</w:t>
      </w:r>
      <w:r w:rsidR="00575640" w:rsidRPr="00C74D34">
        <w:t>roject 9A</w:t>
      </w:r>
      <w:r w:rsidR="002E42E5" w:rsidRPr="00C74D34">
        <w:t xml:space="preserve">; </w:t>
      </w:r>
      <w:r w:rsidR="00A6554C" w:rsidRPr="00C74D34">
        <w:t xml:space="preserve">(3) </w:t>
      </w:r>
      <w:r w:rsidR="0022617C" w:rsidRPr="00C74D34">
        <w:t xml:space="preserve">that </w:t>
      </w:r>
      <w:r w:rsidR="002E42E5" w:rsidRPr="00C74D34">
        <w:t xml:space="preserve">the ALJ erred in concluding that </w:t>
      </w:r>
      <w:proofErr w:type="spellStart"/>
      <w:r w:rsidR="002E42E5" w:rsidRPr="00C74D34">
        <w:t>Transource</w:t>
      </w:r>
      <w:proofErr w:type="spellEnd"/>
      <w:r w:rsidR="002E42E5" w:rsidRPr="00C74D34">
        <w:t xml:space="preserve"> is </w:t>
      </w:r>
      <w:r w:rsidR="00D75E5E" w:rsidRPr="00C74D34">
        <w:t>creating</w:t>
      </w:r>
      <w:r w:rsidR="002E42E5" w:rsidRPr="00C74D34">
        <w:t xml:space="preserve"> new reasons for Project 9A; </w:t>
      </w:r>
      <w:r w:rsidR="00FA2396" w:rsidRPr="00C74D34">
        <w:t xml:space="preserve">and, </w:t>
      </w:r>
      <w:r w:rsidR="00A6554C" w:rsidRPr="00C74D34">
        <w:t xml:space="preserve">(4) </w:t>
      </w:r>
      <w:r w:rsidR="0022617C" w:rsidRPr="00C74D34">
        <w:t xml:space="preserve">that </w:t>
      </w:r>
      <w:r w:rsidR="00C953B2" w:rsidRPr="00C74D34">
        <w:t xml:space="preserve">the ALJ’s focus on </w:t>
      </w:r>
      <w:proofErr w:type="spellStart"/>
      <w:r w:rsidR="00C953B2" w:rsidRPr="00C74D34">
        <w:t>Transource</w:t>
      </w:r>
      <w:proofErr w:type="spellEnd"/>
      <w:r w:rsidR="00C953B2" w:rsidRPr="00C74D34">
        <w:t xml:space="preserve"> </w:t>
      </w:r>
      <w:r w:rsidR="006814BD" w:rsidRPr="00C74D34">
        <w:t>as a foreign transmission provider is misguided.</w:t>
      </w:r>
      <w:r w:rsidR="000B20EA" w:rsidRPr="00C74D34">
        <w:t xml:space="preserve"> </w:t>
      </w:r>
      <w:proofErr w:type="spellStart"/>
      <w:r w:rsidR="00E260AA" w:rsidRPr="00C74D34">
        <w:t>Transource</w:t>
      </w:r>
      <w:proofErr w:type="spellEnd"/>
      <w:r w:rsidR="00E260AA" w:rsidRPr="00C74D34">
        <w:t xml:space="preserve"> Exc. at 20-31 (Exc. No. 1, A. (8)</w:t>
      </w:r>
      <w:r w:rsidR="00B94902" w:rsidRPr="00C74D34">
        <w:t xml:space="preserve"> and </w:t>
      </w:r>
      <w:r w:rsidR="00E260AA" w:rsidRPr="00C74D34">
        <w:t xml:space="preserve">(10)-(12)). </w:t>
      </w:r>
    </w:p>
    <w:p w14:paraId="7AC9920D" w14:textId="21F50240" w:rsidR="00540EC1" w:rsidRPr="00C74D34" w:rsidRDefault="00540EC1" w:rsidP="002D03FA">
      <w:pPr>
        <w:pStyle w:val="TOCH4"/>
        <w:numPr>
          <w:ilvl w:val="0"/>
          <w:numId w:val="0"/>
        </w:numPr>
        <w:ind w:firstLine="1440"/>
        <w:jc w:val="left"/>
        <w:outlineLvl w:val="9"/>
        <w:rPr>
          <w:b w:val="0"/>
          <w:bCs/>
        </w:rPr>
      </w:pPr>
    </w:p>
    <w:p w14:paraId="4F640420" w14:textId="6AD878EC" w:rsidR="00540EC1" w:rsidRPr="00C74D34" w:rsidRDefault="00540EC1" w:rsidP="002D03FA">
      <w:pPr>
        <w:ind w:firstLine="1440"/>
      </w:pPr>
      <w:r w:rsidRPr="00C74D34">
        <w:t xml:space="preserve">In </w:t>
      </w:r>
      <w:r w:rsidR="00795B3A" w:rsidRPr="00C74D34">
        <w:t xml:space="preserve">their </w:t>
      </w:r>
      <w:r w:rsidRPr="00C74D34">
        <w:t>Repl</w:t>
      </w:r>
      <w:r w:rsidR="00795B3A" w:rsidRPr="00C74D34">
        <w:t>ies</w:t>
      </w:r>
      <w:r w:rsidRPr="00C74D34">
        <w:t>,</w:t>
      </w:r>
      <w:r w:rsidR="00795B3A" w:rsidRPr="00C74D34">
        <w:t xml:space="preserve"> the OCA, Franklin County and STFC </w:t>
      </w:r>
      <w:r w:rsidR="009D37FD" w:rsidRPr="00C74D34">
        <w:t xml:space="preserve">reiterate their positions below and </w:t>
      </w:r>
      <w:r w:rsidR="007E19CC" w:rsidRPr="00C74D34">
        <w:t xml:space="preserve">argue that </w:t>
      </w:r>
      <w:proofErr w:type="spellStart"/>
      <w:r w:rsidR="00D4032B" w:rsidRPr="00C74D34">
        <w:t>Transource’s</w:t>
      </w:r>
      <w:proofErr w:type="spellEnd"/>
      <w:r w:rsidR="00D4032B" w:rsidRPr="00C74D34">
        <w:t xml:space="preserve"> Exception to the ALJ’s determination that </w:t>
      </w:r>
      <w:proofErr w:type="spellStart"/>
      <w:r w:rsidR="00A44A0D" w:rsidRPr="00C74D34">
        <w:t>T</w:t>
      </w:r>
      <w:r w:rsidR="006A6AA7" w:rsidRPr="00C74D34">
        <w:t>r</w:t>
      </w:r>
      <w:r w:rsidR="00A44A0D" w:rsidRPr="00C74D34">
        <w:t>ansource</w:t>
      </w:r>
      <w:proofErr w:type="spellEnd"/>
      <w:r w:rsidR="00A44A0D" w:rsidRPr="00C74D34">
        <w:t xml:space="preserve"> failed to </w:t>
      </w:r>
      <w:r w:rsidR="006A6AA7" w:rsidRPr="00C74D34">
        <w:t>establish</w:t>
      </w:r>
      <w:r w:rsidR="00A44A0D" w:rsidRPr="00C74D34">
        <w:t xml:space="preserve"> need for Project 9A should be rejected where: </w:t>
      </w:r>
      <w:r w:rsidR="00A11FEB" w:rsidRPr="00C74D34">
        <w:t xml:space="preserve"> </w:t>
      </w:r>
      <w:r w:rsidR="00B94902" w:rsidRPr="00C74D34">
        <w:t>(1)</w:t>
      </w:r>
      <w:r w:rsidR="00A44A0D" w:rsidRPr="00C74D34">
        <w:t xml:space="preserve"> the </w:t>
      </w:r>
      <w:r w:rsidR="007E19CC" w:rsidRPr="00C74D34">
        <w:t xml:space="preserve">ALJ properly </w:t>
      </w:r>
      <w:r w:rsidR="000F26F7" w:rsidRPr="00C74D34">
        <w:t xml:space="preserve">decided the question of whether </w:t>
      </w:r>
      <w:proofErr w:type="spellStart"/>
      <w:r w:rsidR="000F26F7" w:rsidRPr="00C74D34">
        <w:t>Transource</w:t>
      </w:r>
      <w:proofErr w:type="spellEnd"/>
      <w:r w:rsidR="000F26F7" w:rsidRPr="00C74D34">
        <w:t xml:space="preserve"> has successfully carried the burden of persua</w:t>
      </w:r>
      <w:r w:rsidR="00280882" w:rsidRPr="00C74D34">
        <w:t>sion, by preponderance of the evidence, pursu</w:t>
      </w:r>
      <w:r w:rsidR="005B255E" w:rsidRPr="00C74D34">
        <w:t>a</w:t>
      </w:r>
      <w:r w:rsidR="00280882" w:rsidRPr="00C74D34">
        <w:t>nt to the PUC’s statut</w:t>
      </w:r>
      <w:r w:rsidR="005B255E" w:rsidRPr="00C74D34">
        <w:t xml:space="preserve">ory and regulatory discretion </w:t>
      </w:r>
      <w:r w:rsidR="000E333C" w:rsidRPr="00C74D34">
        <w:t>to determine need and necessity under Section 1501 of the Code and 52 Pa. Code §</w:t>
      </w:r>
      <w:r w:rsidR="00B94902" w:rsidRPr="00C74D34">
        <w:t xml:space="preserve"> </w:t>
      </w:r>
      <w:r w:rsidR="000E333C" w:rsidRPr="00C74D34">
        <w:t>57.76(a)(1)</w:t>
      </w:r>
      <w:r w:rsidR="00BE10FA" w:rsidRPr="00C74D34">
        <w:t xml:space="preserve">; </w:t>
      </w:r>
      <w:r w:rsidR="00B94902" w:rsidRPr="00C74D34">
        <w:t xml:space="preserve">(2) </w:t>
      </w:r>
      <w:r w:rsidR="007F3F8B" w:rsidRPr="00C74D34">
        <w:t>t</w:t>
      </w:r>
      <w:r w:rsidR="00BE10FA" w:rsidRPr="00C74D34">
        <w:t>he ALJ properly weighed the evidence presented; and</w:t>
      </w:r>
      <w:r w:rsidR="00551FFB" w:rsidRPr="00C74D34">
        <w:t xml:space="preserve"> </w:t>
      </w:r>
      <w:r w:rsidR="00B94902" w:rsidRPr="00C74D34">
        <w:t>(3)</w:t>
      </w:r>
      <w:r w:rsidR="00A576BC">
        <w:t> </w:t>
      </w:r>
      <w:r w:rsidR="00551FFB" w:rsidRPr="00C74D34">
        <w:t xml:space="preserve">the ALJ appropriately considered </w:t>
      </w:r>
      <w:r w:rsidR="0062074F" w:rsidRPr="00C74D34">
        <w:t xml:space="preserve">the state versus federal roles </w:t>
      </w:r>
      <w:r w:rsidR="003077C4" w:rsidRPr="00C74D34">
        <w:t xml:space="preserve">in </w:t>
      </w:r>
      <w:r w:rsidR="00551FFB" w:rsidRPr="00C74D34">
        <w:t xml:space="preserve">the </w:t>
      </w:r>
      <w:r w:rsidR="00A01693" w:rsidRPr="00C74D34">
        <w:t>need for and nature of regional transmission p</w:t>
      </w:r>
      <w:r w:rsidR="00544F8F" w:rsidRPr="00C74D34">
        <w:t>lanning</w:t>
      </w:r>
      <w:r w:rsidR="00606C1F" w:rsidRPr="00C74D34">
        <w:t>.  OCA R</w:t>
      </w:r>
      <w:r w:rsidR="00DE4482" w:rsidRPr="00C74D34">
        <w:t>. Exc.</w:t>
      </w:r>
      <w:r w:rsidR="00606C1F" w:rsidRPr="00C74D34">
        <w:t xml:space="preserve"> at </w:t>
      </w:r>
      <w:r w:rsidR="00441B3C" w:rsidRPr="00C74D34">
        <w:t>2-22</w:t>
      </w:r>
      <w:r w:rsidR="00606C1F" w:rsidRPr="00C74D34">
        <w:t>; Franklin County</w:t>
      </w:r>
      <w:r w:rsidR="00DE4482" w:rsidRPr="00C74D34">
        <w:t xml:space="preserve"> R. Exc. at</w:t>
      </w:r>
      <w:r w:rsidR="00251C68" w:rsidRPr="00C74D34">
        <w:t xml:space="preserve"> 1-</w:t>
      </w:r>
      <w:r w:rsidR="00046CC6" w:rsidRPr="00C74D34">
        <w:t>1</w:t>
      </w:r>
      <w:r w:rsidR="00251C68" w:rsidRPr="00C74D34">
        <w:t>9</w:t>
      </w:r>
      <w:r w:rsidR="00DE4482" w:rsidRPr="00C74D34">
        <w:t xml:space="preserve">; STFC R. Exc. at </w:t>
      </w:r>
      <w:r w:rsidR="003E59E8" w:rsidRPr="00C74D34">
        <w:t>1-9</w:t>
      </w:r>
      <w:r w:rsidR="00DE4482" w:rsidRPr="00C74D34">
        <w:t xml:space="preserve">. </w:t>
      </w:r>
    </w:p>
    <w:p w14:paraId="5A43AC68" w14:textId="77454981" w:rsidR="00795B3A" w:rsidRPr="00C74D34" w:rsidRDefault="00795B3A" w:rsidP="002D03FA">
      <w:pPr>
        <w:pStyle w:val="TOCH4"/>
        <w:numPr>
          <w:ilvl w:val="0"/>
          <w:numId w:val="0"/>
        </w:numPr>
        <w:ind w:firstLine="1440"/>
        <w:jc w:val="left"/>
        <w:outlineLvl w:val="9"/>
        <w:rPr>
          <w:b w:val="0"/>
          <w:bCs/>
        </w:rPr>
      </w:pPr>
    </w:p>
    <w:p w14:paraId="432AC69D" w14:textId="0F1B08C8" w:rsidR="00F962F1" w:rsidRPr="00C74D34" w:rsidRDefault="00F962F1" w:rsidP="002D03FA">
      <w:pPr>
        <w:pStyle w:val="TOCH4"/>
        <w:keepNext/>
      </w:pPr>
      <w:bookmarkStart w:id="37" w:name="_Toc70516615"/>
      <w:r w:rsidRPr="00C74D34">
        <w:t>Disposition</w:t>
      </w:r>
      <w:bookmarkEnd w:id="37"/>
    </w:p>
    <w:p w14:paraId="1710BB7A" w14:textId="77777777" w:rsidR="00E14EDC" w:rsidRPr="00C74D34" w:rsidRDefault="00E14EDC" w:rsidP="002D03FA">
      <w:pPr>
        <w:pStyle w:val="ListParagraph"/>
        <w:keepNext/>
        <w:rPr>
          <w:szCs w:val="26"/>
        </w:rPr>
      </w:pPr>
    </w:p>
    <w:p w14:paraId="65BB1D90" w14:textId="63DC290E" w:rsidR="00A3167A" w:rsidRPr="00C74D34" w:rsidRDefault="00A3167A" w:rsidP="002D03FA">
      <w:pPr>
        <w:ind w:firstLine="1440"/>
      </w:pPr>
      <w:r w:rsidRPr="00C74D34">
        <w:t xml:space="preserve">Based upon our review of the record in this proceeding, the relative weight of the evidence presented, and the arguments of the </w:t>
      </w:r>
      <w:r w:rsidR="00023CF8" w:rsidRPr="00C74D34">
        <w:t>P</w:t>
      </w:r>
      <w:r w:rsidRPr="00C74D34">
        <w:t xml:space="preserve">arties, and as discussed more fully, </w:t>
      </w:r>
      <w:r w:rsidRPr="00C74D34">
        <w:rPr>
          <w:i/>
          <w:iCs/>
        </w:rPr>
        <w:t>infra</w:t>
      </w:r>
      <w:r w:rsidRPr="00C74D34">
        <w:t xml:space="preserve">., we conclude that, in the present circumstances, </w:t>
      </w:r>
      <w:proofErr w:type="spellStart"/>
      <w:r w:rsidRPr="00C74D34">
        <w:t>Transource</w:t>
      </w:r>
      <w:proofErr w:type="spellEnd"/>
      <w:r w:rsidRPr="00C74D34">
        <w:t xml:space="preserve"> fails to carry the burden of persuasion by a preponderance of the evidence to establish need for the </w:t>
      </w:r>
      <w:r w:rsidRPr="00C74D34">
        <w:lastRenderedPageBreak/>
        <w:t xml:space="preserve">proposed siting Applications, pursuant to our authority under Section 1501 of the Code and Commission Regulation at 52 Pa. Code </w:t>
      </w:r>
      <w:r w:rsidR="00B94902" w:rsidRPr="00C74D34">
        <w:t xml:space="preserve">§ </w:t>
      </w:r>
      <w:r w:rsidRPr="00C74D34">
        <w:t>57.76(a)(1).  Because we have concluded that the evidence is insufficient to establish the required element of “need</w:t>
      </w:r>
      <w:r w:rsidR="009346F5">
        <w:t>,</w:t>
      </w:r>
      <w:r w:rsidR="00A576BC">
        <w:t>”</w:t>
      </w:r>
      <w:r w:rsidRPr="00C74D34">
        <w:t xml:space="preserve"> under 52 Pa. Code § 57.76(a)(1), the arguments related to other required elements under 52 Pa. Code §</w:t>
      </w:r>
      <w:r w:rsidR="00B94902" w:rsidRPr="00C74D34">
        <w:t> </w:t>
      </w:r>
      <w:r w:rsidRPr="00C74D34">
        <w:t xml:space="preserve">57.76(a)(2)-(4), are rendered moot, and shall not be addressed.  </w:t>
      </w:r>
    </w:p>
    <w:p w14:paraId="77A6908F" w14:textId="77777777" w:rsidR="00352AA7" w:rsidRPr="00C74D34" w:rsidRDefault="00352AA7" w:rsidP="002D03FA">
      <w:pPr>
        <w:pStyle w:val="TOCH4"/>
        <w:numPr>
          <w:ilvl w:val="0"/>
          <w:numId w:val="0"/>
        </w:numPr>
        <w:ind w:firstLine="1440"/>
        <w:jc w:val="left"/>
        <w:outlineLvl w:val="9"/>
        <w:rPr>
          <w:b w:val="0"/>
          <w:bCs/>
        </w:rPr>
      </w:pPr>
    </w:p>
    <w:p w14:paraId="32394955" w14:textId="316C081B" w:rsidR="002F709E" w:rsidRPr="00C74D34" w:rsidRDefault="00352AA7" w:rsidP="002D03FA">
      <w:pPr>
        <w:ind w:firstLine="1440"/>
      </w:pPr>
      <w:r w:rsidRPr="00C74D34">
        <w:t xml:space="preserve">At the outset, we note that </w:t>
      </w:r>
      <w:r w:rsidR="000D4B92" w:rsidRPr="00C74D34">
        <w:t xml:space="preserve">the ALJ made </w:t>
      </w:r>
      <w:r w:rsidR="00B94902" w:rsidRPr="00C74D34">
        <w:t xml:space="preserve">two hundred </w:t>
      </w:r>
      <w:r w:rsidR="00E612ED" w:rsidRPr="00C74D34">
        <w:t xml:space="preserve">and </w:t>
      </w:r>
      <w:r w:rsidR="00B94902" w:rsidRPr="00C74D34">
        <w:t>thirty</w:t>
      </w:r>
      <w:r w:rsidR="00E612ED" w:rsidRPr="00C74D34">
        <w:t>-three (2</w:t>
      </w:r>
      <w:r w:rsidR="0040113B" w:rsidRPr="00C74D34">
        <w:t>3</w:t>
      </w:r>
      <w:r w:rsidR="00E612ED" w:rsidRPr="00C74D34">
        <w:t>3)</w:t>
      </w:r>
      <w:r w:rsidR="00327E71" w:rsidRPr="00C74D34">
        <w:t xml:space="preserve"> </w:t>
      </w:r>
      <w:r w:rsidR="000D4B92" w:rsidRPr="00C74D34">
        <w:t xml:space="preserve">Findings of Fact, and </w:t>
      </w:r>
      <w:r w:rsidR="00B94902" w:rsidRPr="00C74D34">
        <w:t xml:space="preserve">sixteen </w:t>
      </w:r>
      <w:r w:rsidR="001C6C59" w:rsidRPr="00C74D34">
        <w:t>(16)</w:t>
      </w:r>
      <w:r w:rsidR="000D4B92" w:rsidRPr="00C74D34">
        <w:t xml:space="preserve"> </w:t>
      </w:r>
      <w:r w:rsidR="001C6C59" w:rsidRPr="00C74D34">
        <w:t>Conclusions</w:t>
      </w:r>
      <w:r w:rsidR="000D4B92" w:rsidRPr="00C74D34">
        <w:t xml:space="preserve"> of Law.</w:t>
      </w:r>
      <w:r w:rsidR="00327E71" w:rsidRPr="00C74D34">
        <w:t xml:space="preserve">  R.D.</w:t>
      </w:r>
      <w:r w:rsidR="00A60C86" w:rsidRPr="00C74D34">
        <w:t xml:space="preserve"> at 12-49; </w:t>
      </w:r>
      <w:r w:rsidR="00327E71" w:rsidRPr="00C74D34">
        <w:t>FOF 1-2</w:t>
      </w:r>
      <w:r w:rsidR="001C20D5" w:rsidRPr="00C74D34">
        <w:t>3</w:t>
      </w:r>
      <w:r w:rsidR="00327E71" w:rsidRPr="00C74D34">
        <w:t>3</w:t>
      </w:r>
      <w:r w:rsidR="00A60C86" w:rsidRPr="00C74D34">
        <w:t xml:space="preserve">; R.D. at </w:t>
      </w:r>
      <w:r w:rsidR="00877C89" w:rsidRPr="00C74D34">
        <w:t>125-129</w:t>
      </w:r>
      <w:r w:rsidR="001C6C59" w:rsidRPr="00C74D34">
        <w:t>; C.L. 1-16.</w:t>
      </w:r>
      <w:r w:rsidR="000D4B92" w:rsidRPr="00C74D34">
        <w:t xml:space="preserve">  </w:t>
      </w:r>
      <w:r w:rsidR="00CB0592" w:rsidRPr="00C74D34">
        <w:t>Our analysis an</w:t>
      </w:r>
      <w:r w:rsidR="003C1DE0" w:rsidRPr="00C74D34">
        <w:t>d disposition turn on those findings as they pertain to the required element of “need” under 52 Pa. Code §</w:t>
      </w:r>
      <w:r w:rsidR="00B94902" w:rsidRPr="00C74D34">
        <w:t> </w:t>
      </w:r>
      <w:r w:rsidR="003C1DE0" w:rsidRPr="00C74D34">
        <w:t>57.76(a)</w:t>
      </w:r>
      <w:r w:rsidR="00D7759D" w:rsidRPr="00C74D34">
        <w:t xml:space="preserve">(1).  </w:t>
      </w:r>
      <w:r w:rsidR="000D4B92" w:rsidRPr="00C74D34">
        <w:t>T</w:t>
      </w:r>
      <w:r w:rsidR="000377DD" w:rsidRPr="00C74D34">
        <w:t xml:space="preserve">o the extent the ALJ rendered separate findings </w:t>
      </w:r>
      <w:r w:rsidR="00FF14C5" w:rsidRPr="00C74D34">
        <w:t xml:space="preserve">and conclusions </w:t>
      </w:r>
      <w:r w:rsidR="000377DD" w:rsidRPr="00C74D34">
        <w:t>regarding</w:t>
      </w:r>
      <w:r w:rsidR="00945D3D" w:rsidRPr="00C74D34">
        <w:t xml:space="preserve"> </w:t>
      </w:r>
      <w:r w:rsidR="00D7759D" w:rsidRPr="00C74D34">
        <w:t xml:space="preserve">the other required elements under </w:t>
      </w:r>
      <w:r w:rsidR="00945D3D" w:rsidRPr="00C74D34">
        <w:t xml:space="preserve">52 Pa. Code </w:t>
      </w:r>
      <w:r w:rsidR="00B94902" w:rsidRPr="00C74D34">
        <w:t xml:space="preserve">§ </w:t>
      </w:r>
      <w:r w:rsidR="00945D3D" w:rsidRPr="00C74D34">
        <w:t>57.76</w:t>
      </w:r>
      <w:r w:rsidR="003F70DC" w:rsidRPr="00C74D34">
        <w:t>(a)</w:t>
      </w:r>
      <w:r w:rsidR="00945D3D" w:rsidRPr="00C74D34">
        <w:t>(</w:t>
      </w:r>
      <w:r w:rsidR="00737642" w:rsidRPr="00C74D34">
        <w:t>2</w:t>
      </w:r>
      <w:r w:rsidR="00BD20F5" w:rsidRPr="00C74D34">
        <w:t>)</w:t>
      </w:r>
      <w:r w:rsidR="00B94902" w:rsidRPr="00C74D34">
        <w:t xml:space="preserve"> </w:t>
      </w:r>
      <w:r w:rsidR="00737642" w:rsidRPr="00C74D34">
        <w:t xml:space="preserve">(regarding </w:t>
      </w:r>
      <w:r w:rsidR="008C1BC4" w:rsidRPr="00C74D34">
        <w:t>health and safety</w:t>
      </w:r>
      <w:r w:rsidR="00737642" w:rsidRPr="00C74D34">
        <w:t xml:space="preserve"> of the public)</w:t>
      </w:r>
      <w:r w:rsidR="00A40E46" w:rsidRPr="00C74D34">
        <w:t xml:space="preserve">; </w:t>
      </w:r>
      <w:bookmarkStart w:id="38" w:name="_Hlk70525880"/>
      <w:r w:rsidR="00B94902" w:rsidRPr="00C74D34">
        <w:t>subsection</w:t>
      </w:r>
      <w:bookmarkEnd w:id="38"/>
      <w:r w:rsidR="009346F5">
        <w:t> </w:t>
      </w:r>
      <w:r w:rsidR="00B94902" w:rsidRPr="00C74D34">
        <w:t>57.76</w:t>
      </w:r>
      <w:r w:rsidR="00A40E46" w:rsidRPr="00C74D34">
        <w:t>(a)</w:t>
      </w:r>
      <w:r w:rsidR="00737642" w:rsidRPr="00C74D34">
        <w:t>(</w:t>
      </w:r>
      <w:r w:rsidR="00A40E46" w:rsidRPr="00C74D34">
        <w:t>3)</w:t>
      </w:r>
      <w:r w:rsidR="00B94902" w:rsidRPr="00C74D34">
        <w:t xml:space="preserve"> </w:t>
      </w:r>
      <w:r w:rsidR="00A40E46" w:rsidRPr="00C74D34">
        <w:t xml:space="preserve">(regarding compliance with </w:t>
      </w:r>
      <w:r w:rsidR="00726BAA" w:rsidRPr="00C74D34">
        <w:t>applicable</w:t>
      </w:r>
      <w:r w:rsidR="00A40E46" w:rsidRPr="00C74D34">
        <w:t xml:space="preserve"> statutes and regulations </w:t>
      </w:r>
      <w:r w:rsidR="00D332B0" w:rsidRPr="00C74D34">
        <w:t>providing for the protection of the natural resources of this Commonwealth</w:t>
      </w:r>
      <w:r w:rsidR="00107478" w:rsidRPr="00C74D34">
        <w:t>);</w:t>
      </w:r>
      <w:r w:rsidR="007B34FF" w:rsidRPr="00C74D34">
        <w:t xml:space="preserve"> and </w:t>
      </w:r>
      <w:r w:rsidR="00B94902" w:rsidRPr="00C74D34">
        <w:t>subsection 57.76(a)</w:t>
      </w:r>
      <w:r w:rsidR="007B34FF" w:rsidRPr="00C74D34">
        <w:t xml:space="preserve">(4) </w:t>
      </w:r>
      <w:r w:rsidR="00B94902" w:rsidRPr="00C74D34">
        <w:t>(</w:t>
      </w:r>
      <w:r w:rsidR="007B34FF" w:rsidRPr="00C74D34">
        <w:t xml:space="preserve">minimal adverse </w:t>
      </w:r>
      <w:r w:rsidR="00CD139F" w:rsidRPr="00C74D34">
        <w:t>environmental impact considering the electric power needs of the public, the state of available techn</w:t>
      </w:r>
      <w:r w:rsidR="00726BAA" w:rsidRPr="00C74D34">
        <w:t>ology and available alternative), th</w:t>
      </w:r>
      <w:r w:rsidR="00556668" w:rsidRPr="00C74D34">
        <w:t>ose</w:t>
      </w:r>
      <w:r w:rsidR="00726BAA" w:rsidRPr="00C74D34">
        <w:t xml:space="preserve"> </w:t>
      </w:r>
      <w:r w:rsidR="005B0F97" w:rsidRPr="00C74D34">
        <w:t>Find</w:t>
      </w:r>
      <w:r w:rsidR="00146ED6" w:rsidRPr="00C74D34">
        <w:t>i</w:t>
      </w:r>
      <w:r w:rsidR="005B0F97" w:rsidRPr="00C74D34">
        <w:t xml:space="preserve">ngs of Fact and </w:t>
      </w:r>
      <w:r w:rsidR="00146ED6" w:rsidRPr="00C74D34">
        <w:t>C</w:t>
      </w:r>
      <w:r w:rsidR="008B0DAE" w:rsidRPr="00C74D34">
        <w:t xml:space="preserve">onclusions </w:t>
      </w:r>
      <w:r w:rsidR="00327094" w:rsidRPr="00C74D34">
        <w:t xml:space="preserve">of Law </w:t>
      </w:r>
      <w:r w:rsidR="008B0DAE" w:rsidRPr="00C74D34">
        <w:t>a</w:t>
      </w:r>
      <w:r w:rsidR="00726BAA" w:rsidRPr="00C74D34">
        <w:t xml:space="preserve">re </w:t>
      </w:r>
      <w:r w:rsidR="00337E84" w:rsidRPr="00C74D34">
        <w:t xml:space="preserve">rendered </w:t>
      </w:r>
      <w:r w:rsidR="00726BAA" w:rsidRPr="00C74D34">
        <w:t>moot</w:t>
      </w:r>
      <w:r w:rsidR="00146ED6" w:rsidRPr="00C74D34">
        <w:t>,</w:t>
      </w:r>
      <w:r w:rsidR="00726BAA" w:rsidRPr="00C74D34">
        <w:t xml:space="preserve"> to the </w:t>
      </w:r>
      <w:r w:rsidR="00146ED6" w:rsidRPr="00C74D34">
        <w:t xml:space="preserve">limited </w:t>
      </w:r>
      <w:r w:rsidR="003125B0" w:rsidRPr="00C74D34">
        <w:t xml:space="preserve">extent </w:t>
      </w:r>
      <w:r w:rsidR="0023166F" w:rsidRPr="00C74D34">
        <w:t xml:space="preserve">that </w:t>
      </w:r>
      <w:r w:rsidR="003125B0" w:rsidRPr="00C74D34">
        <w:t xml:space="preserve">they </w:t>
      </w:r>
      <w:r w:rsidR="00F82BCD" w:rsidRPr="00C74D34">
        <w:t xml:space="preserve">reach a separate </w:t>
      </w:r>
      <w:r w:rsidR="003125B0" w:rsidRPr="00C74D34">
        <w:t>conclu</w:t>
      </w:r>
      <w:r w:rsidR="00F82BCD" w:rsidRPr="00C74D34">
        <w:t xml:space="preserve">sion of </w:t>
      </w:r>
      <w:r w:rsidR="003125B0" w:rsidRPr="00C74D34">
        <w:t>a failure to meet a</w:t>
      </w:r>
      <w:r w:rsidR="00BF0CB1" w:rsidRPr="00C74D34">
        <w:t>n</w:t>
      </w:r>
      <w:r w:rsidR="003125B0" w:rsidRPr="00C74D34">
        <w:t xml:space="preserve"> enumerated requirement under </w:t>
      </w:r>
      <w:r w:rsidR="00B94902" w:rsidRPr="00C74D34">
        <w:t xml:space="preserve">Section </w:t>
      </w:r>
      <w:r w:rsidR="003125B0" w:rsidRPr="00C74D34">
        <w:t>57.76(a)</w:t>
      </w:r>
      <w:r w:rsidR="0023166F" w:rsidRPr="00C74D34">
        <w:t>(2)-(4)</w:t>
      </w:r>
      <w:r w:rsidR="008B0DAE" w:rsidRPr="00C74D34">
        <w:t>, as basis to de</w:t>
      </w:r>
      <w:r w:rsidR="00666E39" w:rsidRPr="00C74D34">
        <w:t>ny the siting Applications</w:t>
      </w:r>
      <w:r w:rsidR="003125B0" w:rsidRPr="00C74D34">
        <w:t xml:space="preserve">.  </w:t>
      </w:r>
    </w:p>
    <w:p w14:paraId="74DDC73C" w14:textId="77777777" w:rsidR="00FF14C5" w:rsidRPr="00C74D34" w:rsidRDefault="00FF14C5" w:rsidP="002D03FA">
      <w:pPr>
        <w:pStyle w:val="TOCH4"/>
        <w:numPr>
          <w:ilvl w:val="0"/>
          <w:numId w:val="0"/>
        </w:numPr>
        <w:ind w:firstLine="1440"/>
        <w:jc w:val="left"/>
        <w:outlineLvl w:val="9"/>
        <w:rPr>
          <w:b w:val="0"/>
          <w:bCs/>
        </w:rPr>
      </w:pPr>
    </w:p>
    <w:p w14:paraId="1B2C8C58" w14:textId="474686B6" w:rsidR="00E14EDC" w:rsidRPr="00C74D34" w:rsidRDefault="003125B0" w:rsidP="002D03FA">
      <w:pPr>
        <w:ind w:firstLine="1440"/>
      </w:pPr>
      <w:r w:rsidRPr="00C74D34">
        <w:t xml:space="preserve">To the extent the </w:t>
      </w:r>
      <w:r w:rsidR="00214D8D" w:rsidRPr="00C74D34">
        <w:t xml:space="preserve">ALJ’s </w:t>
      </w:r>
      <w:r w:rsidRPr="00C74D34">
        <w:t xml:space="preserve">findings </w:t>
      </w:r>
      <w:r w:rsidR="00327094" w:rsidRPr="00C74D34">
        <w:t xml:space="preserve">and conclusions </w:t>
      </w:r>
      <w:r w:rsidR="008E76AB" w:rsidRPr="00C74D34">
        <w:t xml:space="preserve">pertain to </w:t>
      </w:r>
      <w:r w:rsidR="002C21B5" w:rsidRPr="00C74D34">
        <w:t xml:space="preserve">evidence gathered in accordance with </w:t>
      </w:r>
      <w:r w:rsidR="001B7C82" w:rsidRPr="00C74D34">
        <w:t xml:space="preserve">52 Pa. Code </w:t>
      </w:r>
      <w:r w:rsidR="002C21B5" w:rsidRPr="00C74D34">
        <w:t>§</w:t>
      </w:r>
      <w:r w:rsidR="00B94902" w:rsidRPr="00C74D34">
        <w:t> </w:t>
      </w:r>
      <w:r w:rsidR="002C21B5" w:rsidRPr="00C74D34">
        <w:t>57</w:t>
      </w:r>
      <w:r w:rsidR="001B7C82" w:rsidRPr="00C74D34">
        <w:t>.75(e)</w:t>
      </w:r>
      <w:r w:rsidR="00B94902" w:rsidRPr="00C74D34">
        <w:t xml:space="preserve"> </w:t>
      </w:r>
      <w:r w:rsidR="001B7C82" w:rsidRPr="00C74D34">
        <w:t>(pertain</w:t>
      </w:r>
      <w:r w:rsidR="008E76AB" w:rsidRPr="00C74D34">
        <w:t>in</w:t>
      </w:r>
      <w:r w:rsidR="001B7C82" w:rsidRPr="00C74D34">
        <w:t xml:space="preserve">g to hearing and notice) </w:t>
      </w:r>
      <w:r w:rsidR="00337E84" w:rsidRPr="00C74D34">
        <w:t xml:space="preserve">the findings and conclusions </w:t>
      </w:r>
      <w:r w:rsidR="00666E39" w:rsidRPr="00C74D34">
        <w:t xml:space="preserve">are </w:t>
      </w:r>
      <w:r w:rsidR="00146ED6" w:rsidRPr="00C74D34">
        <w:t>relevant</w:t>
      </w:r>
      <w:r w:rsidR="008E76AB" w:rsidRPr="00C74D34">
        <w:t xml:space="preserve"> to our consider</w:t>
      </w:r>
      <w:r w:rsidR="00FF4831" w:rsidRPr="00C74D34">
        <w:t xml:space="preserve">ation </w:t>
      </w:r>
      <w:r w:rsidR="00146ED6" w:rsidRPr="00C74D34">
        <w:t xml:space="preserve">of the </w:t>
      </w:r>
      <w:r w:rsidR="00281D49" w:rsidRPr="00C74D34">
        <w:t xml:space="preserve">weight of </w:t>
      </w:r>
      <w:r w:rsidR="00214D8D" w:rsidRPr="00C74D34">
        <w:t xml:space="preserve">all </w:t>
      </w:r>
      <w:r w:rsidR="00281D49" w:rsidRPr="00C74D34">
        <w:t xml:space="preserve">the evidence, and </w:t>
      </w:r>
      <w:r w:rsidR="009C4B74" w:rsidRPr="00C74D34">
        <w:t xml:space="preserve">our </w:t>
      </w:r>
      <w:r w:rsidR="00281D49" w:rsidRPr="00C74D34">
        <w:t>decision rendered pursuant to our authority under Section 1501 of the C</w:t>
      </w:r>
      <w:r w:rsidR="0099490D" w:rsidRPr="00C74D34">
        <w:t>o</w:t>
      </w:r>
      <w:r w:rsidR="00281D49" w:rsidRPr="00C74D34">
        <w:t>de and 52 Pa. Code § 57.75(a)(1)</w:t>
      </w:r>
      <w:r w:rsidR="0012776B" w:rsidRPr="00C74D34">
        <w:t>.  The ALJ’s Findings of Fact and Co</w:t>
      </w:r>
      <w:r w:rsidR="005836F8" w:rsidRPr="00C74D34">
        <w:t xml:space="preserve">nclusions </w:t>
      </w:r>
      <w:r w:rsidR="0012776B" w:rsidRPr="00C74D34">
        <w:t xml:space="preserve">of Law </w:t>
      </w:r>
      <w:r w:rsidR="00FF4831" w:rsidRPr="00C74D34">
        <w:t>are</w:t>
      </w:r>
      <w:r w:rsidR="009C4B74" w:rsidRPr="00C74D34">
        <w:t>, therefore,</w:t>
      </w:r>
      <w:r w:rsidR="00FF4831" w:rsidRPr="00C74D34">
        <w:t xml:space="preserve"> adopted and incorporated herein without future reference unless</w:t>
      </w:r>
      <w:r w:rsidR="00CC5C15" w:rsidRPr="00C74D34">
        <w:t xml:space="preserve"> expressly rejected or modified by this Opinion and Order. </w:t>
      </w:r>
      <w:r w:rsidR="008C1BC4" w:rsidRPr="00C74D34">
        <w:t xml:space="preserve"> </w:t>
      </w:r>
    </w:p>
    <w:p w14:paraId="27064903" w14:textId="372BC737" w:rsidR="005836F8" w:rsidRPr="00C74D34" w:rsidRDefault="005836F8" w:rsidP="002D03FA">
      <w:pPr>
        <w:pStyle w:val="TOCH4"/>
        <w:numPr>
          <w:ilvl w:val="0"/>
          <w:numId w:val="0"/>
        </w:numPr>
        <w:ind w:firstLine="1440"/>
        <w:jc w:val="left"/>
        <w:outlineLvl w:val="9"/>
        <w:rPr>
          <w:b w:val="0"/>
          <w:bCs/>
        </w:rPr>
      </w:pPr>
    </w:p>
    <w:p w14:paraId="37982A64" w14:textId="78CD98D0" w:rsidR="004973A3" w:rsidRPr="00C74D34" w:rsidRDefault="004973A3" w:rsidP="002D03FA">
      <w:pPr>
        <w:ind w:firstLine="1440"/>
        <w:rPr>
          <w:szCs w:val="26"/>
        </w:rPr>
      </w:pPr>
      <w:r w:rsidRPr="00C74D34">
        <w:rPr>
          <w:szCs w:val="26"/>
        </w:rPr>
        <w:lastRenderedPageBreak/>
        <w:t xml:space="preserve">To the </w:t>
      </w:r>
      <w:r w:rsidR="00EF7961" w:rsidRPr="00C74D34">
        <w:rPr>
          <w:szCs w:val="26"/>
        </w:rPr>
        <w:t xml:space="preserve">extent </w:t>
      </w:r>
      <w:proofErr w:type="spellStart"/>
      <w:r w:rsidRPr="00C74D34">
        <w:rPr>
          <w:szCs w:val="26"/>
        </w:rPr>
        <w:t>Transource’s</w:t>
      </w:r>
      <w:proofErr w:type="spellEnd"/>
      <w:r w:rsidRPr="00C74D34">
        <w:rPr>
          <w:szCs w:val="26"/>
        </w:rPr>
        <w:t xml:space="preserve"> </w:t>
      </w:r>
      <w:r w:rsidR="00EF7961" w:rsidRPr="00C74D34">
        <w:rPr>
          <w:szCs w:val="26"/>
        </w:rPr>
        <w:t>Exception No. 1 asserts</w:t>
      </w:r>
      <w:r w:rsidR="00260C59" w:rsidRPr="00C74D34">
        <w:rPr>
          <w:szCs w:val="26"/>
        </w:rPr>
        <w:t xml:space="preserve"> or implies</w:t>
      </w:r>
      <w:r w:rsidR="00EF7961" w:rsidRPr="00C74D34">
        <w:rPr>
          <w:szCs w:val="26"/>
        </w:rPr>
        <w:t xml:space="preserve"> that </w:t>
      </w:r>
      <w:r w:rsidRPr="00C74D34">
        <w:rPr>
          <w:szCs w:val="26"/>
        </w:rPr>
        <w:t>federal jurisdiction controls questions of need for state approval of the PJM-approved regional transmission project</w:t>
      </w:r>
      <w:r w:rsidR="00EF7961" w:rsidRPr="00C74D34">
        <w:rPr>
          <w:szCs w:val="26"/>
        </w:rPr>
        <w:t xml:space="preserve">, we </w:t>
      </w:r>
      <w:r w:rsidR="00227BDF" w:rsidRPr="00C74D34">
        <w:rPr>
          <w:szCs w:val="26"/>
        </w:rPr>
        <w:t xml:space="preserve">reject </w:t>
      </w:r>
      <w:proofErr w:type="spellStart"/>
      <w:r w:rsidR="00227BDF" w:rsidRPr="00C74D34">
        <w:rPr>
          <w:szCs w:val="26"/>
        </w:rPr>
        <w:t>Transource’s</w:t>
      </w:r>
      <w:proofErr w:type="spellEnd"/>
      <w:r w:rsidR="00227BDF" w:rsidRPr="00C74D34">
        <w:rPr>
          <w:szCs w:val="26"/>
        </w:rPr>
        <w:t xml:space="preserve"> position.</w:t>
      </w:r>
      <w:r w:rsidR="00B11342" w:rsidRPr="00C74D34">
        <w:rPr>
          <w:szCs w:val="26"/>
        </w:rPr>
        <w:t xml:space="preserve">  </w:t>
      </w:r>
      <w:r w:rsidR="00227BDF" w:rsidRPr="00C74D34">
        <w:rPr>
          <w:szCs w:val="26"/>
        </w:rPr>
        <w:t>We agree with the ALJ</w:t>
      </w:r>
      <w:r w:rsidR="008D5CD6" w:rsidRPr="00C74D34">
        <w:rPr>
          <w:szCs w:val="26"/>
        </w:rPr>
        <w:t xml:space="preserve">, </w:t>
      </w:r>
      <w:r w:rsidR="00227BDF" w:rsidRPr="00C74D34">
        <w:rPr>
          <w:szCs w:val="26"/>
        </w:rPr>
        <w:t xml:space="preserve">the OCA, Franklin County and </w:t>
      </w:r>
      <w:r w:rsidR="00FF6559" w:rsidRPr="00C74D34">
        <w:rPr>
          <w:szCs w:val="26"/>
        </w:rPr>
        <w:t xml:space="preserve">STFC, that the issue of whether the </w:t>
      </w:r>
      <w:r w:rsidR="0093428B" w:rsidRPr="00C74D34">
        <w:rPr>
          <w:szCs w:val="26"/>
        </w:rPr>
        <w:t>element of “</w:t>
      </w:r>
      <w:r w:rsidR="00FF6559" w:rsidRPr="00C74D34">
        <w:rPr>
          <w:szCs w:val="26"/>
        </w:rPr>
        <w:t>need</w:t>
      </w:r>
      <w:r w:rsidR="0093428B" w:rsidRPr="00C74D34">
        <w:rPr>
          <w:szCs w:val="26"/>
        </w:rPr>
        <w:t xml:space="preserve">” </w:t>
      </w:r>
      <w:r w:rsidR="00FF6559" w:rsidRPr="00C74D34">
        <w:rPr>
          <w:szCs w:val="26"/>
        </w:rPr>
        <w:t>for</w:t>
      </w:r>
      <w:r w:rsidR="0093428B" w:rsidRPr="00C74D34">
        <w:rPr>
          <w:szCs w:val="26"/>
        </w:rPr>
        <w:t xml:space="preserve"> Project</w:t>
      </w:r>
      <w:r w:rsidR="009346F5">
        <w:rPr>
          <w:szCs w:val="26"/>
        </w:rPr>
        <w:t> </w:t>
      </w:r>
      <w:r w:rsidR="0093428B" w:rsidRPr="00C74D34">
        <w:rPr>
          <w:szCs w:val="26"/>
        </w:rPr>
        <w:t xml:space="preserve">9A is satisfied, is matter falling under this Commission’s </w:t>
      </w:r>
      <w:r w:rsidR="008D5CD6" w:rsidRPr="00C74D34">
        <w:rPr>
          <w:szCs w:val="26"/>
        </w:rPr>
        <w:t>jurisdiction</w:t>
      </w:r>
      <w:r w:rsidR="0093428B" w:rsidRPr="00C74D34">
        <w:rPr>
          <w:szCs w:val="26"/>
        </w:rPr>
        <w:t xml:space="preserve"> </w:t>
      </w:r>
      <w:r w:rsidR="008D5CD6" w:rsidRPr="00C74D34">
        <w:rPr>
          <w:szCs w:val="26"/>
        </w:rPr>
        <w:t xml:space="preserve">and discretion </w:t>
      </w:r>
      <w:r w:rsidR="0093428B" w:rsidRPr="00C74D34">
        <w:rPr>
          <w:szCs w:val="26"/>
        </w:rPr>
        <w:t xml:space="preserve">to </w:t>
      </w:r>
      <w:r w:rsidR="00E25EBA" w:rsidRPr="00C74D34">
        <w:rPr>
          <w:szCs w:val="26"/>
        </w:rPr>
        <w:t>approve siting applications under the Code, Commission Regulation</w:t>
      </w:r>
      <w:r w:rsidR="007D5B69" w:rsidRPr="00C74D34">
        <w:rPr>
          <w:szCs w:val="26"/>
        </w:rPr>
        <w:t xml:space="preserve"> at 52 Pa. Code §</w:t>
      </w:r>
      <w:r w:rsidR="00B94902" w:rsidRPr="00C74D34">
        <w:rPr>
          <w:szCs w:val="26"/>
        </w:rPr>
        <w:t> </w:t>
      </w:r>
      <w:r w:rsidR="007D5B69" w:rsidRPr="00C74D34">
        <w:rPr>
          <w:szCs w:val="26"/>
        </w:rPr>
        <w:t xml:space="preserve">57.76(a)(1) and </w:t>
      </w:r>
      <w:r w:rsidR="008D5CD6" w:rsidRPr="00C74D34">
        <w:rPr>
          <w:szCs w:val="26"/>
        </w:rPr>
        <w:t>relevant</w:t>
      </w:r>
      <w:r w:rsidR="007D5B69" w:rsidRPr="00C74D34">
        <w:rPr>
          <w:szCs w:val="26"/>
        </w:rPr>
        <w:t xml:space="preserve"> caselaw. </w:t>
      </w:r>
      <w:r w:rsidR="00E25EBA" w:rsidRPr="00C74D34">
        <w:rPr>
          <w:szCs w:val="26"/>
        </w:rPr>
        <w:t xml:space="preserve"> </w:t>
      </w:r>
    </w:p>
    <w:p w14:paraId="21E664E6" w14:textId="1EB99BF5" w:rsidR="00260C59" w:rsidRPr="00C74D34" w:rsidRDefault="00260C59" w:rsidP="002D03FA">
      <w:pPr>
        <w:ind w:firstLine="1440"/>
        <w:rPr>
          <w:szCs w:val="26"/>
        </w:rPr>
      </w:pPr>
    </w:p>
    <w:p w14:paraId="389CD4A4" w14:textId="78F493BC" w:rsidR="004A7E54" w:rsidRPr="00C74D34" w:rsidRDefault="00260C59" w:rsidP="002D03FA">
      <w:pPr>
        <w:ind w:firstLine="1440"/>
        <w:rPr>
          <w:szCs w:val="26"/>
        </w:rPr>
      </w:pPr>
      <w:r w:rsidRPr="00C74D34">
        <w:rPr>
          <w:szCs w:val="26"/>
        </w:rPr>
        <w:t xml:space="preserve">When viewed in the context of this Commission’s </w:t>
      </w:r>
      <w:r w:rsidR="00802C8B" w:rsidRPr="00C74D34">
        <w:rPr>
          <w:szCs w:val="26"/>
        </w:rPr>
        <w:t xml:space="preserve">jurisdiction to render an independent determination of the issue of “need” for the proposed </w:t>
      </w:r>
      <w:r w:rsidR="00222937" w:rsidRPr="00C74D34">
        <w:rPr>
          <w:szCs w:val="26"/>
        </w:rPr>
        <w:t>siting</w:t>
      </w:r>
      <w:r w:rsidR="00245211" w:rsidRPr="00C74D34">
        <w:rPr>
          <w:szCs w:val="26"/>
        </w:rPr>
        <w:t xml:space="preserve"> </w:t>
      </w:r>
      <w:r w:rsidR="00222937" w:rsidRPr="00C74D34">
        <w:rPr>
          <w:szCs w:val="26"/>
        </w:rPr>
        <w:t>and construction of transmission line</w:t>
      </w:r>
      <w:r w:rsidR="00245211" w:rsidRPr="00C74D34">
        <w:rPr>
          <w:szCs w:val="26"/>
        </w:rPr>
        <w:t>s</w:t>
      </w:r>
      <w:r w:rsidR="00222937" w:rsidRPr="00C74D34">
        <w:rPr>
          <w:szCs w:val="26"/>
        </w:rPr>
        <w:t xml:space="preserve"> under Project 9A, </w:t>
      </w:r>
      <w:proofErr w:type="spellStart"/>
      <w:r w:rsidR="00222937" w:rsidRPr="00C74D34">
        <w:rPr>
          <w:szCs w:val="26"/>
        </w:rPr>
        <w:t>Transource</w:t>
      </w:r>
      <w:r w:rsidR="00245211" w:rsidRPr="00C74D34">
        <w:rPr>
          <w:szCs w:val="26"/>
        </w:rPr>
        <w:t>’</w:t>
      </w:r>
      <w:r w:rsidR="00222937" w:rsidRPr="00C74D34">
        <w:rPr>
          <w:szCs w:val="26"/>
        </w:rPr>
        <w:t>s</w:t>
      </w:r>
      <w:proofErr w:type="spellEnd"/>
      <w:r w:rsidR="00222937" w:rsidRPr="00C74D34">
        <w:rPr>
          <w:szCs w:val="26"/>
        </w:rPr>
        <w:t xml:space="preserve"> </w:t>
      </w:r>
      <w:r w:rsidRPr="00C74D34">
        <w:rPr>
          <w:szCs w:val="26"/>
        </w:rPr>
        <w:t xml:space="preserve">arguments </w:t>
      </w:r>
      <w:r w:rsidR="00DB6E35" w:rsidRPr="00C74D34">
        <w:rPr>
          <w:szCs w:val="26"/>
        </w:rPr>
        <w:t>are not persuas</w:t>
      </w:r>
      <w:r w:rsidR="00245211" w:rsidRPr="00C74D34">
        <w:rPr>
          <w:szCs w:val="26"/>
        </w:rPr>
        <w:t xml:space="preserve">ive.  </w:t>
      </w:r>
      <w:r w:rsidR="00CB62FC" w:rsidRPr="00C74D34">
        <w:rPr>
          <w:szCs w:val="26"/>
        </w:rPr>
        <w:t xml:space="preserve">The </w:t>
      </w:r>
      <w:r w:rsidR="00952B40" w:rsidRPr="00C74D34">
        <w:rPr>
          <w:szCs w:val="26"/>
        </w:rPr>
        <w:t xml:space="preserve">premise underlying </w:t>
      </w:r>
      <w:proofErr w:type="spellStart"/>
      <w:r w:rsidR="00CB62FC" w:rsidRPr="00C74D34">
        <w:rPr>
          <w:szCs w:val="26"/>
        </w:rPr>
        <w:t>Transource’s</w:t>
      </w:r>
      <w:proofErr w:type="spellEnd"/>
      <w:r w:rsidR="00CB62FC" w:rsidRPr="00C74D34">
        <w:rPr>
          <w:szCs w:val="26"/>
        </w:rPr>
        <w:t xml:space="preserve"> arguments that the element of need has been satisfied </w:t>
      </w:r>
      <w:r w:rsidR="00CC71AD" w:rsidRPr="00C74D34">
        <w:rPr>
          <w:szCs w:val="26"/>
        </w:rPr>
        <w:t xml:space="preserve">under the Pennsylvania standards </w:t>
      </w:r>
      <w:r w:rsidR="00866A25" w:rsidRPr="00C74D34">
        <w:rPr>
          <w:szCs w:val="26"/>
        </w:rPr>
        <w:t xml:space="preserve">is </w:t>
      </w:r>
      <w:proofErr w:type="spellStart"/>
      <w:r w:rsidR="00866A25" w:rsidRPr="00C74D34">
        <w:rPr>
          <w:szCs w:val="26"/>
        </w:rPr>
        <w:t>Transource’s</w:t>
      </w:r>
      <w:proofErr w:type="spellEnd"/>
      <w:r w:rsidR="00866A25" w:rsidRPr="00C74D34">
        <w:rPr>
          <w:szCs w:val="26"/>
        </w:rPr>
        <w:t xml:space="preserve"> assertion that the factors relied upon by PJM </w:t>
      </w:r>
      <w:r w:rsidR="00B5562D" w:rsidRPr="00C74D34">
        <w:rPr>
          <w:szCs w:val="26"/>
        </w:rPr>
        <w:t>an</w:t>
      </w:r>
      <w:r w:rsidR="00853675" w:rsidRPr="00C74D34">
        <w:rPr>
          <w:szCs w:val="26"/>
        </w:rPr>
        <w:t>d</w:t>
      </w:r>
      <w:r w:rsidR="00B5562D" w:rsidRPr="00C74D34">
        <w:rPr>
          <w:szCs w:val="26"/>
        </w:rPr>
        <w:t xml:space="preserve"> the methodology and process for PJM-approval of a project should be</w:t>
      </w:r>
      <w:r w:rsidR="00853675" w:rsidRPr="00C74D34">
        <w:rPr>
          <w:szCs w:val="26"/>
        </w:rPr>
        <w:t xml:space="preserve"> </w:t>
      </w:r>
      <w:r w:rsidR="00B5562D" w:rsidRPr="00C74D34">
        <w:rPr>
          <w:szCs w:val="26"/>
        </w:rPr>
        <w:t xml:space="preserve">the only criteria </w:t>
      </w:r>
      <w:r w:rsidR="00764D2B" w:rsidRPr="00C74D34">
        <w:rPr>
          <w:szCs w:val="26"/>
        </w:rPr>
        <w:t xml:space="preserve">relevant to </w:t>
      </w:r>
      <w:r w:rsidR="00B5562D" w:rsidRPr="00C74D34">
        <w:rPr>
          <w:szCs w:val="26"/>
        </w:rPr>
        <w:t>this Commission’s review</w:t>
      </w:r>
      <w:r w:rsidR="00DF5088" w:rsidRPr="00C74D34">
        <w:rPr>
          <w:szCs w:val="26"/>
        </w:rPr>
        <w:t xml:space="preserve"> and </w:t>
      </w:r>
      <w:r w:rsidR="00626D01" w:rsidRPr="00C74D34">
        <w:rPr>
          <w:szCs w:val="26"/>
        </w:rPr>
        <w:t xml:space="preserve">such criteria </w:t>
      </w:r>
      <w:r w:rsidR="00DF5088" w:rsidRPr="00C74D34">
        <w:rPr>
          <w:szCs w:val="26"/>
        </w:rPr>
        <w:t xml:space="preserve">is not subject to </w:t>
      </w:r>
      <w:r w:rsidR="00C42960" w:rsidRPr="00C74D34">
        <w:rPr>
          <w:szCs w:val="26"/>
        </w:rPr>
        <w:t>critical</w:t>
      </w:r>
      <w:r w:rsidR="00DF5088" w:rsidRPr="00C74D34">
        <w:rPr>
          <w:szCs w:val="26"/>
        </w:rPr>
        <w:t xml:space="preserve"> analysis</w:t>
      </w:r>
      <w:r w:rsidR="00B5562D" w:rsidRPr="00C74D34">
        <w:rPr>
          <w:szCs w:val="26"/>
        </w:rPr>
        <w:t xml:space="preserve">.  </w:t>
      </w:r>
      <w:r w:rsidR="00853675" w:rsidRPr="00C74D34">
        <w:rPr>
          <w:szCs w:val="26"/>
        </w:rPr>
        <w:t xml:space="preserve">However, </w:t>
      </w:r>
      <w:proofErr w:type="spellStart"/>
      <w:r w:rsidR="00853675" w:rsidRPr="00C74D34">
        <w:rPr>
          <w:szCs w:val="26"/>
        </w:rPr>
        <w:t>Transou</w:t>
      </w:r>
      <w:r w:rsidR="00755831" w:rsidRPr="00C74D34">
        <w:rPr>
          <w:szCs w:val="26"/>
        </w:rPr>
        <w:t>rce’s</w:t>
      </w:r>
      <w:proofErr w:type="spellEnd"/>
      <w:r w:rsidR="00755831" w:rsidRPr="00C74D34">
        <w:rPr>
          <w:szCs w:val="26"/>
        </w:rPr>
        <w:t xml:space="preserve"> argument is flawed in a material respect:</w:t>
      </w:r>
      <w:r w:rsidR="00A11FEB" w:rsidRPr="00C74D34">
        <w:rPr>
          <w:szCs w:val="26"/>
        </w:rPr>
        <w:t xml:space="preserve"> </w:t>
      </w:r>
      <w:r w:rsidR="00755831" w:rsidRPr="00C74D34">
        <w:rPr>
          <w:szCs w:val="26"/>
        </w:rPr>
        <w:t xml:space="preserve"> need</w:t>
      </w:r>
      <w:r w:rsidR="00B94902" w:rsidRPr="00C74D34">
        <w:rPr>
          <w:szCs w:val="26"/>
        </w:rPr>
        <w:t>,</w:t>
      </w:r>
      <w:r w:rsidR="00755831" w:rsidRPr="00C74D34">
        <w:rPr>
          <w:szCs w:val="26"/>
        </w:rPr>
        <w:t xml:space="preserve"> established under the applicable </w:t>
      </w:r>
      <w:r w:rsidR="00BF40D1" w:rsidRPr="00C74D34">
        <w:rPr>
          <w:szCs w:val="26"/>
        </w:rPr>
        <w:t xml:space="preserve">federal standards imposed by FERC and </w:t>
      </w:r>
      <w:r w:rsidR="00764D2B" w:rsidRPr="00C74D34">
        <w:rPr>
          <w:szCs w:val="26"/>
        </w:rPr>
        <w:t xml:space="preserve">implemented by </w:t>
      </w:r>
      <w:r w:rsidR="00BF40D1" w:rsidRPr="00C74D34">
        <w:rPr>
          <w:szCs w:val="26"/>
        </w:rPr>
        <w:t>PJM, do not necessarily satisfy the requirement for “need” as th</w:t>
      </w:r>
      <w:r w:rsidR="00AD2F37" w:rsidRPr="00C74D34">
        <w:rPr>
          <w:szCs w:val="26"/>
        </w:rPr>
        <w:t xml:space="preserve">at element is examined and weighed under </w:t>
      </w:r>
      <w:r w:rsidR="00FF52BB" w:rsidRPr="00C74D34">
        <w:rPr>
          <w:szCs w:val="26"/>
        </w:rPr>
        <w:t xml:space="preserve">Section 1501 of the Code, </w:t>
      </w:r>
      <w:r w:rsidR="00C42960" w:rsidRPr="00C74D34">
        <w:rPr>
          <w:szCs w:val="26"/>
        </w:rPr>
        <w:t>Commission</w:t>
      </w:r>
      <w:r w:rsidR="00FF52BB" w:rsidRPr="00C74D34">
        <w:rPr>
          <w:szCs w:val="26"/>
        </w:rPr>
        <w:t xml:space="preserve"> </w:t>
      </w:r>
      <w:r w:rsidR="005A3F66" w:rsidRPr="00C74D34">
        <w:rPr>
          <w:szCs w:val="26"/>
        </w:rPr>
        <w:t>R</w:t>
      </w:r>
      <w:r w:rsidR="00FF52BB" w:rsidRPr="00C74D34">
        <w:rPr>
          <w:szCs w:val="26"/>
        </w:rPr>
        <w:t>egulations, and relev</w:t>
      </w:r>
      <w:r w:rsidR="004A7E54" w:rsidRPr="00C74D34">
        <w:rPr>
          <w:szCs w:val="26"/>
        </w:rPr>
        <w:t>a</w:t>
      </w:r>
      <w:r w:rsidR="00FF52BB" w:rsidRPr="00C74D34">
        <w:rPr>
          <w:szCs w:val="26"/>
        </w:rPr>
        <w:t xml:space="preserve">nt caselaw.  </w:t>
      </w:r>
    </w:p>
    <w:p w14:paraId="6AEF058B" w14:textId="77777777" w:rsidR="004A7E54" w:rsidRPr="00C74D34" w:rsidRDefault="004A7E54" w:rsidP="002D03FA">
      <w:pPr>
        <w:ind w:firstLine="1440"/>
        <w:rPr>
          <w:szCs w:val="26"/>
        </w:rPr>
      </w:pPr>
    </w:p>
    <w:p w14:paraId="5F4709F0" w14:textId="6C339E20" w:rsidR="007975CA" w:rsidRPr="00C74D34" w:rsidRDefault="00052770" w:rsidP="002D03FA">
      <w:pPr>
        <w:ind w:firstLine="1440"/>
        <w:rPr>
          <w:szCs w:val="26"/>
        </w:rPr>
      </w:pPr>
      <w:r w:rsidRPr="00C74D34">
        <w:rPr>
          <w:szCs w:val="26"/>
        </w:rPr>
        <w:t>For example, w</w:t>
      </w:r>
      <w:r w:rsidR="004A7E54" w:rsidRPr="00C74D34">
        <w:rPr>
          <w:szCs w:val="26"/>
        </w:rPr>
        <w:t xml:space="preserve">hile it is true that </w:t>
      </w:r>
      <w:proofErr w:type="spellStart"/>
      <w:r w:rsidR="004A7E54" w:rsidRPr="00C74D34">
        <w:rPr>
          <w:szCs w:val="26"/>
        </w:rPr>
        <w:t>Transou</w:t>
      </w:r>
      <w:r w:rsidR="00D414D4" w:rsidRPr="00C74D34">
        <w:rPr>
          <w:szCs w:val="26"/>
        </w:rPr>
        <w:t>r</w:t>
      </w:r>
      <w:r w:rsidR="004A7E54" w:rsidRPr="00C74D34">
        <w:rPr>
          <w:szCs w:val="26"/>
        </w:rPr>
        <w:t>ce</w:t>
      </w:r>
      <w:r w:rsidR="00240410" w:rsidRPr="00C74D34">
        <w:rPr>
          <w:szCs w:val="26"/>
        </w:rPr>
        <w:t>’s</w:t>
      </w:r>
      <w:proofErr w:type="spellEnd"/>
      <w:r w:rsidR="00240410" w:rsidRPr="00C74D34">
        <w:rPr>
          <w:szCs w:val="26"/>
        </w:rPr>
        <w:t xml:space="preserve"> Project 9A was selected by PJM for successfully addressing the regional planning needs identified </w:t>
      </w:r>
      <w:r w:rsidRPr="00C74D34">
        <w:rPr>
          <w:szCs w:val="26"/>
        </w:rPr>
        <w:t xml:space="preserve">at the time PJM sought the proposals, </w:t>
      </w:r>
      <w:r w:rsidR="00C42960" w:rsidRPr="00C74D34">
        <w:rPr>
          <w:i/>
          <w:iCs/>
          <w:szCs w:val="26"/>
        </w:rPr>
        <w:t>i.e.</w:t>
      </w:r>
      <w:r w:rsidR="00C42960" w:rsidRPr="00C74D34">
        <w:rPr>
          <w:szCs w:val="26"/>
        </w:rPr>
        <w:t>, economic congestion on the AP</w:t>
      </w:r>
      <w:r w:rsidR="00AE5A4B" w:rsidRPr="00C74D34">
        <w:rPr>
          <w:szCs w:val="26"/>
        </w:rPr>
        <w:t xml:space="preserve"> </w:t>
      </w:r>
      <w:r w:rsidR="00C42960" w:rsidRPr="00C74D34">
        <w:rPr>
          <w:szCs w:val="26"/>
        </w:rPr>
        <w:t xml:space="preserve">South </w:t>
      </w:r>
      <w:r w:rsidR="00497677" w:rsidRPr="00C74D34">
        <w:rPr>
          <w:szCs w:val="26"/>
        </w:rPr>
        <w:t xml:space="preserve">Reactive </w:t>
      </w:r>
      <w:r w:rsidR="00C42960" w:rsidRPr="00C74D34">
        <w:rPr>
          <w:szCs w:val="26"/>
        </w:rPr>
        <w:t xml:space="preserve">Interface, </w:t>
      </w:r>
      <w:r w:rsidRPr="00C74D34">
        <w:rPr>
          <w:szCs w:val="26"/>
        </w:rPr>
        <w:t xml:space="preserve">that is not conclusive as to the question of </w:t>
      </w:r>
      <w:r w:rsidR="00240410" w:rsidRPr="00C74D34">
        <w:rPr>
          <w:szCs w:val="26"/>
        </w:rPr>
        <w:t>need</w:t>
      </w:r>
      <w:r w:rsidR="004A7E54" w:rsidRPr="00C74D34">
        <w:rPr>
          <w:szCs w:val="26"/>
        </w:rPr>
        <w:t xml:space="preserve"> </w:t>
      </w:r>
      <w:r w:rsidRPr="00C74D34">
        <w:rPr>
          <w:szCs w:val="26"/>
        </w:rPr>
        <w:t>for the project in th</w:t>
      </w:r>
      <w:r w:rsidR="007A7F69" w:rsidRPr="00C74D34">
        <w:rPr>
          <w:szCs w:val="26"/>
        </w:rPr>
        <w:t xml:space="preserve">is </w:t>
      </w:r>
      <w:r w:rsidRPr="00C74D34">
        <w:rPr>
          <w:szCs w:val="26"/>
        </w:rPr>
        <w:t>Commonwealth.</w:t>
      </w:r>
      <w:r w:rsidR="0098187C" w:rsidRPr="00C74D34">
        <w:rPr>
          <w:szCs w:val="26"/>
        </w:rPr>
        <w:t xml:space="preserve">  </w:t>
      </w:r>
      <w:r w:rsidR="007975CA" w:rsidRPr="00C74D34">
        <w:rPr>
          <w:szCs w:val="26"/>
        </w:rPr>
        <w:t xml:space="preserve">Similarly, </w:t>
      </w:r>
      <w:r w:rsidR="000609E6" w:rsidRPr="00C74D34">
        <w:rPr>
          <w:szCs w:val="26"/>
        </w:rPr>
        <w:t>while the question of “need” for the Project 9A</w:t>
      </w:r>
      <w:r w:rsidR="000D1307" w:rsidRPr="00C74D34">
        <w:rPr>
          <w:szCs w:val="26"/>
        </w:rPr>
        <w:t xml:space="preserve">, </w:t>
      </w:r>
      <w:r w:rsidR="000D1307" w:rsidRPr="00C74D34">
        <w:rPr>
          <w:i/>
          <w:iCs/>
          <w:szCs w:val="26"/>
        </w:rPr>
        <w:t>i.e.</w:t>
      </w:r>
      <w:r w:rsidR="000D1307" w:rsidRPr="00C74D34">
        <w:rPr>
          <w:szCs w:val="26"/>
        </w:rPr>
        <w:t xml:space="preserve">, alleviating economic congestion, </w:t>
      </w:r>
      <w:r w:rsidR="000609E6" w:rsidRPr="00C74D34">
        <w:rPr>
          <w:szCs w:val="26"/>
        </w:rPr>
        <w:t xml:space="preserve">is certainly the </w:t>
      </w:r>
      <w:r w:rsidR="007A7F69" w:rsidRPr="00C74D34">
        <w:rPr>
          <w:szCs w:val="26"/>
        </w:rPr>
        <w:t xml:space="preserve">impetus </w:t>
      </w:r>
      <w:r w:rsidR="000609E6" w:rsidRPr="00C74D34">
        <w:rPr>
          <w:szCs w:val="26"/>
        </w:rPr>
        <w:t>of the FERC</w:t>
      </w:r>
      <w:r w:rsidR="00AC2D41" w:rsidRPr="00C74D34">
        <w:rPr>
          <w:szCs w:val="26"/>
        </w:rPr>
        <w:t xml:space="preserve">-directed </w:t>
      </w:r>
      <w:r w:rsidR="000609E6" w:rsidRPr="00C74D34">
        <w:rPr>
          <w:szCs w:val="26"/>
        </w:rPr>
        <w:t>PJM</w:t>
      </w:r>
      <w:r w:rsidR="00B91C7A" w:rsidRPr="00C74D34">
        <w:rPr>
          <w:szCs w:val="26"/>
        </w:rPr>
        <w:t xml:space="preserve"> process, </w:t>
      </w:r>
      <w:r w:rsidR="00A442EB" w:rsidRPr="00C74D34">
        <w:rPr>
          <w:szCs w:val="26"/>
        </w:rPr>
        <w:t xml:space="preserve">“need” from a PJM planning perspective may </w:t>
      </w:r>
      <w:r w:rsidR="007B210C" w:rsidRPr="00C74D34">
        <w:rPr>
          <w:szCs w:val="26"/>
        </w:rPr>
        <w:t xml:space="preserve">or may </w:t>
      </w:r>
      <w:r w:rsidR="00A442EB" w:rsidRPr="00C74D34">
        <w:rPr>
          <w:szCs w:val="26"/>
        </w:rPr>
        <w:t xml:space="preserve">not be, as </w:t>
      </w:r>
      <w:proofErr w:type="spellStart"/>
      <w:r w:rsidR="00A442EB" w:rsidRPr="00C74D34">
        <w:rPr>
          <w:szCs w:val="26"/>
        </w:rPr>
        <w:t>Transource</w:t>
      </w:r>
      <w:proofErr w:type="spellEnd"/>
      <w:r w:rsidR="00A442EB" w:rsidRPr="00C74D34">
        <w:rPr>
          <w:szCs w:val="26"/>
        </w:rPr>
        <w:t xml:space="preserve"> asserts, </w:t>
      </w:r>
      <w:r w:rsidR="007B210C" w:rsidRPr="00C74D34">
        <w:rPr>
          <w:szCs w:val="26"/>
        </w:rPr>
        <w:t xml:space="preserve">“consistent with the standard for need under Pennsylvania law.”  It is </w:t>
      </w:r>
      <w:r w:rsidR="00D13D09" w:rsidRPr="00C74D34">
        <w:rPr>
          <w:szCs w:val="26"/>
        </w:rPr>
        <w:t xml:space="preserve">for </w:t>
      </w:r>
      <w:r w:rsidR="007B210C" w:rsidRPr="00C74D34">
        <w:rPr>
          <w:szCs w:val="26"/>
        </w:rPr>
        <w:t>th</w:t>
      </w:r>
      <w:r w:rsidR="00D13D09" w:rsidRPr="00C74D34">
        <w:rPr>
          <w:szCs w:val="26"/>
        </w:rPr>
        <w:t>is Commission</w:t>
      </w:r>
      <w:r w:rsidR="00FA5B88" w:rsidRPr="00C74D34">
        <w:rPr>
          <w:szCs w:val="26"/>
        </w:rPr>
        <w:t xml:space="preserve">, not PJM, </w:t>
      </w:r>
      <w:r w:rsidR="00D13D09" w:rsidRPr="00C74D34">
        <w:rPr>
          <w:szCs w:val="26"/>
        </w:rPr>
        <w:t xml:space="preserve">to decide </w:t>
      </w:r>
      <w:r w:rsidR="00D13D09" w:rsidRPr="00C74D34">
        <w:rPr>
          <w:szCs w:val="26"/>
        </w:rPr>
        <w:lastRenderedPageBreak/>
        <w:t>whether the PJM planning perspective is</w:t>
      </w:r>
      <w:r w:rsidR="00D726DA" w:rsidRPr="00C74D34">
        <w:rPr>
          <w:szCs w:val="26"/>
        </w:rPr>
        <w:t>,</w:t>
      </w:r>
      <w:r w:rsidR="00D13D09" w:rsidRPr="00C74D34">
        <w:rPr>
          <w:szCs w:val="26"/>
        </w:rPr>
        <w:t xml:space="preserve"> or is not</w:t>
      </w:r>
      <w:r w:rsidR="00D726DA" w:rsidRPr="00C74D34">
        <w:rPr>
          <w:szCs w:val="26"/>
        </w:rPr>
        <w:t>,</w:t>
      </w:r>
      <w:r w:rsidR="00D13D09" w:rsidRPr="00C74D34">
        <w:rPr>
          <w:szCs w:val="26"/>
        </w:rPr>
        <w:t xml:space="preserve"> in line with</w:t>
      </w:r>
      <w:r w:rsidR="00FA5B88" w:rsidRPr="00C74D34">
        <w:rPr>
          <w:szCs w:val="26"/>
        </w:rPr>
        <w:t xml:space="preserve"> the </w:t>
      </w:r>
      <w:r w:rsidR="00D726DA" w:rsidRPr="00C74D34">
        <w:rPr>
          <w:szCs w:val="26"/>
        </w:rPr>
        <w:t xml:space="preserve">Pennsylvania </w:t>
      </w:r>
      <w:r w:rsidR="00FA5B88" w:rsidRPr="00C74D34">
        <w:rPr>
          <w:szCs w:val="26"/>
        </w:rPr>
        <w:t xml:space="preserve">standard for </w:t>
      </w:r>
      <w:r w:rsidR="00D13D09" w:rsidRPr="00C74D34">
        <w:rPr>
          <w:szCs w:val="26"/>
        </w:rPr>
        <w:t xml:space="preserve">“need” </w:t>
      </w:r>
      <w:r w:rsidR="00D726DA" w:rsidRPr="00C74D34">
        <w:rPr>
          <w:szCs w:val="26"/>
        </w:rPr>
        <w:t xml:space="preserve">under the Code, Commission Regulations and relevant caselaw. </w:t>
      </w:r>
    </w:p>
    <w:p w14:paraId="31CDA121" w14:textId="77777777" w:rsidR="007975CA" w:rsidRPr="00C74D34" w:rsidRDefault="007975CA" w:rsidP="002D03FA">
      <w:pPr>
        <w:ind w:firstLine="1440"/>
        <w:rPr>
          <w:szCs w:val="26"/>
        </w:rPr>
      </w:pPr>
    </w:p>
    <w:p w14:paraId="7E785017" w14:textId="10426A4D" w:rsidR="00B5562D" w:rsidRPr="00C74D34" w:rsidRDefault="001F7FD6" w:rsidP="002D03FA">
      <w:pPr>
        <w:ind w:firstLine="1440"/>
        <w:rPr>
          <w:szCs w:val="26"/>
        </w:rPr>
      </w:pPr>
      <w:r w:rsidRPr="00C74D34">
        <w:rPr>
          <w:szCs w:val="26"/>
        </w:rPr>
        <w:t>In addition, i</w:t>
      </w:r>
      <w:r w:rsidR="0098187C" w:rsidRPr="00C74D34">
        <w:rPr>
          <w:szCs w:val="26"/>
        </w:rPr>
        <w:t xml:space="preserve">t is not </w:t>
      </w:r>
      <w:r w:rsidRPr="00C74D34">
        <w:rPr>
          <w:szCs w:val="26"/>
        </w:rPr>
        <w:t>accurate</w:t>
      </w:r>
      <w:r w:rsidR="0098187C" w:rsidRPr="00C74D34">
        <w:rPr>
          <w:szCs w:val="26"/>
        </w:rPr>
        <w:t xml:space="preserve">, as </w:t>
      </w:r>
      <w:proofErr w:type="spellStart"/>
      <w:r w:rsidR="0020166D" w:rsidRPr="00C74D34">
        <w:rPr>
          <w:szCs w:val="26"/>
        </w:rPr>
        <w:t>Transource</w:t>
      </w:r>
      <w:proofErr w:type="spellEnd"/>
      <w:r w:rsidR="0098187C" w:rsidRPr="00C74D34">
        <w:rPr>
          <w:szCs w:val="26"/>
        </w:rPr>
        <w:t xml:space="preserve"> asserts</w:t>
      </w:r>
      <w:r w:rsidR="00F760C1" w:rsidRPr="00C74D34">
        <w:rPr>
          <w:szCs w:val="26"/>
        </w:rPr>
        <w:t>,</w:t>
      </w:r>
      <w:r w:rsidR="0098187C" w:rsidRPr="00C74D34">
        <w:rPr>
          <w:szCs w:val="26"/>
        </w:rPr>
        <w:t xml:space="preserve"> that </w:t>
      </w:r>
      <w:r w:rsidR="00F760C1" w:rsidRPr="00C74D34">
        <w:rPr>
          <w:szCs w:val="26"/>
        </w:rPr>
        <w:t xml:space="preserve">the ALJ </w:t>
      </w:r>
      <w:r w:rsidR="00BF7BFF" w:rsidRPr="00C74D34">
        <w:rPr>
          <w:szCs w:val="26"/>
        </w:rPr>
        <w:t xml:space="preserve">either </w:t>
      </w:r>
      <w:r w:rsidR="00F760C1" w:rsidRPr="00C74D34">
        <w:rPr>
          <w:szCs w:val="26"/>
        </w:rPr>
        <w:t>“failed</w:t>
      </w:r>
      <w:r w:rsidR="00052770" w:rsidRPr="00C74D34">
        <w:rPr>
          <w:szCs w:val="26"/>
        </w:rPr>
        <w:t xml:space="preserve"> </w:t>
      </w:r>
      <w:r w:rsidR="00F760C1" w:rsidRPr="00C74D34">
        <w:rPr>
          <w:szCs w:val="26"/>
        </w:rPr>
        <w:t>to consider FERC’s requirement for regional transmission planning in Order</w:t>
      </w:r>
      <w:r w:rsidR="009346F5">
        <w:rPr>
          <w:szCs w:val="26"/>
        </w:rPr>
        <w:t> </w:t>
      </w:r>
      <w:r w:rsidR="00F760C1" w:rsidRPr="00C74D34">
        <w:rPr>
          <w:szCs w:val="26"/>
        </w:rPr>
        <w:t>1000</w:t>
      </w:r>
      <w:r w:rsidRPr="00C74D34">
        <w:rPr>
          <w:szCs w:val="26"/>
        </w:rPr>
        <w:t>”</w:t>
      </w:r>
      <w:r w:rsidR="00E571D8" w:rsidRPr="00C74D34">
        <w:rPr>
          <w:szCs w:val="26"/>
        </w:rPr>
        <w:t xml:space="preserve"> or “fail</w:t>
      </w:r>
      <w:r w:rsidR="00BF7BFF" w:rsidRPr="00C74D34">
        <w:rPr>
          <w:szCs w:val="26"/>
        </w:rPr>
        <w:t>ed</w:t>
      </w:r>
      <w:r w:rsidR="00E571D8" w:rsidRPr="00C74D34">
        <w:rPr>
          <w:szCs w:val="26"/>
        </w:rPr>
        <w:t xml:space="preserve"> to give proper weight to PJM’s regional planning authority as directed by FERC Order 1000</w:t>
      </w:r>
      <w:r w:rsidR="00BF7BFF" w:rsidRPr="00C74D34">
        <w:rPr>
          <w:szCs w:val="26"/>
        </w:rPr>
        <w:t xml:space="preserve">.” </w:t>
      </w:r>
      <w:r w:rsidRPr="00C74D34">
        <w:rPr>
          <w:szCs w:val="26"/>
        </w:rPr>
        <w:t xml:space="preserve"> To the contrary, the ALJ expressly </w:t>
      </w:r>
      <w:r w:rsidRPr="00C74D34">
        <w:rPr>
          <w:i/>
          <w:iCs/>
          <w:szCs w:val="26"/>
        </w:rPr>
        <w:t>did</w:t>
      </w:r>
      <w:r w:rsidRPr="00C74D34">
        <w:rPr>
          <w:szCs w:val="26"/>
        </w:rPr>
        <w:t xml:space="preserve"> consider </w:t>
      </w:r>
      <w:r w:rsidR="004634C7" w:rsidRPr="00C74D34">
        <w:rPr>
          <w:szCs w:val="26"/>
        </w:rPr>
        <w:t>PJM’s regional planning responsibilities, and weighed those consideration</w:t>
      </w:r>
      <w:r w:rsidR="00A11FEB" w:rsidRPr="00C74D34">
        <w:rPr>
          <w:szCs w:val="26"/>
        </w:rPr>
        <w:t>s</w:t>
      </w:r>
      <w:r w:rsidR="004634C7" w:rsidRPr="00C74D34">
        <w:rPr>
          <w:szCs w:val="26"/>
        </w:rPr>
        <w:t xml:space="preserve"> as part of, but not dispositive of, the w</w:t>
      </w:r>
      <w:r w:rsidR="00107478" w:rsidRPr="00C74D34">
        <w:rPr>
          <w:szCs w:val="26"/>
        </w:rPr>
        <w:t>e</w:t>
      </w:r>
      <w:r w:rsidR="004634C7" w:rsidRPr="00C74D34">
        <w:rPr>
          <w:szCs w:val="26"/>
        </w:rPr>
        <w:t>ight o</w:t>
      </w:r>
      <w:r w:rsidR="00353F9B" w:rsidRPr="00C74D34">
        <w:rPr>
          <w:szCs w:val="26"/>
        </w:rPr>
        <w:t>f the evidence regarding “need” under 52 Pa. Code §</w:t>
      </w:r>
      <w:r w:rsidR="0020166D" w:rsidRPr="00C74D34">
        <w:rPr>
          <w:szCs w:val="26"/>
        </w:rPr>
        <w:t> </w:t>
      </w:r>
      <w:r w:rsidR="00353F9B" w:rsidRPr="00C74D34">
        <w:rPr>
          <w:szCs w:val="26"/>
        </w:rPr>
        <w:t xml:space="preserve">57.76(a)(1).  </w:t>
      </w:r>
    </w:p>
    <w:p w14:paraId="326BA43B" w14:textId="77777777" w:rsidR="00B5562D" w:rsidRPr="00C74D34" w:rsidRDefault="00B5562D" w:rsidP="002D03FA">
      <w:pPr>
        <w:ind w:firstLine="1440"/>
        <w:rPr>
          <w:szCs w:val="26"/>
        </w:rPr>
      </w:pPr>
    </w:p>
    <w:p w14:paraId="2646F586" w14:textId="13462372" w:rsidR="00F0726D" w:rsidRPr="00C74D34" w:rsidRDefault="005F6573" w:rsidP="002D03FA">
      <w:pPr>
        <w:ind w:firstLine="1440"/>
        <w:rPr>
          <w:szCs w:val="26"/>
        </w:rPr>
      </w:pPr>
      <w:r w:rsidRPr="00C74D34">
        <w:rPr>
          <w:szCs w:val="26"/>
        </w:rPr>
        <w:t xml:space="preserve">We </w:t>
      </w:r>
      <w:r w:rsidR="00BB30C2" w:rsidRPr="00C74D34">
        <w:rPr>
          <w:szCs w:val="26"/>
        </w:rPr>
        <w:t xml:space="preserve">find that the ALJ properly construed </w:t>
      </w:r>
      <w:r w:rsidR="00637E3F" w:rsidRPr="00C74D34">
        <w:rPr>
          <w:szCs w:val="26"/>
        </w:rPr>
        <w:t xml:space="preserve">and </w:t>
      </w:r>
      <w:r w:rsidR="00EE4425" w:rsidRPr="00C74D34">
        <w:rPr>
          <w:szCs w:val="26"/>
        </w:rPr>
        <w:t>applied the standards of proof</w:t>
      </w:r>
      <w:r w:rsidR="00637E3F" w:rsidRPr="00C74D34">
        <w:rPr>
          <w:szCs w:val="26"/>
        </w:rPr>
        <w:t xml:space="preserve"> to the issues presented. </w:t>
      </w:r>
      <w:r w:rsidR="00F0726D" w:rsidRPr="00C74D34">
        <w:rPr>
          <w:szCs w:val="26"/>
        </w:rPr>
        <w:t xml:space="preserve"> </w:t>
      </w:r>
      <w:r w:rsidR="00637E3F" w:rsidRPr="00C74D34">
        <w:rPr>
          <w:szCs w:val="26"/>
        </w:rPr>
        <w:t xml:space="preserve">We agree </w:t>
      </w:r>
      <w:r w:rsidR="00F0726D" w:rsidRPr="00C74D34">
        <w:rPr>
          <w:szCs w:val="26"/>
        </w:rPr>
        <w:t xml:space="preserve">that the Commission owes the public a duty to analyze the </w:t>
      </w:r>
      <w:r w:rsidR="00A559E2" w:rsidRPr="00C74D34">
        <w:rPr>
          <w:szCs w:val="26"/>
        </w:rPr>
        <w:t xml:space="preserve">substance of a proposed regional transmission </w:t>
      </w:r>
      <w:r w:rsidR="00F0726D" w:rsidRPr="00C74D34">
        <w:rPr>
          <w:szCs w:val="26"/>
        </w:rPr>
        <w:t xml:space="preserve">project pursuant to the Code, applicable Commission Regulations, and relevant caselaw.  </w:t>
      </w:r>
      <w:r w:rsidR="00020A01" w:rsidRPr="00C74D34">
        <w:rPr>
          <w:szCs w:val="26"/>
        </w:rPr>
        <w:t>We also agree that</w:t>
      </w:r>
      <w:r w:rsidR="00177556" w:rsidRPr="00C74D34">
        <w:rPr>
          <w:szCs w:val="26"/>
        </w:rPr>
        <w:t xml:space="preserve">, while </w:t>
      </w:r>
      <w:r w:rsidR="00F0726D" w:rsidRPr="00C74D34">
        <w:rPr>
          <w:szCs w:val="26"/>
        </w:rPr>
        <w:t>PJM’s methodology and process for selection of Project 9A</w:t>
      </w:r>
      <w:r w:rsidR="00177556" w:rsidRPr="00C74D34">
        <w:rPr>
          <w:szCs w:val="26"/>
        </w:rPr>
        <w:t xml:space="preserve"> is </w:t>
      </w:r>
      <w:r w:rsidR="00020A01" w:rsidRPr="00C74D34">
        <w:rPr>
          <w:szCs w:val="26"/>
        </w:rPr>
        <w:t>relev</w:t>
      </w:r>
      <w:r w:rsidR="007764DB" w:rsidRPr="00C74D34">
        <w:rPr>
          <w:szCs w:val="26"/>
        </w:rPr>
        <w:t xml:space="preserve">ant to the Commission’s consideration of the </w:t>
      </w:r>
      <w:proofErr w:type="spellStart"/>
      <w:r w:rsidR="007764DB" w:rsidRPr="00C74D34">
        <w:rPr>
          <w:szCs w:val="26"/>
        </w:rPr>
        <w:t>Transource’s</w:t>
      </w:r>
      <w:proofErr w:type="spellEnd"/>
      <w:r w:rsidR="007764DB" w:rsidRPr="00C74D34">
        <w:rPr>
          <w:szCs w:val="26"/>
        </w:rPr>
        <w:t xml:space="preserve"> siting Applications, </w:t>
      </w:r>
      <w:r w:rsidR="00245FF6" w:rsidRPr="00C74D34">
        <w:rPr>
          <w:szCs w:val="26"/>
        </w:rPr>
        <w:t>they in no way</w:t>
      </w:r>
      <w:r w:rsidR="009C1403" w:rsidRPr="00C74D34">
        <w:rPr>
          <w:szCs w:val="26"/>
        </w:rPr>
        <w:t xml:space="preserve"> replace the Commission’s independent </w:t>
      </w:r>
      <w:r w:rsidR="00F0104D" w:rsidRPr="00C74D34">
        <w:rPr>
          <w:szCs w:val="26"/>
        </w:rPr>
        <w:t xml:space="preserve">authority to decide </w:t>
      </w:r>
      <w:r w:rsidR="002472B9" w:rsidRPr="00C74D34">
        <w:rPr>
          <w:szCs w:val="26"/>
        </w:rPr>
        <w:t>applications</w:t>
      </w:r>
      <w:r w:rsidR="0071671F" w:rsidRPr="00C74D34">
        <w:rPr>
          <w:szCs w:val="26"/>
        </w:rPr>
        <w:t xml:space="preserve"> </w:t>
      </w:r>
      <w:r w:rsidR="002472B9" w:rsidRPr="00C74D34">
        <w:rPr>
          <w:szCs w:val="26"/>
        </w:rPr>
        <w:t xml:space="preserve">for </w:t>
      </w:r>
      <w:r w:rsidR="00F0726D" w:rsidRPr="00C74D34">
        <w:rPr>
          <w:szCs w:val="26"/>
        </w:rPr>
        <w:t>siting</w:t>
      </w:r>
      <w:r w:rsidR="002472B9" w:rsidRPr="00C74D34">
        <w:rPr>
          <w:szCs w:val="26"/>
        </w:rPr>
        <w:t xml:space="preserve"> </w:t>
      </w:r>
      <w:r w:rsidR="008F2E27" w:rsidRPr="00C74D34">
        <w:rPr>
          <w:szCs w:val="26"/>
        </w:rPr>
        <w:t>and construction of HV</w:t>
      </w:r>
      <w:r w:rsidR="002472B9" w:rsidRPr="00C74D34">
        <w:rPr>
          <w:szCs w:val="26"/>
        </w:rPr>
        <w:t xml:space="preserve"> transmission</w:t>
      </w:r>
      <w:r w:rsidR="008F2E27" w:rsidRPr="00C74D34">
        <w:rPr>
          <w:szCs w:val="26"/>
        </w:rPr>
        <w:t xml:space="preserve"> lines</w:t>
      </w:r>
      <w:r w:rsidR="00F0726D" w:rsidRPr="00C74D34">
        <w:rPr>
          <w:szCs w:val="26"/>
        </w:rPr>
        <w:t xml:space="preserve">, </w:t>
      </w:r>
      <w:r w:rsidR="005A2D70" w:rsidRPr="00C74D34">
        <w:rPr>
          <w:szCs w:val="26"/>
        </w:rPr>
        <w:t xml:space="preserve">authority to exercise powers of </w:t>
      </w:r>
      <w:r w:rsidR="00F0726D" w:rsidRPr="00C74D34">
        <w:rPr>
          <w:szCs w:val="26"/>
        </w:rPr>
        <w:t xml:space="preserve">eminent domain, or </w:t>
      </w:r>
      <w:r w:rsidR="005A2D70" w:rsidRPr="00C74D34">
        <w:rPr>
          <w:szCs w:val="26"/>
        </w:rPr>
        <w:t xml:space="preserve">approval of </w:t>
      </w:r>
      <w:r w:rsidR="00F0726D" w:rsidRPr="00C74D34">
        <w:rPr>
          <w:szCs w:val="26"/>
        </w:rPr>
        <w:t>a certificate of public convenience</w:t>
      </w:r>
      <w:r w:rsidR="005A2D70" w:rsidRPr="00C74D34">
        <w:rPr>
          <w:szCs w:val="26"/>
        </w:rPr>
        <w:t xml:space="preserve"> and necessity</w:t>
      </w:r>
      <w:r w:rsidR="00F0726D" w:rsidRPr="00C74D34">
        <w:rPr>
          <w:szCs w:val="26"/>
        </w:rPr>
        <w:t xml:space="preserve"> </w:t>
      </w:r>
      <w:r w:rsidR="00F0104D" w:rsidRPr="00C74D34">
        <w:rPr>
          <w:szCs w:val="26"/>
        </w:rPr>
        <w:t xml:space="preserve">based upon consideration of the weight of all the evidence presented. </w:t>
      </w:r>
    </w:p>
    <w:p w14:paraId="3D3A0892" w14:textId="77777777" w:rsidR="00EE4425" w:rsidRPr="00C74D34" w:rsidRDefault="00EE4425" w:rsidP="002D03FA">
      <w:pPr>
        <w:ind w:firstLine="1440"/>
        <w:rPr>
          <w:szCs w:val="26"/>
        </w:rPr>
      </w:pPr>
    </w:p>
    <w:p w14:paraId="56ECC659" w14:textId="04CA7C99" w:rsidR="00976D44" w:rsidRPr="00C74D34" w:rsidRDefault="0067601D" w:rsidP="002D03FA">
      <w:pPr>
        <w:ind w:firstLine="1440"/>
        <w:rPr>
          <w:szCs w:val="26"/>
        </w:rPr>
      </w:pPr>
      <w:r w:rsidRPr="00C74D34">
        <w:rPr>
          <w:szCs w:val="26"/>
        </w:rPr>
        <w:t>Further, w</w:t>
      </w:r>
      <w:r w:rsidR="00CF2B1C" w:rsidRPr="00C74D34">
        <w:rPr>
          <w:szCs w:val="26"/>
        </w:rPr>
        <w:t>e concur with the ALJ’s determination that the scope of inquiry for determining ‘need’ is broad and includes consideration of many factors</w:t>
      </w:r>
      <w:r w:rsidR="00983FB6" w:rsidRPr="00C74D34">
        <w:rPr>
          <w:szCs w:val="26"/>
        </w:rPr>
        <w:t xml:space="preserve">, </w:t>
      </w:r>
      <w:r w:rsidR="0020166D" w:rsidRPr="00C74D34">
        <w:rPr>
          <w:szCs w:val="26"/>
        </w:rPr>
        <w:t>including</w:t>
      </w:r>
      <w:r w:rsidR="00983FB6" w:rsidRPr="00C74D34">
        <w:rPr>
          <w:szCs w:val="26"/>
        </w:rPr>
        <w:t xml:space="preserve"> consideration of the specific facts </w:t>
      </w:r>
      <w:r w:rsidR="00A81F10" w:rsidRPr="00C74D34">
        <w:rPr>
          <w:szCs w:val="26"/>
        </w:rPr>
        <w:t xml:space="preserve">presented and consideration </w:t>
      </w:r>
      <w:r w:rsidR="00E71417" w:rsidRPr="00C74D34">
        <w:rPr>
          <w:szCs w:val="26"/>
        </w:rPr>
        <w:t>of the potential future impact of the proposed p</w:t>
      </w:r>
      <w:r w:rsidR="003E7AD1" w:rsidRPr="00C74D34">
        <w:rPr>
          <w:szCs w:val="26"/>
        </w:rPr>
        <w:t>roject, within that same broad context</w:t>
      </w:r>
      <w:r w:rsidR="00F152EA" w:rsidRPr="00C74D34">
        <w:rPr>
          <w:szCs w:val="26"/>
        </w:rPr>
        <w:t xml:space="preserve">, as </w:t>
      </w:r>
      <w:r w:rsidR="000364F9" w:rsidRPr="00C74D34">
        <w:rPr>
          <w:szCs w:val="26"/>
        </w:rPr>
        <w:t xml:space="preserve">discussed in the </w:t>
      </w:r>
      <w:proofErr w:type="spellStart"/>
      <w:r w:rsidR="00B11342" w:rsidRPr="00C74D34">
        <w:rPr>
          <w:i/>
          <w:iCs/>
          <w:szCs w:val="26"/>
        </w:rPr>
        <w:t>TrAILCo</w:t>
      </w:r>
      <w:proofErr w:type="spellEnd"/>
      <w:r w:rsidR="000E2C31" w:rsidRPr="00C74D34">
        <w:rPr>
          <w:i/>
          <w:iCs/>
          <w:szCs w:val="26"/>
        </w:rPr>
        <w:t xml:space="preserve"> Case</w:t>
      </w:r>
      <w:r w:rsidR="00B11342" w:rsidRPr="00C74D34">
        <w:rPr>
          <w:szCs w:val="26"/>
        </w:rPr>
        <w:t>.</w:t>
      </w:r>
      <w:r w:rsidR="003E7AD1" w:rsidRPr="00C74D34">
        <w:rPr>
          <w:szCs w:val="26"/>
        </w:rPr>
        <w:t xml:space="preserve"> </w:t>
      </w:r>
      <w:r w:rsidR="00CF2B1C" w:rsidRPr="00C74D34">
        <w:rPr>
          <w:szCs w:val="26"/>
        </w:rPr>
        <w:t xml:space="preserve"> </w:t>
      </w:r>
      <w:r w:rsidR="000364F9" w:rsidRPr="00C74D34">
        <w:rPr>
          <w:i/>
        </w:rPr>
        <w:t>See</w:t>
      </w:r>
      <w:r w:rsidR="000364F9" w:rsidRPr="00C74D34">
        <w:rPr>
          <w:szCs w:val="26"/>
        </w:rPr>
        <w:t xml:space="preserve"> </w:t>
      </w:r>
      <w:r w:rsidR="00CF2B1C" w:rsidRPr="00C74D34">
        <w:rPr>
          <w:szCs w:val="26"/>
        </w:rPr>
        <w:t xml:space="preserve">R.D. at 80 </w:t>
      </w:r>
      <w:r w:rsidRPr="00C74D34">
        <w:rPr>
          <w:szCs w:val="26"/>
        </w:rPr>
        <w:t xml:space="preserve"> </w:t>
      </w:r>
    </w:p>
    <w:p w14:paraId="228F4456" w14:textId="77777777" w:rsidR="00976D44" w:rsidRPr="00C74D34" w:rsidRDefault="00976D44" w:rsidP="002D03FA">
      <w:pPr>
        <w:ind w:firstLine="1440"/>
        <w:rPr>
          <w:szCs w:val="26"/>
        </w:rPr>
      </w:pPr>
    </w:p>
    <w:p w14:paraId="5240CD74" w14:textId="19DEE30F" w:rsidR="00541F2B" w:rsidRPr="00C74D34" w:rsidRDefault="0041251A" w:rsidP="002D03FA">
      <w:pPr>
        <w:ind w:firstLine="1440"/>
        <w:rPr>
          <w:szCs w:val="26"/>
        </w:rPr>
      </w:pPr>
      <w:r w:rsidRPr="00C74D34">
        <w:rPr>
          <w:szCs w:val="26"/>
        </w:rPr>
        <w:lastRenderedPageBreak/>
        <w:t>To t</w:t>
      </w:r>
      <w:r w:rsidR="009F7716" w:rsidRPr="00C74D34">
        <w:rPr>
          <w:szCs w:val="26"/>
        </w:rPr>
        <w:t>he</w:t>
      </w:r>
      <w:r w:rsidRPr="00C74D34">
        <w:rPr>
          <w:szCs w:val="26"/>
        </w:rPr>
        <w:t xml:space="preserve"> extent the </w:t>
      </w:r>
      <w:r w:rsidR="00D01AD4" w:rsidRPr="00C74D34">
        <w:rPr>
          <w:szCs w:val="26"/>
        </w:rPr>
        <w:t>ALJ conclu</w:t>
      </w:r>
      <w:r w:rsidRPr="00C74D34">
        <w:rPr>
          <w:szCs w:val="26"/>
        </w:rPr>
        <w:t>ded</w:t>
      </w:r>
      <w:r w:rsidR="00D01AD4" w:rsidRPr="00C74D34">
        <w:rPr>
          <w:szCs w:val="26"/>
        </w:rPr>
        <w:t xml:space="preserve"> that the present case is </w:t>
      </w:r>
      <w:r w:rsidR="00EE321F" w:rsidRPr="00C74D34">
        <w:rPr>
          <w:szCs w:val="26"/>
        </w:rPr>
        <w:t xml:space="preserve">distinguishable </w:t>
      </w:r>
      <w:r w:rsidR="00D01AD4" w:rsidRPr="00C74D34">
        <w:rPr>
          <w:szCs w:val="26"/>
        </w:rPr>
        <w:t xml:space="preserve">from </w:t>
      </w:r>
      <w:proofErr w:type="spellStart"/>
      <w:r w:rsidR="00EE321F" w:rsidRPr="00C74D34">
        <w:rPr>
          <w:i/>
          <w:iCs/>
          <w:szCs w:val="26"/>
        </w:rPr>
        <w:t>TrAILCo</w:t>
      </w:r>
      <w:proofErr w:type="spellEnd"/>
      <w:r w:rsidR="000E2C31" w:rsidRPr="00C74D34">
        <w:rPr>
          <w:i/>
          <w:iCs/>
          <w:szCs w:val="26"/>
        </w:rPr>
        <w:t xml:space="preserve"> Case</w:t>
      </w:r>
      <w:r w:rsidR="00EE321F" w:rsidRPr="00C74D34">
        <w:rPr>
          <w:szCs w:val="26"/>
        </w:rPr>
        <w:t xml:space="preserve">, on the grounds that </w:t>
      </w:r>
      <w:proofErr w:type="spellStart"/>
      <w:r w:rsidR="00EE321F" w:rsidRPr="00C74D34">
        <w:rPr>
          <w:i/>
          <w:iCs/>
          <w:szCs w:val="26"/>
        </w:rPr>
        <w:t>TrAILCo</w:t>
      </w:r>
      <w:proofErr w:type="spellEnd"/>
      <w:r w:rsidR="00EE321F" w:rsidRPr="00C74D34">
        <w:rPr>
          <w:szCs w:val="26"/>
        </w:rPr>
        <w:t xml:space="preserve"> </w:t>
      </w:r>
      <w:r w:rsidR="000E2C31" w:rsidRPr="00C74D34">
        <w:rPr>
          <w:szCs w:val="26"/>
        </w:rPr>
        <w:t xml:space="preserve">Case </w:t>
      </w:r>
      <w:r w:rsidR="00BD16B8" w:rsidRPr="00C74D34">
        <w:rPr>
          <w:szCs w:val="26"/>
        </w:rPr>
        <w:t xml:space="preserve">reviewed a proposed </w:t>
      </w:r>
      <w:r w:rsidR="008B0C4D" w:rsidRPr="00C74D34">
        <w:rPr>
          <w:szCs w:val="26"/>
        </w:rPr>
        <w:t xml:space="preserve">project </w:t>
      </w:r>
      <w:r w:rsidR="00201A24" w:rsidRPr="00C74D34">
        <w:rPr>
          <w:szCs w:val="26"/>
        </w:rPr>
        <w:t xml:space="preserve">with a primary purpose </w:t>
      </w:r>
      <w:r w:rsidR="00060764" w:rsidRPr="00C74D34">
        <w:rPr>
          <w:szCs w:val="26"/>
        </w:rPr>
        <w:t xml:space="preserve">of </w:t>
      </w:r>
      <w:r w:rsidR="008B0C4D" w:rsidRPr="00C74D34">
        <w:rPr>
          <w:szCs w:val="26"/>
        </w:rPr>
        <w:t>reliev</w:t>
      </w:r>
      <w:r w:rsidR="00060764" w:rsidRPr="00C74D34">
        <w:rPr>
          <w:szCs w:val="26"/>
        </w:rPr>
        <w:t>ing</w:t>
      </w:r>
      <w:r w:rsidR="008B0C4D" w:rsidRPr="00C74D34">
        <w:rPr>
          <w:szCs w:val="26"/>
        </w:rPr>
        <w:t xml:space="preserve"> </w:t>
      </w:r>
      <w:r w:rsidR="00032010" w:rsidRPr="00C74D34">
        <w:rPr>
          <w:szCs w:val="26"/>
        </w:rPr>
        <w:t xml:space="preserve">reliability issues impacting the </w:t>
      </w:r>
      <w:r w:rsidR="007A116A" w:rsidRPr="00C74D34">
        <w:rPr>
          <w:szCs w:val="26"/>
        </w:rPr>
        <w:t xml:space="preserve">Commonwealth, where the present case addresses </w:t>
      </w:r>
      <w:r w:rsidR="008B0C4D" w:rsidRPr="00C74D34">
        <w:rPr>
          <w:szCs w:val="26"/>
        </w:rPr>
        <w:t xml:space="preserve">a proposed project </w:t>
      </w:r>
      <w:r w:rsidR="003B145F" w:rsidRPr="00C74D34">
        <w:rPr>
          <w:szCs w:val="26"/>
        </w:rPr>
        <w:t xml:space="preserve">with a primary purpose of </w:t>
      </w:r>
      <w:r w:rsidR="00201A24" w:rsidRPr="00C74D34">
        <w:rPr>
          <w:szCs w:val="26"/>
        </w:rPr>
        <w:t>reliev</w:t>
      </w:r>
      <w:r w:rsidR="003B145F" w:rsidRPr="00C74D34">
        <w:rPr>
          <w:szCs w:val="26"/>
        </w:rPr>
        <w:t xml:space="preserve">ing </w:t>
      </w:r>
      <w:r w:rsidR="00201A24" w:rsidRPr="00C74D34">
        <w:rPr>
          <w:szCs w:val="26"/>
        </w:rPr>
        <w:t>economic</w:t>
      </w:r>
      <w:r w:rsidR="00060764" w:rsidRPr="00C74D34">
        <w:rPr>
          <w:szCs w:val="26"/>
        </w:rPr>
        <w:t xml:space="preserve"> congestion </w:t>
      </w:r>
      <w:r w:rsidR="003B145F" w:rsidRPr="00C74D34">
        <w:rPr>
          <w:szCs w:val="26"/>
        </w:rPr>
        <w:t>occurring at the regio</w:t>
      </w:r>
      <w:r w:rsidR="00A1279D" w:rsidRPr="00C74D34">
        <w:rPr>
          <w:szCs w:val="26"/>
        </w:rPr>
        <w:t>nal level</w:t>
      </w:r>
      <w:r w:rsidR="00C53CC2" w:rsidRPr="00C74D34">
        <w:rPr>
          <w:szCs w:val="26"/>
        </w:rPr>
        <w:t xml:space="preserve">, we agree.  The factual distinctions between </w:t>
      </w:r>
      <w:proofErr w:type="spellStart"/>
      <w:r w:rsidR="00080236" w:rsidRPr="00C74D34">
        <w:rPr>
          <w:i/>
          <w:iCs/>
          <w:szCs w:val="26"/>
        </w:rPr>
        <w:t>TrAILCo</w:t>
      </w:r>
      <w:proofErr w:type="spellEnd"/>
      <w:r w:rsidR="00080236" w:rsidRPr="00C74D34">
        <w:rPr>
          <w:szCs w:val="26"/>
        </w:rPr>
        <w:t xml:space="preserve"> </w:t>
      </w:r>
      <w:r w:rsidR="000E2C31" w:rsidRPr="00C74D34">
        <w:rPr>
          <w:szCs w:val="26"/>
        </w:rPr>
        <w:t xml:space="preserve">Case </w:t>
      </w:r>
      <w:r w:rsidR="00080236" w:rsidRPr="00C74D34">
        <w:rPr>
          <w:szCs w:val="26"/>
        </w:rPr>
        <w:t xml:space="preserve">and the present case, are notable.  </w:t>
      </w:r>
    </w:p>
    <w:p w14:paraId="52044907" w14:textId="77777777" w:rsidR="00541F2B" w:rsidRPr="00C74D34" w:rsidRDefault="00541F2B" w:rsidP="002D03FA">
      <w:pPr>
        <w:ind w:firstLine="1440"/>
        <w:rPr>
          <w:szCs w:val="26"/>
        </w:rPr>
      </w:pPr>
    </w:p>
    <w:p w14:paraId="1CC2B11E" w14:textId="671AA530" w:rsidR="009F7716" w:rsidRPr="00C74D34" w:rsidRDefault="00080236" w:rsidP="002D03FA">
      <w:pPr>
        <w:ind w:firstLine="1440"/>
        <w:rPr>
          <w:szCs w:val="26"/>
        </w:rPr>
      </w:pPr>
      <w:r w:rsidRPr="00C74D34">
        <w:rPr>
          <w:szCs w:val="26"/>
        </w:rPr>
        <w:t xml:space="preserve">However, the legal standard to be applied remains the same.  In both </w:t>
      </w:r>
      <w:proofErr w:type="spellStart"/>
      <w:r w:rsidRPr="00C74D34">
        <w:rPr>
          <w:i/>
          <w:iCs/>
          <w:szCs w:val="26"/>
        </w:rPr>
        <w:t>TrAILCo</w:t>
      </w:r>
      <w:proofErr w:type="spellEnd"/>
      <w:r w:rsidR="000E2C31" w:rsidRPr="00C74D34">
        <w:rPr>
          <w:i/>
          <w:iCs/>
          <w:szCs w:val="26"/>
        </w:rPr>
        <w:t xml:space="preserve"> Case</w:t>
      </w:r>
      <w:r w:rsidRPr="00C74D34">
        <w:rPr>
          <w:szCs w:val="26"/>
        </w:rPr>
        <w:t xml:space="preserve">, and here, </w:t>
      </w:r>
      <w:r w:rsidR="00513008" w:rsidRPr="00C74D34">
        <w:rPr>
          <w:szCs w:val="26"/>
        </w:rPr>
        <w:t xml:space="preserve">our determination turns on </w:t>
      </w:r>
      <w:r w:rsidR="00094CD5" w:rsidRPr="00C74D34">
        <w:rPr>
          <w:szCs w:val="26"/>
        </w:rPr>
        <w:t>our consideration of the</w:t>
      </w:r>
      <w:r w:rsidR="00513008" w:rsidRPr="00C74D34">
        <w:rPr>
          <w:szCs w:val="26"/>
        </w:rPr>
        <w:t xml:space="preserve"> weight of a</w:t>
      </w:r>
      <w:r w:rsidR="00094CD5" w:rsidRPr="00C74D34">
        <w:rPr>
          <w:szCs w:val="26"/>
        </w:rPr>
        <w:t>l</w:t>
      </w:r>
      <w:r w:rsidR="00513008" w:rsidRPr="00C74D34">
        <w:rPr>
          <w:szCs w:val="26"/>
        </w:rPr>
        <w:t>l the evidence</w:t>
      </w:r>
      <w:r w:rsidR="00094CD5" w:rsidRPr="00C74D34">
        <w:rPr>
          <w:szCs w:val="26"/>
        </w:rPr>
        <w:t>, whether need has been established by a preponde</w:t>
      </w:r>
      <w:r w:rsidR="00A8260E" w:rsidRPr="00C74D34">
        <w:rPr>
          <w:szCs w:val="26"/>
        </w:rPr>
        <w:t>rance of the evidence, consistent with our discretion under Section 1501 o</w:t>
      </w:r>
      <w:r w:rsidR="00415009" w:rsidRPr="00C74D34">
        <w:rPr>
          <w:szCs w:val="26"/>
        </w:rPr>
        <w:t>f</w:t>
      </w:r>
      <w:r w:rsidR="00A8260E" w:rsidRPr="00C74D34">
        <w:rPr>
          <w:szCs w:val="26"/>
        </w:rPr>
        <w:t xml:space="preserve"> the C</w:t>
      </w:r>
      <w:r w:rsidR="00415009" w:rsidRPr="00C74D34">
        <w:rPr>
          <w:szCs w:val="26"/>
        </w:rPr>
        <w:t xml:space="preserve">ode, to determine whether the </w:t>
      </w:r>
      <w:r w:rsidR="00BC212E" w:rsidRPr="00C74D34">
        <w:rPr>
          <w:szCs w:val="26"/>
        </w:rPr>
        <w:t>service to be provided is “reasonable and necessary and in the public interest,</w:t>
      </w:r>
      <w:r w:rsidR="00976D44" w:rsidRPr="00C74D34">
        <w:rPr>
          <w:szCs w:val="26"/>
        </w:rPr>
        <w:t>”</w:t>
      </w:r>
      <w:r w:rsidR="00BC212E" w:rsidRPr="00C74D34">
        <w:rPr>
          <w:szCs w:val="26"/>
        </w:rPr>
        <w:t xml:space="preserve"> and </w:t>
      </w:r>
      <w:r w:rsidR="00E469BD" w:rsidRPr="00C74D34">
        <w:rPr>
          <w:szCs w:val="26"/>
        </w:rPr>
        <w:t xml:space="preserve">our discretion under Commission Regulation, to determine whether </w:t>
      </w:r>
      <w:proofErr w:type="spellStart"/>
      <w:r w:rsidR="00E73A70" w:rsidRPr="00C74D34">
        <w:rPr>
          <w:szCs w:val="26"/>
        </w:rPr>
        <w:t>Transource</w:t>
      </w:r>
      <w:proofErr w:type="spellEnd"/>
      <w:r w:rsidR="00E73A70" w:rsidRPr="00C74D34">
        <w:rPr>
          <w:szCs w:val="26"/>
        </w:rPr>
        <w:t xml:space="preserve"> has established need, by a preponderance of the evi</w:t>
      </w:r>
      <w:r w:rsidR="002D340E" w:rsidRPr="00C74D34">
        <w:rPr>
          <w:szCs w:val="26"/>
        </w:rPr>
        <w:t>dence</w:t>
      </w:r>
      <w:r w:rsidR="00541F2B" w:rsidRPr="00C74D34">
        <w:rPr>
          <w:szCs w:val="26"/>
        </w:rPr>
        <w:t xml:space="preserve"> required </w:t>
      </w:r>
      <w:r w:rsidR="002D340E" w:rsidRPr="00C74D34">
        <w:rPr>
          <w:szCs w:val="26"/>
        </w:rPr>
        <w:t>for approval of the siting of the proposed transmission lines</w:t>
      </w:r>
      <w:r w:rsidR="009F7716" w:rsidRPr="00C74D34">
        <w:rPr>
          <w:szCs w:val="26"/>
        </w:rPr>
        <w:t>, per 52 Pa. Code §</w:t>
      </w:r>
      <w:r w:rsidR="0020166D" w:rsidRPr="00C74D34">
        <w:rPr>
          <w:szCs w:val="26"/>
        </w:rPr>
        <w:t> </w:t>
      </w:r>
      <w:r w:rsidR="009F7716" w:rsidRPr="00C74D34">
        <w:rPr>
          <w:szCs w:val="26"/>
        </w:rPr>
        <w:t xml:space="preserve">57.76(a)(1).  </w:t>
      </w:r>
    </w:p>
    <w:p w14:paraId="2F66B2A8" w14:textId="77777777" w:rsidR="00B12F1B" w:rsidRPr="00C74D34" w:rsidRDefault="00B12F1B" w:rsidP="002D03FA">
      <w:pPr>
        <w:ind w:firstLine="1440"/>
        <w:rPr>
          <w:szCs w:val="26"/>
        </w:rPr>
      </w:pPr>
    </w:p>
    <w:p w14:paraId="5DFFDB2B" w14:textId="044017B4" w:rsidR="009F7716" w:rsidRPr="00C74D34" w:rsidRDefault="007B3D69" w:rsidP="002D03FA">
      <w:pPr>
        <w:ind w:firstLine="1440"/>
        <w:rPr>
          <w:szCs w:val="26"/>
        </w:rPr>
      </w:pPr>
      <w:r w:rsidRPr="00C74D34">
        <w:rPr>
          <w:szCs w:val="26"/>
        </w:rPr>
        <w:t xml:space="preserve">We expressly reject any argument that </w:t>
      </w:r>
      <w:r w:rsidR="009239BC" w:rsidRPr="00C74D34">
        <w:rPr>
          <w:szCs w:val="26"/>
        </w:rPr>
        <w:t xml:space="preserve">the authority granted </w:t>
      </w:r>
      <w:r w:rsidR="00FC0082" w:rsidRPr="00C74D34">
        <w:rPr>
          <w:szCs w:val="26"/>
        </w:rPr>
        <w:t xml:space="preserve">by the Pennsylvania Legislature </w:t>
      </w:r>
      <w:r w:rsidR="000B1F47" w:rsidRPr="00C74D34">
        <w:rPr>
          <w:szCs w:val="26"/>
        </w:rPr>
        <w:t xml:space="preserve">to </w:t>
      </w:r>
      <w:r w:rsidR="009239BC" w:rsidRPr="00C74D34">
        <w:rPr>
          <w:szCs w:val="26"/>
        </w:rPr>
        <w:t xml:space="preserve">this Commission </w:t>
      </w:r>
      <w:r w:rsidR="000B1F47" w:rsidRPr="00C74D34">
        <w:rPr>
          <w:szCs w:val="26"/>
        </w:rPr>
        <w:t xml:space="preserve">under </w:t>
      </w:r>
      <w:r w:rsidR="00FC0082" w:rsidRPr="00C74D34">
        <w:rPr>
          <w:szCs w:val="26"/>
        </w:rPr>
        <w:t>the Code,</w:t>
      </w:r>
      <w:r w:rsidRPr="00C74D34">
        <w:rPr>
          <w:szCs w:val="26"/>
        </w:rPr>
        <w:t xml:space="preserve"> </w:t>
      </w:r>
      <w:r w:rsidR="00C967E0" w:rsidRPr="00C74D34">
        <w:rPr>
          <w:szCs w:val="26"/>
        </w:rPr>
        <w:t xml:space="preserve">including </w:t>
      </w:r>
      <w:r w:rsidR="000B1F47" w:rsidRPr="00C74D34">
        <w:rPr>
          <w:szCs w:val="26"/>
        </w:rPr>
        <w:t xml:space="preserve">the power </w:t>
      </w:r>
      <w:r w:rsidRPr="00C74D34">
        <w:rPr>
          <w:szCs w:val="26"/>
        </w:rPr>
        <w:t xml:space="preserve">to </w:t>
      </w:r>
      <w:r w:rsidR="009A0D94" w:rsidRPr="00C74D34">
        <w:rPr>
          <w:szCs w:val="26"/>
        </w:rPr>
        <w:t xml:space="preserve">apply Commission Regulations in the present circumstances, is </w:t>
      </w:r>
      <w:r w:rsidR="00345292" w:rsidRPr="00C74D34">
        <w:rPr>
          <w:szCs w:val="26"/>
        </w:rPr>
        <w:t xml:space="preserve">preempted by the federal power pursuant to which PJM </w:t>
      </w:r>
      <w:r w:rsidR="00731D24" w:rsidRPr="00C74D34">
        <w:rPr>
          <w:szCs w:val="26"/>
        </w:rPr>
        <w:t xml:space="preserve">conducts its selection process for regional transmission planning purposes, including Project 9A.  To the extent </w:t>
      </w:r>
      <w:proofErr w:type="spellStart"/>
      <w:r w:rsidR="00555187" w:rsidRPr="00C74D34">
        <w:rPr>
          <w:szCs w:val="26"/>
        </w:rPr>
        <w:t>T</w:t>
      </w:r>
      <w:r w:rsidR="00C967E0" w:rsidRPr="00C74D34">
        <w:rPr>
          <w:szCs w:val="26"/>
        </w:rPr>
        <w:t>r</w:t>
      </w:r>
      <w:r w:rsidR="00555187" w:rsidRPr="00C74D34">
        <w:rPr>
          <w:szCs w:val="26"/>
        </w:rPr>
        <w:t>ansource</w:t>
      </w:r>
      <w:proofErr w:type="spellEnd"/>
      <w:r w:rsidR="00555187" w:rsidRPr="00C74D34">
        <w:rPr>
          <w:szCs w:val="26"/>
        </w:rPr>
        <w:t xml:space="preserve"> argues that this Commission is prohibited from </w:t>
      </w:r>
      <w:r w:rsidR="00616D96" w:rsidRPr="00C74D34">
        <w:rPr>
          <w:szCs w:val="26"/>
        </w:rPr>
        <w:t xml:space="preserve">rendering an independent determination of “need” for Project 9A, which may </w:t>
      </w:r>
      <w:r w:rsidR="00CF386C" w:rsidRPr="00C74D34">
        <w:rPr>
          <w:szCs w:val="26"/>
        </w:rPr>
        <w:t>find that the weight of the evidence does not support a determination of “need” for the proposed project, pursuant to 52 Pa. Code §</w:t>
      </w:r>
      <w:r w:rsidR="0020166D" w:rsidRPr="00C74D34">
        <w:rPr>
          <w:szCs w:val="26"/>
        </w:rPr>
        <w:t> </w:t>
      </w:r>
      <w:r w:rsidR="00CE1339" w:rsidRPr="00C74D34">
        <w:rPr>
          <w:szCs w:val="26"/>
        </w:rPr>
        <w:t>57.76(a)(1), despite PJM’s selection of the p</w:t>
      </w:r>
      <w:r w:rsidR="006F233F" w:rsidRPr="00C74D34">
        <w:rPr>
          <w:szCs w:val="26"/>
        </w:rPr>
        <w:t xml:space="preserve">roject for regional planning purposes, we disagree.  </w:t>
      </w:r>
    </w:p>
    <w:p w14:paraId="4053D020" w14:textId="153AD8C6" w:rsidR="006F233F" w:rsidRPr="00C74D34" w:rsidRDefault="006F233F" w:rsidP="002D03FA">
      <w:pPr>
        <w:ind w:firstLine="1440"/>
        <w:rPr>
          <w:szCs w:val="26"/>
        </w:rPr>
      </w:pPr>
    </w:p>
    <w:p w14:paraId="1ED91DF0" w14:textId="55DBD518" w:rsidR="00783B90" w:rsidRPr="00C74D34" w:rsidRDefault="008457ED" w:rsidP="002D03FA">
      <w:pPr>
        <w:ind w:firstLine="1440"/>
        <w:rPr>
          <w:szCs w:val="26"/>
        </w:rPr>
      </w:pPr>
      <w:r w:rsidRPr="00C74D34">
        <w:rPr>
          <w:szCs w:val="26"/>
        </w:rPr>
        <w:t xml:space="preserve">Contrary to </w:t>
      </w:r>
      <w:proofErr w:type="spellStart"/>
      <w:r w:rsidRPr="00C74D34">
        <w:rPr>
          <w:szCs w:val="26"/>
        </w:rPr>
        <w:t>Transource’s</w:t>
      </w:r>
      <w:proofErr w:type="spellEnd"/>
      <w:r w:rsidRPr="00C74D34">
        <w:rPr>
          <w:szCs w:val="26"/>
        </w:rPr>
        <w:t xml:space="preserve"> asserted position, the federal authority under which PJM operates </w:t>
      </w:r>
      <w:r w:rsidR="007C65CC" w:rsidRPr="00C74D34">
        <w:rPr>
          <w:szCs w:val="26"/>
        </w:rPr>
        <w:t xml:space="preserve">does not </w:t>
      </w:r>
      <w:r w:rsidR="00F07859" w:rsidRPr="00C74D34">
        <w:rPr>
          <w:szCs w:val="26"/>
        </w:rPr>
        <w:t xml:space="preserve">extend </w:t>
      </w:r>
      <w:r w:rsidR="005722A5" w:rsidRPr="00C74D34">
        <w:rPr>
          <w:szCs w:val="26"/>
        </w:rPr>
        <w:t>beyond PJM’s approval process</w:t>
      </w:r>
      <w:r w:rsidR="0085237A" w:rsidRPr="00C74D34">
        <w:rPr>
          <w:szCs w:val="26"/>
        </w:rPr>
        <w:t>, where approval is sought from a state commission</w:t>
      </w:r>
      <w:r w:rsidR="005722A5" w:rsidRPr="00C74D34">
        <w:rPr>
          <w:szCs w:val="26"/>
        </w:rPr>
        <w:t>.</w:t>
      </w:r>
      <w:r w:rsidR="001645FA" w:rsidRPr="00C74D34">
        <w:rPr>
          <w:szCs w:val="26"/>
        </w:rPr>
        <w:t xml:space="preserve"> </w:t>
      </w:r>
      <w:r w:rsidR="005722A5" w:rsidRPr="00C74D34">
        <w:rPr>
          <w:szCs w:val="26"/>
        </w:rPr>
        <w:t xml:space="preserve"> </w:t>
      </w:r>
      <w:r w:rsidR="007C65CC" w:rsidRPr="00C74D34">
        <w:rPr>
          <w:szCs w:val="26"/>
        </w:rPr>
        <w:t xml:space="preserve">PJM </w:t>
      </w:r>
      <w:r w:rsidR="0078141B" w:rsidRPr="00C74D34">
        <w:rPr>
          <w:szCs w:val="26"/>
        </w:rPr>
        <w:t xml:space="preserve">approval for a project, including Project 9A, </w:t>
      </w:r>
      <w:r w:rsidR="003445EF" w:rsidRPr="00C74D34">
        <w:rPr>
          <w:szCs w:val="26"/>
        </w:rPr>
        <w:t xml:space="preserve">does </w:t>
      </w:r>
      <w:r w:rsidR="003445EF" w:rsidRPr="00C74D34">
        <w:rPr>
          <w:szCs w:val="26"/>
        </w:rPr>
        <w:lastRenderedPageBreak/>
        <w:t xml:space="preserve">not guarantee approval for siting and construction </w:t>
      </w:r>
      <w:r w:rsidR="00847CA9" w:rsidRPr="00C74D34">
        <w:rPr>
          <w:szCs w:val="26"/>
        </w:rPr>
        <w:t xml:space="preserve">of </w:t>
      </w:r>
      <w:r w:rsidR="00783B90" w:rsidRPr="00C74D34">
        <w:rPr>
          <w:szCs w:val="26"/>
        </w:rPr>
        <w:t xml:space="preserve">transmission </w:t>
      </w:r>
      <w:r w:rsidR="00847CA9" w:rsidRPr="00C74D34">
        <w:rPr>
          <w:szCs w:val="26"/>
        </w:rPr>
        <w:t xml:space="preserve">lines </w:t>
      </w:r>
      <w:r w:rsidR="007C65CC" w:rsidRPr="00C74D34">
        <w:rPr>
          <w:szCs w:val="26"/>
        </w:rPr>
        <w:t xml:space="preserve">within the </w:t>
      </w:r>
      <w:r w:rsidR="00AD17EF" w:rsidRPr="00C74D34">
        <w:rPr>
          <w:szCs w:val="26"/>
        </w:rPr>
        <w:t>borders of th</w:t>
      </w:r>
      <w:r w:rsidR="004D4CF0" w:rsidRPr="00C74D34">
        <w:rPr>
          <w:szCs w:val="26"/>
        </w:rPr>
        <w:t>e</w:t>
      </w:r>
      <w:r w:rsidR="00AD17EF" w:rsidRPr="00C74D34">
        <w:rPr>
          <w:szCs w:val="26"/>
        </w:rPr>
        <w:t xml:space="preserve"> sovereign </w:t>
      </w:r>
      <w:r w:rsidR="007C65CC" w:rsidRPr="00C74D34">
        <w:rPr>
          <w:szCs w:val="26"/>
        </w:rPr>
        <w:t xml:space="preserve">Commonwealth of </w:t>
      </w:r>
      <w:r w:rsidR="00783B90" w:rsidRPr="00C74D34">
        <w:rPr>
          <w:szCs w:val="26"/>
        </w:rPr>
        <w:t>Pennsylvania</w:t>
      </w:r>
      <w:r w:rsidR="007C65CC" w:rsidRPr="00C74D34">
        <w:rPr>
          <w:szCs w:val="26"/>
        </w:rPr>
        <w:t xml:space="preserve">.  </w:t>
      </w:r>
      <w:r w:rsidR="00783B90" w:rsidRPr="00C74D34">
        <w:rPr>
          <w:szCs w:val="26"/>
        </w:rPr>
        <w:t>As</w:t>
      </w:r>
      <w:r w:rsidR="000208AC" w:rsidRPr="00C74D34">
        <w:rPr>
          <w:szCs w:val="26"/>
        </w:rPr>
        <w:t xml:space="preserve"> the ALJ </w:t>
      </w:r>
      <w:r w:rsidR="008F5863" w:rsidRPr="00C74D34">
        <w:rPr>
          <w:szCs w:val="26"/>
        </w:rPr>
        <w:t>noted</w:t>
      </w:r>
      <w:r w:rsidR="003553D6" w:rsidRPr="00C74D34">
        <w:rPr>
          <w:szCs w:val="26"/>
        </w:rPr>
        <w:t>:</w:t>
      </w:r>
      <w:r w:rsidR="008F5863" w:rsidRPr="00C74D34">
        <w:rPr>
          <w:szCs w:val="26"/>
        </w:rPr>
        <w:t xml:space="preserve"> </w:t>
      </w:r>
    </w:p>
    <w:p w14:paraId="6D93D91F" w14:textId="77777777" w:rsidR="008F5863" w:rsidRPr="00C74D34" w:rsidRDefault="008F5863" w:rsidP="00E96730">
      <w:pPr>
        <w:spacing w:line="240" w:lineRule="auto"/>
        <w:ind w:firstLine="1440"/>
        <w:rPr>
          <w:szCs w:val="26"/>
        </w:rPr>
      </w:pPr>
    </w:p>
    <w:p w14:paraId="47D48506" w14:textId="7815BBF9" w:rsidR="008F5863" w:rsidRPr="00C74D34" w:rsidRDefault="008F5863" w:rsidP="002D03FA">
      <w:pPr>
        <w:spacing w:line="240" w:lineRule="auto"/>
        <w:ind w:left="1440" w:right="1440"/>
        <w:rPr>
          <w:szCs w:val="26"/>
        </w:rPr>
      </w:pPr>
      <w:r w:rsidRPr="00C74D34">
        <w:rPr>
          <w:szCs w:val="26"/>
        </w:rPr>
        <w:t>while the Federal Power Act (FPA) does grant FERC exclusive jurisdiction over the interstate transmission of electric energy and electric wholesale rates, the FPA limits FERC authority, including its designee, PJM, to “those matters which are not subject to regulation by the States.”  16</w:t>
      </w:r>
      <w:r w:rsidR="00E96730">
        <w:rPr>
          <w:szCs w:val="26"/>
        </w:rPr>
        <w:t> </w:t>
      </w:r>
      <w:r w:rsidRPr="00C74D34">
        <w:rPr>
          <w:szCs w:val="26"/>
        </w:rPr>
        <w:t xml:space="preserve">U.S.C. § 824(a).  FERC likewise recognizes this limitation stating the following as part of Order No. 1000: </w:t>
      </w:r>
    </w:p>
    <w:p w14:paraId="3F0004A8" w14:textId="77777777" w:rsidR="008F5863" w:rsidRPr="00C74D34" w:rsidRDefault="008F5863" w:rsidP="002D03FA">
      <w:pPr>
        <w:spacing w:line="240" w:lineRule="auto"/>
        <w:ind w:left="1440" w:right="1440"/>
        <w:rPr>
          <w:szCs w:val="26"/>
        </w:rPr>
      </w:pPr>
      <w:r w:rsidRPr="00C74D34">
        <w:rPr>
          <w:szCs w:val="26"/>
        </w:rPr>
        <w:t xml:space="preserve"> </w:t>
      </w:r>
    </w:p>
    <w:p w14:paraId="3A76176F" w14:textId="77777777" w:rsidR="007B66E3" w:rsidRPr="00C74D34" w:rsidRDefault="008F5863" w:rsidP="002D03FA">
      <w:pPr>
        <w:spacing w:line="240" w:lineRule="auto"/>
        <w:ind w:left="2174" w:right="2160" w:hanging="14"/>
        <w:rPr>
          <w:szCs w:val="26"/>
          <w:vertAlign w:val="superscript"/>
        </w:rPr>
      </w:pPr>
      <w:r w:rsidRPr="00C74D34">
        <w:rPr>
          <w:szCs w:val="26"/>
        </w:rPr>
        <w:t>We acknowledge that there is longstanding state authority over certain matters that are relevant to transmission planning and expansion, such as matters relevant to siting, permitting, and construction.  However, nothing in this Final Rule involves an exercise of siting, permitting, and construction authority. The transmission planning and cost allocation requirements of this Final Rule, like those of Order No. 890, are associated with the processes used to identify and evaluate transmission system needs and potential solutions to those needs. In establishing these reforms, the Commission is simply requiring that certain processes be instituted.  This in no way involves an exercise of authority over those specific substantive matters traditionally reserved to the states, including integrated resource planning, or authority over such transmission facilities. For this reason, we see no reason why this Final Rule should create conflicts between state and federal requirements.</w:t>
      </w:r>
    </w:p>
    <w:p w14:paraId="100D242A" w14:textId="77777777" w:rsidR="007B66E3" w:rsidRPr="00C74D34" w:rsidRDefault="007B66E3" w:rsidP="00E96730">
      <w:pPr>
        <w:spacing w:line="480" w:lineRule="auto"/>
        <w:ind w:left="2174" w:right="2160" w:hanging="14"/>
        <w:jc w:val="both"/>
        <w:rPr>
          <w:szCs w:val="26"/>
        </w:rPr>
      </w:pPr>
    </w:p>
    <w:p w14:paraId="7EBF73D3" w14:textId="18F6F01E" w:rsidR="008F5863" w:rsidRPr="00C74D34" w:rsidRDefault="007B66E3" w:rsidP="002D03FA">
      <w:pPr>
        <w:keepNext/>
        <w:spacing w:line="240" w:lineRule="auto"/>
        <w:ind w:right="2160" w:firstLine="1440"/>
        <w:jc w:val="both"/>
        <w:rPr>
          <w:szCs w:val="26"/>
        </w:rPr>
      </w:pPr>
      <w:r w:rsidRPr="00C74D34">
        <w:rPr>
          <w:szCs w:val="26"/>
        </w:rPr>
        <w:t>The D.C. Court of app</w:t>
      </w:r>
      <w:r w:rsidR="00B520FC" w:rsidRPr="00C74D34">
        <w:rPr>
          <w:szCs w:val="26"/>
        </w:rPr>
        <w:t xml:space="preserve">eals summarized Order No. 1000, as follows: </w:t>
      </w:r>
    </w:p>
    <w:p w14:paraId="74A1DF0F" w14:textId="00F744AE" w:rsidR="00805675" w:rsidRPr="00C74D34" w:rsidRDefault="00805675" w:rsidP="00E96730">
      <w:pPr>
        <w:keepNext/>
        <w:spacing w:line="240" w:lineRule="auto"/>
        <w:ind w:firstLine="1440"/>
        <w:rPr>
          <w:szCs w:val="26"/>
        </w:rPr>
      </w:pPr>
    </w:p>
    <w:p w14:paraId="201CE958" w14:textId="0270DC59" w:rsidR="007F1C9B" w:rsidRPr="00C74D34" w:rsidRDefault="007F1C9B" w:rsidP="002D03FA">
      <w:pPr>
        <w:pStyle w:val="footnotedescription"/>
        <w:keepNext/>
        <w:spacing w:line="240" w:lineRule="auto"/>
        <w:ind w:left="1440" w:right="1440"/>
        <w:rPr>
          <w:sz w:val="26"/>
          <w:szCs w:val="26"/>
        </w:rPr>
      </w:pPr>
      <w:r w:rsidRPr="00C74D34">
        <w:rPr>
          <w:sz w:val="26"/>
          <w:szCs w:val="26"/>
        </w:rPr>
        <w:t xml:space="preserve">In Order No. 1000, the Commission expressly </w:t>
      </w:r>
      <w:r w:rsidR="00E96730">
        <w:rPr>
          <w:sz w:val="26"/>
          <w:szCs w:val="26"/>
        </w:rPr>
        <w:t>“</w:t>
      </w:r>
      <w:r w:rsidRPr="00C74D34">
        <w:rPr>
          <w:sz w:val="26"/>
          <w:szCs w:val="26"/>
        </w:rPr>
        <w:t>decline[d] to impose obligations to build or mandatory processes to obtain commitments to construct transmission facilities in the regional transmission plan.</w:t>
      </w:r>
      <w:r w:rsidR="00E96730">
        <w:rPr>
          <w:sz w:val="26"/>
          <w:szCs w:val="26"/>
        </w:rPr>
        <w:t>”</w:t>
      </w:r>
      <w:r w:rsidRPr="00C74D34">
        <w:rPr>
          <w:sz w:val="26"/>
          <w:szCs w:val="26"/>
        </w:rPr>
        <w:t xml:space="preserve"> More generally, the Commission </w:t>
      </w:r>
      <w:r w:rsidRPr="00C74D34">
        <w:rPr>
          <w:i/>
          <w:iCs/>
          <w:sz w:val="26"/>
          <w:szCs w:val="26"/>
        </w:rPr>
        <w:lastRenderedPageBreak/>
        <w:t xml:space="preserve">disavowed that it was purporting to </w:t>
      </w:r>
      <w:r w:rsidR="00E96730">
        <w:rPr>
          <w:i/>
          <w:iCs/>
          <w:sz w:val="26"/>
          <w:szCs w:val="26"/>
        </w:rPr>
        <w:t>“</w:t>
      </w:r>
      <w:r w:rsidRPr="00C74D34">
        <w:rPr>
          <w:i/>
          <w:iCs/>
          <w:sz w:val="26"/>
          <w:szCs w:val="26"/>
        </w:rPr>
        <w:t>determine what needs to be built, where it needs to be built, and who needs to build it.</w:t>
      </w:r>
      <w:r w:rsidR="00E96730">
        <w:rPr>
          <w:i/>
          <w:iCs/>
          <w:sz w:val="26"/>
          <w:szCs w:val="26"/>
        </w:rPr>
        <w:t>”</w:t>
      </w:r>
      <w:r w:rsidRPr="00C74D34">
        <w:rPr>
          <w:i/>
          <w:iCs/>
          <w:sz w:val="26"/>
          <w:szCs w:val="26"/>
        </w:rPr>
        <w:t xml:space="preserve">  </w:t>
      </w:r>
      <w:r w:rsidRPr="00C74D34">
        <w:rPr>
          <w:sz w:val="26"/>
          <w:szCs w:val="26"/>
        </w:rPr>
        <w:t xml:space="preserve">As the Commission explained on rehearing, </w:t>
      </w:r>
      <w:r w:rsidR="00E96730">
        <w:rPr>
          <w:sz w:val="26"/>
          <w:szCs w:val="26"/>
        </w:rPr>
        <w:t>“</w:t>
      </w:r>
      <w:r w:rsidRPr="00C74D34">
        <w:rPr>
          <w:i/>
          <w:iCs/>
          <w:sz w:val="26"/>
          <w:szCs w:val="26"/>
        </w:rPr>
        <w:t>Order No. 1000</w:t>
      </w:r>
      <w:r w:rsidR="00E96730">
        <w:rPr>
          <w:i/>
          <w:iCs/>
          <w:sz w:val="26"/>
          <w:szCs w:val="26"/>
        </w:rPr>
        <w:t>’</w:t>
      </w:r>
      <w:r w:rsidRPr="00C74D34">
        <w:rPr>
          <w:i/>
          <w:iCs/>
          <w:sz w:val="26"/>
          <w:szCs w:val="26"/>
        </w:rPr>
        <w:t>s transmission planning reforms are concerned with process</w:t>
      </w:r>
      <w:r w:rsidR="00E96730">
        <w:rPr>
          <w:i/>
          <w:iCs/>
          <w:sz w:val="26"/>
          <w:szCs w:val="26"/>
        </w:rPr>
        <w:t>”</w:t>
      </w:r>
      <w:r w:rsidRPr="00C74D34">
        <w:rPr>
          <w:i/>
          <w:iCs/>
          <w:sz w:val="26"/>
          <w:szCs w:val="26"/>
        </w:rPr>
        <w:t xml:space="preserve"> and </w:t>
      </w:r>
      <w:r w:rsidR="00AF051F">
        <w:rPr>
          <w:i/>
          <w:iCs/>
          <w:sz w:val="26"/>
          <w:szCs w:val="26"/>
        </w:rPr>
        <w:t>“</w:t>
      </w:r>
      <w:r w:rsidRPr="00C74D34">
        <w:rPr>
          <w:i/>
          <w:iCs/>
          <w:sz w:val="26"/>
          <w:szCs w:val="26"/>
        </w:rPr>
        <w:t>are not intended to dictate substantive outcomes.</w:t>
      </w:r>
      <w:r w:rsidR="00AF051F">
        <w:rPr>
          <w:i/>
          <w:iCs/>
          <w:sz w:val="26"/>
          <w:szCs w:val="26"/>
        </w:rPr>
        <w:t>”</w:t>
      </w:r>
      <w:r w:rsidRPr="00C74D34">
        <w:rPr>
          <w:sz w:val="26"/>
          <w:szCs w:val="26"/>
        </w:rPr>
        <w:t xml:space="preserve"> The substance of a regional transmission plan and any subsequent formation of agreements to construct or operate regional transmission facilities remain within the discretion of the decision-makers in each planning region. </w:t>
      </w:r>
    </w:p>
    <w:p w14:paraId="03CC2D11" w14:textId="77777777" w:rsidR="002679FE" w:rsidRPr="00C74D34" w:rsidRDefault="002679FE" w:rsidP="00513937">
      <w:pPr>
        <w:pStyle w:val="footnotedescription"/>
        <w:spacing w:line="360" w:lineRule="auto"/>
        <w:ind w:right="1440"/>
        <w:rPr>
          <w:i/>
          <w:sz w:val="26"/>
          <w:szCs w:val="26"/>
        </w:rPr>
      </w:pPr>
    </w:p>
    <w:p w14:paraId="1030A9F1" w14:textId="04426FEB" w:rsidR="007F1C9B" w:rsidRPr="00C74D34" w:rsidRDefault="007F1C9B" w:rsidP="00AF051F">
      <w:pPr>
        <w:pStyle w:val="footnotedescription"/>
        <w:spacing w:line="360" w:lineRule="auto"/>
        <w:ind w:right="1440"/>
        <w:rPr>
          <w:sz w:val="26"/>
          <w:szCs w:val="26"/>
        </w:rPr>
      </w:pPr>
      <w:r w:rsidRPr="00C74D34">
        <w:rPr>
          <w:i/>
          <w:sz w:val="26"/>
          <w:szCs w:val="26"/>
        </w:rPr>
        <w:t>S.C. Pub. Serv. Auth. v. FERC</w:t>
      </w:r>
      <w:r w:rsidRPr="00C74D34">
        <w:rPr>
          <w:sz w:val="26"/>
          <w:szCs w:val="26"/>
        </w:rPr>
        <w:t>, 762 F.3d 41, 57-58 (D.C. Cir. 2014) (</w:t>
      </w:r>
      <w:r w:rsidR="00B70E96" w:rsidRPr="00C74D34">
        <w:rPr>
          <w:sz w:val="26"/>
          <w:szCs w:val="26"/>
        </w:rPr>
        <w:t>emphasis added</w:t>
      </w:r>
      <w:r w:rsidR="002679FE" w:rsidRPr="00C74D34">
        <w:rPr>
          <w:sz w:val="26"/>
          <w:szCs w:val="26"/>
        </w:rPr>
        <w:t xml:space="preserve">, </w:t>
      </w:r>
      <w:r w:rsidRPr="00C74D34">
        <w:rPr>
          <w:sz w:val="26"/>
          <w:szCs w:val="26"/>
        </w:rPr>
        <w:t xml:space="preserve">internal citations omitted). </w:t>
      </w:r>
    </w:p>
    <w:p w14:paraId="56C1F859" w14:textId="77777777" w:rsidR="0026451C" w:rsidRPr="00C74D34" w:rsidRDefault="0026451C" w:rsidP="00AF051F">
      <w:pPr>
        <w:ind w:firstLine="1440"/>
        <w:rPr>
          <w:szCs w:val="26"/>
        </w:rPr>
      </w:pPr>
    </w:p>
    <w:p w14:paraId="18806CC8" w14:textId="6DC727D1" w:rsidR="003C21EF" w:rsidRPr="00C74D34" w:rsidRDefault="008C7621" w:rsidP="00AF051F">
      <w:pPr>
        <w:ind w:firstLine="1440"/>
        <w:rPr>
          <w:szCs w:val="26"/>
        </w:rPr>
      </w:pPr>
      <w:r w:rsidRPr="00C74D34">
        <w:rPr>
          <w:szCs w:val="26"/>
        </w:rPr>
        <w:t xml:space="preserve">In view </w:t>
      </w:r>
      <w:r w:rsidR="00A651F9" w:rsidRPr="00C74D34">
        <w:rPr>
          <w:szCs w:val="26"/>
        </w:rPr>
        <w:t xml:space="preserve">of </w:t>
      </w:r>
      <w:r w:rsidR="004A5A29" w:rsidRPr="00C74D34">
        <w:rPr>
          <w:szCs w:val="26"/>
        </w:rPr>
        <w:t>FERC’s</w:t>
      </w:r>
      <w:r w:rsidR="00ED27AC" w:rsidRPr="00C74D34">
        <w:rPr>
          <w:szCs w:val="26"/>
        </w:rPr>
        <w:t xml:space="preserve"> </w:t>
      </w:r>
      <w:r w:rsidR="004A5A29" w:rsidRPr="00C74D34">
        <w:rPr>
          <w:szCs w:val="26"/>
        </w:rPr>
        <w:t xml:space="preserve">stated scope of </w:t>
      </w:r>
      <w:r w:rsidRPr="00C74D34">
        <w:rPr>
          <w:szCs w:val="26"/>
        </w:rPr>
        <w:t>Order 1000,</w:t>
      </w:r>
      <w:r w:rsidR="005110E9" w:rsidRPr="00C74D34">
        <w:rPr>
          <w:szCs w:val="26"/>
        </w:rPr>
        <w:t xml:space="preserve"> </w:t>
      </w:r>
      <w:r w:rsidR="005110E9" w:rsidRPr="00C74D34">
        <w:rPr>
          <w:i/>
          <w:iCs/>
          <w:szCs w:val="26"/>
        </w:rPr>
        <w:t>i.e.</w:t>
      </w:r>
      <w:r w:rsidR="005110E9" w:rsidRPr="00C74D34">
        <w:rPr>
          <w:szCs w:val="26"/>
        </w:rPr>
        <w:t>,</w:t>
      </w:r>
      <w:r w:rsidR="004A5A29" w:rsidRPr="00C74D34">
        <w:rPr>
          <w:szCs w:val="26"/>
        </w:rPr>
        <w:t xml:space="preserve"> that it not interfere with </w:t>
      </w:r>
      <w:r w:rsidR="00ED27AC" w:rsidRPr="00C74D34">
        <w:rPr>
          <w:szCs w:val="26"/>
        </w:rPr>
        <w:t>the</w:t>
      </w:r>
      <w:r w:rsidR="004A5A29" w:rsidRPr="00C74D34">
        <w:rPr>
          <w:szCs w:val="26"/>
        </w:rPr>
        <w:t xml:space="preserve"> exercise of the sta</w:t>
      </w:r>
      <w:r w:rsidR="00ED27AC" w:rsidRPr="00C74D34">
        <w:rPr>
          <w:szCs w:val="26"/>
        </w:rPr>
        <w:t xml:space="preserve">te’s authority, </w:t>
      </w:r>
      <w:r w:rsidR="00D833CB" w:rsidRPr="00C74D34">
        <w:rPr>
          <w:szCs w:val="26"/>
        </w:rPr>
        <w:t>this</w:t>
      </w:r>
      <w:r w:rsidRPr="00C74D34">
        <w:rPr>
          <w:szCs w:val="26"/>
        </w:rPr>
        <w:t xml:space="preserve"> Commission’s determination is </w:t>
      </w:r>
      <w:r w:rsidR="00BD4714" w:rsidRPr="00C74D34">
        <w:rPr>
          <w:szCs w:val="26"/>
        </w:rPr>
        <w:t xml:space="preserve">to be </w:t>
      </w:r>
      <w:r w:rsidRPr="00C74D34">
        <w:rPr>
          <w:szCs w:val="26"/>
        </w:rPr>
        <w:t>rendere</w:t>
      </w:r>
      <w:r w:rsidR="00D833CB" w:rsidRPr="00C74D34">
        <w:rPr>
          <w:szCs w:val="26"/>
        </w:rPr>
        <w:t>d independent</w:t>
      </w:r>
      <w:r w:rsidR="00BD4714" w:rsidRPr="00C74D34">
        <w:rPr>
          <w:szCs w:val="26"/>
        </w:rPr>
        <w:t>ly</w:t>
      </w:r>
      <w:r w:rsidR="00D833CB" w:rsidRPr="00C74D34">
        <w:rPr>
          <w:szCs w:val="26"/>
        </w:rPr>
        <w:t xml:space="preserve"> of </w:t>
      </w:r>
      <w:r w:rsidR="001854B8" w:rsidRPr="00C74D34">
        <w:rPr>
          <w:szCs w:val="26"/>
        </w:rPr>
        <w:t xml:space="preserve">FERC </w:t>
      </w:r>
      <w:r w:rsidR="00D833CB" w:rsidRPr="00C74D34">
        <w:rPr>
          <w:szCs w:val="26"/>
        </w:rPr>
        <w:t xml:space="preserve">Order 1000.  </w:t>
      </w:r>
      <w:r w:rsidR="003C21EF" w:rsidRPr="00C74D34">
        <w:rPr>
          <w:szCs w:val="26"/>
        </w:rPr>
        <w:t xml:space="preserve">The present case </w:t>
      </w:r>
      <w:r w:rsidR="00102D61" w:rsidRPr="00C74D34">
        <w:rPr>
          <w:szCs w:val="26"/>
        </w:rPr>
        <w:t xml:space="preserve">addresses </w:t>
      </w:r>
      <w:proofErr w:type="spellStart"/>
      <w:r w:rsidR="00102D61" w:rsidRPr="00C74D34">
        <w:rPr>
          <w:szCs w:val="26"/>
        </w:rPr>
        <w:t>Transource’s</w:t>
      </w:r>
      <w:proofErr w:type="spellEnd"/>
      <w:r w:rsidR="00102D61" w:rsidRPr="00C74D34">
        <w:rPr>
          <w:szCs w:val="26"/>
        </w:rPr>
        <w:t xml:space="preserve"> </w:t>
      </w:r>
      <w:r w:rsidR="0024184E" w:rsidRPr="00C74D34">
        <w:rPr>
          <w:szCs w:val="26"/>
        </w:rPr>
        <w:t>siting Application</w:t>
      </w:r>
      <w:r w:rsidR="00102D61" w:rsidRPr="00C74D34">
        <w:rPr>
          <w:szCs w:val="26"/>
        </w:rPr>
        <w:t>s</w:t>
      </w:r>
      <w:r w:rsidR="0024184E" w:rsidRPr="00C74D34">
        <w:rPr>
          <w:szCs w:val="26"/>
        </w:rPr>
        <w:t xml:space="preserve"> </w:t>
      </w:r>
      <w:r w:rsidR="007E7720" w:rsidRPr="00C74D34">
        <w:rPr>
          <w:szCs w:val="26"/>
        </w:rPr>
        <w:t>seeking th</w:t>
      </w:r>
      <w:r w:rsidR="00102D61" w:rsidRPr="00C74D34">
        <w:rPr>
          <w:szCs w:val="26"/>
        </w:rPr>
        <w:t>e</w:t>
      </w:r>
      <w:r w:rsidR="007E7720" w:rsidRPr="00C74D34">
        <w:rPr>
          <w:szCs w:val="26"/>
        </w:rPr>
        <w:t xml:space="preserve"> neces</w:t>
      </w:r>
      <w:r w:rsidR="00102D61" w:rsidRPr="00C74D34">
        <w:rPr>
          <w:szCs w:val="26"/>
        </w:rPr>
        <w:t>s</w:t>
      </w:r>
      <w:r w:rsidR="007E7720" w:rsidRPr="00C74D34">
        <w:rPr>
          <w:szCs w:val="26"/>
        </w:rPr>
        <w:t xml:space="preserve">ary </w:t>
      </w:r>
      <w:r w:rsidR="00102D61" w:rsidRPr="00C74D34">
        <w:rPr>
          <w:szCs w:val="26"/>
        </w:rPr>
        <w:t xml:space="preserve">state </w:t>
      </w:r>
      <w:r w:rsidR="007E7720" w:rsidRPr="00C74D34">
        <w:rPr>
          <w:szCs w:val="26"/>
        </w:rPr>
        <w:t>app</w:t>
      </w:r>
      <w:r w:rsidR="00A120D4" w:rsidRPr="00C74D34">
        <w:rPr>
          <w:szCs w:val="26"/>
        </w:rPr>
        <w:t xml:space="preserve">roval </w:t>
      </w:r>
      <w:r w:rsidR="007E7720" w:rsidRPr="00C74D34">
        <w:rPr>
          <w:szCs w:val="26"/>
        </w:rPr>
        <w:t xml:space="preserve">and authority for siting and </w:t>
      </w:r>
      <w:r w:rsidR="00102D61" w:rsidRPr="00C74D34">
        <w:rPr>
          <w:szCs w:val="26"/>
        </w:rPr>
        <w:t>construction</w:t>
      </w:r>
      <w:r w:rsidR="007E7720" w:rsidRPr="00C74D34">
        <w:rPr>
          <w:szCs w:val="26"/>
        </w:rPr>
        <w:t xml:space="preserve"> of HV transmission lines, and</w:t>
      </w:r>
      <w:r w:rsidR="00792EE7" w:rsidRPr="00C74D34">
        <w:rPr>
          <w:szCs w:val="26"/>
        </w:rPr>
        <w:t xml:space="preserve">, </w:t>
      </w:r>
      <w:r w:rsidR="00792EE7" w:rsidRPr="00C74D34">
        <w:rPr>
          <w:i/>
          <w:iCs/>
          <w:szCs w:val="26"/>
        </w:rPr>
        <w:t>inter alia</w:t>
      </w:r>
      <w:r w:rsidR="00792EE7" w:rsidRPr="00C74D34">
        <w:rPr>
          <w:szCs w:val="26"/>
        </w:rPr>
        <w:t xml:space="preserve">, </w:t>
      </w:r>
      <w:r w:rsidR="007E7720" w:rsidRPr="00C74D34">
        <w:rPr>
          <w:szCs w:val="26"/>
        </w:rPr>
        <w:t>t</w:t>
      </w:r>
      <w:r w:rsidR="00A120D4" w:rsidRPr="00C74D34">
        <w:rPr>
          <w:szCs w:val="26"/>
        </w:rPr>
        <w:t xml:space="preserve">he </w:t>
      </w:r>
      <w:r w:rsidR="007E7720" w:rsidRPr="00C74D34">
        <w:rPr>
          <w:szCs w:val="26"/>
        </w:rPr>
        <w:t>necessary</w:t>
      </w:r>
      <w:r w:rsidR="00792EE7" w:rsidRPr="00C74D34">
        <w:rPr>
          <w:szCs w:val="26"/>
        </w:rPr>
        <w:t xml:space="preserve">-related </w:t>
      </w:r>
      <w:r w:rsidR="007E7720" w:rsidRPr="00C74D34">
        <w:rPr>
          <w:szCs w:val="26"/>
        </w:rPr>
        <w:t xml:space="preserve">authority to exercise the powers of </w:t>
      </w:r>
      <w:r w:rsidR="00102D61" w:rsidRPr="00C74D34">
        <w:rPr>
          <w:szCs w:val="26"/>
        </w:rPr>
        <w:t>eminent</w:t>
      </w:r>
      <w:r w:rsidR="007E7720" w:rsidRPr="00C74D34">
        <w:rPr>
          <w:szCs w:val="26"/>
        </w:rPr>
        <w:t xml:space="preserve"> </w:t>
      </w:r>
      <w:r w:rsidR="00102D61" w:rsidRPr="00C74D34">
        <w:rPr>
          <w:szCs w:val="26"/>
        </w:rPr>
        <w:t xml:space="preserve">domain and </w:t>
      </w:r>
      <w:r w:rsidR="00CD3B5D" w:rsidRPr="00C74D34">
        <w:rPr>
          <w:szCs w:val="26"/>
        </w:rPr>
        <w:t>zoning exemptions</w:t>
      </w:r>
      <w:r w:rsidR="00D96A0B" w:rsidRPr="00C74D34">
        <w:rPr>
          <w:szCs w:val="26"/>
        </w:rPr>
        <w:t xml:space="preserve"> within the Commonwealth.  </w:t>
      </w:r>
      <w:r w:rsidR="00C942D8" w:rsidRPr="00C74D34">
        <w:rPr>
          <w:szCs w:val="26"/>
        </w:rPr>
        <w:t xml:space="preserve">As such, this proceeding is </w:t>
      </w:r>
      <w:r w:rsidR="001C6BB2" w:rsidRPr="00C74D34">
        <w:rPr>
          <w:szCs w:val="26"/>
        </w:rPr>
        <w:t xml:space="preserve">for the express purpose of deciding </w:t>
      </w:r>
      <w:r w:rsidR="0024184E" w:rsidRPr="00C74D34">
        <w:rPr>
          <w:szCs w:val="26"/>
        </w:rPr>
        <w:t>“</w:t>
      </w:r>
      <w:r w:rsidR="0024184E" w:rsidRPr="00C74D34">
        <w:rPr>
          <w:i/>
          <w:iCs/>
          <w:szCs w:val="26"/>
        </w:rPr>
        <w:t>what needs to</w:t>
      </w:r>
      <w:r w:rsidR="00C43A39" w:rsidRPr="00C74D34">
        <w:rPr>
          <w:i/>
          <w:iCs/>
          <w:szCs w:val="26"/>
        </w:rPr>
        <w:t xml:space="preserve"> be</w:t>
      </w:r>
      <w:r w:rsidR="0024184E" w:rsidRPr="00C74D34">
        <w:rPr>
          <w:i/>
          <w:iCs/>
          <w:szCs w:val="26"/>
        </w:rPr>
        <w:t xml:space="preserve"> built, where it needs to be built, </w:t>
      </w:r>
      <w:r w:rsidR="001C6BB2" w:rsidRPr="00C74D34">
        <w:rPr>
          <w:i/>
          <w:iCs/>
          <w:szCs w:val="26"/>
        </w:rPr>
        <w:t>and who needs to build it</w:t>
      </w:r>
      <w:r w:rsidR="001C6BB2" w:rsidRPr="00C74D34">
        <w:rPr>
          <w:szCs w:val="26"/>
        </w:rPr>
        <w:t xml:space="preserve">.” </w:t>
      </w:r>
      <w:r w:rsidR="00143CAC" w:rsidRPr="00C74D34">
        <w:rPr>
          <w:szCs w:val="26"/>
        </w:rPr>
        <w:t xml:space="preserve"> Therefore, </w:t>
      </w:r>
      <w:r w:rsidR="0015275F" w:rsidRPr="00C74D34">
        <w:rPr>
          <w:szCs w:val="26"/>
        </w:rPr>
        <w:t xml:space="preserve">per the expressed intent </w:t>
      </w:r>
      <w:r w:rsidR="001578CF" w:rsidRPr="00C74D34">
        <w:rPr>
          <w:szCs w:val="26"/>
        </w:rPr>
        <w:t>of</w:t>
      </w:r>
      <w:r w:rsidR="0015275F" w:rsidRPr="00C74D34">
        <w:rPr>
          <w:szCs w:val="26"/>
        </w:rPr>
        <w:t xml:space="preserve"> </w:t>
      </w:r>
      <w:r w:rsidR="001854B8" w:rsidRPr="00C74D34">
        <w:rPr>
          <w:szCs w:val="26"/>
        </w:rPr>
        <w:t xml:space="preserve">FERC </w:t>
      </w:r>
      <w:r w:rsidR="0015275F" w:rsidRPr="00C74D34">
        <w:rPr>
          <w:szCs w:val="26"/>
        </w:rPr>
        <w:t xml:space="preserve">Order 1000, </w:t>
      </w:r>
      <w:r w:rsidR="00143CAC" w:rsidRPr="00C74D34">
        <w:rPr>
          <w:szCs w:val="26"/>
        </w:rPr>
        <w:t>this Commission</w:t>
      </w:r>
      <w:r w:rsidR="0015275F" w:rsidRPr="00C74D34">
        <w:rPr>
          <w:szCs w:val="26"/>
        </w:rPr>
        <w:t xml:space="preserve"> is the “decision maker” </w:t>
      </w:r>
      <w:r w:rsidR="000F4E5D" w:rsidRPr="00C74D34">
        <w:rPr>
          <w:szCs w:val="26"/>
        </w:rPr>
        <w:t xml:space="preserve">and the substantive outcome is </w:t>
      </w:r>
      <w:r w:rsidR="00F81D51" w:rsidRPr="00C74D34">
        <w:rPr>
          <w:szCs w:val="26"/>
        </w:rPr>
        <w:t xml:space="preserve">to be reached by </w:t>
      </w:r>
      <w:r w:rsidR="00C866EF" w:rsidRPr="00C74D34">
        <w:rPr>
          <w:szCs w:val="26"/>
        </w:rPr>
        <w:t xml:space="preserve">applying the relevant </w:t>
      </w:r>
      <w:r w:rsidR="00F26CB3" w:rsidRPr="00C74D34">
        <w:rPr>
          <w:szCs w:val="26"/>
        </w:rPr>
        <w:t>Pennsylvania</w:t>
      </w:r>
      <w:r w:rsidR="00C866EF" w:rsidRPr="00C74D34">
        <w:rPr>
          <w:szCs w:val="26"/>
        </w:rPr>
        <w:t xml:space="preserve"> </w:t>
      </w:r>
      <w:r w:rsidR="00F26CB3" w:rsidRPr="00C74D34">
        <w:rPr>
          <w:szCs w:val="26"/>
        </w:rPr>
        <w:t>standards</w:t>
      </w:r>
      <w:r w:rsidR="00550491" w:rsidRPr="00C74D34">
        <w:rPr>
          <w:szCs w:val="26"/>
        </w:rPr>
        <w:t xml:space="preserve">.  Our decision is not influenced by </w:t>
      </w:r>
      <w:r w:rsidR="002B180B" w:rsidRPr="00C74D34">
        <w:rPr>
          <w:szCs w:val="26"/>
        </w:rPr>
        <w:t xml:space="preserve">FERC authority to direct </w:t>
      </w:r>
      <w:r w:rsidR="00F06B4C" w:rsidRPr="00C74D34">
        <w:rPr>
          <w:szCs w:val="26"/>
        </w:rPr>
        <w:t xml:space="preserve">PJM to </w:t>
      </w:r>
      <w:r w:rsidR="00260A38" w:rsidRPr="00C74D34">
        <w:rPr>
          <w:szCs w:val="26"/>
        </w:rPr>
        <w:t xml:space="preserve">implement </w:t>
      </w:r>
      <w:r w:rsidR="00F81D51" w:rsidRPr="00C74D34">
        <w:rPr>
          <w:szCs w:val="26"/>
        </w:rPr>
        <w:t xml:space="preserve">Order 1000’s </w:t>
      </w:r>
      <w:r w:rsidR="00D96A0B" w:rsidRPr="00C74D34">
        <w:rPr>
          <w:szCs w:val="26"/>
        </w:rPr>
        <w:t>transmission planning reforms</w:t>
      </w:r>
      <w:r w:rsidR="007825EA" w:rsidRPr="00C74D34">
        <w:rPr>
          <w:szCs w:val="26"/>
        </w:rPr>
        <w:t>,</w:t>
      </w:r>
      <w:r w:rsidR="00D96A0B" w:rsidRPr="00C74D34">
        <w:rPr>
          <w:szCs w:val="26"/>
        </w:rPr>
        <w:t xml:space="preserve"> which are concerned with </w:t>
      </w:r>
      <w:r w:rsidR="007825EA" w:rsidRPr="00C74D34">
        <w:rPr>
          <w:szCs w:val="26"/>
        </w:rPr>
        <w:t xml:space="preserve">federal </w:t>
      </w:r>
      <w:r w:rsidR="00D96A0B" w:rsidRPr="00C74D34">
        <w:rPr>
          <w:szCs w:val="26"/>
        </w:rPr>
        <w:t xml:space="preserve">process. </w:t>
      </w:r>
      <w:r w:rsidR="00A557ED" w:rsidRPr="00C74D34">
        <w:rPr>
          <w:szCs w:val="26"/>
        </w:rPr>
        <w:t xml:space="preserve"> </w:t>
      </w:r>
    </w:p>
    <w:p w14:paraId="5F631F37" w14:textId="77777777" w:rsidR="00783B90" w:rsidRPr="00C74D34" w:rsidRDefault="00783B90" w:rsidP="002D03FA">
      <w:pPr>
        <w:ind w:firstLine="1440"/>
        <w:rPr>
          <w:szCs w:val="26"/>
        </w:rPr>
      </w:pPr>
    </w:p>
    <w:p w14:paraId="6F99DA59" w14:textId="377B6457" w:rsidR="009A3904" w:rsidRPr="00C74D34" w:rsidRDefault="00D7004F" w:rsidP="002D03FA">
      <w:pPr>
        <w:ind w:firstLine="1440"/>
        <w:rPr>
          <w:szCs w:val="26"/>
        </w:rPr>
      </w:pPr>
      <w:r w:rsidRPr="00C74D34">
        <w:rPr>
          <w:szCs w:val="26"/>
        </w:rPr>
        <w:t>We further agree with the ALJ’s ap</w:t>
      </w:r>
      <w:r w:rsidR="009A3904" w:rsidRPr="00C74D34">
        <w:rPr>
          <w:szCs w:val="26"/>
        </w:rPr>
        <w:t>p</w:t>
      </w:r>
      <w:r w:rsidRPr="00C74D34">
        <w:rPr>
          <w:szCs w:val="26"/>
        </w:rPr>
        <w:t>li</w:t>
      </w:r>
      <w:r w:rsidR="009A3904" w:rsidRPr="00C74D34">
        <w:rPr>
          <w:szCs w:val="26"/>
        </w:rPr>
        <w:t>c</w:t>
      </w:r>
      <w:r w:rsidRPr="00C74D34">
        <w:rPr>
          <w:szCs w:val="26"/>
        </w:rPr>
        <w:t xml:space="preserve">ation of the holding in </w:t>
      </w:r>
      <w:proofErr w:type="spellStart"/>
      <w:r w:rsidRPr="00C74D34">
        <w:rPr>
          <w:i/>
          <w:iCs/>
          <w:szCs w:val="26"/>
        </w:rPr>
        <w:t>TrAIL</w:t>
      </w:r>
      <w:r w:rsidR="007E5C47" w:rsidRPr="00C74D34">
        <w:rPr>
          <w:i/>
          <w:iCs/>
          <w:szCs w:val="26"/>
        </w:rPr>
        <w:t>Co</w:t>
      </w:r>
      <w:proofErr w:type="spellEnd"/>
      <w:r w:rsidR="007E5C47" w:rsidRPr="00C74D34">
        <w:rPr>
          <w:szCs w:val="26"/>
        </w:rPr>
        <w:t>,</w:t>
      </w:r>
      <w:r w:rsidR="001854B8" w:rsidRPr="00C74D34">
        <w:rPr>
          <w:szCs w:val="26"/>
        </w:rPr>
        <w:t xml:space="preserve"> Case</w:t>
      </w:r>
      <w:r w:rsidR="007E5C47" w:rsidRPr="00C74D34">
        <w:rPr>
          <w:szCs w:val="26"/>
        </w:rPr>
        <w:t xml:space="preserve"> to conclude that it is within the Commission’s discretion to consider </w:t>
      </w:r>
      <w:r w:rsidR="0080258C" w:rsidRPr="00C74D34">
        <w:rPr>
          <w:szCs w:val="26"/>
        </w:rPr>
        <w:t xml:space="preserve">and give weight to the </w:t>
      </w:r>
      <w:r w:rsidR="00B602E2" w:rsidRPr="00C74D34">
        <w:rPr>
          <w:szCs w:val="26"/>
        </w:rPr>
        <w:t xml:space="preserve">potential economic and environmental </w:t>
      </w:r>
      <w:r w:rsidR="0080258C" w:rsidRPr="00C74D34">
        <w:rPr>
          <w:szCs w:val="26"/>
        </w:rPr>
        <w:t>impact</w:t>
      </w:r>
      <w:r w:rsidR="00B602E2" w:rsidRPr="00C74D34">
        <w:rPr>
          <w:szCs w:val="26"/>
        </w:rPr>
        <w:t xml:space="preserve"> to Pennsylvania </w:t>
      </w:r>
      <w:r w:rsidR="00E546B9" w:rsidRPr="00C74D34">
        <w:rPr>
          <w:szCs w:val="26"/>
        </w:rPr>
        <w:t xml:space="preserve">by a PJM-approved transmission project, including impact </w:t>
      </w:r>
      <w:r w:rsidR="003C10C5" w:rsidRPr="00C74D34">
        <w:rPr>
          <w:szCs w:val="26"/>
        </w:rPr>
        <w:t xml:space="preserve">which may or may not be part of the PJM </w:t>
      </w:r>
      <w:r w:rsidR="001F5732" w:rsidRPr="00C74D34">
        <w:rPr>
          <w:szCs w:val="26"/>
        </w:rPr>
        <w:t xml:space="preserve">approval </w:t>
      </w:r>
      <w:r w:rsidR="003C10C5" w:rsidRPr="00C74D34">
        <w:rPr>
          <w:szCs w:val="26"/>
        </w:rPr>
        <w:t xml:space="preserve">criteria and methodology.  </w:t>
      </w:r>
    </w:p>
    <w:p w14:paraId="33A895F8" w14:textId="77777777" w:rsidR="009A3904" w:rsidRPr="00C74D34" w:rsidRDefault="009A3904" w:rsidP="002D03FA">
      <w:pPr>
        <w:ind w:firstLine="1440"/>
        <w:rPr>
          <w:szCs w:val="26"/>
        </w:rPr>
      </w:pPr>
    </w:p>
    <w:p w14:paraId="144CC7A9" w14:textId="4D5583DF" w:rsidR="001C5630" w:rsidRPr="00C74D34" w:rsidRDefault="0021408D" w:rsidP="002D03FA">
      <w:pPr>
        <w:ind w:firstLine="1440"/>
        <w:rPr>
          <w:szCs w:val="26"/>
        </w:rPr>
      </w:pPr>
      <w:r w:rsidRPr="00C74D34">
        <w:rPr>
          <w:szCs w:val="26"/>
        </w:rPr>
        <w:lastRenderedPageBreak/>
        <w:t>With respect to consideration of the potential negative impact</w:t>
      </w:r>
      <w:r w:rsidR="009C50A6" w:rsidRPr="00C74D34">
        <w:rPr>
          <w:szCs w:val="26"/>
        </w:rPr>
        <w:t xml:space="preserve">, including </w:t>
      </w:r>
      <w:r w:rsidR="001D5C90" w:rsidRPr="00C74D34">
        <w:rPr>
          <w:szCs w:val="26"/>
        </w:rPr>
        <w:t>rate</w:t>
      </w:r>
      <w:r w:rsidR="009C50A6" w:rsidRPr="00C74D34">
        <w:rPr>
          <w:szCs w:val="26"/>
        </w:rPr>
        <w:t xml:space="preserve"> increases,</w:t>
      </w:r>
      <w:r w:rsidRPr="00C74D34">
        <w:rPr>
          <w:szCs w:val="26"/>
        </w:rPr>
        <w:t xml:space="preserve"> to th</w:t>
      </w:r>
      <w:r w:rsidR="009C50A6" w:rsidRPr="00C74D34">
        <w:rPr>
          <w:szCs w:val="26"/>
        </w:rPr>
        <w:t>e c</w:t>
      </w:r>
      <w:r w:rsidR="009F26B0" w:rsidRPr="00C74D34">
        <w:rPr>
          <w:szCs w:val="26"/>
        </w:rPr>
        <w:t xml:space="preserve">ustomers </w:t>
      </w:r>
      <w:r w:rsidR="009C50A6" w:rsidRPr="00C74D34">
        <w:rPr>
          <w:szCs w:val="26"/>
        </w:rPr>
        <w:t xml:space="preserve">in the Commonwealth, </w:t>
      </w:r>
      <w:proofErr w:type="spellStart"/>
      <w:r w:rsidR="009A3904" w:rsidRPr="00C74D34">
        <w:rPr>
          <w:szCs w:val="26"/>
        </w:rPr>
        <w:t>Transource</w:t>
      </w:r>
      <w:proofErr w:type="spellEnd"/>
      <w:r w:rsidR="009A3904" w:rsidRPr="00C74D34">
        <w:rPr>
          <w:szCs w:val="26"/>
        </w:rPr>
        <w:t xml:space="preserve"> asserts that this Commiss</w:t>
      </w:r>
      <w:r w:rsidR="00A839A5" w:rsidRPr="00C74D34">
        <w:rPr>
          <w:szCs w:val="26"/>
        </w:rPr>
        <w:t>i</w:t>
      </w:r>
      <w:r w:rsidR="009A3904" w:rsidRPr="00C74D34">
        <w:rPr>
          <w:szCs w:val="26"/>
        </w:rPr>
        <w:t xml:space="preserve">on is required to </w:t>
      </w:r>
      <w:r w:rsidR="00697C77" w:rsidRPr="00C74D34">
        <w:rPr>
          <w:szCs w:val="26"/>
        </w:rPr>
        <w:t xml:space="preserve">disregard </w:t>
      </w:r>
      <w:r w:rsidR="001618F3" w:rsidRPr="00C74D34">
        <w:rPr>
          <w:szCs w:val="26"/>
        </w:rPr>
        <w:t xml:space="preserve">such negative </w:t>
      </w:r>
      <w:r w:rsidR="0003744A" w:rsidRPr="00C74D34">
        <w:rPr>
          <w:szCs w:val="26"/>
        </w:rPr>
        <w:t xml:space="preserve">impact </w:t>
      </w:r>
      <w:r w:rsidR="00806C31" w:rsidRPr="00C74D34">
        <w:rPr>
          <w:szCs w:val="26"/>
        </w:rPr>
        <w:t>and weigh only the assertion of “need”</w:t>
      </w:r>
      <w:r w:rsidR="00995FF3" w:rsidRPr="00C74D34">
        <w:rPr>
          <w:szCs w:val="26"/>
        </w:rPr>
        <w:t xml:space="preserve"> for the proposed project </w:t>
      </w:r>
      <w:r w:rsidR="00806C31" w:rsidRPr="00C74D34">
        <w:rPr>
          <w:szCs w:val="26"/>
        </w:rPr>
        <w:t xml:space="preserve">as </w:t>
      </w:r>
      <w:r w:rsidR="00995FF3" w:rsidRPr="00C74D34">
        <w:rPr>
          <w:szCs w:val="26"/>
        </w:rPr>
        <w:t>calculated</w:t>
      </w:r>
      <w:r w:rsidR="00806C31" w:rsidRPr="00C74D34">
        <w:rPr>
          <w:szCs w:val="26"/>
        </w:rPr>
        <w:t xml:space="preserve"> under the PJM-approved </w:t>
      </w:r>
      <w:r w:rsidR="00995FF3" w:rsidRPr="00C74D34">
        <w:rPr>
          <w:szCs w:val="26"/>
        </w:rPr>
        <w:t xml:space="preserve">criteria and </w:t>
      </w:r>
      <w:r w:rsidR="00806C31" w:rsidRPr="00C74D34">
        <w:rPr>
          <w:szCs w:val="26"/>
        </w:rPr>
        <w:t>methodology</w:t>
      </w:r>
      <w:r w:rsidR="00995FF3" w:rsidRPr="00C74D34">
        <w:rPr>
          <w:szCs w:val="26"/>
        </w:rPr>
        <w:t>.  We</w:t>
      </w:r>
      <w:r w:rsidR="00806C31" w:rsidRPr="00C74D34">
        <w:rPr>
          <w:szCs w:val="26"/>
        </w:rPr>
        <w:t xml:space="preserve"> d</w:t>
      </w:r>
      <w:r w:rsidR="002876A3" w:rsidRPr="00C74D34">
        <w:rPr>
          <w:szCs w:val="26"/>
        </w:rPr>
        <w:t xml:space="preserve">isagree.  The potential </w:t>
      </w:r>
      <w:r w:rsidR="00361D81" w:rsidRPr="00C74D34">
        <w:rPr>
          <w:szCs w:val="26"/>
        </w:rPr>
        <w:t xml:space="preserve">negative </w:t>
      </w:r>
      <w:r w:rsidR="002876A3" w:rsidRPr="00C74D34">
        <w:rPr>
          <w:szCs w:val="26"/>
        </w:rPr>
        <w:t xml:space="preserve">and practical impact on the citizens and consumers </w:t>
      </w:r>
      <w:r w:rsidR="005A5D7E" w:rsidRPr="00C74D34">
        <w:rPr>
          <w:szCs w:val="26"/>
        </w:rPr>
        <w:t>o</w:t>
      </w:r>
      <w:r w:rsidR="00361D81" w:rsidRPr="00C74D34">
        <w:rPr>
          <w:szCs w:val="26"/>
        </w:rPr>
        <w:t xml:space="preserve">f Pennsylvania is our concern, and it is properly within the scope </w:t>
      </w:r>
      <w:r w:rsidR="004B160B" w:rsidRPr="00C74D34">
        <w:rPr>
          <w:szCs w:val="26"/>
        </w:rPr>
        <w:t>of our consideration o</w:t>
      </w:r>
      <w:r w:rsidR="003B1D04" w:rsidRPr="00C74D34">
        <w:rPr>
          <w:szCs w:val="26"/>
        </w:rPr>
        <w:t>f</w:t>
      </w:r>
      <w:r w:rsidR="004B160B" w:rsidRPr="00C74D34">
        <w:rPr>
          <w:szCs w:val="26"/>
        </w:rPr>
        <w:t xml:space="preserve"> the weight of </w:t>
      </w:r>
      <w:r w:rsidR="003B1D04" w:rsidRPr="00C74D34">
        <w:rPr>
          <w:szCs w:val="26"/>
        </w:rPr>
        <w:t xml:space="preserve">all </w:t>
      </w:r>
      <w:r w:rsidR="004B160B" w:rsidRPr="00C74D34">
        <w:rPr>
          <w:szCs w:val="26"/>
        </w:rPr>
        <w:t xml:space="preserve">the evidence on the issue </w:t>
      </w:r>
      <w:r w:rsidR="003B1D04" w:rsidRPr="00C74D34">
        <w:rPr>
          <w:szCs w:val="26"/>
        </w:rPr>
        <w:t>o</w:t>
      </w:r>
      <w:r w:rsidR="004B160B" w:rsidRPr="00C74D34">
        <w:rPr>
          <w:szCs w:val="26"/>
        </w:rPr>
        <w:t>f “need</w:t>
      </w:r>
      <w:r w:rsidR="003B1D04" w:rsidRPr="00C74D34">
        <w:rPr>
          <w:szCs w:val="26"/>
        </w:rPr>
        <w:t>.</w:t>
      </w:r>
      <w:r w:rsidR="004B160B" w:rsidRPr="00C74D34">
        <w:rPr>
          <w:szCs w:val="26"/>
        </w:rPr>
        <w:t>”</w:t>
      </w:r>
      <w:r w:rsidR="00EE43EE" w:rsidRPr="00C74D34">
        <w:rPr>
          <w:szCs w:val="26"/>
        </w:rPr>
        <w:t xml:space="preserve">  </w:t>
      </w:r>
    </w:p>
    <w:p w14:paraId="34299851" w14:textId="77777777" w:rsidR="001C5630" w:rsidRPr="00C74D34" w:rsidRDefault="001C5630" w:rsidP="002D03FA">
      <w:pPr>
        <w:ind w:firstLine="1440"/>
        <w:rPr>
          <w:szCs w:val="26"/>
        </w:rPr>
      </w:pPr>
    </w:p>
    <w:p w14:paraId="26FDF667" w14:textId="0C4F6AC6" w:rsidR="00D71FE7" w:rsidRPr="00C74D34" w:rsidRDefault="00983A5C" w:rsidP="00513937">
      <w:pPr>
        <w:ind w:firstLine="1440"/>
        <w:rPr>
          <w:szCs w:val="26"/>
        </w:rPr>
      </w:pPr>
      <w:proofErr w:type="spellStart"/>
      <w:r w:rsidRPr="00C74D34">
        <w:rPr>
          <w:szCs w:val="26"/>
        </w:rPr>
        <w:t>Transource</w:t>
      </w:r>
      <w:proofErr w:type="spellEnd"/>
      <w:r w:rsidRPr="00C74D34">
        <w:rPr>
          <w:szCs w:val="26"/>
        </w:rPr>
        <w:t xml:space="preserve"> does not dispute that the consequences of </w:t>
      </w:r>
      <w:r w:rsidR="00E458F5" w:rsidRPr="00C74D34">
        <w:rPr>
          <w:szCs w:val="26"/>
        </w:rPr>
        <w:t xml:space="preserve">Project 9A would be to </w:t>
      </w:r>
      <w:r w:rsidRPr="00C74D34">
        <w:rPr>
          <w:szCs w:val="26"/>
        </w:rPr>
        <w:t>alleviate the eco</w:t>
      </w:r>
      <w:r w:rsidR="00E458F5" w:rsidRPr="00C74D34">
        <w:rPr>
          <w:szCs w:val="26"/>
        </w:rPr>
        <w:t xml:space="preserve">nomic congestion on a regional level, which in turn would result in higher rates in Pennsylvania.  </w:t>
      </w:r>
      <w:proofErr w:type="spellStart"/>
      <w:r w:rsidR="00E458F5" w:rsidRPr="00C74D34">
        <w:rPr>
          <w:szCs w:val="26"/>
        </w:rPr>
        <w:t>Transource</w:t>
      </w:r>
      <w:proofErr w:type="spellEnd"/>
      <w:r w:rsidR="00E458F5" w:rsidRPr="00C74D34">
        <w:rPr>
          <w:szCs w:val="26"/>
        </w:rPr>
        <w:t xml:space="preserve"> argues </w:t>
      </w:r>
      <w:r w:rsidR="00E1646D" w:rsidRPr="00C74D34">
        <w:rPr>
          <w:szCs w:val="26"/>
        </w:rPr>
        <w:t xml:space="preserve">only that, whatever the negative impact to </w:t>
      </w:r>
      <w:r w:rsidR="00BF1B5F" w:rsidRPr="00C74D34">
        <w:rPr>
          <w:szCs w:val="26"/>
        </w:rPr>
        <w:t>Pennsylvania</w:t>
      </w:r>
      <w:r w:rsidR="00E1646D" w:rsidRPr="00C74D34">
        <w:rPr>
          <w:szCs w:val="26"/>
        </w:rPr>
        <w:t xml:space="preserve"> consu</w:t>
      </w:r>
      <w:r w:rsidR="00BF1B5F" w:rsidRPr="00C74D34">
        <w:rPr>
          <w:szCs w:val="26"/>
        </w:rPr>
        <w:t>mers</w:t>
      </w:r>
      <w:r w:rsidR="00E1646D" w:rsidRPr="00C74D34">
        <w:rPr>
          <w:szCs w:val="26"/>
        </w:rPr>
        <w:t xml:space="preserve"> is </w:t>
      </w:r>
      <w:r w:rsidR="00BF1B5F" w:rsidRPr="00C74D34">
        <w:rPr>
          <w:szCs w:val="26"/>
        </w:rPr>
        <w:t>superseded</w:t>
      </w:r>
      <w:r w:rsidR="00E1646D" w:rsidRPr="00C74D34">
        <w:rPr>
          <w:szCs w:val="26"/>
        </w:rPr>
        <w:t xml:space="preserve"> by the regional planning needs to be achie</w:t>
      </w:r>
      <w:r w:rsidR="00BF1B5F" w:rsidRPr="00C74D34">
        <w:rPr>
          <w:szCs w:val="26"/>
        </w:rPr>
        <w:t xml:space="preserve">ved under Project 9A.  </w:t>
      </w:r>
      <w:proofErr w:type="spellStart"/>
      <w:r w:rsidR="00BF1B5F" w:rsidRPr="00C74D34">
        <w:rPr>
          <w:szCs w:val="26"/>
        </w:rPr>
        <w:t>Transource</w:t>
      </w:r>
      <w:proofErr w:type="spellEnd"/>
      <w:r w:rsidR="00BF1B5F" w:rsidRPr="00C74D34">
        <w:rPr>
          <w:szCs w:val="26"/>
        </w:rPr>
        <w:t xml:space="preserve"> </w:t>
      </w:r>
      <w:r w:rsidR="001A5646" w:rsidRPr="00C74D34">
        <w:rPr>
          <w:szCs w:val="26"/>
        </w:rPr>
        <w:t>maintains</w:t>
      </w:r>
      <w:r w:rsidR="002A2A1B" w:rsidRPr="00C74D34">
        <w:rPr>
          <w:szCs w:val="26"/>
        </w:rPr>
        <w:t xml:space="preserve"> that, as Pennsylvania benefits from regional planning</w:t>
      </w:r>
      <w:r w:rsidR="002803CF" w:rsidRPr="00C74D34">
        <w:rPr>
          <w:szCs w:val="26"/>
        </w:rPr>
        <w:t xml:space="preserve"> for projects approved here and elsewhe</w:t>
      </w:r>
      <w:r w:rsidR="00910924" w:rsidRPr="00C74D34">
        <w:rPr>
          <w:szCs w:val="26"/>
        </w:rPr>
        <w:t>re</w:t>
      </w:r>
      <w:r w:rsidR="002A2A1B" w:rsidRPr="00C74D34">
        <w:rPr>
          <w:szCs w:val="26"/>
        </w:rPr>
        <w:t xml:space="preserve">, Pennsylvania should also </w:t>
      </w:r>
      <w:r w:rsidR="001A5646" w:rsidRPr="00C74D34">
        <w:rPr>
          <w:szCs w:val="26"/>
        </w:rPr>
        <w:t xml:space="preserve">accept the negative consequences and not review </w:t>
      </w:r>
      <w:r w:rsidR="00DD5102" w:rsidRPr="00C74D34">
        <w:rPr>
          <w:szCs w:val="26"/>
        </w:rPr>
        <w:t xml:space="preserve">the question of need on a “Pennsylvania only” basis.  </w:t>
      </w:r>
    </w:p>
    <w:p w14:paraId="62670EF9" w14:textId="77777777" w:rsidR="007E2961" w:rsidRPr="00C74D34" w:rsidRDefault="007E2961" w:rsidP="00513937">
      <w:pPr>
        <w:ind w:firstLine="1440"/>
        <w:rPr>
          <w:szCs w:val="26"/>
        </w:rPr>
      </w:pPr>
    </w:p>
    <w:p w14:paraId="28D02AB9" w14:textId="6633CA12" w:rsidR="007E2961" w:rsidRPr="00C74D34" w:rsidRDefault="00910924" w:rsidP="00513937">
      <w:pPr>
        <w:ind w:firstLine="1440"/>
        <w:rPr>
          <w:szCs w:val="26"/>
        </w:rPr>
      </w:pPr>
      <w:r w:rsidRPr="00C74D34">
        <w:rPr>
          <w:szCs w:val="26"/>
        </w:rPr>
        <w:t>However, c</w:t>
      </w:r>
      <w:r w:rsidR="00DD5102" w:rsidRPr="00C74D34">
        <w:rPr>
          <w:szCs w:val="26"/>
        </w:rPr>
        <w:t xml:space="preserve">ontrary to </w:t>
      </w:r>
      <w:proofErr w:type="spellStart"/>
      <w:r w:rsidR="00DD5102" w:rsidRPr="00C74D34">
        <w:rPr>
          <w:szCs w:val="26"/>
        </w:rPr>
        <w:t>Transou</w:t>
      </w:r>
      <w:r w:rsidR="00D414D4" w:rsidRPr="00C74D34">
        <w:rPr>
          <w:szCs w:val="26"/>
        </w:rPr>
        <w:t>r</w:t>
      </w:r>
      <w:r w:rsidR="00DD5102" w:rsidRPr="00C74D34">
        <w:rPr>
          <w:szCs w:val="26"/>
        </w:rPr>
        <w:t>ce’s</w:t>
      </w:r>
      <w:proofErr w:type="spellEnd"/>
      <w:r w:rsidR="00DD5102" w:rsidRPr="00C74D34">
        <w:rPr>
          <w:szCs w:val="26"/>
        </w:rPr>
        <w:t xml:space="preserve"> view, the ALJ did not view the question of need on</w:t>
      </w:r>
      <w:r w:rsidR="00BA08DE" w:rsidRPr="00C74D34">
        <w:rPr>
          <w:szCs w:val="26"/>
        </w:rPr>
        <w:t xml:space="preserve"> </w:t>
      </w:r>
      <w:r w:rsidR="00DD5102" w:rsidRPr="00C74D34">
        <w:rPr>
          <w:szCs w:val="26"/>
        </w:rPr>
        <w:t xml:space="preserve">a </w:t>
      </w:r>
      <w:r w:rsidR="00BA08DE" w:rsidRPr="00C74D34">
        <w:rPr>
          <w:szCs w:val="26"/>
        </w:rPr>
        <w:t xml:space="preserve">Pennsylvania-only basis, but rather </w:t>
      </w:r>
      <w:r w:rsidR="00F66E6B" w:rsidRPr="00C74D34">
        <w:rPr>
          <w:szCs w:val="26"/>
        </w:rPr>
        <w:t>viewed the region</w:t>
      </w:r>
      <w:r w:rsidR="005B6257" w:rsidRPr="00C74D34">
        <w:rPr>
          <w:szCs w:val="26"/>
        </w:rPr>
        <w:t>a</w:t>
      </w:r>
      <w:r w:rsidR="00F66E6B" w:rsidRPr="00C74D34">
        <w:rPr>
          <w:szCs w:val="26"/>
        </w:rPr>
        <w:t>l</w:t>
      </w:r>
      <w:r w:rsidR="005B6257" w:rsidRPr="00C74D34">
        <w:rPr>
          <w:szCs w:val="26"/>
        </w:rPr>
        <w:t xml:space="preserve"> </w:t>
      </w:r>
      <w:r w:rsidR="00F66E6B" w:rsidRPr="00C74D34">
        <w:rPr>
          <w:szCs w:val="26"/>
        </w:rPr>
        <w:t xml:space="preserve">planning </w:t>
      </w:r>
      <w:r w:rsidR="005B6257" w:rsidRPr="00C74D34">
        <w:rPr>
          <w:szCs w:val="26"/>
        </w:rPr>
        <w:t xml:space="preserve">proposal </w:t>
      </w:r>
      <w:r w:rsidR="00F66E6B" w:rsidRPr="00C74D34">
        <w:rPr>
          <w:szCs w:val="26"/>
        </w:rPr>
        <w:t>on a “</w:t>
      </w:r>
      <w:r w:rsidR="00BA08DE" w:rsidRPr="00C74D34">
        <w:rPr>
          <w:szCs w:val="26"/>
        </w:rPr>
        <w:t>Pennsylvania-</w:t>
      </w:r>
      <w:r w:rsidRPr="00C74D34">
        <w:rPr>
          <w:szCs w:val="26"/>
        </w:rPr>
        <w:t>also</w:t>
      </w:r>
      <w:r w:rsidR="00F66E6B" w:rsidRPr="00C74D34">
        <w:rPr>
          <w:szCs w:val="26"/>
        </w:rPr>
        <w:t>” basis</w:t>
      </w:r>
      <w:r w:rsidR="00B51B1B" w:rsidRPr="00C74D34">
        <w:rPr>
          <w:szCs w:val="26"/>
        </w:rPr>
        <w:t xml:space="preserve">, in that the review included consideration of the </w:t>
      </w:r>
      <w:r w:rsidR="0041732F" w:rsidRPr="00C74D34">
        <w:rPr>
          <w:szCs w:val="26"/>
        </w:rPr>
        <w:t>importan</w:t>
      </w:r>
      <w:r w:rsidR="00D0724A" w:rsidRPr="00C74D34">
        <w:rPr>
          <w:szCs w:val="26"/>
        </w:rPr>
        <w:t>ce</w:t>
      </w:r>
      <w:r w:rsidR="00354021" w:rsidRPr="00C74D34">
        <w:rPr>
          <w:szCs w:val="26"/>
        </w:rPr>
        <w:t xml:space="preserve"> of</w:t>
      </w:r>
      <w:r w:rsidR="0041732F" w:rsidRPr="00C74D34">
        <w:rPr>
          <w:szCs w:val="26"/>
        </w:rPr>
        <w:t xml:space="preserve"> </w:t>
      </w:r>
      <w:r w:rsidR="00354021" w:rsidRPr="00C74D34">
        <w:rPr>
          <w:szCs w:val="26"/>
        </w:rPr>
        <w:t xml:space="preserve">prospective </w:t>
      </w:r>
      <w:r w:rsidR="0041732F" w:rsidRPr="00C74D34">
        <w:rPr>
          <w:szCs w:val="26"/>
        </w:rPr>
        <w:t>federal regional planning objectives and the importan</w:t>
      </w:r>
      <w:r w:rsidR="00354021" w:rsidRPr="00C74D34">
        <w:rPr>
          <w:szCs w:val="26"/>
        </w:rPr>
        <w:t>ce</w:t>
      </w:r>
      <w:r w:rsidR="0041732F" w:rsidRPr="00C74D34">
        <w:rPr>
          <w:szCs w:val="26"/>
        </w:rPr>
        <w:t xml:space="preserve"> </w:t>
      </w:r>
      <w:r w:rsidR="00354021" w:rsidRPr="00C74D34">
        <w:rPr>
          <w:szCs w:val="26"/>
        </w:rPr>
        <w:t xml:space="preserve">of prospective </w:t>
      </w:r>
      <w:r w:rsidR="00D0724A" w:rsidRPr="00C74D34">
        <w:rPr>
          <w:szCs w:val="26"/>
        </w:rPr>
        <w:t xml:space="preserve">impact upon the Commonwealth.  </w:t>
      </w:r>
      <w:r w:rsidR="00F66E6B" w:rsidRPr="00C74D34">
        <w:rPr>
          <w:szCs w:val="26"/>
        </w:rPr>
        <w:t xml:space="preserve">We conclude that the ALJ </w:t>
      </w:r>
      <w:r w:rsidR="00CC2E44" w:rsidRPr="00C74D34">
        <w:rPr>
          <w:szCs w:val="26"/>
        </w:rPr>
        <w:t>properly considered the negative impacts to Pennsylvania in evaluating the “need” under Section</w:t>
      </w:r>
      <w:r w:rsidR="00AF051F">
        <w:rPr>
          <w:szCs w:val="26"/>
        </w:rPr>
        <w:t> </w:t>
      </w:r>
      <w:r w:rsidR="006A4452" w:rsidRPr="00C74D34">
        <w:rPr>
          <w:szCs w:val="26"/>
        </w:rPr>
        <w:t xml:space="preserve">1501 of the Code and </w:t>
      </w:r>
      <w:r w:rsidR="00CC2E44" w:rsidRPr="00C74D34">
        <w:rPr>
          <w:szCs w:val="26"/>
        </w:rPr>
        <w:t>52 P</w:t>
      </w:r>
      <w:r w:rsidR="006A4452" w:rsidRPr="00C74D34">
        <w:rPr>
          <w:szCs w:val="26"/>
        </w:rPr>
        <w:t>a. Code §</w:t>
      </w:r>
      <w:r w:rsidR="0020166D" w:rsidRPr="00C74D34">
        <w:rPr>
          <w:szCs w:val="26"/>
        </w:rPr>
        <w:t> </w:t>
      </w:r>
      <w:r w:rsidR="006A4452" w:rsidRPr="00C74D34">
        <w:rPr>
          <w:szCs w:val="26"/>
        </w:rPr>
        <w:t>57.76(a)(1).</w:t>
      </w:r>
      <w:r w:rsidR="00B11342" w:rsidRPr="00C74D34">
        <w:rPr>
          <w:szCs w:val="26"/>
        </w:rPr>
        <w:t xml:space="preserve">  </w:t>
      </w:r>
      <w:r w:rsidR="00EE43EE" w:rsidRPr="00C74D34">
        <w:rPr>
          <w:szCs w:val="26"/>
        </w:rPr>
        <w:t>Therefore</w:t>
      </w:r>
      <w:r w:rsidR="009F26B0" w:rsidRPr="00C74D34">
        <w:rPr>
          <w:szCs w:val="26"/>
        </w:rPr>
        <w:t>,</w:t>
      </w:r>
      <w:r w:rsidR="00EE43EE" w:rsidRPr="00C74D34">
        <w:rPr>
          <w:szCs w:val="26"/>
        </w:rPr>
        <w:t xml:space="preserve"> our </w:t>
      </w:r>
      <w:r w:rsidR="004F783E" w:rsidRPr="00C74D34">
        <w:rPr>
          <w:szCs w:val="26"/>
        </w:rPr>
        <w:t xml:space="preserve">broad </w:t>
      </w:r>
      <w:r w:rsidR="00EE43EE" w:rsidRPr="00C74D34">
        <w:rPr>
          <w:szCs w:val="26"/>
        </w:rPr>
        <w:t xml:space="preserve">review of the issue </w:t>
      </w:r>
      <w:r w:rsidR="0037048B" w:rsidRPr="00C74D34">
        <w:rPr>
          <w:szCs w:val="26"/>
        </w:rPr>
        <w:t>under the statute, Commission Regulations</w:t>
      </w:r>
      <w:r w:rsidR="0020166D" w:rsidRPr="00C74D34">
        <w:rPr>
          <w:szCs w:val="26"/>
        </w:rPr>
        <w:t>,</w:t>
      </w:r>
      <w:r w:rsidR="0037048B" w:rsidRPr="00C74D34">
        <w:rPr>
          <w:szCs w:val="26"/>
        </w:rPr>
        <w:t xml:space="preserve"> and </w:t>
      </w:r>
      <w:r w:rsidR="004F783E" w:rsidRPr="00C74D34">
        <w:rPr>
          <w:szCs w:val="26"/>
        </w:rPr>
        <w:t>relevant</w:t>
      </w:r>
      <w:r w:rsidR="0037048B" w:rsidRPr="00C74D34">
        <w:rPr>
          <w:szCs w:val="26"/>
        </w:rPr>
        <w:t xml:space="preserve"> caselaw, including the decision in </w:t>
      </w:r>
      <w:proofErr w:type="spellStart"/>
      <w:r w:rsidR="0037048B" w:rsidRPr="00C74D34">
        <w:rPr>
          <w:i/>
          <w:iCs/>
          <w:szCs w:val="26"/>
        </w:rPr>
        <w:t>TrAILCo</w:t>
      </w:r>
      <w:proofErr w:type="spellEnd"/>
      <w:r w:rsidR="00A60B57" w:rsidRPr="00C74D34">
        <w:rPr>
          <w:i/>
          <w:iCs/>
          <w:szCs w:val="26"/>
        </w:rPr>
        <w:t xml:space="preserve"> Case</w:t>
      </w:r>
      <w:r w:rsidR="004F783E" w:rsidRPr="00C74D34">
        <w:rPr>
          <w:szCs w:val="26"/>
        </w:rPr>
        <w:t xml:space="preserve">, encompasses </w:t>
      </w:r>
      <w:r w:rsidR="0037048B" w:rsidRPr="00C74D34">
        <w:rPr>
          <w:szCs w:val="26"/>
        </w:rPr>
        <w:t xml:space="preserve">consideration of the </w:t>
      </w:r>
      <w:r w:rsidR="007C27E9" w:rsidRPr="00C74D34">
        <w:rPr>
          <w:szCs w:val="26"/>
        </w:rPr>
        <w:t xml:space="preserve">potential negative impact to the </w:t>
      </w:r>
      <w:r w:rsidR="004F783E" w:rsidRPr="00C74D34">
        <w:rPr>
          <w:szCs w:val="26"/>
        </w:rPr>
        <w:t>citizens</w:t>
      </w:r>
      <w:r w:rsidR="007C27E9" w:rsidRPr="00C74D34">
        <w:rPr>
          <w:szCs w:val="26"/>
        </w:rPr>
        <w:t xml:space="preserve"> and consumers of the Commonwealth</w:t>
      </w:r>
      <w:r w:rsidR="004F783E" w:rsidRPr="00C74D34">
        <w:rPr>
          <w:szCs w:val="26"/>
        </w:rPr>
        <w:t xml:space="preserve"> </w:t>
      </w:r>
      <w:r w:rsidR="00986983" w:rsidRPr="00C74D34">
        <w:rPr>
          <w:szCs w:val="26"/>
        </w:rPr>
        <w:t>by the proposed P</w:t>
      </w:r>
      <w:r w:rsidR="0071303D" w:rsidRPr="00C74D34">
        <w:rPr>
          <w:szCs w:val="26"/>
        </w:rPr>
        <w:t>roject 9A</w:t>
      </w:r>
      <w:r w:rsidR="00986983" w:rsidRPr="00C74D34">
        <w:rPr>
          <w:szCs w:val="26"/>
        </w:rPr>
        <w:t>.</w:t>
      </w:r>
      <w:r w:rsidR="00697C77" w:rsidRPr="00C74D34">
        <w:rPr>
          <w:szCs w:val="26"/>
        </w:rPr>
        <w:t xml:space="preserve">  </w:t>
      </w:r>
    </w:p>
    <w:p w14:paraId="0DF46BD6" w14:textId="77777777" w:rsidR="007E2961" w:rsidRPr="00C74D34" w:rsidRDefault="007E2961" w:rsidP="002D03FA">
      <w:pPr>
        <w:ind w:firstLine="1440"/>
        <w:rPr>
          <w:szCs w:val="26"/>
        </w:rPr>
      </w:pPr>
    </w:p>
    <w:p w14:paraId="041557D0" w14:textId="48CDF243" w:rsidR="006C0E21" w:rsidRPr="00C74D34" w:rsidRDefault="00986983" w:rsidP="002D03FA">
      <w:pPr>
        <w:ind w:firstLine="1440"/>
        <w:rPr>
          <w:szCs w:val="26"/>
        </w:rPr>
      </w:pPr>
      <w:r w:rsidRPr="00C74D34">
        <w:rPr>
          <w:szCs w:val="26"/>
        </w:rPr>
        <w:lastRenderedPageBreak/>
        <w:t>We note that our reading o</w:t>
      </w:r>
      <w:r w:rsidR="00CE14E0" w:rsidRPr="00C74D34">
        <w:rPr>
          <w:szCs w:val="26"/>
        </w:rPr>
        <w:t>f</w:t>
      </w:r>
      <w:r w:rsidRPr="00C74D34">
        <w:rPr>
          <w:szCs w:val="26"/>
        </w:rPr>
        <w:t xml:space="preserve"> the holding in </w:t>
      </w:r>
      <w:proofErr w:type="spellStart"/>
      <w:r w:rsidRPr="00C74D34">
        <w:rPr>
          <w:i/>
          <w:iCs/>
          <w:szCs w:val="26"/>
        </w:rPr>
        <w:t>T</w:t>
      </w:r>
      <w:r w:rsidR="00CE14E0" w:rsidRPr="00C74D34">
        <w:rPr>
          <w:i/>
          <w:iCs/>
          <w:szCs w:val="26"/>
        </w:rPr>
        <w:t>rAILCo</w:t>
      </w:r>
      <w:proofErr w:type="spellEnd"/>
      <w:r w:rsidR="00A60B57" w:rsidRPr="00C74D34">
        <w:rPr>
          <w:i/>
          <w:iCs/>
          <w:szCs w:val="26"/>
        </w:rPr>
        <w:t xml:space="preserve"> Case</w:t>
      </w:r>
      <w:r w:rsidR="00CE14E0" w:rsidRPr="00C74D34">
        <w:rPr>
          <w:szCs w:val="26"/>
        </w:rPr>
        <w:t xml:space="preserve"> is not to imply that </w:t>
      </w:r>
      <w:r w:rsidR="00C93690" w:rsidRPr="00C74D34">
        <w:rPr>
          <w:szCs w:val="26"/>
        </w:rPr>
        <w:t>our consideration of the weight o</w:t>
      </w:r>
      <w:r w:rsidR="009B2BB9" w:rsidRPr="00C74D34">
        <w:rPr>
          <w:szCs w:val="26"/>
        </w:rPr>
        <w:t>f</w:t>
      </w:r>
      <w:r w:rsidR="00C93690" w:rsidRPr="00C74D34">
        <w:rPr>
          <w:szCs w:val="26"/>
        </w:rPr>
        <w:t xml:space="preserve"> the evidence excludes the </w:t>
      </w:r>
      <w:r w:rsidR="00CB7F3D" w:rsidRPr="00C74D34">
        <w:rPr>
          <w:szCs w:val="26"/>
        </w:rPr>
        <w:t>relevant</w:t>
      </w:r>
      <w:r w:rsidR="00C93690" w:rsidRPr="00C74D34">
        <w:rPr>
          <w:szCs w:val="26"/>
        </w:rPr>
        <w:t xml:space="preserve"> and important regional planning issues</w:t>
      </w:r>
      <w:r w:rsidR="00CB7F3D" w:rsidRPr="00C74D34">
        <w:rPr>
          <w:szCs w:val="26"/>
        </w:rPr>
        <w:t xml:space="preserve"> which Proje</w:t>
      </w:r>
      <w:r w:rsidR="009B2BB9" w:rsidRPr="00C74D34">
        <w:rPr>
          <w:szCs w:val="26"/>
        </w:rPr>
        <w:t>c</w:t>
      </w:r>
      <w:r w:rsidR="00CB7F3D" w:rsidRPr="00C74D34">
        <w:rPr>
          <w:szCs w:val="26"/>
        </w:rPr>
        <w:t xml:space="preserve">t 9A was designed to address, </w:t>
      </w:r>
      <w:r w:rsidR="00CB7F3D" w:rsidRPr="00C74D34">
        <w:rPr>
          <w:i/>
          <w:iCs/>
          <w:szCs w:val="26"/>
        </w:rPr>
        <w:t>i.e</w:t>
      </w:r>
      <w:r w:rsidR="00CB7F3D" w:rsidRPr="00C74D34">
        <w:rPr>
          <w:szCs w:val="26"/>
        </w:rPr>
        <w:t xml:space="preserve">., economic congestion on the regional level.  </w:t>
      </w:r>
      <w:r w:rsidR="00225CB1" w:rsidRPr="00C74D34">
        <w:rPr>
          <w:szCs w:val="26"/>
        </w:rPr>
        <w:t xml:space="preserve">Regional planning matters are recognized to be of significance, and </w:t>
      </w:r>
      <w:r w:rsidR="00D75CF9" w:rsidRPr="00C74D34">
        <w:rPr>
          <w:szCs w:val="26"/>
        </w:rPr>
        <w:t xml:space="preserve">where the weight of the evidence indicates that the “need” for the project is established by a </w:t>
      </w:r>
      <w:r w:rsidR="00B27C0A" w:rsidRPr="00C74D34">
        <w:rPr>
          <w:szCs w:val="26"/>
        </w:rPr>
        <w:t>preponderance</w:t>
      </w:r>
      <w:r w:rsidR="00D75CF9" w:rsidRPr="00C74D34">
        <w:rPr>
          <w:szCs w:val="26"/>
        </w:rPr>
        <w:t xml:space="preserve"> of the evidence, the</w:t>
      </w:r>
      <w:r w:rsidR="00B27C0A" w:rsidRPr="00C74D34">
        <w:rPr>
          <w:szCs w:val="26"/>
        </w:rPr>
        <w:t xml:space="preserve"> element of need will be found, as it was in </w:t>
      </w:r>
      <w:proofErr w:type="spellStart"/>
      <w:r w:rsidR="00B27C0A" w:rsidRPr="00C74D34">
        <w:rPr>
          <w:i/>
          <w:iCs/>
          <w:szCs w:val="26"/>
        </w:rPr>
        <w:t>TrAILCo</w:t>
      </w:r>
      <w:proofErr w:type="spellEnd"/>
      <w:r w:rsidR="00A60B57" w:rsidRPr="00C74D34">
        <w:rPr>
          <w:i/>
          <w:iCs/>
          <w:szCs w:val="26"/>
        </w:rPr>
        <w:t xml:space="preserve"> Case</w:t>
      </w:r>
      <w:r w:rsidR="00B27C0A" w:rsidRPr="00C74D34">
        <w:rPr>
          <w:szCs w:val="26"/>
        </w:rPr>
        <w:t xml:space="preserve">. </w:t>
      </w:r>
      <w:r w:rsidR="00D75CF9" w:rsidRPr="00C74D34">
        <w:rPr>
          <w:szCs w:val="26"/>
        </w:rPr>
        <w:t xml:space="preserve"> </w:t>
      </w:r>
      <w:r w:rsidR="009E2184" w:rsidRPr="00C74D34">
        <w:rPr>
          <w:szCs w:val="26"/>
        </w:rPr>
        <w:t>In addition, we acknowledge her</w:t>
      </w:r>
      <w:r w:rsidR="002A24E9" w:rsidRPr="00C74D34">
        <w:rPr>
          <w:szCs w:val="26"/>
        </w:rPr>
        <w:t>e</w:t>
      </w:r>
      <w:r w:rsidR="009E2184" w:rsidRPr="00C74D34">
        <w:rPr>
          <w:szCs w:val="26"/>
        </w:rPr>
        <w:t xml:space="preserve">, as we did in </w:t>
      </w:r>
      <w:proofErr w:type="spellStart"/>
      <w:r w:rsidR="009E2184" w:rsidRPr="00C74D34">
        <w:rPr>
          <w:i/>
          <w:iCs/>
          <w:szCs w:val="26"/>
        </w:rPr>
        <w:t>TrAILCo</w:t>
      </w:r>
      <w:proofErr w:type="spellEnd"/>
      <w:r w:rsidR="00A60B57" w:rsidRPr="00C74D34">
        <w:rPr>
          <w:i/>
          <w:iCs/>
          <w:szCs w:val="26"/>
        </w:rPr>
        <w:t xml:space="preserve"> Case</w:t>
      </w:r>
      <w:r w:rsidR="009E2184" w:rsidRPr="00C74D34">
        <w:rPr>
          <w:szCs w:val="26"/>
        </w:rPr>
        <w:t xml:space="preserve">, that </w:t>
      </w:r>
      <w:r w:rsidR="00D239A0" w:rsidRPr="00C74D34">
        <w:rPr>
          <w:szCs w:val="26"/>
        </w:rPr>
        <w:t xml:space="preserve">where the utility’s </w:t>
      </w:r>
      <w:r w:rsidR="0000003D" w:rsidRPr="00C74D34">
        <w:rPr>
          <w:szCs w:val="26"/>
        </w:rPr>
        <w:t xml:space="preserve">siting application can be subjected to years of litigation, </w:t>
      </w:r>
      <w:r w:rsidR="009E2184" w:rsidRPr="00C74D34">
        <w:rPr>
          <w:szCs w:val="26"/>
        </w:rPr>
        <w:t xml:space="preserve">the </w:t>
      </w:r>
      <w:r w:rsidR="00262574" w:rsidRPr="00C74D34">
        <w:rPr>
          <w:szCs w:val="26"/>
        </w:rPr>
        <w:t xml:space="preserve">need for </w:t>
      </w:r>
      <w:r w:rsidR="009E2184" w:rsidRPr="00C74D34">
        <w:rPr>
          <w:szCs w:val="26"/>
        </w:rPr>
        <w:t xml:space="preserve">forward looking regional planning </w:t>
      </w:r>
      <w:r w:rsidR="002A24E9" w:rsidRPr="00C74D34">
        <w:rPr>
          <w:szCs w:val="26"/>
        </w:rPr>
        <w:t xml:space="preserve">required of PJM does not </w:t>
      </w:r>
      <w:r w:rsidR="00262574" w:rsidRPr="00C74D34">
        <w:rPr>
          <w:szCs w:val="26"/>
        </w:rPr>
        <w:t xml:space="preserve">always give way to arguments that </w:t>
      </w:r>
      <w:r w:rsidR="00D239A0" w:rsidRPr="00C74D34">
        <w:rPr>
          <w:szCs w:val="26"/>
        </w:rPr>
        <w:t xml:space="preserve">the data relied </w:t>
      </w:r>
      <w:r w:rsidR="0000003D" w:rsidRPr="00C74D34">
        <w:rPr>
          <w:szCs w:val="26"/>
        </w:rPr>
        <w:t>upon must be the “most current.”</w:t>
      </w:r>
      <w:r w:rsidR="00262574" w:rsidRPr="00C74D34">
        <w:rPr>
          <w:szCs w:val="26"/>
        </w:rPr>
        <w:t xml:space="preserve"> </w:t>
      </w:r>
      <w:r w:rsidR="0000003D" w:rsidRPr="00C74D34">
        <w:rPr>
          <w:szCs w:val="26"/>
        </w:rPr>
        <w:t xml:space="preserve"> It </w:t>
      </w:r>
      <w:r w:rsidR="00D86876" w:rsidRPr="00C74D34">
        <w:rPr>
          <w:szCs w:val="26"/>
        </w:rPr>
        <w:t xml:space="preserve">is neither necessary nor </w:t>
      </w:r>
      <w:r w:rsidR="0000003D" w:rsidRPr="00C74D34">
        <w:rPr>
          <w:szCs w:val="26"/>
        </w:rPr>
        <w:t>advisable</w:t>
      </w:r>
      <w:r w:rsidR="00004123" w:rsidRPr="00C74D34">
        <w:rPr>
          <w:szCs w:val="26"/>
        </w:rPr>
        <w:t xml:space="preserve"> </w:t>
      </w:r>
      <w:r w:rsidR="00D86876" w:rsidRPr="00C74D34">
        <w:rPr>
          <w:szCs w:val="26"/>
        </w:rPr>
        <w:t xml:space="preserve">that </w:t>
      </w:r>
      <w:r w:rsidR="00004123" w:rsidRPr="00C74D34">
        <w:rPr>
          <w:szCs w:val="26"/>
        </w:rPr>
        <w:t xml:space="preserve">in every instance, PJM </w:t>
      </w:r>
      <w:r w:rsidR="00D86876" w:rsidRPr="00C74D34">
        <w:rPr>
          <w:szCs w:val="26"/>
        </w:rPr>
        <w:t>should be</w:t>
      </w:r>
      <w:r w:rsidR="00004123" w:rsidRPr="00C74D34">
        <w:rPr>
          <w:szCs w:val="26"/>
        </w:rPr>
        <w:t xml:space="preserve"> </w:t>
      </w:r>
      <w:r w:rsidR="005C5C73" w:rsidRPr="00C74D34">
        <w:rPr>
          <w:szCs w:val="26"/>
        </w:rPr>
        <w:t>subjected to state commission</w:t>
      </w:r>
      <w:r w:rsidR="00EB7D2F" w:rsidRPr="00C74D34">
        <w:rPr>
          <w:szCs w:val="26"/>
        </w:rPr>
        <w:t>s</w:t>
      </w:r>
      <w:r w:rsidR="005C5C73" w:rsidRPr="00C74D34">
        <w:rPr>
          <w:szCs w:val="26"/>
        </w:rPr>
        <w:t xml:space="preserve">’ </w:t>
      </w:r>
      <w:r w:rsidR="00EB7D2F" w:rsidRPr="00C74D34">
        <w:rPr>
          <w:szCs w:val="26"/>
        </w:rPr>
        <w:t xml:space="preserve">concerns </w:t>
      </w:r>
      <w:r w:rsidR="005C5C73" w:rsidRPr="00C74D34">
        <w:rPr>
          <w:szCs w:val="26"/>
        </w:rPr>
        <w:t xml:space="preserve">that each project’s </w:t>
      </w:r>
      <w:r w:rsidR="00202085" w:rsidRPr="00C74D34">
        <w:rPr>
          <w:szCs w:val="26"/>
        </w:rPr>
        <w:t xml:space="preserve">data be </w:t>
      </w:r>
      <w:r w:rsidR="006C0E21" w:rsidRPr="00C74D34">
        <w:rPr>
          <w:szCs w:val="26"/>
        </w:rPr>
        <w:t xml:space="preserve">proven to be </w:t>
      </w:r>
      <w:r w:rsidR="00004123" w:rsidRPr="00C74D34">
        <w:rPr>
          <w:szCs w:val="26"/>
        </w:rPr>
        <w:t>calibrate</w:t>
      </w:r>
      <w:r w:rsidR="00202085" w:rsidRPr="00C74D34">
        <w:rPr>
          <w:szCs w:val="26"/>
        </w:rPr>
        <w:t>d</w:t>
      </w:r>
      <w:r w:rsidR="00004123" w:rsidRPr="00C74D34">
        <w:rPr>
          <w:szCs w:val="26"/>
        </w:rPr>
        <w:t xml:space="preserve"> </w:t>
      </w:r>
      <w:r w:rsidR="00876263" w:rsidRPr="00C74D34">
        <w:rPr>
          <w:szCs w:val="26"/>
        </w:rPr>
        <w:t xml:space="preserve">under current </w:t>
      </w:r>
      <w:r w:rsidR="00EB18A4" w:rsidRPr="00C74D34">
        <w:rPr>
          <w:szCs w:val="26"/>
        </w:rPr>
        <w:t xml:space="preserve">existing </w:t>
      </w:r>
      <w:r w:rsidR="00876263" w:rsidRPr="00C74D34">
        <w:rPr>
          <w:szCs w:val="26"/>
        </w:rPr>
        <w:t xml:space="preserve">conditions.  </w:t>
      </w:r>
    </w:p>
    <w:p w14:paraId="5B346D64" w14:textId="77777777" w:rsidR="006C0E21" w:rsidRPr="00C74D34" w:rsidRDefault="006C0E21" w:rsidP="002D03FA">
      <w:pPr>
        <w:ind w:firstLine="1440"/>
        <w:rPr>
          <w:szCs w:val="26"/>
        </w:rPr>
      </w:pPr>
    </w:p>
    <w:p w14:paraId="73A1DBA2" w14:textId="53A8AF37" w:rsidR="00836377" w:rsidRPr="00C74D34" w:rsidRDefault="00876263" w:rsidP="002D03FA">
      <w:pPr>
        <w:ind w:firstLine="1440"/>
        <w:rPr>
          <w:szCs w:val="26"/>
        </w:rPr>
      </w:pPr>
      <w:r w:rsidRPr="00C74D34">
        <w:rPr>
          <w:szCs w:val="26"/>
        </w:rPr>
        <w:t>However, w</w:t>
      </w:r>
      <w:r w:rsidR="00375BEF" w:rsidRPr="00C74D34">
        <w:rPr>
          <w:szCs w:val="26"/>
        </w:rPr>
        <w:t xml:space="preserve">here, as here, the </w:t>
      </w:r>
      <w:r w:rsidR="007246D3" w:rsidRPr="00C74D34">
        <w:rPr>
          <w:szCs w:val="26"/>
        </w:rPr>
        <w:t xml:space="preserve">proposed </w:t>
      </w:r>
      <w:r w:rsidR="00375BEF" w:rsidRPr="00C74D34">
        <w:rPr>
          <w:szCs w:val="26"/>
        </w:rPr>
        <w:t xml:space="preserve">regional planning </w:t>
      </w:r>
      <w:r w:rsidR="007246D3" w:rsidRPr="00C74D34">
        <w:rPr>
          <w:szCs w:val="26"/>
        </w:rPr>
        <w:t xml:space="preserve">involves alleviating economic congestion, </w:t>
      </w:r>
      <w:r w:rsidR="006E462B" w:rsidRPr="00C74D34">
        <w:rPr>
          <w:szCs w:val="26"/>
        </w:rPr>
        <w:t xml:space="preserve">the result of which is predicted to </w:t>
      </w:r>
      <w:r w:rsidR="00715041" w:rsidRPr="00C74D34">
        <w:rPr>
          <w:szCs w:val="26"/>
        </w:rPr>
        <w:t xml:space="preserve">lead to a substantial </w:t>
      </w:r>
      <w:r w:rsidR="006E462B" w:rsidRPr="00C74D34">
        <w:rPr>
          <w:szCs w:val="26"/>
        </w:rPr>
        <w:t xml:space="preserve">increase </w:t>
      </w:r>
      <w:r w:rsidR="00715041" w:rsidRPr="00C74D34">
        <w:rPr>
          <w:szCs w:val="26"/>
        </w:rPr>
        <w:t xml:space="preserve">in </w:t>
      </w:r>
      <w:r w:rsidR="006E462B" w:rsidRPr="00C74D34">
        <w:rPr>
          <w:szCs w:val="26"/>
        </w:rPr>
        <w:t xml:space="preserve">utility rates within the </w:t>
      </w:r>
      <w:r w:rsidR="00715041" w:rsidRPr="00C74D34">
        <w:rPr>
          <w:szCs w:val="26"/>
        </w:rPr>
        <w:t xml:space="preserve">Commonwealth, the Commission’s review </w:t>
      </w:r>
      <w:r w:rsidR="00FA6F85" w:rsidRPr="00C74D34">
        <w:rPr>
          <w:szCs w:val="26"/>
        </w:rPr>
        <w:t xml:space="preserve">of </w:t>
      </w:r>
      <w:r w:rsidR="00715041" w:rsidRPr="00C74D34">
        <w:rPr>
          <w:szCs w:val="26"/>
        </w:rPr>
        <w:t xml:space="preserve">the PJM-approved </w:t>
      </w:r>
      <w:r w:rsidR="009E2184" w:rsidRPr="00C74D34">
        <w:rPr>
          <w:szCs w:val="26"/>
        </w:rPr>
        <w:t>pro</w:t>
      </w:r>
      <w:r w:rsidR="00FA6F85" w:rsidRPr="00C74D34">
        <w:rPr>
          <w:szCs w:val="26"/>
        </w:rPr>
        <w:t>ject warrant</w:t>
      </w:r>
      <w:r w:rsidR="005850BE" w:rsidRPr="00C74D34">
        <w:rPr>
          <w:szCs w:val="26"/>
        </w:rPr>
        <w:t>s</w:t>
      </w:r>
      <w:r w:rsidR="00FA6F85" w:rsidRPr="00C74D34">
        <w:rPr>
          <w:szCs w:val="26"/>
        </w:rPr>
        <w:t xml:space="preserve"> </w:t>
      </w:r>
      <w:r w:rsidR="000D0995" w:rsidRPr="00C74D34">
        <w:rPr>
          <w:szCs w:val="26"/>
        </w:rPr>
        <w:t xml:space="preserve">examination </w:t>
      </w:r>
      <w:r w:rsidR="00FA6F85" w:rsidRPr="00C74D34">
        <w:rPr>
          <w:szCs w:val="26"/>
        </w:rPr>
        <w:t xml:space="preserve">of the </w:t>
      </w:r>
      <w:r w:rsidR="009C3D25" w:rsidRPr="00C74D34">
        <w:rPr>
          <w:szCs w:val="26"/>
        </w:rPr>
        <w:t xml:space="preserve">underlying data </w:t>
      </w:r>
      <w:r w:rsidR="005850BE" w:rsidRPr="00C74D34">
        <w:rPr>
          <w:szCs w:val="26"/>
        </w:rPr>
        <w:t xml:space="preserve">and congestion trends </w:t>
      </w:r>
      <w:r w:rsidR="009C3D25" w:rsidRPr="00C74D34">
        <w:rPr>
          <w:szCs w:val="26"/>
        </w:rPr>
        <w:t>which PJM relied upon in assessing the need to alleviate economic congestion.  In such case</w:t>
      </w:r>
      <w:r w:rsidR="00FC01CF" w:rsidRPr="00C74D34">
        <w:rPr>
          <w:szCs w:val="26"/>
        </w:rPr>
        <w:t>s</w:t>
      </w:r>
      <w:r w:rsidR="009C3D25" w:rsidRPr="00C74D34">
        <w:rPr>
          <w:szCs w:val="26"/>
        </w:rPr>
        <w:t xml:space="preserve">, </w:t>
      </w:r>
      <w:r w:rsidR="00065359" w:rsidRPr="00C74D34">
        <w:rPr>
          <w:szCs w:val="26"/>
        </w:rPr>
        <w:t xml:space="preserve">where a state is expected to </w:t>
      </w:r>
      <w:r w:rsidR="006342EA" w:rsidRPr="00C74D34">
        <w:rPr>
          <w:szCs w:val="26"/>
        </w:rPr>
        <w:t>suffer serio</w:t>
      </w:r>
      <w:r w:rsidR="00650B12" w:rsidRPr="00C74D34">
        <w:rPr>
          <w:szCs w:val="26"/>
        </w:rPr>
        <w:t>u</w:t>
      </w:r>
      <w:r w:rsidR="006342EA" w:rsidRPr="00C74D34">
        <w:rPr>
          <w:szCs w:val="26"/>
        </w:rPr>
        <w:t xml:space="preserve">s consequences, </w:t>
      </w:r>
      <w:r w:rsidR="009C3D25" w:rsidRPr="00C74D34">
        <w:rPr>
          <w:szCs w:val="26"/>
        </w:rPr>
        <w:t xml:space="preserve">the argument that the data </w:t>
      </w:r>
      <w:r w:rsidR="00552004" w:rsidRPr="00C74D34">
        <w:rPr>
          <w:szCs w:val="26"/>
        </w:rPr>
        <w:t>should</w:t>
      </w:r>
      <w:r w:rsidR="00F16C6B" w:rsidRPr="00C74D34">
        <w:rPr>
          <w:szCs w:val="26"/>
        </w:rPr>
        <w:t xml:space="preserve"> reflect current and </w:t>
      </w:r>
      <w:r w:rsidR="00552004" w:rsidRPr="00C74D34">
        <w:rPr>
          <w:szCs w:val="26"/>
        </w:rPr>
        <w:t xml:space="preserve">existing </w:t>
      </w:r>
      <w:r w:rsidR="00FC01CF" w:rsidRPr="00C74D34">
        <w:rPr>
          <w:szCs w:val="26"/>
        </w:rPr>
        <w:t xml:space="preserve">priority needs on the regional level </w:t>
      </w:r>
      <w:r w:rsidR="001223B9" w:rsidRPr="00C74D34">
        <w:rPr>
          <w:szCs w:val="26"/>
        </w:rPr>
        <w:t xml:space="preserve">has </w:t>
      </w:r>
      <w:r w:rsidR="00836377" w:rsidRPr="00C74D34">
        <w:rPr>
          <w:szCs w:val="26"/>
        </w:rPr>
        <w:t xml:space="preserve">a more persuasive impact. </w:t>
      </w:r>
    </w:p>
    <w:p w14:paraId="352B22D7" w14:textId="3FF173F5" w:rsidR="0026451C" w:rsidRPr="00C74D34" w:rsidRDefault="0026451C" w:rsidP="002D03FA">
      <w:pPr>
        <w:ind w:firstLine="1440"/>
        <w:rPr>
          <w:szCs w:val="26"/>
          <w:highlight w:val="yellow"/>
        </w:rPr>
      </w:pPr>
    </w:p>
    <w:p w14:paraId="20A36DDD" w14:textId="79651285" w:rsidR="0026451C" w:rsidRPr="00C74D34" w:rsidRDefault="0026451C" w:rsidP="002D03FA">
      <w:pPr>
        <w:ind w:firstLine="1440"/>
        <w:rPr>
          <w:szCs w:val="26"/>
        </w:rPr>
      </w:pPr>
      <w:r w:rsidRPr="00C74D34">
        <w:rPr>
          <w:szCs w:val="26"/>
        </w:rPr>
        <w:t xml:space="preserve">In the present case, the ALJ found the opposing </w:t>
      </w:r>
      <w:r w:rsidR="003862A8" w:rsidRPr="00C74D34">
        <w:rPr>
          <w:szCs w:val="26"/>
        </w:rPr>
        <w:t>P</w:t>
      </w:r>
      <w:r w:rsidRPr="00C74D34">
        <w:rPr>
          <w:szCs w:val="26"/>
        </w:rPr>
        <w:t>arties</w:t>
      </w:r>
      <w:r w:rsidR="00423024" w:rsidRPr="00C74D34">
        <w:rPr>
          <w:szCs w:val="26"/>
        </w:rPr>
        <w:t>’</w:t>
      </w:r>
      <w:r w:rsidRPr="00C74D34">
        <w:rPr>
          <w:szCs w:val="26"/>
        </w:rPr>
        <w:t xml:space="preserve"> arguments persuasive that </w:t>
      </w:r>
      <w:r w:rsidR="00F815AB" w:rsidRPr="00C74D34">
        <w:rPr>
          <w:szCs w:val="26"/>
        </w:rPr>
        <w:t xml:space="preserve">data relied upon by PJM to determine the need to alleviate congestion </w:t>
      </w:r>
      <w:r w:rsidR="00C6426F" w:rsidRPr="00C74D34">
        <w:rPr>
          <w:szCs w:val="26"/>
        </w:rPr>
        <w:t xml:space="preserve">on the AP South </w:t>
      </w:r>
      <w:r w:rsidR="003862A8" w:rsidRPr="00C74D34">
        <w:rPr>
          <w:szCs w:val="26"/>
        </w:rPr>
        <w:t xml:space="preserve">Reactive </w:t>
      </w:r>
      <w:r w:rsidR="00C6426F" w:rsidRPr="00C74D34">
        <w:rPr>
          <w:szCs w:val="26"/>
        </w:rPr>
        <w:t>Interface was not reliable enough to form the basis of “need” for Project 9A</w:t>
      </w:r>
      <w:r w:rsidR="00650B12" w:rsidRPr="00C74D34">
        <w:rPr>
          <w:szCs w:val="26"/>
        </w:rPr>
        <w:t xml:space="preserve">: </w:t>
      </w:r>
      <w:r w:rsidR="0008023D" w:rsidRPr="00C74D34">
        <w:rPr>
          <w:szCs w:val="26"/>
        </w:rPr>
        <w:t xml:space="preserve"> </w:t>
      </w:r>
      <w:r w:rsidR="00650B12" w:rsidRPr="00C74D34">
        <w:rPr>
          <w:i/>
          <w:iCs/>
          <w:szCs w:val="26"/>
        </w:rPr>
        <w:t>i.e.</w:t>
      </w:r>
      <w:r w:rsidR="00650B12" w:rsidRPr="00C74D34">
        <w:rPr>
          <w:szCs w:val="26"/>
        </w:rPr>
        <w:t xml:space="preserve">, </w:t>
      </w:r>
      <w:r w:rsidR="00181FBA" w:rsidRPr="00C74D34">
        <w:rPr>
          <w:szCs w:val="26"/>
        </w:rPr>
        <w:t>PJM’s own data reflected substantial fluctuations in congestion</w:t>
      </w:r>
      <w:r w:rsidR="00650B12" w:rsidRPr="00C74D34">
        <w:rPr>
          <w:szCs w:val="26"/>
        </w:rPr>
        <w:t>;</w:t>
      </w:r>
      <w:r w:rsidR="00181FBA" w:rsidRPr="00C74D34">
        <w:rPr>
          <w:szCs w:val="26"/>
        </w:rPr>
        <w:t xml:space="preserve"> a marked decline in congestion on the AP South </w:t>
      </w:r>
      <w:r w:rsidR="003862A8" w:rsidRPr="00C74D34">
        <w:rPr>
          <w:szCs w:val="26"/>
        </w:rPr>
        <w:t xml:space="preserve">Reactive </w:t>
      </w:r>
      <w:r w:rsidR="00181FBA" w:rsidRPr="00C74D34">
        <w:rPr>
          <w:szCs w:val="26"/>
        </w:rPr>
        <w:t xml:space="preserve">Interface </w:t>
      </w:r>
      <w:r w:rsidR="00650B12" w:rsidRPr="00C74D34">
        <w:rPr>
          <w:szCs w:val="26"/>
        </w:rPr>
        <w:t xml:space="preserve">is apparent </w:t>
      </w:r>
      <w:r w:rsidR="00B35F89" w:rsidRPr="00C74D34">
        <w:rPr>
          <w:szCs w:val="26"/>
        </w:rPr>
        <w:t>when viewed over a period of years</w:t>
      </w:r>
      <w:r w:rsidR="00650B12" w:rsidRPr="00C74D34">
        <w:rPr>
          <w:szCs w:val="26"/>
        </w:rPr>
        <w:t>;</w:t>
      </w:r>
      <w:r w:rsidR="00423024" w:rsidRPr="00C74D34">
        <w:rPr>
          <w:szCs w:val="26"/>
        </w:rPr>
        <w:t xml:space="preserve"> and </w:t>
      </w:r>
      <w:proofErr w:type="spellStart"/>
      <w:r w:rsidR="00423024" w:rsidRPr="00C74D34">
        <w:rPr>
          <w:szCs w:val="26"/>
        </w:rPr>
        <w:t>Transource’s</w:t>
      </w:r>
      <w:proofErr w:type="spellEnd"/>
      <w:r w:rsidR="00423024" w:rsidRPr="00C74D34">
        <w:rPr>
          <w:szCs w:val="26"/>
        </w:rPr>
        <w:t xml:space="preserve"> shifting asserted basis for the need for </w:t>
      </w:r>
      <w:r w:rsidR="00423024" w:rsidRPr="00C74D34">
        <w:rPr>
          <w:szCs w:val="26"/>
        </w:rPr>
        <w:lastRenderedPageBreak/>
        <w:t>Project 9A</w:t>
      </w:r>
      <w:r w:rsidR="00650B12" w:rsidRPr="00C74D34">
        <w:rPr>
          <w:szCs w:val="26"/>
        </w:rPr>
        <w:t>,</w:t>
      </w:r>
      <w:r w:rsidR="00423024" w:rsidRPr="00C74D34">
        <w:rPr>
          <w:szCs w:val="26"/>
        </w:rPr>
        <w:t xml:space="preserve"> which was originally and unambiguously for the purpose of alleviation of conge</w:t>
      </w:r>
      <w:r w:rsidR="00160F5C" w:rsidRPr="00C74D34">
        <w:rPr>
          <w:szCs w:val="26"/>
        </w:rPr>
        <w:t>s</w:t>
      </w:r>
      <w:r w:rsidR="00423024" w:rsidRPr="00C74D34">
        <w:rPr>
          <w:szCs w:val="26"/>
        </w:rPr>
        <w:t xml:space="preserve">tion on the AP South </w:t>
      </w:r>
      <w:r w:rsidR="003862A8" w:rsidRPr="00C74D34">
        <w:rPr>
          <w:szCs w:val="26"/>
        </w:rPr>
        <w:t xml:space="preserve">Reactive </w:t>
      </w:r>
      <w:r w:rsidR="00423024" w:rsidRPr="00C74D34">
        <w:rPr>
          <w:szCs w:val="26"/>
        </w:rPr>
        <w:t xml:space="preserve">Interface. </w:t>
      </w:r>
      <w:r w:rsidR="00B35F89" w:rsidRPr="00C74D34">
        <w:rPr>
          <w:szCs w:val="26"/>
        </w:rPr>
        <w:t xml:space="preserve"> R.D. at </w:t>
      </w:r>
      <w:r w:rsidR="00F10D4F" w:rsidRPr="00C74D34">
        <w:rPr>
          <w:szCs w:val="26"/>
        </w:rPr>
        <w:t xml:space="preserve">80-103. </w:t>
      </w:r>
      <w:r w:rsidR="00423024" w:rsidRPr="00C74D34">
        <w:rPr>
          <w:szCs w:val="26"/>
        </w:rPr>
        <w:t xml:space="preserve"> Based upon our view of the record, we agree with the ALJ’s analysis of the weight of the evidence. </w:t>
      </w:r>
      <w:r w:rsidR="00B35F89" w:rsidRPr="00C74D34">
        <w:rPr>
          <w:szCs w:val="26"/>
        </w:rPr>
        <w:t xml:space="preserve"> </w:t>
      </w:r>
    </w:p>
    <w:p w14:paraId="2C60BA6C" w14:textId="2CFA5BF7" w:rsidR="00836377" w:rsidRPr="00C74D34" w:rsidRDefault="00836377" w:rsidP="002D03FA">
      <w:pPr>
        <w:ind w:firstLine="1440"/>
        <w:rPr>
          <w:szCs w:val="26"/>
        </w:rPr>
      </w:pPr>
    </w:p>
    <w:p w14:paraId="6C86BD74" w14:textId="2CAFA3D3" w:rsidR="00D35687" w:rsidRPr="00C74D34" w:rsidRDefault="00D35687" w:rsidP="002D03FA">
      <w:pPr>
        <w:ind w:firstLine="1440"/>
        <w:rPr>
          <w:szCs w:val="26"/>
        </w:rPr>
      </w:pPr>
      <w:r w:rsidRPr="00C74D34">
        <w:rPr>
          <w:szCs w:val="26"/>
        </w:rPr>
        <w:t xml:space="preserve">The ALJ analyzed </w:t>
      </w:r>
      <w:proofErr w:type="spellStart"/>
      <w:r w:rsidRPr="00C74D34">
        <w:rPr>
          <w:szCs w:val="26"/>
        </w:rPr>
        <w:t>Transource’s</w:t>
      </w:r>
      <w:proofErr w:type="spellEnd"/>
      <w:r w:rsidRPr="00C74D34">
        <w:rPr>
          <w:szCs w:val="26"/>
        </w:rPr>
        <w:t xml:space="preserve"> asserted basis for the need for Project 9A, which included</w:t>
      </w:r>
      <w:r w:rsidR="00462962" w:rsidRPr="00C74D34">
        <w:rPr>
          <w:szCs w:val="26"/>
        </w:rPr>
        <w:t>:</w:t>
      </w:r>
      <w:r w:rsidR="0008023D" w:rsidRPr="00C74D34">
        <w:rPr>
          <w:szCs w:val="26"/>
        </w:rPr>
        <w:t xml:space="preserve"> </w:t>
      </w:r>
      <w:r w:rsidRPr="00C74D34">
        <w:rPr>
          <w:szCs w:val="26"/>
        </w:rPr>
        <w:t xml:space="preserve"> </w:t>
      </w:r>
      <w:r w:rsidR="00A60B57" w:rsidRPr="00C74D34">
        <w:rPr>
          <w:szCs w:val="26"/>
        </w:rPr>
        <w:t xml:space="preserve">(1) </w:t>
      </w:r>
      <w:r w:rsidRPr="00C74D34">
        <w:rPr>
          <w:szCs w:val="26"/>
        </w:rPr>
        <w:t>the originally asserted driver of the project</w:t>
      </w:r>
      <w:r w:rsidR="002977F3" w:rsidRPr="00C74D34">
        <w:rPr>
          <w:szCs w:val="26"/>
        </w:rPr>
        <w:t xml:space="preserve"> when proposed </w:t>
      </w:r>
      <w:r w:rsidRPr="00C74D34">
        <w:rPr>
          <w:szCs w:val="26"/>
        </w:rPr>
        <w:t>in 2015</w:t>
      </w:r>
      <w:r w:rsidR="00AF051F">
        <w:rPr>
          <w:szCs w:val="26"/>
        </w:rPr>
        <w:noBreakHyphen/>
      </w:r>
      <w:r w:rsidRPr="00C74D34">
        <w:rPr>
          <w:szCs w:val="26"/>
        </w:rPr>
        <w:t xml:space="preserve">16, </w:t>
      </w:r>
      <w:r w:rsidRPr="00C74D34">
        <w:rPr>
          <w:i/>
          <w:iCs/>
          <w:szCs w:val="26"/>
        </w:rPr>
        <w:t>i.e</w:t>
      </w:r>
      <w:r w:rsidRPr="00C74D34">
        <w:rPr>
          <w:szCs w:val="26"/>
        </w:rPr>
        <w:t xml:space="preserve">., alleviation of economic congestion on the AP South </w:t>
      </w:r>
      <w:r w:rsidR="003862A8" w:rsidRPr="00C74D34">
        <w:rPr>
          <w:szCs w:val="26"/>
        </w:rPr>
        <w:t xml:space="preserve">Reactive </w:t>
      </w:r>
      <w:r w:rsidRPr="00C74D34">
        <w:rPr>
          <w:szCs w:val="26"/>
        </w:rPr>
        <w:t>Interface</w:t>
      </w:r>
      <w:r w:rsidR="00462962" w:rsidRPr="00C74D34">
        <w:rPr>
          <w:szCs w:val="26"/>
        </w:rPr>
        <w:t>;</w:t>
      </w:r>
      <w:r w:rsidRPr="00C74D34">
        <w:rPr>
          <w:szCs w:val="26"/>
        </w:rPr>
        <w:t xml:space="preserve"> </w:t>
      </w:r>
      <w:r w:rsidR="004B2778" w:rsidRPr="00C74D34">
        <w:rPr>
          <w:szCs w:val="26"/>
        </w:rPr>
        <w:t>(2)</w:t>
      </w:r>
      <w:r w:rsidR="002D3AFF">
        <w:rPr>
          <w:szCs w:val="26"/>
        </w:rPr>
        <w:t> </w:t>
      </w:r>
      <w:r w:rsidRPr="00C74D34">
        <w:rPr>
          <w:szCs w:val="26"/>
        </w:rPr>
        <w:t>the later asserted ancillary benefits of alleviating projected reliability violation based on reliability testing in 2018</w:t>
      </w:r>
      <w:r w:rsidR="00462962" w:rsidRPr="00C74D34">
        <w:rPr>
          <w:szCs w:val="26"/>
        </w:rPr>
        <w:t>;</w:t>
      </w:r>
      <w:r w:rsidRPr="00C74D34">
        <w:rPr>
          <w:szCs w:val="26"/>
        </w:rPr>
        <w:t xml:space="preserve"> and </w:t>
      </w:r>
      <w:r w:rsidR="004B2778" w:rsidRPr="00C74D34">
        <w:rPr>
          <w:szCs w:val="26"/>
        </w:rPr>
        <w:t xml:space="preserve">(3) </w:t>
      </w:r>
      <w:r w:rsidRPr="00C74D34">
        <w:rPr>
          <w:szCs w:val="26"/>
        </w:rPr>
        <w:t xml:space="preserve">the recent assertion of alleviation of congestion on four </w:t>
      </w:r>
      <w:r w:rsidR="00462962" w:rsidRPr="00C74D34">
        <w:rPr>
          <w:szCs w:val="26"/>
        </w:rPr>
        <w:t>“</w:t>
      </w:r>
      <w:r w:rsidRPr="00C74D34">
        <w:rPr>
          <w:szCs w:val="26"/>
        </w:rPr>
        <w:t>related constraints,</w:t>
      </w:r>
      <w:r w:rsidR="00462962" w:rsidRPr="00C74D34">
        <w:rPr>
          <w:szCs w:val="26"/>
        </w:rPr>
        <w:t>”</w:t>
      </w:r>
      <w:r w:rsidRPr="00C74D34">
        <w:rPr>
          <w:szCs w:val="26"/>
        </w:rPr>
        <w:t xml:space="preserve"> </w:t>
      </w:r>
      <w:r w:rsidRPr="00C74D34">
        <w:rPr>
          <w:i/>
          <w:iCs/>
          <w:szCs w:val="26"/>
        </w:rPr>
        <w:t>i.e.</w:t>
      </w:r>
      <w:r w:rsidRPr="00C74D34">
        <w:rPr>
          <w:szCs w:val="26"/>
        </w:rPr>
        <w:t xml:space="preserve">, the AP South </w:t>
      </w:r>
      <w:r w:rsidR="003862A8" w:rsidRPr="00C74D34">
        <w:rPr>
          <w:szCs w:val="26"/>
        </w:rPr>
        <w:t xml:space="preserve">Reactive </w:t>
      </w:r>
      <w:r w:rsidRPr="00C74D34">
        <w:rPr>
          <w:szCs w:val="26"/>
        </w:rPr>
        <w:t>Interface, the Safe Harbor-</w:t>
      </w:r>
      <w:proofErr w:type="spellStart"/>
      <w:r w:rsidRPr="00C74D34">
        <w:rPr>
          <w:szCs w:val="26"/>
        </w:rPr>
        <w:t>Graceton</w:t>
      </w:r>
      <w:proofErr w:type="spellEnd"/>
      <w:r w:rsidRPr="00C74D34">
        <w:rPr>
          <w:szCs w:val="26"/>
        </w:rPr>
        <w:t xml:space="preserve">, the </w:t>
      </w:r>
      <w:proofErr w:type="spellStart"/>
      <w:r w:rsidRPr="00C74D34">
        <w:rPr>
          <w:szCs w:val="26"/>
        </w:rPr>
        <w:t>Conestone-Peachbo</w:t>
      </w:r>
      <w:r w:rsidR="009D37FD" w:rsidRPr="00C74D34">
        <w:rPr>
          <w:szCs w:val="26"/>
        </w:rPr>
        <w:t>t</w:t>
      </w:r>
      <w:r w:rsidRPr="00C74D34">
        <w:rPr>
          <w:szCs w:val="26"/>
        </w:rPr>
        <w:t>tom</w:t>
      </w:r>
      <w:proofErr w:type="spellEnd"/>
      <w:r w:rsidRPr="00C74D34">
        <w:rPr>
          <w:szCs w:val="26"/>
        </w:rPr>
        <w:t xml:space="preserve">, and the AEP-DOM constraints. </w:t>
      </w:r>
    </w:p>
    <w:p w14:paraId="081EEDFA" w14:textId="77777777" w:rsidR="00D35687" w:rsidRPr="00C74D34" w:rsidRDefault="00D35687" w:rsidP="002D03FA">
      <w:pPr>
        <w:ind w:firstLine="1440"/>
        <w:rPr>
          <w:szCs w:val="26"/>
          <w:highlight w:val="yellow"/>
        </w:rPr>
      </w:pPr>
    </w:p>
    <w:p w14:paraId="259C336A" w14:textId="2DF66F9B" w:rsidR="00D35687" w:rsidRPr="00C74D34" w:rsidRDefault="00D35687" w:rsidP="002D03FA">
      <w:pPr>
        <w:ind w:firstLine="1440"/>
        <w:rPr>
          <w:szCs w:val="26"/>
        </w:rPr>
      </w:pPr>
      <w:r w:rsidRPr="00C74D34">
        <w:rPr>
          <w:szCs w:val="26"/>
        </w:rPr>
        <w:t xml:space="preserve">The ALJ’s conclusion that </w:t>
      </w:r>
      <w:proofErr w:type="spellStart"/>
      <w:r w:rsidRPr="00C74D34">
        <w:rPr>
          <w:szCs w:val="26"/>
        </w:rPr>
        <w:t>Transource</w:t>
      </w:r>
      <w:proofErr w:type="spellEnd"/>
      <w:r w:rsidRPr="00C74D34">
        <w:rPr>
          <w:szCs w:val="26"/>
        </w:rPr>
        <w:t xml:space="preserve"> failed to establish need by a preponderance of the evidence was based upon the ALJ’s view of the relative weight of all the evidence</w:t>
      </w:r>
      <w:r w:rsidR="002F42AE" w:rsidRPr="00C74D34">
        <w:rPr>
          <w:szCs w:val="26"/>
        </w:rPr>
        <w:t xml:space="preserve">, including the fact that </w:t>
      </w:r>
      <w:proofErr w:type="spellStart"/>
      <w:r w:rsidR="002F42AE" w:rsidRPr="00C74D34">
        <w:rPr>
          <w:szCs w:val="26"/>
        </w:rPr>
        <w:t>Transource’s</w:t>
      </w:r>
      <w:proofErr w:type="spellEnd"/>
      <w:r w:rsidR="002F42AE" w:rsidRPr="00C74D34">
        <w:rPr>
          <w:szCs w:val="26"/>
        </w:rPr>
        <w:t xml:space="preserve"> asserted reasons to support the finding of “need” shifted </w:t>
      </w:r>
      <w:r w:rsidR="000860CB" w:rsidRPr="00C74D34">
        <w:rPr>
          <w:szCs w:val="26"/>
        </w:rPr>
        <w:t xml:space="preserve">over the course of the litigation, to needs other than the need to alleviate economic congestion at the AP South Reactive Interface. </w:t>
      </w:r>
      <w:r w:rsidRPr="00C74D34">
        <w:rPr>
          <w:szCs w:val="26"/>
        </w:rPr>
        <w:t xml:space="preserve"> The ALJ viewed </w:t>
      </w:r>
      <w:proofErr w:type="spellStart"/>
      <w:r w:rsidRPr="00C74D34">
        <w:rPr>
          <w:szCs w:val="26"/>
        </w:rPr>
        <w:t>Transource’s</w:t>
      </w:r>
      <w:proofErr w:type="spellEnd"/>
      <w:r w:rsidRPr="00C74D34">
        <w:rPr>
          <w:szCs w:val="26"/>
        </w:rPr>
        <w:t xml:space="preserve"> progressive and shifting asserted basis for the need for Project 9A as undermining the weight of the evidence offered by </w:t>
      </w:r>
      <w:proofErr w:type="spellStart"/>
      <w:r w:rsidRPr="00C74D34">
        <w:rPr>
          <w:szCs w:val="26"/>
        </w:rPr>
        <w:t>Transource</w:t>
      </w:r>
      <w:proofErr w:type="spellEnd"/>
      <w:r w:rsidRPr="00C74D34">
        <w:rPr>
          <w:szCs w:val="26"/>
        </w:rPr>
        <w:t xml:space="preserve">.  The ALJ commented that </w:t>
      </w:r>
      <w:proofErr w:type="spellStart"/>
      <w:r w:rsidRPr="00C74D34">
        <w:rPr>
          <w:szCs w:val="26"/>
        </w:rPr>
        <w:t>Transource</w:t>
      </w:r>
      <w:proofErr w:type="spellEnd"/>
      <w:r w:rsidRPr="00C74D34">
        <w:rPr>
          <w:szCs w:val="26"/>
        </w:rPr>
        <w:t xml:space="preserve"> appears to be “creating new reasons for the project.”  However, </w:t>
      </w:r>
      <w:proofErr w:type="spellStart"/>
      <w:r w:rsidRPr="00C74D34">
        <w:rPr>
          <w:szCs w:val="26"/>
        </w:rPr>
        <w:t>Transource</w:t>
      </w:r>
      <w:proofErr w:type="spellEnd"/>
      <w:r w:rsidRPr="00C74D34">
        <w:rPr>
          <w:szCs w:val="26"/>
        </w:rPr>
        <w:t xml:space="preserve"> attributes the shifting focus of the asserted basis for the need for Project 9A to the scope of Project 9A itself and the shifting nature of economic constraints, rather than </w:t>
      </w:r>
      <w:proofErr w:type="spellStart"/>
      <w:r w:rsidRPr="00C74D34">
        <w:rPr>
          <w:szCs w:val="26"/>
        </w:rPr>
        <w:t>Transource</w:t>
      </w:r>
      <w:proofErr w:type="spellEnd"/>
      <w:r w:rsidRPr="00C74D34">
        <w:rPr>
          <w:szCs w:val="26"/>
        </w:rPr>
        <w:t xml:space="preserve"> creating “new reasons” for the project.  </w:t>
      </w:r>
    </w:p>
    <w:p w14:paraId="746D27B2" w14:textId="77777777" w:rsidR="00D35687" w:rsidRPr="00C74D34" w:rsidRDefault="00D35687" w:rsidP="002D03FA">
      <w:pPr>
        <w:ind w:firstLine="1440"/>
        <w:rPr>
          <w:szCs w:val="26"/>
          <w:highlight w:val="yellow"/>
        </w:rPr>
      </w:pPr>
    </w:p>
    <w:p w14:paraId="1A98CEBA" w14:textId="3897F153" w:rsidR="00D35687" w:rsidRPr="00C74D34" w:rsidRDefault="00D35687" w:rsidP="002D03FA">
      <w:pPr>
        <w:ind w:firstLine="1440"/>
        <w:rPr>
          <w:szCs w:val="26"/>
        </w:rPr>
      </w:pPr>
      <w:r w:rsidRPr="00C74D34">
        <w:rPr>
          <w:szCs w:val="26"/>
        </w:rPr>
        <w:t xml:space="preserve">We agree that </w:t>
      </w:r>
      <w:proofErr w:type="spellStart"/>
      <w:r w:rsidRPr="00C74D34">
        <w:rPr>
          <w:szCs w:val="26"/>
        </w:rPr>
        <w:t>Transource’s</w:t>
      </w:r>
      <w:proofErr w:type="spellEnd"/>
      <w:r w:rsidRPr="00C74D34">
        <w:rPr>
          <w:szCs w:val="26"/>
        </w:rPr>
        <w:t xml:space="preserve"> assertions for the need for Project 9A </w:t>
      </w:r>
      <w:r w:rsidR="00462962" w:rsidRPr="00C74D34">
        <w:rPr>
          <w:szCs w:val="26"/>
        </w:rPr>
        <w:t xml:space="preserve">over time </w:t>
      </w:r>
      <w:r w:rsidRPr="00C74D34">
        <w:rPr>
          <w:szCs w:val="26"/>
        </w:rPr>
        <w:t xml:space="preserve">is reflective of the nature of the project itself, and therefore do not agree with the ALJ that </w:t>
      </w:r>
      <w:proofErr w:type="spellStart"/>
      <w:r w:rsidRPr="00C74D34">
        <w:rPr>
          <w:szCs w:val="26"/>
        </w:rPr>
        <w:t>Transource</w:t>
      </w:r>
      <w:proofErr w:type="spellEnd"/>
      <w:r w:rsidRPr="00C74D34">
        <w:rPr>
          <w:szCs w:val="26"/>
        </w:rPr>
        <w:t xml:space="preserve"> appears to be creating “new reasons” for the project.  However, we do agree with the ALJ that </w:t>
      </w:r>
      <w:proofErr w:type="spellStart"/>
      <w:r w:rsidR="00F923A4" w:rsidRPr="00C74D34">
        <w:rPr>
          <w:szCs w:val="26"/>
        </w:rPr>
        <w:t>Transource’s</w:t>
      </w:r>
      <w:proofErr w:type="spellEnd"/>
      <w:r w:rsidR="00F923A4" w:rsidRPr="00C74D34">
        <w:rPr>
          <w:szCs w:val="26"/>
        </w:rPr>
        <w:t xml:space="preserve"> </w:t>
      </w:r>
      <w:r w:rsidRPr="00C74D34">
        <w:rPr>
          <w:szCs w:val="26"/>
        </w:rPr>
        <w:t xml:space="preserve">divergence </w:t>
      </w:r>
      <w:r w:rsidR="00702399" w:rsidRPr="00C74D34">
        <w:rPr>
          <w:szCs w:val="26"/>
        </w:rPr>
        <w:t>of bases</w:t>
      </w:r>
      <w:r w:rsidR="00F923A4" w:rsidRPr="00C74D34">
        <w:rPr>
          <w:szCs w:val="26"/>
        </w:rPr>
        <w:t xml:space="preserve"> other than </w:t>
      </w:r>
      <w:r w:rsidRPr="00C74D34">
        <w:rPr>
          <w:szCs w:val="26"/>
        </w:rPr>
        <w:t xml:space="preserve">the original and </w:t>
      </w:r>
      <w:r w:rsidRPr="00C74D34">
        <w:rPr>
          <w:szCs w:val="26"/>
        </w:rPr>
        <w:lastRenderedPageBreak/>
        <w:t>stated purpose for Project 9A</w:t>
      </w:r>
      <w:r w:rsidR="00F923A4" w:rsidRPr="00C74D34">
        <w:rPr>
          <w:szCs w:val="26"/>
        </w:rPr>
        <w:t xml:space="preserve">, </w:t>
      </w:r>
      <w:r w:rsidR="00F923A4" w:rsidRPr="00C74D34">
        <w:rPr>
          <w:i/>
          <w:iCs/>
          <w:szCs w:val="26"/>
        </w:rPr>
        <w:t>i.e</w:t>
      </w:r>
      <w:r w:rsidR="00F923A4" w:rsidRPr="00C74D34">
        <w:rPr>
          <w:szCs w:val="26"/>
        </w:rPr>
        <w:t xml:space="preserve">., economic congestion on the AP South </w:t>
      </w:r>
      <w:r w:rsidR="00560E5C" w:rsidRPr="00C74D34">
        <w:rPr>
          <w:szCs w:val="26"/>
        </w:rPr>
        <w:t xml:space="preserve">Reactive </w:t>
      </w:r>
      <w:r w:rsidR="00F923A4" w:rsidRPr="00C74D34">
        <w:rPr>
          <w:szCs w:val="26"/>
        </w:rPr>
        <w:t>Interface,</w:t>
      </w:r>
      <w:r w:rsidRPr="00C74D34">
        <w:rPr>
          <w:szCs w:val="26"/>
        </w:rPr>
        <w:t xml:space="preserve"> is problematic.  </w:t>
      </w:r>
    </w:p>
    <w:p w14:paraId="733F812C" w14:textId="77777777" w:rsidR="00D35687" w:rsidRPr="00C74D34" w:rsidRDefault="00D35687" w:rsidP="002D03FA">
      <w:pPr>
        <w:ind w:left="10" w:hanging="10"/>
        <w:rPr>
          <w:szCs w:val="26"/>
          <w:highlight w:val="yellow"/>
        </w:rPr>
      </w:pPr>
    </w:p>
    <w:p w14:paraId="664B5963" w14:textId="71A110BB" w:rsidR="00D35687" w:rsidRPr="00C74D34" w:rsidRDefault="007B0C0F" w:rsidP="002D03FA">
      <w:pPr>
        <w:ind w:firstLine="1440"/>
        <w:rPr>
          <w:szCs w:val="26"/>
        </w:rPr>
      </w:pPr>
      <w:r w:rsidRPr="00C74D34">
        <w:rPr>
          <w:szCs w:val="26"/>
        </w:rPr>
        <w:t xml:space="preserve">We may </w:t>
      </w:r>
      <w:r w:rsidR="00D35687" w:rsidRPr="00C74D34">
        <w:rPr>
          <w:szCs w:val="26"/>
        </w:rPr>
        <w:t xml:space="preserve">accept that the original need for the project may be viewed to encompass the ancillary related benefits of alleviating projected future </w:t>
      </w:r>
      <w:r w:rsidR="00F923A4" w:rsidRPr="00C74D34">
        <w:rPr>
          <w:szCs w:val="26"/>
        </w:rPr>
        <w:t xml:space="preserve">reliability </w:t>
      </w:r>
      <w:r w:rsidR="00D35687" w:rsidRPr="00C74D34">
        <w:rPr>
          <w:szCs w:val="26"/>
        </w:rPr>
        <w:t xml:space="preserve">violations which may </w:t>
      </w:r>
      <w:r w:rsidR="000860CB" w:rsidRPr="00C74D34">
        <w:rPr>
          <w:szCs w:val="26"/>
        </w:rPr>
        <w:t>occur,</w:t>
      </w:r>
      <w:r w:rsidR="00D35687" w:rsidRPr="00C74D34">
        <w:rPr>
          <w:szCs w:val="26"/>
        </w:rPr>
        <w:t xml:space="preserve"> and which may not have been part of the original asserted basis for the project</w:t>
      </w:r>
      <w:r w:rsidRPr="00C74D34">
        <w:rPr>
          <w:szCs w:val="26"/>
        </w:rPr>
        <w:t xml:space="preserve">.  We may </w:t>
      </w:r>
      <w:r w:rsidR="00D35687" w:rsidRPr="00C74D34">
        <w:rPr>
          <w:szCs w:val="26"/>
        </w:rPr>
        <w:t xml:space="preserve">also accept that Project 9A may </w:t>
      </w:r>
      <w:r w:rsidRPr="00C74D34">
        <w:rPr>
          <w:szCs w:val="26"/>
        </w:rPr>
        <w:t xml:space="preserve">fairly </w:t>
      </w:r>
      <w:r w:rsidR="00D35687" w:rsidRPr="00C74D34">
        <w:rPr>
          <w:szCs w:val="26"/>
        </w:rPr>
        <w:t>encompass the more recently asserted related constraints</w:t>
      </w:r>
      <w:r w:rsidRPr="00C74D34">
        <w:rPr>
          <w:szCs w:val="26"/>
        </w:rPr>
        <w:t>.  We</w:t>
      </w:r>
      <w:r w:rsidR="00D35687" w:rsidRPr="00C74D34">
        <w:rPr>
          <w:szCs w:val="26"/>
        </w:rPr>
        <w:t xml:space="preserve">, nevertheless, also agree with the ALJ, that the relative weight of the evidence of the later-asserted basis for need for the project diminishes as it becomes more tangential to the unambiguous original driver of Project 9A, </w:t>
      </w:r>
      <w:r w:rsidR="0040001F" w:rsidRPr="00C74D34">
        <w:rPr>
          <w:i/>
          <w:iCs/>
          <w:szCs w:val="26"/>
        </w:rPr>
        <w:t>i.e.</w:t>
      </w:r>
      <w:r w:rsidR="0040001F" w:rsidRPr="00C74D34">
        <w:rPr>
          <w:szCs w:val="26"/>
        </w:rPr>
        <w:t xml:space="preserve">, </w:t>
      </w:r>
      <w:r w:rsidR="00D35687" w:rsidRPr="00C74D34">
        <w:rPr>
          <w:szCs w:val="26"/>
        </w:rPr>
        <w:t xml:space="preserve">alleviation of economic congestion on the AP South </w:t>
      </w:r>
      <w:r w:rsidR="00560E5C" w:rsidRPr="00C74D34">
        <w:rPr>
          <w:szCs w:val="26"/>
        </w:rPr>
        <w:t xml:space="preserve">Reactive </w:t>
      </w:r>
      <w:r w:rsidR="00D35687" w:rsidRPr="00C74D34">
        <w:rPr>
          <w:szCs w:val="26"/>
        </w:rPr>
        <w:t xml:space="preserve">Interface. </w:t>
      </w:r>
    </w:p>
    <w:p w14:paraId="1BA6E408" w14:textId="77777777" w:rsidR="00D35687" w:rsidRPr="00C74D34" w:rsidRDefault="00D35687" w:rsidP="002D03FA">
      <w:pPr>
        <w:ind w:firstLine="1440"/>
        <w:rPr>
          <w:szCs w:val="26"/>
        </w:rPr>
      </w:pPr>
    </w:p>
    <w:p w14:paraId="2B9C4F1E" w14:textId="1AB37FFA" w:rsidR="00851A29" w:rsidRPr="00C74D34" w:rsidRDefault="00851A29" w:rsidP="002D03FA">
      <w:pPr>
        <w:ind w:firstLine="1440"/>
        <w:rPr>
          <w:szCs w:val="26"/>
        </w:rPr>
      </w:pPr>
      <w:r w:rsidRPr="00C74D34">
        <w:rPr>
          <w:szCs w:val="26"/>
        </w:rPr>
        <w:t xml:space="preserve">We find </w:t>
      </w:r>
      <w:r w:rsidR="00702399" w:rsidRPr="00C74D34">
        <w:rPr>
          <w:szCs w:val="26"/>
        </w:rPr>
        <w:t>unpersuasive</w:t>
      </w:r>
      <w:r w:rsidRPr="00C74D34">
        <w:rPr>
          <w:szCs w:val="26"/>
        </w:rPr>
        <w:t xml:space="preserve"> </w:t>
      </w:r>
      <w:proofErr w:type="spellStart"/>
      <w:r w:rsidR="004C68D0" w:rsidRPr="00C74D34">
        <w:rPr>
          <w:szCs w:val="26"/>
        </w:rPr>
        <w:t>Transou</w:t>
      </w:r>
      <w:r w:rsidR="000C7494" w:rsidRPr="00C74D34">
        <w:rPr>
          <w:szCs w:val="26"/>
        </w:rPr>
        <w:t>r</w:t>
      </w:r>
      <w:r w:rsidR="004C68D0" w:rsidRPr="00C74D34">
        <w:rPr>
          <w:szCs w:val="26"/>
        </w:rPr>
        <w:t>ce’s</w:t>
      </w:r>
      <w:proofErr w:type="spellEnd"/>
      <w:r w:rsidR="004C68D0" w:rsidRPr="00C74D34">
        <w:rPr>
          <w:szCs w:val="26"/>
        </w:rPr>
        <w:t xml:space="preserve"> argument</w:t>
      </w:r>
      <w:r w:rsidRPr="00C74D34">
        <w:rPr>
          <w:szCs w:val="26"/>
        </w:rPr>
        <w:t>s</w:t>
      </w:r>
      <w:r w:rsidR="004C68D0" w:rsidRPr="00C74D34">
        <w:rPr>
          <w:szCs w:val="26"/>
        </w:rPr>
        <w:t xml:space="preserve"> </w:t>
      </w:r>
      <w:r w:rsidR="00AE0DF9" w:rsidRPr="00C74D34">
        <w:rPr>
          <w:szCs w:val="26"/>
        </w:rPr>
        <w:t xml:space="preserve">that the </w:t>
      </w:r>
      <w:r w:rsidRPr="00C74D34">
        <w:rPr>
          <w:szCs w:val="26"/>
        </w:rPr>
        <w:t xml:space="preserve">ALJ </w:t>
      </w:r>
      <w:r w:rsidR="001E4819" w:rsidRPr="00C74D34">
        <w:rPr>
          <w:szCs w:val="26"/>
        </w:rPr>
        <w:t>improperly accept</w:t>
      </w:r>
      <w:r w:rsidRPr="00C74D34">
        <w:rPr>
          <w:szCs w:val="26"/>
        </w:rPr>
        <w:t>ed</w:t>
      </w:r>
      <w:r w:rsidR="001E4819" w:rsidRPr="00C74D34">
        <w:rPr>
          <w:szCs w:val="26"/>
        </w:rPr>
        <w:t xml:space="preserve"> </w:t>
      </w:r>
      <w:r w:rsidRPr="00C74D34">
        <w:rPr>
          <w:szCs w:val="26"/>
        </w:rPr>
        <w:t>“</w:t>
      </w:r>
      <w:r w:rsidR="001E4819" w:rsidRPr="00C74D34">
        <w:rPr>
          <w:szCs w:val="26"/>
        </w:rPr>
        <w:t xml:space="preserve">other </w:t>
      </w:r>
      <w:r w:rsidR="004B2778" w:rsidRPr="00C74D34">
        <w:rPr>
          <w:szCs w:val="26"/>
        </w:rPr>
        <w:t>P</w:t>
      </w:r>
      <w:r w:rsidR="001E4819" w:rsidRPr="00C74D34">
        <w:rPr>
          <w:szCs w:val="26"/>
        </w:rPr>
        <w:t>arties’ speculation and unsupported claims</w:t>
      </w:r>
      <w:r w:rsidRPr="00C74D34">
        <w:rPr>
          <w:szCs w:val="26"/>
        </w:rPr>
        <w:t>”</w:t>
      </w:r>
      <w:r w:rsidR="001E4819" w:rsidRPr="00C74D34">
        <w:rPr>
          <w:szCs w:val="26"/>
        </w:rPr>
        <w:t xml:space="preserve"> as credible evidence over the expert opinion of PJM witnesses and </w:t>
      </w:r>
      <w:r w:rsidR="00AE0DF9" w:rsidRPr="00C74D34">
        <w:rPr>
          <w:szCs w:val="26"/>
        </w:rPr>
        <w:t xml:space="preserve">that </w:t>
      </w:r>
      <w:r w:rsidR="001E4819" w:rsidRPr="00C74D34">
        <w:rPr>
          <w:szCs w:val="26"/>
        </w:rPr>
        <w:t>the criticisms of PJM’s market efficiency process should not be accepted</w:t>
      </w:r>
      <w:r w:rsidRPr="00C74D34">
        <w:rPr>
          <w:szCs w:val="26"/>
        </w:rPr>
        <w:t xml:space="preserve">.  </w:t>
      </w:r>
      <w:proofErr w:type="spellStart"/>
      <w:r w:rsidR="00C4500C" w:rsidRPr="00C74D34">
        <w:rPr>
          <w:szCs w:val="26"/>
        </w:rPr>
        <w:t>Transource’s</w:t>
      </w:r>
      <w:proofErr w:type="spellEnd"/>
      <w:r w:rsidR="00C4500C" w:rsidRPr="00C74D34">
        <w:rPr>
          <w:szCs w:val="26"/>
        </w:rPr>
        <w:t xml:space="preserve"> position is</w:t>
      </w:r>
      <w:r w:rsidR="006F6A0C" w:rsidRPr="00C74D34">
        <w:rPr>
          <w:szCs w:val="26"/>
        </w:rPr>
        <w:t xml:space="preserve"> </w:t>
      </w:r>
      <w:r w:rsidR="00C4500C" w:rsidRPr="00C74D34">
        <w:rPr>
          <w:szCs w:val="26"/>
        </w:rPr>
        <w:t>that expe</w:t>
      </w:r>
      <w:r w:rsidR="006F6A0C" w:rsidRPr="00C74D34">
        <w:rPr>
          <w:szCs w:val="26"/>
        </w:rPr>
        <w:t>r</w:t>
      </w:r>
      <w:r w:rsidR="00C4500C" w:rsidRPr="00C74D34">
        <w:rPr>
          <w:szCs w:val="26"/>
        </w:rPr>
        <w:t xml:space="preserve">t testimony on the PJM criteria and methodology for </w:t>
      </w:r>
      <w:r w:rsidR="003B7002" w:rsidRPr="00C74D34">
        <w:rPr>
          <w:szCs w:val="26"/>
        </w:rPr>
        <w:t xml:space="preserve">selection of the proposed Project 9A </w:t>
      </w:r>
      <w:r w:rsidR="00F557CE" w:rsidRPr="00C74D34">
        <w:rPr>
          <w:szCs w:val="26"/>
        </w:rPr>
        <w:t>to alleviate economic congestion on a regional basis</w:t>
      </w:r>
      <w:r w:rsidR="006F6A0C" w:rsidRPr="00C74D34">
        <w:rPr>
          <w:szCs w:val="26"/>
        </w:rPr>
        <w:t xml:space="preserve"> may only be accepted if </w:t>
      </w:r>
      <w:r w:rsidR="00FF4577" w:rsidRPr="00C74D34">
        <w:rPr>
          <w:szCs w:val="26"/>
        </w:rPr>
        <w:t>proffered</w:t>
      </w:r>
      <w:r w:rsidR="006F6A0C" w:rsidRPr="00C74D34">
        <w:rPr>
          <w:szCs w:val="26"/>
        </w:rPr>
        <w:t xml:space="preserve"> by </w:t>
      </w:r>
      <w:proofErr w:type="spellStart"/>
      <w:r w:rsidR="006F6A0C" w:rsidRPr="00C74D34">
        <w:rPr>
          <w:szCs w:val="26"/>
        </w:rPr>
        <w:t>Transou</w:t>
      </w:r>
      <w:r w:rsidR="000C7494" w:rsidRPr="00C74D34">
        <w:rPr>
          <w:szCs w:val="26"/>
        </w:rPr>
        <w:t>r</w:t>
      </w:r>
      <w:r w:rsidR="006F6A0C" w:rsidRPr="00C74D34">
        <w:rPr>
          <w:szCs w:val="26"/>
        </w:rPr>
        <w:t>ce</w:t>
      </w:r>
      <w:proofErr w:type="spellEnd"/>
      <w:r w:rsidR="006F6A0C" w:rsidRPr="00C74D34">
        <w:rPr>
          <w:szCs w:val="26"/>
        </w:rPr>
        <w:t xml:space="preserve">.  </w:t>
      </w:r>
      <w:proofErr w:type="spellStart"/>
      <w:r w:rsidR="00FF4577" w:rsidRPr="00C74D34">
        <w:rPr>
          <w:szCs w:val="26"/>
        </w:rPr>
        <w:t>Transou</w:t>
      </w:r>
      <w:r w:rsidR="00B11342" w:rsidRPr="00C74D34">
        <w:rPr>
          <w:szCs w:val="26"/>
        </w:rPr>
        <w:t>r</w:t>
      </w:r>
      <w:r w:rsidR="00FF4577" w:rsidRPr="00C74D34">
        <w:rPr>
          <w:szCs w:val="26"/>
        </w:rPr>
        <w:t>ce</w:t>
      </w:r>
      <w:proofErr w:type="spellEnd"/>
      <w:r w:rsidR="00FF4577" w:rsidRPr="00C74D34">
        <w:rPr>
          <w:szCs w:val="26"/>
        </w:rPr>
        <w:t xml:space="preserve"> appears to assert that no critical analysis of the </w:t>
      </w:r>
      <w:r w:rsidR="00E6128B" w:rsidRPr="00C74D34">
        <w:rPr>
          <w:szCs w:val="26"/>
        </w:rPr>
        <w:t xml:space="preserve">PJM process or methodology is permissible </w:t>
      </w:r>
      <w:r w:rsidR="00AE3588" w:rsidRPr="00C74D34">
        <w:rPr>
          <w:szCs w:val="26"/>
        </w:rPr>
        <w:t xml:space="preserve">because the </w:t>
      </w:r>
      <w:r w:rsidR="006B4EDC" w:rsidRPr="00C74D34">
        <w:rPr>
          <w:szCs w:val="26"/>
        </w:rPr>
        <w:t xml:space="preserve">opposing </w:t>
      </w:r>
      <w:r w:rsidR="005966C1" w:rsidRPr="00C74D34">
        <w:rPr>
          <w:szCs w:val="26"/>
        </w:rPr>
        <w:t>P</w:t>
      </w:r>
      <w:r w:rsidR="006B4EDC" w:rsidRPr="00C74D34">
        <w:rPr>
          <w:szCs w:val="26"/>
        </w:rPr>
        <w:t xml:space="preserve">arties’ </w:t>
      </w:r>
      <w:r w:rsidR="00A52BAF" w:rsidRPr="00C74D34">
        <w:rPr>
          <w:szCs w:val="26"/>
        </w:rPr>
        <w:t xml:space="preserve">expert’s </w:t>
      </w:r>
      <w:r w:rsidR="00AE3588" w:rsidRPr="00C74D34">
        <w:rPr>
          <w:szCs w:val="26"/>
        </w:rPr>
        <w:t xml:space="preserve">theory and projections regarding the </w:t>
      </w:r>
      <w:r w:rsidR="006C6327" w:rsidRPr="00C74D34">
        <w:rPr>
          <w:szCs w:val="26"/>
        </w:rPr>
        <w:t xml:space="preserve">outcome of the PJM-approved process are without any substantial basis.  However, by that </w:t>
      </w:r>
      <w:r w:rsidR="00222109" w:rsidRPr="00C74D34">
        <w:rPr>
          <w:szCs w:val="26"/>
        </w:rPr>
        <w:t xml:space="preserve">reasoning, the PJM-approved </w:t>
      </w:r>
      <w:r w:rsidR="00F343A4" w:rsidRPr="00C74D34">
        <w:rPr>
          <w:szCs w:val="26"/>
        </w:rPr>
        <w:t xml:space="preserve">plan </w:t>
      </w:r>
      <w:r w:rsidR="00222109" w:rsidRPr="00C74D34">
        <w:rPr>
          <w:szCs w:val="26"/>
        </w:rPr>
        <w:t xml:space="preserve">would also lack any </w:t>
      </w:r>
      <w:r w:rsidR="00F343A4" w:rsidRPr="00C74D34">
        <w:rPr>
          <w:szCs w:val="26"/>
        </w:rPr>
        <w:t>credibility</w:t>
      </w:r>
      <w:r w:rsidR="00222109" w:rsidRPr="00C74D34">
        <w:rPr>
          <w:szCs w:val="26"/>
        </w:rPr>
        <w:t xml:space="preserve">, on the grounds that the </w:t>
      </w:r>
      <w:r w:rsidR="00C81679" w:rsidRPr="00C74D34">
        <w:rPr>
          <w:szCs w:val="26"/>
        </w:rPr>
        <w:t xml:space="preserve">PJM selection process is entirely based upon theory and </w:t>
      </w:r>
      <w:r w:rsidR="00F343A4" w:rsidRPr="00C74D34">
        <w:rPr>
          <w:szCs w:val="26"/>
        </w:rPr>
        <w:t xml:space="preserve">unproven future </w:t>
      </w:r>
      <w:r w:rsidR="00C81679" w:rsidRPr="00C74D34">
        <w:rPr>
          <w:szCs w:val="26"/>
        </w:rPr>
        <w:t>projection</w:t>
      </w:r>
      <w:r w:rsidR="00F343A4" w:rsidRPr="00C74D34">
        <w:rPr>
          <w:szCs w:val="26"/>
        </w:rPr>
        <w:t>s</w:t>
      </w:r>
      <w:r w:rsidR="00C81679" w:rsidRPr="00C74D34">
        <w:rPr>
          <w:szCs w:val="26"/>
        </w:rPr>
        <w:t xml:space="preserve"> </w:t>
      </w:r>
      <w:r w:rsidR="00F343A4" w:rsidRPr="00C74D34">
        <w:rPr>
          <w:szCs w:val="26"/>
        </w:rPr>
        <w:t xml:space="preserve">of </w:t>
      </w:r>
      <w:r w:rsidR="00C81679" w:rsidRPr="00C74D34">
        <w:rPr>
          <w:szCs w:val="26"/>
        </w:rPr>
        <w:t xml:space="preserve">potential outcomes under the </w:t>
      </w:r>
      <w:r w:rsidR="00F343A4" w:rsidRPr="00C74D34">
        <w:rPr>
          <w:szCs w:val="26"/>
        </w:rPr>
        <w:t xml:space="preserve">proposed plan. </w:t>
      </w:r>
      <w:r w:rsidR="00222109" w:rsidRPr="00C74D34">
        <w:rPr>
          <w:szCs w:val="26"/>
        </w:rPr>
        <w:t xml:space="preserve"> </w:t>
      </w:r>
    </w:p>
    <w:p w14:paraId="168ADABE" w14:textId="6D8A6442" w:rsidR="00851A29" w:rsidRPr="00C74D34" w:rsidRDefault="00851A29" w:rsidP="002D03FA">
      <w:pPr>
        <w:ind w:firstLine="1440"/>
        <w:rPr>
          <w:szCs w:val="26"/>
        </w:rPr>
      </w:pPr>
    </w:p>
    <w:p w14:paraId="69424C97" w14:textId="73414CB2" w:rsidR="002C2C15" w:rsidRPr="00C74D34" w:rsidRDefault="0063497B" w:rsidP="002D03FA">
      <w:pPr>
        <w:ind w:firstLine="1440"/>
      </w:pPr>
      <w:r w:rsidRPr="00C74D34">
        <w:t xml:space="preserve">We </w:t>
      </w:r>
      <w:r w:rsidR="00637FC2" w:rsidRPr="00C74D34">
        <w:t xml:space="preserve">also </w:t>
      </w:r>
      <w:r w:rsidRPr="00C74D34">
        <w:t xml:space="preserve">find </w:t>
      </w:r>
      <w:proofErr w:type="spellStart"/>
      <w:r w:rsidR="00932482" w:rsidRPr="00C74D34">
        <w:t>Transource’s</w:t>
      </w:r>
      <w:proofErr w:type="spellEnd"/>
      <w:r w:rsidR="00932482" w:rsidRPr="00C74D34">
        <w:t xml:space="preserve"> assertions </w:t>
      </w:r>
      <w:r w:rsidRPr="00C74D34">
        <w:t xml:space="preserve">on the grounds </w:t>
      </w:r>
      <w:r w:rsidR="00932482" w:rsidRPr="00C74D34">
        <w:t xml:space="preserve">that the ALJ improperly weighed the evidence presented </w:t>
      </w:r>
      <w:r w:rsidR="00637FC2" w:rsidRPr="00C74D34">
        <w:t xml:space="preserve">to be unpersuasive.  </w:t>
      </w:r>
      <w:r w:rsidR="0094349A" w:rsidRPr="00C74D34">
        <w:t xml:space="preserve">For example, </w:t>
      </w:r>
      <w:r w:rsidR="004F5BE3" w:rsidRPr="00C74D34">
        <w:t>t</w:t>
      </w:r>
      <w:r w:rsidR="00F22E86" w:rsidRPr="00C74D34">
        <w:t xml:space="preserve">he </w:t>
      </w:r>
      <w:r w:rsidR="00932482" w:rsidRPr="00C74D34">
        <w:t xml:space="preserve">ALJ’s conclusion that economic congestion does not equal rate discrimination </w:t>
      </w:r>
      <w:r w:rsidR="00204533" w:rsidRPr="00C74D34">
        <w:t>which requires redress pursuant to Section 2804</w:t>
      </w:r>
      <w:r w:rsidR="004F5BE3" w:rsidRPr="00C74D34">
        <w:t xml:space="preserve"> of the Code (pertaining to discrimination in rates)</w:t>
      </w:r>
      <w:r w:rsidR="00F22E86" w:rsidRPr="00C74D34">
        <w:t xml:space="preserve"> was </w:t>
      </w:r>
      <w:r w:rsidR="00F22E86" w:rsidRPr="00C74D34">
        <w:lastRenderedPageBreak/>
        <w:t>immaterial to the determination regarding the relative weight of the evidence on the issue of need, and theref</w:t>
      </w:r>
      <w:r w:rsidR="007F174B" w:rsidRPr="00C74D34">
        <w:t>or</w:t>
      </w:r>
      <w:r w:rsidR="00011996" w:rsidRPr="00C74D34">
        <w:t>e</w:t>
      </w:r>
      <w:r w:rsidR="007F174B" w:rsidRPr="00C74D34">
        <w:t xml:space="preserve">, it is not necessary for us to revisit the ALJ’s discussion </w:t>
      </w:r>
      <w:r w:rsidR="002C2C15" w:rsidRPr="00C74D34">
        <w:t xml:space="preserve">in </w:t>
      </w:r>
      <w:r w:rsidR="002C2C15" w:rsidRPr="00C74D34">
        <w:rPr>
          <w:i/>
          <w:iCs/>
        </w:rPr>
        <w:t>dicta</w:t>
      </w:r>
      <w:r w:rsidR="002C2C15" w:rsidRPr="00C74D34">
        <w:t xml:space="preserve">.  </w:t>
      </w:r>
      <w:r w:rsidR="004F5BE3" w:rsidRPr="00C74D34">
        <w:t xml:space="preserve">However, </w:t>
      </w:r>
      <w:r w:rsidR="00BE20D8" w:rsidRPr="00C74D34">
        <w:t xml:space="preserve">we note that the </w:t>
      </w:r>
      <w:r w:rsidR="00011996" w:rsidRPr="00C74D34">
        <w:t>ALJ’s statement</w:t>
      </w:r>
      <w:r w:rsidR="00BE20D8" w:rsidRPr="00C74D34">
        <w:t xml:space="preserve"> is not</w:t>
      </w:r>
      <w:r w:rsidR="00423024" w:rsidRPr="00C74D34">
        <w:t xml:space="preserve"> to </w:t>
      </w:r>
      <w:r w:rsidR="00BE20D8" w:rsidRPr="00C74D34">
        <w:t xml:space="preserve">be read as a </w:t>
      </w:r>
      <w:r w:rsidR="00B436DB" w:rsidRPr="00C74D34">
        <w:t xml:space="preserve">conclusion that economic congestion on a regional level </w:t>
      </w:r>
      <w:r w:rsidR="006236B2" w:rsidRPr="00C74D34">
        <w:t xml:space="preserve">cannot </w:t>
      </w:r>
      <w:r w:rsidR="00AC7D90" w:rsidRPr="00C74D34">
        <w:t xml:space="preserve">cause </w:t>
      </w:r>
      <w:r w:rsidR="006236B2" w:rsidRPr="00C74D34">
        <w:t>“rate discrimination</w:t>
      </w:r>
      <w:r w:rsidR="00BE7071" w:rsidRPr="00C74D34">
        <w:t xml:space="preserve">” on a </w:t>
      </w:r>
      <w:r w:rsidR="00BE7071" w:rsidRPr="00C74D34">
        <w:rPr>
          <w:i/>
          <w:iCs/>
        </w:rPr>
        <w:t>regional level</w:t>
      </w:r>
      <w:r w:rsidR="00BE7071" w:rsidRPr="00C74D34">
        <w:t>, as that is solely for PJM’s consideration</w:t>
      </w:r>
      <w:r w:rsidR="00AC7D90" w:rsidRPr="00C74D34">
        <w:t>.</w:t>
      </w:r>
      <w:r w:rsidR="005B373C" w:rsidRPr="00C74D34">
        <w:t xml:space="preserve">  </w:t>
      </w:r>
      <w:r w:rsidR="007A0499" w:rsidRPr="00C74D34">
        <w:t xml:space="preserve">PUC jurisdiction governing </w:t>
      </w:r>
      <w:r w:rsidR="005B373C" w:rsidRPr="00C74D34">
        <w:t xml:space="preserve">discrimination in rates under </w:t>
      </w:r>
      <w:r w:rsidR="007A0499" w:rsidRPr="00C74D34">
        <w:t xml:space="preserve">Section 2804 </w:t>
      </w:r>
      <w:r w:rsidR="006322E9" w:rsidRPr="00C74D34">
        <w:t>extends to the</w:t>
      </w:r>
      <w:r w:rsidR="0025487A" w:rsidRPr="00C74D34">
        <w:t xml:space="preserve"> </w:t>
      </w:r>
      <w:r w:rsidR="007A0499" w:rsidRPr="00C74D34">
        <w:t>boundaries of the Commonwe</w:t>
      </w:r>
      <w:r w:rsidR="0025487A" w:rsidRPr="00C74D34">
        <w:t>a</w:t>
      </w:r>
      <w:r w:rsidR="007A0499" w:rsidRPr="00C74D34">
        <w:t>l</w:t>
      </w:r>
      <w:r w:rsidR="0025487A" w:rsidRPr="00C74D34">
        <w:t xml:space="preserve">th. </w:t>
      </w:r>
      <w:r w:rsidR="007A0499" w:rsidRPr="00C74D34">
        <w:t xml:space="preserve"> </w:t>
      </w:r>
      <w:r w:rsidR="00702399" w:rsidRPr="00C74D34">
        <w:t>66 Pa. C.S. § 2804.</w:t>
      </w:r>
    </w:p>
    <w:p w14:paraId="09BA5506" w14:textId="77777777" w:rsidR="002C2C15" w:rsidRPr="00C74D34" w:rsidRDefault="002C2C15" w:rsidP="002D03FA">
      <w:pPr>
        <w:pStyle w:val="TOCH4"/>
        <w:numPr>
          <w:ilvl w:val="0"/>
          <w:numId w:val="0"/>
        </w:numPr>
        <w:ind w:firstLine="1440"/>
        <w:jc w:val="left"/>
        <w:outlineLvl w:val="9"/>
        <w:rPr>
          <w:b w:val="0"/>
          <w:bCs/>
          <w:highlight w:val="green"/>
        </w:rPr>
      </w:pPr>
    </w:p>
    <w:p w14:paraId="777ED6C5" w14:textId="71978EFA" w:rsidR="00932482" w:rsidRPr="00C74D34" w:rsidRDefault="002C2C15" w:rsidP="002D03FA">
      <w:pPr>
        <w:ind w:firstLine="1440"/>
      </w:pPr>
      <w:r w:rsidRPr="00C74D34">
        <w:t>With respect to the ALJ’s f</w:t>
      </w:r>
      <w:r w:rsidR="00932482" w:rsidRPr="00C74D34">
        <w:t xml:space="preserve">inding that </w:t>
      </w:r>
      <w:r w:rsidR="00A12CE1" w:rsidRPr="00C74D34">
        <w:t xml:space="preserve">the </w:t>
      </w:r>
      <w:proofErr w:type="spellStart"/>
      <w:r w:rsidR="00932482" w:rsidRPr="00C74D34">
        <w:t>Hunterstown</w:t>
      </w:r>
      <w:proofErr w:type="spellEnd"/>
      <w:r w:rsidR="00932482" w:rsidRPr="00C74D34">
        <w:t>-Lincoln Project a</w:t>
      </w:r>
      <w:r w:rsidR="003A26D8" w:rsidRPr="00C74D34">
        <w:t>n</w:t>
      </w:r>
      <w:r w:rsidR="00932482" w:rsidRPr="00C74D34">
        <w:t xml:space="preserve">d Project 5E may alleviate the AP South </w:t>
      </w:r>
      <w:r w:rsidR="00A12CE1" w:rsidRPr="00C74D34">
        <w:t xml:space="preserve">Reactive Interface </w:t>
      </w:r>
      <w:r w:rsidR="00932482" w:rsidRPr="00C74D34">
        <w:t>congestion</w:t>
      </w:r>
      <w:r w:rsidR="00702399" w:rsidRPr="00C74D34">
        <w:t>,</w:t>
      </w:r>
      <w:r w:rsidR="00932482" w:rsidRPr="00C74D34">
        <w:t xml:space="preserve"> </w:t>
      </w:r>
      <w:r w:rsidR="00625279" w:rsidRPr="00C74D34">
        <w:t xml:space="preserve">we conclude the finding reflects a reasonable inference drawn from the evidence system upgrades are either planned or being implemented </w:t>
      </w:r>
      <w:r w:rsidR="003A26D8" w:rsidRPr="00C74D34">
        <w:t xml:space="preserve">for facilities </w:t>
      </w:r>
      <w:r w:rsidR="002E7AD2" w:rsidRPr="00C74D34">
        <w:t xml:space="preserve">within the same regional planning area.  </w:t>
      </w:r>
      <w:r w:rsidR="00B11342" w:rsidRPr="00C74D34">
        <w:t>Again,</w:t>
      </w:r>
      <w:r w:rsidR="002E7AD2" w:rsidRPr="00C74D34">
        <w:t xml:space="preserve"> this finding was not material </w:t>
      </w:r>
      <w:r w:rsidR="008D14F1" w:rsidRPr="00C74D34">
        <w:t>to the ALJ’s overall evaluation o</w:t>
      </w:r>
      <w:r w:rsidR="00B11342" w:rsidRPr="00C74D34">
        <w:t>f</w:t>
      </w:r>
      <w:r w:rsidR="008D14F1" w:rsidRPr="00C74D34">
        <w:t xml:space="preserve"> the weight of the evidence, and therefore it is not necessary </w:t>
      </w:r>
      <w:r w:rsidR="007C0ECF" w:rsidRPr="00C74D34">
        <w:t xml:space="preserve">for us to revisit or overturn the finding.  </w:t>
      </w:r>
      <w:r w:rsidR="00423024" w:rsidRPr="00C74D34">
        <w:t>R.D.</w:t>
      </w:r>
      <w:r w:rsidR="002D3AFF">
        <w:t> </w:t>
      </w:r>
      <w:r w:rsidR="00423024" w:rsidRPr="00C74D34">
        <w:t xml:space="preserve">at 86-92. </w:t>
      </w:r>
    </w:p>
    <w:p w14:paraId="28DA36E4" w14:textId="56789CBF" w:rsidR="00932482" w:rsidRPr="00C74D34" w:rsidRDefault="00932482" w:rsidP="002D03FA">
      <w:pPr>
        <w:ind w:firstLine="1440"/>
        <w:rPr>
          <w:szCs w:val="26"/>
        </w:rPr>
      </w:pPr>
    </w:p>
    <w:p w14:paraId="356723D3" w14:textId="1219068E" w:rsidR="005F6573" w:rsidRPr="00C74D34" w:rsidRDefault="0037525F" w:rsidP="002D03FA">
      <w:pPr>
        <w:ind w:firstLine="1440"/>
        <w:rPr>
          <w:szCs w:val="26"/>
        </w:rPr>
      </w:pPr>
      <w:r w:rsidRPr="00C74D34">
        <w:rPr>
          <w:szCs w:val="26"/>
        </w:rPr>
        <w:t xml:space="preserve">Therefore, </w:t>
      </w:r>
      <w:r w:rsidR="007C0ECF" w:rsidRPr="00C74D34">
        <w:rPr>
          <w:szCs w:val="26"/>
        </w:rPr>
        <w:t>b</w:t>
      </w:r>
      <w:r w:rsidR="00440FCC" w:rsidRPr="00C74D34">
        <w:rPr>
          <w:szCs w:val="26"/>
        </w:rPr>
        <w:t xml:space="preserve">ased upon the broad powers conferred upon this Commission, </w:t>
      </w:r>
      <w:r w:rsidR="00726085" w:rsidRPr="00C74D34">
        <w:rPr>
          <w:szCs w:val="26"/>
        </w:rPr>
        <w:t>we</w:t>
      </w:r>
      <w:r w:rsidR="00EE4425" w:rsidRPr="00C74D34">
        <w:rPr>
          <w:szCs w:val="26"/>
        </w:rPr>
        <w:t xml:space="preserve"> find </w:t>
      </w:r>
      <w:r w:rsidR="00440FCC" w:rsidRPr="00C74D34">
        <w:rPr>
          <w:szCs w:val="26"/>
        </w:rPr>
        <w:t xml:space="preserve">that </w:t>
      </w:r>
      <w:r w:rsidR="00EE4425" w:rsidRPr="00C74D34">
        <w:rPr>
          <w:szCs w:val="26"/>
        </w:rPr>
        <w:t xml:space="preserve">the ALJ properly </w:t>
      </w:r>
      <w:r w:rsidR="00F0726D" w:rsidRPr="00C74D34">
        <w:rPr>
          <w:szCs w:val="26"/>
        </w:rPr>
        <w:t xml:space="preserve">construed the </w:t>
      </w:r>
      <w:r w:rsidR="00BB30C2" w:rsidRPr="00C74D34">
        <w:rPr>
          <w:szCs w:val="26"/>
        </w:rPr>
        <w:t xml:space="preserve">state versus federal </w:t>
      </w:r>
      <w:proofErr w:type="spellStart"/>
      <w:r w:rsidR="00BB30C2" w:rsidRPr="00C74D34">
        <w:rPr>
          <w:szCs w:val="26"/>
        </w:rPr>
        <w:t>roles</w:t>
      </w:r>
      <w:proofErr w:type="spellEnd"/>
      <w:r w:rsidR="00BB30C2" w:rsidRPr="00C74D34">
        <w:rPr>
          <w:szCs w:val="26"/>
        </w:rPr>
        <w:t xml:space="preserve"> </w:t>
      </w:r>
      <w:r w:rsidR="009F2C55" w:rsidRPr="00C74D34">
        <w:rPr>
          <w:szCs w:val="26"/>
        </w:rPr>
        <w:t xml:space="preserve">regarding </w:t>
      </w:r>
      <w:r w:rsidR="00BB30C2" w:rsidRPr="00C74D34">
        <w:rPr>
          <w:szCs w:val="26"/>
        </w:rPr>
        <w:t>reg</w:t>
      </w:r>
      <w:r w:rsidR="00F0726D" w:rsidRPr="00C74D34">
        <w:rPr>
          <w:szCs w:val="26"/>
        </w:rPr>
        <w:t>ional transmission planning</w:t>
      </w:r>
      <w:r w:rsidR="00216641" w:rsidRPr="00C74D34">
        <w:rPr>
          <w:szCs w:val="26"/>
        </w:rPr>
        <w:t xml:space="preserve"> in the analysis and application of the relevant statutory authority</w:t>
      </w:r>
      <w:r w:rsidR="00E2287E" w:rsidRPr="00C74D34">
        <w:rPr>
          <w:szCs w:val="26"/>
        </w:rPr>
        <w:t xml:space="preserve">, applicable </w:t>
      </w:r>
      <w:r w:rsidR="000860CB" w:rsidRPr="00C74D34">
        <w:rPr>
          <w:szCs w:val="26"/>
        </w:rPr>
        <w:t>regulations,</w:t>
      </w:r>
      <w:r w:rsidR="00E2287E" w:rsidRPr="00C74D34">
        <w:rPr>
          <w:szCs w:val="26"/>
        </w:rPr>
        <w:t xml:space="preserve"> and case law to the present case.</w:t>
      </w:r>
      <w:r w:rsidR="007C0ECF" w:rsidRPr="00C74D34">
        <w:rPr>
          <w:szCs w:val="26"/>
        </w:rPr>
        <w:t xml:space="preserve">  </w:t>
      </w:r>
      <w:r w:rsidR="00423024" w:rsidRPr="00C74D34">
        <w:rPr>
          <w:szCs w:val="26"/>
        </w:rPr>
        <w:t xml:space="preserve">Accordingly, </w:t>
      </w:r>
      <w:r w:rsidR="007C0ECF" w:rsidRPr="00C74D34">
        <w:rPr>
          <w:szCs w:val="26"/>
        </w:rPr>
        <w:t xml:space="preserve">we shall reject </w:t>
      </w:r>
      <w:proofErr w:type="spellStart"/>
      <w:r w:rsidR="007C0ECF" w:rsidRPr="00C74D34">
        <w:rPr>
          <w:szCs w:val="26"/>
        </w:rPr>
        <w:t>Transou</w:t>
      </w:r>
      <w:r w:rsidR="00B11342" w:rsidRPr="00C74D34">
        <w:rPr>
          <w:szCs w:val="26"/>
        </w:rPr>
        <w:t>r</w:t>
      </w:r>
      <w:r w:rsidR="007C0ECF" w:rsidRPr="00C74D34">
        <w:rPr>
          <w:szCs w:val="26"/>
        </w:rPr>
        <w:t>ce’s</w:t>
      </w:r>
      <w:proofErr w:type="spellEnd"/>
      <w:r w:rsidR="007C0ECF" w:rsidRPr="00C74D34">
        <w:rPr>
          <w:szCs w:val="26"/>
        </w:rPr>
        <w:t xml:space="preserve"> arguments to the contrary. </w:t>
      </w:r>
      <w:r w:rsidR="00E2287E" w:rsidRPr="00C74D34">
        <w:rPr>
          <w:szCs w:val="26"/>
        </w:rPr>
        <w:t xml:space="preserve"> </w:t>
      </w:r>
    </w:p>
    <w:p w14:paraId="523DCA1F" w14:textId="77777777" w:rsidR="007C0ECF" w:rsidRPr="00C74D34" w:rsidRDefault="007C0ECF" w:rsidP="002D03FA">
      <w:pPr>
        <w:pStyle w:val="TOCH4"/>
        <w:numPr>
          <w:ilvl w:val="0"/>
          <w:numId w:val="0"/>
        </w:numPr>
        <w:ind w:firstLine="1440"/>
        <w:jc w:val="left"/>
        <w:outlineLvl w:val="9"/>
        <w:rPr>
          <w:b w:val="0"/>
          <w:bCs/>
        </w:rPr>
      </w:pPr>
    </w:p>
    <w:p w14:paraId="17C16B34" w14:textId="4A02D326" w:rsidR="00AB0A29" w:rsidRPr="00C74D34" w:rsidRDefault="005836F8" w:rsidP="002D03FA">
      <w:pPr>
        <w:ind w:firstLine="1440"/>
      </w:pPr>
      <w:r w:rsidRPr="00C74D34">
        <w:t xml:space="preserve">Based upon our review </w:t>
      </w:r>
      <w:r w:rsidR="000B701B" w:rsidRPr="00C74D34">
        <w:t>of the record</w:t>
      </w:r>
      <w:r w:rsidR="0055143C" w:rsidRPr="00C74D34">
        <w:t xml:space="preserve"> in this proceeding</w:t>
      </w:r>
      <w:r w:rsidR="000B701B" w:rsidRPr="00C74D34">
        <w:t xml:space="preserve">, </w:t>
      </w:r>
      <w:r w:rsidR="00285FE5" w:rsidRPr="00C74D34">
        <w:t xml:space="preserve">the relative weight of the </w:t>
      </w:r>
      <w:r w:rsidR="00A24F01" w:rsidRPr="00C74D34">
        <w:t xml:space="preserve">evidence presented, </w:t>
      </w:r>
      <w:r w:rsidR="000B701B" w:rsidRPr="00C74D34">
        <w:t xml:space="preserve">and the arguments of the </w:t>
      </w:r>
      <w:r w:rsidR="005966C1" w:rsidRPr="00C74D34">
        <w:t>P</w:t>
      </w:r>
      <w:r w:rsidR="000B701B" w:rsidRPr="00C74D34">
        <w:t xml:space="preserve">arties, </w:t>
      </w:r>
      <w:r w:rsidR="00CD3289" w:rsidRPr="00C74D34">
        <w:t xml:space="preserve">we </w:t>
      </w:r>
      <w:r w:rsidR="0052295E" w:rsidRPr="00C74D34">
        <w:t xml:space="preserve">conclude that </w:t>
      </w:r>
      <w:r w:rsidR="00285FE5" w:rsidRPr="00C74D34">
        <w:t xml:space="preserve">in the present circumstances </w:t>
      </w:r>
      <w:proofErr w:type="spellStart"/>
      <w:r w:rsidRPr="00C74D34">
        <w:t>Transource</w:t>
      </w:r>
      <w:proofErr w:type="spellEnd"/>
      <w:r w:rsidRPr="00C74D34">
        <w:t xml:space="preserve"> </w:t>
      </w:r>
      <w:r w:rsidR="00A24F01" w:rsidRPr="00C74D34">
        <w:t xml:space="preserve">fails to </w:t>
      </w:r>
      <w:r w:rsidRPr="00C74D34">
        <w:t xml:space="preserve">carry the burden of persuasion </w:t>
      </w:r>
      <w:r w:rsidR="00A24F01" w:rsidRPr="00C74D34">
        <w:t xml:space="preserve">by a preponderance of the evidence </w:t>
      </w:r>
      <w:r w:rsidRPr="00C74D34">
        <w:t xml:space="preserve">to establish need for the proposed siting Applications, pursuant to </w:t>
      </w:r>
      <w:r w:rsidR="00A24F01" w:rsidRPr="00C74D34">
        <w:t xml:space="preserve">our </w:t>
      </w:r>
      <w:r w:rsidRPr="00C74D34">
        <w:t>authority under Section 1501 of the Code and Commission Regulation at 52 Pa. Code Section 57.76(a)(1)</w:t>
      </w:r>
      <w:r w:rsidR="00A24F01" w:rsidRPr="00C74D34">
        <w:t xml:space="preserve">. </w:t>
      </w:r>
      <w:r w:rsidR="002D69EB" w:rsidRPr="00C74D34">
        <w:t xml:space="preserve"> Because we have concluded that </w:t>
      </w:r>
      <w:r w:rsidR="00BD5ADC" w:rsidRPr="00C74D34">
        <w:t>the evidence is insufficient to establish the required element of “n</w:t>
      </w:r>
      <w:r w:rsidR="002D69EB" w:rsidRPr="00C74D34">
        <w:t>eed</w:t>
      </w:r>
      <w:r w:rsidR="005F39E0" w:rsidRPr="00C74D34">
        <w:t>”</w:t>
      </w:r>
      <w:r w:rsidR="00BD5ADC" w:rsidRPr="00C74D34">
        <w:t xml:space="preserve"> under </w:t>
      </w:r>
      <w:r w:rsidR="00577FDE" w:rsidRPr="00C74D34">
        <w:t xml:space="preserve">52 Pa. Code § 57.76(a)(1), </w:t>
      </w:r>
      <w:r w:rsidR="00577FDE" w:rsidRPr="00C74D34">
        <w:lastRenderedPageBreak/>
        <w:t xml:space="preserve">the arguments related to </w:t>
      </w:r>
      <w:r w:rsidR="005D1B28" w:rsidRPr="00C74D34">
        <w:t>other required elements under 52 Pa. Code §</w:t>
      </w:r>
      <w:r w:rsidR="00702399" w:rsidRPr="00C74D34">
        <w:t> </w:t>
      </w:r>
      <w:r w:rsidR="005D1B28" w:rsidRPr="00C74D34">
        <w:t>57.76(a)(2)-(4) are rendered moot</w:t>
      </w:r>
      <w:r w:rsidR="00AB0A29" w:rsidRPr="00C74D34">
        <w:t xml:space="preserve"> and shall not be addressed</w:t>
      </w:r>
      <w:r w:rsidR="005D1B28" w:rsidRPr="00C74D34">
        <w:t>.</w:t>
      </w:r>
      <w:r w:rsidR="00AB0A29" w:rsidRPr="00C74D34">
        <w:t xml:space="preserve"> </w:t>
      </w:r>
      <w:r w:rsidR="005D1B28" w:rsidRPr="00C74D34">
        <w:t xml:space="preserve"> </w:t>
      </w:r>
    </w:p>
    <w:p w14:paraId="58C6A32A" w14:textId="77777777" w:rsidR="00352AA7" w:rsidRPr="00C74D34" w:rsidRDefault="00352AA7" w:rsidP="002D03FA">
      <w:pPr>
        <w:pStyle w:val="TOCH4"/>
        <w:numPr>
          <w:ilvl w:val="0"/>
          <w:numId w:val="0"/>
        </w:numPr>
        <w:ind w:firstLine="1440"/>
        <w:jc w:val="left"/>
        <w:outlineLvl w:val="9"/>
        <w:rPr>
          <w:b w:val="0"/>
          <w:bCs/>
        </w:rPr>
      </w:pPr>
    </w:p>
    <w:p w14:paraId="490C894B" w14:textId="696B28E7" w:rsidR="005836F8" w:rsidRPr="00C74D34" w:rsidRDefault="00A24F01" w:rsidP="002D03FA">
      <w:pPr>
        <w:ind w:firstLine="1440"/>
      </w:pPr>
      <w:r w:rsidRPr="00C74D34">
        <w:t xml:space="preserve">Accordingly, we </w:t>
      </w:r>
      <w:r w:rsidR="002D69EB" w:rsidRPr="00C74D34">
        <w:t>will adopt the Recommended Decision of Administrative Law Judge Elizabeth H. Barnes, as modified consistent with th</w:t>
      </w:r>
      <w:r w:rsidR="004839AC" w:rsidRPr="00C74D34">
        <w:t xml:space="preserve">is </w:t>
      </w:r>
      <w:r w:rsidR="002D69EB" w:rsidRPr="00C74D34">
        <w:t xml:space="preserve">Opinion and Order and deny the Applications of </w:t>
      </w:r>
      <w:proofErr w:type="spellStart"/>
      <w:r w:rsidR="002D69EB" w:rsidRPr="00C74D34">
        <w:t>Transource</w:t>
      </w:r>
      <w:proofErr w:type="spellEnd"/>
      <w:r w:rsidR="002D69EB" w:rsidRPr="00C74D34">
        <w:t>, and other related matters consistent with this Opinion and Order</w:t>
      </w:r>
      <w:r w:rsidR="005966C1" w:rsidRPr="00C74D34">
        <w:t>.</w:t>
      </w:r>
    </w:p>
    <w:p w14:paraId="2291AA7E" w14:textId="77777777" w:rsidR="0055143C" w:rsidRPr="00C74D34" w:rsidRDefault="0055143C" w:rsidP="002D03FA"/>
    <w:p w14:paraId="4AD30C16" w14:textId="59732712" w:rsidR="00777C19" w:rsidRPr="00C74D34" w:rsidRDefault="00777C19" w:rsidP="002D03FA">
      <w:pPr>
        <w:pStyle w:val="TOCH3"/>
        <w:keepNext/>
        <w:numPr>
          <w:ilvl w:val="0"/>
          <w:numId w:val="32"/>
        </w:numPr>
        <w:ind w:left="1440" w:hanging="720"/>
      </w:pPr>
      <w:bookmarkStart w:id="39" w:name="_Toc70516616"/>
      <w:proofErr w:type="spellStart"/>
      <w:r w:rsidRPr="00C74D34">
        <w:t>Transource</w:t>
      </w:r>
      <w:proofErr w:type="spellEnd"/>
      <w:r w:rsidRPr="00C74D34">
        <w:t xml:space="preserve"> Exception No. 2: </w:t>
      </w:r>
      <w:r w:rsidR="00885BAE" w:rsidRPr="00C74D34">
        <w:t xml:space="preserve"> </w:t>
      </w:r>
      <w:r w:rsidR="007F5D05" w:rsidRPr="00C74D34">
        <w:t xml:space="preserve">The ALJ </w:t>
      </w:r>
      <w:r w:rsidR="002D3AFF">
        <w:t>E</w:t>
      </w:r>
      <w:r w:rsidR="007F5D05" w:rsidRPr="00C74D34">
        <w:t xml:space="preserve">rred as a </w:t>
      </w:r>
      <w:r w:rsidR="002D3AFF">
        <w:t>M</w:t>
      </w:r>
      <w:r w:rsidR="007F5D05" w:rsidRPr="00C74D34">
        <w:t xml:space="preserve">atter of </w:t>
      </w:r>
      <w:r w:rsidR="002D3AFF">
        <w:t>L</w:t>
      </w:r>
      <w:r w:rsidR="007F5D05" w:rsidRPr="00C74D34">
        <w:t xml:space="preserve">aw </w:t>
      </w:r>
      <w:r w:rsidR="00994BCB">
        <w:t>I</w:t>
      </w:r>
      <w:r w:rsidR="007F5D05" w:rsidRPr="00C74D34">
        <w:t xml:space="preserve">n </w:t>
      </w:r>
      <w:r w:rsidR="002D3AFF">
        <w:t>C</w:t>
      </w:r>
      <w:r w:rsidR="007F5D05" w:rsidRPr="00C74D34">
        <w:t xml:space="preserve">oncluding </w:t>
      </w:r>
      <w:r w:rsidR="002D3AFF">
        <w:t>T</w:t>
      </w:r>
      <w:r w:rsidR="007F5D05" w:rsidRPr="00C74D34">
        <w:t xml:space="preserve">hat </w:t>
      </w:r>
      <w:proofErr w:type="spellStart"/>
      <w:r w:rsidR="007F5D05" w:rsidRPr="00C74D34">
        <w:t>T</w:t>
      </w:r>
      <w:r w:rsidR="000457F8" w:rsidRPr="00C74D34">
        <w:t>r</w:t>
      </w:r>
      <w:r w:rsidR="007F5D05" w:rsidRPr="00C74D34">
        <w:t>ansource</w:t>
      </w:r>
      <w:proofErr w:type="spellEnd"/>
      <w:r w:rsidR="007F5D05" w:rsidRPr="00C74D34">
        <w:t xml:space="preserve"> </w:t>
      </w:r>
      <w:r w:rsidR="002D3AFF">
        <w:t>D</w:t>
      </w:r>
      <w:r w:rsidR="007F5D05" w:rsidRPr="00C74D34">
        <w:t xml:space="preserve">id </w:t>
      </w:r>
      <w:r w:rsidR="002D3AFF">
        <w:t>N</w:t>
      </w:r>
      <w:r w:rsidR="007F5D05" w:rsidRPr="00C74D34">
        <w:t xml:space="preserve">ot </w:t>
      </w:r>
      <w:r w:rsidR="002D3AFF">
        <w:t>M</w:t>
      </w:r>
      <w:r w:rsidR="007F5D05" w:rsidRPr="00C74D34">
        <w:t xml:space="preserve">inimize </w:t>
      </w:r>
      <w:r w:rsidR="002D3AFF">
        <w:t>E</w:t>
      </w:r>
      <w:r w:rsidR="000457F8" w:rsidRPr="00C74D34">
        <w:t xml:space="preserve">nvironmental </w:t>
      </w:r>
      <w:r w:rsidR="002D3AFF">
        <w:t>I</w:t>
      </w:r>
      <w:r w:rsidR="000457F8" w:rsidRPr="00C74D34">
        <w:t>mpact</w:t>
      </w:r>
      <w:bookmarkEnd w:id="39"/>
      <w:r w:rsidR="000457F8" w:rsidRPr="00C74D34">
        <w:t xml:space="preserve"> </w:t>
      </w:r>
    </w:p>
    <w:p w14:paraId="656325BF" w14:textId="27AC0E45" w:rsidR="000508F7" w:rsidRPr="00C74D34" w:rsidRDefault="000508F7" w:rsidP="002D3AFF">
      <w:pPr>
        <w:spacing w:line="480" w:lineRule="auto"/>
      </w:pPr>
    </w:p>
    <w:p w14:paraId="0EAC268A" w14:textId="651D3619" w:rsidR="000508F7" w:rsidRPr="00C74D34" w:rsidRDefault="00586260" w:rsidP="002D03FA">
      <w:pPr>
        <w:ind w:firstLine="1440"/>
      </w:pPr>
      <w:r w:rsidRPr="00C74D34">
        <w:t xml:space="preserve">Per our discussion and disposition of </w:t>
      </w:r>
      <w:proofErr w:type="spellStart"/>
      <w:r w:rsidRPr="00C74D34">
        <w:t>Transou</w:t>
      </w:r>
      <w:r w:rsidR="00B11342" w:rsidRPr="00C74D34">
        <w:t>r</w:t>
      </w:r>
      <w:r w:rsidRPr="00C74D34">
        <w:t>ce’s</w:t>
      </w:r>
      <w:proofErr w:type="spellEnd"/>
      <w:r w:rsidRPr="00C74D34">
        <w:t xml:space="preserve"> Exception No. 1, </w:t>
      </w:r>
      <w:r w:rsidRPr="00C74D34">
        <w:rPr>
          <w:i/>
          <w:iCs/>
        </w:rPr>
        <w:t>supra</w:t>
      </w:r>
      <w:r w:rsidRPr="00C74D34">
        <w:t xml:space="preserve">., </w:t>
      </w:r>
      <w:r w:rsidR="00481EBB" w:rsidRPr="00C74D34">
        <w:t xml:space="preserve">we have determined that </w:t>
      </w:r>
      <w:proofErr w:type="spellStart"/>
      <w:r w:rsidR="00481EBB" w:rsidRPr="00C74D34">
        <w:t>Transource</w:t>
      </w:r>
      <w:proofErr w:type="spellEnd"/>
      <w:r w:rsidR="00481EBB" w:rsidRPr="00C74D34">
        <w:t xml:space="preserve"> failed to </w:t>
      </w:r>
      <w:r w:rsidR="004D209A" w:rsidRPr="00C74D34">
        <w:t xml:space="preserve">carry the burden of persuasion to </w:t>
      </w:r>
      <w:r w:rsidR="00481EBB" w:rsidRPr="00C74D34">
        <w:t xml:space="preserve">establish need for the proposed </w:t>
      </w:r>
      <w:r w:rsidR="008F46C9" w:rsidRPr="00C74D34">
        <w:t>siting Application</w:t>
      </w:r>
      <w:r w:rsidR="00717AD9" w:rsidRPr="00C74D34">
        <w:t>s</w:t>
      </w:r>
      <w:r w:rsidR="008F46C9" w:rsidRPr="00C74D34">
        <w:t xml:space="preserve">, </w:t>
      </w:r>
      <w:r w:rsidR="00993A47" w:rsidRPr="00C74D34">
        <w:t xml:space="preserve">pursuant to Commission authority under Section 1501 of the Code and Commission Regulation at </w:t>
      </w:r>
      <w:r w:rsidR="008F46C9" w:rsidRPr="00C74D34">
        <w:t>5</w:t>
      </w:r>
      <w:r w:rsidR="00993A47" w:rsidRPr="00C74D34">
        <w:t>2</w:t>
      </w:r>
      <w:r w:rsidR="008F46C9" w:rsidRPr="00C74D34">
        <w:t xml:space="preserve"> Pa. Code</w:t>
      </w:r>
      <w:r w:rsidR="005F39E0" w:rsidRPr="00C74D34">
        <w:t xml:space="preserve"> § </w:t>
      </w:r>
      <w:r w:rsidR="008F46C9" w:rsidRPr="00C74D34">
        <w:t>57.</w:t>
      </w:r>
      <w:r w:rsidR="00F468A4" w:rsidRPr="00C74D34">
        <w:t>76</w:t>
      </w:r>
      <w:r w:rsidR="003F70DC" w:rsidRPr="00C74D34">
        <w:t>(a)</w:t>
      </w:r>
      <w:r w:rsidR="00F468A4" w:rsidRPr="00C74D34">
        <w:t xml:space="preserve">(1), </w:t>
      </w:r>
      <w:r w:rsidR="008F46C9" w:rsidRPr="00C74D34">
        <w:t>by a preponderance of the evidence</w:t>
      </w:r>
      <w:r w:rsidRPr="00C74D34">
        <w:t xml:space="preserve">.  Therefore, </w:t>
      </w:r>
      <w:proofErr w:type="spellStart"/>
      <w:r w:rsidR="00717AD9" w:rsidRPr="00C74D34">
        <w:t>Transource</w:t>
      </w:r>
      <w:r w:rsidR="00046377" w:rsidRPr="00C74D34">
        <w:t>’s</w:t>
      </w:r>
      <w:proofErr w:type="spellEnd"/>
      <w:r w:rsidR="00046377" w:rsidRPr="00C74D34">
        <w:t xml:space="preserve"> Exception N</w:t>
      </w:r>
      <w:r w:rsidR="000F7139" w:rsidRPr="00C74D34">
        <w:t>o</w:t>
      </w:r>
      <w:r w:rsidR="00046377" w:rsidRPr="00C74D34">
        <w:t>. 2</w:t>
      </w:r>
      <w:r w:rsidR="000F7139" w:rsidRPr="00C74D34">
        <w:t>,</w:t>
      </w:r>
      <w:r w:rsidR="00046377" w:rsidRPr="00C74D34">
        <w:t xml:space="preserve"> pertaining to environmental impact</w:t>
      </w:r>
      <w:r w:rsidR="000F7139" w:rsidRPr="00C74D34">
        <w:t xml:space="preserve">, </w:t>
      </w:r>
      <w:r w:rsidR="00046377" w:rsidRPr="00C74D34">
        <w:t>is rendered moot.</w:t>
      </w:r>
      <w:r w:rsidR="000F7139" w:rsidRPr="00C74D34">
        <w:t xml:space="preserve">  </w:t>
      </w:r>
      <w:r w:rsidRPr="00C74D34">
        <w:t xml:space="preserve">Accordingly, </w:t>
      </w:r>
      <w:r w:rsidR="000F7139" w:rsidRPr="00C74D34">
        <w:t xml:space="preserve">we shall deny the </w:t>
      </w:r>
      <w:r w:rsidR="005B3ACE" w:rsidRPr="00C74D34">
        <w:t xml:space="preserve">Exception. </w:t>
      </w:r>
      <w:r w:rsidR="00046377" w:rsidRPr="00C74D34">
        <w:t xml:space="preserve"> </w:t>
      </w:r>
    </w:p>
    <w:p w14:paraId="4D18FA91" w14:textId="77777777" w:rsidR="000508F7" w:rsidRPr="00C74D34" w:rsidRDefault="000508F7" w:rsidP="002D03FA"/>
    <w:p w14:paraId="7A5A2A6B" w14:textId="6954471A" w:rsidR="00D84BC5" w:rsidRPr="00C74D34" w:rsidRDefault="00D84BC5" w:rsidP="002D03FA">
      <w:pPr>
        <w:pStyle w:val="TOCH3"/>
        <w:keepNext/>
        <w:numPr>
          <w:ilvl w:val="0"/>
          <w:numId w:val="32"/>
        </w:numPr>
        <w:ind w:left="1440" w:hanging="720"/>
      </w:pPr>
      <w:bookmarkStart w:id="40" w:name="_Toc70516617"/>
      <w:proofErr w:type="spellStart"/>
      <w:r w:rsidRPr="00C74D34">
        <w:t>Transource</w:t>
      </w:r>
      <w:proofErr w:type="spellEnd"/>
      <w:r w:rsidRPr="00C74D34">
        <w:t xml:space="preserve"> Exception No. 3: </w:t>
      </w:r>
      <w:r w:rsidR="00885BAE" w:rsidRPr="00C74D34">
        <w:t xml:space="preserve"> </w:t>
      </w:r>
      <w:r w:rsidRPr="00C74D34">
        <w:t xml:space="preserve">The ALJ </w:t>
      </w:r>
      <w:r w:rsidR="002D3AFF">
        <w:t>E</w:t>
      </w:r>
      <w:r w:rsidRPr="00C74D34">
        <w:t xml:space="preserve">rred as a </w:t>
      </w:r>
      <w:r w:rsidR="002D3AFF">
        <w:t>M</w:t>
      </w:r>
      <w:r w:rsidRPr="00C74D34">
        <w:t xml:space="preserve">atter of </w:t>
      </w:r>
      <w:r w:rsidR="002D3AFF">
        <w:t>L</w:t>
      </w:r>
      <w:r w:rsidRPr="00C74D34">
        <w:t xml:space="preserve">aw by </w:t>
      </w:r>
      <w:r w:rsidR="002D3AFF">
        <w:t>C</w:t>
      </w:r>
      <w:r w:rsidRPr="00C74D34">
        <w:t>oncluding</w:t>
      </w:r>
      <w:r w:rsidR="002D3AFF">
        <w:t xml:space="preserve"> Th</w:t>
      </w:r>
      <w:r w:rsidRPr="00C74D34">
        <w:t xml:space="preserve">at </w:t>
      </w:r>
      <w:proofErr w:type="spellStart"/>
      <w:r w:rsidRPr="00C74D34">
        <w:t>Transource</w:t>
      </w:r>
      <w:proofErr w:type="spellEnd"/>
      <w:r w:rsidRPr="00C74D34">
        <w:t xml:space="preserve"> </w:t>
      </w:r>
      <w:r w:rsidR="002D3AFF">
        <w:t>D</w:t>
      </w:r>
      <w:r w:rsidRPr="00C74D34">
        <w:t xml:space="preserve">id </w:t>
      </w:r>
      <w:r w:rsidR="002D3AFF">
        <w:t>N</w:t>
      </w:r>
      <w:r w:rsidRPr="00C74D34">
        <w:t xml:space="preserve">ot </w:t>
      </w:r>
      <w:r w:rsidR="002D3AFF">
        <w:t>M</w:t>
      </w:r>
      <w:r w:rsidRPr="00C74D34">
        <w:t xml:space="preserve">inimize </w:t>
      </w:r>
      <w:r w:rsidR="002D3AFF">
        <w:t>E</w:t>
      </w:r>
      <w:r w:rsidRPr="00C74D34">
        <w:t xml:space="preserve">conomic </w:t>
      </w:r>
      <w:r w:rsidR="002D3AFF">
        <w:t>I</w:t>
      </w:r>
      <w:r w:rsidRPr="00C74D34">
        <w:t>mpact</w:t>
      </w:r>
      <w:bookmarkEnd w:id="40"/>
      <w:r w:rsidRPr="00C74D34">
        <w:t xml:space="preserve"> </w:t>
      </w:r>
    </w:p>
    <w:p w14:paraId="253ED013" w14:textId="75C136D3" w:rsidR="00F776DD" w:rsidRPr="00C74D34" w:rsidRDefault="00F776DD" w:rsidP="002D3AFF">
      <w:pPr>
        <w:spacing w:line="480" w:lineRule="auto"/>
      </w:pPr>
    </w:p>
    <w:p w14:paraId="5C16E42F" w14:textId="2CC99B42" w:rsidR="00F776DD" w:rsidRPr="00C74D34" w:rsidRDefault="00586260" w:rsidP="002D03FA">
      <w:pPr>
        <w:ind w:firstLine="1440"/>
      </w:pPr>
      <w:r w:rsidRPr="00C74D34">
        <w:t xml:space="preserve">Per our discussion and disposition of </w:t>
      </w:r>
      <w:proofErr w:type="spellStart"/>
      <w:r w:rsidRPr="00C74D34">
        <w:t>Transou</w:t>
      </w:r>
      <w:r w:rsidR="00B11342" w:rsidRPr="00C74D34">
        <w:t>r</w:t>
      </w:r>
      <w:r w:rsidRPr="00C74D34">
        <w:t>ce’s</w:t>
      </w:r>
      <w:proofErr w:type="spellEnd"/>
      <w:r w:rsidRPr="00C74D34">
        <w:t xml:space="preserve"> Exception No. 1, </w:t>
      </w:r>
      <w:r w:rsidRPr="00C74D34">
        <w:rPr>
          <w:i/>
          <w:iCs/>
        </w:rPr>
        <w:t>supra</w:t>
      </w:r>
      <w:r w:rsidRPr="00C74D34">
        <w:t xml:space="preserve">., </w:t>
      </w:r>
      <w:r w:rsidR="00F776DD" w:rsidRPr="00C74D34">
        <w:t xml:space="preserve">we have determined that </w:t>
      </w:r>
      <w:proofErr w:type="spellStart"/>
      <w:r w:rsidR="00F776DD" w:rsidRPr="00C74D34">
        <w:t>Transource</w:t>
      </w:r>
      <w:proofErr w:type="spellEnd"/>
      <w:r w:rsidR="00F776DD" w:rsidRPr="00C74D34">
        <w:t xml:space="preserve"> failed to </w:t>
      </w:r>
      <w:r w:rsidR="004D209A" w:rsidRPr="00C74D34">
        <w:t xml:space="preserve">carry the burden of </w:t>
      </w:r>
      <w:r w:rsidR="000852F3" w:rsidRPr="00C74D34">
        <w:t xml:space="preserve">persuasion to </w:t>
      </w:r>
      <w:r w:rsidR="00F776DD" w:rsidRPr="00C74D34">
        <w:t>establish need for the proposed siting Applications,</w:t>
      </w:r>
      <w:r w:rsidR="00856CB8" w:rsidRPr="00C74D34">
        <w:t xml:space="preserve"> pursuant to Commission authority under Section 1501 of the Code and Commission Regulation at 52</w:t>
      </w:r>
      <w:r w:rsidR="00F776DD" w:rsidRPr="00C74D34">
        <w:t xml:space="preserve"> Pa. Code Section</w:t>
      </w:r>
      <w:r w:rsidR="002D3AFF">
        <w:t> </w:t>
      </w:r>
      <w:r w:rsidR="00F776DD" w:rsidRPr="00C74D34">
        <w:t>57.76</w:t>
      </w:r>
      <w:r w:rsidR="00BC058C" w:rsidRPr="00C74D34">
        <w:t>(a)</w:t>
      </w:r>
      <w:r w:rsidR="00F776DD" w:rsidRPr="00C74D34">
        <w:t>(1), by a preponderance of the evidence</w:t>
      </w:r>
      <w:r w:rsidRPr="00C74D34">
        <w:t xml:space="preserve">.  Therefore, </w:t>
      </w:r>
      <w:proofErr w:type="spellStart"/>
      <w:r w:rsidR="00F776DD" w:rsidRPr="00C74D34">
        <w:t>Transource’s</w:t>
      </w:r>
      <w:proofErr w:type="spellEnd"/>
      <w:r w:rsidR="00F776DD" w:rsidRPr="00C74D34">
        <w:t xml:space="preserve"> Exception No. 3, pertaining to economic impact, is rendered moot.  </w:t>
      </w:r>
      <w:r w:rsidRPr="00C74D34">
        <w:t>Accordingly</w:t>
      </w:r>
      <w:r w:rsidR="00F776DD" w:rsidRPr="00C74D34">
        <w:t xml:space="preserve">, we shall deny the Exception.  </w:t>
      </w:r>
    </w:p>
    <w:p w14:paraId="7D4F08F0" w14:textId="77777777" w:rsidR="00F776DD" w:rsidRPr="00C74D34" w:rsidRDefault="00F776DD" w:rsidP="002D03FA"/>
    <w:p w14:paraId="7C56095D" w14:textId="0169A913" w:rsidR="00267689" w:rsidRPr="00C74D34" w:rsidRDefault="00921945" w:rsidP="002D03FA">
      <w:pPr>
        <w:pStyle w:val="TOCH3"/>
        <w:keepNext/>
        <w:numPr>
          <w:ilvl w:val="0"/>
          <w:numId w:val="32"/>
        </w:numPr>
        <w:ind w:left="1440" w:hanging="720"/>
      </w:pPr>
      <w:bookmarkStart w:id="41" w:name="_Toc70516618"/>
      <w:proofErr w:type="spellStart"/>
      <w:r w:rsidRPr="00C74D34">
        <w:lastRenderedPageBreak/>
        <w:t>Transource</w:t>
      </w:r>
      <w:proofErr w:type="spellEnd"/>
      <w:r w:rsidRPr="00C74D34">
        <w:t xml:space="preserve"> Exception No 4: </w:t>
      </w:r>
      <w:r w:rsidR="00885BAE" w:rsidRPr="00C74D34">
        <w:t xml:space="preserve"> </w:t>
      </w:r>
      <w:r w:rsidRPr="00C74D34">
        <w:t>The ALJ</w:t>
      </w:r>
      <w:r w:rsidR="00AD6558" w:rsidRPr="00C74D34">
        <w:t xml:space="preserve">’s </w:t>
      </w:r>
      <w:r w:rsidR="002D3AFF">
        <w:t>E</w:t>
      </w:r>
      <w:r w:rsidR="00AD6558" w:rsidRPr="00C74D34">
        <w:t xml:space="preserve">rred as a </w:t>
      </w:r>
      <w:r w:rsidR="002D3AFF">
        <w:t>M</w:t>
      </w:r>
      <w:r w:rsidR="00AD6558" w:rsidRPr="00C74D34">
        <w:t xml:space="preserve">atter of </w:t>
      </w:r>
      <w:r w:rsidR="002D3AFF">
        <w:t>F</w:t>
      </w:r>
      <w:r w:rsidR="00AD6558" w:rsidRPr="00C74D34">
        <w:t xml:space="preserve">act </w:t>
      </w:r>
      <w:r w:rsidR="002D3AFF">
        <w:t>R</w:t>
      </w:r>
      <w:r w:rsidR="00AD6558" w:rsidRPr="00C74D34">
        <w:t>egarding GPS</w:t>
      </w:r>
      <w:r w:rsidR="0041717A" w:rsidRPr="00C74D34">
        <w:t xml:space="preserve"> [Global Positioning System]</w:t>
      </w:r>
      <w:r w:rsidR="00AD6558" w:rsidRPr="00C74D34">
        <w:t xml:space="preserve"> </w:t>
      </w:r>
      <w:r w:rsidR="002D3AFF">
        <w:t>I</w:t>
      </w:r>
      <w:r w:rsidR="00AD6558" w:rsidRPr="00C74D34">
        <w:t>nterference</w:t>
      </w:r>
      <w:bookmarkEnd w:id="41"/>
    </w:p>
    <w:p w14:paraId="5957AB69" w14:textId="7CB0D505" w:rsidR="00C43952" w:rsidRPr="00C74D34" w:rsidRDefault="00C43952" w:rsidP="002D3AFF">
      <w:pPr>
        <w:spacing w:line="480" w:lineRule="auto"/>
      </w:pPr>
    </w:p>
    <w:p w14:paraId="13DA0988" w14:textId="3B109FC5" w:rsidR="00D7555B" w:rsidRPr="00C74D34" w:rsidRDefault="00D2625C" w:rsidP="002D03FA">
      <w:pPr>
        <w:ind w:firstLine="1440"/>
      </w:pPr>
      <w:r w:rsidRPr="00C74D34">
        <w:t xml:space="preserve">Per our </w:t>
      </w:r>
      <w:r w:rsidR="00112E93" w:rsidRPr="00C74D34">
        <w:t>discussion and disposition</w:t>
      </w:r>
      <w:r w:rsidRPr="00C74D34">
        <w:t xml:space="preserve"> of </w:t>
      </w:r>
      <w:proofErr w:type="spellStart"/>
      <w:r w:rsidR="00B11342" w:rsidRPr="00C74D34">
        <w:t>Transource’s</w:t>
      </w:r>
      <w:proofErr w:type="spellEnd"/>
      <w:r w:rsidR="00112E93" w:rsidRPr="00C74D34">
        <w:t xml:space="preserve"> </w:t>
      </w:r>
      <w:r w:rsidRPr="00C74D34">
        <w:t xml:space="preserve">Exception </w:t>
      </w:r>
      <w:r w:rsidR="00F90EAD" w:rsidRPr="00C74D34">
        <w:t xml:space="preserve">No. 1, </w:t>
      </w:r>
      <w:r w:rsidR="00E17A15" w:rsidRPr="00C74D34">
        <w:rPr>
          <w:i/>
          <w:iCs/>
        </w:rPr>
        <w:t>supra</w:t>
      </w:r>
      <w:r w:rsidR="00E17A15" w:rsidRPr="00C74D34">
        <w:t xml:space="preserve">., </w:t>
      </w:r>
      <w:r w:rsidR="00B62299" w:rsidRPr="00C74D34">
        <w:t xml:space="preserve">we have determined that </w:t>
      </w:r>
      <w:proofErr w:type="spellStart"/>
      <w:r w:rsidR="00B62299" w:rsidRPr="00C74D34">
        <w:t>Transource</w:t>
      </w:r>
      <w:proofErr w:type="spellEnd"/>
      <w:r w:rsidR="00B62299" w:rsidRPr="00C74D34">
        <w:t xml:space="preserve"> failed to </w:t>
      </w:r>
      <w:r w:rsidR="000852F3" w:rsidRPr="00C74D34">
        <w:t xml:space="preserve">carry the burden of </w:t>
      </w:r>
      <w:r w:rsidR="00873BB2" w:rsidRPr="00C74D34">
        <w:t>persuasion</w:t>
      </w:r>
      <w:r w:rsidR="000852F3" w:rsidRPr="00C74D34">
        <w:t xml:space="preserve"> </w:t>
      </w:r>
      <w:r w:rsidR="00873BB2" w:rsidRPr="00C74D34">
        <w:t xml:space="preserve">to </w:t>
      </w:r>
      <w:r w:rsidR="00B62299" w:rsidRPr="00C74D34">
        <w:t xml:space="preserve">establish need for the proposed siting Applications, </w:t>
      </w:r>
      <w:r w:rsidR="00F90EAD" w:rsidRPr="00C74D34">
        <w:t xml:space="preserve">pursuant to </w:t>
      </w:r>
      <w:r w:rsidR="004B2A19" w:rsidRPr="00C74D34">
        <w:t xml:space="preserve">Commission authority under Section 1501 of the Code and Commission Regulation </w:t>
      </w:r>
      <w:r w:rsidR="00856CB8" w:rsidRPr="00C74D34">
        <w:t xml:space="preserve">at </w:t>
      </w:r>
      <w:r w:rsidR="00B62299" w:rsidRPr="00C74D34">
        <w:t>5</w:t>
      </w:r>
      <w:r w:rsidR="00856CB8" w:rsidRPr="00C74D34">
        <w:t>2</w:t>
      </w:r>
      <w:r w:rsidR="00B62299" w:rsidRPr="00C74D34">
        <w:t xml:space="preserve"> Pa. Code Section</w:t>
      </w:r>
      <w:r w:rsidR="002D3AFF">
        <w:t> </w:t>
      </w:r>
      <w:r w:rsidR="00B62299" w:rsidRPr="00C74D34">
        <w:t>57.76</w:t>
      </w:r>
      <w:r w:rsidR="006116D6" w:rsidRPr="00C74D34">
        <w:t>(a)</w:t>
      </w:r>
      <w:r w:rsidR="00B62299" w:rsidRPr="00C74D34">
        <w:t>(1), by a preponderance of the evidence</w:t>
      </w:r>
      <w:r w:rsidR="004C44F5" w:rsidRPr="00C74D34">
        <w:t xml:space="preserve">. </w:t>
      </w:r>
      <w:r w:rsidR="006A4746" w:rsidRPr="00C74D34">
        <w:t xml:space="preserve"> </w:t>
      </w:r>
      <w:r w:rsidR="004C44F5" w:rsidRPr="00C74D34">
        <w:t xml:space="preserve">Therefore, </w:t>
      </w:r>
      <w:proofErr w:type="spellStart"/>
      <w:r w:rsidR="00B62299" w:rsidRPr="00C74D34">
        <w:t>Transource’s</w:t>
      </w:r>
      <w:proofErr w:type="spellEnd"/>
      <w:r w:rsidR="00B62299" w:rsidRPr="00C74D34">
        <w:t xml:space="preserve"> Exception No. 4, pertaining to an alleged </w:t>
      </w:r>
      <w:r w:rsidR="00D7555B" w:rsidRPr="00C74D34">
        <w:t>error of fact which is immaterial to our determination</w:t>
      </w:r>
      <w:r w:rsidR="00B62299" w:rsidRPr="00C74D34">
        <w:t xml:space="preserve">, is rendered moot.  </w:t>
      </w:r>
    </w:p>
    <w:p w14:paraId="26993269" w14:textId="77777777" w:rsidR="00D7555B" w:rsidRPr="00C74D34" w:rsidRDefault="00D7555B" w:rsidP="002D03FA"/>
    <w:p w14:paraId="65CC4C94" w14:textId="41BC5BA3" w:rsidR="00F71857" w:rsidRPr="00C74D34" w:rsidRDefault="00D7555B" w:rsidP="002D03FA">
      <w:pPr>
        <w:ind w:firstLine="1440"/>
      </w:pPr>
      <w:r w:rsidRPr="00C74D34">
        <w:t xml:space="preserve">However, </w:t>
      </w:r>
      <w:r w:rsidR="00B57369" w:rsidRPr="00C74D34">
        <w:t xml:space="preserve">under </w:t>
      </w:r>
      <w:r w:rsidR="00586260" w:rsidRPr="00C74D34">
        <w:t xml:space="preserve">the circumstances </w:t>
      </w:r>
      <w:r w:rsidRPr="00C74D34">
        <w:t xml:space="preserve">we shall consider the </w:t>
      </w:r>
      <w:r w:rsidR="004263E6" w:rsidRPr="00C74D34">
        <w:t>Exception</w:t>
      </w:r>
      <w:r w:rsidR="00DC46C1" w:rsidRPr="00C74D34">
        <w:t xml:space="preserve">.  Although we </w:t>
      </w:r>
      <w:r w:rsidR="00BF71AA" w:rsidRPr="00C74D34">
        <w:t>conclude th</w:t>
      </w:r>
      <w:r w:rsidR="003E55DC" w:rsidRPr="00C74D34">
        <w:t xml:space="preserve">e disputed </w:t>
      </w:r>
      <w:r w:rsidR="00BF71AA" w:rsidRPr="00C74D34">
        <w:t>factual finding to be immaterial to our disposition of the question of</w:t>
      </w:r>
      <w:r w:rsidR="003E55DC" w:rsidRPr="00C74D34">
        <w:t xml:space="preserve"> “</w:t>
      </w:r>
      <w:r w:rsidR="00BF71AA" w:rsidRPr="00C74D34">
        <w:t>need</w:t>
      </w:r>
      <w:r w:rsidR="003E55DC" w:rsidRPr="00C74D34">
        <w:t>”</w:t>
      </w:r>
      <w:r w:rsidR="00BF71AA" w:rsidRPr="00C74D34">
        <w:t xml:space="preserve"> under </w:t>
      </w:r>
      <w:proofErr w:type="spellStart"/>
      <w:r w:rsidR="00BF71AA" w:rsidRPr="00C74D34">
        <w:t>Transource’s</w:t>
      </w:r>
      <w:proofErr w:type="spellEnd"/>
      <w:r w:rsidR="00BF71AA" w:rsidRPr="00C74D34">
        <w:t xml:space="preserve"> Exception No. 1, </w:t>
      </w:r>
      <w:r w:rsidR="003E55DC" w:rsidRPr="00C74D34">
        <w:rPr>
          <w:i/>
          <w:iCs/>
        </w:rPr>
        <w:t>supra.</w:t>
      </w:r>
      <w:r w:rsidR="003E55DC" w:rsidRPr="00C74D34">
        <w:t xml:space="preserve">, </w:t>
      </w:r>
      <w:r w:rsidR="00EF120A" w:rsidRPr="00C74D34">
        <w:t xml:space="preserve">we shall review </w:t>
      </w:r>
      <w:proofErr w:type="spellStart"/>
      <w:r w:rsidR="00EF120A" w:rsidRPr="00C74D34">
        <w:t>Transource’s</w:t>
      </w:r>
      <w:proofErr w:type="spellEnd"/>
      <w:r w:rsidR="00EF120A" w:rsidRPr="00C74D34">
        <w:t xml:space="preserve"> Exception No. </w:t>
      </w:r>
      <w:r w:rsidR="00E145E6" w:rsidRPr="00C74D34">
        <w:t>4,</w:t>
      </w:r>
      <w:r w:rsidR="00EF120A" w:rsidRPr="00C74D34">
        <w:t xml:space="preserve"> </w:t>
      </w:r>
      <w:r w:rsidR="006116D6" w:rsidRPr="00C74D34">
        <w:t xml:space="preserve">for the </w:t>
      </w:r>
      <w:r w:rsidR="00EF120A" w:rsidRPr="00C74D34">
        <w:t xml:space="preserve">limited </w:t>
      </w:r>
      <w:r w:rsidR="006116D6" w:rsidRPr="00C74D34">
        <w:t>p</w:t>
      </w:r>
      <w:r w:rsidR="00DC46C1" w:rsidRPr="00C74D34">
        <w:t xml:space="preserve">urpose of clarification of </w:t>
      </w:r>
      <w:r w:rsidR="004263E6" w:rsidRPr="00C74D34">
        <w:t>the ALJ’s factual finding</w:t>
      </w:r>
      <w:r w:rsidR="00F71857" w:rsidRPr="00C74D34">
        <w:t xml:space="preserve">, No </w:t>
      </w:r>
      <w:r w:rsidR="008F7A73" w:rsidRPr="00C74D34">
        <w:t>212</w:t>
      </w:r>
      <w:r w:rsidR="00F71857" w:rsidRPr="00C74D34">
        <w:t xml:space="preserve">., </w:t>
      </w:r>
      <w:r w:rsidR="00F87292" w:rsidRPr="00C74D34">
        <w:t>which states</w:t>
      </w:r>
      <w:r w:rsidR="00F71857" w:rsidRPr="00C74D34">
        <w:t xml:space="preserve">: </w:t>
      </w:r>
    </w:p>
    <w:p w14:paraId="26CA5FBF" w14:textId="3CC7E30D" w:rsidR="008F7A73" w:rsidRPr="00C74D34" w:rsidRDefault="008F7A73" w:rsidP="002D3AFF">
      <w:pPr>
        <w:pStyle w:val="TOCH3"/>
        <w:numPr>
          <w:ilvl w:val="0"/>
          <w:numId w:val="0"/>
        </w:numPr>
        <w:ind w:firstLine="1440"/>
        <w:rPr>
          <w:b w:val="0"/>
          <w:bCs w:val="0"/>
        </w:rPr>
      </w:pPr>
    </w:p>
    <w:p w14:paraId="5B5E3A32" w14:textId="445015EF" w:rsidR="008F7A73" w:rsidRPr="00C74D34" w:rsidRDefault="00FA06D0" w:rsidP="002D03FA">
      <w:pPr>
        <w:spacing w:line="240" w:lineRule="auto"/>
        <w:ind w:left="1440" w:right="1440" w:firstLine="720"/>
      </w:pPr>
      <w:r w:rsidRPr="00C74D34">
        <w:t xml:space="preserve">Mr. and </w:t>
      </w:r>
      <w:r w:rsidR="00B11342" w:rsidRPr="00C74D34">
        <w:t>Mrs.</w:t>
      </w:r>
      <w:r w:rsidRPr="00C74D34">
        <w:t xml:space="preserve"> Rice’s tractors are steered by GPS, and they will likely become unreliable </w:t>
      </w:r>
      <w:r w:rsidR="002C60A2" w:rsidRPr="00C74D34">
        <w:t xml:space="preserve">if </w:t>
      </w:r>
      <w:proofErr w:type="spellStart"/>
      <w:r w:rsidR="002C60A2" w:rsidRPr="00C74D34">
        <w:t>Transource</w:t>
      </w:r>
      <w:proofErr w:type="spellEnd"/>
      <w:r w:rsidR="002C60A2" w:rsidRPr="00C74D34">
        <w:t xml:space="preserve"> builds transmission lines over their p</w:t>
      </w:r>
      <w:r w:rsidR="007D3BE7" w:rsidRPr="00C74D34">
        <w:t>ro</w:t>
      </w:r>
      <w:r w:rsidR="002C60A2" w:rsidRPr="00C74D34">
        <w:t xml:space="preserve">perty. </w:t>
      </w:r>
    </w:p>
    <w:p w14:paraId="06A5434F" w14:textId="77777777" w:rsidR="00F71857" w:rsidRPr="00C74D34" w:rsidRDefault="00F71857" w:rsidP="002D03FA">
      <w:pPr>
        <w:pStyle w:val="TOCH3"/>
        <w:numPr>
          <w:ilvl w:val="0"/>
          <w:numId w:val="0"/>
        </w:numPr>
        <w:spacing w:line="360" w:lineRule="auto"/>
        <w:ind w:firstLine="1440"/>
        <w:rPr>
          <w:b w:val="0"/>
          <w:bCs w:val="0"/>
        </w:rPr>
      </w:pPr>
    </w:p>
    <w:p w14:paraId="457E3B62" w14:textId="28DDDDB7" w:rsidR="00C7319C" w:rsidRPr="00C74D34" w:rsidRDefault="00F71857" w:rsidP="002D03FA">
      <w:r w:rsidRPr="00C74D34">
        <w:t>R.D. at</w:t>
      </w:r>
      <w:r w:rsidR="007D3BE7" w:rsidRPr="00C74D34">
        <w:t xml:space="preserve"> </w:t>
      </w:r>
      <w:r w:rsidR="00F87292" w:rsidRPr="00C74D34">
        <w:t>46, FOF No. 212.</w:t>
      </w:r>
      <w:r w:rsidR="004263E6" w:rsidRPr="00C74D34">
        <w:t xml:space="preserve">  </w:t>
      </w:r>
    </w:p>
    <w:p w14:paraId="4EA4954E" w14:textId="77777777" w:rsidR="00C7319C" w:rsidRPr="00C74D34" w:rsidRDefault="00C7319C" w:rsidP="002D03FA"/>
    <w:p w14:paraId="1BAF29FC" w14:textId="0A19335B" w:rsidR="008C1B8E" w:rsidRPr="00C74D34" w:rsidRDefault="004263E6" w:rsidP="002D03FA">
      <w:pPr>
        <w:ind w:firstLine="1440"/>
      </w:pPr>
      <w:r w:rsidRPr="00C74D34">
        <w:t xml:space="preserve">We agree with </w:t>
      </w:r>
      <w:proofErr w:type="spellStart"/>
      <w:r w:rsidRPr="00C74D34">
        <w:t>Transource</w:t>
      </w:r>
      <w:proofErr w:type="spellEnd"/>
      <w:r w:rsidRPr="00C74D34">
        <w:t xml:space="preserve"> that, to the extent </w:t>
      </w:r>
      <w:r w:rsidR="00D67BC1" w:rsidRPr="00C74D34">
        <w:t>Finding of Fact No.</w:t>
      </w:r>
      <w:r w:rsidR="00F87292" w:rsidRPr="00C74D34">
        <w:t xml:space="preserve"> 212</w:t>
      </w:r>
      <w:r w:rsidR="00D67BC1" w:rsidRPr="00C74D34">
        <w:t xml:space="preserve"> may be read to</w:t>
      </w:r>
      <w:r w:rsidR="00D052EF" w:rsidRPr="00C74D34">
        <w:t xml:space="preserve"> </w:t>
      </w:r>
      <w:r w:rsidR="00D67BC1" w:rsidRPr="00C74D34">
        <w:t xml:space="preserve">establish that a lay person’s </w:t>
      </w:r>
      <w:r w:rsidR="00432883" w:rsidRPr="00C74D34">
        <w:t>testimony of personal experience regarding the use of technical equipment</w:t>
      </w:r>
      <w:r w:rsidR="007F1506" w:rsidRPr="00C74D34">
        <w:t xml:space="preserve">, such as </w:t>
      </w:r>
      <w:r w:rsidR="00382BBE" w:rsidRPr="00C74D34">
        <w:t xml:space="preserve">a tractor’s </w:t>
      </w:r>
      <w:r w:rsidR="007F1506" w:rsidRPr="00C74D34">
        <w:t xml:space="preserve">GPS, </w:t>
      </w:r>
      <w:r w:rsidR="00D052EF" w:rsidRPr="00C74D34">
        <w:t xml:space="preserve">may be relied upon to establish the </w:t>
      </w:r>
      <w:r w:rsidR="008251C7" w:rsidRPr="00C74D34">
        <w:t xml:space="preserve">general </w:t>
      </w:r>
      <w:r w:rsidR="00D052EF" w:rsidRPr="00C74D34">
        <w:t>technical efficacy of the equipment, it is in error.</w:t>
      </w:r>
      <w:r w:rsidR="009B0501" w:rsidRPr="00C74D34">
        <w:t xml:space="preserve">  </w:t>
      </w:r>
      <w:r w:rsidR="001775F8" w:rsidRPr="00C74D34">
        <w:t xml:space="preserve">Pursuant to </w:t>
      </w:r>
      <w:r w:rsidR="003F1D54" w:rsidRPr="00C74D34">
        <w:t xml:space="preserve">Rule 701 </w:t>
      </w:r>
      <w:r w:rsidR="00543822" w:rsidRPr="00C74D34">
        <w:t xml:space="preserve">of </w:t>
      </w:r>
      <w:r w:rsidR="00487713" w:rsidRPr="00C74D34">
        <w:t>the Pennsylvania Rules of Evidence</w:t>
      </w:r>
      <w:r w:rsidR="00543822" w:rsidRPr="00C74D34">
        <w:t xml:space="preserve"> (pertaining to lay witness testimony)</w:t>
      </w:r>
      <w:r w:rsidR="00487713" w:rsidRPr="00C74D34">
        <w:t>, a</w:t>
      </w:r>
      <w:r w:rsidR="009B0501" w:rsidRPr="00C74D34">
        <w:t xml:space="preserve"> lay witness’ testimony is sufficient to establish a credible account of the witness’</w:t>
      </w:r>
      <w:r w:rsidR="004F56C2" w:rsidRPr="00C74D34">
        <w:t xml:space="preserve"> personal experience </w:t>
      </w:r>
      <w:r w:rsidR="004F56C2" w:rsidRPr="00C74D34">
        <w:lastRenderedPageBreak/>
        <w:t xml:space="preserve">with or belief regarding the </w:t>
      </w:r>
      <w:r w:rsidR="008251C7" w:rsidRPr="00C74D34">
        <w:t>witness’ exp</w:t>
      </w:r>
      <w:r w:rsidR="00E51FBA" w:rsidRPr="00C74D34">
        <w:t xml:space="preserve">erience using the </w:t>
      </w:r>
      <w:r w:rsidR="004F56C2" w:rsidRPr="00C74D34">
        <w:t xml:space="preserve">technical equipment, but it may not </w:t>
      </w:r>
      <w:r w:rsidR="006F7286" w:rsidRPr="00C74D34">
        <w:t xml:space="preserve">be </w:t>
      </w:r>
      <w:r w:rsidR="00D9005E" w:rsidRPr="00C74D34">
        <w:t>relied upon for specialized technical knowledge</w:t>
      </w:r>
      <w:r w:rsidR="00ED1186" w:rsidRPr="00C74D34">
        <w:t xml:space="preserve">. </w:t>
      </w:r>
      <w:r w:rsidR="00D052EF" w:rsidRPr="00C74D34">
        <w:t xml:space="preserve"> </w:t>
      </w:r>
      <w:r w:rsidR="00ED1186" w:rsidRPr="00C74D34">
        <w:t>Rule 701 provides:</w:t>
      </w:r>
    </w:p>
    <w:p w14:paraId="29EA6637" w14:textId="77777777" w:rsidR="008C1B8E" w:rsidRPr="00C74D34" w:rsidRDefault="008C1B8E" w:rsidP="002D03FA">
      <w:pPr>
        <w:spacing w:line="240" w:lineRule="auto"/>
        <w:ind w:left="1440" w:right="1440"/>
        <w:contextualSpacing/>
        <w:rPr>
          <w:b/>
          <w:color w:val="auto"/>
          <w:szCs w:val="26"/>
        </w:rPr>
      </w:pPr>
    </w:p>
    <w:p w14:paraId="20601244" w14:textId="77777777" w:rsidR="008C1B8E" w:rsidRPr="00C74D34" w:rsidRDefault="008C1B8E" w:rsidP="002D03FA">
      <w:pPr>
        <w:spacing w:line="240" w:lineRule="auto"/>
        <w:ind w:left="1440" w:right="1440"/>
        <w:contextualSpacing/>
        <w:rPr>
          <w:color w:val="auto"/>
          <w:szCs w:val="26"/>
        </w:rPr>
      </w:pPr>
      <w:r w:rsidRPr="00C74D34">
        <w:rPr>
          <w:color w:val="auto"/>
          <w:szCs w:val="26"/>
        </w:rPr>
        <w:tab/>
        <w:t xml:space="preserve">If the witness is not testifying as an expert, the witness’ testimony in the form of opinions or inferences is limited to those opinions or inferences which are rationally based on the perception of the witness, helpful to a clear understanding of the witness’ testimony or the determination of a fact in issue, and </w:t>
      </w:r>
      <w:r w:rsidRPr="00C74D34">
        <w:rPr>
          <w:i/>
          <w:iCs/>
          <w:color w:val="auto"/>
          <w:szCs w:val="26"/>
        </w:rPr>
        <w:t>not based on scientific, technical, or other specialized knowledge within the scope of Rule 702</w:t>
      </w:r>
      <w:r w:rsidRPr="00C74D34">
        <w:rPr>
          <w:color w:val="auto"/>
          <w:szCs w:val="26"/>
        </w:rPr>
        <w:t>.</w:t>
      </w:r>
    </w:p>
    <w:p w14:paraId="20A97CB8" w14:textId="77777777" w:rsidR="008C1B8E" w:rsidRPr="00C74D34" w:rsidRDefault="008C1B8E" w:rsidP="002D03FA">
      <w:pPr>
        <w:contextualSpacing/>
        <w:rPr>
          <w:color w:val="auto"/>
          <w:szCs w:val="26"/>
        </w:rPr>
      </w:pPr>
    </w:p>
    <w:p w14:paraId="67516574" w14:textId="1AE868BC" w:rsidR="00341A73" w:rsidRPr="00C74D34" w:rsidRDefault="00341A73" w:rsidP="002D03FA">
      <w:pPr>
        <w:contextualSpacing/>
        <w:rPr>
          <w:color w:val="auto"/>
          <w:szCs w:val="26"/>
        </w:rPr>
      </w:pPr>
      <w:r w:rsidRPr="00C74D34">
        <w:rPr>
          <w:szCs w:val="26"/>
        </w:rPr>
        <w:t>Rule 701 (emphasis added).</w:t>
      </w:r>
      <w:r w:rsidRPr="00C74D34">
        <w:rPr>
          <w:b/>
          <w:bCs/>
          <w:szCs w:val="26"/>
        </w:rPr>
        <w:t xml:space="preserve">  </w:t>
      </w:r>
      <w:r w:rsidRPr="00C74D34">
        <w:rPr>
          <w:color w:val="auto"/>
          <w:szCs w:val="26"/>
        </w:rPr>
        <w:t xml:space="preserve">The definition of “expert” is “whether the witness has any reasonable pretension to specialized knowledge on the subject under investigation.  If he does, he may testify and the weight to be given such testimony is for the trier of fact to determine.”  </w:t>
      </w:r>
      <w:r w:rsidRPr="00C74D34">
        <w:rPr>
          <w:i/>
          <w:color w:val="auto"/>
          <w:szCs w:val="26"/>
        </w:rPr>
        <w:t>Miller v. Brass Rail Tavern, Inc.</w:t>
      </w:r>
      <w:r w:rsidRPr="002D3AFF">
        <w:rPr>
          <w:iCs/>
          <w:color w:val="auto"/>
          <w:szCs w:val="26"/>
        </w:rPr>
        <w:t>,</w:t>
      </w:r>
      <w:r w:rsidRPr="00C74D34">
        <w:rPr>
          <w:color w:val="auto"/>
          <w:szCs w:val="26"/>
        </w:rPr>
        <w:t xml:space="preserve"> 541 Pa. 474, 480-481, 664 A.2d 525, 528 (1995).</w:t>
      </w:r>
      <w:r w:rsidR="009D5619" w:rsidRPr="00C74D34">
        <w:rPr>
          <w:color w:val="auto"/>
          <w:szCs w:val="26"/>
        </w:rPr>
        <w:t xml:space="preserve">  </w:t>
      </w:r>
    </w:p>
    <w:p w14:paraId="6279CC87" w14:textId="75A84DCD" w:rsidR="009D5619" w:rsidRPr="00C74D34" w:rsidRDefault="009D5619" w:rsidP="002D03FA">
      <w:pPr>
        <w:contextualSpacing/>
        <w:rPr>
          <w:color w:val="auto"/>
          <w:szCs w:val="26"/>
        </w:rPr>
      </w:pPr>
    </w:p>
    <w:p w14:paraId="54BDADDA" w14:textId="0EE85C5D" w:rsidR="009D5619" w:rsidRPr="00C74D34" w:rsidRDefault="009D5619" w:rsidP="002D03FA">
      <w:pPr>
        <w:contextualSpacing/>
        <w:rPr>
          <w:color w:val="auto"/>
          <w:szCs w:val="26"/>
        </w:rPr>
      </w:pPr>
      <w:r w:rsidRPr="00C74D34">
        <w:rPr>
          <w:color w:val="auto"/>
          <w:szCs w:val="26"/>
        </w:rPr>
        <w:tab/>
      </w:r>
      <w:r w:rsidRPr="00C74D34">
        <w:rPr>
          <w:color w:val="auto"/>
          <w:szCs w:val="26"/>
        </w:rPr>
        <w:tab/>
        <w:t xml:space="preserve">In the present circumstances, the lay witness testified to their personal experience using the GPS </w:t>
      </w:r>
      <w:r w:rsidR="005F13C0" w:rsidRPr="00C74D34">
        <w:rPr>
          <w:color w:val="auto"/>
          <w:szCs w:val="26"/>
        </w:rPr>
        <w:t>systems associated with their farming equipment.  This evidence is relevant</w:t>
      </w:r>
      <w:r w:rsidR="00C3241D" w:rsidRPr="00C74D34">
        <w:rPr>
          <w:color w:val="auto"/>
          <w:szCs w:val="26"/>
        </w:rPr>
        <w:t xml:space="preserve"> and may be accepted as credible </w:t>
      </w:r>
      <w:r w:rsidR="005F13C0" w:rsidRPr="00C74D34">
        <w:rPr>
          <w:color w:val="auto"/>
          <w:szCs w:val="26"/>
        </w:rPr>
        <w:t xml:space="preserve">as a factual matter to that </w:t>
      </w:r>
      <w:r w:rsidR="005D3BA9" w:rsidRPr="00C74D34">
        <w:rPr>
          <w:color w:val="auto"/>
          <w:szCs w:val="26"/>
        </w:rPr>
        <w:t>party’s personal experience and belief regarding possible interference with GPS</w:t>
      </w:r>
      <w:r w:rsidR="00737030" w:rsidRPr="00C74D34">
        <w:rPr>
          <w:color w:val="auto"/>
          <w:szCs w:val="26"/>
        </w:rPr>
        <w:t xml:space="preserve"> by the proposed HV transmission lines, but in no way constitutes expert testimony on the technical </w:t>
      </w:r>
      <w:r w:rsidR="002270BF" w:rsidRPr="00C74D34">
        <w:rPr>
          <w:color w:val="auto"/>
          <w:szCs w:val="26"/>
        </w:rPr>
        <w:t xml:space="preserve">and specialized knowledge associated with the operation of equipment utilizing GPS </w:t>
      </w:r>
      <w:r w:rsidR="00C3241D" w:rsidRPr="00C74D34">
        <w:rPr>
          <w:color w:val="auto"/>
          <w:szCs w:val="26"/>
        </w:rPr>
        <w:t>technology.</w:t>
      </w:r>
      <w:r w:rsidR="00842B07" w:rsidRPr="00C74D34">
        <w:rPr>
          <w:color w:val="auto"/>
          <w:szCs w:val="26"/>
        </w:rPr>
        <w:t xml:space="preserve">  To the extent the ALJ’s Finding accepted the </w:t>
      </w:r>
      <w:r w:rsidR="008C1C4B" w:rsidRPr="00C74D34">
        <w:rPr>
          <w:color w:val="auto"/>
          <w:szCs w:val="26"/>
        </w:rPr>
        <w:t xml:space="preserve">lay witness testimony as expert opinion on the technical capability of </w:t>
      </w:r>
      <w:r w:rsidR="00E661D8" w:rsidRPr="00C74D34">
        <w:rPr>
          <w:color w:val="auto"/>
          <w:szCs w:val="26"/>
        </w:rPr>
        <w:t xml:space="preserve">GPS systems, it is rejected and stricken. </w:t>
      </w:r>
    </w:p>
    <w:p w14:paraId="4129817C" w14:textId="77777777" w:rsidR="00583AA1" w:rsidRPr="00C74D34" w:rsidRDefault="00583AA1" w:rsidP="002D03FA">
      <w:pPr>
        <w:pStyle w:val="TOCH3"/>
        <w:numPr>
          <w:ilvl w:val="0"/>
          <w:numId w:val="0"/>
        </w:numPr>
        <w:spacing w:line="360" w:lineRule="auto"/>
        <w:ind w:firstLine="1440"/>
        <w:rPr>
          <w:b w:val="0"/>
          <w:bCs w:val="0"/>
        </w:rPr>
      </w:pPr>
    </w:p>
    <w:p w14:paraId="77A81F47" w14:textId="15DDA17F" w:rsidR="00B62299" w:rsidRPr="00C74D34" w:rsidRDefault="00B62299" w:rsidP="002D03FA">
      <w:pPr>
        <w:ind w:firstLine="1440"/>
      </w:pPr>
      <w:r w:rsidRPr="00C74D34">
        <w:t xml:space="preserve">Therefore, we shall </w:t>
      </w:r>
      <w:r w:rsidR="00583AA1" w:rsidRPr="00C74D34">
        <w:t xml:space="preserve">grant </w:t>
      </w:r>
      <w:proofErr w:type="spellStart"/>
      <w:r w:rsidR="00583AA1" w:rsidRPr="00C74D34">
        <w:t>Transource’s</w:t>
      </w:r>
      <w:proofErr w:type="spellEnd"/>
      <w:r w:rsidR="00583AA1" w:rsidRPr="00C74D34">
        <w:t xml:space="preserve"> </w:t>
      </w:r>
      <w:r w:rsidRPr="00C74D34">
        <w:t>Exception</w:t>
      </w:r>
      <w:r w:rsidR="00E661D8" w:rsidRPr="00C74D34">
        <w:t xml:space="preserve"> No. 4, </w:t>
      </w:r>
      <w:r w:rsidR="00583AA1" w:rsidRPr="00C74D34">
        <w:t>and strike Finding of Fact</w:t>
      </w:r>
      <w:r w:rsidR="00E661D8" w:rsidRPr="00C74D34">
        <w:t xml:space="preserve"> No.</w:t>
      </w:r>
      <w:r w:rsidR="00F94EED" w:rsidRPr="00C74D34">
        <w:t xml:space="preserve"> 212</w:t>
      </w:r>
      <w:r w:rsidRPr="00C74D34">
        <w:t xml:space="preserve">.  </w:t>
      </w:r>
    </w:p>
    <w:p w14:paraId="5285F22A" w14:textId="77777777" w:rsidR="00B62299" w:rsidRPr="00C74D34" w:rsidRDefault="00B62299" w:rsidP="002D03FA"/>
    <w:p w14:paraId="3B743AC3" w14:textId="26A90255" w:rsidR="00A832F2" w:rsidRPr="00C74D34" w:rsidRDefault="00A832F2" w:rsidP="002D3AFF">
      <w:pPr>
        <w:pStyle w:val="TOCH3"/>
        <w:keepNext/>
        <w:numPr>
          <w:ilvl w:val="0"/>
          <w:numId w:val="32"/>
        </w:numPr>
        <w:ind w:left="1440" w:hanging="720"/>
      </w:pPr>
      <w:bookmarkStart w:id="42" w:name="_Toc70516619"/>
      <w:proofErr w:type="spellStart"/>
      <w:r w:rsidRPr="00C74D34">
        <w:lastRenderedPageBreak/>
        <w:t>Transource</w:t>
      </w:r>
      <w:proofErr w:type="spellEnd"/>
      <w:r w:rsidRPr="00C74D34">
        <w:t xml:space="preserve"> Exception No. 5: </w:t>
      </w:r>
      <w:r w:rsidR="00885BAE" w:rsidRPr="00C74D34">
        <w:t xml:space="preserve"> </w:t>
      </w:r>
      <w:proofErr w:type="spellStart"/>
      <w:r w:rsidRPr="00C74D34">
        <w:t>Transource’s</w:t>
      </w:r>
      <w:proofErr w:type="spellEnd"/>
      <w:r w:rsidRPr="00C74D34">
        <w:t xml:space="preserve"> </w:t>
      </w:r>
      <w:r w:rsidR="00774BAD" w:rsidRPr="00C74D34">
        <w:t xml:space="preserve">Certificate of </w:t>
      </w:r>
      <w:r w:rsidRPr="00C74D34">
        <w:t>P</w:t>
      </w:r>
      <w:r w:rsidR="00774BAD" w:rsidRPr="00C74D34">
        <w:t xml:space="preserve">ublic </w:t>
      </w:r>
      <w:r w:rsidRPr="00C74D34">
        <w:t>C</w:t>
      </w:r>
      <w:r w:rsidR="00774BAD" w:rsidRPr="00C74D34">
        <w:t>onvenience</w:t>
      </w:r>
      <w:r w:rsidRPr="00C74D34">
        <w:t xml:space="preserve"> </w:t>
      </w:r>
      <w:r w:rsidR="002D3AFF">
        <w:t>S</w:t>
      </w:r>
      <w:r w:rsidRPr="00C74D34">
        <w:t xml:space="preserve">hould </w:t>
      </w:r>
      <w:r w:rsidR="002D3AFF">
        <w:t>N</w:t>
      </w:r>
      <w:r w:rsidRPr="00C74D34">
        <w:t xml:space="preserve">ot </w:t>
      </w:r>
      <w:r w:rsidR="002D3AFF">
        <w:t>B</w:t>
      </w:r>
      <w:r w:rsidRPr="00C74D34">
        <w:t xml:space="preserve">e </w:t>
      </w:r>
      <w:r w:rsidR="002D3AFF">
        <w:t>R</w:t>
      </w:r>
      <w:r w:rsidRPr="00C74D34">
        <w:t>escinded</w:t>
      </w:r>
      <w:bookmarkEnd w:id="42"/>
      <w:r w:rsidRPr="00C74D34">
        <w:t xml:space="preserve"> </w:t>
      </w:r>
    </w:p>
    <w:p w14:paraId="78B1F981" w14:textId="30E6FC3E" w:rsidR="00502E52" w:rsidRPr="00C74D34" w:rsidRDefault="00502E52" w:rsidP="002D3AFF">
      <w:pPr>
        <w:keepNext/>
        <w:spacing w:line="480" w:lineRule="auto"/>
      </w:pPr>
    </w:p>
    <w:p w14:paraId="1838121F" w14:textId="21EEB810" w:rsidR="006915D0" w:rsidRPr="00C74D34" w:rsidRDefault="006915D0" w:rsidP="001B42C3">
      <w:pPr>
        <w:ind w:firstLine="1440"/>
        <w:rPr>
          <w:color w:val="auto"/>
          <w:szCs w:val="26"/>
        </w:rPr>
      </w:pPr>
      <w:proofErr w:type="spellStart"/>
      <w:r w:rsidRPr="00C74D34">
        <w:rPr>
          <w:color w:val="auto"/>
          <w:szCs w:val="26"/>
        </w:rPr>
        <w:t>Transource’s</w:t>
      </w:r>
      <w:proofErr w:type="spellEnd"/>
      <w:r w:rsidRPr="00C74D34">
        <w:rPr>
          <w:color w:val="auto"/>
          <w:szCs w:val="26"/>
        </w:rPr>
        <w:t xml:space="preserve"> Exception </w:t>
      </w:r>
      <w:r w:rsidR="00641692" w:rsidRPr="00C74D34">
        <w:rPr>
          <w:color w:val="auto"/>
          <w:szCs w:val="26"/>
        </w:rPr>
        <w:t xml:space="preserve">No. 5 takes issue with the ALJ’s recommendation that a Rule to </w:t>
      </w:r>
      <w:r w:rsidR="00B537F2" w:rsidRPr="00C74D34">
        <w:rPr>
          <w:color w:val="auto"/>
          <w:szCs w:val="26"/>
        </w:rPr>
        <w:t xml:space="preserve">Show Cause should </w:t>
      </w:r>
      <w:r w:rsidR="00885BAE" w:rsidRPr="00C74D34">
        <w:rPr>
          <w:color w:val="auto"/>
          <w:szCs w:val="26"/>
        </w:rPr>
        <w:t xml:space="preserve">be </w:t>
      </w:r>
      <w:r w:rsidR="00B537F2" w:rsidRPr="00C74D34">
        <w:rPr>
          <w:color w:val="auto"/>
          <w:szCs w:val="26"/>
        </w:rPr>
        <w:t>issue</w:t>
      </w:r>
      <w:r w:rsidR="00885BAE" w:rsidRPr="00C74D34">
        <w:rPr>
          <w:color w:val="auto"/>
          <w:szCs w:val="26"/>
        </w:rPr>
        <w:t>d</w:t>
      </w:r>
      <w:r w:rsidR="00B537F2" w:rsidRPr="00C74D34">
        <w:rPr>
          <w:color w:val="auto"/>
          <w:szCs w:val="26"/>
        </w:rPr>
        <w:t xml:space="preserve"> on why </w:t>
      </w:r>
      <w:proofErr w:type="spellStart"/>
      <w:r w:rsidR="00B537F2" w:rsidRPr="00C74D34">
        <w:rPr>
          <w:color w:val="auto"/>
          <w:szCs w:val="26"/>
        </w:rPr>
        <w:t>Transource’s</w:t>
      </w:r>
      <w:proofErr w:type="spellEnd"/>
      <w:r w:rsidR="00B537F2" w:rsidRPr="00C74D34">
        <w:rPr>
          <w:color w:val="auto"/>
          <w:szCs w:val="26"/>
        </w:rPr>
        <w:t xml:space="preserve"> CPC should not be rescinded</w:t>
      </w:r>
      <w:r w:rsidR="000E2454" w:rsidRPr="00C74D34">
        <w:rPr>
          <w:color w:val="auto"/>
          <w:szCs w:val="26"/>
        </w:rPr>
        <w:t xml:space="preserve">.  </w:t>
      </w:r>
      <w:proofErr w:type="spellStart"/>
      <w:r w:rsidR="00A6217A" w:rsidRPr="00C74D34">
        <w:rPr>
          <w:color w:val="auto"/>
          <w:szCs w:val="26"/>
        </w:rPr>
        <w:t>Transource</w:t>
      </w:r>
      <w:proofErr w:type="spellEnd"/>
      <w:r w:rsidR="00A6217A" w:rsidRPr="00C74D34">
        <w:rPr>
          <w:color w:val="auto"/>
          <w:szCs w:val="26"/>
        </w:rPr>
        <w:t xml:space="preserve"> Exc. at </w:t>
      </w:r>
      <w:r w:rsidR="00501DBE" w:rsidRPr="00C74D34">
        <w:rPr>
          <w:color w:val="auto"/>
          <w:szCs w:val="26"/>
        </w:rPr>
        <w:t>38</w:t>
      </w:r>
      <w:r w:rsidR="00F36E56" w:rsidRPr="00C74D34">
        <w:rPr>
          <w:color w:val="auto"/>
          <w:szCs w:val="26"/>
        </w:rPr>
        <w:t xml:space="preserve">.  </w:t>
      </w:r>
      <w:r w:rsidR="000E2454" w:rsidRPr="00C74D34">
        <w:rPr>
          <w:color w:val="auto"/>
          <w:szCs w:val="26"/>
        </w:rPr>
        <w:t xml:space="preserve">Thus, the Exception </w:t>
      </w:r>
      <w:r w:rsidR="00641692" w:rsidRPr="00C74D34">
        <w:rPr>
          <w:color w:val="auto"/>
          <w:szCs w:val="26"/>
        </w:rPr>
        <w:t xml:space="preserve">presents the question </w:t>
      </w:r>
      <w:r w:rsidR="006E6872" w:rsidRPr="00C74D34">
        <w:rPr>
          <w:color w:val="auto"/>
          <w:szCs w:val="26"/>
        </w:rPr>
        <w:t xml:space="preserve">whether </w:t>
      </w:r>
      <w:proofErr w:type="spellStart"/>
      <w:r w:rsidRPr="00C74D34">
        <w:rPr>
          <w:color w:val="auto"/>
          <w:szCs w:val="26"/>
        </w:rPr>
        <w:t>Transource</w:t>
      </w:r>
      <w:proofErr w:type="spellEnd"/>
      <w:r w:rsidRPr="00C74D34">
        <w:rPr>
          <w:color w:val="auto"/>
          <w:szCs w:val="26"/>
        </w:rPr>
        <w:t xml:space="preserve"> is entitle</w:t>
      </w:r>
      <w:r w:rsidR="006E6872" w:rsidRPr="00C74D34">
        <w:rPr>
          <w:color w:val="auto"/>
          <w:szCs w:val="26"/>
        </w:rPr>
        <w:t>d</w:t>
      </w:r>
      <w:r w:rsidRPr="00C74D34">
        <w:rPr>
          <w:color w:val="auto"/>
          <w:szCs w:val="26"/>
        </w:rPr>
        <w:t xml:space="preserve"> to retain an active CPC, based on need, </w:t>
      </w:r>
      <w:r w:rsidR="001871E9" w:rsidRPr="00C74D34">
        <w:rPr>
          <w:color w:val="auto"/>
          <w:szCs w:val="26"/>
        </w:rPr>
        <w:t xml:space="preserve">where </w:t>
      </w:r>
      <w:r w:rsidRPr="00C74D34">
        <w:rPr>
          <w:color w:val="auto"/>
          <w:szCs w:val="26"/>
        </w:rPr>
        <w:t xml:space="preserve">the Commission </w:t>
      </w:r>
      <w:r w:rsidR="001871E9" w:rsidRPr="00C74D34">
        <w:rPr>
          <w:color w:val="auto"/>
          <w:szCs w:val="26"/>
        </w:rPr>
        <w:t xml:space="preserve">denies </w:t>
      </w:r>
      <w:r w:rsidRPr="00C74D34">
        <w:rPr>
          <w:color w:val="auto"/>
          <w:szCs w:val="26"/>
        </w:rPr>
        <w:t xml:space="preserve">the siting </w:t>
      </w:r>
      <w:r w:rsidR="001871E9" w:rsidRPr="00C74D34">
        <w:rPr>
          <w:color w:val="auto"/>
          <w:szCs w:val="26"/>
        </w:rPr>
        <w:t xml:space="preserve">Applications </w:t>
      </w:r>
      <w:r w:rsidRPr="00C74D34">
        <w:rPr>
          <w:color w:val="auto"/>
          <w:szCs w:val="26"/>
        </w:rPr>
        <w:t>for which the CPC was provisionally granted.</w:t>
      </w:r>
    </w:p>
    <w:p w14:paraId="28679D68" w14:textId="77777777" w:rsidR="006915D0" w:rsidRPr="00C74D34" w:rsidRDefault="006915D0" w:rsidP="001B42C3">
      <w:pPr>
        <w:pStyle w:val="ListParagraph"/>
        <w:rPr>
          <w:szCs w:val="26"/>
        </w:rPr>
      </w:pPr>
    </w:p>
    <w:p w14:paraId="61A43DBF" w14:textId="34061D94" w:rsidR="00F5139B" w:rsidRPr="00C74D34" w:rsidRDefault="009D088D" w:rsidP="00F5139B">
      <w:pPr>
        <w:pStyle w:val="TOCH4"/>
        <w:numPr>
          <w:ilvl w:val="0"/>
          <w:numId w:val="40"/>
        </w:numPr>
        <w:spacing w:line="720" w:lineRule="auto"/>
        <w:ind w:hanging="720"/>
      </w:pPr>
      <w:bookmarkStart w:id="43" w:name="_Toc70516620"/>
      <w:r w:rsidRPr="00C74D34">
        <w:t>Position of the Parties</w:t>
      </w:r>
      <w:bookmarkEnd w:id="43"/>
    </w:p>
    <w:p w14:paraId="272346A1" w14:textId="3C380CE8" w:rsidR="0043481B" w:rsidRPr="00C74D34" w:rsidRDefault="0043481B" w:rsidP="00925F66">
      <w:pPr>
        <w:pStyle w:val="TOCH5"/>
        <w:numPr>
          <w:ilvl w:val="0"/>
          <w:numId w:val="47"/>
        </w:numPr>
      </w:pPr>
      <w:bookmarkStart w:id="44" w:name="_Toc70516621"/>
      <w:proofErr w:type="spellStart"/>
      <w:r w:rsidRPr="00C74D34">
        <w:t>T</w:t>
      </w:r>
      <w:r w:rsidR="002D5CCD" w:rsidRPr="00C74D34">
        <w:t>r</w:t>
      </w:r>
      <w:r w:rsidRPr="00C74D34">
        <w:t>ansource’s</w:t>
      </w:r>
      <w:proofErr w:type="spellEnd"/>
      <w:r w:rsidR="002D5CCD" w:rsidRPr="00C74D34">
        <w:t xml:space="preserve"> </w:t>
      </w:r>
      <w:r w:rsidR="00C94ABB" w:rsidRPr="00C74D34">
        <w:t>P</w:t>
      </w:r>
      <w:r w:rsidR="002D5CCD" w:rsidRPr="00C74D34">
        <w:t>osition</w:t>
      </w:r>
      <w:bookmarkEnd w:id="44"/>
    </w:p>
    <w:p w14:paraId="2C801424" w14:textId="77777777" w:rsidR="00BB6F11" w:rsidRPr="00C74D34" w:rsidRDefault="00BB6F11" w:rsidP="001B42C3">
      <w:pPr>
        <w:ind w:firstLine="1440"/>
        <w:rPr>
          <w:szCs w:val="26"/>
        </w:rPr>
      </w:pPr>
    </w:p>
    <w:p w14:paraId="4975D16C" w14:textId="72146676" w:rsidR="00B6033F" w:rsidRPr="00F5139B" w:rsidRDefault="00655B7B" w:rsidP="001B42C3">
      <w:pPr>
        <w:ind w:firstLine="1440"/>
        <w:rPr>
          <w:b/>
          <w:bCs/>
          <w:szCs w:val="26"/>
        </w:rPr>
      </w:pPr>
      <w:r w:rsidRPr="00C74D34">
        <w:rPr>
          <w:szCs w:val="26"/>
        </w:rPr>
        <w:t xml:space="preserve">At no time in the proceeding before the ALJ did </w:t>
      </w:r>
      <w:proofErr w:type="spellStart"/>
      <w:r w:rsidR="00CD7017" w:rsidRPr="00C74D34">
        <w:rPr>
          <w:szCs w:val="26"/>
        </w:rPr>
        <w:t>Transource</w:t>
      </w:r>
      <w:proofErr w:type="spellEnd"/>
      <w:r w:rsidR="00CD7017" w:rsidRPr="00C74D34">
        <w:rPr>
          <w:szCs w:val="26"/>
        </w:rPr>
        <w:t xml:space="preserve"> raise the issue </w:t>
      </w:r>
      <w:r w:rsidR="00577865" w:rsidRPr="00C74D34">
        <w:rPr>
          <w:szCs w:val="26"/>
        </w:rPr>
        <w:t xml:space="preserve">whether the denial of the siting Applications would </w:t>
      </w:r>
      <w:r w:rsidR="00B74618" w:rsidRPr="00C74D34">
        <w:rPr>
          <w:szCs w:val="26"/>
        </w:rPr>
        <w:t xml:space="preserve">result in the recission of the provisional approval of </w:t>
      </w:r>
      <w:proofErr w:type="spellStart"/>
      <w:r w:rsidR="003F49AD" w:rsidRPr="00C74D34">
        <w:rPr>
          <w:szCs w:val="26"/>
        </w:rPr>
        <w:t>Transource’s</w:t>
      </w:r>
      <w:proofErr w:type="spellEnd"/>
      <w:r w:rsidR="003F49AD" w:rsidRPr="00C74D34">
        <w:rPr>
          <w:szCs w:val="26"/>
        </w:rPr>
        <w:t xml:space="preserve"> </w:t>
      </w:r>
      <w:r w:rsidR="00B74618" w:rsidRPr="00C74D34">
        <w:rPr>
          <w:szCs w:val="26"/>
        </w:rPr>
        <w:t>CPC</w:t>
      </w:r>
      <w:r w:rsidR="003F49AD" w:rsidRPr="00C74D34">
        <w:rPr>
          <w:szCs w:val="26"/>
        </w:rPr>
        <w:t xml:space="preserve">, </w:t>
      </w:r>
      <w:r w:rsidR="005E6F66" w:rsidRPr="00C74D34">
        <w:rPr>
          <w:szCs w:val="26"/>
        </w:rPr>
        <w:t xml:space="preserve">which specifically references </w:t>
      </w:r>
      <w:r w:rsidR="00FD481D" w:rsidRPr="00C74D34">
        <w:rPr>
          <w:szCs w:val="26"/>
        </w:rPr>
        <w:t xml:space="preserve">service under </w:t>
      </w:r>
      <w:r w:rsidR="005E6F66" w:rsidRPr="00C74D34">
        <w:rPr>
          <w:szCs w:val="26"/>
        </w:rPr>
        <w:t>Project 9A as a proposed plan to resolve congestion on the AP South Reactive Interface, and as approved by PJM as Baseline Upgrade Numbers b2743 and b2752,</w:t>
      </w:r>
      <w:r w:rsidR="004478B0" w:rsidRPr="00C74D34">
        <w:rPr>
          <w:szCs w:val="26"/>
        </w:rPr>
        <w:t xml:space="preserve"> described to include </w:t>
      </w:r>
      <w:r w:rsidR="005E6F66" w:rsidRPr="00C74D34">
        <w:rPr>
          <w:szCs w:val="26"/>
        </w:rPr>
        <w:t xml:space="preserve">the IEC Project.  </w:t>
      </w:r>
      <w:r w:rsidR="005E6F66" w:rsidRPr="00C74D34">
        <w:rPr>
          <w:rFonts w:eastAsiaTheme="minorHAnsi"/>
          <w:color w:val="auto"/>
          <w:szCs w:val="26"/>
        </w:rPr>
        <w:t xml:space="preserve">R.D. at </w:t>
      </w:r>
      <w:r w:rsidR="00AA2724" w:rsidRPr="00C74D34">
        <w:rPr>
          <w:rFonts w:eastAsiaTheme="minorHAnsi"/>
          <w:color w:val="auto"/>
          <w:szCs w:val="26"/>
        </w:rPr>
        <w:t xml:space="preserve">60 (describing the CPC as narrowly drawn </w:t>
      </w:r>
      <w:r w:rsidR="0068091D" w:rsidRPr="00C74D34">
        <w:rPr>
          <w:rFonts w:eastAsiaTheme="minorHAnsi"/>
          <w:color w:val="auto"/>
          <w:szCs w:val="26"/>
        </w:rPr>
        <w:t xml:space="preserve">for service related to Project 9A); </w:t>
      </w:r>
      <w:r w:rsidR="00503DE7" w:rsidRPr="00C74D34">
        <w:rPr>
          <w:rFonts w:eastAsiaTheme="minorHAnsi"/>
          <w:color w:val="auto"/>
          <w:szCs w:val="26"/>
        </w:rPr>
        <w:t xml:space="preserve">and, at </w:t>
      </w:r>
      <w:r w:rsidR="00E82B10" w:rsidRPr="00C74D34">
        <w:rPr>
          <w:rFonts w:eastAsiaTheme="minorHAnsi"/>
          <w:color w:val="auto"/>
          <w:szCs w:val="26"/>
        </w:rPr>
        <w:t xml:space="preserve">65-74 (setting forth </w:t>
      </w:r>
      <w:proofErr w:type="spellStart"/>
      <w:r w:rsidR="00E82B10" w:rsidRPr="00C74D34">
        <w:rPr>
          <w:rFonts w:eastAsiaTheme="minorHAnsi"/>
          <w:color w:val="auto"/>
          <w:szCs w:val="26"/>
        </w:rPr>
        <w:t>Transource’s</w:t>
      </w:r>
      <w:proofErr w:type="spellEnd"/>
      <w:r w:rsidR="00E82B10" w:rsidRPr="00C74D34">
        <w:rPr>
          <w:rFonts w:eastAsiaTheme="minorHAnsi"/>
          <w:color w:val="auto"/>
          <w:szCs w:val="26"/>
        </w:rPr>
        <w:t xml:space="preserve"> position </w:t>
      </w:r>
      <w:r w:rsidR="008D7B04" w:rsidRPr="00C74D34">
        <w:rPr>
          <w:rFonts w:eastAsiaTheme="minorHAnsi"/>
          <w:color w:val="auto"/>
          <w:szCs w:val="26"/>
        </w:rPr>
        <w:t xml:space="preserve">asserting need in terms of Project 9A). </w:t>
      </w:r>
      <w:r w:rsidR="005E6F66" w:rsidRPr="00C74D34">
        <w:rPr>
          <w:rFonts w:eastAsiaTheme="minorHAnsi"/>
          <w:color w:val="auto"/>
          <w:szCs w:val="26"/>
        </w:rPr>
        <w:t xml:space="preserve"> </w:t>
      </w:r>
      <w:r w:rsidR="005E6F66" w:rsidRPr="00C74D34">
        <w:rPr>
          <w:rFonts w:eastAsiaTheme="minorHAnsi"/>
          <w:i/>
          <w:color w:val="auto"/>
        </w:rPr>
        <w:t>See</w:t>
      </w:r>
      <w:r w:rsidR="005E6F66" w:rsidRPr="00C74D34">
        <w:rPr>
          <w:rFonts w:eastAsiaTheme="minorHAnsi"/>
          <w:color w:val="auto"/>
          <w:szCs w:val="26"/>
        </w:rPr>
        <w:t xml:space="preserve"> </w:t>
      </w:r>
      <w:r w:rsidR="005E6F66" w:rsidRPr="00C74D34">
        <w:rPr>
          <w:i/>
          <w:szCs w:val="26"/>
        </w:rPr>
        <w:t xml:space="preserve">Application of </w:t>
      </w:r>
      <w:proofErr w:type="spellStart"/>
      <w:r w:rsidR="005E6F66" w:rsidRPr="00C74D34">
        <w:rPr>
          <w:i/>
          <w:szCs w:val="26"/>
        </w:rPr>
        <w:t>Transource</w:t>
      </w:r>
      <w:proofErr w:type="spellEnd"/>
      <w:r w:rsidR="005E6F66" w:rsidRPr="00C74D34">
        <w:rPr>
          <w:i/>
          <w:szCs w:val="26"/>
        </w:rPr>
        <w:t xml:space="preserve"> Pennsylvania, LLC </w:t>
      </w:r>
      <w:r w:rsidR="005E6F66" w:rsidRPr="00C74D34">
        <w:rPr>
          <w:iCs/>
          <w:szCs w:val="26"/>
        </w:rPr>
        <w:t xml:space="preserve">at </w:t>
      </w:r>
      <w:r w:rsidR="005E6F66" w:rsidRPr="00C74D34">
        <w:rPr>
          <w:szCs w:val="26"/>
        </w:rPr>
        <w:t>Docket No. A-2017-2587821, Docket No. G-</w:t>
      </w:r>
      <w:r w:rsidR="005E6F66" w:rsidRPr="00F5139B">
        <w:rPr>
          <w:szCs w:val="26"/>
        </w:rPr>
        <w:t>2587822 (Opinion and Order entered Jan. 23, 2018)</w:t>
      </w:r>
      <w:r w:rsidR="00BD165F" w:rsidRPr="00F5139B">
        <w:rPr>
          <w:szCs w:val="26"/>
        </w:rPr>
        <w:t xml:space="preserve">.  </w:t>
      </w:r>
    </w:p>
    <w:p w14:paraId="5C07E557" w14:textId="77777777" w:rsidR="00B6033F" w:rsidRPr="00F5139B" w:rsidRDefault="00B6033F" w:rsidP="002D03FA"/>
    <w:p w14:paraId="39FFB9C6" w14:textId="13ABAC70" w:rsidR="002D5CCD" w:rsidRPr="00F5139B" w:rsidRDefault="000B37ED" w:rsidP="00925F66">
      <w:pPr>
        <w:pStyle w:val="TOCH5"/>
      </w:pPr>
      <w:bookmarkStart w:id="45" w:name="_Toc70516622"/>
      <w:r w:rsidRPr="00F5139B">
        <w:t xml:space="preserve">The </w:t>
      </w:r>
      <w:r w:rsidR="00C94ABB" w:rsidRPr="00F5139B">
        <w:t>OCA’s</w:t>
      </w:r>
      <w:r w:rsidRPr="00F5139B">
        <w:t>,</w:t>
      </w:r>
      <w:r w:rsidR="00C94ABB" w:rsidRPr="00F5139B">
        <w:t xml:space="preserve"> Franklin </w:t>
      </w:r>
      <w:proofErr w:type="spellStart"/>
      <w:r w:rsidR="00C94ABB" w:rsidRPr="00F5139B">
        <w:t>County’s</w:t>
      </w:r>
      <w:proofErr w:type="spellEnd"/>
      <w:r w:rsidRPr="00F5139B">
        <w:t>,</w:t>
      </w:r>
      <w:r w:rsidR="00C94ABB" w:rsidRPr="00F5139B">
        <w:t xml:space="preserve"> and STFC’s Position</w:t>
      </w:r>
      <w:r w:rsidR="00D609E0" w:rsidRPr="00F5139B">
        <w:t>s</w:t>
      </w:r>
      <w:bookmarkEnd w:id="45"/>
    </w:p>
    <w:p w14:paraId="0609DDAB" w14:textId="77777777" w:rsidR="003F5005" w:rsidRPr="00F5139B" w:rsidRDefault="003F5005" w:rsidP="002D03FA"/>
    <w:p w14:paraId="75318FCC" w14:textId="046208D0" w:rsidR="00AB6CF3" w:rsidRPr="00C74D34" w:rsidRDefault="009D4659" w:rsidP="002D03FA">
      <w:pPr>
        <w:ind w:firstLine="1440"/>
      </w:pPr>
      <w:r w:rsidRPr="00F5139B">
        <w:t>As previously noted, i</w:t>
      </w:r>
      <w:r w:rsidR="00E14C79" w:rsidRPr="00F5139B">
        <w:t>n the proceeding</w:t>
      </w:r>
      <w:r w:rsidR="00E14C79" w:rsidRPr="00C74D34">
        <w:t xml:space="preserve"> before the ALJ, </w:t>
      </w:r>
      <w:r w:rsidR="006036AF" w:rsidRPr="00C74D34">
        <w:t xml:space="preserve">the parties agreed </w:t>
      </w:r>
      <w:r w:rsidR="00675203" w:rsidRPr="00C74D34">
        <w:t xml:space="preserve">that, per the January 23, 2018 Opinion and Order, </w:t>
      </w:r>
      <w:r w:rsidR="006036AF" w:rsidRPr="00C74D34">
        <w:t xml:space="preserve">the determination of </w:t>
      </w:r>
      <w:r w:rsidR="00066AAA" w:rsidRPr="00C74D34">
        <w:t xml:space="preserve">whether </w:t>
      </w:r>
      <w:proofErr w:type="spellStart"/>
      <w:r w:rsidR="003419F0" w:rsidRPr="00C74D34">
        <w:t>Transource</w:t>
      </w:r>
      <w:proofErr w:type="spellEnd"/>
      <w:r w:rsidR="003419F0" w:rsidRPr="00C74D34">
        <w:t xml:space="preserve"> satisfied the standard for “</w:t>
      </w:r>
      <w:r w:rsidR="006036AF" w:rsidRPr="00C74D34">
        <w:t>need</w:t>
      </w:r>
      <w:r w:rsidR="003419F0" w:rsidRPr="00C74D34">
        <w:t>”</w:t>
      </w:r>
      <w:r w:rsidR="006036AF" w:rsidRPr="00C74D34">
        <w:t xml:space="preserve"> </w:t>
      </w:r>
      <w:r w:rsidR="003419F0" w:rsidRPr="00C74D34">
        <w:t>under 52 Pa. Code §</w:t>
      </w:r>
      <w:r w:rsidR="00D609E0" w:rsidRPr="00C74D34">
        <w:t> </w:t>
      </w:r>
      <w:r w:rsidR="003419F0" w:rsidRPr="00C74D34">
        <w:t xml:space="preserve">57.76(a)(1) </w:t>
      </w:r>
      <w:r w:rsidR="006036AF" w:rsidRPr="00C74D34">
        <w:t xml:space="preserve">for Project 9A </w:t>
      </w:r>
      <w:r w:rsidR="002D00AE" w:rsidRPr="00C74D34">
        <w:t>would be addressed in these</w:t>
      </w:r>
      <w:r w:rsidR="00D45309" w:rsidRPr="00C74D34">
        <w:t xml:space="preserve"> </w:t>
      </w:r>
      <w:r w:rsidR="002D00AE" w:rsidRPr="00C74D34">
        <w:t>c</w:t>
      </w:r>
      <w:r w:rsidR="00D45309" w:rsidRPr="00C74D34">
        <w:t>o</w:t>
      </w:r>
      <w:r w:rsidR="002D00AE" w:rsidRPr="00C74D34">
        <w:t xml:space="preserve">nsolidated proceedings </w:t>
      </w:r>
      <w:r w:rsidR="00D45309" w:rsidRPr="00C74D34">
        <w:t xml:space="preserve">regarding </w:t>
      </w:r>
      <w:proofErr w:type="spellStart"/>
      <w:r w:rsidR="00D45309" w:rsidRPr="00C74D34">
        <w:t>Transource’s</w:t>
      </w:r>
      <w:proofErr w:type="spellEnd"/>
      <w:r w:rsidR="00D45309" w:rsidRPr="00C74D34">
        <w:t xml:space="preserve"> siting </w:t>
      </w:r>
      <w:r w:rsidR="00D45309" w:rsidRPr="00C74D34">
        <w:lastRenderedPageBreak/>
        <w:t xml:space="preserve">Applications.  </w:t>
      </w:r>
      <w:r w:rsidR="000A5319" w:rsidRPr="00C74D34">
        <w:t>However, S</w:t>
      </w:r>
      <w:r w:rsidR="00E14C79" w:rsidRPr="00C74D34">
        <w:t xml:space="preserve">TFC asserted </w:t>
      </w:r>
      <w:r w:rsidR="00DB33E4" w:rsidRPr="00C74D34">
        <w:t xml:space="preserve">before the ALJ </w:t>
      </w:r>
      <w:r w:rsidR="00E14C79" w:rsidRPr="00C74D34">
        <w:t xml:space="preserve">that the </w:t>
      </w:r>
      <w:r w:rsidR="00227D74" w:rsidRPr="00C74D34">
        <w:t>January 23, 2018 Opinion and Order</w:t>
      </w:r>
      <w:r w:rsidR="00B71C5E" w:rsidRPr="00C74D34">
        <w:t>,</w:t>
      </w:r>
      <w:r w:rsidR="00227D74" w:rsidRPr="00C74D34">
        <w:t xml:space="preserve"> under </w:t>
      </w:r>
      <w:r w:rsidR="00B11342" w:rsidRPr="00C74D34">
        <w:t xml:space="preserve">which </w:t>
      </w:r>
      <w:proofErr w:type="spellStart"/>
      <w:r w:rsidR="00B11342" w:rsidRPr="00C74D34">
        <w:t>Transource’s</w:t>
      </w:r>
      <w:proofErr w:type="spellEnd"/>
      <w:r w:rsidR="00227D74" w:rsidRPr="00C74D34">
        <w:t xml:space="preserve"> CPC was</w:t>
      </w:r>
      <w:r w:rsidR="00496A30" w:rsidRPr="00C74D34">
        <w:t xml:space="preserve"> issued</w:t>
      </w:r>
      <w:r w:rsidR="00B71C5E" w:rsidRPr="00C74D34">
        <w:t>,</w:t>
      </w:r>
      <w:r w:rsidR="00496A30" w:rsidRPr="00C74D34">
        <w:t xml:space="preserve"> improperly </w:t>
      </w:r>
      <w:r w:rsidR="006D0E3E" w:rsidRPr="00C74D34">
        <w:t xml:space="preserve">relieved </w:t>
      </w:r>
      <w:proofErr w:type="spellStart"/>
      <w:r w:rsidR="006D0E3E" w:rsidRPr="00C74D34">
        <w:t>Transource</w:t>
      </w:r>
      <w:proofErr w:type="spellEnd"/>
      <w:r w:rsidR="006D0E3E" w:rsidRPr="00C74D34">
        <w:t xml:space="preserve"> of</w:t>
      </w:r>
      <w:r w:rsidR="0017451F" w:rsidRPr="00C74D34">
        <w:t xml:space="preserve"> </w:t>
      </w:r>
      <w:r w:rsidR="006D0E3E" w:rsidRPr="00C74D34">
        <w:t>th</w:t>
      </w:r>
      <w:r w:rsidR="0017451F" w:rsidRPr="00C74D34">
        <w:t>e</w:t>
      </w:r>
      <w:r w:rsidR="006D0E3E" w:rsidRPr="00C74D34">
        <w:t xml:space="preserve"> burden to establish “need” as a statutorily required element</w:t>
      </w:r>
      <w:r w:rsidR="003944DC" w:rsidRPr="00C74D34">
        <w:t xml:space="preserve"> for issuance of a CPC.  </w:t>
      </w:r>
      <w:r w:rsidR="006D0E3E" w:rsidRPr="00C74D34">
        <w:rPr>
          <w:i/>
        </w:rPr>
        <w:t>See</w:t>
      </w:r>
      <w:r w:rsidR="006D0E3E" w:rsidRPr="00C74D34">
        <w:t xml:space="preserve"> </w:t>
      </w:r>
      <w:r w:rsidR="00766B3B" w:rsidRPr="00C74D34">
        <w:t>66 Pa. C.S.A §</w:t>
      </w:r>
      <w:r w:rsidR="00D609E0" w:rsidRPr="00C74D34">
        <w:t>§ </w:t>
      </w:r>
      <w:r w:rsidR="00766B3B" w:rsidRPr="00C74D34">
        <w:t>1101</w:t>
      </w:r>
      <w:r w:rsidR="0017451F" w:rsidRPr="00C74D34">
        <w:t>-1103</w:t>
      </w:r>
      <w:r w:rsidR="0037661C" w:rsidRPr="00C74D34">
        <w:t xml:space="preserve">.  </w:t>
      </w:r>
      <w:r w:rsidR="00A32D21" w:rsidRPr="00C74D34">
        <w:t xml:space="preserve">STFC </w:t>
      </w:r>
      <w:r w:rsidR="001F125D" w:rsidRPr="00C74D34">
        <w:t xml:space="preserve">also </w:t>
      </w:r>
      <w:r w:rsidR="00A32D21" w:rsidRPr="00C74D34">
        <w:t xml:space="preserve">argued that </w:t>
      </w:r>
      <w:proofErr w:type="spellStart"/>
      <w:r w:rsidR="00D44380" w:rsidRPr="00C74D34">
        <w:t>Transource’s</w:t>
      </w:r>
      <w:proofErr w:type="spellEnd"/>
      <w:r w:rsidR="00D44380" w:rsidRPr="00C74D34">
        <w:t xml:space="preserve"> act of amending its Application pertaining to York </w:t>
      </w:r>
      <w:r w:rsidR="00D609E0" w:rsidRPr="00C74D34">
        <w:t>County</w:t>
      </w:r>
      <w:r w:rsidR="00D44380" w:rsidRPr="00C74D34">
        <w:t xml:space="preserve"> </w:t>
      </w:r>
      <w:r w:rsidR="00955E39" w:rsidRPr="00C74D34">
        <w:t xml:space="preserve">rendered the </w:t>
      </w:r>
      <w:r w:rsidR="0061250D" w:rsidRPr="00C74D34">
        <w:t>existing CPC inconsistent with the Applications for which it was authorized.</w:t>
      </w:r>
      <w:r w:rsidR="001F125D" w:rsidRPr="00C74D34">
        <w:t xml:space="preserve"> </w:t>
      </w:r>
      <w:r w:rsidR="0061250D" w:rsidRPr="00C74D34">
        <w:t xml:space="preserve"> </w:t>
      </w:r>
      <w:r w:rsidR="001F125D" w:rsidRPr="00C74D34">
        <w:t xml:space="preserve">Therefore, STFC argued that </w:t>
      </w:r>
      <w:r w:rsidR="00A42CCB" w:rsidRPr="00C74D34">
        <w:t xml:space="preserve">the CPC is invalid.  </w:t>
      </w:r>
      <w:r w:rsidR="00900639" w:rsidRPr="00C74D34">
        <w:t>R.D. at 78-79</w:t>
      </w:r>
      <w:r w:rsidR="00644B6C" w:rsidRPr="00C74D34">
        <w:t>.</w:t>
      </w:r>
    </w:p>
    <w:p w14:paraId="22979E95" w14:textId="2DAB82F6" w:rsidR="00644B6C" w:rsidRPr="00C74D34" w:rsidRDefault="00644B6C" w:rsidP="002D03FA"/>
    <w:p w14:paraId="0F8C8D9B" w14:textId="44DC091C" w:rsidR="007165D3" w:rsidRPr="00C74D34" w:rsidRDefault="00644B6C" w:rsidP="002D03FA">
      <w:pPr>
        <w:ind w:firstLine="1440"/>
      </w:pPr>
      <w:r w:rsidRPr="00C74D34">
        <w:t>STFC further asserted that</w:t>
      </w:r>
      <w:r w:rsidR="00D609E0" w:rsidRPr="00C74D34">
        <w:t>,</w:t>
      </w:r>
      <w:r w:rsidRPr="00C74D34">
        <w:t xml:space="preserve"> </w:t>
      </w:r>
      <w:r w:rsidR="009866CB" w:rsidRPr="00C74D34">
        <w:t xml:space="preserve">because the determination of “need” for the </w:t>
      </w:r>
      <w:r w:rsidR="002575A1" w:rsidRPr="00C74D34">
        <w:t>Pro</w:t>
      </w:r>
      <w:r w:rsidR="008356EA" w:rsidRPr="00C74D34">
        <w:t xml:space="preserve">ject 9A </w:t>
      </w:r>
      <w:r w:rsidR="009866CB" w:rsidRPr="00C74D34">
        <w:t>was expressly re</w:t>
      </w:r>
      <w:r w:rsidR="008356EA" w:rsidRPr="00C74D34">
        <w:t xml:space="preserve">served </w:t>
      </w:r>
      <w:r w:rsidR="00E36FCD" w:rsidRPr="00C74D34">
        <w:t xml:space="preserve">for decision </w:t>
      </w:r>
      <w:r w:rsidR="008356EA" w:rsidRPr="00C74D34">
        <w:t xml:space="preserve">in the present </w:t>
      </w:r>
      <w:r w:rsidR="00F578BA" w:rsidRPr="00C74D34">
        <w:t>proceeding</w:t>
      </w:r>
      <w:r w:rsidR="00E36FCD" w:rsidRPr="00C74D34">
        <w:t xml:space="preserve"> on Project 9A</w:t>
      </w:r>
      <w:r w:rsidR="00F578BA" w:rsidRPr="00C74D34">
        <w:t xml:space="preserve"> and re</w:t>
      </w:r>
      <w:r w:rsidR="009866CB" w:rsidRPr="00C74D34">
        <w:t>moved from the Opinion and Order gra</w:t>
      </w:r>
      <w:r w:rsidR="00F578BA" w:rsidRPr="00C74D34">
        <w:t>n</w:t>
      </w:r>
      <w:r w:rsidR="009866CB" w:rsidRPr="00C74D34">
        <w:t xml:space="preserve">ting the CPC, the </w:t>
      </w:r>
      <w:r w:rsidR="002575A1" w:rsidRPr="00C74D34">
        <w:t>determination of “need” under the present Applications for which the CPC was authorized, is controlling on the</w:t>
      </w:r>
      <w:r w:rsidR="00F578BA" w:rsidRPr="00C74D34">
        <w:t xml:space="preserve"> question of “need” for the CPC.</w:t>
      </w:r>
      <w:r w:rsidR="00F73EF0" w:rsidRPr="00C74D34">
        <w:t xml:space="preserve">  R.D. at 79</w:t>
      </w:r>
      <w:r w:rsidR="007165D3" w:rsidRPr="00C74D34">
        <w:t>.</w:t>
      </w:r>
    </w:p>
    <w:p w14:paraId="7AC54893" w14:textId="77777777" w:rsidR="007165D3" w:rsidRPr="00C74D34" w:rsidRDefault="007165D3" w:rsidP="002D03FA"/>
    <w:p w14:paraId="27CBE020" w14:textId="3043EAB9" w:rsidR="00644B6C" w:rsidRPr="00C74D34" w:rsidRDefault="007165D3" w:rsidP="002D03FA">
      <w:pPr>
        <w:ind w:firstLine="1440"/>
      </w:pPr>
      <w:r w:rsidRPr="00C74D34">
        <w:t xml:space="preserve">STFC pointed out that in January of 2019, a new Application was filed for a Reconfigured 9A project.  The CPC that </w:t>
      </w:r>
      <w:proofErr w:type="spellStart"/>
      <w:r w:rsidRPr="00C74D34">
        <w:t>Transource</w:t>
      </w:r>
      <w:proofErr w:type="spellEnd"/>
      <w:r w:rsidRPr="00C74D34">
        <w:t xml:space="preserve"> </w:t>
      </w:r>
      <w:r w:rsidR="007871FE" w:rsidRPr="00C74D34">
        <w:t xml:space="preserve">currently possesses </w:t>
      </w:r>
      <w:r w:rsidRPr="00C74D34">
        <w:t>is issued specifically for “PJM Project 9A, baseline upgrade numbers b2743 and b2752, and for baseline upgrade number b2743 and b2752</w:t>
      </w:r>
      <w:r w:rsidR="00D609E0" w:rsidRPr="00C74D34">
        <w:t>.</w:t>
      </w:r>
      <w:r w:rsidRPr="00C74D34">
        <w:t xml:space="preserve">”  </w:t>
      </w:r>
      <w:r w:rsidR="0046277D" w:rsidRPr="00C74D34">
        <w:t xml:space="preserve">However, STFC noted, </w:t>
      </w:r>
      <w:proofErr w:type="spellStart"/>
      <w:r w:rsidR="00276016" w:rsidRPr="00C74D34">
        <w:t>Transourc</w:t>
      </w:r>
      <w:r w:rsidR="00B11342" w:rsidRPr="00C74D34">
        <w:t>e’</w:t>
      </w:r>
      <w:r w:rsidR="00276016" w:rsidRPr="00C74D34">
        <w:t>s</w:t>
      </w:r>
      <w:proofErr w:type="spellEnd"/>
      <w:r w:rsidR="00276016" w:rsidRPr="00C74D34">
        <w:t xml:space="preserve"> </w:t>
      </w:r>
      <w:r w:rsidRPr="00C74D34">
        <w:t xml:space="preserve">Amended Application demonstrates that PJM has now applied different numbers to the Project., b2743.2-8 and b2752.1-9.  </w:t>
      </w:r>
      <w:r w:rsidR="00F43CAF" w:rsidRPr="00C74D34">
        <w:t>Therefore</w:t>
      </w:r>
      <w:r w:rsidR="00687667" w:rsidRPr="00C74D34">
        <w:t>,</w:t>
      </w:r>
      <w:r w:rsidR="00F43CAF" w:rsidRPr="00C74D34">
        <w:t xml:space="preserve"> STFC asserted that </w:t>
      </w:r>
      <w:proofErr w:type="spellStart"/>
      <w:r w:rsidRPr="00C74D34">
        <w:t>Transource</w:t>
      </w:r>
      <w:proofErr w:type="spellEnd"/>
      <w:r w:rsidRPr="00C74D34">
        <w:t xml:space="preserve"> is asking the Commission to approve the first market efficiency project under FERC Order 1000</w:t>
      </w:r>
      <w:r w:rsidR="00687667" w:rsidRPr="00C74D34">
        <w:t xml:space="preserve">, while </w:t>
      </w:r>
      <w:proofErr w:type="spellStart"/>
      <w:r w:rsidRPr="00C74D34">
        <w:t>Transource</w:t>
      </w:r>
      <w:proofErr w:type="spellEnd"/>
      <w:r w:rsidRPr="00C74D34">
        <w:t xml:space="preserve"> holds a limited </w:t>
      </w:r>
      <w:r w:rsidR="00EB0E33" w:rsidRPr="00C74D34">
        <w:t>CPC</w:t>
      </w:r>
      <w:r w:rsidRPr="00C74D34">
        <w:t xml:space="preserve"> that does not </w:t>
      </w:r>
      <w:r w:rsidR="007278FB" w:rsidRPr="00C74D34">
        <w:t>correspond to the current approved amended version of Project 9A</w:t>
      </w:r>
      <w:r w:rsidR="00EB0E33" w:rsidRPr="00C74D34">
        <w:t xml:space="preserve">, a project for which </w:t>
      </w:r>
      <w:r w:rsidRPr="00C74D34">
        <w:t>the Commission has yet to determine need</w:t>
      </w:r>
      <w:r w:rsidR="004B2A19" w:rsidRPr="00C74D34">
        <w:t>.</w:t>
      </w:r>
      <w:r w:rsidR="00E61E40" w:rsidRPr="00C74D34">
        <w:t xml:space="preserve"> R.D. at 79 citing, TJH-AA2. </w:t>
      </w:r>
      <w:r w:rsidR="007650F0" w:rsidRPr="00C74D34">
        <w:t xml:space="preserve"> </w:t>
      </w:r>
    </w:p>
    <w:p w14:paraId="3E38B70A" w14:textId="77777777" w:rsidR="00B6033F" w:rsidRPr="00C74D34" w:rsidRDefault="00B6033F" w:rsidP="002D03FA"/>
    <w:p w14:paraId="7085EC68" w14:textId="1157ADF1" w:rsidR="009D088D" w:rsidRPr="00C74D34" w:rsidRDefault="009D088D" w:rsidP="002D03FA">
      <w:pPr>
        <w:pStyle w:val="TOCH4"/>
        <w:keepNext/>
      </w:pPr>
      <w:bookmarkStart w:id="46" w:name="_Toc70516623"/>
      <w:r w:rsidRPr="00C74D34">
        <w:t>ALJ’s Recommended Decision</w:t>
      </w:r>
      <w:bookmarkEnd w:id="46"/>
    </w:p>
    <w:p w14:paraId="6BB8A54E" w14:textId="7984A4CE" w:rsidR="00B12538" w:rsidRPr="00C74D34" w:rsidRDefault="00B12538" w:rsidP="002D03FA">
      <w:pPr>
        <w:keepNext/>
      </w:pPr>
    </w:p>
    <w:p w14:paraId="70B36865" w14:textId="1C17B187" w:rsidR="00117342" w:rsidRPr="00C74D34" w:rsidRDefault="00193469" w:rsidP="002D03FA">
      <w:pPr>
        <w:keepNext/>
        <w:ind w:firstLine="1440"/>
      </w:pPr>
      <w:r w:rsidRPr="00C74D34">
        <w:t xml:space="preserve">Upon rendering the </w:t>
      </w:r>
      <w:r w:rsidR="007650F0" w:rsidRPr="00C74D34">
        <w:t xml:space="preserve">recommendation </w:t>
      </w:r>
      <w:r w:rsidRPr="00C74D34">
        <w:t>that t</w:t>
      </w:r>
      <w:r w:rsidR="00054056" w:rsidRPr="00C74D34">
        <w:t xml:space="preserve">he Company had failed </w:t>
      </w:r>
      <w:r w:rsidR="00136031" w:rsidRPr="00C74D34">
        <w:t xml:space="preserve">to carry the burden of </w:t>
      </w:r>
      <w:r w:rsidR="00056580" w:rsidRPr="00C74D34">
        <w:t>persuasion</w:t>
      </w:r>
      <w:r w:rsidR="00136031" w:rsidRPr="00C74D34">
        <w:t xml:space="preserve"> </w:t>
      </w:r>
      <w:r w:rsidR="00054056" w:rsidRPr="00C74D34">
        <w:t xml:space="preserve">to establish need for Project 9A by </w:t>
      </w:r>
      <w:r w:rsidRPr="00C74D34">
        <w:t xml:space="preserve">a preponderance of the </w:t>
      </w:r>
      <w:r w:rsidRPr="00C74D34">
        <w:lastRenderedPageBreak/>
        <w:t xml:space="preserve">evidence, </w:t>
      </w:r>
      <w:r w:rsidR="00054056" w:rsidRPr="00C74D34">
        <w:t xml:space="preserve">pursuant to </w:t>
      </w:r>
      <w:r w:rsidR="000F2930" w:rsidRPr="00C74D34">
        <w:t>Commission authority under Section 1501 of</w:t>
      </w:r>
      <w:r w:rsidR="000A3772" w:rsidRPr="00C74D34">
        <w:t xml:space="preserve"> </w:t>
      </w:r>
      <w:r w:rsidR="000F2930" w:rsidRPr="00C74D34">
        <w:t>t</w:t>
      </w:r>
      <w:r w:rsidR="000A3772" w:rsidRPr="00C74D34">
        <w:t>h</w:t>
      </w:r>
      <w:r w:rsidR="000F2930" w:rsidRPr="00C74D34">
        <w:t xml:space="preserve">e Code and Commission </w:t>
      </w:r>
      <w:r w:rsidR="000A3772" w:rsidRPr="00C74D34">
        <w:t xml:space="preserve">Regulation at </w:t>
      </w:r>
      <w:r w:rsidR="000F2930" w:rsidRPr="00C74D34">
        <w:t>52 Pa. Code §</w:t>
      </w:r>
      <w:r w:rsidR="00D609E0" w:rsidRPr="00C74D34">
        <w:t> </w:t>
      </w:r>
      <w:r w:rsidR="00896BD6" w:rsidRPr="00C74D34">
        <w:t>57.</w:t>
      </w:r>
      <w:r w:rsidR="000F2930" w:rsidRPr="00C74D34">
        <w:t>76(1)</w:t>
      </w:r>
      <w:r w:rsidR="000A3772" w:rsidRPr="00C74D34">
        <w:t>, t</w:t>
      </w:r>
      <w:r w:rsidR="00117342" w:rsidRPr="00C74D34">
        <w:t xml:space="preserve">he ALJ, </w:t>
      </w:r>
      <w:r w:rsidR="00850299" w:rsidRPr="00C74D34">
        <w:t>recomm</w:t>
      </w:r>
      <w:r w:rsidR="006742C5" w:rsidRPr="00C74D34">
        <w:t xml:space="preserve">ended that “the Commission issue a Rule to </w:t>
      </w:r>
      <w:r w:rsidR="006C2380" w:rsidRPr="00C74D34">
        <w:t xml:space="preserve">Show Cause directing </w:t>
      </w:r>
      <w:proofErr w:type="spellStart"/>
      <w:r w:rsidR="006C2380" w:rsidRPr="00C74D34">
        <w:t>T</w:t>
      </w:r>
      <w:r w:rsidR="00733E2B" w:rsidRPr="00C74D34">
        <w:t>r</w:t>
      </w:r>
      <w:r w:rsidR="006C2380" w:rsidRPr="00C74D34">
        <w:t>ansource</w:t>
      </w:r>
      <w:proofErr w:type="spellEnd"/>
      <w:r w:rsidR="00733E2B" w:rsidRPr="00C74D34">
        <w:t xml:space="preserve"> </w:t>
      </w:r>
      <w:r w:rsidR="009D2970" w:rsidRPr="00C74D34">
        <w:t xml:space="preserve">to show cause why the certificate of public convenience issued to </w:t>
      </w:r>
      <w:proofErr w:type="spellStart"/>
      <w:r w:rsidR="009D2970" w:rsidRPr="00C74D34">
        <w:t>Transource</w:t>
      </w:r>
      <w:proofErr w:type="spellEnd"/>
      <w:r w:rsidR="009D2970" w:rsidRPr="00C74D34">
        <w:t xml:space="preserve"> should not be </w:t>
      </w:r>
      <w:r w:rsidR="004516D1" w:rsidRPr="00C74D34">
        <w:t xml:space="preserve">rescinded as there is no need for the service delineated in the CPC.” </w:t>
      </w:r>
    </w:p>
    <w:p w14:paraId="6578FB45" w14:textId="77777777" w:rsidR="00827B61" w:rsidRPr="00C74D34" w:rsidRDefault="00827B61" w:rsidP="002D03FA"/>
    <w:p w14:paraId="5CCB4000" w14:textId="2B1743F7" w:rsidR="009D088D" w:rsidRPr="00C74D34" w:rsidRDefault="009D088D" w:rsidP="002D03FA">
      <w:pPr>
        <w:pStyle w:val="TOCH4"/>
        <w:keepNext/>
      </w:pPr>
      <w:bookmarkStart w:id="47" w:name="_Toc70516624"/>
      <w:r w:rsidRPr="00C74D34">
        <w:t>Exceptions and Replies</w:t>
      </w:r>
      <w:bookmarkEnd w:id="47"/>
    </w:p>
    <w:p w14:paraId="0EA73ED1" w14:textId="77777777" w:rsidR="00827B61" w:rsidRPr="00C74D34" w:rsidRDefault="00827B61" w:rsidP="002D03FA">
      <w:pPr>
        <w:keepNext/>
      </w:pPr>
    </w:p>
    <w:p w14:paraId="5E41FF51" w14:textId="62244B33" w:rsidR="00B6033F" w:rsidRPr="00C74D34" w:rsidRDefault="002B0D67" w:rsidP="002D03FA">
      <w:pPr>
        <w:keepNext/>
        <w:ind w:firstLine="1440"/>
      </w:pPr>
      <w:r w:rsidRPr="00C74D34">
        <w:t xml:space="preserve">In its Exception No 5, </w:t>
      </w:r>
      <w:proofErr w:type="spellStart"/>
      <w:r w:rsidRPr="00C74D34">
        <w:t>Transource</w:t>
      </w:r>
      <w:proofErr w:type="spellEnd"/>
      <w:r w:rsidRPr="00C74D34">
        <w:t xml:space="preserve"> asserts the AL</w:t>
      </w:r>
      <w:r w:rsidR="00EB08E2" w:rsidRPr="00C74D34">
        <w:t xml:space="preserve">J, </w:t>
      </w:r>
      <w:proofErr w:type="spellStart"/>
      <w:r w:rsidR="00EB08E2" w:rsidRPr="00C74D34">
        <w:rPr>
          <w:i/>
          <w:iCs/>
        </w:rPr>
        <w:t>sua</w:t>
      </w:r>
      <w:proofErr w:type="spellEnd"/>
      <w:r w:rsidR="00EB08E2" w:rsidRPr="00C74D34">
        <w:rPr>
          <w:i/>
          <w:iCs/>
        </w:rPr>
        <w:t xml:space="preserve"> sponte</w:t>
      </w:r>
      <w:r w:rsidR="00EB08E2" w:rsidRPr="00C74D34">
        <w:t xml:space="preserve">, issued a recommendation </w:t>
      </w:r>
      <w:r w:rsidR="00D10426" w:rsidRPr="00C74D34">
        <w:t xml:space="preserve">for a Rule to Show Cause directing </w:t>
      </w:r>
      <w:proofErr w:type="spellStart"/>
      <w:r w:rsidR="00D10426" w:rsidRPr="00C74D34">
        <w:t>Transource</w:t>
      </w:r>
      <w:proofErr w:type="spellEnd"/>
      <w:r w:rsidR="00D10426" w:rsidRPr="00C74D34">
        <w:t xml:space="preserve"> to </w:t>
      </w:r>
      <w:r w:rsidR="00FC364A" w:rsidRPr="00C74D34">
        <w:t xml:space="preserve">show cause why its CPC should not be rescinded.  </w:t>
      </w:r>
      <w:proofErr w:type="spellStart"/>
      <w:r w:rsidR="006127AD" w:rsidRPr="00C74D34">
        <w:t>Transource</w:t>
      </w:r>
      <w:proofErr w:type="spellEnd"/>
      <w:r w:rsidR="006127AD" w:rsidRPr="00C74D34">
        <w:t xml:space="preserve"> asserts that </w:t>
      </w:r>
      <w:r w:rsidR="00710AC0" w:rsidRPr="00C74D34">
        <w:t>the recommendation was in error</w:t>
      </w:r>
      <w:r w:rsidR="006127AD" w:rsidRPr="00C74D34">
        <w:t xml:space="preserve"> because the ALJ erred in concluding </w:t>
      </w:r>
      <w:proofErr w:type="spellStart"/>
      <w:r w:rsidR="006127AD" w:rsidRPr="00C74D34">
        <w:t>Transource</w:t>
      </w:r>
      <w:proofErr w:type="spellEnd"/>
      <w:r w:rsidR="00710AC0" w:rsidRPr="00C74D34">
        <w:t xml:space="preserve"> has not satisfied the burden to show by a preponderance of evidence that need existed for </w:t>
      </w:r>
      <w:r w:rsidR="008D47C7" w:rsidRPr="00C74D34">
        <w:t xml:space="preserve">the </w:t>
      </w:r>
      <w:r w:rsidR="00710AC0" w:rsidRPr="00C74D34">
        <w:t xml:space="preserve">proposed Project 9A.  </w:t>
      </w:r>
      <w:proofErr w:type="spellStart"/>
      <w:r w:rsidR="00710AC0" w:rsidRPr="00C74D34">
        <w:t>Transource</w:t>
      </w:r>
      <w:proofErr w:type="spellEnd"/>
      <w:r w:rsidR="00710AC0" w:rsidRPr="00C74D34">
        <w:t xml:space="preserve"> Exc. at </w:t>
      </w:r>
      <w:r w:rsidR="0072523D" w:rsidRPr="00C74D34">
        <w:t xml:space="preserve">38. </w:t>
      </w:r>
    </w:p>
    <w:p w14:paraId="1E1E7159" w14:textId="77777777" w:rsidR="00435952" w:rsidRPr="00C74D34" w:rsidRDefault="00435952" w:rsidP="002D03FA">
      <w:pPr>
        <w:pStyle w:val="ListParagraph"/>
        <w:ind w:left="0"/>
        <w:rPr>
          <w:szCs w:val="26"/>
        </w:rPr>
      </w:pPr>
    </w:p>
    <w:p w14:paraId="36971D0B" w14:textId="51B3617E" w:rsidR="00B6033F" w:rsidRPr="00C74D34" w:rsidRDefault="00CA715E" w:rsidP="002D03FA">
      <w:pPr>
        <w:ind w:firstLine="1440"/>
      </w:pPr>
      <w:r w:rsidRPr="00C74D34">
        <w:t>In their Rep</w:t>
      </w:r>
      <w:r w:rsidR="0063481F" w:rsidRPr="00C74D34">
        <w:t xml:space="preserve">lies, the OCA, Franklin County, and STFC argue that the record establishes that </w:t>
      </w:r>
      <w:proofErr w:type="spellStart"/>
      <w:r w:rsidR="0063481F" w:rsidRPr="00C74D34">
        <w:t>Transource</w:t>
      </w:r>
      <w:proofErr w:type="spellEnd"/>
      <w:r w:rsidR="0063481F" w:rsidRPr="00C74D34">
        <w:t xml:space="preserve"> failed to est</w:t>
      </w:r>
      <w:r w:rsidR="003533DF" w:rsidRPr="00C74D34">
        <w:t>ablish the need for Project 9A by a preponderance of the evidence</w:t>
      </w:r>
      <w:r w:rsidR="00E73EB9" w:rsidRPr="00C74D34">
        <w:t xml:space="preserve">.  </w:t>
      </w:r>
      <w:r w:rsidR="00417BBB" w:rsidRPr="00C74D34">
        <w:t xml:space="preserve">The </w:t>
      </w:r>
      <w:r w:rsidR="00C81B62" w:rsidRPr="00C74D34">
        <w:t>P</w:t>
      </w:r>
      <w:r w:rsidR="00417BBB" w:rsidRPr="00C74D34">
        <w:t>arties assert that</w:t>
      </w:r>
      <w:r w:rsidR="006E33C8" w:rsidRPr="00C74D34">
        <w:t xml:space="preserve"> </w:t>
      </w:r>
      <w:r w:rsidR="00417BBB" w:rsidRPr="00C74D34">
        <w:t>t</w:t>
      </w:r>
      <w:r w:rsidR="00E73EB9" w:rsidRPr="00C74D34">
        <w:t xml:space="preserve">he </w:t>
      </w:r>
      <w:r w:rsidR="003533DF" w:rsidRPr="00C74D34">
        <w:t xml:space="preserve">CPC </w:t>
      </w:r>
      <w:r w:rsidR="00E73EB9" w:rsidRPr="00C74D34">
        <w:t xml:space="preserve">was </w:t>
      </w:r>
      <w:r w:rsidR="003533DF" w:rsidRPr="00C74D34">
        <w:t xml:space="preserve">issued specifically for </w:t>
      </w:r>
      <w:r w:rsidR="004459FD" w:rsidRPr="00C74D34">
        <w:t xml:space="preserve">service related to Project 9A, </w:t>
      </w:r>
      <w:r w:rsidR="006E33C8" w:rsidRPr="00C74D34">
        <w:t xml:space="preserve">but only </w:t>
      </w:r>
      <w:r w:rsidR="004459FD" w:rsidRPr="00C74D34">
        <w:t xml:space="preserve">if </w:t>
      </w:r>
      <w:r w:rsidR="004E4173" w:rsidRPr="00C74D34">
        <w:t xml:space="preserve">that service </w:t>
      </w:r>
      <w:r w:rsidR="006E33C8" w:rsidRPr="00C74D34">
        <w:t xml:space="preserve">was </w:t>
      </w:r>
      <w:r w:rsidR="004459FD" w:rsidRPr="00C74D34">
        <w:t>determined to be necessary service</w:t>
      </w:r>
      <w:r w:rsidR="006E33C8" w:rsidRPr="00C74D34">
        <w:t xml:space="preserve"> in the present p</w:t>
      </w:r>
      <w:r w:rsidR="006B598A" w:rsidRPr="00C74D34">
        <w:t>r</w:t>
      </w:r>
      <w:r w:rsidR="006E33C8" w:rsidRPr="00C74D34">
        <w:t>oceeding</w:t>
      </w:r>
      <w:r w:rsidR="004459FD" w:rsidRPr="00C74D34">
        <w:t xml:space="preserve">.  </w:t>
      </w:r>
      <w:r w:rsidR="00565C6E" w:rsidRPr="00C74D34">
        <w:t xml:space="preserve">The </w:t>
      </w:r>
      <w:r w:rsidR="00C81B62" w:rsidRPr="00C74D34">
        <w:t>P</w:t>
      </w:r>
      <w:r w:rsidR="00565C6E" w:rsidRPr="00C74D34">
        <w:t xml:space="preserve">arties argue that, since </w:t>
      </w:r>
      <w:r w:rsidR="004459FD" w:rsidRPr="00C74D34">
        <w:t xml:space="preserve">Project 9A has been determined to be </w:t>
      </w:r>
      <w:r w:rsidR="00565C6E" w:rsidRPr="00C74D34">
        <w:t xml:space="preserve">unnecessary service, the CPC should be </w:t>
      </w:r>
      <w:r w:rsidR="00435952" w:rsidRPr="00C74D34">
        <w:t xml:space="preserve">rescinded. </w:t>
      </w:r>
      <w:r w:rsidR="003533DF" w:rsidRPr="00C74D34">
        <w:t xml:space="preserve"> </w:t>
      </w:r>
      <w:r w:rsidR="000E33D6" w:rsidRPr="00C74D34">
        <w:t xml:space="preserve">OCA R. Exc. 24-25; Franklin County R. Exc. at </w:t>
      </w:r>
      <w:r w:rsidR="00646369" w:rsidRPr="00C74D34">
        <w:t xml:space="preserve">22; </w:t>
      </w:r>
      <w:r w:rsidR="007A41D7" w:rsidRPr="00C74D34">
        <w:t xml:space="preserve">STFC R. Exc. at </w:t>
      </w:r>
      <w:r w:rsidRPr="00C74D34">
        <w:t>17.</w:t>
      </w:r>
    </w:p>
    <w:p w14:paraId="06D92B12" w14:textId="77777777" w:rsidR="00CA715E" w:rsidRPr="00C74D34" w:rsidRDefault="00CA715E" w:rsidP="002D03FA"/>
    <w:p w14:paraId="7C632154" w14:textId="77777777" w:rsidR="009D088D" w:rsidRPr="00C74D34" w:rsidRDefault="009D088D" w:rsidP="002D03FA">
      <w:pPr>
        <w:pStyle w:val="TOCH4"/>
        <w:keepNext/>
      </w:pPr>
      <w:bookmarkStart w:id="48" w:name="_Toc70516625"/>
      <w:r w:rsidRPr="00C74D34">
        <w:t>Disposition</w:t>
      </w:r>
      <w:bookmarkEnd w:id="48"/>
    </w:p>
    <w:p w14:paraId="3BC47B7F" w14:textId="24ECBBD7" w:rsidR="009D088D" w:rsidRPr="00C74D34" w:rsidRDefault="009D088D" w:rsidP="002D03FA">
      <w:pPr>
        <w:keepNext/>
      </w:pPr>
    </w:p>
    <w:p w14:paraId="7CA9059C" w14:textId="69B00054" w:rsidR="00B45840" w:rsidRPr="00C74D34" w:rsidRDefault="0072523D" w:rsidP="002D03FA">
      <w:pPr>
        <w:keepNext/>
        <w:ind w:firstLine="1440"/>
      </w:pPr>
      <w:r w:rsidRPr="00C74D34">
        <w:t xml:space="preserve">As a threshold matter, we disagree with </w:t>
      </w:r>
      <w:proofErr w:type="spellStart"/>
      <w:r w:rsidRPr="00C74D34">
        <w:t>Transource’s</w:t>
      </w:r>
      <w:proofErr w:type="spellEnd"/>
      <w:r w:rsidRPr="00C74D34">
        <w:t xml:space="preserve"> ch</w:t>
      </w:r>
      <w:r w:rsidR="00F805E5" w:rsidRPr="00C74D34">
        <w:t xml:space="preserve">aracterization that the ALJ </w:t>
      </w:r>
      <w:proofErr w:type="spellStart"/>
      <w:r w:rsidR="00F805E5" w:rsidRPr="00C74D34">
        <w:rPr>
          <w:i/>
          <w:iCs/>
        </w:rPr>
        <w:t>sua</w:t>
      </w:r>
      <w:proofErr w:type="spellEnd"/>
      <w:r w:rsidR="00F805E5" w:rsidRPr="00C74D34">
        <w:rPr>
          <w:i/>
          <w:iCs/>
        </w:rPr>
        <w:t xml:space="preserve"> sponte</w:t>
      </w:r>
      <w:r w:rsidR="00F805E5" w:rsidRPr="00C74D34">
        <w:t xml:space="preserve"> issued the recommendation regarding the Rule to Show Cause </w:t>
      </w:r>
      <w:r w:rsidR="002B286D" w:rsidRPr="00C74D34">
        <w:t xml:space="preserve">why </w:t>
      </w:r>
      <w:proofErr w:type="spellStart"/>
      <w:r w:rsidR="002B286D" w:rsidRPr="00C74D34">
        <w:t>Transource’s</w:t>
      </w:r>
      <w:proofErr w:type="spellEnd"/>
      <w:r w:rsidR="002B286D" w:rsidRPr="00C74D34">
        <w:t xml:space="preserve"> CPC should not be issued.  The record reflects that the issue </w:t>
      </w:r>
      <w:r w:rsidR="00EE3E10" w:rsidRPr="00C74D34">
        <w:t xml:space="preserve">whether </w:t>
      </w:r>
      <w:r w:rsidR="00EE3E10" w:rsidRPr="00C74D34">
        <w:lastRenderedPageBreak/>
        <w:t>determination of the “need”</w:t>
      </w:r>
      <w:r w:rsidR="009A4AF7" w:rsidRPr="00C74D34">
        <w:t xml:space="preserve"> </w:t>
      </w:r>
      <w:r w:rsidR="00EE3E10" w:rsidRPr="00C74D34">
        <w:t>for Project 9A may</w:t>
      </w:r>
      <w:r w:rsidR="009A4AF7" w:rsidRPr="00C74D34">
        <w:t xml:space="preserve"> render </w:t>
      </w:r>
      <w:proofErr w:type="spellStart"/>
      <w:r w:rsidR="009A4AF7" w:rsidRPr="00C74D34">
        <w:t>Transource’s</w:t>
      </w:r>
      <w:proofErr w:type="spellEnd"/>
      <w:r w:rsidR="009A4AF7" w:rsidRPr="00C74D34">
        <w:t xml:space="preserve"> CPC invalid had been expressly raised on the record by </w:t>
      </w:r>
      <w:r w:rsidR="00084C05" w:rsidRPr="00C74D34">
        <w:t xml:space="preserve">STFC.  </w:t>
      </w:r>
      <w:r w:rsidR="00B45840" w:rsidRPr="00C74D34">
        <w:rPr>
          <w:i/>
        </w:rPr>
        <w:t>See</w:t>
      </w:r>
      <w:r w:rsidR="00B45840" w:rsidRPr="00C74D34">
        <w:t xml:space="preserve"> R.D. at 78-79. </w:t>
      </w:r>
    </w:p>
    <w:p w14:paraId="40C37EDD" w14:textId="77777777" w:rsidR="00B45840" w:rsidRPr="00C74D34" w:rsidRDefault="00B45840" w:rsidP="002D03FA">
      <w:pPr>
        <w:ind w:firstLine="1440"/>
        <w:rPr>
          <w:szCs w:val="26"/>
        </w:rPr>
      </w:pPr>
    </w:p>
    <w:p w14:paraId="28EEF2C9" w14:textId="79F3038C" w:rsidR="00B6033F" w:rsidRPr="00C74D34" w:rsidRDefault="00B45840" w:rsidP="002D03FA">
      <w:pPr>
        <w:ind w:firstLine="1440"/>
        <w:rPr>
          <w:szCs w:val="26"/>
        </w:rPr>
      </w:pPr>
      <w:r w:rsidRPr="00C74D34">
        <w:rPr>
          <w:szCs w:val="26"/>
        </w:rPr>
        <w:t xml:space="preserve">Further, the issue of whether the </w:t>
      </w:r>
      <w:r w:rsidR="004D1979" w:rsidRPr="00C74D34">
        <w:rPr>
          <w:szCs w:val="26"/>
        </w:rPr>
        <w:t xml:space="preserve">Commission’s determination on the issue of “need” for Project 9A inherently </w:t>
      </w:r>
      <w:r w:rsidR="00473A5D" w:rsidRPr="00C74D34">
        <w:rPr>
          <w:szCs w:val="26"/>
        </w:rPr>
        <w:t>relates to the validity of</w:t>
      </w:r>
      <w:r w:rsidR="003D67AF" w:rsidRPr="00C74D34">
        <w:rPr>
          <w:szCs w:val="26"/>
        </w:rPr>
        <w:t xml:space="preserve"> </w:t>
      </w:r>
      <w:r w:rsidR="00473A5D" w:rsidRPr="00C74D34">
        <w:rPr>
          <w:szCs w:val="26"/>
        </w:rPr>
        <w:t>t</w:t>
      </w:r>
      <w:r w:rsidR="003D67AF" w:rsidRPr="00C74D34">
        <w:rPr>
          <w:szCs w:val="26"/>
        </w:rPr>
        <w:t>he</w:t>
      </w:r>
      <w:r w:rsidR="00473A5D" w:rsidRPr="00C74D34">
        <w:rPr>
          <w:szCs w:val="26"/>
        </w:rPr>
        <w:t xml:space="preserve"> CPC which was issued on a provisional basis expressly related to </w:t>
      </w:r>
      <w:r w:rsidR="008418A4" w:rsidRPr="00C74D34">
        <w:rPr>
          <w:szCs w:val="26"/>
        </w:rPr>
        <w:t xml:space="preserve">service </w:t>
      </w:r>
      <w:r w:rsidR="0093111E" w:rsidRPr="00C74D34">
        <w:rPr>
          <w:szCs w:val="26"/>
        </w:rPr>
        <w:t xml:space="preserve">determined to be necessary under </w:t>
      </w:r>
      <w:r w:rsidR="00473A5D" w:rsidRPr="00C74D34">
        <w:rPr>
          <w:szCs w:val="26"/>
        </w:rPr>
        <w:t xml:space="preserve">Project 9A.  </w:t>
      </w:r>
      <w:r w:rsidR="000F0110" w:rsidRPr="00C74D34">
        <w:rPr>
          <w:szCs w:val="26"/>
        </w:rPr>
        <w:t xml:space="preserve">Since “need” for a CPC is also a statutory element, and an element which was expressly deferred by the </w:t>
      </w:r>
      <w:r w:rsidR="0093111E" w:rsidRPr="00C74D34">
        <w:rPr>
          <w:szCs w:val="26"/>
        </w:rPr>
        <w:t>January 23, 2018 Opinion and Order</w:t>
      </w:r>
      <w:r w:rsidR="00623E59" w:rsidRPr="00C74D34">
        <w:rPr>
          <w:szCs w:val="26"/>
        </w:rPr>
        <w:t>,</w:t>
      </w:r>
      <w:r w:rsidR="0093111E" w:rsidRPr="00C74D34">
        <w:rPr>
          <w:szCs w:val="26"/>
        </w:rPr>
        <w:t xml:space="preserve"> </w:t>
      </w:r>
      <w:r w:rsidR="000F0110" w:rsidRPr="00C74D34">
        <w:rPr>
          <w:szCs w:val="26"/>
        </w:rPr>
        <w:t xml:space="preserve">under which </w:t>
      </w:r>
      <w:proofErr w:type="spellStart"/>
      <w:r w:rsidR="000F0110" w:rsidRPr="00C74D34">
        <w:rPr>
          <w:szCs w:val="26"/>
        </w:rPr>
        <w:t>Transource’s</w:t>
      </w:r>
      <w:proofErr w:type="spellEnd"/>
      <w:r w:rsidR="000F0110" w:rsidRPr="00C74D34">
        <w:rPr>
          <w:szCs w:val="26"/>
        </w:rPr>
        <w:t xml:space="preserve"> CPC was issued, the </w:t>
      </w:r>
      <w:r w:rsidR="00907B57" w:rsidRPr="00C74D34">
        <w:rPr>
          <w:szCs w:val="26"/>
        </w:rPr>
        <w:t xml:space="preserve">continued </w:t>
      </w:r>
      <w:r w:rsidR="00DC6832" w:rsidRPr="00C74D34">
        <w:rPr>
          <w:szCs w:val="26"/>
        </w:rPr>
        <w:t xml:space="preserve">authority to operate under the provisional CPC is necessarily brought into question, where there is a determination that the </w:t>
      </w:r>
      <w:r w:rsidR="00EF1FD5" w:rsidRPr="00C74D34">
        <w:rPr>
          <w:szCs w:val="26"/>
        </w:rPr>
        <w:t xml:space="preserve">approval for </w:t>
      </w:r>
      <w:r w:rsidR="00DC6832" w:rsidRPr="00C74D34">
        <w:rPr>
          <w:szCs w:val="26"/>
        </w:rPr>
        <w:t>specific project, Project 9A</w:t>
      </w:r>
      <w:r w:rsidR="00EF1FD5" w:rsidRPr="00C74D34">
        <w:rPr>
          <w:szCs w:val="26"/>
        </w:rPr>
        <w:t>, has been</w:t>
      </w:r>
      <w:r w:rsidR="005E7E2F" w:rsidRPr="00C74D34">
        <w:rPr>
          <w:szCs w:val="26"/>
        </w:rPr>
        <w:t xml:space="preserve"> determined </w:t>
      </w:r>
      <w:r w:rsidR="003D67AF" w:rsidRPr="00C74D34">
        <w:rPr>
          <w:szCs w:val="26"/>
        </w:rPr>
        <w:t xml:space="preserve">to be </w:t>
      </w:r>
      <w:r w:rsidR="00EF1FD5" w:rsidRPr="00C74D34">
        <w:rPr>
          <w:szCs w:val="26"/>
        </w:rPr>
        <w:t>denied.</w:t>
      </w:r>
      <w:r w:rsidR="003D67AF" w:rsidRPr="00C74D34">
        <w:rPr>
          <w:szCs w:val="26"/>
        </w:rPr>
        <w:t xml:space="preserve">  </w:t>
      </w:r>
      <w:r w:rsidR="003D67AF" w:rsidRPr="00C74D34">
        <w:rPr>
          <w:i/>
        </w:rPr>
        <w:t>See</w:t>
      </w:r>
      <w:r w:rsidR="003D67AF" w:rsidRPr="00C74D34">
        <w:rPr>
          <w:szCs w:val="26"/>
        </w:rPr>
        <w:t xml:space="preserve"> </w:t>
      </w:r>
      <w:r w:rsidR="002110D2" w:rsidRPr="00C74D34">
        <w:rPr>
          <w:szCs w:val="26"/>
        </w:rPr>
        <w:t>66 Pa. C.S.A</w:t>
      </w:r>
      <w:r w:rsidR="00896BD6" w:rsidRPr="00C74D34">
        <w:rPr>
          <w:szCs w:val="26"/>
        </w:rPr>
        <w:t>.</w:t>
      </w:r>
      <w:r w:rsidR="002110D2" w:rsidRPr="00C74D34">
        <w:rPr>
          <w:szCs w:val="26"/>
        </w:rPr>
        <w:t xml:space="preserve"> §</w:t>
      </w:r>
      <w:r w:rsidR="00896BD6" w:rsidRPr="00C74D34">
        <w:rPr>
          <w:szCs w:val="26"/>
        </w:rPr>
        <w:t>§ </w:t>
      </w:r>
      <w:r w:rsidR="002110D2" w:rsidRPr="00C74D34">
        <w:rPr>
          <w:szCs w:val="26"/>
        </w:rPr>
        <w:t>1101-1103.</w:t>
      </w:r>
    </w:p>
    <w:p w14:paraId="74FE6809" w14:textId="5EEA06DF" w:rsidR="00947917" w:rsidRPr="00C74D34" w:rsidRDefault="00947917" w:rsidP="002D03FA">
      <w:pPr>
        <w:ind w:firstLine="1440"/>
        <w:rPr>
          <w:szCs w:val="26"/>
        </w:rPr>
      </w:pPr>
    </w:p>
    <w:p w14:paraId="53167E8A" w14:textId="573ADC0C" w:rsidR="00947917" w:rsidRPr="00C74D34" w:rsidRDefault="00947917" w:rsidP="002D03FA">
      <w:pPr>
        <w:ind w:firstLine="1440"/>
        <w:rPr>
          <w:szCs w:val="26"/>
        </w:rPr>
      </w:pPr>
      <w:r w:rsidRPr="00C74D34">
        <w:rPr>
          <w:szCs w:val="26"/>
        </w:rPr>
        <w:t xml:space="preserve">As previously noted, on January 23, 2018, the Commission issued an Opinion and Order at Docket Nos. A-2017-2587821 and G-2017-2587822 granting public utility status to </w:t>
      </w:r>
      <w:proofErr w:type="spellStart"/>
      <w:r w:rsidRPr="00C74D34">
        <w:rPr>
          <w:szCs w:val="26"/>
        </w:rPr>
        <w:t>Transource</w:t>
      </w:r>
      <w:proofErr w:type="spellEnd"/>
      <w:r w:rsidRPr="00C74D34">
        <w:rPr>
          <w:szCs w:val="26"/>
        </w:rPr>
        <w:t xml:space="preserve"> </w:t>
      </w:r>
      <w:r w:rsidR="0010371C" w:rsidRPr="00C74D34">
        <w:rPr>
          <w:szCs w:val="26"/>
        </w:rPr>
        <w:t xml:space="preserve">expressly stated </w:t>
      </w:r>
      <w:r w:rsidRPr="00C74D34">
        <w:rPr>
          <w:szCs w:val="26"/>
        </w:rPr>
        <w:t xml:space="preserve">to: </w:t>
      </w:r>
      <w:r w:rsidR="007F394A" w:rsidRPr="00C74D34">
        <w:rPr>
          <w:szCs w:val="26"/>
        </w:rPr>
        <w:t xml:space="preserve"> </w:t>
      </w:r>
      <w:r w:rsidRPr="00C74D34">
        <w:rPr>
          <w:szCs w:val="26"/>
        </w:rPr>
        <w:t xml:space="preserve">(1) begin to furnish and supply electric transmission service to or for the public within a transmission service area from the new Rice Substation in Franklin County, </w:t>
      </w:r>
      <w:r w:rsidRPr="00C74D34">
        <w:rPr>
          <w:caps/>
          <w:szCs w:val="26"/>
        </w:rPr>
        <w:t>PA</w:t>
      </w:r>
      <w:r w:rsidRPr="00C74D34">
        <w:rPr>
          <w:szCs w:val="26"/>
        </w:rPr>
        <w:t xml:space="preserve"> to the Pennsylvania/Maryland border for PJM Project 9A, baseline upgrade numbers b2743 and b2752 and (2) begin to furnish and supply electric transmission service to or for the public within a transmission service area from the new Furnace Run Substation in York County, PA to the</w:t>
      </w:r>
      <w:r w:rsidR="005E7E2F" w:rsidRPr="00C74D34">
        <w:rPr>
          <w:szCs w:val="26"/>
        </w:rPr>
        <w:t xml:space="preserve"> </w:t>
      </w:r>
      <w:r w:rsidRPr="00C74D34">
        <w:rPr>
          <w:szCs w:val="26"/>
        </w:rPr>
        <w:t>Pennsylvania/Maryland border for PJM Project 9A, baseline upgrade numbers b2743 and b2752</w:t>
      </w:r>
      <w:r w:rsidR="00277A41" w:rsidRPr="00C74D34">
        <w:rPr>
          <w:szCs w:val="26"/>
        </w:rPr>
        <w:t>.</w:t>
      </w:r>
    </w:p>
    <w:p w14:paraId="518F43AE" w14:textId="00245969" w:rsidR="00277A41" w:rsidRPr="00C74D34" w:rsidRDefault="00277A41" w:rsidP="002D03FA">
      <w:pPr>
        <w:ind w:firstLine="1440"/>
        <w:rPr>
          <w:szCs w:val="26"/>
        </w:rPr>
      </w:pPr>
    </w:p>
    <w:p w14:paraId="0D86B38A" w14:textId="7AE27A50" w:rsidR="00277A41" w:rsidRPr="00C74D34" w:rsidRDefault="00277A41" w:rsidP="002D03FA">
      <w:pPr>
        <w:ind w:firstLine="1440"/>
        <w:rPr>
          <w:szCs w:val="26"/>
        </w:rPr>
      </w:pPr>
      <w:r w:rsidRPr="00C74D34">
        <w:rPr>
          <w:szCs w:val="26"/>
        </w:rPr>
        <w:t xml:space="preserve">As noted by the ALJ: </w:t>
      </w:r>
    </w:p>
    <w:p w14:paraId="5D7B5482" w14:textId="5F65EC65" w:rsidR="00277A41" w:rsidRPr="00C74D34" w:rsidRDefault="00277A41" w:rsidP="001578A0">
      <w:pPr>
        <w:spacing w:line="240" w:lineRule="auto"/>
        <w:ind w:firstLine="1440"/>
        <w:rPr>
          <w:szCs w:val="26"/>
        </w:rPr>
      </w:pPr>
    </w:p>
    <w:p w14:paraId="043E24FA" w14:textId="68B355DD" w:rsidR="0036341A" w:rsidRPr="00C74D34" w:rsidRDefault="00277A41" w:rsidP="002D03FA">
      <w:pPr>
        <w:spacing w:line="240" w:lineRule="auto"/>
        <w:ind w:left="1440" w:right="1440"/>
        <w:rPr>
          <w:szCs w:val="26"/>
        </w:rPr>
      </w:pPr>
      <w:r w:rsidRPr="00C74D34">
        <w:rPr>
          <w:szCs w:val="26"/>
        </w:rPr>
        <w:t xml:space="preserve">The certificate of public convenience </w:t>
      </w:r>
      <w:proofErr w:type="spellStart"/>
      <w:r w:rsidRPr="00C74D34">
        <w:rPr>
          <w:szCs w:val="26"/>
        </w:rPr>
        <w:t>Transource</w:t>
      </w:r>
      <w:proofErr w:type="spellEnd"/>
      <w:r w:rsidRPr="00C74D34">
        <w:rPr>
          <w:szCs w:val="26"/>
        </w:rPr>
        <w:t xml:space="preserve"> holds is narrowly tailored for one specific project and the Commission expressly declined to predetermine that public need existed for additional electric transmission services in Franklin and York Counties.  Further, the Commission made no determination of need for </w:t>
      </w:r>
      <w:r w:rsidR="001C44CC" w:rsidRPr="00C74D34">
        <w:rPr>
          <w:szCs w:val="26"/>
        </w:rPr>
        <w:t>…[Project 9A]</w:t>
      </w:r>
      <w:r w:rsidRPr="00C74D34">
        <w:rPr>
          <w:szCs w:val="26"/>
        </w:rPr>
        <w:t xml:space="preserve">.  Although the </w:t>
      </w:r>
      <w:r w:rsidRPr="00C74D34">
        <w:rPr>
          <w:szCs w:val="26"/>
        </w:rPr>
        <w:lastRenderedPageBreak/>
        <w:t xml:space="preserve">Commission approved a settlement and granted a certificate of public convenience, which generally requires a finding of public need for additional service within a service territory, the Commission specifically removed language from the Initial Decision to avoid any “predetermination of need.”  See </w:t>
      </w:r>
      <w:r w:rsidRPr="00C74D34">
        <w:rPr>
          <w:i/>
          <w:szCs w:val="26"/>
        </w:rPr>
        <w:t xml:space="preserve">Application of </w:t>
      </w:r>
      <w:proofErr w:type="spellStart"/>
      <w:r w:rsidRPr="00C74D34">
        <w:rPr>
          <w:i/>
          <w:szCs w:val="26"/>
        </w:rPr>
        <w:t>Transource</w:t>
      </w:r>
      <w:proofErr w:type="spellEnd"/>
      <w:r w:rsidRPr="00C74D34">
        <w:rPr>
          <w:i/>
          <w:szCs w:val="26"/>
        </w:rPr>
        <w:t xml:space="preserve"> Pennsylvania LLC</w:t>
      </w:r>
      <w:r w:rsidRPr="00C74D34">
        <w:rPr>
          <w:szCs w:val="26"/>
        </w:rPr>
        <w:t>, Docket No. A</w:t>
      </w:r>
      <w:r w:rsidR="00896BD6" w:rsidRPr="00C74D34">
        <w:rPr>
          <w:szCs w:val="26"/>
        </w:rPr>
        <w:noBreakHyphen/>
      </w:r>
      <w:r w:rsidRPr="00C74D34">
        <w:rPr>
          <w:szCs w:val="26"/>
        </w:rPr>
        <w:t xml:space="preserve">2017-2587821 (Opinion and Order entered January 23, 2018). </w:t>
      </w:r>
    </w:p>
    <w:p w14:paraId="572C8E68" w14:textId="77777777" w:rsidR="00896BD6" w:rsidRPr="00C74D34" w:rsidRDefault="00896BD6" w:rsidP="001578A0">
      <w:pPr>
        <w:ind w:right="1440"/>
        <w:rPr>
          <w:szCs w:val="26"/>
        </w:rPr>
      </w:pPr>
    </w:p>
    <w:p w14:paraId="6D8969C6" w14:textId="42F1EF4E" w:rsidR="00277A41" w:rsidRPr="00C74D34" w:rsidRDefault="0036341A" w:rsidP="001578A0">
      <w:pPr>
        <w:ind w:right="1440"/>
        <w:rPr>
          <w:szCs w:val="26"/>
        </w:rPr>
      </w:pPr>
      <w:r w:rsidRPr="00C74D34">
        <w:rPr>
          <w:szCs w:val="26"/>
        </w:rPr>
        <w:t xml:space="preserve">R.D. </w:t>
      </w:r>
      <w:r w:rsidR="00610EDD" w:rsidRPr="00C74D34">
        <w:rPr>
          <w:szCs w:val="26"/>
        </w:rPr>
        <w:t>a</w:t>
      </w:r>
      <w:r w:rsidRPr="00C74D34">
        <w:rPr>
          <w:szCs w:val="26"/>
        </w:rPr>
        <w:t>t 60.</w:t>
      </w:r>
      <w:r w:rsidR="00277A41" w:rsidRPr="00C74D34">
        <w:rPr>
          <w:szCs w:val="26"/>
        </w:rPr>
        <w:t xml:space="preserve">  </w:t>
      </w:r>
    </w:p>
    <w:p w14:paraId="1756719B" w14:textId="21EE3DD7" w:rsidR="00B6033F" w:rsidRPr="00C74D34" w:rsidRDefault="00B6033F" w:rsidP="001578A0">
      <w:pPr>
        <w:pStyle w:val="ListParagraph"/>
        <w:rPr>
          <w:szCs w:val="26"/>
        </w:rPr>
      </w:pPr>
    </w:p>
    <w:p w14:paraId="4AF85CB0" w14:textId="56764C04" w:rsidR="004901E6" w:rsidRPr="00C74D34" w:rsidRDefault="00D76756" w:rsidP="001578A0">
      <w:pPr>
        <w:pStyle w:val="ListParagraph"/>
        <w:ind w:left="0"/>
        <w:rPr>
          <w:szCs w:val="26"/>
        </w:rPr>
      </w:pPr>
      <w:r w:rsidRPr="00C74D34">
        <w:rPr>
          <w:szCs w:val="26"/>
        </w:rPr>
        <w:t>Given that</w:t>
      </w:r>
      <w:r w:rsidR="00294408" w:rsidRPr="00C74D34">
        <w:rPr>
          <w:szCs w:val="26"/>
        </w:rPr>
        <w:t xml:space="preserve"> we </w:t>
      </w:r>
      <w:r w:rsidR="00FE379C" w:rsidRPr="00C74D34">
        <w:rPr>
          <w:szCs w:val="26"/>
        </w:rPr>
        <w:t>shall ad</w:t>
      </w:r>
      <w:r w:rsidRPr="00C74D34">
        <w:rPr>
          <w:szCs w:val="26"/>
        </w:rPr>
        <w:t xml:space="preserve">opt the ALJ’s recommendation to deny </w:t>
      </w:r>
      <w:proofErr w:type="spellStart"/>
      <w:r w:rsidR="00294408" w:rsidRPr="00C74D34">
        <w:rPr>
          <w:szCs w:val="26"/>
        </w:rPr>
        <w:t>Transource’s</w:t>
      </w:r>
      <w:proofErr w:type="spellEnd"/>
      <w:r w:rsidRPr="00C74D34">
        <w:rPr>
          <w:szCs w:val="26"/>
        </w:rPr>
        <w:t xml:space="preserve"> </w:t>
      </w:r>
      <w:r w:rsidR="00294408" w:rsidRPr="00C74D34">
        <w:rPr>
          <w:szCs w:val="26"/>
        </w:rPr>
        <w:t xml:space="preserve">siting </w:t>
      </w:r>
      <w:r w:rsidRPr="00C74D34">
        <w:rPr>
          <w:szCs w:val="26"/>
        </w:rPr>
        <w:t xml:space="preserve">Applications </w:t>
      </w:r>
      <w:r w:rsidR="00294408" w:rsidRPr="00C74D34">
        <w:rPr>
          <w:szCs w:val="26"/>
        </w:rPr>
        <w:t>and the related necessary findings for authority to constru</w:t>
      </w:r>
      <w:r w:rsidR="00277A41" w:rsidRPr="00C74D34">
        <w:rPr>
          <w:szCs w:val="26"/>
        </w:rPr>
        <w:t>c</w:t>
      </w:r>
      <w:r w:rsidR="00294408" w:rsidRPr="00C74D34">
        <w:rPr>
          <w:szCs w:val="26"/>
        </w:rPr>
        <w:t xml:space="preserve">t Project 9A, </w:t>
      </w:r>
      <w:r w:rsidR="0036341A" w:rsidRPr="00C74D34">
        <w:rPr>
          <w:szCs w:val="26"/>
        </w:rPr>
        <w:t>the</w:t>
      </w:r>
      <w:r w:rsidR="006E373C" w:rsidRPr="00C74D34">
        <w:rPr>
          <w:szCs w:val="26"/>
        </w:rPr>
        <w:t xml:space="preserve"> provisional need for which </w:t>
      </w:r>
      <w:proofErr w:type="spellStart"/>
      <w:r w:rsidR="006E373C" w:rsidRPr="00C74D34">
        <w:rPr>
          <w:szCs w:val="26"/>
        </w:rPr>
        <w:t>Transource’s</w:t>
      </w:r>
      <w:proofErr w:type="spellEnd"/>
      <w:r w:rsidR="006E373C" w:rsidRPr="00C74D34">
        <w:rPr>
          <w:szCs w:val="26"/>
        </w:rPr>
        <w:t xml:space="preserve"> CPC </w:t>
      </w:r>
      <w:r w:rsidR="00D108A7" w:rsidRPr="00C74D34">
        <w:rPr>
          <w:szCs w:val="26"/>
        </w:rPr>
        <w:t xml:space="preserve">was issued </w:t>
      </w:r>
      <w:r w:rsidR="00A1177B" w:rsidRPr="00C74D34">
        <w:rPr>
          <w:szCs w:val="26"/>
        </w:rPr>
        <w:t xml:space="preserve">will cease to exist. </w:t>
      </w:r>
      <w:r w:rsidR="006E373C" w:rsidRPr="00C74D34">
        <w:rPr>
          <w:szCs w:val="26"/>
        </w:rPr>
        <w:t xml:space="preserve"> As such, the </w:t>
      </w:r>
      <w:r w:rsidR="00294408" w:rsidRPr="00C74D34">
        <w:rPr>
          <w:szCs w:val="26"/>
        </w:rPr>
        <w:t xml:space="preserve">ALJ correctly concluded that </w:t>
      </w:r>
      <w:r w:rsidR="00FA280B" w:rsidRPr="00C74D34">
        <w:rPr>
          <w:szCs w:val="26"/>
        </w:rPr>
        <w:t xml:space="preserve">the statutory authority </w:t>
      </w:r>
      <w:r w:rsidR="00024590" w:rsidRPr="00C74D34">
        <w:rPr>
          <w:szCs w:val="26"/>
        </w:rPr>
        <w:t xml:space="preserve">for </w:t>
      </w:r>
      <w:proofErr w:type="spellStart"/>
      <w:r w:rsidR="00024590" w:rsidRPr="00C74D34">
        <w:rPr>
          <w:szCs w:val="26"/>
        </w:rPr>
        <w:t>Transource</w:t>
      </w:r>
      <w:proofErr w:type="spellEnd"/>
      <w:r w:rsidR="00024590" w:rsidRPr="00C74D34">
        <w:rPr>
          <w:szCs w:val="26"/>
        </w:rPr>
        <w:t xml:space="preserve"> </w:t>
      </w:r>
      <w:r w:rsidR="00CB7DAC" w:rsidRPr="00C74D34">
        <w:rPr>
          <w:szCs w:val="26"/>
        </w:rPr>
        <w:t xml:space="preserve">to continue </w:t>
      </w:r>
      <w:r w:rsidR="00024590" w:rsidRPr="00C74D34">
        <w:rPr>
          <w:szCs w:val="26"/>
        </w:rPr>
        <w:t>operat</w:t>
      </w:r>
      <w:r w:rsidR="00CB7DAC" w:rsidRPr="00C74D34">
        <w:rPr>
          <w:szCs w:val="26"/>
        </w:rPr>
        <w:t>ing</w:t>
      </w:r>
      <w:r w:rsidR="00024590" w:rsidRPr="00C74D34">
        <w:rPr>
          <w:szCs w:val="26"/>
        </w:rPr>
        <w:t xml:space="preserve"> under the CPC </w:t>
      </w:r>
      <w:r w:rsidR="007E47BB" w:rsidRPr="00C74D34">
        <w:rPr>
          <w:szCs w:val="26"/>
        </w:rPr>
        <w:t xml:space="preserve">is brought into question.  </w:t>
      </w:r>
      <w:r w:rsidR="00050442" w:rsidRPr="00C74D34">
        <w:rPr>
          <w:szCs w:val="26"/>
        </w:rPr>
        <w:t>However, we disagree with the ALJ’s recommendation that the proper p</w:t>
      </w:r>
      <w:r w:rsidR="00E611AF" w:rsidRPr="00C74D34">
        <w:rPr>
          <w:szCs w:val="26"/>
        </w:rPr>
        <w:t>rocedural step is issuance of a</w:t>
      </w:r>
      <w:r w:rsidR="00497E3B" w:rsidRPr="00C74D34">
        <w:rPr>
          <w:szCs w:val="26"/>
        </w:rPr>
        <w:t xml:space="preserve"> </w:t>
      </w:r>
      <w:r w:rsidR="00E611AF" w:rsidRPr="00C74D34">
        <w:rPr>
          <w:szCs w:val="26"/>
        </w:rPr>
        <w:t>Rule to Show Cause.</w:t>
      </w:r>
    </w:p>
    <w:p w14:paraId="28A70B23" w14:textId="77777777" w:rsidR="004901E6" w:rsidRPr="00C74D34" w:rsidRDefault="004901E6" w:rsidP="001578A0">
      <w:pPr>
        <w:pStyle w:val="ListParagraph"/>
        <w:ind w:left="0"/>
        <w:rPr>
          <w:szCs w:val="26"/>
        </w:rPr>
      </w:pPr>
    </w:p>
    <w:p w14:paraId="06B3CB62" w14:textId="37973289" w:rsidR="009A2157" w:rsidRPr="00C74D34" w:rsidRDefault="00041468" w:rsidP="001578A0">
      <w:pPr>
        <w:pStyle w:val="ListParagraph"/>
        <w:ind w:left="0"/>
        <w:rPr>
          <w:szCs w:val="26"/>
        </w:rPr>
      </w:pPr>
      <w:r w:rsidRPr="00C74D34">
        <w:rPr>
          <w:szCs w:val="26"/>
        </w:rPr>
        <w:t>Here</w:t>
      </w:r>
      <w:r w:rsidR="006B598A" w:rsidRPr="00C74D34">
        <w:rPr>
          <w:szCs w:val="26"/>
        </w:rPr>
        <w:t>,</w:t>
      </w:r>
      <w:r w:rsidRPr="00C74D34">
        <w:rPr>
          <w:szCs w:val="26"/>
        </w:rPr>
        <w:t xml:space="preserve"> we are presented with the unique circumstance in which a provisional </w:t>
      </w:r>
      <w:r w:rsidR="00053C72" w:rsidRPr="00C74D34">
        <w:rPr>
          <w:szCs w:val="26"/>
        </w:rPr>
        <w:t xml:space="preserve">CPC was issued and the determination of the </w:t>
      </w:r>
      <w:r w:rsidR="004F4C25" w:rsidRPr="00C74D34">
        <w:rPr>
          <w:szCs w:val="26"/>
        </w:rPr>
        <w:t>statutory element of “</w:t>
      </w:r>
      <w:r w:rsidR="00053C72" w:rsidRPr="00C74D34">
        <w:rPr>
          <w:szCs w:val="26"/>
        </w:rPr>
        <w:t>necessity</w:t>
      </w:r>
      <w:r w:rsidR="004F4C25" w:rsidRPr="00C74D34">
        <w:rPr>
          <w:szCs w:val="26"/>
        </w:rPr>
        <w:t>”</w:t>
      </w:r>
      <w:r w:rsidR="00053C72" w:rsidRPr="00C74D34">
        <w:rPr>
          <w:szCs w:val="26"/>
        </w:rPr>
        <w:t xml:space="preserve"> for the service to be provided by Project 9A</w:t>
      </w:r>
      <w:r w:rsidR="004F4C25" w:rsidRPr="00C74D34">
        <w:rPr>
          <w:szCs w:val="26"/>
        </w:rPr>
        <w:t xml:space="preserve"> was expressly deferred to the outcome of the</w:t>
      </w:r>
      <w:r w:rsidR="00A90CBB" w:rsidRPr="00C74D34">
        <w:rPr>
          <w:szCs w:val="26"/>
        </w:rPr>
        <w:t>se consolidated siting Applications.  Therefore, i</w:t>
      </w:r>
      <w:r w:rsidRPr="00C74D34">
        <w:rPr>
          <w:szCs w:val="26"/>
        </w:rPr>
        <w:t xml:space="preserve">n the present circumstances, </w:t>
      </w:r>
      <w:r w:rsidR="00A90CBB" w:rsidRPr="00C74D34">
        <w:rPr>
          <w:szCs w:val="26"/>
        </w:rPr>
        <w:t>a</w:t>
      </w:r>
      <w:r w:rsidR="007E47BB" w:rsidRPr="00C74D34">
        <w:rPr>
          <w:szCs w:val="26"/>
        </w:rPr>
        <w:t>s a matter of statutory authority</w:t>
      </w:r>
      <w:r w:rsidR="0051337B" w:rsidRPr="00C74D34">
        <w:rPr>
          <w:szCs w:val="26"/>
        </w:rPr>
        <w:t xml:space="preserve"> and Commission discretion</w:t>
      </w:r>
      <w:r w:rsidR="007E47BB" w:rsidRPr="00C74D34">
        <w:rPr>
          <w:szCs w:val="26"/>
        </w:rPr>
        <w:t>,</w:t>
      </w:r>
      <w:r w:rsidR="00667B6F" w:rsidRPr="00C74D34">
        <w:rPr>
          <w:szCs w:val="26"/>
        </w:rPr>
        <w:t xml:space="preserve"> </w:t>
      </w:r>
      <w:r w:rsidR="007E47BB" w:rsidRPr="00C74D34">
        <w:rPr>
          <w:szCs w:val="26"/>
        </w:rPr>
        <w:t>the</w:t>
      </w:r>
      <w:r w:rsidR="00C169B7" w:rsidRPr="00C74D34">
        <w:rPr>
          <w:szCs w:val="26"/>
        </w:rPr>
        <w:t xml:space="preserve"> failure to establish </w:t>
      </w:r>
      <w:r w:rsidR="00954469" w:rsidRPr="00C74D34">
        <w:rPr>
          <w:szCs w:val="26"/>
        </w:rPr>
        <w:t>necessity of</w:t>
      </w:r>
      <w:r w:rsidR="00C53157" w:rsidRPr="00C74D34">
        <w:rPr>
          <w:szCs w:val="26"/>
        </w:rPr>
        <w:t xml:space="preserve"> the</w:t>
      </w:r>
      <w:r w:rsidR="00954469" w:rsidRPr="00C74D34">
        <w:rPr>
          <w:szCs w:val="26"/>
        </w:rPr>
        <w:t xml:space="preserve"> service </w:t>
      </w:r>
      <w:r w:rsidR="00C53157" w:rsidRPr="00C74D34">
        <w:rPr>
          <w:szCs w:val="26"/>
        </w:rPr>
        <w:t xml:space="preserve">for which the provisional CPC was issued, </w:t>
      </w:r>
      <w:r w:rsidR="00C53157" w:rsidRPr="00C74D34">
        <w:rPr>
          <w:i/>
          <w:iCs/>
          <w:szCs w:val="26"/>
        </w:rPr>
        <w:t>i.e</w:t>
      </w:r>
      <w:r w:rsidR="00C53157" w:rsidRPr="00C74D34">
        <w:rPr>
          <w:szCs w:val="26"/>
        </w:rPr>
        <w:t>., Project 9A,</w:t>
      </w:r>
      <w:r w:rsidR="00390803" w:rsidRPr="00C74D34">
        <w:rPr>
          <w:szCs w:val="26"/>
        </w:rPr>
        <w:t xml:space="preserve"> </w:t>
      </w:r>
      <w:r w:rsidR="00C169B7" w:rsidRPr="00C74D34">
        <w:rPr>
          <w:szCs w:val="26"/>
        </w:rPr>
        <w:t>constitute</w:t>
      </w:r>
      <w:r w:rsidR="00220E60" w:rsidRPr="00C74D34">
        <w:rPr>
          <w:szCs w:val="26"/>
        </w:rPr>
        <w:t>s</w:t>
      </w:r>
      <w:r w:rsidR="00C169B7" w:rsidRPr="00C74D34">
        <w:rPr>
          <w:szCs w:val="26"/>
        </w:rPr>
        <w:t xml:space="preserve"> “cause” to rescind </w:t>
      </w:r>
      <w:r w:rsidR="00954469" w:rsidRPr="00C74D34">
        <w:rPr>
          <w:szCs w:val="26"/>
        </w:rPr>
        <w:t>the</w:t>
      </w:r>
      <w:r w:rsidR="00390803" w:rsidRPr="00C74D34">
        <w:rPr>
          <w:szCs w:val="26"/>
        </w:rPr>
        <w:t xml:space="preserve"> provisional</w:t>
      </w:r>
      <w:r w:rsidR="009A2157" w:rsidRPr="00C74D34">
        <w:rPr>
          <w:szCs w:val="26"/>
        </w:rPr>
        <w:t xml:space="preserve"> CPC</w:t>
      </w:r>
      <w:r w:rsidR="00667B6F" w:rsidRPr="00C74D34">
        <w:rPr>
          <w:szCs w:val="26"/>
        </w:rPr>
        <w:t xml:space="preserve">.  </w:t>
      </w:r>
      <w:r w:rsidR="00667B6F" w:rsidRPr="00C74D34">
        <w:rPr>
          <w:i/>
        </w:rPr>
        <w:t>See</w:t>
      </w:r>
      <w:r w:rsidR="00667B6F" w:rsidRPr="00C74D34">
        <w:rPr>
          <w:szCs w:val="26"/>
        </w:rPr>
        <w:t xml:space="preserve"> 66 Pa C.S.A</w:t>
      </w:r>
      <w:r w:rsidR="00896BD6" w:rsidRPr="00C74D34">
        <w:rPr>
          <w:szCs w:val="26"/>
        </w:rPr>
        <w:t>,</w:t>
      </w:r>
      <w:r w:rsidR="00667B6F" w:rsidRPr="00C74D34">
        <w:rPr>
          <w:szCs w:val="26"/>
        </w:rPr>
        <w:t xml:space="preserve"> §</w:t>
      </w:r>
      <w:r w:rsidR="00896BD6" w:rsidRPr="00C74D34">
        <w:rPr>
          <w:szCs w:val="26"/>
        </w:rPr>
        <w:t> </w:t>
      </w:r>
      <w:r w:rsidR="00667B6F" w:rsidRPr="00C74D34">
        <w:rPr>
          <w:szCs w:val="26"/>
        </w:rPr>
        <w:t xml:space="preserve">1101 and </w:t>
      </w:r>
      <w:r w:rsidR="00667B6F" w:rsidRPr="00C74D34">
        <w:rPr>
          <w:i/>
          <w:iCs/>
          <w:szCs w:val="26"/>
        </w:rPr>
        <w:t xml:space="preserve">T.M Zimmerman Co. v. </w:t>
      </w:r>
      <w:r w:rsidR="00896BD6" w:rsidRPr="00C74D34">
        <w:rPr>
          <w:i/>
          <w:iCs/>
          <w:szCs w:val="26"/>
        </w:rPr>
        <w:t>Pa.</w:t>
      </w:r>
      <w:r w:rsidR="001578A0">
        <w:rPr>
          <w:i/>
          <w:iCs/>
          <w:szCs w:val="26"/>
        </w:rPr>
        <w:t> </w:t>
      </w:r>
      <w:r w:rsidR="00896BD6" w:rsidRPr="00C74D34">
        <w:rPr>
          <w:i/>
          <w:iCs/>
          <w:szCs w:val="26"/>
        </w:rPr>
        <w:t>PUC</w:t>
      </w:r>
      <w:r w:rsidR="00667B6F" w:rsidRPr="00C74D34">
        <w:rPr>
          <w:szCs w:val="26"/>
        </w:rPr>
        <w:t xml:space="preserve">, 169 A.2d 322 (Pa. Super. 1961) (Type </w:t>
      </w:r>
      <w:r w:rsidR="00896BD6" w:rsidRPr="00C74D34">
        <w:rPr>
          <w:szCs w:val="26"/>
        </w:rPr>
        <w:t xml:space="preserve">of </w:t>
      </w:r>
      <w:r w:rsidR="00667B6F" w:rsidRPr="00C74D34">
        <w:rPr>
          <w:szCs w:val="26"/>
        </w:rPr>
        <w:t xml:space="preserve">service contemplated at time of original application is significant consideration </w:t>
      </w:r>
      <w:r w:rsidR="00896BD6" w:rsidRPr="00C74D34">
        <w:rPr>
          <w:szCs w:val="26"/>
        </w:rPr>
        <w:t xml:space="preserve">in </w:t>
      </w:r>
      <w:r w:rsidR="00667B6F" w:rsidRPr="00C74D34">
        <w:rPr>
          <w:szCs w:val="26"/>
        </w:rPr>
        <w:t xml:space="preserve">determining extent of authority under CPC).  </w:t>
      </w:r>
    </w:p>
    <w:p w14:paraId="771AA953" w14:textId="77777777" w:rsidR="009A2157" w:rsidRPr="00C74D34" w:rsidRDefault="009A2157" w:rsidP="002D03FA">
      <w:pPr>
        <w:pStyle w:val="ListParagraph"/>
        <w:ind w:left="0"/>
        <w:rPr>
          <w:szCs w:val="26"/>
        </w:rPr>
      </w:pPr>
    </w:p>
    <w:p w14:paraId="6C936F9A" w14:textId="19806A77" w:rsidR="00CD6A49" w:rsidRPr="00C74D34" w:rsidRDefault="00934CCB" w:rsidP="002D03FA">
      <w:pPr>
        <w:pStyle w:val="ListParagraph"/>
        <w:ind w:left="0"/>
        <w:rPr>
          <w:szCs w:val="26"/>
        </w:rPr>
      </w:pPr>
      <w:r w:rsidRPr="00C74D34">
        <w:rPr>
          <w:szCs w:val="26"/>
        </w:rPr>
        <w:t>Per our discussion and disposition of</w:t>
      </w:r>
      <w:r w:rsidR="00B11342" w:rsidRPr="00C74D34">
        <w:rPr>
          <w:szCs w:val="26"/>
        </w:rPr>
        <w:t xml:space="preserve"> </w:t>
      </w:r>
      <w:proofErr w:type="spellStart"/>
      <w:r w:rsidR="00B11342" w:rsidRPr="00C74D34">
        <w:rPr>
          <w:szCs w:val="26"/>
        </w:rPr>
        <w:t>Transource’s</w:t>
      </w:r>
      <w:proofErr w:type="spellEnd"/>
      <w:r w:rsidRPr="00C74D34">
        <w:rPr>
          <w:szCs w:val="26"/>
        </w:rPr>
        <w:t xml:space="preserve"> Exception No. 1, </w:t>
      </w:r>
      <w:r w:rsidRPr="00C74D34">
        <w:rPr>
          <w:i/>
          <w:iCs/>
          <w:szCs w:val="26"/>
        </w:rPr>
        <w:t>supra</w:t>
      </w:r>
      <w:r w:rsidRPr="00C74D34">
        <w:rPr>
          <w:szCs w:val="26"/>
        </w:rPr>
        <w:t xml:space="preserve">., we have determined that </w:t>
      </w:r>
      <w:proofErr w:type="spellStart"/>
      <w:r w:rsidRPr="00C74D34">
        <w:rPr>
          <w:szCs w:val="26"/>
        </w:rPr>
        <w:t>Transource</w:t>
      </w:r>
      <w:proofErr w:type="spellEnd"/>
      <w:r w:rsidRPr="00C74D34">
        <w:rPr>
          <w:szCs w:val="26"/>
        </w:rPr>
        <w:t xml:space="preserve"> failed </w:t>
      </w:r>
      <w:r w:rsidR="004448A7" w:rsidRPr="00C74D34">
        <w:rPr>
          <w:szCs w:val="26"/>
        </w:rPr>
        <w:t xml:space="preserve">to carry the burden of persuasion </w:t>
      </w:r>
      <w:r w:rsidRPr="00C74D34">
        <w:rPr>
          <w:szCs w:val="26"/>
        </w:rPr>
        <w:t xml:space="preserve">to establish </w:t>
      </w:r>
      <w:r w:rsidRPr="00C74D34">
        <w:rPr>
          <w:szCs w:val="26"/>
        </w:rPr>
        <w:lastRenderedPageBreak/>
        <w:t>need for the proposed siting Applications</w:t>
      </w:r>
      <w:r w:rsidR="004448A7" w:rsidRPr="00C74D34">
        <w:rPr>
          <w:szCs w:val="26"/>
        </w:rPr>
        <w:t xml:space="preserve"> by a preponderance of the evidence</w:t>
      </w:r>
      <w:r w:rsidRPr="00C74D34">
        <w:rPr>
          <w:szCs w:val="26"/>
        </w:rPr>
        <w:t xml:space="preserve">, pursuant to Commission authority under Section 1501 of the Code and Commission Regulation at 52 Pa. Code </w:t>
      </w:r>
      <w:r w:rsidR="00896BD6" w:rsidRPr="00C74D34">
        <w:rPr>
          <w:szCs w:val="26"/>
        </w:rPr>
        <w:t xml:space="preserve">§ </w:t>
      </w:r>
      <w:r w:rsidRPr="00C74D34">
        <w:rPr>
          <w:szCs w:val="26"/>
        </w:rPr>
        <w:t>57.76(1)</w:t>
      </w:r>
      <w:r w:rsidR="004448A7" w:rsidRPr="00C74D34">
        <w:rPr>
          <w:szCs w:val="26"/>
        </w:rPr>
        <w:t>.</w:t>
      </w:r>
      <w:r w:rsidRPr="00C74D34">
        <w:rPr>
          <w:szCs w:val="26"/>
        </w:rPr>
        <w:t xml:space="preserve">  </w:t>
      </w:r>
      <w:r w:rsidR="00BA7B9F" w:rsidRPr="00C74D34">
        <w:rPr>
          <w:szCs w:val="26"/>
        </w:rPr>
        <w:t xml:space="preserve">Therefore, we decline to adopt the ALJ’s recommendation to issue a Rule to Show Cause and shall direct that the CPC issued to </w:t>
      </w:r>
      <w:proofErr w:type="spellStart"/>
      <w:r w:rsidR="00BA7B9F" w:rsidRPr="00C74D34">
        <w:rPr>
          <w:szCs w:val="26"/>
        </w:rPr>
        <w:t>Transource</w:t>
      </w:r>
      <w:proofErr w:type="spellEnd"/>
      <w:r w:rsidR="00BA7B9F" w:rsidRPr="00C74D34">
        <w:rPr>
          <w:szCs w:val="26"/>
        </w:rPr>
        <w:t xml:space="preserve"> under </w:t>
      </w:r>
      <w:r w:rsidR="00F0235C" w:rsidRPr="00C74D34">
        <w:rPr>
          <w:szCs w:val="26"/>
        </w:rPr>
        <w:t xml:space="preserve">the </w:t>
      </w:r>
      <w:r w:rsidR="00BA7B9F" w:rsidRPr="00C74D34">
        <w:rPr>
          <w:szCs w:val="26"/>
        </w:rPr>
        <w:t>January 23, 2018 Opinion and Order be rescinded.</w:t>
      </w:r>
      <w:r w:rsidR="00F0235C" w:rsidRPr="00C74D34">
        <w:rPr>
          <w:szCs w:val="26"/>
        </w:rPr>
        <w:t xml:space="preserve"> </w:t>
      </w:r>
    </w:p>
    <w:p w14:paraId="3706E62A" w14:textId="77777777" w:rsidR="00CD6A49" w:rsidRPr="00C74D34" w:rsidRDefault="00CD6A49" w:rsidP="002D03FA">
      <w:pPr>
        <w:pStyle w:val="ListParagraph"/>
        <w:ind w:left="0"/>
        <w:rPr>
          <w:szCs w:val="26"/>
        </w:rPr>
      </w:pPr>
    </w:p>
    <w:p w14:paraId="41C4833F" w14:textId="791C556E" w:rsidR="00AE1E1D" w:rsidRPr="00C74D34" w:rsidRDefault="00CD6A49" w:rsidP="002D03FA">
      <w:pPr>
        <w:pStyle w:val="ListParagraph"/>
        <w:ind w:left="0"/>
        <w:rPr>
          <w:szCs w:val="26"/>
        </w:rPr>
      </w:pPr>
      <w:r w:rsidRPr="00C74D34">
        <w:rPr>
          <w:szCs w:val="26"/>
        </w:rPr>
        <w:t>Accordingly, we shall deny the Exception</w:t>
      </w:r>
      <w:r w:rsidR="00E677E9" w:rsidRPr="00C74D34">
        <w:rPr>
          <w:szCs w:val="26"/>
        </w:rPr>
        <w:t>, and direct th</w:t>
      </w:r>
      <w:r w:rsidR="008053DF" w:rsidRPr="00C74D34">
        <w:rPr>
          <w:szCs w:val="26"/>
        </w:rPr>
        <w:t xml:space="preserve">at the </w:t>
      </w:r>
      <w:r w:rsidR="006B420B" w:rsidRPr="00C74D34">
        <w:rPr>
          <w:szCs w:val="26"/>
        </w:rPr>
        <w:t xml:space="preserve">Certificate of Public Convenience issued to </w:t>
      </w:r>
      <w:proofErr w:type="spellStart"/>
      <w:r w:rsidR="006B420B" w:rsidRPr="00C74D34">
        <w:rPr>
          <w:szCs w:val="26"/>
        </w:rPr>
        <w:t>Transource</w:t>
      </w:r>
      <w:proofErr w:type="spellEnd"/>
      <w:r w:rsidR="006B420B" w:rsidRPr="00C74D34">
        <w:rPr>
          <w:szCs w:val="26"/>
        </w:rPr>
        <w:t xml:space="preserve"> </w:t>
      </w:r>
      <w:r w:rsidR="00662F8D" w:rsidRPr="00C74D34">
        <w:rPr>
          <w:szCs w:val="26"/>
        </w:rPr>
        <w:t xml:space="preserve">Pennsylvania, </w:t>
      </w:r>
      <w:r w:rsidR="006B420B" w:rsidRPr="00C74D34">
        <w:rPr>
          <w:szCs w:val="26"/>
        </w:rPr>
        <w:t>LLC</w:t>
      </w:r>
      <w:r w:rsidR="00662F8D" w:rsidRPr="00C74D34">
        <w:rPr>
          <w:szCs w:val="26"/>
        </w:rPr>
        <w:t xml:space="preserve">, by </w:t>
      </w:r>
      <w:r w:rsidR="000C0854" w:rsidRPr="00C74D34">
        <w:rPr>
          <w:szCs w:val="26"/>
        </w:rPr>
        <w:t xml:space="preserve">the January 23, 2018 </w:t>
      </w:r>
      <w:r w:rsidR="00662F8D" w:rsidRPr="00C74D34">
        <w:rPr>
          <w:szCs w:val="26"/>
        </w:rPr>
        <w:t>Opinion and Order</w:t>
      </w:r>
      <w:r w:rsidR="000C0854" w:rsidRPr="00C74D34">
        <w:rPr>
          <w:szCs w:val="26"/>
        </w:rPr>
        <w:t xml:space="preserve"> be rescinded</w:t>
      </w:r>
      <w:r w:rsidR="00055AC3" w:rsidRPr="00C74D34">
        <w:rPr>
          <w:szCs w:val="26"/>
        </w:rPr>
        <w:t>.</w:t>
      </w:r>
    </w:p>
    <w:p w14:paraId="37A86F37" w14:textId="77777777" w:rsidR="00AE1E1D" w:rsidRPr="00C74D34" w:rsidRDefault="00AE1E1D" w:rsidP="002D03FA"/>
    <w:p w14:paraId="14C40776" w14:textId="0BA1F692" w:rsidR="00A832F2" w:rsidRPr="00C74D34" w:rsidRDefault="009364F4" w:rsidP="002D03FA">
      <w:pPr>
        <w:pStyle w:val="TOCH3"/>
        <w:keepNext/>
        <w:numPr>
          <w:ilvl w:val="0"/>
          <w:numId w:val="32"/>
        </w:numPr>
        <w:ind w:left="1440" w:hanging="720"/>
      </w:pPr>
      <w:bookmarkStart w:id="49" w:name="_Toc70516626"/>
      <w:proofErr w:type="spellStart"/>
      <w:r w:rsidRPr="00C74D34">
        <w:t>Transource</w:t>
      </w:r>
      <w:proofErr w:type="spellEnd"/>
      <w:r w:rsidRPr="00C74D34">
        <w:t xml:space="preserve"> Exception No. 6</w:t>
      </w:r>
      <w:r w:rsidR="005F5377" w:rsidRPr="00C74D34">
        <w:t xml:space="preserve">: </w:t>
      </w:r>
      <w:r w:rsidR="007F394A" w:rsidRPr="00C74D34">
        <w:t xml:space="preserve"> </w:t>
      </w:r>
      <w:r w:rsidR="005F5377" w:rsidRPr="00C74D34">
        <w:t xml:space="preserve">The ALJ </w:t>
      </w:r>
      <w:r w:rsidR="001578A0">
        <w:t>E</w:t>
      </w:r>
      <w:r w:rsidR="005F5377" w:rsidRPr="00C74D34">
        <w:t xml:space="preserve">rred in </w:t>
      </w:r>
      <w:r w:rsidR="001578A0">
        <w:t>D</w:t>
      </w:r>
      <w:r w:rsidR="005F5377" w:rsidRPr="00C74D34">
        <w:t xml:space="preserve">enying </w:t>
      </w:r>
      <w:proofErr w:type="spellStart"/>
      <w:r w:rsidR="005F5377" w:rsidRPr="00C74D34">
        <w:t>Transource</w:t>
      </w:r>
      <w:r w:rsidR="00771C96" w:rsidRPr="00C74D34">
        <w:t>’</w:t>
      </w:r>
      <w:r w:rsidR="005F5377" w:rsidRPr="00C74D34">
        <w:t>s</w:t>
      </w:r>
      <w:proofErr w:type="spellEnd"/>
      <w:r w:rsidR="005F5377" w:rsidRPr="00C74D34">
        <w:t xml:space="preserve"> </w:t>
      </w:r>
      <w:r w:rsidR="001578A0">
        <w:t>E</w:t>
      </w:r>
      <w:r w:rsidR="00771C96" w:rsidRPr="00C74D34">
        <w:t xml:space="preserve">minent </w:t>
      </w:r>
      <w:r w:rsidR="001578A0">
        <w:t>D</w:t>
      </w:r>
      <w:r w:rsidR="00771C96" w:rsidRPr="00C74D34">
        <w:t xml:space="preserve">omain </w:t>
      </w:r>
      <w:r w:rsidR="001578A0">
        <w:t>A</w:t>
      </w:r>
      <w:r w:rsidR="00771C96" w:rsidRPr="00C74D34">
        <w:t>pplications</w:t>
      </w:r>
      <w:bookmarkEnd w:id="49"/>
    </w:p>
    <w:p w14:paraId="0329C813" w14:textId="33E9975A" w:rsidR="00771C96" w:rsidRPr="00C74D34" w:rsidRDefault="00771C96" w:rsidP="001578A0">
      <w:pPr>
        <w:keepNext/>
        <w:spacing w:line="480" w:lineRule="auto"/>
      </w:pPr>
    </w:p>
    <w:p w14:paraId="3911CC35" w14:textId="681A0CB3" w:rsidR="00B74102" w:rsidRPr="00C74D34" w:rsidRDefault="00B74102" w:rsidP="002D03FA">
      <w:pPr>
        <w:keepNext/>
        <w:ind w:firstLine="1440"/>
      </w:pPr>
      <w:r w:rsidRPr="00C74D34">
        <w:t xml:space="preserve">Per our discussion and disposition of </w:t>
      </w:r>
      <w:proofErr w:type="spellStart"/>
      <w:r w:rsidR="00B11342" w:rsidRPr="00C74D34">
        <w:t>Transource’s</w:t>
      </w:r>
      <w:proofErr w:type="spellEnd"/>
      <w:r w:rsidRPr="00C74D34">
        <w:t xml:space="preserve"> Exception No. 1, </w:t>
      </w:r>
      <w:r w:rsidRPr="00C74D34">
        <w:rPr>
          <w:i/>
          <w:iCs/>
        </w:rPr>
        <w:t>supra</w:t>
      </w:r>
      <w:r w:rsidRPr="00C74D34">
        <w:t xml:space="preserve">., we have determined that </w:t>
      </w:r>
      <w:proofErr w:type="spellStart"/>
      <w:r w:rsidRPr="00C74D34">
        <w:t>Transource</w:t>
      </w:r>
      <w:proofErr w:type="spellEnd"/>
      <w:r w:rsidRPr="00C74D34">
        <w:t xml:space="preserve"> failed to </w:t>
      </w:r>
      <w:r w:rsidR="002F2F8B" w:rsidRPr="00C74D34">
        <w:t xml:space="preserve">carry the burden of persuasion to </w:t>
      </w:r>
      <w:r w:rsidRPr="00C74D34">
        <w:t xml:space="preserve">establish need for the proposed siting Applications, </w:t>
      </w:r>
      <w:r w:rsidR="00D72D8E" w:rsidRPr="00C74D34">
        <w:t xml:space="preserve">pursuant to </w:t>
      </w:r>
      <w:r w:rsidR="00926679" w:rsidRPr="00C74D34">
        <w:t xml:space="preserve">Section 1501 of the Code and Commission Regulation at </w:t>
      </w:r>
      <w:r w:rsidRPr="00C74D34">
        <w:t xml:space="preserve">51 Pa. Code </w:t>
      </w:r>
      <w:r w:rsidR="00896BD6" w:rsidRPr="00C74D34">
        <w:t>§</w:t>
      </w:r>
      <w:r w:rsidRPr="00C74D34">
        <w:t xml:space="preserve"> 57.76</w:t>
      </w:r>
      <w:r w:rsidR="00AE1E1D" w:rsidRPr="00C74D34">
        <w:t>(a)</w:t>
      </w:r>
      <w:r w:rsidRPr="00C74D34">
        <w:t xml:space="preserve">(1), by a preponderance of the evidence. </w:t>
      </w:r>
      <w:r w:rsidR="00D72D8E" w:rsidRPr="00C74D34">
        <w:t xml:space="preserve"> </w:t>
      </w:r>
      <w:r w:rsidRPr="00C74D34">
        <w:t xml:space="preserve">Therefore, </w:t>
      </w:r>
      <w:proofErr w:type="spellStart"/>
      <w:r w:rsidRPr="00C74D34">
        <w:t>Transource’s</w:t>
      </w:r>
      <w:proofErr w:type="spellEnd"/>
      <w:r w:rsidRPr="00C74D34">
        <w:t xml:space="preserve"> Exception No. 6, pertaining to </w:t>
      </w:r>
      <w:r w:rsidR="002C1B39" w:rsidRPr="00C74D34">
        <w:t xml:space="preserve">the ALJ’s denial of </w:t>
      </w:r>
      <w:proofErr w:type="spellStart"/>
      <w:r w:rsidR="002C1B39" w:rsidRPr="00C74D34">
        <w:t>Transource’</w:t>
      </w:r>
      <w:r w:rsidR="003345A8" w:rsidRPr="00C74D34">
        <w:t>s</w:t>
      </w:r>
      <w:proofErr w:type="spellEnd"/>
      <w:r w:rsidR="002C1B39" w:rsidRPr="00C74D34">
        <w:t xml:space="preserve"> associated </w:t>
      </w:r>
      <w:r w:rsidR="002E7273" w:rsidRPr="00C74D34">
        <w:t>eminent domain applications</w:t>
      </w:r>
      <w:r w:rsidRPr="00C74D34">
        <w:t xml:space="preserve">, is rendered moot.  </w:t>
      </w:r>
      <w:r w:rsidR="00D72D8E" w:rsidRPr="00C74D34">
        <w:t xml:space="preserve">Accordingly, </w:t>
      </w:r>
      <w:r w:rsidR="00B63BAD" w:rsidRPr="00C74D34">
        <w:t>we shall deny the Exception.</w:t>
      </w:r>
    </w:p>
    <w:p w14:paraId="45F12F0A" w14:textId="77777777" w:rsidR="00AE1E1D" w:rsidRPr="00C74D34" w:rsidRDefault="00AE1E1D" w:rsidP="002D03FA"/>
    <w:p w14:paraId="483FBBFE" w14:textId="208D146E" w:rsidR="0071024A" w:rsidRPr="00C74D34" w:rsidRDefault="0071024A" w:rsidP="002D03FA">
      <w:pPr>
        <w:pStyle w:val="TOCH3"/>
        <w:keepNext/>
        <w:numPr>
          <w:ilvl w:val="0"/>
          <w:numId w:val="32"/>
        </w:numPr>
        <w:ind w:left="1440" w:hanging="720"/>
      </w:pPr>
      <w:bookmarkStart w:id="50" w:name="_Toc70516627"/>
      <w:proofErr w:type="spellStart"/>
      <w:r w:rsidRPr="00C74D34">
        <w:t>Transource</w:t>
      </w:r>
      <w:proofErr w:type="spellEnd"/>
      <w:r w:rsidRPr="00C74D34">
        <w:t xml:space="preserve"> Exception No. 7: </w:t>
      </w:r>
      <w:r w:rsidR="007F394A" w:rsidRPr="00C74D34">
        <w:t xml:space="preserve"> </w:t>
      </w:r>
      <w:r w:rsidRPr="00C74D34">
        <w:t xml:space="preserve">The ALJ </w:t>
      </w:r>
      <w:r w:rsidR="001578A0">
        <w:t>E</w:t>
      </w:r>
      <w:r w:rsidRPr="00C74D34">
        <w:t xml:space="preserve">rred in </w:t>
      </w:r>
      <w:r w:rsidR="001578A0">
        <w:t>D</w:t>
      </w:r>
      <w:r w:rsidRPr="00C74D34">
        <w:t xml:space="preserve">enying </w:t>
      </w:r>
      <w:proofErr w:type="spellStart"/>
      <w:r w:rsidRPr="00C74D34">
        <w:t>Transource’s</w:t>
      </w:r>
      <w:proofErr w:type="spellEnd"/>
      <w:r w:rsidRPr="00C74D34">
        <w:t xml:space="preserve"> </w:t>
      </w:r>
      <w:r w:rsidR="001578A0">
        <w:t>Z</w:t>
      </w:r>
      <w:r w:rsidR="00E86458" w:rsidRPr="00C74D34">
        <w:t xml:space="preserve">oning </w:t>
      </w:r>
      <w:r w:rsidR="001578A0">
        <w:t>P</w:t>
      </w:r>
      <w:r w:rsidR="00E86458" w:rsidRPr="00C74D34">
        <w:t>etitions</w:t>
      </w:r>
      <w:bookmarkEnd w:id="50"/>
    </w:p>
    <w:p w14:paraId="6AB3350B" w14:textId="7806CE2B" w:rsidR="00B63BAD" w:rsidRPr="00C74D34" w:rsidRDefault="00B63BAD" w:rsidP="001578A0">
      <w:pPr>
        <w:keepNext/>
        <w:spacing w:line="480" w:lineRule="auto"/>
      </w:pPr>
    </w:p>
    <w:p w14:paraId="10444FCE" w14:textId="2565BEB8" w:rsidR="00CB3B4A" w:rsidRPr="00C74D34" w:rsidRDefault="00B63BAD" w:rsidP="001578A0">
      <w:pPr>
        <w:keepNext/>
        <w:ind w:firstLine="1440"/>
      </w:pPr>
      <w:r w:rsidRPr="00C74D34">
        <w:t xml:space="preserve">Per our discussion and disposition of </w:t>
      </w:r>
      <w:proofErr w:type="spellStart"/>
      <w:r w:rsidR="00B11342" w:rsidRPr="00C74D34">
        <w:t>Transource’s</w:t>
      </w:r>
      <w:proofErr w:type="spellEnd"/>
      <w:r w:rsidRPr="00C74D34">
        <w:t xml:space="preserve"> Exception No. 1, </w:t>
      </w:r>
      <w:r w:rsidRPr="00C74D34">
        <w:rPr>
          <w:i/>
          <w:iCs/>
        </w:rPr>
        <w:t>supra</w:t>
      </w:r>
      <w:r w:rsidRPr="00C74D34">
        <w:t xml:space="preserve">., we have determined that </w:t>
      </w:r>
      <w:proofErr w:type="spellStart"/>
      <w:r w:rsidRPr="00C74D34">
        <w:t>Transource</w:t>
      </w:r>
      <w:proofErr w:type="spellEnd"/>
      <w:r w:rsidRPr="00C74D34">
        <w:t xml:space="preserve"> failed to </w:t>
      </w:r>
      <w:r w:rsidR="0040477E" w:rsidRPr="00C74D34">
        <w:t>ca</w:t>
      </w:r>
      <w:r w:rsidR="00163CBF" w:rsidRPr="00C74D34">
        <w:t xml:space="preserve">rry the burden of persuasion to </w:t>
      </w:r>
      <w:r w:rsidRPr="00C74D34">
        <w:t xml:space="preserve">establish need for the proposed siting Applications, pursuant </w:t>
      </w:r>
      <w:r w:rsidR="007F394A" w:rsidRPr="00C74D34">
        <w:t xml:space="preserve">to </w:t>
      </w:r>
      <w:r w:rsidR="00D72D8E" w:rsidRPr="00C74D34">
        <w:t xml:space="preserve">Section 1501 of the Code and Commission Regulation at </w:t>
      </w:r>
      <w:r w:rsidRPr="00C74D34">
        <w:t>51 Pa. Code Section 57.76</w:t>
      </w:r>
      <w:r w:rsidR="00AE1E1D" w:rsidRPr="00C74D34">
        <w:t>(a)</w:t>
      </w:r>
      <w:r w:rsidRPr="00C74D34">
        <w:t xml:space="preserve">(1), by a preponderance of the evidence. </w:t>
      </w:r>
      <w:r w:rsidR="00DF7F35" w:rsidRPr="00C74D34">
        <w:t xml:space="preserve"> </w:t>
      </w:r>
      <w:r w:rsidRPr="00C74D34">
        <w:t xml:space="preserve">Therefore, </w:t>
      </w:r>
      <w:proofErr w:type="spellStart"/>
      <w:r w:rsidRPr="00C74D34">
        <w:t>Transource’s</w:t>
      </w:r>
      <w:proofErr w:type="spellEnd"/>
      <w:r w:rsidRPr="00C74D34">
        <w:t xml:space="preserve"> Exception No. 7, pertaining to the ALJ’s denial of </w:t>
      </w:r>
      <w:proofErr w:type="spellStart"/>
      <w:r w:rsidRPr="00C74D34">
        <w:lastRenderedPageBreak/>
        <w:t>Transource</w:t>
      </w:r>
      <w:r w:rsidR="003345A8" w:rsidRPr="00C74D34">
        <w:t>’s</w:t>
      </w:r>
      <w:proofErr w:type="spellEnd"/>
      <w:r w:rsidR="003345A8" w:rsidRPr="00C74D34">
        <w:t xml:space="preserve"> </w:t>
      </w:r>
      <w:r w:rsidRPr="00C74D34">
        <w:t xml:space="preserve">associated zoning petitions, is rendered moot.  </w:t>
      </w:r>
      <w:r w:rsidR="00DF7F35" w:rsidRPr="00C74D34">
        <w:t>Accordingly</w:t>
      </w:r>
      <w:r w:rsidRPr="00C74D34">
        <w:t>, we shall deny the Exception.</w:t>
      </w:r>
    </w:p>
    <w:p w14:paraId="3A1E2F80" w14:textId="77777777" w:rsidR="00AE1E1D" w:rsidRPr="00C74D34" w:rsidRDefault="00AE1E1D" w:rsidP="001578A0"/>
    <w:p w14:paraId="4A8312F7" w14:textId="6395FA34" w:rsidR="0031645D" w:rsidRPr="00C74D34" w:rsidRDefault="00E86458" w:rsidP="001578A0">
      <w:pPr>
        <w:pStyle w:val="TOCH3"/>
        <w:keepNext/>
        <w:numPr>
          <w:ilvl w:val="0"/>
          <w:numId w:val="32"/>
        </w:numPr>
        <w:spacing w:line="360" w:lineRule="auto"/>
        <w:ind w:left="1440" w:hanging="720"/>
      </w:pPr>
      <w:bookmarkStart w:id="51" w:name="_Toc70516628"/>
      <w:proofErr w:type="spellStart"/>
      <w:r w:rsidRPr="00C74D34">
        <w:t>Transource</w:t>
      </w:r>
      <w:proofErr w:type="spellEnd"/>
      <w:r w:rsidRPr="00C74D34">
        <w:t xml:space="preserve"> Exception N</w:t>
      </w:r>
      <w:r w:rsidR="00E60CE6" w:rsidRPr="00C74D34">
        <w:t xml:space="preserve">o. 8: </w:t>
      </w:r>
      <w:r w:rsidR="007F394A" w:rsidRPr="00C74D34">
        <w:t xml:space="preserve"> </w:t>
      </w:r>
      <w:r w:rsidR="00E60CE6" w:rsidRPr="00C74D34">
        <w:t xml:space="preserve">The ALJ’s </w:t>
      </w:r>
      <w:r w:rsidR="001578A0">
        <w:t>F</w:t>
      </w:r>
      <w:r w:rsidR="00E60CE6" w:rsidRPr="00C74D34">
        <w:t xml:space="preserve">indings of </w:t>
      </w:r>
      <w:r w:rsidR="001578A0">
        <w:t>F</w:t>
      </w:r>
      <w:r w:rsidR="00E60CE6" w:rsidRPr="00C74D34">
        <w:t xml:space="preserve">act </w:t>
      </w:r>
      <w:r w:rsidR="001578A0">
        <w:t>A</w:t>
      </w:r>
      <w:r w:rsidR="00E60CE6" w:rsidRPr="00C74D34">
        <w:t xml:space="preserve">re </w:t>
      </w:r>
      <w:r w:rsidR="001578A0">
        <w:t>I</w:t>
      </w:r>
      <w:r w:rsidR="00E60CE6" w:rsidRPr="00C74D34">
        <w:t xml:space="preserve">n </w:t>
      </w:r>
      <w:r w:rsidR="001578A0">
        <w:t>E</w:t>
      </w:r>
      <w:r w:rsidR="00E60CE6" w:rsidRPr="00C74D34">
        <w:t>rror</w:t>
      </w:r>
      <w:bookmarkEnd w:id="51"/>
      <w:r w:rsidR="00E60CE6" w:rsidRPr="00C74D34">
        <w:t xml:space="preserve"> </w:t>
      </w:r>
    </w:p>
    <w:p w14:paraId="1AC76D04" w14:textId="77777777" w:rsidR="00B11342" w:rsidRPr="00C74D34" w:rsidRDefault="00B11342" w:rsidP="001578A0">
      <w:pPr>
        <w:keepNext/>
      </w:pPr>
    </w:p>
    <w:p w14:paraId="186D2A2F" w14:textId="21557270" w:rsidR="00937F91" w:rsidRPr="00C74D34" w:rsidRDefault="00F73C3D" w:rsidP="001578A0">
      <w:pPr>
        <w:keepNext/>
        <w:ind w:firstLine="1440"/>
        <w:rPr>
          <w:b/>
          <w:bCs/>
        </w:rPr>
      </w:pPr>
      <w:r w:rsidRPr="00C74D34">
        <w:t xml:space="preserve">In its Exception No. 8, </w:t>
      </w:r>
      <w:proofErr w:type="spellStart"/>
      <w:r w:rsidR="00434E65" w:rsidRPr="00C74D34">
        <w:t>Transource</w:t>
      </w:r>
      <w:proofErr w:type="spellEnd"/>
      <w:r w:rsidR="00434E65" w:rsidRPr="00C74D34">
        <w:t xml:space="preserve"> asserts that the ALJ’s </w:t>
      </w:r>
      <w:r w:rsidR="003A501C" w:rsidRPr="00C74D34">
        <w:t>recommendation to deny Project 9A is based on “</w:t>
      </w:r>
      <w:r w:rsidR="005812F4" w:rsidRPr="00C74D34">
        <w:t>faulty findings” without specif</w:t>
      </w:r>
      <w:r w:rsidR="00184A96" w:rsidRPr="00C74D34">
        <w:t xml:space="preserve">ying </w:t>
      </w:r>
      <w:r w:rsidR="006D15A0" w:rsidRPr="00C74D34">
        <w:t xml:space="preserve">any </w:t>
      </w:r>
      <w:r w:rsidR="003D7CA2" w:rsidRPr="00C74D34">
        <w:t xml:space="preserve">alleged </w:t>
      </w:r>
      <w:r w:rsidR="00184A96" w:rsidRPr="00C74D34">
        <w:t xml:space="preserve">factual </w:t>
      </w:r>
      <w:r w:rsidR="00AE1E1D" w:rsidRPr="00C74D34">
        <w:t xml:space="preserve">or legal </w:t>
      </w:r>
      <w:r w:rsidR="00184A96" w:rsidRPr="00C74D34">
        <w:t xml:space="preserve">error.  In footnote to its Exception, </w:t>
      </w:r>
      <w:proofErr w:type="spellStart"/>
      <w:r w:rsidR="00F150F5" w:rsidRPr="00C74D34">
        <w:t>Transource</w:t>
      </w:r>
      <w:proofErr w:type="spellEnd"/>
      <w:r w:rsidR="00F150F5" w:rsidRPr="00C74D34">
        <w:t xml:space="preserve"> takes issue with </w:t>
      </w:r>
      <w:r w:rsidR="00D72850" w:rsidRPr="00C74D34">
        <w:t xml:space="preserve">certain </w:t>
      </w:r>
      <w:r w:rsidR="00F150F5" w:rsidRPr="00C74D34">
        <w:t>specifi</w:t>
      </w:r>
      <w:r w:rsidR="00542177" w:rsidRPr="00C74D34">
        <w:t xml:space="preserve">ed </w:t>
      </w:r>
      <w:r w:rsidR="00F150F5" w:rsidRPr="00C74D34">
        <w:t xml:space="preserve">findings by the ALJ and </w:t>
      </w:r>
      <w:r w:rsidR="00421A58" w:rsidRPr="00C74D34">
        <w:t>asserts</w:t>
      </w:r>
      <w:r w:rsidR="00D53DA1" w:rsidRPr="00C74D34">
        <w:t xml:space="preserve">, </w:t>
      </w:r>
      <w:r w:rsidR="00421A58" w:rsidRPr="00C74D34">
        <w:t>as a general matter</w:t>
      </w:r>
      <w:r w:rsidR="00D53DA1" w:rsidRPr="00C74D34">
        <w:t>,</w:t>
      </w:r>
      <w:r w:rsidR="00421A58" w:rsidRPr="00C74D34">
        <w:t xml:space="preserve"> </w:t>
      </w:r>
      <w:r w:rsidR="00CA3378" w:rsidRPr="00C74D34">
        <w:t xml:space="preserve">that </w:t>
      </w:r>
      <w:r w:rsidR="00421A58" w:rsidRPr="00C74D34">
        <w:rPr>
          <w:i/>
          <w:iCs/>
        </w:rPr>
        <w:t xml:space="preserve">all the ALJ’s findings </w:t>
      </w:r>
      <w:r w:rsidR="00713683" w:rsidRPr="00C74D34">
        <w:rPr>
          <w:i/>
          <w:iCs/>
        </w:rPr>
        <w:t>of fact and conclusions of law</w:t>
      </w:r>
      <w:r w:rsidR="00713683" w:rsidRPr="00C74D34">
        <w:t xml:space="preserve"> </w:t>
      </w:r>
      <w:r w:rsidR="00421A58" w:rsidRPr="00C74D34">
        <w:rPr>
          <w:i/>
          <w:iCs/>
        </w:rPr>
        <w:t>should be disregarded</w:t>
      </w:r>
      <w:r w:rsidR="00713683" w:rsidRPr="00C74D34">
        <w:t xml:space="preserve"> to the extent the findings</w:t>
      </w:r>
      <w:r w:rsidR="00975D6E" w:rsidRPr="00C74D34">
        <w:t xml:space="preserve"> “are inconsistent with [</w:t>
      </w:r>
      <w:proofErr w:type="spellStart"/>
      <w:r w:rsidR="00B11342" w:rsidRPr="00C74D34">
        <w:rPr>
          <w:b/>
          <w:bCs/>
        </w:rPr>
        <w:t>Transource’s</w:t>
      </w:r>
      <w:proofErr w:type="spellEnd"/>
      <w:r w:rsidR="005F61EC" w:rsidRPr="00C74D34">
        <w:t>]</w:t>
      </w:r>
      <w:r w:rsidR="00975D6E" w:rsidRPr="00C74D34">
        <w:t xml:space="preserve"> </w:t>
      </w:r>
      <w:r w:rsidR="005F61EC" w:rsidRPr="00C74D34">
        <w:t>Exceptions, Briefs and Testimony in this p</w:t>
      </w:r>
      <w:r w:rsidR="00F417AF" w:rsidRPr="00C74D34">
        <w:t>roceeding</w:t>
      </w:r>
      <w:r w:rsidR="00937F91" w:rsidRPr="00C74D34">
        <w:t xml:space="preserve">.” </w:t>
      </w:r>
      <w:r w:rsidR="00421A58" w:rsidRPr="00C74D34">
        <w:t xml:space="preserve"> </w:t>
      </w:r>
      <w:proofErr w:type="spellStart"/>
      <w:r w:rsidR="007844ED" w:rsidRPr="00C74D34">
        <w:t>Transource</w:t>
      </w:r>
      <w:proofErr w:type="spellEnd"/>
      <w:r w:rsidR="007844ED" w:rsidRPr="00C74D34">
        <w:t xml:space="preserve"> </w:t>
      </w:r>
      <w:r w:rsidR="00421A58" w:rsidRPr="00C74D34">
        <w:t>Exc. at</w:t>
      </w:r>
      <w:r w:rsidR="0025372F" w:rsidRPr="00C74D34">
        <w:t xml:space="preserve"> 39, fn. 27</w:t>
      </w:r>
      <w:r w:rsidR="00F64E78" w:rsidRPr="00C74D34">
        <w:t xml:space="preserve"> </w:t>
      </w:r>
      <w:r w:rsidR="00D53DA1" w:rsidRPr="00C74D34">
        <w:t>(emphasis added).</w:t>
      </w:r>
      <w:r w:rsidR="007844ED" w:rsidRPr="00C74D34">
        <w:t xml:space="preserve">  </w:t>
      </w:r>
    </w:p>
    <w:p w14:paraId="4857BEF8" w14:textId="77777777" w:rsidR="004D4DCD" w:rsidRPr="00C74D34" w:rsidRDefault="004D4DCD" w:rsidP="002D03FA"/>
    <w:p w14:paraId="35386B14" w14:textId="6614021C" w:rsidR="00CB2F92" w:rsidRPr="00C74D34" w:rsidRDefault="007844ED" w:rsidP="002D03FA">
      <w:pPr>
        <w:ind w:firstLine="1440"/>
        <w:rPr>
          <w:b/>
          <w:bCs/>
          <w:szCs w:val="26"/>
        </w:rPr>
      </w:pPr>
      <w:r w:rsidRPr="00C74D34">
        <w:rPr>
          <w:szCs w:val="26"/>
        </w:rPr>
        <w:t xml:space="preserve">We note that </w:t>
      </w:r>
      <w:proofErr w:type="spellStart"/>
      <w:r w:rsidRPr="00C74D34">
        <w:rPr>
          <w:szCs w:val="26"/>
        </w:rPr>
        <w:t>Transource’s</w:t>
      </w:r>
      <w:proofErr w:type="spellEnd"/>
      <w:r w:rsidRPr="00C74D34">
        <w:rPr>
          <w:szCs w:val="26"/>
        </w:rPr>
        <w:t xml:space="preserve"> </w:t>
      </w:r>
      <w:r w:rsidR="00234E19" w:rsidRPr="00C74D34">
        <w:rPr>
          <w:szCs w:val="26"/>
        </w:rPr>
        <w:t xml:space="preserve">Exception, as stated, </w:t>
      </w:r>
      <w:r w:rsidR="002D7220" w:rsidRPr="00C74D34">
        <w:rPr>
          <w:szCs w:val="26"/>
        </w:rPr>
        <w:t xml:space="preserve">fails to conform with </w:t>
      </w:r>
      <w:r w:rsidR="0031303E" w:rsidRPr="00C74D34">
        <w:rPr>
          <w:szCs w:val="26"/>
        </w:rPr>
        <w:t xml:space="preserve">Commission Regulations </w:t>
      </w:r>
      <w:r w:rsidR="00905030" w:rsidRPr="00C74D34">
        <w:rPr>
          <w:szCs w:val="26"/>
        </w:rPr>
        <w:t xml:space="preserve">for stating exceptions, and </w:t>
      </w:r>
      <w:r w:rsidR="00CA3378" w:rsidRPr="00C74D34">
        <w:rPr>
          <w:szCs w:val="26"/>
        </w:rPr>
        <w:t>l</w:t>
      </w:r>
      <w:r w:rsidR="00234E19" w:rsidRPr="00C74D34">
        <w:rPr>
          <w:szCs w:val="26"/>
        </w:rPr>
        <w:t xml:space="preserve">acks sufficient specificity to </w:t>
      </w:r>
      <w:r w:rsidR="004B79FA" w:rsidRPr="00C74D34">
        <w:rPr>
          <w:szCs w:val="26"/>
        </w:rPr>
        <w:t>enable</w:t>
      </w:r>
      <w:r w:rsidR="00234E19" w:rsidRPr="00C74D34">
        <w:rPr>
          <w:szCs w:val="26"/>
        </w:rPr>
        <w:t xml:space="preserve"> our review.  See 52 Pa. Code</w:t>
      </w:r>
      <w:r w:rsidR="00F150F5" w:rsidRPr="00C74D34">
        <w:rPr>
          <w:szCs w:val="26"/>
        </w:rPr>
        <w:t xml:space="preserve"> </w:t>
      </w:r>
      <w:r w:rsidR="00234E19" w:rsidRPr="00C74D34">
        <w:rPr>
          <w:szCs w:val="26"/>
        </w:rPr>
        <w:t>§</w:t>
      </w:r>
      <w:r w:rsidR="002D7220" w:rsidRPr="00C74D34">
        <w:rPr>
          <w:szCs w:val="26"/>
        </w:rPr>
        <w:t xml:space="preserve"> 5.533</w:t>
      </w:r>
      <w:r w:rsidR="00234E19" w:rsidRPr="00C74D34">
        <w:rPr>
          <w:szCs w:val="26"/>
        </w:rPr>
        <w:t xml:space="preserve"> (pertaining to exceptions, requiring that the exceptions be stated with su</w:t>
      </w:r>
      <w:r w:rsidR="00905030" w:rsidRPr="00C74D34">
        <w:rPr>
          <w:szCs w:val="26"/>
        </w:rPr>
        <w:t xml:space="preserve">pporting reasons </w:t>
      </w:r>
      <w:r w:rsidR="00AF4FF7" w:rsidRPr="00C74D34">
        <w:rPr>
          <w:szCs w:val="26"/>
        </w:rPr>
        <w:t>for each exception)</w:t>
      </w:r>
      <w:r w:rsidR="00607F28" w:rsidRPr="00C74D34">
        <w:rPr>
          <w:szCs w:val="26"/>
        </w:rPr>
        <w:t>.</w:t>
      </w:r>
      <w:r w:rsidR="00AF4FF7" w:rsidRPr="00C74D34">
        <w:rPr>
          <w:szCs w:val="26"/>
        </w:rPr>
        <w:t xml:space="preserve"> </w:t>
      </w:r>
      <w:r w:rsidR="00896BD6" w:rsidRPr="00C74D34">
        <w:rPr>
          <w:szCs w:val="26"/>
        </w:rPr>
        <w:t xml:space="preserve"> </w:t>
      </w:r>
      <w:r w:rsidR="008D1B88" w:rsidRPr="00C74D34">
        <w:rPr>
          <w:szCs w:val="26"/>
        </w:rPr>
        <w:t xml:space="preserve">A general assertion that </w:t>
      </w:r>
      <w:r w:rsidR="00BA68C8" w:rsidRPr="00C74D34">
        <w:rPr>
          <w:i/>
          <w:iCs/>
          <w:szCs w:val="26"/>
        </w:rPr>
        <w:t>all</w:t>
      </w:r>
      <w:r w:rsidR="00BA68C8" w:rsidRPr="00C74D34">
        <w:rPr>
          <w:szCs w:val="26"/>
        </w:rPr>
        <w:t xml:space="preserve"> the ALJ’s factual findings and legal conclusions should be disregarded to the extent</w:t>
      </w:r>
      <w:r w:rsidR="00BC366D" w:rsidRPr="00C74D34">
        <w:rPr>
          <w:szCs w:val="26"/>
        </w:rPr>
        <w:t xml:space="preserve"> they are “inconsistent” with a party’s filings </w:t>
      </w:r>
      <w:r w:rsidR="00D411B1" w:rsidRPr="00C74D34">
        <w:rPr>
          <w:szCs w:val="26"/>
        </w:rPr>
        <w:t>does not state a supporting reason to disregard</w:t>
      </w:r>
      <w:r w:rsidR="0031688A" w:rsidRPr="00C74D34">
        <w:rPr>
          <w:szCs w:val="26"/>
        </w:rPr>
        <w:t xml:space="preserve"> any of the findings and conclusions. </w:t>
      </w:r>
      <w:r w:rsidR="00BA68C8" w:rsidRPr="00C74D34">
        <w:rPr>
          <w:szCs w:val="26"/>
        </w:rPr>
        <w:t xml:space="preserve"> </w:t>
      </w:r>
    </w:p>
    <w:p w14:paraId="1092C721" w14:textId="77777777" w:rsidR="00CB2F92" w:rsidRPr="00C74D34" w:rsidRDefault="00CB2F92" w:rsidP="002D03FA"/>
    <w:p w14:paraId="68EA1EB4" w14:textId="5B30660D" w:rsidR="00BE6A31" w:rsidRPr="00C74D34" w:rsidRDefault="0031688A" w:rsidP="002D03FA">
      <w:pPr>
        <w:ind w:firstLine="1440"/>
      </w:pPr>
      <w:r w:rsidRPr="00C74D34">
        <w:t xml:space="preserve">Further, </w:t>
      </w:r>
      <w:r w:rsidR="005A5056" w:rsidRPr="00C74D34">
        <w:t>w</w:t>
      </w:r>
      <w:r w:rsidR="00C1517C" w:rsidRPr="00C74D34">
        <w:t xml:space="preserve">hile </w:t>
      </w:r>
      <w:proofErr w:type="spellStart"/>
      <w:r w:rsidR="00C1517C" w:rsidRPr="00C74D34">
        <w:t>Transource</w:t>
      </w:r>
      <w:proofErr w:type="spellEnd"/>
      <w:r w:rsidR="00C1517C" w:rsidRPr="00C74D34">
        <w:t xml:space="preserve"> may take issue with the </w:t>
      </w:r>
      <w:r w:rsidR="003E1D4C" w:rsidRPr="00C74D34">
        <w:t xml:space="preserve">ultimate </w:t>
      </w:r>
      <w:r w:rsidR="00BE6A31" w:rsidRPr="00C74D34">
        <w:t xml:space="preserve">factual </w:t>
      </w:r>
      <w:r w:rsidR="004B79FA" w:rsidRPr="00C74D34">
        <w:t xml:space="preserve">findings and </w:t>
      </w:r>
      <w:r w:rsidR="00BE6A31" w:rsidRPr="00C74D34">
        <w:t xml:space="preserve">legal </w:t>
      </w:r>
      <w:r w:rsidR="00C1517C" w:rsidRPr="00C74D34">
        <w:t>conclusions reached,</w:t>
      </w:r>
      <w:r w:rsidR="00425CE4" w:rsidRPr="00C74D34">
        <w:t xml:space="preserve"> </w:t>
      </w:r>
      <w:r w:rsidR="00E05501" w:rsidRPr="00C74D34">
        <w:t xml:space="preserve">the record reflects that </w:t>
      </w:r>
      <w:r w:rsidR="003F30BA" w:rsidRPr="00C74D34">
        <w:t xml:space="preserve">the ALJ’s </w:t>
      </w:r>
      <w:r w:rsidR="00224931" w:rsidRPr="00C74D34">
        <w:t xml:space="preserve">Factual </w:t>
      </w:r>
      <w:r w:rsidR="00EC3ED9" w:rsidRPr="00C74D34">
        <w:t xml:space="preserve">Findings </w:t>
      </w:r>
      <w:r w:rsidR="004B79FA" w:rsidRPr="00C74D34">
        <w:t>and Conclusions</w:t>
      </w:r>
      <w:r w:rsidR="00224931" w:rsidRPr="00C74D34">
        <w:t xml:space="preserve"> of Law</w:t>
      </w:r>
      <w:r w:rsidR="004B79FA" w:rsidRPr="00C74D34">
        <w:t xml:space="preserve"> </w:t>
      </w:r>
      <w:r w:rsidR="00EC3ED9" w:rsidRPr="00C74D34">
        <w:t xml:space="preserve">were based </w:t>
      </w:r>
      <w:r w:rsidR="003E1D4C" w:rsidRPr="00C74D34">
        <w:t xml:space="preserve">upon a careful review of </w:t>
      </w:r>
      <w:r w:rsidR="00EC3ED9" w:rsidRPr="00C74D34">
        <w:t xml:space="preserve">the extensive </w:t>
      </w:r>
      <w:r w:rsidR="003E1D4C" w:rsidRPr="00C74D34">
        <w:t xml:space="preserve">and complex </w:t>
      </w:r>
      <w:r w:rsidR="00EC3ED9" w:rsidRPr="00C74D34">
        <w:t>evidence presented in this p</w:t>
      </w:r>
      <w:r w:rsidR="003E1D4C" w:rsidRPr="00C74D34">
        <w:t>r</w:t>
      </w:r>
      <w:r w:rsidR="00EC3ED9" w:rsidRPr="00C74D34">
        <w:t>oceeding</w:t>
      </w:r>
      <w:r w:rsidR="003E1D4C" w:rsidRPr="00C74D34">
        <w:t xml:space="preserve">. </w:t>
      </w:r>
      <w:r w:rsidR="00BA6635" w:rsidRPr="00C74D34">
        <w:t xml:space="preserve"> </w:t>
      </w:r>
      <w:r w:rsidR="00F173F8" w:rsidRPr="00C74D34">
        <w:t xml:space="preserve">The record before us reflects that </w:t>
      </w:r>
      <w:proofErr w:type="spellStart"/>
      <w:r w:rsidR="00F173F8" w:rsidRPr="00C74D34">
        <w:t>Transource</w:t>
      </w:r>
      <w:proofErr w:type="spellEnd"/>
      <w:r w:rsidR="00F173F8" w:rsidRPr="00C74D34">
        <w:t xml:space="preserve"> has undoubtedly been afforded the full and fair opportunity to present </w:t>
      </w:r>
      <w:r w:rsidR="00BE6A31" w:rsidRPr="00C74D34">
        <w:t>its</w:t>
      </w:r>
      <w:r w:rsidR="00F173F8" w:rsidRPr="00C74D34">
        <w:t xml:space="preserve"> case.  </w:t>
      </w:r>
      <w:proofErr w:type="spellStart"/>
      <w:r w:rsidR="00CB2F92" w:rsidRPr="00C74D34">
        <w:t>Transource</w:t>
      </w:r>
      <w:r w:rsidR="004427B1" w:rsidRPr="00C74D34">
        <w:t>’s</w:t>
      </w:r>
      <w:proofErr w:type="spellEnd"/>
      <w:r w:rsidR="004427B1" w:rsidRPr="00C74D34">
        <w:t xml:space="preserve"> Exception simply states a general disagreement with the ALJ’s </w:t>
      </w:r>
      <w:r w:rsidR="009423BD" w:rsidRPr="00C74D34">
        <w:t>findings and conclusions.</w:t>
      </w:r>
    </w:p>
    <w:p w14:paraId="7DA5A948" w14:textId="77777777" w:rsidR="00BE6A31" w:rsidRPr="00C74D34" w:rsidRDefault="00BE6A31" w:rsidP="002D03FA"/>
    <w:p w14:paraId="4F9293F3" w14:textId="67ED9964" w:rsidR="00A07769" w:rsidRPr="00C74D34" w:rsidRDefault="00F24FD1" w:rsidP="002D03FA">
      <w:pPr>
        <w:ind w:firstLine="1440"/>
        <w:rPr>
          <w:szCs w:val="26"/>
        </w:rPr>
      </w:pPr>
      <w:r w:rsidRPr="00C74D34">
        <w:rPr>
          <w:szCs w:val="26"/>
        </w:rPr>
        <w:lastRenderedPageBreak/>
        <w:t>For example, in its Exception No</w:t>
      </w:r>
      <w:r w:rsidR="00D710EA" w:rsidRPr="00C74D34">
        <w:rPr>
          <w:szCs w:val="26"/>
        </w:rPr>
        <w:t xml:space="preserve">. 4, </w:t>
      </w:r>
      <w:proofErr w:type="spellStart"/>
      <w:r w:rsidR="003A6A28" w:rsidRPr="00C74D34">
        <w:rPr>
          <w:szCs w:val="26"/>
        </w:rPr>
        <w:t>Transource</w:t>
      </w:r>
      <w:proofErr w:type="spellEnd"/>
      <w:r w:rsidR="003A6A28" w:rsidRPr="00C74D34">
        <w:rPr>
          <w:szCs w:val="26"/>
        </w:rPr>
        <w:t xml:space="preserve"> provided a supporting rational for why t</w:t>
      </w:r>
      <w:r w:rsidR="006342CB" w:rsidRPr="00C74D34">
        <w:rPr>
          <w:color w:val="auto"/>
          <w:szCs w:val="26"/>
        </w:rPr>
        <w:t>he ALJ erred as a matter of fact regarding GPS interference</w:t>
      </w:r>
      <w:r w:rsidR="003A6A28" w:rsidRPr="00C74D34">
        <w:rPr>
          <w:color w:val="auto"/>
          <w:szCs w:val="26"/>
        </w:rPr>
        <w:t xml:space="preserve">.  </w:t>
      </w:r>
      <w:r w:rsidR="00914840" w:rsidRPr="00C74D34">
        <w:rPr>
          <w:szCs w:val="26"/>
        </w:rPr>
        <w:t>Here,</w:t>
      </w:r>
      <w:r w:rsidR="00A07769" w:rsidRPr="00C74D34">
        <w:rPr>
          <w:szCs w:val="26"/>
        </w:rPr>
        <w:t xml:space="preserve"> however, </w:t>
      </w:r>
      <w:proofErr w:type="spellStart"/>
      <w:r w:rsidR="00914840" w:rsidRPr="00C74D34">
        <w:rPr>
          <w:szCs w:val="26"/>
        </w:rPr>
        <w:t>Transource’s</w:t>
      </w:r>
      <w:proofErr w:type="spellEnd"/>
      <w:r w:rsidR="00914840" w:rsidRPr="00C74D34">
        <w:rPr>
          <w:szCs w:val="26"/>
        </w:rPr>
        <w:t xml:space="preserve"> </w:t>
      </w:r>
      <w:r w:rsidR="00ED6F39" w:rsidRPr="00C74D34">
        <w:rPr>
          <w:szCs w:val="26"/>
        </w:rPr>
        <w:t xml:space="preserve">Exception </w:t>
      </w:r>
      <w:r w:rsidR="00EA68F5" w:rsidRPr="00C74D34">
        <w:rPr>
          <w:szCs w:val="26"/>
        </w:rPr>
        <w:t>assert</w:t>
      </w:r>
      <w:r w:rsidR="00DC321E" w:rsidRPr="00C74D34">
        <w:rPr>
          <w:szCs w:val="26"/>
        </w:rPr>
        <w:t>s</w:t>
      </w:r>
      <w:r w:rsidR="00EA68F5" w:rsidRPr="00C74D34">
        <w:rPr>
          <w:szCs w:val="26"/>
        </w:rPr>
        <w:t xml:space="preserve"> a sweeping rejection of the </w:t>
      </w:r>
      <w:r w:rsidR="00224931" w:rsidRPr="00C74D34">
        <w:rPr>
          <w:szCs w:val="26"/>
        </w:rPr>
        <w:t xml:space="preserve">ALJ’s </w:t>
      </w:r>
      <w:r w:rsidR="00A5324A" w:rsidRPr="00C74D34">
        <w:rPr>
          <w:szCs w:val="26"/>
        </w:rPr>
        <w:t xml:space="preserve">factual and legal conclusions gleaned from </w:t>
      </w:r>
      <w:r w:rsidR="00B46741" w:rsidRPr="00C74D34">
        <w:rPr>
          <w:szCs w:val="26"/>
        </w:rPr>
        <w:t>years of litigation</w:t>
      </w:r>
      <w:r w:rsidR="00942520" w:rsidRPr="00C74D34">
        <w:rPr>
          <w:szCs w:val="26"/>
        </w:rPr>
        <w:t xml:space="preserve"> and </w:t>
      </w:r>
      <w:r w:rsidR="006D305F" w:rsidRPr="00C74D34">
        <w:rPr>
          <w:szCs w:val="26"/>
        </w:rPr>
        <w:t>after extensive public input</w:t>
      </w:r>
      <w:r w:rsidR="00D12077" w:rsidRPr="00C74D34">
        <w:rPr>
          <w:szCs w:val="26"/>
        </w:rPr>
        <w:t>,</w:t>
      </w:r>
      <w:r w:rsidR="00ED6386" w:rsidRPr="00C74D34">
        <w:rPr>
          <w:szCs w:val="26"/>
        </w:rPr>
        <w:t xml:space="preserve"> </w:t>
      </w:r>
      <w:r w:rsidR="00B652B5" w:rsidRPr="00C74D34">
        <w:rPr>
          <w:szCs w:val="26"/>
        </w:rPr>
        <w:t xml:space="preserve">however, </w:t>
      </w:r>
      <w:proofErr w:type="spellStart"/>
      <w:r w:rsidR="00914840" w:rsidRPr="00C74D34">
        <w:rPr>
          <w:szCs w:val="26"/>
        </w:rPr>
        <w:t>Tra</w:t>
      </w:r>
      <w:r w:rsidR="00B11342" w:rsidRPr="00C74D34">
        <w:rPr>
          <w:szCs w:val="26"/>
        </w:rPr>
        <w:t>ns</w:t>
      </w:r>
      <w:r w:rsidR="00914840" w:rsidRPr="00C74D34">
        <w:rPr>
          <w:szCs w:val="26"/>
        </w:rPr>
        <w:t>ource</w:t>
      </w:r>
      <w:proofErr w:type="spellEnd"/>
      <w:r w:rsidR="00ED6386" w:rsidRPr="00C74D34">
        <w:rPr>
          <w:szCs w:val="26"/>
        </w:rPr>
        <w:t xml:space="preserve"> fails to artic</w:t>
      </w:r>
      <w:r w:rsidR="004D4DCD" w:rsidRPr="00C74D34">
        <w:rPr>
          <w:szCs w:val="26"/>
        </w:rPr>
        <w:t xml:space="preserve">ulate any </w:t>
      </w:r>
      <w:r w:rsidR="00A07769" w:rsidRPr="00C74D34">
        <w:rPr>
          <w:szCs w:val="26"/>
        </w:rPr>
        <w:t xml:space="preserve">rational to conclude the ALJ committed a </w:t>
      </w:r>
      <w:r w:rsidR="00ED6386" w:rsidRPr="00C74D34">
        <w:rPr>
          <w:szCs w:val="26"/>
        </w:rPr>
        <w:t>legal or factual error</w:t>
      </w:r>
      <w:r w:rsidR="00D12077" w:rsidRPr="00C74D34">
        <w:rPr>
          <w:szCs w:val="26"/>
        </w:rPr>
        <w:t>.</w:t>
      </w:r>
      <w:r w:rsidR="00977F8A" w:rsidRPr="00C74D34">
        <w:rPr>
          <w:szCs w:val="26"/>
        </w:rPr>
        <w:t xml:space="preserve">  </w:t>
      </w:r>
    </w:p>
    <w:p w14:paraId="2C96CDF2" w14:textId="77777777" w:rsidR="00A07769" w:rsidRPr="00C74D34" w:rsidRDefault="00A07769" w:rsidP="002D03FA">
      <w:pPr>
        <w:ind w:firstLine="1440"/>
        <w:rPr>
          <w:szCs w:val="26"/>
        </w:rPr>
      </w:pPr>
    </w:p>
    <w:p w14:paraId="0B3E9B01" w14:textId="4542BE99" w:rsidR="00977F8A" w:rsidRPr="00C74D34" w:rsidRDefault="00977F8A" w:rsidP="002D03FA">
      <w:pPr>
        <w:ind w:firstLine="1440"/>
        <w:rPr>
          <w:szCs w:val="26"/>
        </w:rPr>
      </w:pPr>
      <w:r w:rsidRPr="00C74D34">
        <w:rPr>
          <w:szCs w:val="26"/>
        </w:rPr>
        <w:t xml:space="preserve">Accordingly, </w:t>
      </w:r>
      <w:r w:rsidR="00414DD8" w:rsidRPr="00C74D34">
        <w:rPr>
          <w:szCs w:val="26"/>
        </w:rPr>
        <w:t>because we conclude the Exception is stated with insufficient specificity</w:t>
      </w:r>
      <w:r w:rsidR="001B594C" w:rsidRPr="00C74D34">
        <w:rPr>
          <w:szCs w:val="26"/>
        </w:rPr>
        <w:t xml:space="preserve"> to establish any factual or legal error, </w:t>
      </w:r>
      <w:r w:rsidRPr="00C74D34">
        <w:rPr>
          <w:szCs w:val="26"/>
        </w:rPr>
        <w:t xml:space="preserve">the Exception is denied. </w:t>
      </w:r>
      <w:r w:rsidR="00D12077" w:rsidRPr="00C74D34">
        <w:rPr>
          <w:szCs w:val="26"/>
        </w:rPr>
        <w:t xml:space="preserve"> </w:t>
      </w:r>
    </w:p>
    <w:p w14:paraId="46B8CE86" w14:textId="77777777" w:rsidR="003949AE" w:rsidRPr="00C74D34" w:rsidRDefault="003949AE" w:rsidP="002D03FA"/>
    <w:p w14:paraId="00F46701" w14:textId="23858020" w:rsidR="003949AE" w:rsidRPr="00C74D34" w:rsidRDefault="00B45153" w:rsidP="002D03FA">
      <w:pPr>
        <w:pStyle w:val="Heading1"/>
      </w:pPr>
      <w:bookmarkStart w:id="52" w:name="_Toc70516629"/>
      <w:r w:rsidRPr="00C74D34">
        <w:t>IV.</w:t>
      </w:r>
      <w:r w:rsidRPr="00C74D34">
        <w:tab/>
      </w:r>
      <w:r w:rsidR="00271446" w:rsidRPr="00C74D34">
        <w:t>CONCLUSION</w:t>
      </w:r>
      <w:bookmarkEnd w:id="52"/>
    </w:p>
    <w:p w14:paraId="36DD1B8E" w14:textId="5B76EDA7" w:rsidR="00271446" w:rsidRPr="00C74D34" w:rsidRDefault="00271446" w:rsidP="002D03FA">
      <w:pPr>
        <w:keepNext/>
      </w:pPr>
    </w:p>
    <w:p w14:paraId="70477998" w14:textId="6F758AF3" w:rsidR="00271446" w:rsidRPr="00C74D34" w:rsidRDefault="00271446" w:rsidP="001578A0">
      <w:pPr>
        <w:keepNext/>
        <w:ind w:firstLine="1440"/>
        <w:rPr>
          <w:szCs w:val="26"/>
        </w:rPr>
      </w:pPr>
      <w:r w:rsidRPr="00C74D34">
        <w:rPr>
          <w:szCs w:val="26"/>
        </w:rPr>
        <w:t xml:space="preserve">For the reasons discussed </w:t>
      </w:r>
      <w:r w:rsidR="00C648A7" w:rsidRPr="00C74D34">
        <w:rPr>
          <w:i/>
          <w:iCs/>
          <w:szCs w:val="26"/>
        </w:rPr>
        <w:t>supra</w:t>
      </w:r>
      <w:r w:rsidR="00C648A7" w:rsidRPr="00C74D34">
        <w:rPr>
          <w:szCs w:val="26"/>
        </w:rPr>
        <w:t xml:space="preserve">, </w:t>
      </w:r>
      <w:r w:rsidRPr="00C74D34">
        <w:rPr>
          <w:szCs w:val="26"/>
        </w:rPr>
        <w:t xml:space="preserve">we will grant, in part, and deny, in part, the Exceptions of </w:t>
      </w:r>
      <w:proofErr w:type="spellStart"/>
      <w:r w:rsidRPr="00C74D34">
        <w:rPr>
          <w:szCs w:val="26"/>
        </w:rPr>
        <w:t>Transource</w:t>
      </w:r>
      <w:proofErr w:type="spellEnd"/>
      <w:r w:rsidRPr="00C74D34">
        <w:rPr>
          <w:szCs w:val="26"/>
        </w:rPr>
        <w:t xml:space="preserve">.  We will adopt the Recommended Decision of Administrative Law </w:t>
      </w:r>
      <w:r w:rsidR="00F24378" w:rsidRPr="00C74D34">
        <w:rPr>
          <w:szCs w:val="26"/>
        </w:rPr>
        <w:t>Judge Elizabeth H. Barnes,</w:t>
      </w:r>
      <w:r w:rsidRPr="00C74D34">
        <w:rPr>
          <w:szCs w:val="26"/>
        </w:rPr>
        <w:t xml:space="preserve"> as modified by and consistent with the foregoing Opinion and Order and </w:t>
      </w:r>
      <w:r w:rsidR="005769B1" w:rsidRPr="00C74D34">
        <w:rPr>
          <w:szCs w:val="26"/>
        </w:rPr>
        <w:t xml:space="preserve">deny </w:t>
      </w:r>
      <w:r w:rsidRPr="00C74D34">
        <w:rPr>
          <w:szCs w:val="26"/>
        </w:rPr>
        <w:t xml:space="preserve">the Applications of </w:t>
      </w:r>
      <w:proofErr w:type="spellStart"/>
      <w:r w:rsidR="005769B1" w:rsidRPr="00C74D34">
        <w:rPr>
          <w:szCs w:val="26"/>
        </w:rPr>
        <w:t>T</w:t>
      </w:r>
      <w:r w:rsidR="00983766" w:rsidRPr="00C74D34">
        <w:rPr>
          <w:szCs w:val="26"/>
        </w:rPr>
        <w:t>r</w:t>
      </w:r>
      <w:r w:rsidR="005769B1" w:rsidRPr="00C74D34">
        <w:rPr>
          <w:szCs w:val="26"/>
        </w:rPr>
        <w:t>ansource</w:t>
      </w:r>
      <w:proofErr w:type="spellEnd"/>
      <w:r w:rsidRPr="00C74D34">
        <w:rPr>
          <w:szCs w:val="26"/>
        </w:rPr>
        <w:t xml:space="preserve">, </w:t>
      </w:r>
      <w:r w:rsidR="0097130F" w:rsidRPr="00C74D34">
        <w:rPr>
          <w:szCs w:val="26"/>
        </w:rPr>
        <w:t xml:space="preserve">and other related matters </w:t>
      </w:r>
      <w:r w:rsidRPr="00C74D34">
        <w:rPr>
          <w:szCs w:val="26"/>
        </w:rPr>
        <w:t xml:space="preserve">consistent with this Opinion and Order; </w:t>
      </w:r>
      <w:r w:rsidRPr="00C74D34">
        <w:rPr>
          <w:b/>
          <w:szCs w:val="26"/>
        </w:rPr>
        <w:t>THEREFORE,</w:t>
      </w:r>
    </w:p>
    <w:p w14:paraId="0110BA54" w14:textId="77777777" w:rsidR="00271446" w:rsidRPr="00C74D34" w:rsidRDefault="00271446" w:rsidP="001578A0">
      <w:pPr>
        <w:rPr>
          <w:szCs w:val="26"/>
        </w:rPr>
      </w:pPr>
    </w:p>
    <w:p w14:paraId="79C8D099" w14:textId="77777777" w:rsidR="00271446" w:rsidRPr="00C74D34" w:rsidRDefault="00271446" w:rsidP="001578A0">
      <w:pPr>
        <w:keepNext/>
        <w:rPr>
          <w:szCs w:val="26"/>
        </w:rPr>
      </w:pPr>
      <w:r w:rsidRPr="00C74D34">
        <w:rPr>
          <w:szCs w:val="26"/>
        </w:rPr>
        <w:tab/>
      </w:r>
      <w:r w:rsidRPr="00C74D34">
        <w:rPr>
          <w:szCs w:val="26"/>
        </w:rPr>
        <w:tab/>
      </w:r>
      <w:bookmarkStart w:id="53" w:name="_Toc253726404"/>
      <w:r w:rsidRPr="00C74D34">
        <w:rPr>
          <w:b/>
          <w:szCs w:val="26"/>
        </w:rPr>
        <w:t>IT IS ORDERED:</w:t>
      </w:r>
      <w:bookmarkEnd w:id="53"/>
    </w:p>
    <w:p w14:paraId="27F7849B" w14:textId="77777777" w:rsidR="00271446" w:rsidRPr="00C74D34" w:rsidRDefault="00271446" w:rsidP="001578A0">
      <w:pPr>
        <w:keepNext/>
        <w:rPr>
          <w:color w:val="auto"/>
          <w:szCs w:val="26"/>
        </w:rPr>
      </w:pPr>
    </w:p>
    <w:p w14:paraId="5DA6F976" w14:textId="415DFD87" w:rsidR="00271446" w:rsidRPr="00C74D34" w:rsidRDefault="00271446" w:rsidP="001578A0">
      <w:pPr>
        <w:keepNext/>
        <w:rPr>
          <w:color w:val="auto"/>
          <w:szCs w:val="26"/>
        </w:rPr>
      </w:pPr>
      <w:r w:rsidRPr="00C74D34">
        <w:rPr>
          <w:color w:val="auto"/>
          <w:szCs w:val="26"/>
        </w:rPr>
        <w:tab/>
      </w:r>
      <w:r w:rsidRPr="00C74D34">
        <w:rPr>
          <w:color w:val="auto"/>
          <w:szCs w:val="26"/>
        </w:rPr>
        <w:tab/>
        <w:t>1.</w:t>
      </w:r>
      <w:r w:rsidRPr="00C74D34">
        <w:rPr>
          <w:color w:val="auto"/>
          <w:szCs w:val="26"/>
        </w:rPr>
        <w:tab/>
        <w:t xml:space="preserve">That the Recommended Decision of Administrative Law Judge </w:t>
      </w:r>
      <w:r w:rsidR="00BB6710" w:rsidRPr="00C74D34">
        <w:rPr>
          <w:color w:val="auto"/>
          <w:szCs w:val="26"/>
        </w:rPr>
        <w:t>Elizabeth H. Barnes</w:t>
      </w:r>
      <w:r w:rsidRPr="00C74D34">
        <w:rPr>
          <w:color w:val="auto"/>
          <w:szCs w:val="26"/>
        </w:rPr>
        <w:t xml:space="preserve"> is adopted</w:t>
      </w:r>
      <w:r w:rsidR="006162E2" w:rsidRPr="00C74D34">
        <w:rPr>
          <w:color w:val="auto"/>
          <w:szCs w:val="26"/>
        </w:rPr>
        <w:t>,</w:t>
      </w:r>
      <w:r w:rsidRPr="00C74D34">
        <w:rPr>
          <w:color w:val="auto"/>
          <w:szCs w:val="26"/>
        </w:rPr>
        <w:t xml:space="preserve"> as modified by this Opinion and Order.</w:t>
      </w:r>
    </w:p>
    <w:p w14:paraId="69BD04D2" w14:textId="77777777" w:rsidR="00271446" w:rsidRPr="00C74D34" w:rsidRDefault="00271446" w:rsidP="002D03FA">
      <w:pPr>
        <w:rPr>
          <w:color w:val="auto"/>
          <w:szCs w:val="26"/>
        </w:rPr>
      </w:pPr>
    </w:p>
    <w:p w14:paraId="136EEE25" w14:textId="216BFDB2" w:rsidR="00271446" w:rsidRPr="00C74D34" w:rsidRDefault="00271446" w:rsidP="002D03FA">
      <w:pPr>
        <w:rPr>
          <w:color w:val="auto"/>
          <w:szCs w:val="26"/>
        </w:rPr>
      </w:pPr>
      <w:r w:rsidRPr="00C74D34">
        <w:rPr>
          <w:color w:val="auto"/>
          <w:szCs w:val="26"/>
        </w:rPr>
        <w:tab/>
      </w:r>
      <w:r w:rsidRPr="00C74D34">
        <w:rPr>
          <w:color w:val="auto"/>
          <w:szCs w:val="26"/>
        </w:rPr>
        <w:tab/>
        <w:t>2.</w:t>
      </w:r>
      <w:r w:rsidRPr="00C74D34">
        <w:rPr>
          <w:color w:val="auto"/>
          <w:szCs w:val="26"/>
        </w:rPr>
        <w:tab/>
        <w:t xml:space="preserve">That the Exceptions filed </w:t>
      </w:r>
      <w:r w:rsidR="00DF584C" w:rsidRPr="00C74D34">
        <w:rPr>
          <w:color w:val="auto"/>
          <w:szCs w:val="26"/>
        </w:rPr>
        <w:t xml:space="preserve">jointly </w:t>
      </w:r>
      <w:r w:rsidRPr="00C74D34">
        <w:rPr>
          <w:color w:val="auto"/>
          <w:szCs w:val="26"/>
        </w:rPr>
        <w:t xml:space="preserve">by </w:t>
      </w:r>
      <w:proofErr w:type="spellStart"/>
      <w:r w:rsidR="006162E2" w:rsidRPr="00C74D34">
        <w:rPr>
          <w:color w:val="auto"/>
          <w:szCs w:val="26"/>
        </w:rPr>
        <w:t>Transource</w:t>
      </w:r>
      <w:proofErr w:type="spellEnd"/>
      <w:r w:rsidR="006162E2" w:rsidRPr="00C74D34">
        <w:rPr>
          <w:color w:val="auto"/>
          <w:szCs w:val="26"/>
        </w:rPr>
        <w:t xml:space="preserve"> </w:t>
      </w:r>
      <w:r w:rsidR="00DF584C" w:rsidRPr="00C74D34">
        <w:rPr>
          <w:color w:val="auto"/>
          <w:szCs w:val="26"/>
        </w:rPr>
        <w:t xml:space="preserve">Pennsylvania, LLC, and </w:t>
      </w:r>
      <w:r w:rsidRPr="00C74D34">
        <w:rPr>
          <w:color w:val="auto"/>
          <w:szCs w:val="26"/>
        </w:rPr>
        <w:t>PPL Electric Utilities Corporation, are denied, in part, and granted, in part, consistent with this Opinion and Order.</w:t>
      </w:r>
      <w:r w:rsidR="00341373" w:rsidRPr="00C74D34">
        <w:rPr>
          <w:color w:val="auto"/>
          <w:szCs w:val="26"/>
        </w:rPr>
        <w:t xml:space="preserve"> </w:t>
      </w:r>
    </w:p>
    <w:p w14:paraId="237D013B" w14:textId="77777777" w:rsidR="00341373" w:rsidRPr="00C74D34" w:rsidRDefault="00341373" w:rsidP="002D03FA">
      <w:pPr>
        <w:rPr>
          <w:color w:val="auto"/>
          <w:szCs w:val="26"/>
        </w:rPr>
      </w:pPr>
    </w:p>
    <w:p w14:paraId="17432216" w14:textId="7615EEB8" w:rsidR="00341373" w:rsidRPr="00C74D34" w:rsidRDefault="00033EE7" w:rsidP="002D03FA">
      <w:pPr>
        <w:ind w:firstLine="1440"/>
        <w:rPr>
          <w:szCs w:val="26"/>
        </w:rPr>
      </w:pPr>
      <w:r w:rsidRPr="00C74D34">
        <w:rPr>
          <w:color w:val="auto"/>
          <w:szCs w:val="26"/>
        </w:rPr>
        <w:t>3.</w:t>
      </w:r>
      <w:r w:rsidR="00D200CE" w:rsidRPr="00C74D34">
        <w:rPr>
          <w:color w:val="auto"/>
          <w:szCs w:val="26"/>
        </w:rPr>
        <w:tab/>
      </w:r>
      <w:r w:rsidR="00341373" w:rsidRPr="00C74D34">
        <w:rPr>
          <w:szCs w:val="26"/>
        </w:rPr>
        <w:t xml:space="preserve">That the Application of </w:t>
      </w:r>
      <w:proofErr w:type="spellStart"/>
      <w:r w:rsidR="00341373" w:rsidRPr="00C74D34">
        <w:rPr>
          <w:szCs w:val="26"/>
        </w:rPr>
        <w:t>Transource</w:t>
      </w:r>
      <w:proofErr w:type="spellEnd"/>
      <w:r w:rsidR="00341373" w:rsidRPr="00C74D34">
        <w:rPr>
          <w:szCs w:val="26"/>
        </w:rPr>
        <w:t xml:space="preserve"> Pennsylvania, LLC, filed pursuant to 52 Pa. Code Chapter 57, Subchapter G, For Approval of the Siting and </w:t>
      </w:r>
      <w:r w:rsidR="00341373" w:rsidRPr="00C74D34">
        <w:rPr>
          <w:szCs w:val="26"/>
        </w:rPr>
        <w:lastRenderedPageBreak/>
        <w:t xml:space="preserve">Construction of the Proposed Pennsylvania Portion of the West Portion of the Independence Energy Connection Project in Portions of Franklin County, Pennsylvania, at Docket No. A-2017-2640200, </w:t>
      </w:r>
      <w:r w:rsidR="00ED04DC" w:rsidRPr="00C74D34">
        <w:rPr>
          <w:szCs w:val="26"/>
        </w:rPr>
        <w:t>is</w:t>
      </w:r>
      <w:r w:rsidR="00341373" w:rsidRPr="00C74D34">
        <w:rPr>
          <w:szCs w:val="26"/>
        </w:rPr>
        <w:t xml:space="preserve"> denied. </w:t>
      </w:r>
    </w:p>
    <w:p w14:paraId="057F6C34" w14:textId="77777777" w:rsidR="00341373" w:rsidRPr="00C74D34" w:rsidRDefault="00341373" w:rsidP="002D03FA">
      <w:pPr>
        <w:rPr>
          <w:szCs w:val="26"/>
        </w:rPr>
      </w:pPr>
      <w:r w:rsidRPr="00C74D34">
        <w:rPr>
          <w:szCs w:val="26"/>
        </w:rPr>
        <w:t xml:space="preserve"> </w:t>
      </w:r>
    </w:p>
    <w:p w14:paraId="752ACCC1" w14:textId="6E9C2A96" w:rsidR="00341373" w:rsidRPr="00C74D34" w:rsidRDefault="00D200CE" w:rsidP="00420BBB">
      <w:pPr>
        <w:ind w:left="14" w:right="43" w:firstLine="1426"/>
        <w:rPr>
          <w:szCs w:val="26"/>
        </w:rPr>
      </w:pPr>
      <w:r w:rsidRPr="00C74D34">
        <w:rPr>
          <w:szCs w:val="26"/>
        </w:rPr>
        <w:t>4.</w:t>
      </w:r>
      <w:r w:rsidRPr="00C74D34">
        <w:rPr>
          <w:szCs w:val="26"/>
        </w:rPr>
        <w:tab/>
      </w:r>
      <w:r w:rsidR="00341373" w:rsidRPr="00C74D34">
        <w:rPr>
          <w:szCs w:val="26"/>
        </w:rPr>
        <w:t xml:space="preserve">That the Joint Amended Application of </w:t>
      </w:r>
      <w:proofErr w:type="spellStart"/>
      <w:r w:rsidR="00341373" w:rsidRPr="00C74D34">
        <w:rPr>
          <w:szCs w:val="26"/>
        </w:rPr>
        <w:t>Transource</w:t>
      </w:r>
      <w:proofErr w:type="spellEnd"/>
      <w:r w:rsidR="00341373" w:rsidRPr="00C74D34">
        <w:rPr>
          <w:szCs w:val="26"/>
        </w:rPr>
        <w:t xml:space="preserve"> Pennsylvania, LLC and PPL Electric Utilities Corporation filed pursuant to 52 Pa. Code Chapter 57, Subchapter G, for Approval of the Siting and Construction of the Proposed Pennsylvania Portion of the Alternative Configuration of the East Portion of the Independence Energy Connection Project in Portions of York County, Pennsylvania, at Docket No. A</w:t>
      </w:r>
      <w:r w:rsidR="00420BBB">
        <w:rPr>
          <w:szCs w:val="26"/>
        </w:rPr>
        <w:noBreakHyphen/>
      </w:r>
      <w:r w:rsidR="00341373" w:rsidRPr="00C74D34">
        <w:rPr>
          <w:szCs w:val="26"/>
        </w:rPr>
        <w:t>2017</w:t>
      </w:r>
      <w:r w:rsidR="00420BBB">
        <w:rPr>
          <w:szCs w:val="26"/>
        </w:rPr>
        <w:noBreakHyphen/>
      </w:r>
      <w:r w:rsidR="00341373" w:rsidRPr="00C74D34">
        <w:rPr>
          <w:szCs w:val="26"/>
        </w:rPr>
        <w:t xml:space="preserve">2640195, </w:t>
      </w:r>
      <w:r w:rsidR="00ED04DC" w:rsidRPr="00C74D34">
        <w:rPr>
          <w:szCs w:val="26"/>
        </w:rPr>
        <w:t>is</w:t>
      </w:r>
      <w:r w:rsidR="00341373" w:rsidRPr="00C74D34">
        <w:rPr>
          <w:szCs w:val="26"/>
        </w:rPr>
        <w:t xml:space="preserve"> denied. </w:t>
      </w:r>
    </w:p>
    <w:p w14:paraId="05FE0DA4" w14:textId="77777777" w:rsidR="00341373" w:rsidRPr="00C74D34" w:rsidRDefault="00341373" w:rsidP="00420BBB">
      <w:pPr>
        <w:ind w:left="91"/>
        <w:rPr>
          <w:szCs w:val="26"/>
        </w:rPr>
      </w:pPr>
      <w:r w:rsidRPr="00C74D34">
        <w:rPr>
          <w:szCs w:val="26"/>
        </w:rPr>
        <w:t xml:space="preserve"> </w:t>
      </w:r>
    </w:p>
    <w:p w14:paraId="7E5DF410" w14:textId="197FF8B4" w:rsidR="00341373" w:rsidRPr="00C74D34" w:rsidRDefault="00F64E78" w:rsidP="00420BBB">
      <w:pPr>
        <w:ind w:firstLine="1440"/>
      </w:pPr>
      <w:r w:rsidRPr="00C74D34">
        <w:t>5.</w:t>
      </w:r>
      <w:r w:rsidRPr="00C74D34">
        <w:tab/>
      </w:r>
      <w:r w:rsidR="00341373" w:rsidRPr="00C74D34">
        <w:t xml:space="preserve">That the Petition of </w:t>
      </w:r>
      <w:proofErr w:type="spellStart"/>
      <w:r w:rsidR="00341373" w:rsidRPr="00C74D34">
        <w:t>Transource</w:t>
      </w:r>
      <w:proofErr w:type="spellEnd"/>
      <w:r w:rsidR="00341373" w:rsidRPr="00C74D34">
        <w:t xml:space="preserve"> Pennsylvania, LLC for a Finding that a Building to Shelter Control Equipment at the Furnace Run Substation in York County, Pennsylvania, is Reasonably Necessary for the Convenience or Welfare of the Public, at Docket No. P-2018-3001878, </w:t>
      </w:r>
      <w:r w:rsidR="00ED04DC" w:rsidRPr="00C74D34">
        <w:t>is</w:t>
      </w:r>
      <w:r w:rsidR="00341373" w:rsidRPr="00C74D34">
        <w:t xml:space="preserve"> denied. </w:t>
      </w:r>
    </w:p>
    <w:p w14:paraId="7568FF72" w14:textId="77777777" w:rsidR="00341373" w:rsidRPr="00C74D34" w:rsidRDefault="00341373" w:rsidP="00420BBB">
      <w:pPr>
        <w:rPr>
          <w:szCs w:val="26"/>
        </w:rPr>
      </w:pPr>
      <w:r w:rsidRPr="00C74D34">
        <w:rPr>
          <w:szCs w:val="26"/>
        </w:rPr>
        <w:t xml:space="preserve"> </w:t>
      </w:r>
    </w:p>
    <w:p w14:paraId="61EBCB3F" w14:textId="3BD73E52" w:rsidR="00341373" w:rsidRPr="00C74D34" w:rsidRDefault="0047446A" w:rsidP="00420BBB">
      <w:pPr>
        <w:ind w:firstLine="1440"/>
      </w:pPr>
      <w:r w:rsidRPr="00C74D34">
        <w:t>6.</w:t>
      </w:r>
      <w:r w:rsidRPr="00C74D34">
        <w:tab/>
      </w:r>
      <w:r w:rsidR="00341373" w:rsidRPr="00C74D34">
        <w:t xml:space="preserve">That the Petition of </w:t>
      </w:r>
      <w:proofErr w:type="spellStart"/>
      <w:r w:rsidR="00341373" w:rsidRPr="00C74D34">
        <w:t>Transource</w:t>
      </w:r>
      <w:proofErr w:type="spellEnd"/>
      <w:r w:rsidR="00341373" w:rsidRPr="00C74D34">
        <w:t xml:space="preserve"> Pennsylvania, LLC for a Finding that </w:t>
      </w:r>
      <w:r w:rsidR="009B66A4" w:rsidRPr="00C74D34">
        <w:t>a</w:t>
      </w:r>
      <w:r w:rsidR="00C07AED" w:rsidRPr="00C74D34">
        <w:t xml:space="preserve"> </w:t>
      </w:r>
      <w:r w:rsidR="00341373" w:rsidRPr="00C74D34">
        <w:t xml:space="preserve">Building to Shelter Control Equipment at the Rice Substation in Franklin County, Pennsylvania, is Reasonably Necessary for the Convenience or Welfare of the Public, at Docket No. P-20183001883, </w:t>
      </w:r>
      <w:r w:rsidR="00DA5DAA" w:rsidRPr="00C74D34">
        <w:t>is</w:t>
      </w:r>
      <w:r w:rsidR="00341373" w:rsidRPr="00C74D34">
        <w:t xml:space="preserve"> denied. </w:t>
      </w:r>
    </w:p>
    <w:p w14:paraId="393AE42B" w14:textId="77777777" w:rsidR="009B66A4" w:rsidRPr="00C74D34" w:rsidRDefault="009B66A4" w:rsidP="00420BBB">
      <w:pPr>
        <w:ind w:left="91"/>
        <w:rPr>
          <w:szCs w:val="26"/>
        </w:rPr>
      </w:pPr>
    </w:p>
    <w:p w14:paraId="35E84FD7" w14:textId="55C7B790" w:rsidR="00341373" w:rsidRPr="00C74D34" w:rsidRDefault="0047446A" w:rsidP="00420BBB">
      <w:pPr>
        <w:ind w:firstLine="1440"/>
      </w:pPr>
      <w:r w:rsidRPr="00C74D34">
        <w:t>7.</w:t>
      </w:r>
      <w:r w:rsidRPr="00C74D34">
        <w:tab/>
      </w:r>
      <w:r w:rsidR="00341373" w:rsidRPr="00C74D34">
        <w:t xml:space="preserve">That the Applications of </w:t>
      </w:r>
      <w:proofErr w:type="spellStart"/>
      <w:r w:rsidR="00341373" w:rsidRPr="00C74D34">
        <w:t>Transource</w:t>
      </w:r>
      <w:proofErr w:type="spellEnd"/>
      <w:r w:rsidR="00341373" w:rsidRPr="00C74D34">
        <w:t xml:space="preserve"> Pennsylvania, LLC, for Approval to Acquire a Certain Portion of Lands of Various Landowners in York and Franklin Counties, Pennsylvania for the Siting and Construction of the 230 kV Transmission Lines associated with the Independence Energy Connection – East and West Projects as Necessary or Proper for the Service, Accommodation, Convenience or Safety of the Public, at the following docket numbers </w:t>
      </w:r>
      <w:r w:rsidR="00DA5DAA" w:rsidRPr="00C74D34">
        <w:t>are</w:t>
      </w:r>
      <w:r w:rsidR="00341373" w:rsidRPr="00C74D34">
        <w:t xml:space="preserve"> denied. </w:t>
      </w:r>
    </w:p>
    <w:p w14:paraId="2C4BCA0B" w14:textId="77777777" w:rsidR="00341373" w:rsidRPr="00C74D34" w:rsidRDefault="00341373" w:rsidP="00B11342">
      <w:pPr>
        <w:ind w:left="91"/>
        <w:rPr>
          <w:szCs w:val="26"/>
        </w:rPr>
      </w:pPr>
      <w:r w:rsidRPr="00C74D34">
        <w:rPr>
          <w:szCs w:val="26"/>
        </w:rPr>
        <w:t xml:space="preserve"> </w:t>
      </w:r>
    </w:p>
    <w:tbl>
      <w:tblPr>
        <w:tblStyle w:val="TableGrid0"/>
        <w:tblW w:w="9578" w:type="dxa"/>
        <w:tblInd w:w="-17" w:type="dxa"/>
        <w:tblCellMar>
          <w:top w:w="58" w:type="dxa"/>
          <w:left w:w="108" w:type="dxa"/>
          <w:right w:w="67" w:type="dxa"/>
        </w:tblCellMar>
        <w:tblLook w:val="04A0" w:firstRow="1" w:lastRow="0" w:firstColumn="1" w:lastColumn="0" w:noHBand="0" w:noVBand="1"/>
      </w:tblPr>
      <w:tblGrid>
        <w:gridCol w:w="468"/>
        <w:gridCol w:w="3594"/>
        <w:gridCol w:w="6"/>
        <w:gridCol w:w="5484"/>
        <w:gridCol w:w="26"/>
      </w:tblGrid>
      <w:tr w:rsidR="00683DB7" w:rsidRPr="00C74D34" w14:paraId="50698B3B" w14:textId="77777777" w:rsidTr="00BD2720">
        <w:trPr>
          <w:gridAfter w:val="1"/>
          <w:wAfter w:w="26" w:type="dxa"/>
          <w:trHeight w:val="391"/>
        </w:trPr>
        <w:tc>
          <w:tcPr>
            <w:tcW w:w="468" w:type="dxa"/>
            <w:tcBorders>
              <w:top w:val="single" w:sz="4" w:space="0" w:color="000000"/>
              <w:left w:val="single" w:sz="4" w:space="0" w:color="000000"/>
              <w:bottom w:val="single" w:sz="4" w:space="0" w:color="000000"/>
              <w:right w:val="single" w:sz="4" w:space="0" w:color="000000"/>
            </w:tcBorders>
          </w:tcPr>
          <w:p w14:paraId="7292C0CA"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lastRenderedPageBreak/>
              <w:t xml:space="preserve">1 </w:t>
            </w:r>
          </w:p>
        </w:tc>
        <w:tc>
          <w:tcPr>
            <w:tcW w:w="3600" w:type="dxa"/>
            <w:gridSpan w:val="2"/>
            <w:tcBorders>
              <w:top w:val="single" w:sz="4" w:space="0" w:color="000000"/>
              <w:left w:val="single" w:sz="4" w:space="0" w:color="000000"/>
              <w:bottom w:val="single" w:sz="4" w:space="0" w:color="000000"/>
              <w:right w:val="single" w:sz="4" w:space="0" w:color="000000"/>
            </w:tcBorders>
          </w:tcPr>
          <w:p w14:paraId="02FAF973" w14:textId="6CD76405"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A-2018-3001881 </w:t>
            </w:r>
          </w:p>
        </w:tc>
        <w:tc>
          <w:tcPr>
            <w:tcW w:w="5484" w:type="dxa"/>
            <w:tcBorders>
              <w:top w:val="single" w:sz="4" w:space="0" w:color="000000"/>
              <w:left w:val="single" w:sz="4" w:space="0" w:color="000000"/>
              <w:bottom w:val="single" w:sz="4" w:space="0" w:color="000000"/>
              <w:right w:val="single" w:sz="4" w:space="0" w:color="000000"/>
            </w:tcBorders>
          </w:tcPr>
          <w:p w14:paraId="71407230"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Douglas E. &amp; Martha J. Rohrer </w:t>
            </w:r>
          </w:p>
        </w:tc>
      </w:tr>
      <w:tr w:rsidR="00683DB7" w:rsidRPr="00C74D34" w14:paraId="36E95C0C" w14:textId="77777777" w:rsidTr="00883E86">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7C0F47A6"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 </w:t>
            </w:r>
          </w:p>
        </w:tc>
        <w:tc>
          <w:tcPr>
            <w:tcW w:w="3600" w:type="dxa"/>
            <w:gridSpan w:val="2"/>
            <w:tcBorders>
              <w:top w:val="single" w:sz="4" w:space="0" w:color="000000"/>
              <w:left w:val="single" w:sz="4" w:space="0" w:color="000000"/>
              <w:bottom w:val="single" w:sz="4" w:space="0" w:color="000000"/>
              <w:right w:val="single" w:sz="4" w:space="0" w:color="000000"/>
            </w:tcBorders>
          </w:tcPr>
          <w:p w14:paraId="713C96C0" w14:textId="21A49BA8"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A-2018-3001886 </w:t>
            </w:r>
          </w:p>
        </w:tc>
        <w:tc>
          <w:tcPr>
            <w:tcW w:w="5484" w:type="dxa"/>
            <w:tcBorders>
              <w:top w:val="single" w:sz="4" w:space="0" w:color="000000"/>
              <w:left w:val="single" w:sz="4" w:space="0" w:color="000000"/>
              <w:bottom w:val="single" w:sz="4" w:space="0" w:color="000000"/>
              <w:right w:val="single" w:sz="4" w:space="0" w:color="000000"/>
            </w:tcBorders>
          </w:tcPr>
          <w:p w14:paraId="3C702FDF"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Dale A. &amp; Barbara D. J. </w:t>
            </w:r>
            <w:proofErr w:type="spellStart"/>
            <w:r w:rsidRPr="00C74D34">
              <w:rPr>
                <w:rFonts w:ascii="Times New Roman" w:hAnsi="Times New Roman" w:cs="Times New Roman"/>
                <w:szCs w:val="26"/>
              </w:rPr>
              <w:t>Torbert</w:t>
            </w:r>
            <w:proofErr w:type="spellEnd"/>
            <w:r w:rsidRPr="00C74D34">
              <w:rPr>
                <w:rFonts w:ascii="Times New Roman" w:hAnsi="Times New Roman" w:cs="Times New Roman"/>
                <w:szCs w:val="26"/>
              </w:rPr>
              <w:t xml:space="preserve"> </w:t>
            </w:r>
          </w:p>
        </w:tc>
      </w:tr>
      <w:tr w:rsidR="00683DB7" w:rsidRPr="00C74D34" w14:paraId="229CDA57" w14:textId="77777777" w:rsidTr="006107D3">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317D10A0"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 </w:t>
            </w:r>
          </w:p>
        </w:tc>
        <w:tc>
          <w:tcPr>
            <w:tcW w:w="3600" w:type="dxa"/>
            <w:gridSpan w:val="2"/>
            <w:tcBorders>
              <w:top w:val="single" w:sz="4" w:space="0" w:color="000000"/>
              <w:left w:val="single" w:sz="4" w:space="0" w:color="000000"/>
              <w:bottom w:val="single" w:sz="4" w:space="0" w:color="000000"/>
              <w:right w:val="single" w:sz="4" w:space="0" w:color="000000"/>
            </w:tcBorders>
          </w:tcPr>
          <w:p w14:paraId="25F3A2EB" w14:textId="10736F6E"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A-2018-3001898 </w:t>
            </w:r>
          </w:p>
        </w:tc>
        <w:tc>
          <w:tcPr>
            <w:tcW w:w="5484" w:type="dxa"/>
            <w:tcBorders>
              <w:top w:val="single" w:sz="4" w:space="0" w:color="000000"/>
              <w:left w:val="single" w:sz="4" w:space="0" w:color="000000"/>
              <w:bottom w:val="single" w:sz="4" w:space="0" w:color="000000"/>
              <w:right w:val="single" w:sz="4" w:space="0" w:color="000000"/>
            </w:tcBorders>
          </w:tcPr>
          <w:p w14:paraId="0EBDCE37" w14:textId="77777777" w:rsidR="00683DB7" w:rsidRPr="00C74D34" w:rsidRDefault="00683DB7" w:rsidP="00B11342">
            <w:pPr>
              <w:spacing w:line="259" w:lineRule="auto"/>
              <w:ind w:right="1126"/>
              <w:rPr>
                <w:rFonts w:ascii="Times New Roman" w:hAnsi="Times New Roman" w:cs="Times New Roman"/>
                <w:szCs w:val="26"/>
              </w:rPr>
            </w:pPr>
            <w:r w:rsidRPr="00C74D34">
              <w:rPr>
                <w:rFonts w:ascii="Times New Roman" w:hAnsi="Times New Roman" w:cs="Times New Roman"/>
                <w:szCs w:val="26"/>
              </w:rPr>
              <w:t xml:space="preserve">Yost Family Farms, LP </w:t>
            </w:r>
          </w:p>
        </w:tc>
      </w:tr>
      <w:tr w:rsidR="00683DB7" w:rsidRPr="00C74D34" w14:paraId="1E0A1914" w14:textId="77777777" w:rsidTr="00911FAF">
        <w:trPr>
          <w:gridAfter w:val="1"/>
          <w:wAfter w:w="26" w:type="dxa"/>
          <w:trHeight w:val="392"/>
        </w:trPr>
        <w:tc>
          <w:tcPr>
            <w:tcW w:w="468" w:type="dxa"/>
            <w:tcBorders>
              <w:top w:val="single" w:sz="4" w:space="0" w:color="000000"/>
              <w:left w:val="single" w:sz="4" w:space="0" w:color="000000"/>
              <w:bottom w:val="single" w:sz="4" w:space="0" w:color="000000"/>
              <w:right w:val="single" w:sz="4" w:space="0" w:color="000000"/>
            </w:tcBorders>
          </w:tcPr>
          <w:p w14:paraId="76710495"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 </w:t>
            </w:r>
          </w:p>
        </w:tc>
        <w:tc>
          <w:tcPr>
            <w:tcW w:w="3600" w:type="dxa"/>
            <w:gridSpan w:val="2"/>
            <w:tcBorders>
              <w:top w:val="single" w:sz="4" w:space="0" w:color="000000"/>
              <w:left w:val="single" w:sz="4" w:space="0" w:color="000000"/>
              <w:bottom w:val="single" w:sz="4" w:space="0" w:color="000000"/>
              <w:right w:val="single" w:sz="4" w:space="0" w:color="000000"/>
            </w:tcBorders>
          </w:tcPr>
          <w:p w14:paraId="68C9C52F" w14:textId="5C8721AF"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 A-2018-3001902 </w:t>
            </w:r>
          </w:p>
        </w:tc>
        <w:tc>
          <w:tcPr>
            <w:tcW w:w="5484" w:type="dxa"/>
            <w:tcBorders>
              <w:top w:val="single" w:sz="4" w:space="0" w:color="000000"/>
              <w:left w:val="single" w:sz="4" w:space="0" w:color="000000"/>
              <w:bottom w:val="single" w:sz="4" w:space="0" w:color="000000"/>
              <w:right w:val="single" w:sz="4" w:space="0" w:color="000000"/>
            </w:tcBorders>
          </w:tcPr>
          <w:p w14:paraId="1F9E7C0F"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Kent E. &amp; Nancy H. Blevins </w:t>
            </w:r>
          </w:p>
        </w:tc>
      </w:tr>
      <w:tr w:rsidR="00683DB7" w:rsidRPr="00C74D34" w14:paraId="4174650A" w14:textId="77777777" w:rsidTr="00A2137E">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0470CEA4"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 </w:t>
            </w:r>
          </w:p>
        </w:tc>
        <w:tc>
          <w:tcPr>
            <w:tcW w:w="3600" w:type="dxa"/>
            <w:gridSpan w:val="2"/>
            <w:tcBorders>
              <w:top w:val="single" w:sz="4" w:space="0" w:color="000000"/>
              <w:left w:val="single" w:sz="4" w:space="0" w:color="000000"/>
              <w:bottom w:val="single" w:sz="4" w:space="0" w:color="000000"/>
              <w:right w:val="single" w:sz="4" w:space="0" w:color="000000"/>
            </w:tcBorders>
          </w:tcPr>
          <w:p w14:paraId="76B409CB" w14:textId="1C8CCFFA"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A-2018-3001904 </w:t>
            </w:r>
          </w:p>
        </w:tc>
        <w:tc>
          <w:tcPr>
            <w:tcW w:w="5484" w:type="dxa"/>
            <w:tcBorders>
              <w:top w:val="single" w:sz="4" w:space="0" w:color="000000"/>
              <w:left w:val="single" w:sz="4" w:space="0" w:color="000000"/>
              <w:bottom w:val="single" w:sz="4" w:space="0" w:color="000000"/>
              <w:right w:val="single" w:sz="4" w:space="0" w:color="000000"/>
            </w:tcBorders>
          </w:tcPr>
          <w:p w14:paraId="73E8B4FE"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Gregory J. &amp; Melanie A. Goss </w:t>
            </w:r>
          </w:p>
        </w:tc>
      </w:tr>
      <w:tr w:rsidR="00683DB7" w:rsidRPr="00C74D34" w14:paraId="55637E7D" w14:textId="77777777" w:rsidTr="00B62E5D">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295518B6"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 </w:t>
            </w:r>
          </w:p>
        </w:tc>
        <w:tc>
          <w:tcPr>
            <w:tcW w:w="3600" w:type="dxa"/>
            <w:gridSpan w:val="2"/>
            <w:tcBorders>
              <w:top w:val="single" w:sz="4" w:space="0" w:color="000000"/>
              <w:left w:val="single" w:sz="4" w:space="0" w:color="000000"/>
              <w:bottom w:val="single" w:sz="4" w:space="0" w:color="000000"/>
              <w:right w:val="single" w:sz="4" w:space="0" w:color="000000"/>
            </w:tcBorders>
          </w:tcPr>
          <w:p w14:paraId="40A1BD0F" w14:textId="64486E28"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A-2018-3001906 </w:t>
            </w:r>
          </w:p>
        </w:tc>
        <w:tc>
          <w:tcPr>
            <w:tcW w:w="5484" w:type="dxa"/>
            <w:tcBorders>
              <w:top w:val="single" w:sz="4" w:space="0" w:color="000000"/>
              <w:left w:val="single" w:sz="4" w:space="0" w:color="000000"/>
              <w:bottom w:val="single" w:sz="4" w:space="0" w:color="000000"/>
              <w:right w:val="single" w:sz="4" w:space="0" w:color="000000"/>
            </w:tcBorders>
          </w:tcPr>
          <w:p w14:paraId="17DEB21B"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Michael </w:t>
            </w:r>
            <w:proofErr w:type="spellStart"/>
            <w:r w:rsidRPr="00C74D34">
              <w:rPr>
                <w:rFonts w:ascii="Times New Roman" w:hAnsi="Times New Roman" w:cs="Times New Roman"/>
                <w:szCs w:val="26"/>
              </w:rPr>
              <w:t>Hecner</w:t>
            </w:r>
            <w:proofErr w:type="spellEnd"/>
            <w:r w:rsidRPr="00C74D34">
              <w:rPr>
                <w:rFonts w:ascii="Times New Roman" w:hAnsi="Times New Roman" w:cs="Times New Roman"/>
                <w:szCs w:val="26"/>
              </w:rPr>
              <w:t xml:space="preserve">, Eva </w:t>
            </w:r>
            <w:proofErr w:type="spellStart"/>
            <w:r w:rsidRPr="00C74D34">
              <w:rPr>
                <w:rFonts w:ascii="Times New Roman" w:hAnsi="Times New Roman" w:cs="Times New Roman"/>
                <w:szCs w:val="26"/>
              </w:rPr>
              <w:t>Hecner</w:t>
            </w:r>
            <w:proofErr w:type="spellEnd"/>
            <w:r w:rsidRPr="00C74D34">
              <w:rPr>
                <w:rFonts w:ascii="Times New Roman" w:hAnsi="Times New Roman" w:cs="Times New Roman"/>
                <w:szCs w:val="26"/>
              </w:rPr>
              <w:t xml:space="preserve">, Stephen M. </w:t>
            </w:r>
            <w:proofErr w:type="spellStart"/>
            <w:r w:rsidRPr="00C74D34">
              <w:rPr>
                <w:rFonts w:ascii="Times New Roman" w:hAnsi="Times New Roman" w:cs="Times New Roman"/>
                <w:szCs w:val="26"/>
              </w:rPr>
              <w:t>Hecner</w:t>
            </w:r>
            <w:proofErr w:type="spellEnd"/>
            <w:r w:rsidRPr="00C74D34">
              <w:rPr>
                <w:rFonts w:ascii="Times New Roman" w:hAnsi="Times New Roman" w:cs="Times New Roman"/>
                <w:szCs w:val="26"/>
              </w:rPr>
              <w:t xml:space="preserve"> and Theresa M. Norris </w:t>
            </w:r>
          </w:p>
        </w:tc>
      </w:tr>
      <w:tr w:rsidR="00683DB7" w:rsidRPr="00C74D34" w14:paraId="0D60001D" w14:textId="77777777" w:rsidTr="008979C0">
        <w:trPr>
          <w:gridAfter w:val="1"/>
          <w:wAfter w:w="26" w:type="dxa"/>
          <w:trHeight w:val="768"/>
        </w:trPr>
        <w:tc>
          <w:tcPr>
            <w:tcW w:w="468" w:type="dxa"/>
            <w:tcBorders>
              <w:top w:val="single" w:sz="4" w:space="0" w:color="000000"/>
              <w:left w:val="single" w:sz="4" w:space="0" w:color="000000"/>
              <w:bottom w:val="single" w:sz="4" w:space="0" w:color="000000"/>
              <w:right w:val="single" w:sz="4" w:space="0" w:color="000000"/>
            </w:tcBorders>
          </w:tcPr>
          <w:p w14:paraId="64F86297"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7 </w:t>
            </w:r>
          </w:p>
        </w:tc>
        <w:tc>
          <w:tcPr>
            <w:tcW w:w="3600" w:type="dxa"/>
            <w:gridSpan w:val="2"/>
            <w:tcBorders>
              <w:top w:val="single" w:sz="4" w:space="0" w:color="000000"/>
              <w:left w:val="single" w:sz="4" w:space="0" w:color="000000"/>
              <w:bottom w:val="single" w:sz="4" w:space="0" w:color="000000"/>
              <w:right w:val="single" w:sz="4" w:space="0" w:color="000000"/>
            </w:tcBorders>
          </w:tcPr>
          <w:p w14:paraId="27EB2B40" w14:textId="43AABC5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A-2018-3001907 </w:t>
            </w:r>
          </w:p>
        </w:tc>
        <w:tc>
          <w:tcPr>
            <w:tcW w:w="5484" w:type="dxa"/>
            <w:tcBorders>
              <w:top w:val="single" w:sz="4" w:space="0" w:color="000000"/>
              <w:left w:val="single" w:sz="4" w:space="0" w:color="000000"/>
              <w:bottom w:val="single" w:sz="4" w:space="0" w:color="000000"/>
              <w:right w:val="single" w:sz="4" w:space="0" w:color="000000"/>
            </w:tcBorders>
          </w:tcPr>
          <w:p w14:paraId="03E6FB6A" w14:textId="77777777" w:rsidR="00683DB7" w:rsidRPr="00C74D34" w:rsidRDefault="00683DB7" w:rsidP="00B11342">
            <w:pPr>
              <w:spacing w:after="103" w:line="259" w:lineRule="auto"/>
              <w:rPr>
                <w:rFonts w:ascii="Times New Roman" w:hAnsi="Times New Roman" w:cs="Times New Roman"/>
                <w:szCs w:val="26"/>
              </w:rPr>
            </w:pPr>
            <w:r w:rsidRPr="00C74D34">
              <w:rPr>
                <w:rFonts w:ascii="Times New Roman" w:hAnsi="Times New Roman" w:cs="Times New Roman"/>
                <w:szCs w:val="26"/>
              </w:rPr>
              <w:t xml:space="preserve">Robert B. Burchett, Judy K. Burchett, Thomas L. Burchett, and Stacy L. </w:t>
            </w:r>
          </w:p>
          <w:p w14:paraId="4F47B7B8"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Burchett, t/d/b/a Maple Springs Farms Partnership </w:t>
            </w:r>
          </w:p>
        </w:tc>
      </w:tr>
      <w:tr w:rsidR="00683DB7" w:rsidRPr="00C74D34" w14:paraId="480A1FDD" w14:textId="77777777" w:rsidTr="00B02360">
        <w:trPr>
          <w:gridAfter w:val="1"/>
          <w:wAfter w:w="26" w:type="dxa"/>
          <w:trHeight w:val="391"/>
        </w:trPr>
        <w:tc>
          <w:tcPr>
            <w:tcW w:w="468" w:type="dxa"/>
            <w:tcBorders>
              <w:top w:val="single" w:sz="4" w:space="0" w:color="000000"/>
              <w:left w:val="single" w:sz="4" w:space="0" w:color="000000"/>
              <w:bottom w:val="single" w:sz="4" w:space="0" w:color="000000"/>
              <w:right w:val="single" w:sz="4" w:space="0" w:color="000000"/>
            </w:tcBorders>
          </w:tcPr>
          <w:p w14:paraId="36F10C16"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8 </w:t>
            </w:r>
          </w:p>
        </w:tc>
        <w:tc>
          <w:tcPr>
            <w:tcW w:w="3600" w:type="dxa"/>
            <w:gridSpan w:val="2"/>
            <w:tcBorders>
              <w:top w:val="single" w:sz="4" w:space="0" w:color="000000"/>
              <w:left w:val="single" w:sz="4" w:space="0" w:color="000000"/>
              <w:bottom w:val="single" w:sz="4" w:space="0" w:color="000000"/>
              <w:right w:val="single" w:sz="4" w:space="0" w:color="000000"/>
            </w:tcBorders>
          </w:tcPr>
          <w:p w14:paraId="586980A2" w14:textId="09B69398"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A-2018-3001922 </w:t>
            </w:r>
          </w:p>
        </w:tc>
        <w:tc>
          <w:tcPr>
            <w:tcW w:w="5484" w:type="dxa"/>
            <w:tcBorders>
              <w:top w:val="single" w:sz="4" w:space="0" w:color="000000"/>
              <w:left w:val="single" w:sz="4" w:space="0" w:color="000000"/>
              <w:bottom w:val="single" w:sz="4" w:space="0" w:color="000000"/>
              <w:right w:val="single" w:sz="4" w:space="0" w:color="000000"/>
            </w:tcBorders>
          </w:tcPr>
          <w:p w14:paraId="62789C1E"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Mervin S. &amp; Gladys O. Miller </w:t>
            </w:r>
          </w:p>
        </w:tc>
      </w:tr>
      <w:tr w:rsidR="00683DB7" w:rsidRPr="00C74D34" w14:paraId="05FAC3BB" w14:textId="77777777" w:rsidTr="00931A8B">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47752984"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9 </w:t>
            </w:r>
          </w:p>
        </w:tc>
        <w:tc>
          <w:tcPr>
            <w:tcW w:w="3600" w:type="dxa"/>
            <w:gridSpan w:val="2"/>
            <w:tcBorders>
              <w:top w:val="single" w:sz="4" w:space="0" w:color="000000"/>
              <w:left w:val="single" w:sz="4" w:space="0" w:color="000000"/>
              <w:bottom w:val="single" w:sz="4" w:space="0" w:color="000000"/>
              <w:right w:val="single" w:sz="4" w:space="0" w:color="000000"/>
            </w:tcBorders>
          </w:tcPr>
          <w:p w14:paraId="74C68AAF" w14:textId="3855699C"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A-2018-3001923 </w:t>
            </w:r>
          </w:p>
        </w:tc>
        <w:tc>
          <w:tcPr>
            <w:tcW w:w="5484" w:type="dxa"/>
            <w:tcBorders>
              <w:top w:val="single" w:sz="4" w:space="0" w:color="000000"/>
              <w:left w:val="single" w:sz="4" w:space="0" w:color="000000"/>
              <w:bottom w:val="single" w:sz="4" w:space="0" w:color="000000"/>
              <w:right w:val="single" w:sz="4" w:space="0" w:color="000000"/>
            </w:tcBorders>
          </w:tcPr>
          <w:p w14:paraId="7FC364B0"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Amos L. &amp; Elizabeth K. </w:t>
            </w:r>
            <w:proofErr w:type="spellStart"/>
            <w:r w:rsidRPr="00C74D34">
              <w:rPr>
                <w:rFonts w:ascii="Times New Roman" w:hAnsi="Times New Roman" w:cs="Times New Roman"/>
                <w:szCs w:val="26"/>
              </w:rPr>
              <w:t>Esh</w:t>
            </w:r>
            <w:proofErr w:type="spellEnd"/>
            <w:r w:rsidRPr="00C74D34">
              <w:rPr>
                <w:rFonts w:ascii="Times New Roman" w:hAnsi="Times New Roman" w:cs="Times New Roman"/>
                <w:szCs w:val="26"/>
              </w:rPr>
              <w:t xml:space="preserve">  </w:t>
            </w:r>
          </w:p>
        </w:tc>
      </w:tr>
      <w:tr w:rsidR="00683DB7" w:rsidRPr="00C74D34" w14:paraId="3CF7376E" w14:textId="77777777" w:rsidTr="00243C9E">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00337FEE"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10 </w:t>
            </w:r>
          </w:p>
        </w:tc>
        <w:tc>
          <w:tcPr>
            <w:tcW w:w="3600" w:type="dxa"/>
            <w:gridSpan w:val="2"/>
            <w:tcBorders>
              <w:top w:val="single" w:sz="4" w:space="0" w:color="000000"/>
              <w:left w:val="single" w:sz="4" w:space="0" w:color="000000"/>
              <w:bottom w:val="single" w:sz="4" w:space="0" w:color="000000"/>
              <w:right w:val="single" w:sz="4" w:space="0" w:color="000000"/>
            </w:tcBorders>
          </w:tcPr>
          <w:p w14:paraId="52BF7A44" w14:textId="0CBAF2C9"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A-2018-3001925 </w:t>
            </w:r>
          </w:p>
        </w:tc>
        <w:tc>
          <w:tcPr>
            <w:tcW w:w="5484" w:type="dxa"/>
            <w:tcBorders>
              <w:top w:val="single" w:sz="4" w:space="0" w:color="000000"/>
              <w:left w:val="single" w:sz="4" w:space="0" w:color="000000"/>
              <w:bottom w:val="single" w:sz="4" w:space="0" w:color="000000"/>
              <w:right w:val="single" w:sz="4" w:space="0" w:color="000000"/>
            </w:tcBorders>
          </w:tcPr>
          <w:p w14:paraId="16C27460"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J. Ross &amp; Norma R. McGinnis  </w:t>
            </w:r>
          </w:p>
        </w:tc>
      </w:tr>
      <w:tr w:rsidR="00683DB7" w:rsidRPr="00C74D34" w14:paraId="446A1886" w14:textId="77777777" w:rsidTr="004D1B7F">
        <w:trPr>
          <w:gridAfter w:val="1"/>
          <w:wAfter w:w="26" w:type="dxa"/>
          <w:trHeight w:val="391"/>
        </w:trPr>
        <w:tc>
          <w:tcPr>
            <w:tcW w:w="468" w:type="dxa"/>
            <w:tcBorders>
              <w:top w:val="single" w:sz="4" w:space="0" w:color="000000"/>
              <w:left w:val="single" w:sz="4" w:space="0" w:color="000000"/>
              <w:bottom w:val="single" w:sz="4" w:space="0" w:color="000000"/>
              <w:right w:val="single" w:sz="4" w:space="0" w:color="000000"/>
            </w:tcBorders>
          </w:tcPr>
          <w:p w14:paraId="73164568"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11 </w:t>
            </w:r>
          </w:p>
        </w:tc>
        <w:tc>
          <w:tcPr>
            <w:tcW w:w="3600" w:type="dxa"/>
            <w:gridSpan w:val="2"/>
            <w:tcBorders>
              <w:top w:val="single" w:sz="4" w:space="0" w:color="000000"/>
              <w:left w:val="single" w:sz="4" w:space="0" w:color="000000"/>
              <w:bottom w:val="single" w:sz="4" w:space="0" w:color="000000"/>
              <w:right w:val="single" w:sz="4" w:space="0" w:color="000000"/>
            </w:tcBorders>
          </w:tcPr>
          <w:p w14:paraId="3871ADCE" w14:textId="358E1B14"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A-2018-3001929 </w:t>
            </w:r>
          </w:p>
        </w:tc>
        <w:tc>
          <w:tcPr>
            <w:tcW w:w="5484" w:type="dxa"/>
            <w:tcBorders>
              <w:top w:val="single" w:sz="4" w:space="0" w:color="000000"/>
              <w:left w:val="single" w:sz="4" w:space="0" w:color="000000"/>
              <w:bottom w:val="single" w:sz="4" w:space="0" w:color="000000"/>
              <w:right w:val="single" w:sz="4" w:space="0" w:color="000000"/>
            </w:tcBorders>
          </w:tcPr>
          <w:p w14:paraId="7C257799"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McGinnis Limited Partnership </w:t>
            </w:r>
          </w:p>
        </w:tc>
      </w:tr>
      <w:tr w:rsidR="00683DB7" w:rsidRPr="00C74D34" w14:paraId="6F4A8B20" w14:textId="77777777" w:rsidTr="00EB3C61">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353BB4E8"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12 </w:t>
            </w:r>
          </w:p>
        </w:tc>
        <w:tc>
          <w:tcPr>
            <w:tcW w:w="3600" w:type="dxa"/>
            <w:gridSpan w:val="2"/>
            <w:tcBorders>
              <w:top w:val="single" w:sz="4" w:space="0" w:color="000000"/>
              <w:left w:val="single" w:sz="4" w:space="0" w:color="000000"/>
              <w:bottom w:val="single" w:sz="4" w:space="0" w:color="000000"/>
              <w:right w:val="single" w:sz="4" w:space="0" w:color="000000"/>
            </w:tcBorders>
          </w:tcPr>
          <w:p w14:paraId="4E97F528" w14:textId="426B1DAD"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A-2018-3001932 </w:t>
            </w:r>
          </w:p>
        </w:tc>
        <w:tc>
          <w:tcPr>
            <w:tcW w:w="5484" w:type="dxa"/>
            <w:tcBorders>
              <w:top w:val="single" w:sz="4" w:space="0" w:color="000000"/>
              <w:left w:val="single" w:sz="4" w:space="0" w:color="000000"/>
              <w:bottom w:val="single" w:sz="4" w:space="0" w:color="000000"/>
              <w:right w:val="single" w:sz="4" w:space="0" w:color="000000"/>
            </w:tcBorders>
          </w:tcPr>
          <w:p w14:paraId="36A4E74F" w14:textId="77777777" w:rsidR="00683DB7" w:rsidRPr="00C74D34" w:rsidRDefault="00683DB7" w:rsidP="00B11342">
            <w:pPr>
              <w:spacing w:line="259" w:lineRule="auto"/>
              <w:rPr>
                <w:rFonts w:ascii="Times New Roman" w:hAnsi="Times New Roman" w:cs="Times New Roman"/>
                <w:szCs w:val="26"/>
              </w:rPr>
            </w:pPr>
            <w:proofErr w:type="spellStart"/>
            <w:r w:rsidRPr="00C74D34">
              <w:rPr>
                <w:rFonts w:ascii="Times New Roman" w:hAnsi="Times New Roman" w:cs="Times New Roman"/>
                <w:szCs w:val="26"/>
              </w:rPr>
              <w:t>Chilcoat</w:t>
            </w:r>
            <w:proofErr w:type="spellEnd"/>
            <w:r w:rsidRPr="00C74D34">
              <w:rPr>
                <w:rFonts w:ascii="Times New Roman" w:hAnsi="Times New Roman" w:cs="Times New Roman"/>
                <w:szCs w:val="26"/>
              </w:rPr>
              <w:t xml:space="preserve"> and Peters, Inc. </w:t>
            </w:r>
          </w:p>
        </w:tc>
      </w:tr>
      <w:tr w:rsidR="00683DB7" w:rsidRPr="00C74D34" w14:paraId="69BFFC71" w14:textId="77777777" w:rsidTr="00F92137">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19C84B21"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13 </w:t>
            </w:r>
          </w:p>
        </w:tc>
        <w:tc>
          <w:tcPr>
            <w:tcW w:w="3600" w:type="dxa"/>
            <w:gridSpan w:val="2"/>
            <w:tcBorders>
              <w:top w:val="single" w:sz="4" w:space="0" w:color="000000"/>
              <w:left w:val="single" w:sz="4" w:space="0" w:color="000000"/>
              <w:bottom w:val="single" w:sz="4" w:space="0" w:color="000000"/>
              <w:right w:val="single" w:sz="4" w:space="0" w:color="000000"/>
            </w:tcBorders>
          </w:tcPr>
          <w:p w14:paraId="33F6F83F" w14:textId="0007404F"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A-2018-3001933 </w:t>
            </w:r>
          </w:p>
        </w:tc>
        <w:tc>
          <w:tcPr>
            <w:tcW w:w="5484" w:type="dxa"/>
            <w:tcBorders>
              <w:top w:val="single" w:sz="4" w:space="0" w:color="000000"/>
              <w:left w:val="single" w:sz="4" w:space="0" w:color="000000"/>
              <w:bottom w:val="single" w:sz="4" w:space="0" w:color="000000"/>
              <w:right w:val="single" w:sz="4" w:space="0" w:color="000000"/>
            </w:tcBorders>
          </w:tcPr>
          <w:p w14:paraId="249E58C3"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Gregory M. &amp; Kristina L. Wilt  </w:t>
            </w:r>
          </w:p>
        </w:tc>
      </w:tr>
      <w:tr w:rsidR="00683DB7" w:rsidRPr="00C74D34" w14:paraId="4BC930A5" w14:textId="77777777" w:rsidTr="00442F64">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05445F75"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14 </w:t>
            </w:r>
          </w:p>
        </w:tc>
        <w:tc>
          <w:tcPr>
            <w:tcW w:w="3600" w:type="dxa"/>
            <w:gridSpan w:val="2"/>
            <w:tcBorders>
              <w:top w:val="single" w:sz="4" w:space="0" w:color="000000"/>
              <w:left w:val="single" w:sz="4" w:space="0" w:color="000000"/>
              <w:bottom w:val="single" w:sz="4" w:space="0" w:color="000000"/>
              <w:right w:val="single" w:sz="4" w:space="0" w:color="000000"/>
            </w:tcBorders>
          </w:tcPr>
          <w:p w14:paraId="2B0ECE44" w14:textId="3D5EC2FF"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A-2018-3001936 </w:t>
            </w:r>
          </w:p>
        </w:tc>
        <w:tc>
          <w:tcPr>
            <w:tcW w:w="5484" w:type="dxa"/>
            <w:tcBorders>
              <w:top w:val="single" w:sz="4" w:space="0" w:color="000000"/>
              <w:left w:val="single" w:sz="4" w:space="0" w:color="000000"/>
              <w:bottom w:val="single" w:sz="4" w:space="0" w:color="000000"/>
              <w:right w:val="single" w:sz="4" w:space="0" w:color="000000"/>
            </w:tcBorders>
          </w:tcPr>
          <w:p w14:paraId="720BDA78"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Burton Family Limited Partnership </w:t>
            </w:r>
          </w:p>
        </w:tc>
      </w:tr>
      <w:tr w:rsidR="00683DB7" w:rsidRPr="00C74D34" w14:paraId="2FAC1CDB" w14:textId="77777777" w:rsidTr="00040E14">
        <w:trPr>
          <w:gridAfter w:val="1"/>
          <w:wAfter w:w="26" w:type="dxa"/>
          <w:trHeight w:val="391"/>
        </w:trPr>
        <w:tc>
          <w:tcPr>
            <w:tcW w:w="468" w:type="dxa"/>
            <w:tcBorders>
              <w:top w:val="single" w:sz="4" w:space="0" w:color="000000"/>
              <w:left w:val="single" w:sz="4" w:space="0" w:color="000000"/>
              <w:bottom w:val="single" w:sz="4" w:space="0" w:color="000000"/>
              <w:right w:val="single" w:sz="4" w:space="0" w:color="000000"/>
            </w:tcBorders>
          </w:tcPr>
          <w:p w14:paraId="005BF7F2"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15 </w:t>
            </w:r>
          </w:p>
        </w:tc>
        <w:tc>
          <w:tcPr>
            <w:tcW w:w="3600" w:type="dxa"/>
            <w:gridSpan w:val="2"/>
            <w:tcBorders>
              <w:top w:val="single" w:sz="4" w:space="0" w:color="000000"/>
              <w:left w:val="single" w:sz="4" w:space="0" w:color="000000"/>
              <w:bottom w:val="single" w:sz="4" w:space="0" w:color="000000"/>
              <w:right w:val="single" w:sz="4" w:space="0" w:color="000000"/>
            </w:tcBorders>
          </w:tcPr>
          <w:p w14:paraId="6343B5C2" w14:textId="2993B99C"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A-2018-3001943 </w:t>
            </w:r>
          </w:p>
        </w:tc>
        <w:tc>
          <w:tcPr>
            <w:tcW w:w="5484" w:type="dxa"/>
            <w:tcBorders>
              <w:top w:val="single" w:sz="4" w:space="0" w:color="000000"/>
              <w:left w:val="single" w:sz="4" w:space="0" w:color="000000"/>
              <w:bottom w:val="single" w:sz="4" w:space="0" w:color="000000"/>
              <w:right w:val="single" w:sz="4" w:space="0" w:color="000000"/>
            </w:tcBorders>
          </w:tcPr>
          <w:p w14:paraId="37A0D22F"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James R. McGinnis  </w:t>
            </w:r>
          </w:p>
        </w:tc>
      </w:tr>
      <w:tr w:rsidR="00683DB7" w:rsidRPr="00C74D34" w14:paraId="579C01CF" w14:textId="77777777" w:rsidTr="00DB0362">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78DBD7D8"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16 </w:t>
            </w:r>
          </w:p>
        </w:tc>
        <w:tc>
          <w:tcPr>
            <w:tcW w:w="3600" w:type="dxa"/>
            <w:gridSpan w:val="2"/>
            <w:tcBorders>
              <w:top w:val="single" w:sz="4" w:space="0" w:color="000000"/>
              <w:left w:val="single" w:sz="4" w:space="0" w:color="000000"/>
              <w:bottom w:val="single" w:sz="4" w:space="0" w:color="000000"/>
              <w:right w:val="single" w:sz="4" w:space="0" w:color="000000"/>
            </w:tcBorders>
          </w:tcPr>
          <w:p w14:paraId="24F474F4" w14:textId="1822734D"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A-2018-3001944 </w:t>
            </w:r>
          </w:p>
        </w:tc>
        <w:tc>
          <w:tcPr>
            <w:tcW w:w="5484" w:type="dxa"/>
            <w:tcBorders>
              <w:top w:val="single" w:sz="4" w:space="0" w:color="000000"/>
              <w:left w:val="single" w:sz="4" w:space="0" w:color="000000"/>
              <w:bottom w:val="single" w:sz="4" w:space="0" w:color="000000"/>
              <w:right w:val="single" w:sz="4" w:space="0" w:color="000000"/>
            </w:tcBorders>
          </w:tcPr>
          <w:p w14:paraId="5137754E"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George W. Treadway, Jr. and Madelyn K. Treadway </w:t>
            </w:r>
          </w:p>
        </w:tc>
      </w:tr>
      <w:tr w:rsidR="00683DB7" w:rsidRPr="00C74D34" w14:paraId="66CF604F" w14:textId="77777777" w:rsidTr="00AB09AD">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16FE3F30"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17 </w:t>
            </w:r>
          </w:p>
        </w:tc>
        <w:tc>
          <w:tcPr>
            <w:tcW w:w="3600" w:type="dxa"/>
            <w:gridSpan w:val="2"/>
            <w:tcBorders>
              <w:top w:val="single" w:sz="4" w:space="0" w:color="000000"/>
              <w:left w:val="single" w:sz="4" w:space="0" w:color="000000"/>
              <w:bottom w:val="single" w:sz="4" w:space="0" w:color="000000"/>
              <w:right w:val="single" w:sz="4" w:space="0" w:color="000000"/>
            </w:tcBorders>
          </w:tcPr>
          <w:p w14:paraId="32CAD7E0" w14:textId="01F91D6D"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A-2018-3001954 </w:t>
            </w:r>
          </w:p>
        </w:tc>
        <w:tc>
          <w:tcPr>
            <w:tcW w:w="5484" w:type="dxa"/>
            <w:tcBorders>
              <w:top w:val="single" w:sz="4" w:space="0" w:color="000000"/>
              <w:left w:val="single" w:sz="4" w:space="0" w:color="000000"/>
              <w:bottom w:val="single" w:sz="4" w:space="0" w:color="000000"/>
              <w:right w:val="single" w:sz="4" w:space="0" w:color="000000"/>
            </w:tcBorders>
          </w:tcPr>
          <w:p w14:paraId="2AC87223"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Richard D. Good, Cathy M. Good, Rodger D. Good &amp; Peggy L. Good </w:t>
            </w:r>
          </w:p>
        </w:tc>
      </w:tr>
      <w:tr w:rsidR="00683DB7" w:rsidRPr="00C74D34" w14:paraId="20E48F00" w14:textId="77777777" w:rsidTr="00DF6244">
        <w:trPr>
          <w:gridAfter w:val="1"/>
          <w:wAfter w:w="26" w:type="dxa"/>
          <w:trHeight w:val="391"/>
        </w:trPr>
        <w:tc>
          <w:tcPr>
            <w:tcW w:w="468" w:type="dxa"/>
            <w:tcBorders>
              <w:top w:val="single" w:sz="4" w:space="0" w:color="000000"/>
              <w:left w:val="single" w:sz="4" w:space="0" w:color="000000"/>
              <w:bottom w:val="single" w:sz="4" w:space="0" w:color="000000"/>
              <w:right w:val="single" w:sz="4" w:space="0" w:color="000000"/>
            </w:tcBorders>
          </w:tcPr>
          <w:p w14:paraId="3CAEAE5C"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18 </w:t>
            </w:r>
          </w:p>
        </w:tc>
        <w:tc>
          <w:tcPr>
            <w:tcW w:w="3600" w:type="dxa"/>
            <w:gridSpan w:val="2"/>
            <w:tcBorders>
              <w:top w:val="single" w:sz="4" w:space="0" w:color="000000"/>
              <w:left w:val="single" w:sz="4" w:space="0" w:color="000000"/>
              <w:bottom w:val="single" w:sz="4" w:space="0" w:color="000000"/>
              <w:right w:val="single" w:sz="4" w:space="0" w:color="000000"/>
            </w:tcBorders>
          </w:tcPr>
          <w:p w14:paraId="1463DC56" w14:textId="6F411EF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A-2018-3001956 </w:t>
            </w:r>
          </w:p>
        </w:tc>
        <w:tc>
          <w:tcPr>
            <w:tcW w:w="5484" w:type="dxa"/>
            <w:tcBorders>
              <w:top w:val="single" w:sz="4" w:space="0" w:color="000000"/>
              <w:left w:val="single" w:sz="4" w:space="0" w:color="000000"/>
              <w:bottom w:val="single" w:sz="4" w:space="0" w:color="000000"/>
              <w:right w:val="single" w:sz="4" w:space="0" w:color="000000"/>
            </w:tcBorders>
          </w:tcPr>
          <w:p w14:paraId="56088BB5"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Glenn J. Bradley </w:t>
            </w:r>
          </w:p>
        </w:tc>
      </w:tr>
      <w:tr w:rsidR="00683DB7" w:rsidRPr="00C74D34" w14:paraId="443B761F" w14:textId="77777777" w:rsidTr="00BA1A3F">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7B4EAA38"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19 </w:t>
            </w:r>
          </w:p>
        </w:tc>
        <w:tc>
          <w:tcPr>
            <w:tcW w:w="3600" w:type="dxa"/>
            <w:gridSpan w:val="2"/>
            <w:tcBorders>
              <w:top w:val="single" w:sz="4" w:space="0" w:color="000000"/>
              <w:left w:val="single" w:sz="4" w:space="0" w:color="000000"/>
              <w:bottom w:val="single" w:sz="4" w:space="0" w:color="000000"/>
              <w:right w:val="single" w:sz="4" w:space="0" w:color="000000"/>
            </w:tcBorders>
          </w:tcPr>
          <w:p w14:paraId="13E52187" w14:textId="41BCC4CB"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A-2018-3001957 </w:t>
            </w:r>
          </w:p>
        </w:tc>
        <w:tc>
          <w:tcPr>
            <w:tcW w:w="5484" w:type="dxa"/>
            <w:tcBorders>
              <w:top w:val="single" w:sz="4" w:space="0" w:color="000000"/>
              <w:left w:val="single" w:sz="4" w:space="0" w:color="000000"/>
              <w:bottom w:val="single" w:sz="4" w:space="0" w:color="000000"/>
              <w:right w:val="single" w:sz="4" w:space="0" w:color="000000"/>
            </w:tcBorders>
          </w:tcPr>
          <w:p w14:paraId="58440332"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Jonathan R. Hash, and Gregory J. &amp; Melanie A. Goss </w:t>
            </w:r>
          </w:p>
        </w:tc>
      </w:tr>
      <w:tr w:rsidR="00683DB7" w:rsidRPr="00C74D34" w14:paraId="2CD34192" w14:textId="77777777" w:rsidTr="00922BEC">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382F5EC0"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20 </w:t>
            </w:r>
          </w:p>
        </w:tc>
        <w:tc>
          <w:tcPr>
            <w:tcW w:w="3600" w:type="dxa"/>
            <w:gridSpan w:val="2"/>
            <w:tcBorders>
              <w:top w:val="single" w:sz="4" w:space="0" w:color="000000"/>
              <w:left w:val="single" w:sz="4" w:space="0" w:color="000000"/>
              <w:bottom w:val="single" w:sz="4" w:space="0" w:color="000000"/>
              <w:right w:val="single" w:sz="4" w:space="0" w:color="000000"/>
            </w:tcBorders>
          </w:tcPr>
          <w:p w14:paraId="0C52BD47" w14:textId="6B31D723"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A-2018-3001958 </w:t>
            </w:r>
          </w:p>
        </w:tc>
        <w:tc>
          <w:tcPr>
            <w:tcW w:w="5484" w:type="dxa"/>
            <w:tcBorders>
              <w:top w:val="single" w:sz="4" w:space="0" w:color="000000"/>
              <w:left w:val="single" w:sz="4" w:space="0" w:color="000000"/>
              <w:bottom w:val="single" w:sz="4" w:space="0" w:color="000000"/>
              <w:right w:val="single" w:sz="4" w:space="0" w:color="000000"/>
            </w:tcBorders>
          </w:tcPr>
          <w:p w14:paraId="5D33F1E2"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Thomas R. Krell, Jr. &amp; April R. Krell </w:t>
            </w:r>
          </w:p>
        </w:tc>
      </w:tr>
      <w:tr w:rsidR="00683DB7" w:rsidRPr="00C74D34" w14:paraId="3DE6B2D9" w14:textId="77777777" w:rsidTr="00AD2761">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3F87490B"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21 </w:t>
            </w:r>
          </w:p>
        </w:tc>
        <w:tc>
          <w:tcPr>
            <w:tcW w:w="3600" w:type="dxa"/>
            <w:gridSpan w:val="2"/>
            <w:tcBorders>
              <w:top w:val="single" w:sz="4" w:space="0" w:color="000000"/>
              <w:left w:val="single" w:sz="4" w:space="0" w:color="000000"/>
              <w:bottom w:val="single" w:sz="4" w:space="0" w:color="000000"/>
              <w:right w:val="single" w:sz="4" w:space="0" w:color="000000"/>
            </w:tcBorders>
          </w:tcPr>
          <w:p w14:paraId="4409FE04" w14:textId="34D80952"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A-2018-3001960 </w:t>
            </w:r>
          </w:p>
        </w:tc>
        <w:tc>
          <w:tcPr>
            <w:tcW w:w="5484" w:type="dxa"/>
            <w:tcBorders>
              <w:top w:val="single" w:sz="4" w:space="0" w:color="000000"/>
              <w:left w:val="single" w:sz="4" w:space="0" w:color="000000"/>
              <w:bottom w:val="single" w:sz="4" w:space="0" w:color="000000"/>
              <w:right w:val="single" w:sz="4" w:space="0" w:color="000000"/>
            </w:tcBorders>
          </w:tcPr>
          <w:p w14:paraId="4E62C32F"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D. Arthur Grove and David Richard Grove </w:t>
            </w:r>
          </w:p>
        </w:tc>
      </w:tr>
      <w:tr w:rsidR="00683DB7" w:rsidRPr="00C74D34" w14:paraId="3F89132A" w14:textId="77777777" w:rsidTr="00856F77">
        <w:trPr>
          <w:gridAfter w:val="1"/>
          <w:wAfter w:w="26" w:type="dxa"/>
          <w:trHeight w:val="391"/>
        </w:trPr>
        <w:tc>
          <w:tcPr>
            <w:tcW w:w="468" w:type="dxa"/>
            <w:tcBorders>
              <w:top w:val="single" w:sz="4" w:space="0" w:color="000000"/>
              <w:left w:val="single" w:sz="4" w:space="0" w:color="000000"/>
              <w:bottom w:val="single" w:sz="4" w:space="0" w:color="000000"/>
              <w:right w:val="single" w:sz="4" w:space="0" w:color="000000"/>
            </w:tcBorders>
          </w:tcPr>
          <w:p w14:paraId="56680154"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22 </w:t>
            </w:r>
          </w:p>
        </w:tc>
        <w:tc>
          <w:tcPr>
            <w:tcW w:w="3600" w:type="dxa"/>
            <w:gridSpan w:val="2"/>
            <w:tcBorders>
              <w:top w:val="single" w:sz="4" w:space="0" w:color="000000"/>
              <w:left w:val="single" w:sz="4" w:space="0" w:color="000000"/>
              <w:bottom w:val="single" w:sz="4" w:space="0" w:color="000000"/>
              <w:right w:val="single" w:sz="4" w:space="0" w:color="000000"/>
            </w:tcBorders>
          </w:tcPr>
          <w:p w14:paraId="6F07CCD4" w14:textId="73C984F9"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A-2018-3001961 </w:t>
            </w:r>
          </w:p>
        </w:tc>
        <w:tc>
          <w:tcPr>
            <w:tcW w:w="5484" w:type="dxa"/>
            <w:tcBorders>
              <w:top w:val="single" w:sz="4" w:space="0" w:color="000000"/>
              <w:left w:val="single" w:sz="4" w:space="0" w:color="000000"/>
              <w:bottom w:val="single" w:sz="4" w:space="0" w:color="000000"/>
              <w:right w:val="single" w:sz="4" w:space="0" w:color="000000"/>
            </w:tcBorders>
          </w:tcPr>
          <w:p w14:paraId="1949CEA3"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RGRG Partners </w:t>
            </w:r>
          </w:p>
        </w:tc>
      </w:tr>
      <w:tr w:rsidR="00683DB7" w:rsidRPr="00C74D34" w14:paraId="37C69C6C" w14:textId="77777777" w:rsidTr="0030722F">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08B104D5"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23 </w:t>
            </w:r>
          </w:p>
        </w:tc>
        <w:tc>
          <w:tcPr>
            <w:tcW w:w="3600" w:type="dxa"/>
            <w:gridSpan w:val="2"/>
            <w:tcBorders>
              <w:top w:val="single" w:sz="4" w:space="0" w:color="000000"/>
              <w:left w:val="single" w:sz="4" w:space="0" w:color="000000"/>
              <w:bottom w:val="single" w:sz="4" w:space="0" w:color="000000"/>
              <w:right w:val="single" w:sz="4" w:space="0" w:color="000000"/>
            </w:tcBorders>
          </w:tcPr>
          <w:p w14:paraId="0A13194D" w14:textId="1A9DB559"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A-2018-3001962 </w:t>
            </w:r>
          </w:p>
        </w:tc>
        <w:tc>
          <w:tcPr>
            <w:tcW w:w="5484" w:type="dxa"/>
            <w:tcBorders>
              <w:top w:val="single" w:sz="4" w:space="0" w:color="000000"/>
              <w:left w:val="single" w:sz="4" w:space="0" w:color="000000"/>
              <w:bottom w:val="single" w:sz="4" w:space="0" w:color="000000"/>
              <w:right w:val="single" w:sz="4" w:space="0" w:color="000000"/>
            </w:tcBorders>
          </w:tcPr>
          <w:p w14:paraId="19BE621C"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R. Andrew &amp; Deborah E. Macklin </w:t>
            </w:r>
          </w:p>
        </w:tc>
      </w:tr>
      <w:tr w:rsidR="00683DB7" w:rsidRPr="00C74D34" w14:paraId="4FC15CEA" w14:textId="77777777" w:rsidTr="00DD502B">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596BA350"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24 </w:t>
            </w:r>
          </w:p>
        </w:tc>
        <w:tc>
          <w:tcPr>
            <w:tcW w:w="3600" w:type="dxa"/>
            <w:gridSpan w:val="2"/>
            <w:tcBorders>
              <w:top w:val="single" w:sz="4" w:space="0" w:color="000000"/>
              <w:left w:val="single" w:sz="4" w:space="0" w:color="000000"/>
              <w:bottom w:val="single" w:sz="4" w:space="0" w:color="000000"/>
              <w:right w:val="single" w:sz="4" w:space="0" w:color="000000"/>
            </w:tcBorders>
          </w:tcPr>
          <w:p w14:paraId="11652A3A" w14:textId="5BC2A2D9"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A-2018-3001963 </w:t>
            </w:r>
          </w:p>
        </w:tc>
        <w:tc>
          <w:tcPr>
            <w:tcW w:w="5484" w:type="dxa"/>
            <w:tcBorders>
              <w:top w:val="single" w:sz="4" w:space="0" w:color="000000"/>
              <w:left w:val="single" w:sz="4" w:space="0" w:color="000000"/>
              <w:bottom w:val="single" w:sz="4" w:space="0" w:color="000000"/>
              <w:right w:val="single" w:sz="4" w:space="0" w:color="000000"/>
            </w:tcBorders>
          </w:tcPr>
          <w:p w14:paraId="7111B7B4"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Francis &amp; Mary Eileen Boone </w:t>
            </w:r>
          </w:p>
        </w:tc>
      </w:tr>
      <w:tr w:rsidR="00683DB7" w:rsidRPr="00C74D34" w14:paraId="06F01E65" w14:textId="77777777" w:rsidTr="006412AB">
        <w:trPr>
          <w:gridAfter w:val="1"/>
          <w:wAfter w:w="26" w:type="dxa"/>
          <w:trHeight w:val="389"/>
        </w:trPr>
        <w:tc>
          <w:tcPr>
            <w:tcW w:w="468" w:type="dxa"/>
            <w:tcBorders>
              <w:top w:val="single" w:sz="4" w:space="0" w:color="000000"/>
              <w:left w:val="single" w:sz="4" w:space="0" w:color="000000"/>
              <w:bottom w:val="single" w:sz="4" w:space="0" w:color="000000"/>
              <w:right w:val="single" w:sz="4" w:space="0" w:color="000000"/>
            </w:tcBorders>
          </w:tcPr>
          <w:p w14:paraId="481665D5"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lastRenderedPageBreak/>
              <w:t xml:space="preserve">25 </w:t>
            </w:r>
          </w:p>
        </w:tc>
        <w:tc>
          <w:tcPr>
            <w:tcW w:w="3600" w:type="dxa"/>
            <w:gridSpan w:val="2"/>
            <w:tcBorders>
              <w:top w:val="single" w:sz="4" w:space="0" w:color="000000"/>
              <w:left w:val="single" w:sz="4" w:space="0" w:color="000000"/>
              <w:bottom w:val="single" w:sz="4" w:space="0" w:color="000000"/>
              <w:right w:val="single" w:sz="4" w:space="0" w:color="000000"/>
            </w:tcBorders>
          </w:tcPr>
          <w:p w14:paraId="1E4D7AA4" w14:textId="783EAEF5"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A-2018-3001964 </w:t>
            </w:r>
          </w:p>
        </w:tc>
        <w:tc>
          <w:tcPr>
            <w:tcW w:w="5484" w:type="dxa"/>
            <w:tcBorders>
              <w:top w:val="single" w:sz="4" w:space="0" w:color="000000"/>
              <w:left w:val="single" w:sz="4" w:space="0" w:color="000000"/>
              <w:bottom w:val="single" w:sz="4" w:space="0" w:color="000000"/>
              <w:right w:val="single" w:sz="4" w:space="0" w:color="000000"/>
            </w:tcBorders>
          </w:tcPr>
          <w:p w14:paraId="1D66AC63"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Barley Farms LP </w:t>
            </w:r>
          </w:p>
        </w:tc>
      </w:tr>
      <w:tr w:rsidR="00683DB7" w:rsidRPr="00C74D34" w14:paraId="7A515CD3" w14:textId="77777777" w:rsidTr="00F9329D">
        <w:trPr>
          <w:gridAfter w:val="1"/>
          <w:wAfter w:w="26" w:type="dxa"/>
          <w:trHeight w:val="391"/>
        </w:trPr>
        <w:tc>
          <w:tcPr>
            <w:tcW w:w="468" w:type="dxa"/>
            <w:tcBorders>
              <w:top w:val="single" w:sz="4" w:space="0" w:color="000000"/>
              <w:left w:val="single" w:sz="4" w:space="0" w:color="000000"/>
              <w:bottom w:val="single" w:sz="4" w:space="0" w:color="000000"/>
              <w:right w:val="single" w:sz="4" w:space="0" w:color="000000"/>
            </w:tcBorders>
          </w:tcPr>
          <w:p w14:paraId="44CAC6A8"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26 </w:t>
            </w:r>
          </w:p>
        </w:tc>
        <w:tc>
          <w:tcPr>
            <w:tcW w:w="3600" w:type="dxa"/>
            <w:gridSpan w:val="2"/>
            <w:tcBorders>
              <w:top w:val="single" w:sz="4" w:space="0" w:color="000000"/>
              <w:left w:val="single" w:sz="4" w:space="0" w:color="000000"/>
              <w:bottom w:val="single" w:sz="4" w:space="0" w:color="000000"/>
              <w:right w:val="single" w:sz="4" w:space="0" w:color="000000"/>
            </w:tcBorders>
          </w:tcPr>
          <w:p w14:paraId="3233FD30" w14:textId="6C6A1A70"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A-2018-3001965 </w:t>
            </w:r>
          </w:p>
        </w:tc>
        <w:tc>
          <w:tcPr>
            <w:tcW w:w="5484" w:type="dxa"/>
            <w:tcBorders>
              <w:top w:val="single" w:sz="4" w:space="0" w:color="000000"/>
              <w:left w:val="single" w:sz="4" w:space="0" w:color="000000"/>
              <w:bottom w:val="single" w:sz="4" w:space="0" w:color="000000"/>
              <w:right w:val="single" w:sz="4" w:space="0" w:color="000000"/>
            </w:tcBorders>
          </w:tcPr>
          <w:p w14:paraId="0F84F255" w14:textId="77777777" w:rsidR="00683DB7" w:rsidRPr="00C74D34" w:rsidRDefault="00683DB7"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Stephen J. &amp; Dolores E. </w:t>
            </w:r>
            <w:proofErr w:type="spellStart"/>
            <w:r w:rsidRPr="00C74D34">
              <w:rPr>
                <w:rFonts w:ascii="Times New Roman" w:hAnsi="Times New Roman" w:cs="Times New Roman"/>
                <w:szCs w:val="26"/>
              </w:rPr>
              <w:t>Krick</w:t>
            </w:r>
            <w:proofErr w:type="spellEnd"/>
            <w:r w:rsidRPr="00C74D34">
              <w:rPr>
                <w:rFonts w:ascii="Times New Roman" w:hAnsi="Times New Roman" w:cs="Times New Roman"/>
                <w:szCs w:val="26"/>
              </w:rPr>
              <w:t xml:space="preserve"> </w:t>
            </w:r>
          </w:p>
        </w:tc>
      </w:tr>
      <w:tr w:rsidR="00341373" w:rsidRPr="00C74D34" w14:paraId="365C5F71"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576253C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27 </w:t>
            </w:r>
          </w:p>
        </w:tc>
        <w:tc>
          <w:tcPr>
            <w:tcW w:w="3594" w:type="dxa"/>
            <w:tcBorders>
              <w:top w:val="single" w:sz="4" w:space="0" w:color="000000"/>
              <w:left w:val="single" w:sz="4" w:space="0" w:color="000000"/>
              <w:bottom w:val="single" w:sz="4" w:space="0" w:color="000000"/>
              <w:right w:val="single" w:sz="4" w:space="0" w:color="000000"/>
            </w:tcBorders>
          </w:tcPr>
          <w:p w14:paraId="72354DF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A-2018-3001966 </w:t>
            </w:r>
          </w:p>
        </w:tc>
        <w:tc>
          <w:tcPr>
            <w:tcW w:w="5516" w:type="dxa"/>
            <w:gridSpan w:val="3"/>
            <w:tcBorders>
              <w:top w:val="single" w:sz="4" w:space="0" w:color="000000"/>
              <w:left w:val="single" w:sz="4" w:space="0" w:color="000000"/>
              <w:bottom w:val="single" w:sz="4" w:space="0" w:color="000000"/>
              <w:right w:val="single" w:sz="4" w:space="0" w:color="000000"/>
            </w:tcBorders>
          </w:tcPr>
          <w:p w14:paraId="01FBDD1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Shane K. &amp; Kristi L. Taylor  </w:t>
            </w:r>
          </w:p>
        </w:tc>
      </w:tr>
      <w:tr w:rsidR="00341373" w:rsidRPr="00C74D34" w14:paraId="4E1D5786"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10C64779"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28 </w:t>
            </w:r>
          </w:p>
        </w:tc>
        <w:tc>
          <w:tcPr>
            <w:tcW w:w="3594" w:type="dxa"/>
            <w:tcBorders>
              <w:top w:val="single" w:sz="4" w:space="0" w:color="000000"/>
              <w:left w:val="single" w:sz="4" w:space="0" w:color="000000"/>
              <w:bottom w:val="single" w:sz="4" w:space="0" w:color="000000"/>
              <w:right w:val="single" w:sz="4" w:space="0" w:color="000000"/>
            </w:tcBorders>
          </w:tcPr>
          <w:p w14:paraId="21B0BA2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A-2018-3001967 </w:t>
            </w:r>
          </w:p>
        </w:tc>
        <w:tc>
          <w:tcPr>
            <w:tcW w:w="5516" w:type="dxa"/>
            <w:gridSpan w:val="3"/>
            <w:tcBorders>
              <w:top w:val="single" w:sz="4" w:space="0" w:color="000000"/>
              <w:left w:val="single" w:sz="4" w:space="0" w:color="000000"/>
              <w:bottom w:val="single" w:sz="4" w:space="0" w:color="000000"/>
              <w:right w:val="single" w:sz="4" w:space="0" w:color="000000"/>
            </w:tcBorders>
          </w:tcPr>
          <w:p w14:paraId="13E187A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Jefferson L. Bracey, Sr. &amp; Laura R. Bracey </w:t>
            </w:r>
          </w:p>
        </w:tc>
      </w:tr>
      <w:tr w:rsidR="00341373" w:rsidRPr="00C74D34" w14:paraId="2EE55811"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56B38B51"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29 </w:t>
            </w:r>
          </w:p>
        </w:tc>
        <w:tc>
          <w:tcPr>
            <w:tcW w:w="3594" w:type="dxa"/>
            <w:tcBorders>
              <w:top w:val="single" w:sz="4" w:space="0" w:color="000000"/>
              <w:left w:val="single" w:sz="4" w:space="0" w:color="000000"/>
              <w:bottom w:val="single" w:sz="4" w:space="0" w:color="000000"/>
              <w:right w:val="single" w:sz="4" w:space="0" w:color="000000"/>
            </w:tcBorders>
          </w:tcPr>
          <w:p w14:paraId="40F481E2"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A-2018-3001968 </w:t>
            </w:r>
          </w:p>
        </w:tc>
        <w:tc>
          <w:tcPr>
            <w:tcW w:w="5516" w:type="dxa"/>
            <w:gridSpan w:val="3"/>
            <w:tcBorders>
              <w:top w:val="single" w:sz="4" w:space="0" w:color="000000"/>
              <w:left w:val="single" w:sz="4" w:space="0" w:color="000000"/>
              <w:bottom w:val="single" w:sz="4" w:space="0" w:color="000000"/>
              <w:right w:val="single" w:sz="4" w:space="0" w:color="000000"/>
            </w:tcBorders>
          </w:tcPr>
          <w:p w14:paraId="7F27A4A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Leonard M. &amp; Sandra J. Traynor </w:t>
            </w:r>
          </w:p>
        </w:tc>
      </w:tr>
      <w:tr w:rsidR="00341373" w:rsidRPr="00C74D34" w14:paraId="23EF0FC2" w14:textId="77777777" w:rsidTr="007C07A9">
        <w:tblPrEx>
          <w:tblCellMar>
            <w:right w:w="84" w:type="dxa"/>
          </w:tblCellMar>
        </w:tblPrEx>
        <w:trPr>
          <w:trHeight w:val="768"/>
        </w:trPr>
        <w:tc>
          <w:tcPr>
            <w:tcW w:w="468" w:type="dxa"/>
            <w:tcBorders>
              <w:top w:val="single" w:sz="4" w:space="0" w:color="000000"/>
              <w:left w:val="single" w:sz="4" w:space="0" w:color="000000"/>
              <w:bottom w:val="single" w:sz="4" w:space="0" w:color="000000"/>
              <w:right w:val="single" w:sz="4" w:space="0" w:color="000000"/>
            </w:tcBorders>
          </w:tcPr>
          <w:p w14:paraId="2F70482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30 </w:t>
            </w:r>
          </w:p>
        </w:tc>
        <w:tc>
          <w:tcPr>
            <w:tcW w:w="3594" w:type="dxa"/>
            <w:tcBorders>
              <w:top w:val="single" w:sz="4" w:space="0" w:color="000000"/>
              <w:left w:val="single" w:sz="4" w:space="0" w:color="000000"/>
              <w:bottom w:val="single" w:sz="4" w:space="0" w:color="000000"/>
              <w:right w:val="single" w:sz="4" w:space="0" w:color="000000"/>
            </w:tcBorders>
          </w:tcPr>
          <w:p w14:paraId="018C36E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A-2018-3001982 </w:t>
            </w:r>
          </w:p>
        </w:tc>
        <w:tc>
          <w:tcPr>
            <w:tcW w:w="5516" w:type="dxa"/>
            <w:gridSpan w:val="3"/>
            <w:tcBorders>
              <w:top w:val="single" w:sz="4" w:space="0" w:color="000000"/>
              <w:left w:val="single" w:sz="4" w:space="0" w:color="000000"/>
              <w:bottom w:val="single" w:sz="4" w:space="0" w:color="000000"/>
              <w:right w:val="single" w:sz="4" w:space="0" w:color="000000"/>
            </w:tcBorders>
          </w:tcPr>
          <w:p w14:paraId="7B2289F0" w14:textId="77777777" w:rsidR="00341373" w:rsidRPr="00C74D34" w:rsidRDefault="00341373" w:rsidP="00B11342">
            <w:pPr>
              <w:spacing w:after="103" w:line="259" w:lineRule="auto"/>
              <w:rPr>
                <w:rFonts w:ascii="Times New Roman" w:hAnsi="Times New Roman" w:cs="Times New Roman"/>
                <w:szCs w:val="26"/>
              </w:rPr>
            </w:pPr>
            <w:r w:rsidRPr="00C74D34">
              <w:rPr>
                <w:rFonts w:ascii="Times New Roman" w:hAnsi="Times New Roman" w:cs="Times New Roman"/>
                <w:szCs w:val="26"/>
              </w:rPr>
              <w:t xml:space="preserve">Barbara D. &amp; David W. Anderson, C. Kathleen and William M. Tompkins, and </w:t>
            </w:r>
          </w:p>
          <w:p w14:paraId="7712B678"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M. Kathryn and Stephen M. Judy </w:t>
            </w:r>
          </w:p>
        </w:tc>
      </w:tr>
      <w:tr w:rsidR="00341373" w:rsidRPr="00C74D34" w14:paraId="74850700"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253C4A3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31 </w:t>
            </w:r>
          </w:p>
        </w:tc>
        <w:tc>
          <w:tcPr>
            <w:tcW w:w="3594" w:type="dxa"/>
            <w:tcBorders>
              <w:top w:val="single" w:sz="4" w:space="0" w:color="000000"/>
              <w:left w:val="single" w:sz="4" w:space="0" w:color="000000"/>
              <w:bottom w:val="single" w:sz="4" w:space="0" w:color="000000"/>
              <w:right w:val="single" w:sz="4" w:space="0" w:color="000000"/>
            </w:tcBorders>
          </w:tcPr>
          <w:p w14:paraId="14F6DC92"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A-2018-3001984 </w:t>
            </w:r>
          </w:p>
        </w:tc>
        <w:tc>
          <w:tcPr>
            <w:tcW w:w="5516" w:type="dxa"/>
            <w:gridSpan w:val="3"/>
            <w:tcBorders>
              <w:top w:val="single" w:sz="4" w:space="0" w:color="000000"/>
              <w:left w:val="single" w:sz="4" w:space="0" w:color="000000"/>
              <w:bottom w:val="single" w:sz="4" w:space="0" w:color="000000"/>
              <w:right w:val="single" w:sz="4" w:space="0" w:color="000000"/>
            </w:tcBorders>
          </w:tcPr>
          <w:p w14:paraId="5D788B4E"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E. Daniel &amp; Diane M. Neff </w:t>
            </w:r>
          </w:p>
        </w:tc>
      </w:tr>
      <w:tr w:rsidR="00341373" w:rsidRPr="00C74D34" w14:paraId="69CFEBA0"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2E6A78C5"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32 </w:t>
            </w:r>
          </w:p>
        </w:tc>
        <w:tc>
          <w:tcPr>
            <w:tcW w:w="3594" w:type="dxa"/>
            <w:tcBorders>
              <w:top w:val="single" w:sz="4" w:space="0" w:color="000000"/>
              <w:left w:val="single" w:sz="4" w:space="0" w:color="000000"/>
              <w:bottom w:val="single" w:sz="4" w:space="0" w:color="000000"/>
              <w:right w:val="single" w:sz="4" w:space="0" w:color="000000"/>
            </w:tcBorders>
          </w:tcPr>
          <w:p w14:paraId="45A7FB7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A-2018-3001985 </w:t>
            </w:r>
          </w:p>
        </w:tc>
        <w:tc>
          <w:tcPr>
            <w:tcW w:w="5516" w:type="dxa"/>
            <w:gridSpan w:val="3"/>
            <w:tcBorders>
              <w:top w:val="single" w:sz="4" w:space="0" w:color="000000"/>
              <w:left w:val="single" w:sz="4" w:space="0" w:color="000000"/>
              <w:bottom w:val="single" w:sz="4" w:space="0" w:color="000000"/>
              <w:right w:val="single" w:sz="4" w:space="0" w:color="000000"/>
            </w:tcBorders>
          </w:tcPr>
          <w:p w14:paraId="58665B78"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Maple Lawn Farms, Inc </w:t>
            </w:r>
          </w:p>
        </w:tc>
      </w:tr>
      <w:tr w:rsidR="00341373" w:rsidRPr="00C74D34" w14:paraId="51A739BE"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688F3B9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33 </w:t>
            </w:r>
          </w:p>
        </w:tc>
        <w:tc>
          <w:tcPr>
            <w:tcW w:w="3594" w:type="dxa"/>
            <w:tcBorders>
              <w:top w:val="single" w:sz="4" w:space="0" w:color="000000"/>
              <w:left w:val="single" w:sz="4" w:space="0" w:color="000000"/>
              <w:bottom w:val="single" w:sz="4" w:space="0" w:color="000000"/>
              <w:right w:val="single" w:sz="4" w:space="0" w:color="000000"/>
            </w:tcBorders>
          </w:tcPr>
          <w:p w14:paraId="59ED9087"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A-2018-3001986 </w:t>
            </w:r>
          </w:p>
        </w:tc>
        <w:tc>
          <w:tcPr>
            <w:tcW w:w="5516" w:type="dxa"/>
            <w:gridSpan w:val="3"/>
            <w:tcBorders>
              <w:top w:val="single" w:sz="4" w:space="0" w:color="000000"/>
              <w:left w:val="single" w:sz="4" w:space="0" w:color="000000"/>
              <w:bottom w:val="single" w:sz="4" w:space="0" w:color="000000"/>
              <w:right w:val="single" w:sz="4" w:space="0" w:color="000000"/>
            </w:tcBorders>
          </w:tcPr>
          <w:p w14:paraId="09CE7D3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Randall C. Stewart, Jr. and Peggy A. Stewart </w:t>
            </w:r>
          </w:p>
        </w:tc>
      </w:tr>
      <w:tr w:rsidR="00341373" w:rsidRPr="00C74D34" w14:paraId="60F442D3"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175F0AC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34 </w:t>
            </w:r>
          </w:p>
        </w:tc>
        <w:tc>
          <w:tcPr>
            <w:tcW w:w="3594" w:type="dxa"/>
            <w:tcBorders>
              <w:top w:val="single" w:sz="4" w:space="0" w:color="000000"/>
              <w:left w:val="single" w:sz="4" w:space="0" w:color="000000"/>
              <w:bottom w:val="single" w:sz="4" w:space="0" w:color="000000"/>
              <w:right w:val="single" w:sz="4" w:space="0" w:color="000000"/>
            </w:tcBorders>
          </w:tcPr>
          <w:p w14:paraId="342D95E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A-2018-3001989 </w:t>
            </w:r>
          </w:p>
        </w:tc>
        <w:tc>
          <w:tcPr>
            <w:tcW w:w="5516" w:type="dxa"/>
            <w:gridSpan w:val="3"/>
            <w:tcBorders>
              <w:top w:val="single" w:sz="4" w:space="0" w:color="000000"/>
              <w:left w:val="single" w:sz="4" w:space="0" w:color="000000"/>
              <w:bottom w:val="single" w:sz="4" w:space="0" w:color="000000"/>
              <w:right w:val="single" w:sz="4" w:space="0" w:color="000000"/>
            </w:tcBorders>
          </w:tcPr>
          <w:p w14:paraId="53DD0421"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John J. &amp; Carol A. Hamilton </w:t>
            </w:r>
          </w:p>
        </w:tc>
      </w:tr>
      <w:tr w:rsidR="00341373" w:rsidRPr="00C74D34" w14:paraId="5B0C5D89" w14:textId="77777777" w:rsidTr="007C07A9">
        <w:tblPrEx>
          <w:tblCellMar>
            <w:right w:w="84" w:type="dxa"/>
          </w:tblCellMar>
        </w:tblPrEx>
        <w:trPr>
          <w:trHeight w:val="392"/>
        </w:trPr>
        <w:tc>
          <w:tcPr>
            <w:tcW w:w="468" w:type="dxa"/>
            <w:tcBorders>
              <w:top w:val="single" w:sz="4" w:space="0" w:color="000000"/>
              <w:left w:val="single" w:sz="4" w:space="0" w:color="000000"/>
              <w:bottom w:val="single" w:sz="4" w:space="0" w:color="000000"/>
              <w:right w:val="single" w:sz="4" w:space="0" w:color="000000"/>
            </w:tcBorders>
          </w:tcPr>
          <w:p w14:paraId="15B4748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35 </w:t>
            </w:r>
          </w:p>
        </w:tc>
        <w:tc>
          <w:tcPr>
            <w:tcW w:w="3594" w:type="dxa"/>
            <w:tcBorders>
              <w:top w:val="single" w:sz="4" w:space="0" w:color="000000"/>
              <w:left w:val="single" w:sz="4" w:space="0" w:color="000000"/>
              <w:bottom w:val="single" w:sz="4" w:space="0" w:color="000000"/>
              <w:right w:val="single" w:sz="4" w:space="0" w:color="000000"/>
            </w:tcBorders>
          </w:tcPr>
          <w:p w14:paraId="46E6B9F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A-2018-3001999 </w:t>
            </w:r>
          </w:p>
        </w:tc>
        <w:tc>
          <w:tcPr>
            <w:tcW w:w="5516" w:type="dxa"/>
            <w:gridSpan w:val="3"/>
            <w:tcBorders>
              <w:top w:val="single" w:sz="4" w:space="0" w:color="000000"/>
              <w:left w:val="single" w:sz="4" w:space="0" w:color="000000"/>
              <w:bottom w:val="single" w:sz="4" w:space="0" w:color="000000"/>
              <w:right w:val="single" w:sz="4" w:space="0" w:color="000000"/>
            </w:tcBorders>
          </w:tcPr>
          <w:p w14:paraId="1C78A2D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Lois M. White  </w:t>
            </w:r>
          </w:p>
        </w:tc>
      </w:tr>
      <w:tr w:rsidR="00341373" w:rsidRPr="00C74D34" w14:paraId="28B9B0AB"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046D3088"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36 </w:t>
            </w:r>
          </w:p>
        </w:tc>
        <w:tc>
          <w:tcPr>
            <w:tcW w:w="3594" w:type="dxa"/>
            <w:tcBorders>
              <w:top w:val="single" w:sz="4" w:space="0" w:color="000000"/>
              <w:left w:val="single" w:sz="4" w:space="0" w:color="000000"/>
              <w:bottom w:val="single" w:sz="4" w:space="0" w:color="000000"/>
              <w:right w:val="single" w:sz="4" w:space="0" w:color="000000"/>
            </w:tcBorders>
          </w:tcPr>
          <w:p w14:paraId="6BEB8A2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A-2018-3002012 </w:t>
            </w:r>
          </w:p>
        </w:tc>
        <w:tc>
          <w:tcPr>
            <w:tcW w:w="5516" w:type="dxa"/>
            <w:gridSpan w:val="3"/>
            <w:tcBorders>
              <w:top w:val="single" w:sz="4" w:space="0" w:color="000000"/>
              <w:left w:val="single" w:sz="4" w:space="0" w:color="000000"/>
              <w:bottom w:val="single" w:sz="4" w:space="0" w:color="000000"/>
              <w:right w:val="single" w:sz="4" w:space="0" w:color="000000"/>
            </w:tcBorders>
          </w:tcPr>
          <w:p w14:paraId="461EDAB8"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Jane M. </w:t>
            </w:r>
            <w:proofErr w:type="spellStart"/>
            <w:r w:rsidRPr="00C74D34">
              <w:rPr>
                <w:rFonts w:ascii="Times New Roman" w:hAnsi="Times New Roman" w:cs="Times New Roman"/>
                <w:szCs w:val="26"/>
              </w:rPr>
              <w:t>Zaiger</w:t>
            </w:r>
            <w:proofErr w:type="spellEnd"/>
            <w:r w:rsidRPr="00C74D34">
              <w:rPr>
                <w:rFonts w:ascii="Times New Roman" w:hAnsi="Times New Roman" w:cs="Times New Roman"/>
                <w:szCs w:val="26"/>
              </w:rPr>
              <w:t xml:space="preserve"> </w:t>
            </w:r>
          </w:p>
        </w:tc>
      </w:tr>
      <w:tr w:rsidR="00341373" w:rsidRPr="00C74D34" w14:paraId="79D38473" w14:textId="77777777" w:rsidTr="007C07A9">
        <w:tblPrEx>
          <w:tblCellMar>
            <w:right w:w="84" w:type="dxa"/>
          </w:tblCellMar>
        </w:tblPrEx>
        <w:trPr>
          <w:trHeight w:val="768"/>
        </w:trPr>
        <w:tc>
          <w:tcPr>
            <w:tcW w:w="468" w:type="dxa"/>
            <w:tcBorders>
              <w:top w:val="single" w:sz="4" w:space="0" w:color="000000"/>
              <w:left w:val="single" w:sz="4" w:space="0" w:color="000000"/>
              <w:bottom w:val="single" w:sz="4" w:space="0" w:color="000000"/>
              <w:right w:val="single" w:sz="4" w:space="0" w:color="000000"/>
            </w:tcBorders>
          </w:tcPr>
          <w:p w14:paraId="76BB523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37 </w:t>
            </w:r>
          </w:p>
        </w:tc>
        <w:tc>
          <w:tcPr>
            <w:tcW w:w="3594" w:type="dxa"/>
            <w:tcBorders>
              <w:top w:val="single" w:sz="4" w:space="0" w:color="000000"/>
              <w:left w:val="single" w:sz="4" w:space="0" w:color="000000"/>
              <w:bottom w:val="single" w:sz="4" w:space="0" w:color="000000"/>
              <w:right w:val="single" w:sz="4" w:space="0" w:color="000000"/>
            </w:tcBorders>
          </w:tcPr>
          <w:p w14:paraId="0B4D9D0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A-2018-3002022 </w:t>
            </w:r>
          </w:p>
        </w:tc>
        <w:tc>
          <w:tcPr>
            <w:tcW w:w="5516" w:type="dxa"/>
            <w:gridSpan w:val="3"/>
            <w:tcBorders>
              <w:top w:val="single" w:sz="4" w:space="0" w:color="000000"/>
              <w:left w:val="single" w:sz="4" w:space="0" w:color="000000"/>
              <w:bottom w:val="single" w:sz="4" w:space="0" w:color="000000"/>
              <w:right w:val="single" w:sz="4" w:space="0" w:color="000000"/>
            </w:tcBorders>
          </w:tcPr>
          <w:p w14:paraId="3B8E3DC2" w14:textId="77777777" w:rsidR="00341373" w:rsidRPr="00C74D34" w:rsidRDefault="00341373" w:rsidP="00B11342">
            <w:pPr>
              <w:spacing w:after="103" w:line="259" w:lineRule="auto"/>
              <w:rPr>
                <w:rFonts w:ascii="Times New Roman" w:hAnsi="Times New Roman" w:cs="Times New Roman"/>
                <w:szCs w:val="26"/>
              </w:rPr>
            </w:pPr>
            <w:r w:rsidRPr="00C74D34">
              <w:rPr>
                <w:rFonts w:ascii="Times New Roman" w:hAnsi="Times New Roman" w:cs="Times New Roman"/>
                <w:szCs w:val="26"/>
              </w:rPr>
              <w:t xml:space="preserve">GBR Lincoln Highway Limited Liability Company, Chambersburg Holdings, </w:t>
            </w:r>
          </w:p>
          <w:p w14:paraId="5AE40CF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LP and WLR Chambersburg, LLC </w:t>
            </w:r>
          </w:p>
        </w:tc>
      </w:tr>
      <w:tr w:rsidR="00341373" w:rsidRPr="00C74D34" w14:paraId="086EFE2A"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428D2C9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38 </w:t>
            </w:r>
          </w:p>
        </w:tc>
        <w:tc>
          <w:tcPr>
            <w:tcW w:w="3594" w:type="dxa"/>
            <w:tcBorders>
              <w:top w:val="single" w:sz="4" w:space="0" w:color="000000"/>
              <w:left w:val="single" w:sz="4" w:space="0" w:color="000000"/>
              <w:bottom w:val="single" w:sz="4" w:space="0" w:color="000000"/>
              <w:right w:val="single" w:sz="4" w:space="0" w:color="000000"/>
            </w:tcBorders>
          </w:tcPr>
          <w:p w14:paraId="3CF527D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A-2018-3002028 </w:t>
            </w:r>
          </w:p>
        </w:tc>
        <w:tc>
          <w:tcPr>
            <w:tcW w:w="5516" w:type="dxa"/>
            <w:gridSpan w:val="3"/>
            <w:tcBorders>
              <w:top w:val="single" w:sz="4" w:space="0" w:color="000000"/>
              <w:left w:val="single" w:sz="4" w:space="0" w:color="000000"/>
              <w:bottom w:val="single" w:sz="4" w:space="0" w:color="000000"/>
              <w:right w:val="single" w:sz="4" w:space="0" w:color="000000"/>
            </w:tcBorders>
          </w:tcPr>
          <w:p w14:paraId="2405AA9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Summit Partners, LLC  </w:t>
            </w:r>
          </w:p>
        </w:tc>
      </w:tr>
      <w:tr w:rsidR="00341373" w:rsidRPr="00C74D34" w14:paraId="563BACC4"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25193C6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39 </w:t>
            </w:r>
          </w:p>
        </w:tc>
        <w:tc>
          <w:tcPr>
            <w:tcW w:w="3594" w:type="dxa"/>
            <w:tcBorders>
              <w:top w:val="single" w:sz="4" w:space="0" w:color="000000"/>
              <w:left w:val="single" w:sz="4" w:space="0" w:color="000000"/>
              <w:bottom w:val="single" w:sz="4" w:space="0" w:color="000000"/>
              <w:right w:val="single" w:sz="4" w:space="0" w:color="000000"/>
            </w:tcBorders>
          </w:tcPr>
          <w:p w14:paraId="542FA05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A-2018-3002031 </w:t>
            </w:r>
          </w:p>
        </w:tc>
        <w:tc>
          <w:tcPr>
            <w:tcW w:w="5516" w:type="dxa"/>
            <w:gridSpan w:val="3"/>
            <w:tcBorders>
              <w:top w:val="single" w:sz="4" w:space="0" w:color="000000"/>
              <w:left w:val="single" w:sz="4" w:space="0" w:color="000000"/>
              <w:bottom w:val="single" w:sz="4" w:space="0" w:color="000000"/>
              <w:right w:val="single" w:sz="4" w:space="0" w:color="000000"/>
            </w:tcBorders>
          </w:tcPr>
          <w:p w14:paraId="4226669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Daryl Harry Bender and Donna Irene Bender </w:t>
            </w:r>
            <w:proofErr w:type="spellStart"/>
            <w:r w:rsidRPr="00C74D34">
              <w:rPr>
                <w:rFonts w:ascii="Times New Roman" w:hAnsi="Times New Roman" w:cs="Times New Roman"/>
                <w:szCs w:val="26"/>
              </w:rPr>
              <w:t>Widney</w:t>
            </w:r>
            <w:proofErr w:type="spellEnd"/>
            <w:r w:rsidRPr="00C74D34">
              <w:rPr>
                <w:rFonts w:ascii="Times New Roman" w:hAnsi="Times New Roman" w:cs="Times New Roman"/>
                <w:szCs w:val="26"/>
              </w:rPr>
              <w:t xml:space="preserve">  </w:t>
            </w:r>
          </w:p>
        </w:tc>
      </w:tr>
      <w:tr w:rsidR="00341373" w:rsidRPr="00C74D34" w14:paraId="1F6CDA5E"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4A5FAE39"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40 </w:t>
            </w:r>
          </w:p>
        </w:tc>
        <w:tc>
          <w:tcPr>
            <w:tcW w:w="3594" w:type="dxa"/>
            <w:tcBorders>
              <w:top w:val="single" w:sz="4" w:space="0" w:color="000000"/>
              <w:left w:val="single" w:sz="4" w:space="0" w:color="000000"/>
              <w:bottom w:val="single" w:sz="4" w:space="0" w:color="000000"/>
              <w:right w:val="single" w:sz="4" w:space="0" w:color="000000"/>
            </w:tcBorders>
          </w:tcPr>
          <w:p w14:paraId="53ABA47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A-2018-3002032 </w:t>
            </w:r>
          </w:p>
        </w:tc>
        <w:tc>
          <w:tcPr>
            <w:tcW w:w="5516" w:type="dxa"/>
            <w:gridSpan w:val="3"/>
            <w:tcBorders>
              <w:top w:val="single" w:sz="4" w:space="0" w:color="000000"/>
              <w:left w:val="single" w:sz="4" w:space="0" w:color="000000"/>
              <w:bottom w:val="single" w:sz="4" w:space="0" w:color="000000"/>
              <w:right w:val="single" w:sz="4" w:space="0" w:color="000000"/>
            </w:tcBorders>
          </w:tcPr>
          <w:p w14:paraId="7AD02D75"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Roy B. </w:t>
            </w:r>
            <w:proofErr w:type="spellStart"/>
            <w:r w:rsidRPr="00C74D34">
              <w:rPr>
                <w:rFonts w:ascii="Times New Roman" w:hAnsi="Times New Roman" w:cs="Times New Roman"/>
                <w:szCs w:val="26"/>
              </w:rPr>
              <w:t>Biesecker</w:t>
            </w:r>
            <w:proofErr w:type="spellEnd"/>
            <w:r w:rsidRPr="00C74D34">
              <w:rPr>
                <w:rFonts w:ascii="Times New Roman" w:hAnsi="Times New Roman" w:cs="Times New Roman"/>
                <w:szCs w:val="26"/>
              </w:rPr>
              <w:t xml:space="preserve"> and Susan L. </w:t>
            </w:r>
            <w:proofErr w:type="spellStart"/>
            <w:r w:rsidRPr="00C74D34">
              <w:rPr>
                <w:rFonts w:ascii="Times New Roman" w:hAnsi="Times New Roman" w:cs="Times New Roman"/>
                <w:szCs w:val="26"/>
              </w:rPr>
              <w:t>Biesecker</w:t>
            </w:r>
            <w:proofErr w:type="spellEnd"/>
            <w:r w:rsidRPr="00C74D34">
              <w:rPr>
                <w:rFonts w:ascii="Times New Roman" w:hAnsi="Times New Roman" w:cs="Times New Roman"/>
                <w:szCs w:val="26"/>
              </w:rPr>
              <w:t xml:space="preserve"> </w:t>
            </w:r>
          </w:p>
        </w:tc>
      </w:tr>
      <w:tr w:rsidR="00341373" w:rsidRPr="00C74D34" w14:paraId="19E24483"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2E01FB2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41 </w:t>
            </w:r>
          </w:p>
        </w:tc>
        <w:tc>
          <w:tcPr>
            <w:tcW w:w="3594" w:type="dxa"/>
            <w:tcBorders>
              <w:top w:val="single" w:sz="4" w:space="0" w:color="000000"/>
              <w:left w:val="single" w:sz="4" w:space="0" w:color="000000"/>
              <w:bottom w:val="single" w:sz="4" w:space="0" w:color="000000"/>
              <w:right w:val="single" w:sz="4" w:space="0" w:color="000000"/>
            </w:tcBorders>
          </w:tcPr>
          <w:p w14:paraId="1D0DBB9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A-2018-3002037 </w:t>
            </w:r>
          </w:p>
        </w:tc>
        <w:tc>
          <w:tcPr>
            <w:tcW w:w="5516" w:type="dxa"/>
            <w:gridSpan w:val="3"/>
            <w:tcBorders>
              <w:top w:val="single" w:sz="4" w:space="0" w:color="000000"/>
              <w:left w:val="single" w:sz="4" w:space="0" w:color="000000"/>
              <w:bottom w:val="single" w:sz="4" w:space="0" w:color="000000"/>
              <w:right w:val="single" w:sz="4" w:space="0" w:color="000000"/>
            </w:tcBorders>
          </w:tcPr>
          <w:p w14:paraId="32E1C228"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Allan A. Stine  </w:t>
            </w:r>
          </w:p>
        </w:tc>
      </w:tr>
      <w:tr w:rsidR="00341373" w:rsidRPr="00C74D34" w14:paraId="6A6223FD" w14:textId="77777777" w:rsidTr="007C07A9">
        <w:tblPrEx>
          <w:tblCellMar>
            <w:right w:w="84" w:type="dxa"/>
          </w:tblCellMar>
        </w:tblPrEx>
        <w:trPr>
          <w:trHeight w:val="392"/>
        </w:trPr>
        <w:tc>
          <w:tcPr>
            <w:tcW w:w="468" w:type="dxa"/>
            <w:tcBorders>
              <w:top w:val="single" w:sz="4" w:space="0" w:color="000000"/>
              <w:left w:val="single" w:sz="4" w:space="0" w:color="000000"/>
              <w:bottom w:val="single" w:sz="4" w:space="0" w:color="000000"/>
              <w:right w:val="single" w:sz="4" w:space="0" w:color="000000"/>
            </w:tcBorders>
          </w:tcPr>
          <w:p w14:paraId="186B101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42 </w:t>
            </w:r>
          </w:p>
        </w:tc>
        <w:tc>
          <w:tcPr>
            <w:tcW w:w="3594" w:type="dxa"/>
            <w:tcBorders>
              <w:top w:val="single" w:sz="4" w:space="0" w:color="000000"/>
              <w:left w:val="single" w:sz="4" w:space="0" w:color="000000"/>
              <w:bottom w:val="single" w:sz="4" w:space="0" w:color="000000"/>
              <w:right w:val="single" w:sz="4" w:space="0" w:color="000000"/>
            </w:tcBorders>
          </w:tcPr>
          <w:p w14:paraId="5E55D6B1"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A-2018-3002041 </w:t>
            </w:r>
          </w:p>
        </w:tc>
        <w:tc>
          <w:tcPr>
            <w:tcW w:w="5516" w:type="dxa"/>
            <w:gridSpan w:val="3"/>
            <w:tcBorders>
              <w:top w:val="single" w:sz="4" w:space="0" w:color="000000"/>
              <w:left w:val="single" w:sz="4" w:space="0" w:color="000000"/>
              <w:bottom w:val="single" w:sz="4" w:space="0" w:color="000000"/>
              <w:right w:val="single" w:sz="4" w:space="0" w:color="000000"/>
            </w:tcBorders>
          </w:tcPr>
          <w:p w14:paraId="1E1A19F2"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John A. </w:t>
            </w:r>
            <w:proofErr w:type="spellStart"/>
            <w:r w:rsidRPr="00C74D34">
              <w:rPr>
                <w:rFonts w:ascii="Times New Roman" w:hAnsi="Times New Roman" w:cs="Times New Roman"/>
                <w:szCs w:val="26"/>
              </w:rPr>
              <w:t>Steiger</w:t>
            </w:r>
            <w:proofErr w:type="spellEnd"/>
            <w:r w:rsidRPr="00C74D34">
              <w:rPr>
                <w:rFonts w:ascii="Times New Roman" w:hAnsi="Times New Roman" w:cs="Times New Roman"/>
                <w:szCs w:val="26"/>
              </w:rPr>
              <w:t xml:space="preserve"> and Allison E. </w:t>
            </w:r>
            <w:proofErr w:type="spellStart"/>
            <w:r w:rsidRPr="00C74D34">
              <w:rPr>
                <w:rFonts w:ascii="Times New Roman" w:hAnsi="Times New Roman" w:cs="Times New Roman"/>
                <w:szCs w:val="26"/>
              </w:rPr>
              <w:t>Steiger</w:t>
            </w:r>
            <w:proofErr w:type="spellEnd"/>
            <w:r w:rsidRPr="00C74D34">
              <w:rPr>
                <w:rFonts w:ascii="Times New Roman" w:hAnsi="Times New Roman" w:cs="Times New Roman"/>
                <w:szCs w:val="26"/>
              </w:rPr>
              <w:t xml:space="preserve">  </w:t>
            </w:r>
          </w:p>
        </w:tc>
      </w:tr>
      <w:tr w:rsidR="00341373" w:rsidRPr="00C74D34" w14:paraId="33C5A993"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520BA14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43 </w:t>
            </w:r>
          </w:p>
        </w:tc>
        <w:tc>
          <w:tcPr>
            <w:tcW w:w="3594" w:type="dxa"/>
            <w:tcBorders>
              <w:top w:val="single" w:sz="4" w:space="0" w:color="000000"/>
              <w:left w:val="single" w:sz="4" w:space="0" w:color="000000"/>
              <w:bottom w:val="single" w:sz="4" w:space="0" w:color="000000"/>
              <w:right w:val="single" w:sz="4" w:space="0" w:color="000000"/>
            </w:tcBorders>
          </w:tcPr>
          <w:p w14:paraId="233666F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A-2018-3002046 </w:t>
            </w:r>
          </w:p>
        </w:tc>
        <w:tc>
          <w:tcPr>
            <w:tcW w:w="5516" w:type="dxa"/>
            <w:gridSpan w:val="3"/>
            <w:tcBorders>
              <w:top w:val="single" w:sz="4" w:space="0" w:color="000000"/>
              <w:left w:val="single" w:sz="4" w:space="0" w:color="000000"/>
              <w:bottom w:val="single" w:sz="4" w:space="0" w:color="000000"/>
              <w:right w:val="single" w:sz="4" w:space="0" w:color="000000"/>
            </w:tcBorders>
          </w:tcPr>
          <w:p w14:paraId="7918496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Leonard H. Kauffman and Mary P. Kauffman </w:t>
            </w:r>
          </w:p>
        </w:tc>
      </w:tr>
      <w:tr w:rsidR="00341373" w:rsidRPr="00C74D34" w14:paraId="7BD45208"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4107314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44 </w:t>
            </w:r>
          </w:p>
        </w:tc>
        <w:tc>
          <w:tcPr>
            <w:tcW w:w="3594" w:type="dxa"/>
            <w:tcBorders>
              <w:top w:val="single" w:sz="4" w:space="0" w:color="000000"/>
              <w:left w:val="single" w:sz="4" w:space="0" w:color="000000"/>
              <w:bottom w:val="single" w:sz="4" w:space="0" w:color="000000"/>
              <w:right w:val="single" w:sz="4" w:space="0" w:color="000000"/>
            </w:tcBorders>
          </w:tcPr>
          <w:p w14:paraId="4BF9AE68"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A-2018-3002047 </w:t>
            </w:r>
          </w:p>
        </w:tc>
        <w:tc>
          <w:tcPr>
            <w:tcW w:w="5516" w:type="dxa"/>
            <w:gridSpan w:val="3"/>
            <w:tcBorders>
              <w:top w:val="single" w:sz="4" w:space="0" w:color="000000"/>
              <w:left w:val="single" w:sz="4" w:space="0" w:color="000000"/>
              <w:bottom w:val="single" w:sz="4" w:space="0" w:color="000000"/>
              <w:right w:val="single" w:sz="4" w:space="0" w:color="000000"/>
            </w:tcBorders>
          </w:tcPr>
          <w:p w14:paraId="44A4A82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Ivan D. Horst and Ellen M. Horst </w:t>
            </w:r>
          </w:p>
        </w:tc>
      </w:tr>
      <w:tr w:rsidR="00341373" w:rsidRPr="00C74D34" w14:paraId="505759EA"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1B5C0A0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45 </w:t>
            </w:r>
          </w:p>
        </w:tc>
        <w:tc>
          <w:tcPr>
            <w:tcW w:w="3594" w:type="dxa"/>
            <w:tcBorders>
              <w:top w:val="single" w:sz="4" w:space="0" w:color="000000"/>
              <w:left w:val="single" w:sz="4" w:space="0" w:color="000000"/>
              <w:bottom w:val="single" w:sz="4" w:space="0" w:color="000000"/>
              <w:right w:val="single" w:sz="4" w:space="0" w:color="000000"/>
            </w:tcBorders>
          </w:tcPr>
          <w:p w14:paraId="34F856A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A-2018-3002048 </w:t>
            </w:r>
          </w:p>
        </w:tc>
        <w:tc>
          <w:tcPr>
            <w:tcW w:w="5516" w:type="dxa"/>
            <w:gridSpan w:val="3"/>
            <w:tcBorders>
              <w:top w:val="single" w:sz="4" w:space="0" w:color="000000"/>
              <w:left w:val="single" w:sz="4" w:space="0" w:color="000000"/>
              <w:bottom w:val="single" w:sz="4" w:space="0" w:color="000000"/>
              <w:right w:val="single" w:sz="4" w:space="0" w:color="000000"/>
            </w:tcBorders>
          </w:tcPr>
          <w:p w14:paraId="3621F8E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Guilford Water Authority </w:t>
            </w:r>
          </w:p>
        </w:tc>
      </w:tr>
      <w:tr w:rsidR="00341373" w:rsidRPr="00C74D34" w14:paraId="6F3483A1"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42213A3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46 </w:t>
            </w:r>
          </w:p>
        </w:tc>
        <w:tc>
          <w:tcPr>
            <w:tcW w:w="3594" w:type="dxa"/>
            <w:tcBorders>
              <w:top w:val="single" w:sz="4" w:space="0" w:color="000000"/>
              <w:left w:val="single" w:sz="4" w:space="0" w:color="000000"/>
              <w:bottom w:val="single" w:sz="4" w:space="0" w:color="000000"/>
              <w:right w:val="single" w:sz="4" w:space="0" w:color="000000"/>
            </w:tcBorders>
          </w:tcPr>
          <w:p w14:paraId="0FC3A335"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A-2018-3002051 </w:t>
            </w:r>
          </w:p>
        </w:tc>
        <w:tc>
          <w:tcPr>
            <w:tcW w:w="5516" w:type="dxa"/>
            <w:gridSpan w:val="3"/>
            <w:tcBorders>
              <w:top w:val="single" w:sz="4" w:space="0" w:color="000000"/>
              <w:left w:val="single" w:sz="4" w:space="0" w:color="000000"/>
              <w:bottom w:val="single" w:sz="4" w:space="0" w:color="000000"/>
              <w:right w:val="single" w:sz="4" w:space="0" w:color="000000"/>
            </w:tcBorders>
          </w:tcPr>
          <w:p w14:paraId="5F58DD7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DC Farms, LLC </w:t>
            </w:r>
          </w:p>
        </w:tc>
      </w:tr>
      <w:tr w:rsidR="00341373" w:rsidRPr="00C74D34" w14:paraId="3946B7F9"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4CAAA52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47 </w:t>
            </w:r>
          </w:p>
        </w:tc>
        <w:tc>
          <w:tcPr>
            <w:tcW w:w="3594" w:type="dxa"/>
            <w:tcBorders>
              <w:top w:val="single" w:sz="4" w:space="0" w:color="000000"/>
              <w:left w:val="single" w:sz="4" w:space="0" w:color="000000"/>
              <w:bottom w:val="single" w:sz="4" w:space="0" w:color="000000"/>
              <w:right w:val="single" w:sz="4" w:space="0" w:color="000000"/>
            </w:tcBorders>
          </w:tcPr>
          <w:p w14:paraId="498FD2E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A-2018-3002052 </w:t>
            </w:r>
          </w:p>
        </w:tc>
        <w:tc>
          <w:tcPr>
            <w:tcW w:w="5516" w:type="dxa"/>
            <w:gridSpan w:val="3"/>
            <w:tcBorders>
              <w:top w:val="single" w:sz="4" w:space="0" w:color="000000"/>
              <w:left w:val="single" w:sz="4" w:space="0" w:color="000000"/>
              <w:bottom w:val="single" w:sz="4" w:space="0" w:color="000000"/>
              <w:right w:val="single" w:sz="4" w:space="0" w:color="000000"/>
            </w:tcBorders>
          </w:tcPr>
          <w:p w14:paraId="2D9B48D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Donald L. Martin and Denise M. Martin </w:t>
            </w:r>
          </w:p>
        </w:tc>
      </w:tr>
      <w:tr w:rsidR="00341373" w:rsidRPr="00C74D34" w14:paraId="180105EC"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690CB10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48 </w:t>
            </w:r>
          </w:p>
        </w:tc>
        <w:tc>
          <w:tcPr>
            <w:tcW w:w="3594" w:type="dxa"/>
            <w:tcBorders>
              <w:top w:val="single" w:sz="4" w:space="0" w:color="000000"/>
              <w:left w:val="single" w:sz="4" w:space="0" w:color="000000"/>
              <w:bottom w:val="single" w:sz="4" w:space="0" w:color="000000"/>
              <w:right w:val="single" w:sz="4" w:space="0" w:color="000000"/>
            </w:tcBorders>
          </w:tcPr>
          <w:p w14:paraId="26F171F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A-2018-3002053 </w:t>
            </w:r>
          </w:p>
        </w:tc>
        <w:tc>
          <w:tcPr>
            <w:tcW w:w="5516" w:type="dxa"/>
            <w:gridSpan w:val="3"/>
            <w:tcBorders>
              <w:top w:val="single" w:sz="4" w:space="0" w:color="000000"/>
              <w:left w:val="single" w:sz="4" w:space="0" w:color="000000"/>
              <w:bottom w:val="single" w:sz="4" w:space="0" w:color="000000"/>
              <w:right w:val="single" w:sz="4" w:space="0" w:color="000000"/>
            </w:tcBorders>
          </w:tcPr>
          <w:p w14:paraId="17AE6262"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William K. </w:t>
            </w:r>
            <w:proofErr w:type="spellStart"/>
            <w:r w:rsidRPr="00C74D34">
              <w:rPr>
                <w:rFonts w:ascii="Times New Roman" w:hAnsi="Times New Roman" w:cs="Times New Roman"/>
                <w:szCs w:val="26"/>
              </w:rPr>
              <w:t>Nitterhouse</w:t>
            </w:r>
            <w:proofErr w:type="spellEnd"/>
            <w:r w:rsidRPr="00C74D34">
              <w:rPr>
                <w:rFonts w:ascii="Times New Roman" w:hAnsi="Times New Roman" w:cs="Times New Roman"/>
                <w:szCs w:val="26"/>
              </w:rPr>
              <w:t xml:space="preserve"> and Diane R. </w:t>
            </w:r>
            <w:proofErr w:type="spellStart"/>
            <w:r w:rsidRPr="00C74D34">
              <w:rPr>
                <w:rFonts w:ascii="Times New Roman" w:hAnsi="Times New Roman" w:cs="Times New Roman"/>
                <w:szCs w:val="26"/>
              </w:rPr>
              <w:t>Nitterhouse</w:t>
            </w:r>
            <w:proofErr w:type="spellEnd"/>
            <w:r w:rsidRPr="00C74D34">
              <w:rPr>
                <w:rFonts w:ascii="Times New Roman" w:hAnsi="Times New Roman" w:cs="Times New Roman"/>
                <w:szCs w:val="26"/>
              </w:rPr>
              <w:t xml:space="preserve">  </w:t>
            </w:r>
          </w:p>
        </w:tc>
      </w:tr>
      <w:tr w:rsidR="00341373" w:rsidRPr="00C74D34" w14:paraId="6A134B84" w14:textId="77777777" w:rsidTr="007C07A9">
        <w:tblPrEx>
          <w:tblCellMar>
            <w:right w:w="84" w:type="dxa"/>
          </w:tblCellMar>
        </w:tblPrEx>
        <w:trPr>
          <w:trHeight w:val="1529"/>
        </w:trPr>
        <w:tc>
          <w:tcPr>
            <w:tcW w:w="468" w:type="dxa"/>
            <w:tcBorders>
              <w:top w:val="single" w:sz="4" w:space="0" w:color="000000"/>
              <w:left w:val="single" w:sz="4" w:space="0" w:color="000000"/>
              <w:bottom w:val="single" w:sz="4" w:space="0" w:color="000000"/>
              <w:right w:val="single" w:sz="4" w:space="0" w:color="000000"/>
            </w:tcBorders>
          </w:tcPr>
          <w:p w14:paraId="7A4CEAA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lastRenderedPageBreak/>
              <w:t xml:space="preserve">49 </w:t>
            </w:r>
          </w:p>
        </w:tc>
        <w:tc>
          <w:tcPr>
            <w:tcW w:w="3594" w:type="dxa"/>
            <w:tcBorders>
              <w:top w:val="single" w:sz="4" w:space="0" w:color="000000"/>
              <w:left w:val="single" w:sz="4" w:space="0" w:color="000000"/>
              <w:bottom w:val="single" w:sz="4" w:space="0" w:color="000000"/>
              <w:right w:val="single" w:sz="4" w:space="0" w:color="000000"/>
            </w:tcBorders>
          </w:tcPr>
          <w:p w14:paraId="73D3D4A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A-2018-3002054 </w:t>
            </w:r>
          </w:p>
        </w:tc>
        <w:tc>
          <w:tcPr>
            <w:tcW w:w="5516" w:type="dxa"/>
            <w:gridSpan w:val="3"/>
            <w:tcBorders>
              <w:top w:val="single" w:sz="4" w:space="0" w:color="000000"/>
              <w:left w:val="single" w:sz="4" w:space="0" w:color="000000"/>
              <w:bottom w:val="single" w:sz="4" w:space="0" w:color="000000"/>
              <w:right w:val="single" w:sz="4" w:space="0" w:color="000000"/>
            </w:tcBorders>
          </w:tcPr>
          <w:p w14:paraId="2092C4FF" w14:textId="77777777" w:rsidR="00341373" w:rsidRPr="00C74D34" w:rsidRDefault="00341373" w:rsidP="00B11342">
            <w:pPr>
              <w:spacing w:after="1" w:line="240" w:lineRule="auto"/>
              <w:rPr>
                <w:rFonts w:ascii="Times New Roman" w:hAnsi="Times New Roman" w:cs="Times New Roman"/>
                <w:szCs w:val="26"/>
              </w:rPr>
            </w:pPr>
            <w:r w:rsidRPr="00C74D34">
              <w:rPr>
                <w:rFonts w:ascii="Times New Roman" w:hAnsi="Times New Roman" w:cs="Times New Roman"/>
                <w:szCs w:val="26"/>
              </w:rPr>
              <w:t xml:space="preserve">Wayne E. Lehman &amp; Donald R. Lehman as Trustees of Credit Shelter Trust established under Item II of the Last Will of Harvey M. Lehman (the “Harvey </w:t>
            </w:r>
          </w:p>
          <w:p w14:paraId="399C1D84" w14:textId="77777777" w:rsidR="00341373" w:rsidRPr="00C74D34" w:rsidRDefault="00341373" w:rsidP="00B11342">
            <w:pPr>
              <w:spacing w:after="103" w:line="240" w:lineRule="auto"/>
              <w:rPr>
                <w:rFonts w:ascii="Times New Roman" w:hAnsi="Times New Roman" w:cs="Times New Roman"/>
                <w:szCs w:val="26"/>
              </w:rPr>
            </w:pPr>
            <w:r w:rsidRPr="00C74D34">
              <w:rPr>
                <w:rFonts w:ascii="Times New Roman" w:hAnsi="Times New Roman" w:cs="Times New Roman"/>
                <w:szCs w:val="26"/>
              </w:rPr>
              <w:t xml:space="preserve">M. Lehman Credit Shelter Trust”) &amp; Wayne E. Lehman, Donald R. Lehman, </w:t>
            </w:r>
          </w:p>
          <w:p w14:paraId="3525113E" w14:textId="77777777" w:rsidR="00341373" w:rsidRPr="00C74D34" w:rsidRDefault="00341373" w:rsidP="00B11342">
            <w:pPr>
              <w:spacing w:line="240" w:lineRule="auto"/>
              <w:rPr>
                <w:rFonts w:ascii="Times New Roman" w:hAnsi="Times New Roman" w:cs="Times New Roman"/>
                <w:szCs w:val="26"/>
              </w:rPr>
            </w:pPr>
            <w:r w:rsidRPr="00C74D34">
              <w:rPr>
                <w:rFonts w:ascii="Times New Roman" w:hAnsi="Times New Roman" w:cs="Times New Roman"/>
                <w:szCs w:val="26"/>
              </w:rPr>
              <w:t xml:space="preserve">Jane L. Martin, Kenneth L. Lehman &amp; Lester E. Lehman </w:t>
            </w:r>
          </w:p>
        </w:tc>
      </w:tr>
      <w:tr w:rsidR="00341373" w:rsidRPr="00C74D34" w14:paraId="0CF4934F"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0144F88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50 </w:t>
            </w:r>
          </w:p>
        </w:tc>
        <w:tc>
          <w:tcPr>
            <w:tcW w:w="3594" w:type="dxa"/>
            <w:tcBorders>
              <w:top w:val="single" w:sz="4" w:space="0" w:color="000000"/>
              <w:left w:val="single" w:sz="4" w:space="0" w:color="000000"/>
              <w:bottom w:val="single" w:sz="4" w:space="0" w:color="000000"/>
              <w:right w:val="single" w:sz="4" w:space="0" w:color="000000"/>
            </w:tcBorders>
          </w:tcPr>
          <w:p w14:paraId="4DFFD46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A-2018-3002055 </w:t>
            </w:r>
          </w:p>
        </w:tc>
        <w:tc>
          <w:tcPr>
            <w:tcW w:w="5516" w:type="dxa"/>
            <w:gridSpan w:val="3"/>
            <w:tcBorders>
              <w:top w:val="single" w:sz="4" w:space="0" w:color="000000"/>
              <w:left w:val="single" w:sz="4" w:space="0" w:color="000000"/>
              <w:bottom w:val="single" w:sz="4" w:space="0" w:color="000000"/>
              <w:right w:val="single" w:sz="4" w:space="0" w:color="000000"/>
            </w:tcBorders>
          </w:tcPr>
          <w:p w14:paraId="6A850A9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Chambersburg Area School District </w:t>
            </w:r>
          </w:p>
        </w:tc>
      </w:tr>
      <w:tr w:rsidR="00341373" w:rsidRPr="00C74D34" w14:paraId="06FF1B25"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1DC3FD9E"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51 </w:t>
            </w:r>
          </w:p>
        </w:tc>
        <w:tc>
          <w:tcPr>
            <w:tcW w:w="3594" w:type="dxa"/>
            <w:tcBorders>
              <w:top w:val="single" w:sz="4" w:space="0" w:color="000000"/>
              <w:left w:val="single" w:sz="4" w:space="0" w:color="000000"/>
              <w:bottom w:val="single" w:sz="4" w:space="0" w:color="000000"/>
              <w:right w:val="single" w:sz="4" w:space="0" w:color="000000"/>
            </w:tcBorders>
          </w:tcPr>
          <w:p w14:paraId="02E5478E"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A-2018-3002057 </w:t>
            </w:r>
          </w:p>
        </w:tc>
        <w:tc>
          <w:tcPr>
            <w:tcW w:w="5516" w:type="dxa"/>
            <w:gridSpan w:val="3"/>
            <w:tcBorders>
              <w:top w:val="single" w:sz="4" w:space="0" w:color="000000"/>
              <w:left w:val="single" w:sz="4" w:space="0" w:color="000000"/>
              <w:bottom w:val="single" w:sz="4" w:space="0" w:color="000000"/>
              <w:right w:val="single" w:sz="4" w:space="0" w:color="000000"/>
            </w:tcBorders>
          </w:tcPr>
          <w:p w14:paraId="30F6CC0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Lemma &amp; O’Connor Investors LLC </w:t>
            </w:r>
          </w:p>
        </w:tc>
      </w:tr>
      <w:tr w:rsidR="00341373" w:rsidRPr="00C74D34" w14:paraId="2E9E2895"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03C10DB2"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52 </w:t>
            </w:r>
          </w:p>
        </w:tc>
        <w:tc>
          <w:tcPr>
            <w:tcW w:w="3594" w:type="dxa"/>
            <w:tcBorders>
              <w:top w:val="single" w:sz="4" w:space="0" w:color="000000"/>
              <w:left w:val="single" w:sz="4" w:space="0" w:color="000000"/>
              <w:bottom w:val="single" w:sz="4" w:space="0" w:color="000000"/>
              <w:right w:val="single" w:sz="4" w:space="0" w:color="000000"/>
            </w:tcBorders>
          </w:tcPr>
          <w:p w14:paraId="2037226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A-2018-3002061 </w:t>
            </w:r>
          </w:p>
        </w:tc>
        <w:tc>
          <w:tcPr>
            <w:tcW w:w="5516" w:type="dxa"/>
            <w:gridSpan w:val="3"/>
            <w:tcBorders>
              <w:top w:val="single" w:sz="4" w:space="0" w:color="000000"/>
              <w:left w:val="single" w:sz="4" w:space="0" w:color="000000"/>
              <w:bottom w:val="single" w:sz="4" w:space="0" w:color="000000"/>
              <w:right w:val="single" w:sz="4" w:space="0" w:color="000000"/>
            </w:tcBorders>
          </w:tcPr>
          <w:p w14:paraId="7E30BBB6"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Daniel S. Long </w:t>
            </w:r>
          </w:p>
        </w:tc>
      </w:tr>
      <w:tr w:rsidR="00341373" w:rsidRPr="00C74D34" w14:paraId="376FF332" w14:textId="77777777" w:rsidTr="007C07A9">
        <w:tblPrEx>
          <w:tblCellMar>
            <w:right w:w="84" w:type="dxa"/>
          </w:tblCellMar>
        </w:tblPrEx>
        <w:trPr>
          <w:trHeight w:val="768"/>
        </w:trPr>
        <w:tc>
          <w:tcPr>
            <w:tcW w:w="468" w:type="dxa"/>
            <w:tcBorders>
              <w:top w:val="single" w:sz="4" w:space="0" w:color="000000"/>
              <w:left w:val="single" w:sz="4" w:space="0" w:color="000000"/>
              <w:bottom w:val="single" w:sz="4" w:space="0" w:color="000000"/>
              <w:right w:val="single" w:sz="4" w:space="0" w:color="000000"/>
            </w:tcBorders>
          </w:tcPr>
          <w:p w14:paraId="0487B286"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53 </w:t>
            </w:r>
          </w:p>
        </w:tc>
        <w:tc>
          <w:tcPr>
            <w:tcW w:w="3594" w:type="dxa"/>
            <w:tcBorders>
              <w:top w:val="single" w:sz="4" w:space="0" w:color="000000"/>
              <w:left w:val="single" w:sz="4" w:space="0" w:color="000000"/>
              <w:bottom w:val="single" w:sz="4" w:space="0" w:color="000000"/>
              <w:right w:val="single" w:sz="4" w:space="0" w:color="000000"/>
            </w:tcBorders>
          </w:tcPr>
          <w:p w14:paraId="64D882B6"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A-2018-3002066 </w:t>
            </w:r>
          </w:p>
        </w:tc>
        <w:tc>
          <w:tcPr>
            <w:tcW w:w="5516" w:type="dxa"/>
            <w:gridSpan w:val="3"/>
            <w:tcBorders>
              <w:top w:val="single" w:sz="4" w:space="0" w:color="000000"/>
              <w:left w:val="single" w:sz="4" w:space="0" w:color="000000"/>
              <w:bottom w:val="single" w:sz="4" w:space="0" w:color="000000"/>
              <w:right w:val="single" w:sz="4" w:space="0" w:color="000000"/>
            </w:tcBorders>
          </w:tcPr>
          <w:p w14:paraId="611B7D9F" w14:textId="77777777" w:rsidR="00341373" w:rsidRPr="00C74D34" w:rsidRDefault="00341373" w:rsidP="00B11342">
            <w:pPr>
              <w:spacing w:after="103" w:line="259" w:lineRule="auto"/>
              <w:rPr>
                <w:rFonts w:ascii="Times New Roman" w:hAnsi="Times New Roman" w:cs="Times New Roman"/>
                <w:szCs w:val="26"/>
              </w:rPr>
            </w:pPr>
            <w:r w:rsidRPr="00C74D34">
              <w:rPr>
                <w:rFonts w:ascii="Times New Roman" w:hAnsi="Times New Roman" w:cs="Times New Roman"/>
                <w:szCs w:val="26"/>
              </w:rPr>
              <w:t xml:space="preserve">Mary K. Henry, Deceased, D. Yvonne Frank, Marion Carmack, Charles W. </w:t>
            </w:r>
          </w:p>
          <w:p w14:paraId="76AF201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Henry (Letters Testamentary) </w:t>
            </w:r>
          </w:p>
        </w:tc>
      </w:tr>
      <w:tr w:rsidR="00341373" w:rsidRPr="00C74D34" w14:paraId="113A6825" w14:textId="77777777" w:rsidTr="007C07A9">
        <w:tblPrEx>
          <w:tblCellMar>
            <w:right w:w="84" w:type="dxa"/>
          </w:tblCellMar>
        </w:tblPrEx>
        <w:trPr>
          <w:trHeight w:val="768"/>
        </w:trPr>
        <w:tc>
          <w:tcPr>
            <w:tcW w:w="468" w:type="dxa"/>
            <w:tcBorders>
              <w:top w:val="single" w:sz="4" w:space="0" w:color="000000"/>
              <w:left w:val="single" w:sz="4" w:space="0" w:color="000000"/>
              <w:bottom w:val="single" w:sz="4" w:space="0" w:color="000000"/>
              <w:right w:val="single" w:sz="4" w:space="0" w:color="000000"/>
            </w:tcBorders>
          </w:tcPr>
          <w:p w14:paraId="5CD185F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54 </w:t>
            </w:r>
          </w:p>
        </w:tc>
        <w:tc>
          <w:tcPr>
            <w:tcW w:w="3594" w:type="dxa"/>
            <w:tcBorders>
              <w:top w:val="single" w:sz="4" w:space="0" w:color="000000"/>
              <w:left w:val="single" w:sz="4" w:space="0" w:color="000000"/>
              <w:bottom w:val="single" w:sz="4" w:space="0" w:color="000000"/>
              <w:right w:val="single" w:sz="4" w:space="0" w:color="000000"/>
            </w:tcBorders>
          </w:tcPr>
          <w:p w14:paraId="6D0DA63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A-2018-3002067 </w:t>
            </w:r>
          </w:p>
        </w:tc>
        <w:tc>
          <w:tcPr>
            <w:tcW w:w="5516" w:type="dxa"/>
            <w:gridSpan w:val="3"/>
            <w:tcBorders>
              <w:top w:val="single" w:sz="4" w:space="0" w:color="000000"/>
              <w:left w:val="single" w:sz="4" w:space="0" w:color="000000"/>
              <w:bottom w:val="single" w:sz="4" w:space="0" w:color="000000"/>
              <w:right w:val="single" w:sz="4" w:space="0" w:color="000000"/>
            </w:tcBorders>
          </w:tcPr>
          <w:p w14:paraId="3FAEFA2E" w14:textId="77777777" w:rsidR="00341373" w:rsidRPr="00C74D34" w:rsidRDefault="00341373" w:rsidP="00B11342">
            <w:pPr>
              <w:spacing w:after="103" w:line="259" w:lineRule="auto"/>
              <w:rPr>
                <w:rFonts w:ascii="Times New Roman" w:hAnsi="Times New Roman" w:cs="Times New Roman"/>
                <w:szCs w:val="26"/>
              </w:rPr>
            </w:pPr>
            <w:r w:rsidRPr="00C74D34">
              <w:rPr>
                <w:rFonts w:ascii="Times New Roman" w:hAnsi="Times New Roman" w:cs="Times New Roman"/>
                <w:szCs w:val="26"/>
              </w:rPr>
              <w:t xml:space="preserve">Chambersburg Mall Realty LLC, Chambersburg CH LLC, and Chambersburg </w:t>
            </w:r>
          </w:p>
          <w:p w14:paraId="36C07AF9"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Nassim LLC  </w:t>
            </w:r>
          </w:p>
        </w:tc>
      </w:tr>
      <w:tr w:rsidR="00341373" w:rsidRPr="00C74D34" w14:paraId="11940E7D"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08BA041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55 </w:t>
            </w:r>
          </w:p>
        </w:tc>
        <w:tc>
          <w:tcPr>
            <w:tcW w:w="3594" w:type="dxa"/>
            <w:tcBorders>
              <w:top w:val="single" w:sz="4" w:space="0" w:color="000000"/>
              <w:left w:val="single" w:sz="4" w:space="0" w:color="000000"/>
              <w:bottom w:val="single" w:sz="4" w:space="0" w:color="000000"/>
              <w:right w:val="single" w:sz="4" w:space="0" w:color="000000"/>
            </w:tcBorders>
          </w:tcPr>
          <w:p w14:paraId="633AFBF5"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A-2018-3002069 </w:t>
            </w:r>
          </w:p>
        </w:tc>
        <w:tc>
          <w:tcPr>
            <w:tcW w:w="5516" w:type="dxa"/>
            <w:gridSpan w:val="3"/>
            <w:tcBorders>
              <w:top w:val="single" w:sz="4" w:space="0" w:color="000000"/>
              <w:left w:val="single" w:sz="4" w:space="0" w:color="000000"/>
              <w:bottom w:val="single" w:sz="4" w:space="0" w:color="000000"/>
              <w:right w:val="single" w:sz="4" w:space="0" w:color="000000"/>
            </w:tcBorders>
          </w:tcPr>
          <w:p w14:paraId="68E0C28A"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Richard L. </w:t>
            </w:r>
            <w:proofErr w:type="spellStart"/>
            <w:r w:rsidRPr="00C74D34">
              <w:rPr>
                <w:rFonts w:ascii="Times New Roman" w:hAnsi="Times New Roman" w:cs="Times New Roman"/>
                <w:szCs w:val="26"/>
              </w:rPr>
              <w:t>Lesher</w:t>
            </w:r>
            <w:proofErr w:type="spellEnd"/>
            <w:r w:rsidRPr="00C74D34">
              <w:rPr>
                <w:rFonts w:ascii="Times New Roman" w:hAnsi="Times New Roman" w:cs="Times New Roman"/>
                <w:szCs w:val="26"/>
              </w:rPr>
              <w:t xml:space="preserve"> and Agnes Marie </w:t>
            </w:r>
            <w:proofErr w:type="spellStart"/>
            <w:r w:rsidRPr="00C74D34">
              <w:rPr>
                <w:rFonts w:ascii="Times New Roman" w:hAnsi="Times New Roman" w:cs="Times New Roman"/>
                <w:szCs w:val="26"/>
              </w:rPr>
              <w:t>Lesher</w:t>
            </w:r>
            <w:proofErr w:type="spellEnd"/>
            <w:r w:rsidRPr="00C74D34">
              <w:rPr>
                <w:rFonts w:ascii="Times New Roman" w:hAnsi="Times New Roman" w:cs="Times New Roman"/>
                <w:szCs w:val="26"/>
              </w:rPr>
              <w:t xml:space="preserve"> </w:t>
            </w:r>
          </w:p>
        </w:tc>
      </w:tr>
      <w:tr w:rsidR="00341373" w:rsidRPr="00C74D34" w14:paraId="6D81989A"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77FC8987"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56 </w:t>
            </w:r>
          </w:p>
        </w:tc>
        <w:tc>
          <w:tcPr>
            <w:tcW w:w="3594" w:type="dxa"/>
            <w:tcBorders>
              <w:top w:val="single" w:sz="4" w:space="0" w:color="000000"/>
              <w:left w:val="single" w:sz="4" w:space="0" w:color="000000"/>
              <w:bottom w:val="single" w:sz="4" w:space="0" w:color="000000"/>
              <w:right w:val="single" w:sz="4" w:space="0" w:color="000000"/>
            </w:tcBorders>
          </w:tcPr>
          <w:p w14:paraId="2E35021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A-2018-3002072 </w:t>
            </w:r>
          </w:p>
        </w:tc>
        <w:tc>
          <w:tcPr>
            <w:tcW w:w="5516" w:type="dxa"/>
            <w:gridSpan w:val="3"/>
            <w:tcBorders>
              <w:top w:val="single" w:sz="4" w:space="0" w:color="000000"/>
              <w:left w:val="single" w:sz="4" w:space="0" w:color="000000"/>
              <w:bottom w:val="single" w:sz="4" w:space="0" w:color="000000"/>
              <w:right w:val="single" w:sz="4" w:space="0" w:color="000000"/>
            </w:tcBorders>
          </w:tcPr>
          <w:p w14:paraId="429F1F5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Charles </w:t>
            </w:r>
            <w:proofErr w:type="spellStart"/>
            <w:r w:rsidRPr="00C74D34">
              <w:rPr>
                <w:rFonts w:ascii="Times New Roman" w:hAnsi="Times New Roman" w:cs="Times New Roman"/>
                <w:szCs w:val="26"/>
              </w:rPr>
              <w:t>Stamy</w:t>
            </w:r>
            <w:proofErr w:type="spellEnd"/>
            <w:r w:rsidRPr="00C74D34">
              <w:rPr>
                <w:rFonts w:ascii="Times New Roman" w:hAnsi="Times New Roman" w:cs="Times New Roman"/>
                <w:szCs w:val="26"/>
              </w:rPr>
              <w:t xml:space="preserve"> Fox </w:t>
            </w:r>
          </w:p>
        </w:tc>
      </w:tr>
      <w:tr w:rsidR="00341373" w:rsidRPr="00C74D34" w14:paraId="073B6C27"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1FC849E7"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57 </w:t>
            </w:r>
          </w:p>
        </w:tc>
        <w:tc>
          <w:tcPr>
            <w:tcW w:w="3594" w:type="dxa"/>
            <w:tcBorders>
              <w:top w:val="single" w:sz="4" w:space="0" w:color="000000"/>
              <w:left w:val="single" w:sz="4" w:space="0" w:color="000000"/>
              <w:bottom w:val="single" w:sz="4" w:space="0" w:color="000000"/>
              <w:right w:val="single" w:sz="4" w:space="0" w:color="000000"/>
            </w:tcBorders>
          </w:tcPr>
          <w:p w14:paraId="61C7E36E"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A-2018-3002074 </w:t>
            </w:r>
          </w:p>
        </w:tc>
        <w:tc>
          <w:tcPr>
            <w:tcW w:w="5516" w:type="dxa"/>
            <w:gridSpan w:val="3"/>
            <w:tcBorders>
              <w:top w:val="single" w:sz="4" w:space="0" w:color="000000"/>
              <w:left w:val="single" w:sz="4" w:space="0" w:color="000000"/>
              <w:bottom w:val="single" w:sz="4" w:space="0" w:color="000000"/>
              <w:right w:val="single" w:sz="4" w:space="0" w:color="000000"/>
            </w:tcBorders>
          </w:tcPr>
          <w:p w14:paraId="4C6CDBD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Marlin Lester Martin and Carrie Rosemarie Martin </w:t>
            </w:r>
          </w:p>
        </w:tc>
      </w:tr>
      <w:tr w:rsidR="00341373" w:rsidRPr="00C74D34" w14:paraId="1D1CA2FD"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0DB0D6D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58 </w:t>
            </w:r>
          </w:p>
        </w:tc>
        <w:tc>
          <w:tcPr>
            <w:tcW w:w="3594" w:type="dxa"/>
            <w:tcBorders>
              <w:top w:val="single" w:sz="4" w:space="0" w:color="000000"/>
              <w:left w:val="single" w:sz="4" w:space="0" w:color="000000"/>
              <w:bottom w:val="single" w:sz="4" w:space="0" w:color="000000"/>
              <w:right w:val="single" w:sz="4" w:space="0" w:color="000000"/>
            </w:tcBorders>
          </w:tcPr>
          <w:p w14:paraId="542F5C5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A-2018-3002075 </w:t>
            </w:r>
          </w:p>
        </w:tc>
        <w:tc>
          <w:tcPr>
            <w:tcW w:w="5516" w:type="dxa"/>
            <w:gridSpan w:val="3"/>
            <w:tcBorders>
              <w:top w:val="single" w:sz="4" w:space="0" w:color="000000"/>
              <w:left w:val="single" w:sz="4" w:space="0" w:color="000000"/>
              <w:bottom w:val="single" w:sz="4" w:space="0" w:color="000000"/>
              <w:right w:val="single" w:sz="4" w:space="0" w:color="000000"/>
            </w:tcBorders>
          </w:tcPr>
          <w:p w14:paraId="37F7163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Owls Club, Inc. </w:t>
            </w:r>
          </w:p>
        </w:tc>
      </w:tr>
      <w:tr w:rsidR="00341373" w:rsidRPr="00C74D34" w14:paraId="4BFD7834"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6EA5774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59 </w:t>
            </w:r>
          </w:p>
        </w:tc>
        <w:tc>
          <w:tcPr>
            <w:tcW w:w="3594" w:type="dxa"/>
            <w:tcBorders>
              <w:top w:val="single" w:sz="4" w:space="0" w:color="000000"/>
              <w:left w:val="single" w:sz="4" w:space="0" w:color="000000"/>
              <w:bottom w:val="single" w:sz="4" w:space="0" w:color="000000"/>
              <w:right w:val="single" w:sz="4" w:space="0" w:color="000000"/>
            </w:tcBorders>
          </w:tcPr>
          <w:p w14:paraId="5CDF02C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A-2018-3002103 </w:t>
            </w:r>
          </w:p>
        </w:tc>
        <w:tc>
          <w:tcPr>
            <w:tcW w:w="5516" w:type="dxa"/>
            <w:gridSpan w:val="3"/>
            <w:tcBorders>
              <w:top w:val="single" w:sz="4" w:space="0" w:color="000000"/>
              <w:left w:val="single" w:sz="4" w:space="0" w:color="000000"/>
              <w:bottom w:val="single" w:sz="4" w:space="0" w:color="000000"/>
              <w:right w:val="single" w:sz="4" w:space="0" w:color="000000"/>
            </w:tcBorders>
          </w:tcPr>
          <w:p w14:paraId="7279F6C9"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Lowe’s Home Centers, Inc. </w:t>
            </w:r>
          </w:p>
        </w:tc>
      </w:tr>
      <w:tr w:rsidR="00341373" w:rsidRPr="00C74D34" w14:paraId="07311B84"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55F92E0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60 </w:t>
            </w:r>
          </w:p>
        </w:tc>
        <w:tc>
          <w:tcPr>
            <w:tcW w:w="3594" w:type="dxa"/>
            <w:tcBorders>
              <w:top w:val="single" w:sz="4" w:space="0" w:color="000000"/>
              <w:left w:val="single" w:sz="4" w:space="0" w:color="000000"/>
              <w:bottom w:val="single" w:sz="4" w:space="0" w:color="000000"/>
              <w:right w:val="single" w:sz="4" w:space="0" w:color="000000"/>
            </w:tcBorders>
          </w:tcPr>
          <w:p w14:paraId="53683CF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A-2018-3002104 </w:t>
            </w:r>
          </w:p>
        </w:tc>
        <w:tc>
          <w:tcPr>
            <w:tcW w:w="5516" w:type="dxa"/>
            <w:gridSpan w:val="3"/>
            <w:tcBorders>
              <w:top w:val="single" w:sz="4" w:space="0" w:color="000000"/>
              <w:left w:val="single" w:sz="4" w:space="0" w:color="000000"/>
              <w:bottom w:val="single" w:sz="4" w:space="0" w:color="000000"/>
              <w:right w:val="single" w:sz="4" w:space="0" w:color="000000"/>
            </w:tcBorders>
          </w:tcPr>
          <w:p w14:paraId="60F7382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Ivan D. Horst and Ellen M. Horst </w:t>
            </w:r>
          </w:p>
        </w:tc>
      </w:tr>
      <w:tr w:rsidR="00341373" w:rsidRPr="00C74D34" w14:paraId="299F8FD2"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01F93C0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61 </w:t>
            </w:r>
          </w:p>
        </w:tc>
        <w:tc>
          <w:tcPr>
            <w:tcW w:w="3594" w:type="dxa"/>
            <w:tcBorders>
              <w:top w:val="single" w:sz="4" w:space="0" w:color="000000"/>
              <w:left w:val="single" w:sz="4" w:space="0" w:color="000000"/>
              <w:bottom w:val="single" w:sz="4" w:space="0" w:color="000000"/>
              <w:right w:val="single" w:sz="4" w:space="0" w:color="000000"/>
            </w:tcBorders>
          </w:tcPr>
          <w:p w14:paraId="51814876"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A-2018-3002107 </w:t>
            </w:r>
          </w:p>
        </w:tc>
        <w:tc>
          <w:tcPr>
            <w:tcW w:w="5516" w:type="dxa"/>
            <w:gridSpan w:val="3"/>
            <w:tcBorders>
              <w:top w:val="single" w:sz="4" w:space="0" w:color="000000"/>
              <w:left w:val="single" w:sz="4" w:space="0" w:color="000000"/>
              <w:bottom w:val="single" w:sz="4" w:space="0" w:color="000000"/>
              <w:right w:val="single" w:sz="4" w:space="0" w:color="000000"/>
            </w:tcBorders>
          </w:tcPr>
          <w:p w14:paraId="67C5C83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Roy M. Cordell and Emma L. Cordell </w:t>
            </w:r>
          </w:p>
        </w:tc>
      </w:tr>
      <w:tr w:rsidR="00341373" w:rsidRPr="00C74D34" w14:paraId="6D7BCF79" w14:textId="77777777" w:rsidTr="007C07A9">
        <w:tblPrEx>
          <w:tblCellMar>
            <w:right w:w="84" w:type="dxa"/>
          </w:tblCellMar>
        </w:tblPrEx>
        <w:trPr>
          <w:trHeight w:val="392"/>
        </w:trPr>
        <w:tc>
          <w:tcPr>
            <w:tcW w:w="468" w:type="dxa"/>
            <w:tcBorders>
              <w:top w:val="single" w:sz="4" w:space="0" w:color="000000"/>
              <w:left w:val="single" w:sz="4" w:space="0" w:color="000000"/>
              <w:bottom w:val="single" w:sz="4" w:space="0" w:color="000000"/>
              <w:right w:val="single" w:sz="4" w:space="0" w:color="000000"/>
            </w:tcBorders>
          </w:tcPr>
          <w:p w14:paraId="695D45F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62 </w:t>
            </w:r>
          </w:p>
        </w:tc>
        <w:tc>
          <w:tcPr>
            <w:tcW w:w="3594" w:type="dxa"/>
            <w:tcBorders>
              <w:top w:val="single" w:sz="4" w:space="0" w:color="000000"/>
              <w:left w:val="single" w:sz="4" w:space="0" w:color="000000"/>
              <w:bottom w:val="single" w:sz="4" w:space="0" w:color="000000"/>
              <w:right w:val="single" w:sz="4" w:space="0" w:color="000000"/>
            </w:tcBorders>
          </w:tcPr>
          <w:p w14:paraId="3A51733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A-2018-3002108 </w:t>
            </w:r>
          </w:p>
        </w:tc>
        <w:tc>
          <w:tcPr>
            <w:tcW w:w="5516" w:type="dxa"/>
            <w:gridSpan w:val="3"/>
            <w:tcBorders>
              <w:top w:val="single" w:sz="4" w:space="0" w:color="000000"/>
              <w:left w:val="single" w:sz="4" w:space="0" w:color="000000"/>
              <w:bottom w:val="single" w:sz="4" w:space="0" w:color="000000"/>
              <w:right w:val="single" w:sz="4" w:space="0" w:color="000000"/>
            </w:tcBorders>
          </w:tcPr>
          <w:p w14:paraId="61BEBD9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Patriot Federal Credit Union </w:t>
            </w:r>
          </w:p>
        </w:tc>
      </w:tr>
      <w:tr w:rsidR="00341373" w:rsidRPr="00C74D34" w14:paraId="36A54A0D"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41D346B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63 </w:t>
            </w:r>
          </w:p>
        </w:tc>
        <w:tc>
          <w:tcPr>
            <w:tcW w:w="3594" w:type="dxa"/>
            <w:tcBorders>
              <w:top w:val="single" w:sz="4" w:space="0" w:color="000000"/>
              <w:left w:val="single" w:sz="4" w:space="0" w:color="000000"/>
              <w:bottom w:val="single" w:sz="4" w:space="0" w:color="000000"/>
              <w:right w:val="single" w:sz="4" w:space="0" w:color="000000"/>
            </w:tcBorders>
          </w:tcPr>
          <w:p w14:paraId="614C10A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A-2018-3002111 </w:t>
            </w:r>
          </w:p>
        </w:tc>
        <w:tc>
          <w:tcPr>
            <w:tcW w:w="5516" w:type="dxa"/>
            <w:gridSpan w:val="3"/>
            <w:tcBorders>
              <w:top w:val="single" w:sz="4" w:space="0" w:color="000000"/>
              <w:left w:val="single" w:sz="4" w:space="0" w:color="000000"/>
              <w:bottom w:val="single" w:sz="4" w:space="0" w:color="000000"/>
              <w:right w:val="single" w:sz="4" w:space="0" w:color="000000"/>
            </w:tcBorders>
          </w:tcPr>
          <w:p w14:paraId="3E2899E9"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Edna S. Fox and Charles A. Fox  </w:t>
            </w:r>
          </w:p>
        </w:tc>
      </w:tr>
      <w:tr w:rsidR="00341373" w:rsidRPr="00C74D34" w14:paraId="7C68D2C9"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7E16965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64 </w:t>
            </w:r>
          </w:p>
        </w:tc>
        <w:tc>
          <w:tcPr>
            <w:tcW w:w="3594" w:type="dxa"/>
            <w:tcBorders>
              <w:top w:val="single" w:sz="4" w:space="0" w:color="000000"/>
              <w:left w:val="single" w:sz="4" w:space="0" w:color="000000"/>
              <w:bottom w:val="single" w:sz="4" w:space="0" w:color="000000"/>
              <w:right w:val="single" w:sz="4" w:space="0" w:color="000000"/>
            </w:tcBorders>
          </w:tcPr>
          <w:p w14:paraId="439325C2"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A-2018-3002125 </w:t>
            </w:r>
          </w:p>
        </w:tc>
        <w:tc>
          <w:tcPr>
            <w:tcW w:w="5516" w:type="dxa"/>
            <w:gridSpan w:val="3"/>
            <w:tcBorders>
              <w:top w:val="single" w:sz="4" w:space="0" w:color="000000"/>
              <w:left w:val="single" w:sz="4" w:space="0" w:color="000000"/>
              <w:bottom w:val="single" w:sz="4" w:space="0" w:color="000000"/>
              <w:right w:val="single" w:sz="4" w:space="0" w:color="000000"/>
            </w:tcBorders>
          </w:tcPr>
          <w:p w14:paraId="7F1C515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Myron J. &amp; Fern L. Miller </w:t>
            </w:r>
          </w:p>
        </w:tc>
      </w:tr>
      <w:tr w:rsidR="00341373" w:rsidRPr="00C74D34" w14:paraId="12290E43"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5C6B701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65 </w:t>
            </w:r>
          </w:p>
        </w:tc>
        <w:tc>
          <w:tcPr>
            <w:tcW w:w="3594" w:type="dxa"/>
            <w:tcBorders>
              <w:top w:val="single" w:sz="4" w:space="0" w:color="000000"/>
              <w:left w:val="single" w:sz="4" w:space="0" w:color="000000"/>
              <w:bottom w:val="single" w:sz="4" w:space="0" w:color="000000"/>
              <w:right w:val="single" w:sz="4" w:space="0" w:color="000000"/>
            </w:tcBorders>
          </w:tcPr>
          <w:p w14:paraId="20B8F58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A-2018-3002128 </w:t>
            </w:r>
          </w:p>
        </w:tc>
        <w:tc>
          <w:tcPr>
            <w:tcW w:w="5516" w:type="dxa"/>
            <w:gridSpan w:val="3"/>
            <w:tcBorders>
              <w:top w:val="single" w:sz="4" w:space="0" w:color="000000"/>
              <w:left w:val="single" w:sz="4" w:space="0" w:color="000000"/>
              <w:bottom w:val="single" w:sz="4" w:space="0" w:color="000000"/>
              <w:right w:val="single" w:sz="4" w:space="0" w:color="000000"/>
            </w:tcBorders>
          </w:tcPr>
          <w:p w14:paraId="72B12D7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Allen W. Rice and Lori C. Rice </w:t>
            </w:r>
          </w:p>
        </w:tc>
      </w:tr>
      <w:tr w:rsidR="00341373" w:rsidRPr="00C74D34" w14:paraId="49BB9B5D"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4C14DB75"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66 </w:t>
            </w:r>
          </w:p>
        </w:tc>
        <w:tc>
          <w:tcPr>
            <w:tcW w:w="3594" w:type="dxa"/>
            <w:tcBorders>
              <w:top w:val="single" w:sz="4" w:space="0" w:color="000000"/>
              <w:left w:val="single" w:sz="4" w:space="0" w:color="000000"/>
              <w:bottom w:val="single" w:sz="4" w:space="0" w:color="000000"/>
              <w:right w:val="single" w:sz="4" w:space="0" w:color="000000"/>
            </w:tcBorders>
          </w:tcPr>
          <w:p w14:paraId="5733FD68"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A-2018-3002140 </w:t>
            </w:r>
          </w:p>
        </w:tc>
        <w:tc>
          <w:tcPr>
            <w:tcW w:w="5516" w:type="dxa"/>
            <w:gridSpan w:val="3"/>
            <w:tcBorders>
              <w:top w:val="single" w:sz="4" w:space="0" w:color="000000"/>
              <w:left w:val="single" w:sz="4" w:space="0" w:color="000000"/>
              <w:bottom w:val="single" w:sz="4" w:space="0" w:color="000000"/>
              <w:right w:val="single" w:sz="4" w:space="0" w:color="000000"/>
            </w:tcBorders>
          </w:tcPr>
          <w:p w14:paraId="008D59D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Colby S. </w:t>
            </w:r>
            <w:proofErr w:type="spellStart"/>
            <w:r w:rsidRPr="00C74D34">
              <w:rPr>
                <w:rFonts w:ascii="Times New Roman" w:hAnsi="Times New Roman" w:cs="Times New Roman"/>
                <w:szCs w:val="26"/>
              </w:rPr>
              <w:t>Nitterhouse</w:t>
            </w:r>
            <w:proofErr w:type="spellEnd"/>
            <w:r w:rsidRPr="00C74D34">
              <w:rPr>
                <w:rFonts w:ascii="Times New Roman" w:hAnsi="Times New Roman" w:cs="Times New Roman"/>
                <w:szCs w:val="26"/>
              </w:rPr>
              <w:t xml:space="preserve"> and Leah A. </w:t>
            </w:r>
            <w:proofErr w:type="spellStart"/>
            <w:r w:rsidRPr="00C74D34">
              <w:rPr>
                <w:rFonts w:ascii="Times New Roman" w:hAnsi="Times New Roman" w:cs="Times New Roman"/>
                <w:szCs w:val="26"/>
              </w:rPr>
              <w:t>Nitterhouse</w:t>
            </w:r>
            <w:proofErr w:type="spellEnd"/>
            <w:r w:rsidRPr="00C74D34">
              <w:rPr>
                <w:rFonts w:ascii="Times New Roman" w:hAnsi="Times New Roman" w:cs="Times New Roman"/>
                <w:szCs w:val="26"/>
              </w:rPr>
              <w:t xml:space="preserve"> </w:t>
            </w:r>
          </w:p>
        </w:tc>
      </w:tr>
      <w:tr w:rsidR="00341373" w:rsidRPr="00C74D34" w14:paraId="36D73BFB"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3D4422F7"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67 </w:t>
            </w:r>
          </w:p>
        </w:tc>
        <w:tc>
          <w:tcPr>
            <w:tcW w:w="3594" w:type="dxa"/>
            <w:tcBorders>
              <w:top w:val="single" w:sz="4" w:space="0" w:color="000000"/>
              <w:left w:val="single" w:sz="4" w:space="0" w:color="000000"/>
              <w:bottom w:val="single" w:sz="4" w:space="0" w:color="000000"/>
              <w:right w:val="single" w:sz="4" w:space="0" w:color="000000"/>
            </w:tcBorders>
          </w:tcPr>
          <w:p w14:paraId="79FE3D69"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A-2018-3002147 </w:t>
            </w:r>
          </w:p>
        </w:tc>
        <w:tc>
          <w:tcPr>
            <w:tcW w:w="5516" w:type="dxa"/>
            <w:gridSpan w:val="3"/>
            <w:tcBorders>
              <w:top w:val="single" w:sz="4" w:space="0" w:color="000000"/>
              <w:left w:val="single" w:sz="4" w:space="0" w:color="000000"/>
              <w:bottom w:val="single" w:sz="4" w:space="0" w:color="000000"/>
              <w:right w:val="single" w:sz="4" w:space="0" w:color="000000"/>
            </w:tcBorders>
          </w:tcPr>
          <w:p w14:paraId="2986E3A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Willis M. </w:t>
            </w:r>
            <w:proofErr w:type="spellStart"/>
            <w:r w:rsidRPr="00C74D34">
              <w:rPr>
                <w:rFonts w:ascii="Times New Roman" w:hAnsi="Times New Roman" w:cs="Times New Roman"/>
                <w:szCs w:val="26"/>
              </w:rPr>
              <w:t>Lesher</w:t>
            </w:r>
            <w:proofErr w:type="spellEnd"/>
            <w:r w:rsidRPr="00C74D34">
              <w:rPr>
                <w:rFonts w:ascii="Times New Roman" w:hAnsi="Times New Roman" w:cs="Times New Roman"/>
                <w:szCs w:val="26"/>
              </w:rPr>
              <w:t xml:space="preserve"> Partnership </w:t>
            </w:r>
          </w:p>
        </w:tc>
      </w:tr>
      <w:tr w:rsidR="00341373" w:rsidRPr="00C74D34" w14:paraId="59FC817F"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7A24D14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68 </w:t>
            </w:r>
          </w:p>
        </w:tc>
        <w:tc>
          <w:tcPr>
            <w:tcW w:w="3594" w:type="dxa"/>
            <w:tcBorders>
              <w:top w:val="single" w:sz="4" w:space="0" w:color="000000"/>
              <w:left w:val="single" w:sz="4" w:space="0" w:color="000000"/>
              <w:bottom w:val="single" w:sz="4" w:space="0" w:color="000000"/>
              <w:right w:val="single" w:sz="4" w:space="0" w:color="000000"/>
            </w:tcBorders>
          </w:tcPr>
          <w:p w14:paraId="717D09A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A-2018-3002163 </w:t>
            </w:r>
          </w:p>
        </w:tc>
        <w:tc>
          <w:tcPr>
            <w:tcW w:w="5516" w:type="dxa"/>
            <w:gridSpan w:val="3"/>
            <w:tcBorders>
              <w:top w:val="single" w:sz="4" w:space="0" w:color="000000"/>
              <w:left w:val="single" w:sz="4" w:space="0" w:color="000000"/>
              <w:bottom w:val="single" w:sz="4" w:space="0" w:color="000000"/>
              <w:right w:val="single" w:sz="4" w:space="0" w:color="000000"/>
            </w:tcBorders>
          </w:tcPr>
          <w:p w14:paraId="64E901F2"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Kyle F. &amp; Kelly A. </w:t>
            </w:r>
            <w:proofErr w:type="spellStart"/>
            <w:r w:rsidRPr="00C74D34">
              <w:rPr>
                <w:rFonts w:ascii="Times New Roman" w:hAnsi="Times New Roman" w:cs="Times New Roman"/>
                <w:szCs w:val="26"/>
              </w:rPr>
              <w:t>Schindel</w:t>
            </w:r>
            <w:proofErr w:type="spellEnd"/>
            <w:r w:rsidRPr="00C74D34">
              <w:rPr>
                <w:rFonts w:ascii="Times New Roman" w:hAnsi="Times New Roman" w:cs="Times New Roman"/>
                <w:szCs w:val="26"/>
              </w:rPr>
              <w:t xml:space="preserve">  </w:t>
            </w:r>
          </w:p>
        </w:tc>
      </w:tr>
      <w:tr w:rsidR="00341373" w:rsidRPr="00C74D34" w14:paraId="5203E479"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4700C425"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lastRenderedPageBreak/>
              <w:t xml:space="preserve">69 </w:t>
            </w:r>
          </w:p>
        </w:tc>
        <w:tc>
          <w:tcPr>
            <w:tcW w:w="3594" w:type="dxa"/>
            <w:tcBorders>
              <w:top w:val="single" w:sz="4" w:space="0" w:color="000000"/>
              <w:left w:val="single" w:sz="4" w:space="0" w:color="000000"/>
              <w:bottom w:val="single" w:sz="4" w:space="0" w:color="000000"/>
              <w:right w:val="single" w:sz="4" w:space="0" w:color="000000"/>
            </w:tcBorders>
          </w:tcPr>
          <w:p w14:paraId="0371A59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A-2018-3002169 </w:t>
            </w:r>
          </w:p>
        </w:tc>
        <w:tc>
          <w:tcPr>
            <w:tcW w:w="5516" w:type="dxa"/>
            <w:gridSpan w:val="3"/>
            <w:tcBorders>
              <w:top w:val="single" w:sz="4" w:space="0" w:color="000000"/>
              <w:left w:val="single" w:sz="4" w:space="0" w:color="000000"/>
              <w:bottom w:val="single" w:sz="4" w:space="0" w:color="000000"/>
              <w:right w:val="single" w:sz="4" w:space="0" w:color="000000"/>
            </w:tcBorders>
          </w:tcPr>
          <w:p w14:paraId="39E99B9F"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Rodney A. Meyer and Karen I. Benedict </w:t>
            </w:r>
          </w:p>
        </w:tc>
      </w:tr>
      <w:tr w:rsidR="00341373" w:rsidRPr="00C74D34" w14:paraId="2A2B798E"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7A60DB42"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70 </w:t>
            </w:r>
          </w:p>
        </w:tc>
        <w:tc>
          <w:tcPr>
            <w:tcW w:w="3594" w:type="dxa"/>
            <w:tcBorders>
              <w:top w:val="single" w:sz="4" w:space="0" w:color="000000"/>
              <w:left w:val="single" w:sz="4" w:space="0" w:color="000000"/>
              <w:bottom w:val="single" w:sz="4" w:space="0" w:color="000000"/>
              <w:right w:val="single" w:sz="4" w:space="0" w:color="000000"/>
            </w:tcBorders>
          </w:tcPr>
          <w:p w14:paraId="70C862FE"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A-2018-3002232 </w:t>
            </w:r>
          </w:p>
        </w:tc>
        <w:tc>
          <w:tcPr>
            <w:tcW w:w="5516" w:type="dxa"/>
            <w:gridSpan w:val="3"/>
            <w:tcBorders>
              <w:top w:val="single" w:sz="4" w:space="0" w:color="000000"/>
              <w:left w:val="single" w:sz="4" w:space="0" w:color="000000"/>
              <w:bottom w:val="single" w:sz="4" w:space="0" w:color="000000"/>
              <w:right w:val="single" w:sz="4" w:space="0" w:color="000000"/>
            </w:tcBorders>
          </w:tcPr>
          <w:p w14:paraId="528A9964"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Lynn D. </w:t>
            </w:r>
            <w:proofErr w:type="spellStart"/>
            <w:r w:rsidRPr="00C74D34">
              <w:rPr>
                <w:rFonts w:ascii="Times New Roman" w:hAnsi="Times New Roman" w:cs="Times New Roman"/>
                <w:szCs w:val="26"/>
              </w:rPr>
              <w:t>Etter</w:t>
            </w:r>
            <w:proofErr w:type="spellEnd"/>
            <w:r w:rsidRPr="00C74D34">
              <w:rPr>
                <w:rFonts w:ascii="Times New Roman" w:hAnsi="Times New Roman" w:cs="Times New Roman"/>
                <w:szCs w:val="26"/>
              </w:rPr>
              <w:t xml:space="preserve"> and Mary W. </w:t>
            </w:r>
            <w:proofErr w:type="spellStart"/>
            <w:r w:rsidRPr="00C74D34">
              <w:rPr>
                <w:rFonts w:ascii="Times New Roman" w:hAnsi="Times New Roman" w:cs="Times New Roman"/>
                <w:szCs w:val="26"/>
              </w:rPr>
              <w:t>Etter</w:t>
            </w:r>
            <w:proofErr w:type="spellEnd"/>
            <w:r w:rsidRPr="00C74D34">
              <w:rPr>
                <w:rFonts w:ascii="Times New Roman" w:hAnsi="Times New Roman" w:cs="Times New Roman"/>
                <w:szCs w:val="26"/>
              </w:rPr>
              <w:t xml:space="preserve"> </w:t>
            </w:r>
          </w:p>
        </w:tc>
      </w:tr>
      <w:tr w:rsidR="00341373" w:rsidRPr="00C74D34" w14:paraId="0166A0A8"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60E30976"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71 </w:t>
            </w:r>
          </w:p>
        </w:tc>
        <w:tc>
          <w:tcPr>
            <w:tcW w:w="3594" w:type="dxa"/>
            <w:tcBorders>
              <w:top w:val="single" w:sz="4" w:space="0" w:color="000000"/>
              <w:left w:val="single" w:sz="4" w:space="0" w:color="000000"/>
              <w:bottom w:val="single" w:sz="4" w:space="0" w:color="000000"/>
              <w:right w:val="single" w:sz="4" w:space="0" w:color="000000"/>
            </w:tcBorders>
          </w:tcPr>
          <w:p w14:paraId="00EEDBA6"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A-2018-3002238 </w:t>
            </w:r>
          </w:p>
        </w:tc>
        <w:tc>
          <w:tcPr>
            <w:tcW w:w="5516" w:type="dxa"/>
            <w:gridSpan w:val="3"/>
            <w:tcBorders>
              <w:top w:val="single" w:sz="4" w:space="0" w:color="000000"/>
              <w:left w:val="single" w:sz="4" w:space="0" w:color="000000"/>
              <w:bottom w:val="single" w:sz="4" w:space="0" w:color="000000"/>
              <w:right w:val="single" w:sz="4" w:space="0" w:color="000000"/>
            </w:tcBorders>
          </w:tcPr>
          <w:p w14:paraId="666D125E"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Margaret L. Mower </w:t>
            </w:r>
          </w:p>
        </w:tc>
      </w:tr>
      <w:tr w:rsidR="00341373" w:rsidRPr="00C74D34" w14:paraId="4CB886E3"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592DF95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72 </w:t>
            </w:r>
          </w:p>
        </w:tc>
        <w:tc>
          <w:tcPr>
            <w:tcW w:w="3594" w:type="dxa"/>
            <w:tcBorders>
              <w:top w:val="single" w:sz="4" w:space="0" w:color="000000"/>
              <w:left w:val="single" w:sz="4" w:space="0" w:color="000000"/>
              <w:bottom w:val="single" w:sz="4" w:space="0" w:color="000000"/>
              <w:right w:val="single" w:sz="4" w:space="0" w:color="000000"/>
            </w:tcBorders>
          </w:tcPr>
          <w:p w14:paraId="53C2595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A-2018-3002251 </w:t>
            </w:r>
          </w:p>
        </w:tc>
        <w:tc>
          <w:tcPr>
            <w:tcW w:w="5516" w:type="dxa"/>
            <w:gridSpan w:val="3"/>
            <w:tcBorders>
              <w:top w:val="single" w:sz="4" w:space="0" w:color="000000"/>
              <w:left w:val="single" w:sz="4" w:space="0" w:color="000000"/>
              <w:bottom w:val="single" w:sz="4" w:space="0" w:color="000000"/>
              <w:right w:val="single" w:sz="4" w:space="0" w:color="000000"/>
            </w:tcBorders>
          </w:tcPr>
          <w:p w14:paraId="61E942E7"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Elam H. </w:t>
            </w:r>
            <w:proofErr w:type="spellStart"/>
            <w:r w:rsidRPr="00C74D34">
              <w:rPr>
                <w:rFonts w:ascii="Times New Roman" w:hAnsi="Times New Roman" w:cs="Times New Roman"/>
                <w:szCs w:val="26"/>
              </w:rPr>
              <w:t>Reiff</w:t>
            </w:r>
            <w:proofErr w:type="spellEnd"/>
            <w:r w:rsidRPr="00C74D34">
              <w:rPr>
                <w:rFonts w:ascii="Times New Roman" w:hAnsi="Times New Roman" w:cs="Times New Roman"/>
                <w:szCs w:val="26"/>
              </w:rPr>
              <w:t xml:space="preserve"> and Mary Z. </w:t>
            </w:r>
            <w:proofErr w:type="spellStart"/>
            <w:r w:rsidRPr="00C74D34">
              <w:rPr>
                <w:rFonts w:ascii="Times New Roman" w:hAnsi="Times New Roman" w:cs="Times New Roman"/>
                <w:szCs w:val="26"/>
              </w:rPr>
              <w:t>Reiff</w:t>
            </w:r>
            <w:proofErr w:type="spellEnd"/>
            <w:r w:rsidRPr="00C74D34">
              <w:rPr>
                <w:rFonts w:ascii="Times New Roman" w:hAnsi="Times New Roman" w:cs="Times New Roman"/>
                <w:szCs w:val="26"/>
              </w:rPr>
              <w:t xml:space="preserve">  </w:t>
            </w:r>
          </w:p>
        </w:tc>
      </w:tr>
      <w:tr w:rsidR="00341373" w:rsidRPr="00C74D34" w14:paraId="0F1B7A24"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5E1B8CA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73 </w:t>
            </w:r>
          </w:p>
        </w:tc>
        <w:tc>
          <w:tcPr>
            <w:tcW w:w="3594" w:type="dxa"/>
            <w:tcBorders>
              <w:top w:val="single" w:sz="4" w:space="0" w:color="000000"/>
              <w:left w:val="single" w:sz="4" w:space="0" w:color="000000"/>
              <w:bottom w:val="single" w:sz="4" w:space="0" w:color="000000"/>
              <w:right w:val="single" w:sz="4" w:space="0" w:color="000000"/>
            </w:tcBorders>
          </w:tcPr>
          <w:p w14:paraId="61F0BD5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A-2018-3002310 </w:t>
            </w:r>
          </w:p>
        </w:tc>
        <w:tc>
          <w:tcPr>
            <w:tcW w:w="5516" w:type="dxa"/>
            <w:gridSpan w:val="3"/>
            <w:tcBorders>
              <w:top w:val="single" w:sz="4" w:space="0" w:color="000000"/>
              <w:left w:val="single" w:sz="4" w:space="0" w:color="000000"/>
              <w:bottom w:val="single" w:sz="4" w:space="0" w:color="000000"/>
              <w:right w:val="single" w:sz="4" w:space="0" w:color="000000"/>
            </w:tcBorders>
          </w:tcPr>
          <w:p w14:paraId="6B9D5D91"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J. Norman &amp; </w:t>
            </w:r>
            <w:proofErr w:type="spellStart"/>
            <w:r w:rsidRPr="00C74D34">
              <w:rPr>
                <w:rFonts w:ascii="Times New Roman" w:hAnsi="Times New Roman" w:cs="Times New Roman"/>
                <w:szCs w:val="26"/>
              </w:rPr>
              <w:t>Bonna</w:t>
            </w:r>
            <w:proofErr w:type="spellEnd"/>
            <w:r w:rsidRPr="00C74D34">
              <w:rPr>
                <w:rFonts w:ascii="Times New Roman" w:hAnsi="Times New Roman" w:cs="Times New Roman"/>
                <w:szCs w:val="26"/>
              </w:rPr>
              <w:t xml:space="preserve"> Jane Diller </w:t>
            </w:r>
          </w:p>
        </w:tc>
      </w:tr>
      <w:tr w:rsidR="00341373" w:rsidRPr="00C74D34" w14:paraId="321972A0"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2C29714D"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74 </w:t>
            </w:r>
          </w:p>
        </w:tc>
        <w:tc>
          <w:tcPr>
            <w:tcW w:w="3594" w:type="dxa"/>
            <w:tcBorders>
              <w:top w:val="single" w:sz="4" w:space="0" w:color="000000"/>
              <w:left w:val="single" w:sz="4" w:space="0" w:color="000000"/>
              <w:bottom w:val="single" w:sz="4" w:space="0" w:color="000000"/>
              <w:right w:val="single" w:sz="4" w:space="0" w:color="000000"/>
            </w:tcBorders>
          </w:tcPr>
          <w:p w14:paraId="4CEC4F9E"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A-2018-3002312 </w:t>
            </w:r>
          </w:p>
        </w:tc>
        <w:tc>
          <w:tcPr>
            <w:tcW w:w="5516" w:type="dxa"/>
            <w:gridSpan w:val="3"/>
            <w:tcBorders>
              <w:top w:val="single" w:sz="4" w:space="0" w:color="000000"/>
              <w:left w:val="single" w:sz="4" w:space="0" w:color="000000"/>
              <w:bottom w:val="single" w:sz="4" w:space="0" w:color="000000"/>
              <w:right w:val="single" w:sz="4" w:space="0" w:color="000000"/>
            </w:tcBorders>
          </w:tcPr>
          <w:p w14:paraId="20B74687"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Douglas L. </w:t>
            </w:r>
            <w:proofErr w:type="spellStart"/>
            <w:r w:rsidRPr="00C74D34">
              <w:rPr>
                <w:rFonts w:ascii="Times New Roman" w:hAnsi="Times New Roman" w:cs="Times New Roman"/>
                <w:szCs w:val="26"/>
              </w:rPr>
              <w:t>Straley</w:t>
            </w:r>
            <w:proofErr w:type="spellEnd"/>
            <w:r w:rsidRPr="00C74D34">
              <w:rPr>
                <w:rFonts w:ascii="Times New Roman" w:hAnsi="Times New Roman" w:cs="Times New Roman"/>
                <w:szCs w:val="26"/>
              </w:rPr>
              <w:t xml:space="preserve"> and Nellie M. </w:t>
            </w:r>
            <w:proofErr w:type="spellStart"/>
            <w:r w:rsidRPr="00C74D34">
              <w:rPr>
                <w:rFonts w:ascii="Times New Roman" w:hAnsi="Times New Roman" w:cs="Times New Roman"/>
                <w:szCs w:val="26"/>
              </w:rPr>
              <w:t>Straley</w:t>
            </w:r>
            <w:proofErr w:type="spellEnd"/>
            <w:r w:rsidRPr="00C74D34">
              <w:rPr>
                <w:rFonts w:ascii="Times New Roman" w:hAnsi="Times New Roman" w:cs="Times New Roman"/>
                <w:szCs w:val="26"/>
              </w:rPr>
              <w:t xml:space="preserve"> </w:t>
            </w:r>
          </w:p>
        </w:tc>
      </w:tr>
      <w:tr w:rsidR="00341373" w:rsidRPr="00C74D34" w14:paraId="29BA8823" w14:textId="77777777" w:rsidTr="007C07A9">
        <w:tblPrEx>
          <w:tblCellMar>
            <w:right w:w="84" w:type="dxa"/>
          </w:tblCellMar>
        </w:tblPrEx>
        <w:trPr>
          <w:trHeight w:val="389"/>
        </w:trPr>
        <w:tc>
          <w:tcPr>
            <w:tcW w:w="468" w:type="dxa"/>
            <w:tcBorders>
              <w:top w:val="single" w:sz="4" w:space="0" w:color="000000"/>
              <w:left w:val="single" w:sz="4" w:space="0" w:color="000000"/>
              <w:bottom w:val="single" w:sz="4" w:space="0" w:color="000000"/>
              <w:right w:val="single" w:sz="4" w:space="0" w:color="000000"/>
            </w:tcBorders>
          </w:tcPr>
          <w:p w14:paraId="154F25D7"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75 </w:t>
            </w:r>
          </w:p>
        </w:tc>
        <w:tc>
          <w:tcPr>
            <w:tcW w:w="3594" w:type="dxa"/>
            <w:tcBorders>
              <w:top w:val="single" w:sz="4" w:space="0" w:color="000000"/>
              <w:left w:val="single" w:sz="4" w:space="0" w:color="000000"/>
              <w:bottom w:val="single" w:sz="4" w:space="0" w:color="000000"/>
              <w:right w:val="single" w:sz="4" w:space="0" w:color="000000"/>
            </w:tcBorders>
          </w:tcPr>
          <w:p w14:paraId="186B680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A-2018-3002329 </w:t>
            </w:r>
          </w:p>
        </w:tc>
        <w:tc>
          <w:tcPr>
            <w:tcW w:w="5516" w:type="dxa"/>
            <w:gridSpan w:val="3"/>
            <w:tcBorders>
              <w:top w:val="single" w:sz="4" w:space="0" w:color="000000"/>
              <w:left w:val="single" w:sz="4" w:space="0" w:color="000000"/>
              <w:bottom w:val="single" w:sz="4" w:space="0" w:color="000000"/>
              <w:right w:val="single" w:sz="4" w:space="0" w:color="000000"/>
            </w:tcBorders>
          </w:tcPr>
          <w:p w14:paraId="6B835E03"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Michael D. Frederick and Tammy Jo Salter </w:t>
            </w:r>
          </w:p>
        </w:tc>
      </w:tr>
      <w:tr w:rsidR="00341373" w:rsidRPr="00C74D34" w14:paraId="34F65A93" w14:textId="77777777" w:rsidTr="007C07A9">
        <w:tblPrEx>
          <w:tblCellMar>
            <w:right w:w="84" w:type="dxa"/>
          </w:tblCellMar>
        </w:tblPrEx>
        <w:trPr>
          <w:trHeight w:val="391"/>
        </w:trPr>
        <w:tc>
          <w:tcPr>
            <w:tcW w:w="468" w:type="dxa"/>
            <w:tcBorders>
              <w:top w:val="single" w:sz="4" w:space="0" w:color="000000"/>
              <w:left w:val="single" w:sz="4" w:space="0" w:color="000000"/>
              <w:bottom w:val="single" w:sz="4" w:space="0" w:color="000000"/>
              <w:right w:val="single" w:sz="4" w:space="0" w:color="000000"/>
            </w:tcBorders>
          </w:tcPr>
          <w:p w14:paraId="740561AE"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76 </w:t>
            </w:r>
          </w:p>
        </w:tc>
        <w:tc>
          <w:tcPr>
            <w:tcW w:w="3594" w:type="dxa"/>
            <w:tcBorders>
              <w:top w:val="single" w:sz="4" w:space="0" w:color="000000"/>
              <w:left w:val="single" w:sz="4" w:space="0" w:color="000000"/>
              <w:bottom w:val="single" w:sz="4" w:space="0" w:color="000000"/>
              <w:right w:val="single" w:sz="4" w:space="0" w:color="000000"/>
            </w:tcBorders>
          </w:tcPr>
          <w:p w14:paraId="0D814E8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A-2018-3002331 </w:t>
            </w:r>
          </w:p>
        </w:tc>
        <w:tc>
          <w:tcPr>
            <w:tcW w:w="5516" w:type="dxa"/>
            <w:gridSpan w:val="3"/>
            <w:tcBorders>
              <w:top w:val="single" w:sz="4" w:space="0" w:color="000000"/>
              <w:left w:val="single" w:sz="4" w:space="0" w:color="000000"/>
              <w:bottom w:val="single" w:sz="4" w:space="0" w:color="000000"/>
              <w:right w:val="single" w:sz="4" w:space="0" w:color="000000"/>
            </w:tcBorders>
          </w:tcPr>
          <w:p w14:paraId="34AEE790"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Joshua L. Diller and Nicole M. Diller  </w:t>
            </w:r>
          </w:p>
        </w:tc>
      </w:tr>
      <w:tr w:rsidR="00341373" w:rsidRPr="00C74D34" w14:paraId="2DFE1955" w14:textId="77777777" w:rsidTr="007C07A9">
        <w:tblPrEx>
          <w:tblCellMar>
            <w:right w:w="84" w:type="dxa"/>
          </w:tblCellMar>
        </w:tblPrEx>
        <w:trPr>
          <w:trHeight w:val="768"/>
        </w:trPr>
        <w:tc>
          <w:tcPr>
            <w:tcW w:w="468" w:type="dxa"/>
            <w:tcBorders>
              <w:top w:val="single" w:sz="4" w:space="0" w:color="000000"/>
              <w:left w:val="single" w:sz="4" w:space="0" w:color="000000"/>
              <w:bottom w:val="single" w:sz="4" w:space="0" w:color="000000"/>
              <w:right w:val="single" w:sz="4" w:space="0" w:color="000000"/>
            </w:tcBorders>
          </w:tcPr>
          <w:p w14:paraId="69FD9C61"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77 </w:t>
            </w:r>
          </w:p>
        </w:tc>
        <w:tc>
          <w:tcPr>
            <w:tcW w:w="3594" w:type="dxa"/>
            <w:tcBorders>
              <w:top w:val="single" w:sz="4" w:space="0" w:color="000000"/>
              <w:left w:val="single" w:sz="4" w:space="0" w:color="000000"/>
              <w:bottom w:val="single" w:sz="4" w:space="0" w:color="000000"/>
              <w:right w:val="single" w:sz="4" w:space="0" w:color="000000"/>
            </w:tcBorders>
          </w:tcPr>
          <w:p w14:paraId="4165336B"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A-2018-3002332 </w:t>
            </w:r>
          </w:p>
        </w:tc>
        <w:tc>
          <w:tcPr>
            <w:tcW w:w="5516" w:type="dxa"/>
            <w:gridSpan w:val="3"/>
            <w:tcBorders>
              <w:top w:val="single" w:sz="4" w:space="0" w:color="000000"/>
              <w:left w:val="single" w:sz="4" w:space="0" w:color="000000"/>
              <w:bottom w:val="single" w:sz="4" w:space="0" w:color="000000"/>
              <w:right w:val="single" w:sz="4" w:space="0" w:color="000000"/>
            </w:tcBorders>
          </w:tcPr>
          <w:p w14:paraId="62726536" w14:textId="77777777" w:rsidR="00341373" w:rsidRPr="00C74D34" w:rsidRDefault="00341373" w:rsidP="00B11342">
            <w:pPr>
              <w:spacing w:after="103" w:line="259" w:lineRule="auto"/>
              <w:rPr>
                <w:rFonts w:ascii="Times New Roman" w:hAnsi="Times New Roman" w:cs="Times New Roman"/>
                <w:szCs w:val="26"/>
              </w:rPr>
            </w:pPr>
            <w:r w:rsidRPr="00C74D34">
              <w:rPr>
                <w:rFonts w:ascii="Times New Roman" w:hAnsi="Times New Roman" w:cs="Times New Roman"/>
                <w:szCs w:val="26"/>
              </w:rPr>
              <w:t xml:space="preserve">Michael D. Frederick and </w:t>
            </w:r>
            <w:proofErr w:type="spellStart"/>
            <w:r w:rsidRPr="00C74D34">
              <w:rPr>
                <w:rFonts w:ascii="Times New Roman" w:hAnsi="Times New Roman" w:cs="Times New Roman"/>
                <w:szCs w:val="26"/>
              </w:rPr>
              <w:t>Tamra</w:t>
            </w:r>
            <w:proofErr w:type="spellEnd"/>
            <w:r w:rsidRPr="00C74D34">
              <w:rPr>
                <w:rFonts w:ascii="Times New Roman" w:hAnsi="Times New Roman" w:cs="Times New Roman"/>
                <w:szCs w:val="26"/>
              </w:rPr>
              <w:t xml:space="preserve"> D. Frederick and Tammy Jo Salter and </w:t>
            </w:r>
          </w:p>
          <w:p w14:paraId="59A1C48C" w14:textId="77777777" w:rsidR="00341373" w:rsidRPr="00C74D34" w:rsidRDefault="00341373" w:rsidP="00B11342">
            <w:pPr>
              <w:spacing w:line="259" w:lineRule="auto"/>
              <w:rPr>
                <w:rFonts w:ascii="Times New Roman" w:hAnsi="Times New Roman" w:cs="Times New Roman"/>
                <w:szCs w:val="26"/>
              </w:rPr>
            </w:pPr>
            <w:r w:rsidRPr="00C74D34">
              <w:rPr>
                <w:rFonts w:ascii="Times New Roman" w:hAnsi="Times New Roman" w:cs="Times New Roman"/>
                <w:szCs w:val="26"/>
              </w:rPr>
              <w:t xml:space="preserve">Roderick C.B. Salter </w:t>
            </w:r>
          </w:p>
        </w:tc>
      </w:tr>
    </w:tbl>
    <w:p w14:paraId="37B98723" w14:textId="49315714" w:rsidR="000950BD" w:rsidRPr="00C74D34" w:rsidRDefault="000950BD" w:rsidP="00B11342">
      <w:pPr>
        <w:rPr>
          <w:szCs w:val="26"/>
        </w:rPr>
      </w:pPr>
    </w:p>
    <w:p w14:paraId="01674054" w14:textId="5FC688FC" w:rsidR="00341373" w:rsidRPr="00C74D34" w:rsidRDefault="00341373" w:rsidP="0047446A">
      <w:pPr>
        <w:pStyle w:val="ListParagraph"/>
        <w:numPr>
          <w:ilvl w:val="0"/>
          <w:numId w:val="48"/>
        </w:numPr>
        <w:ind w:left="0" w:firstLine="1440"/>
      </w:pPr>
      <w:r w:rsidRPr="00C74D34">
        <w:t>That the dockets at Docket Nos. A-2017-2640195, A</w:t>
      </w:r>
      <w:r w:rsidR="007C07A9" w:rsidRPr="00C74D34">
        <w:noBreakHyphen/>
      </w:r>
      <w:r w:rsidRPr="00C74D34">
        <w:t>2017</w:t>
      </w:r>
      <w:r w:rsidR="007C07A9" w:rsidRPr="00C74D34">
        <w:noBreakHyphen/>
      </w:r>
      <w:r w:rsidRPr="00C74D34">
        <w:t>2640200, P- 2018-3001883, P-2018-3001878, A-2018-3001881, A</w:t>
      </w:r>
      <w:r w:rsidR="007C07A9" w:rsidRPr="00C74D34">
        <w:noBreakHyphen/>
      </w:r>
      <w:r w:rsidRPr="00C74D34">
        <w:t>201</w:t>
      </w:r>
      <w:r w:rsidR="00664358">
        <w:t>8</w:t>
      </w:r>
      <w:r w:rsidR="007C07A9" w:rsidRPr="00C74D34">
        <w:noBreakHyphen/>
      </w:r>
      <w:r w:rsidRPr="00C74D34">
        <w:t>3001886, A</w:t>
      </w:r>
      <w:r w:rsidR="00A17437" w:rsidRPr="00C74D34">
        <w:noBreakHyphen/>
      </w:r>
      <w:r w:rsidRPr="00C74D34">
        <w:t>2018</w:t>
      </w:r>
      <w:r w:rsidR="00A17437" w:rsidRPr="00C74D34">
        <w:noBreakHyphen/>
      </w:r>
      <w:r w:rsidRPr="00C74D34">
        <w:t>3001898, A</w:t>
      </w:r>
      <w:r w:rsidR="00664358">
        <w:t>-</w:t>
      </w:r>
      <w:r w:rsidRPr="00C74D34">
        <w:t>2018-3001902, A-2018-3001904, A-2018-3001906, A</w:t>
      </w:r>
      <w:r w:rsidR="00AB1CAE" w:rsidRPr="00C74D34">
        <w:noBreakHyphen/>
      </w:r>
      <w:r w:rsidRPr="00C74D34">
        <w:t>2018</w:t>
      </w:r>
      <w:r w:rsidR="00AB1CAE" w:rsidRPr="00C74D34">
        <w:noBreakHyphen/>
      </w:r>
      <w:r w:rsidRPr="00C74D34">
        <w:t>3001907, A-2018-3001922, A-2018-3001923, A-2018-3001925, A</w:t>
      </w:r>
      <w:r w:rsidR="007C07A9" w:rsidRPr="00C74D34">
        <w:noBreakHyphen/>
      </w:r>
      <w:r w:rsidRPr="00C74D34">
        <w:t>2018</w:t>
      </w:r>
      <w:r w:rsidR="007C07A9" w:rsidRPr="00C74D34">
        <w:noBreakHyphen/>
      </w:r>
      <w:r w:rsidRPr="00C74D34">
        <w:t>3001929, A-2018-3001932, A-2018-3001933, A-2018-3001936, A</w:t>
      </w:r>
      <w:r w:rsidR="007C07A9" w:rsidRPr="00C74D34">
        <w:noBreakHyphen/>
      </w:r>
      <w:r w:rsidRPr="00C74D34">
        <w:t>2018</w:t>
      </w:r>
      <w:r w:rsidR="007C07A9" w:rsidRPr="00C74D34">
        <w:noBreakHyphen/>
      </w:r>
      <w:r w:rsidRPr="00C74D34">
        <w:t>3001943, A-2018-3001944, A-2018-3001954, A-2018-3001956, A</w:t>
      </w:r>
      <w:r w:rsidR="007C07A9" w:rsidRPr="00C74D34">
        <w:noBreakHyphen/>
      </w:r>
      <w:r w:rsidRPr="00C74D34">
        <w:t>2018</w:t>
      </w:r>
      <w:r w:rsidR="007C07A9" w:rsidRPr="00C74D34">
        <w:noBreakHyphen/>
      </w:r>
      <w:r w:rsidRPr="00C74D34">
        <w:t>3001957, A-2018-3001958, A-2018-3001960, A-2018-3001961, A</w:t>
      </w:r>
      <w:r w:rsidR="007C07A9" w:rsidRPr="00C74D34">
        <w:noBreakHyphen/>
      </w:r>
      <w:r w:rsidRPr="00C74D34">
        <w:t>2018</w:t>
      </w:r>
      <w:r w:rsidR="007C07A9" w:rsidRPr="00C74D34">
        <w:noBreakHyphen/>
      </w:r>
      <w:r w:rsidRPr="00C74D34">
        <w:t>3001962, A2018-3001963, A-2018-3001965, A-2018-3001966, A</w:t>
      </w:r>
      <w:r w:rsidR="007C07A9" w:rsidRPr="00C74D34">
        <w:noBreakHyphen/>
      </w:r>
      <w:r w:rsidRPr="00C74D34">
        <w:t>2018</w:t>
      </w:r>
      <w:r w:rsidR="007C07A9" w:rsidRPr="00C74D34">
        <w:noBreakHyphen/>
      </w:r>
      <w:r w:rsidRPr="00C74D34">
        <w:t>3001967, A-2018-3001968, A-2018-3001982, A-2018-3001984, A</w:t>
      </w:r>
      <w:r w:rsidR="007C07A9" w:rsidRPr="00C74D34">
        <w:noBreakHyphen/>
      </w:r>
      <w:r w:rsidRPr="00C74D34">
        <w:t>2018</w:t>
      </w:r>
      <w:r w:rsidR="007C07A9" w:rsidRPr="00C74D34">
        <w:noBreakHyphen/>
      </w:r>
      <w:r w:rsidRPr="00C74D34">
        <w:t>3001985, A-2018-3001986, A-2018-3001989, A-2018-3001999, A</w:t>
      </w:r>
      <w:r w:rsidR="007C07A9" w:rsidRPr="00C74D34">
        <w:noBreakHyphen/>
      </w:r>
      <w:r w:rsidRPr="00C74D34">
        <w:t>2018</w:t>
      </w:r>
      <w:r w:rsidR="007C07A9" w:rsidRPr="00C74D34">
        <w:noBreakHyphen/>
      </w:r>
      <w:r w:rsidRPr="00C74D34">
        <w:t>3002012, A-2018-3002022, A-2018-3002028, A-2018-3002031, A</w:t>
      </w:r>
      <w:r w:rsidR="007C07A9" w:rsidRPr="00C74D34">
        <w:noBreakHyphen/>
      </w:r>
      <w:r w:rsidRPr="00C74D34">
        <w:t>2018</w:t>
      </w:r>
      <w:r w:rsidR="007C07A9" w:rsidRPr="00C74D34">
        <w:noBreakHyphen/>
      </w:r>
      <w:r w:rsidRPr="00C74D34">
        <w:t>3002032, A-2018-3002037, A-2018-3002041, A-2018-3002046, A</w:t>
      </w:r>
      <w:r w:rsidR="00945DD5" w:rsidRPr="00C74D34">
        <w:noBreakHyphen/>
      </w:r>
      <w:r w:rsidRPr="00C74D34">
        <w:t>2018</w:t>
      </w:r>
      <w:r w:rsidR="00945DD5" w:rsidRPr="00C74D34">
        <w:noBreakHyphen/>
      </w:r>
      <w:r w:rsidRPr="00C74D34">
        <w:t>3002047, A-2018-3002048, A-2018-3002051, A-2018-3002052, A</w:t>
      </w:r>
      <w:r w:rsidR="00945DD5" w:rsidRPr="00C74D34">
        <w:noBreakHyphen/>
      </w:r>
      <w:r w:rsidRPr="00C74D34">
        <w:t>2018</w:t>
      </w:r>
      <w:r w:rsidR="00945DD5" w:rsidRPr="00C74D34">
        <w:noBreakHyphen/>
      </w:r>
      <w:r w:rsidRPr="00C74D34">
        <w:t>3002053, A-2018-3002054, A-2018-3002055, A-2018-3002057, A</w:t>
      </w:r>
      <w:r w:rsidR="00945DD5" w:rsidRPr="00C74D34">
        <w:noBreakHyphen/>
      </w:r>
      <w:r w:rsidRPr="00C74D34">
        <w:t>2018</w:t>
      </w:r>
      <w:r w:rsidR="00945DD5" w:rsidRPr="00C74D34">
        <w:noBreakHyphen/>
      </w:r>
      <w:r w:rsidRPr="00C74D34">
        <w:t>3002061, A-2018-3002066, A-2018-3002067, A-2018-3002069, A</w:t>
      </w:r>
      <w:r w:rsidR="00945DD5" w:rsidRPr="00C74D34">
        <w:noBreakHyphen/>
      </w:r>
      <w:r w:rsidRPr="00C74D34">
        <w:t>2018</w:t>
      </w:r>
      <w:r w:rsidR="00945DD5" w:rsidRPr="00C74D34">
        <w:noBreakHyphen/>
      </w:r>
      <w:r w:rsidRPr="00C74D34">
        <w:t>3002072, A-2018-3002074, A-2018-3002075, A-2018-3002103, A</w:t>
      </w:r>
      <w:r w:rsidR="00945DD5" w:rsidRPr="00C74D34">
        <w:noBreakHyphen/>
      </w:r>
      <w:r w:rsidRPr="00C74D34">
        <w:t>2018</w:t>
      </w:r>
      <w:r w:rsidR="00945DD5" w:rsidRPr="00C74D34">
        <w:noBreakHyphen/>
      </w:r>
      <w:r w:rsidRPr="00C74D34">
        <w:t xml:space="preserve">3002104, A-2018-3002107, A-2018-3002108, A-2018-3002111, </w:t>
      </w:r>
      <w:r w:rsidRPr="00C74D34">
        <w:lastRenderedPageBreak/>
        <w:t>A</w:t>
      </w:r>
      <w:r w:rsidR="00945DD5" w:rsidRPr="00C74D34">
        <w:noBreakHyphen/>
      </w:r>
      <w:r w:rsidRPr="00C74D34">
        <w:t>2018</w:t>
      </w:r>
      <w:r w:rsidR="00945DD5" w:rsidRPr="00C74D34">
        <w:noBreakHyphen/>
      </w:r>
      <w:r w:rsidRPr="00C74D34">
        <w:t>3002125, A-2018-3002128, A-2018-3002140, A-2018-3002147, A</w:t>
      </w:r>
      <w:r w:rsidR="00945DD5" w:rsidRPr="00C74D34">
        <w:noBreakHyphen/>
      </w:r>
      <w:r w:rsidRPr="00C74D34">
        <w:t>2018</w:t>
      </w:r>
      <w:r w:rsidR="00945DD5" w:rsidRPr="00C74D34">
        <w:noBreakHyphen/>
      </w:r>
      <w:r w:rsidRPr="00C74D34">
        <w:t>3002140, A-2018-3002147, A-2018-3002163, A-2018-3002169, A</w:t>
      </w:r>
      <w:r w:rsidR="00945DD5" w:rsidRPr="00C74D34">
        <w:noBreakHyphen/>
      </w:r>
      <w:r w:rsidRPr="00C74D34">
        <w:t>2018</w:t>
      </w:r>
      <w:r w:rsidR="00945DD5" w:rsidRPr="00C74D34">
        <w:noBreakHyphen/>
      </w:r>
      <w:r w:rsidRPr="00C74D34">
        <w:t>3002232, A-2018-3002238, A-2018-3002251, A2018</w:t>
      </w:r>
      <w:r w:rsidR="000950BD" w:rsidRPr="00C74D34">
        <w:t>-</w:t>
      </w:r>
      <w:r w:rsidRPr="00C74D34">
        <w:t>3002310, A</w:t>
      </w:r>
      <w:r w:rsidR="00945DD5" w:rsidRPr="00C74D34">
        <w:noBreakHyphen/>
      </w:r>
      <w:r w:rsidRPr="00C74D34">
        <w:t>2018</w:t>
      </w:r>
      <w:r w:rsidR="00945DD5" w:rsidRPr="00C74D34">
        <w:noBreakHyphen/>
      </w:r>
      <w:r w:rsidRPr="00C74D34">
        <w:t xml:space="preserve">3002312, A-2018-3002329, A-2018-3002331, and A-2018-3002332 be marked closed. </w:t>
      </w:r>
    </w:p>
    <w:p w14:paraId="711B899D" w14:textId="512B5742" w:rsidR="00341373" w:rsidRPr="00C74D34" w:rsidRDefault="00341373" w:rsidP="00B11342">
      <w:pPr>
        <w:ind w:left="91"/>
        <w:rPr>
          <w:szCs w:val="26"/>
        </w:rPr>
      </w:pPr>
    </w:p>
    <w:p w14:paraId="14687266" w14:textId="1018DB2E" w:rsidR="001F775D" w:rsidRPr="00C74D34" w:rsidRDefault="00341373" w:rsidP="0047446A">
      <w:pPr>
        <w:pStyle w:val="ListParagraph"/>
        <w:numPr>
          <w:ilvl w:val="0"/>
          <w:numId w:val="48"/>
        </w:numPr>
        <w:ind w:left="0" w:firstLine="1440"/>
      </w:pPr>
      <w:r w:rsidRPr="00C74D34">
        <w:t>That</w:t>
      </w:r>
      <w:r w:rsidR="00124869" w:rsidRPr="00C74D34">
        <w:t xml:space="preserve"> </w:t>
      </w:r>
      <w:r w:rsidR="00316B38" w:rsidRPr="00C74D34">
        <w:t xml:space="preserve">the </w:t>
      </w:r>
      <w:r w:rsidR="002C7CFC" w:rsidRPr="00C74D34">
        <w:t xml:space="preserve">certificate of public convenience and necessity </w:t>
      </w:r>
      <w:r w:rsidR="00773360" w:rsidRPr="00C74D34">
        <w:t xml:space="preserve">issued to </w:t>
      </w:r>
      <w:proofErr w:type="spellStart"/>
      <w:r w:rsidR="001F775D" w:rsidRPr="00C74D34">
        <w:t>Transource</w:t>
      </w:r>
      <w:proofErr w:type="spellEnd"/>
      <w:r w:rsidR="001F775D" w:rsidRPr="00C74D34">
        <w:t xml:space="preserve"> Pennsylvania</w:t>
      </w:r>
      <w:r w:rsidR="00DB5D3C" w:rsidRPr="00C74D34">
        <w:t>,</w:t>
      </w:r>
      <w:r w:rsidR="001F775D" w:rsidRPr="00C74D34">
        <w:t xml:space="preserve"> LLC</w:t>
      </w:r>
      <w:r w:rsidR="00DB5D3C" w:rsidRPr="00C74D34">
        <w:t>,</w:t>
      </w:r>
      <w:r w:rsidR="001F775D" w:rsidRPr="00C74D34">
        <w:t xml:space="preserve"> </w:t>
      </w:r>
      <w:r w:rsidR="00E36D79" w:rsidRPr="00C74D34">
        <w:t>by</w:t>
      </w:r>
      <w:r w:rsidR="00DD268F" w:rsidRPr="00C74D34">
        <w:t xml:space="preserve"> </w:t>
      </w:r>
      <w:r w:rsidR="00773360" w:rsidRPr="00C74D34">
        <w:t xml:space="preserve">Commission </w:t>
      </w:r>
      <w:r w:rsidR="005A5056" w:rsidRPr="00C74D34">
        <w:t>O</w:t>
      </w:r>
      <w:r w:rsidR="00773360" w:rsidRPr="00C74D34">
        <w:t xml:space="preserve">rder in </w:t>
      </w:r>
      <w:r w:rsidR="00DD268F" w:rsidRPr="00C74D34">
        <w:t xml:space="preserve">Application of </w:t>
      </w:r>
      <w:proofErr w:type="spellStart"/>
      <w:r w:rsidR="00DD268F" w:rsidRPr="00C74D34">
        <w:t>Transource</w:t>
      </w:r>
      <w:proofErr w:type="spellEnd"/>
      <w:r w:rsidR="00DD268F" w:rsidRPr="00C74D34">
        <w:t xml:space="preserve"> Pennsylvania, LLC for all of the Necessary Authority, Approvals, and Certificates of Public Convenience:</w:t>
      </w:r>
      <w:r w:rsidR="007F394A" w:rsidRPr="00C74D34">
        <w:t xml:space="preserve"> </w:t>
      </w:r>
      <w:r w:rsidR="00DD268F" w:rsidRPr="00C74D34">
        <w:t xml:space="preserve"> (1) to Begin to Furnish and Supply Electric Transmission Service in Franklin and York Counties, Pennsylvania; (2) for Approval of Certain Affiliated Interest Agreements; and (3) for Any Other Approvals Necessary to Complete the Contemplated Transactions, Docket No. A-2017-2587821, Docket No. G-2587822 (Opinion and Order entered Jan. 23, 2018), </w:t>
      </w:r>
      <w:r w:rsidR="00316B38" w:rsidRPr="00C74D34">
        <w:t xml:space="preserve">is rescinded. </w:t>
      </w:r>
    </w:p>
    <w:p w14:paraId="1EB9E9E0" w14:textId="179EBD8D" w:rsidR="005A5056" w:rsidRPr="00C74D34" w:rsidRDefault="005A5056" w:rsidP="005A5056"/>
    <w:bookmarkEnd w:id="5"/>
    <w:p w14:paraId="453926EC" w14:textId="3FDA96E0" w:rsidR="004D6C15" w:rsidRPr="00C74D34" w:rsidRDefault="00033F02" w:rsidP="004D6C15">
      <w:pPr>
        <w:keepLines/>
        <w:tabs>
          <w:tab w:val="left" w:pos="-720"/>
        </w:tabs>
        <w:spacing w:line="240" w:lineRule="auto"/>
        <w:ind w:firstLine="5040"/>
        <w:rPr>
          <w:color w:val="auto"/>
          <w:szCs w:val="26"/>
        </w:rPr>
      </w:pPr>
      <w:r>
        <w:rPr>
          <w:noProof/>
        </w:rPr>
        <w:drawing>
          <wp:anchor distT="0" distB="0" distL="114300" distR="114300" simplePos="0" relativeHeight="251659264" behindDoc="1" locked="0" layoutInCell="1" allowOverlap="1" wp14:anchorId="2801B38C" wp14:editId="74B66F5B">
            <wp:simplePos x="0" y="0"/>
            <wp:positionH relativeFrom="column">
              <wp:posOffset>3219450</wp:posOffset>
            </wp:positionH>
            <wp:positionV relativeFrom="paragraph">
              <wp:posOffset>172085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D6C15" w:rsidRPr="00C74D34">
        <w:rPr>
          <w:b/>
          <w:color w:val="auto"/>
          <w:szCs w:val="26"/>
        </w:rPr>
        <w:t>BY THE COMMISSION,</w:t>
      </w:r>
    </w:p>
    <w:p w14:paraId="3C970918" w14:textId="4A5DA855" w:rsidR="004D6C15" w:rsidRPr="00C74D34" w:rsidRDefault="004D6C15" w:rsidP="004D6C15">
      <w:pPr>
        <w:keepLines/>
        <w:tabs>
          <w:tab w:val="left" w:pos="-720"/>
        </w:tabs>
        <w:spacing w:line="240" w:lineRule="auto"/>
        <w:rPr>
          <w:color w:val="auto"/>
          <w:szCs w:val="26"/>
        </w:rPr>
      </w:pPr>
    </w:p>
    <w:p w14:paraId="0944C400" w14:textId="77777777" w:rsidR="004D6C15" w:rsidRPr="00C74D34" w:rsidRDefault="004D6C15" w:rsidP="004D6C15">
      <w:pPr>
        <w:keepLines/>
        <w:tabs>
          <w:tab w:val="left" w:pos="-720"/>
        </w:tabs>
        <w:spacing w:line="240" w:lineRule="auto"/>
        <w:rPr>
          <w:color w:val="auto"/>
          <w:szCs w:val="26"/>
        </w:rPr>
      </w:pPr>
    </w:p>
    <w:p w14:paraId="2E1FE528" w14:textId="77777777" w:rsidR="004D6C15" w:rsidRPr="00C74D34" w:rsidRDefault="004D6C15" w:rsidP="004D6C15">
      <w:pPr>
        <w:keepLines/>
        <w:tabs>
          <w:tab w:val="left" w:pos="-720"/>
        </w:tabs>
        <w:spacing w:line="240" w:lineRule="auto"/>
        <w:rPr>
          <w:color w:val="auto"/>
          <w:szCs w:val="26"/>
        </w:rPr>
      </w:pPr>
    </w:p>
    <w:p w14:paraId="18A6E901" w14:textId="77777777" w:rsidR="004D6C15" w:rsidRPr="00C74D34" w:rsidRDefault="004D6C15" w:rsidP="004D6C15">
      <w:pPr>
        <w:keepLines/>
        <w:tabs>
          <w:tab w:val="left" w:pos="-720"/>
        </w:tabs>
        <w:spacing w:line="240" w:lineRule="auto"/>
        <w:rPr>
          <w:color w:val="auto"/>
          <w:szCs w:val="26"/>
        </w:rPr>
      </w:pPr>
    </w:p>
    <w:p w14:paraId="56458B0D" w14:textId="77777777" w:rsidR="004D6C15" w:rsidRPr="00C74D34" w:rsidRDefault="004D6C15" w:rsidP="004D6C15">
      <w:pPr>
        <w:keepLines/>
        <w:tabs>
          <w:tab w:val="left" w:pos="-720"/>
        </w:tabs>
        <w:spacing w:line="240" w:lineRule="auto"/>
        <w:ind w:firstLine="5040"/>
        <w:rPr>
          <w:b/>
          <w:color w:val="auto"/>
          <w:szCs w:val="26"/>
        </w:rPr>
      </w:pPr>
      <w:r w:rsidRPr="00C74D34">
        <w:rPr>
          <w:color w:val="auto"/>
          <w:szCs w:val="26"/>
        </w:rPr>
        <w:t>Rosemary Chiavetta</w:t>
      </w:r>
    </w:p>
    <w:p w14:paraId="44F45AB2" w14:textId="77777777" w:rsidR="004D6C15" w:rsidRPr="00C74D34" w:rsidRDefault="004D6C15" w:rsidP="004D6C15">
      <w:pPr>
        <w:keepLines/>
        <w:tabs>
          <w:tab w:val="left" w:pos="-720"/>
        </w:tabs>
        <w:spacing w:line="240" w:lineRule="auto"/>
        <w:ind w:firstLine="5040"/>
        <w:rPr>
          <w:color w:val="auto"/>
          <w:szCs w:val="26"/>
        </w:rPr>
      </w:pPr>
      <w:r w:rsidRPr="00C74D34">
        <w:rPr>
          <w:color w:val="auto"/>
          <w:szCs w:val="26"/>
        </w:rPr>
        <w:t>Secretary</w:t>
      </w:r>
    </w:p>
    <w:p w14:paraId="6D484ADC" w14:textId="77777777" w:rsidR="004D6C15" w:rsidRPr="00C74D34" w:rsidRDefault="004D6C15" w:rsidP="004D6C15">
      <w:pPr>
        <w:keepLines/>
        <w:tabs>
          <w:tab w:val="left" w:pos="-720"/>
        </w:tabs>
        <w:spacing w:line="240" w:lineRule="auto"/>
        <w:rPr>
          <w:color w:val="auto"/>
          <w:szCs w:val="26"/>
        </w:rPr>
      </w:pPr>
    </w:p>
    <w:p w14:paraId="096CBEDB" w14:textId="77777777" w:rsidR="004D6C15" w:rsidRPr="00C74D34" w:rsidRDefault="004D6C15" w:rsidP="004D6C15">
      <w:pPr>
        <w:keepLines/>
        <w:tabs>
          <w:tab w:val="left" w:pos="-720"/>
        </w:tabs>
        <w:spacing w:line="240" w:lineRule="auto"/>
        <w:rPr>
          <w:color w:val="auto"/>
          <w:szCs w:val="26"/>
        </w:rPr>
      </w:pPr>
      <w:r w:rsidRPr="00C74D34">
        <w:rPr>
          <w:color w:val="auto"/>
          <w:szCs w:val="26"/>
        </w:rPr>
        <w:t>(SEAL)</w:t>
      </w:r>
    </w:p>
    <w:p w14:paraId="2BE27E73" w14:textId="77777777" w:rsidR="004D6C15" w:rsidRPr="00C74D34" w:rsidRDefault="004D6C15" w:rsidP="004D6C15">
      <w:pPr>
        <w:keepNext/>
        <w:keepLines/>
        <w:tabs>
          <w:tab w:val="left" w:pos="-720"/>
        </w:tabs>
        <w:spacing w:line="240" w:lineRule="auto"/>
        <w:rPr>
          <w:color w:val="auto"/>
          <w:szCs w:val="26"/>
        </w:rPr>
      </w:pPr>
    </w:p>
    <w:p w14:paraId="2B19BFAB" w14:textId="4E8DB20C" w:rsidR="004D6C15" w:rsidRPr="00C74D34" w:rsidRDefault="004D6C15" w:rsidP="004D6C15">
      <w:pPr>
        <w:keepNext/>
        <w:keepLines/>
        <w:tabs>
          <w:tab w:val="left" w:pos="-720"/>
        </w:tabs>
        <w:spacing w:line="240" w:lineRule="auto"/>
        <w:rPr>
          <w:color w:val="auto"/>
          <w:szCs w:val="26"/>
        </w:rPr>
      </w:pPr>
      <w:r w:rsidRPr="00C74D34">
        <w:rPr>
          <w:color w:val="auto"/>
          <w:szCs w:val="26"/>
        </w:rPr>
        <w:t xml:space="preserve">ORDER ADOPTED:  May </w:t>
      </w:r>
      <w:r w:rsidR="00BC3FA8">
        <w:rPr>
          <w:color w:val="auto"/>
          <w:szCs w:val="26"/>
        </w:rPr>
        <w:t>20</w:t>
      </w:r>
      <w:r w:rsidRPr="00C74D34">
        <w:rPr>
          <w:color w:val="auto"/>
          <w:szCs w:val="26"/>
        </w:rPr>
        <w:t>, 2021</w:t>
      </w:r>
    </w:p>
    <w:p w14:paraId="15DADE50" w14:textId="77777777" w:rsidR="004D6C15" w:rsidRPr="00C74D34" w:rsidRDefault="004D6C15" w:rsidP="004D6C15">
      <w:pPr>
        <w:keepNext/>
        <w:keepLines/>
        <w:tabs>
          <w:tab w:val="left" w:pos="-720"/>
        </w:tabs>
        <w:spacing w:line="240" w:lineRule="auto"/>
        <w:rPr>
          <w:color w:val="auto"/>
          <w:szCs w:val="26"/>
        </w:rPr>
      </w:pPr>
    </w:p>
    <w:p w14:paraId="088F58B7" w14:textId="133B9826" w:rsidR="004D6C15" w:rsidRPr="00C74D34" w:rsidRDefault="004D6C15" w:rsidP="004D6C15">
      <w:pPr>
        <w:keepNext/>
        <w:keepLines/>
        <w:tabs>
          <w:tab w:val="left" w:pos="-720"/>
        </w:tabs>
        <w:spacing w:line="240" w:lineRule="auto"/>
        <w:rPr>
          <w:color w:val="auto"/>
          <w:szCs w:val="26"/>
        </w:rPr>
      </w:pPr>
      <w:r w:rsidRPr="00C74D34">
        <w:rPr>
          <w:color w:val="auto"/>
          <w:szCs w:val="26"/>
        </w:rPr>
        <w:t xml:space="preserve">ORDER ENTERED:  </w:t>
      </w:r>
      <w:r w:rsidR="00033F02">
        <w:rPr>
          <w:color w:val="auto"/>
          <w:szCs w:val="26"/>
        </w:rPr>
        <w:t>May 24, 2021</w:t>
      </w:r>
    </w:p>
    <w:p w14:paraId="5FADABF7" w14:textId="77777777" w:rsidR="005B3232" w:rsidRPr="00C74D34" w:rsidRDefault="005B3232" w:rsidP="00F64E78">
      <w:pPr>
        <w:pStyle w:val="ListParagraph"/>
        <w:ind w:left="0" w:firstLine="0"/>
        <w:rPr>
          <w:b/>
          <w:bCs/>
          <w:szCs w:val="26"/>
        </w:rPr>
      </w:pPr>
    </w:p>
    <w:sectPr w:rsidR="005B3232" w:rsidRPr="00C74D34" w:rsidSect="001F7549">
      <w:footerReference w:type="defaul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BF01" w14:textId="77777777" w:rsidR="00CB216B" w:rsidRDefault="00CB216B" w:rsidP="00FD508B">
      <w:pPr>
        <w:spacing w:line="240" w:lineRule="auto"/>
      </w:pPr>
      <w:r>
        <w:separator/>
      </w:r>
    </w:p>
    <w:p w14:paraId="56AE83A5" w14:textId="77777777" w:rsidR="00CB216B" w:rsidRDefault="00CB216B"/>
  </w:endnote>
  <w:endnote w:type="continuationSeparator" w:id="0">
    <w:p w14:paraId="30E2EF5C" w14:textId="77777777" w:rsidR="00CB216B" w:rsidRDefault="00CB216B" w:rsidP="00FD508B">
      <w:pPr>
        <w:spacing w:line="240" w:lineRule="auto"/>
      </w:pPr>
      <w:r>
        <w:continuationSeparator/>
      </w:r>
    </w:p>
    <w:p w14:paraId="0D057391" w14:textId="77777777" w:rsidR="00CB216B" w:rsidRDefault="00CB216B"/>
  </w:endnote>
  <w:endnote w:type="continuationNotice" w:id="1">
    <w:p w14:paraId="2083FA6B" w14:textId="77777777" w:rsidR="00CB216B" w:rsidRDefault="00CB216B">
      <w:pPr>
        <w:spacing w:line="240" w:lineRule="auto"/>
      </w:pPr>
    </w:p>
    <w:p w14:paraId="022A9B9D" w14:textId="77777777" w:rsidR="00CB216B" w:rsidRDefault="00CB2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26622"/>
      <w:docPartObj>
        <w:docPartGallery w:val="Page Numbers (Bottom of Page)"/>
        <w:docPartUnique/>
      </w:docPartObj>
    </w:sdtPr>
    <w:sdtEndPr>
      <w:rPr>
        <w:noProof/>
      </w:rPr>
    </w:sdtEndPr>
    <w:sdtContent>
      <w:p w14:paraId="7B2EB175" w14:textId="6D820EF0" w:rsidR="00D10C62" w:rsidRDefault="00D10C62" w:rsidP="00F64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573603"/>
      <w:docPartObj>
        <w:docPartGallery w:val="Page Numbers (Bottom of Page)"/>
        <w:docPartUnique/>
      </w:docPartObj>
    </w:sdtPr>
    <w:sdtEndPr>
      <w:rPr>
        <w:noProof/>
      </w:rPr>
    </w:sdtEndPr>
    <w:sdtContent>
      <w:p w14:paraId="0614FAFC" w14:textId="5B3CC4FB" w:rsidR="00D10C62" w:rsidRDefault="00D10C62" w:rsidP="004744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5E14" w14:textId="77777777" w:rsidR="00CB216B" w:rsidRDefault="00CB216B" w:rsidP="0047446A">
      <w:pPr>
        <w:spacing w:line="240" w:lineRule="auto"/>
      </w:pPr>
      <w:r>
        <w:separator/>
      </w:r>
    </w:p>
  </w:footnote>
  <w:footnote w:type="continuationSeparator" w:id="0">
    <w:p w14:paraId="206D570B" w14:textId="77777777" w:rsidR="00CB216B" w:rsidRDefault="00CB216B" w:rsidP="00FD508B">
      <w:pPr>
        <w:spacing w:line="240" w:lineRule="auto"/>
      </w:pPr>
      <w:r>
        <w:continuationSeparator/>
      </w:r>
    </w:p>
    <w:p w14:paraId="1DB0FA18" w14:textId="77777777" w:rsidR="00CB216B" w:rsidRDefault="00CB216B"/>
  </w:footnote>
  <w:footnote w:type="continuationNotice" w:id="1">
    <w:p w14:paraId="5C29DAAD" w14:textId="77777777" w:rsidR="00CB216B" w:rsidRDefault="00CB216B">
      <w:pPr>
        <w:spacing w:line="240" w:lineRule="auto"/>
      </w:pPr>
    </w:p>
    <w:p w14:paraId="4CB7092C" w14:textId="77777777" w:rsidR="00CB216B" w:rsidRDefault="00CB216B"/>
  </w:footnote>
  <w:footnote w:id="2">
    <w:p w14:paraId="64BB1B41" w14:textId="44F30216" w:rsidR="00D10C62" w:rsidRPr="00FD508B" w:rsidRDefault="00D10C62" w:rsidP="001F7549">
      <w:pPr>
        <w:pStyle w:val="FootnoteText"/>
        <w:spacing w:after="120"/>
        <w:ind w:firstLine="706"/>
        <w:rPr>
          <w:sz w:val="26"/>
          <w:szCs w:val="26"/>
        </w:rPr>
      </w:pPr>
      <w:r w:rsidRPr="00FD508B">
        <w:rPr>
          <w:rStyle w:val="FootnoteReference"/>
          <w:sz w:val="26"/>
          <w:szCs w:val="26"/>
        </w:rPr>
        <w:footnoteRef/>
      </w:r>
      <w:r w:rsidRPr="00FD508B">
        <w:rPr>
          <w:sz w:val="26"/>
          <w:szCs w:val="26"/>
        </w:rPr>
        <w:t xml:space="preserve"> </w:t>
      </w:r>
      <w:r>
        <w:rPr>
          <w:sz w:val="26"/>
          <w:szCs w:val="26"/>
        </w:rPr>
        <w:tab/>
        <w:t xml:space="preserve">In these consolidated proceedings Transource has filed all subject Applications and filings jointly with PPL Electric Utilities Corporation (PPL </w:t>
      </w:r>
      <w:r w:rsidRPr="006C6F48">
        <w:rPr>
          <w:sz w:val="26"/>
          <w:szCs w:val="26"/>
        </w:rPr>
        <w:t>Electric</w:t>
      </w:r>
      <w:r>
        <w:rPr>
          <w:sz w:val="26"/>
          <w:szCs w:val="26"/>
        </w:rPr>
        <w:t xml:space="preserve">), however, for ease of reference in this Opinion and Order we will refer to the Joint Parties as “Transource” or “Company” unless a specific reference to PPL Electric is indicated.  </w:t>
      </w:r>
    </w:p>
  </w:footnote>
  <w:footnote w:id="3">
    <w:p w14:paraId="15D100ED" w14:textId="77777777" w:rsidR="00D10C62" w:rsidRPr="002667BC" w:rsidRDefault="00D10C62" w:rsidP="00A92659">
      <w:pPr>
        <w:pStyle w:val="FootnoteText"/>
        <w:ind w:firstLine="706"/>
        <w:rPr>
          <w:sz w:val="26"/>
          <w:szCs w:val="26"/>
        </w:rPr>
      </w:pPr>
      <w:r w:rsidRPr="002667BC">
        <w:rPr>
          <w:rStyle w:val="FootnoteReference"/>
          <w:sz w:val="26"/>
          <w:szCs w:val="26"/>
        </w:rPr>
        <w:footnoteRef/>
      </w:r>
      <w:r w:rsidRPr="002667BC">
        <w:rPr>
          <w:sz w:val="26"/>
          <w:szCs w:val="26"/>
        </w:rPr>
        <w:t xml:space="preserve"> </w:t>
      </w:r>
      <w:r w:rsidRPr="002667BC">
        <w:rPr>
          <w:sz w:val="26"/>
          <w:szCs w:val="26"/>
        </w:rPr>
        <w:tab/>
        <w:t xml:space="preserve">We note that STFC’s </w:t>
      </w:r>
      <w:r>
        <w:rPr>
          <w:sz w:val="26"/>
          <w:szCs w:val="26"/>
        </w:rPr>
        <w:t xml:space="preserve">Reply </w:t>
      </w:r>
      <w:r w:rsidRPr="002667BC">
        <w:rPr>
          <w:sz w:val="26"/>
          <w:szCs w:val="26"/>
        </w:rPr>
        <w:t>Exceptions were</w:t>
      </w:r>
      <w:r>
        <w:rPr>
          <w:sz w:val="26"/>
          <w:szCs w:val="26"/>
        </w:rPr>
        <w:t xml:space="preserve"> </w:t>
      </w:r>
      <w:r w:rsidRPr="002667BC">
        <w:rPr>
          <w:sz w:val="26"/>
          <w:szCs w:val="26"/>
        </w:rPr>
        <w:t>labeled</w:t>
      </w:r>
      <w:r>
        <w:rPr>
          <w:sz w:val="26"/>
          <w:szCs w:val="26"/>
        </w:rPr>
        <w:t xml:space="preserve"> wrongly</w:t>
      </w:r>
      <w:r w:rsidRPr="002667BC">
        <w:rPr>
          <w:sz w:val="26"/>
          <w:szCs w:val="26"/>
        </w:rPr>
        <w:t xml:space="preserve"> as “Reply Briefs” under “Type of Document” in the </w:t>
      </w:r>
      <w:r>
        <w:rPr>
          <w:sz w:val="26"/>
          <w:szCs w:val="26"/>
        </w:rPr>
        <w:t xml:space="preserve">Commission’s </w:t>
      </w:r>
      <w:r w:rsidRPr="002667BC">
        <w:rPr>
          <w:sz w:val="26"/>
          <w:szCs w:val="26"/>
        </w:rPr>
        <w:t>case management system.</w:t>
      </w:r>
    </w:p>
  </w:footnote>
  <w:footnote w:id="4">
    <w:p w14:paraId="61959075" w14:textId="4D3B309D" w:rsidR="00D10C62" w:rsidRPr="00A24070" w:rsidRDefault="00D10C62" w:rsidP="00313FC5">
      <w:pPr>
        <w:pStyle w:val="FootnoteText"/>
        <w:ind w:right="43" w:firstLine="720"/>
        <w:rPr>
          <w:sz w:val="26"/>
          <w:szCs w:val="26"/>
        </w:rPr>
      </w:pPr>
      <w:r w:rsidRPr="00852B72">
        <w:rPr>
          <w:rStyle w:val="FootnoteReference"/>
          <w:sz w:val="26"/>
          <w:szCs w:val="26"/>
        </w:rPr>
        <w:footnoteRef/>
      </w:r>
      <w:r w:rsidRPr="00852B72">
        <w:rPr>
          <w:sz w:val="26"/>
          <w:szCs w:val="26"/>
        </w:rPr>
        <w:t xml:space="preserve"> </w:t>
      </w:r>
      <w:r w:rsidRPr="00852B72">
        <w:rPr>
          <w:sz w:val="26"/>
          <w:szCs w:val="26"/>
        </w:rPr>
        <w:tab/>
        <w:t>Transource submitted Joint Petitions for Partial Settlement to amend the provision of Project 9A as</w:t>
      </w:r>
      <w:r w:rsidRPr="00A24070">
        <w:rPr>
          <w:sz w:val="26"/>
          <w:szCs w:val="26"/>
        </w:rPr>
        <w:t xml:space="preserve"> they pertain to the proposed route through York County.  For ease of reference, all refences to Project 9A encompass both the original proposed plan, and the plan as proposed to be amended </w:t>
      </w:r>
      <w:r w:rsidRPr="00A24070">
        <w:rPr>
          <w:i/>
          <w:iCs/>
          <w:sz w:val="26"/>
          <w:szCs w:val="26"/>
        </w:rPr>
        <w:t xml:space="preserve">via </w:t>
      </w:r>
      <w:r w:rsidRPr="00A24070">
        <w:rPr>
          <w:sz w:val="26"/>
          <w:szCs w:val="26"/>
        </w:rPr>
        <w:t>settlement</w:t>
      </w:r>
      <w:r>
        <w:rPr>
          <w:sz w:val="26"/>
          <w:szCs w:val="26"/>
        </w:rPr>
        <w:t>, referenced in the Parties’ filings and the ALJ’s Recommended Decision as “Settlement 9A.”</w:t>
      </w:r>
    </w:p>
  </w:footnote>
  <w:footnote w:id="5">
    <w:p w14:paraId="3D42D62B" w14:textId="77777777" w:rsidR="00D10C62" w:rsidRPr="002C4869" w:rsidRDefault="00D10C62" w:rsidP="00852B72">
      <w:pPr>
        <w:pStyle w:val="FootnoteText"/>
        <w:ind w:firstLine="691"/>
        <w:rPr>
          <w:sz w:val="26"/>
          <w:szCs w:val="26"/>
        </w:rPr>
      </w:pPr>
      <w:r w:rsidRPr="002C4869">
        <w:rPr>
          <w:rStyle w:val="FootnoteReference"/>
          <w:sz w:val="26"/>
          <w:szCs w:val="26"/>
        </w:rPr>
        <w:footnoteRef/>
      </w:r>
      <w:r w:rsidRPr="002C4869">
        <w:rPr>
          <w:sz w:val="26"/>
          <w:szCs w:val="26"/>
        </w:rPr>
        <w:t xml:space="preserve"> </w:t>
      </w:r>
      <w:r>
        <w:rPr>
          <w:sz w:val="26"/>
          <w:szCs w:val="26"/>
        </w:rPr>
        <w:tab/>
      </w:r>
      <w:r w:rsidRPr="002C4869">
        <w:rPr>
          <w:sz w:val="26"/>
          <w:szCs w:val="26"/>
        </w:rPr>
        <w:t xml:space="preserve">The IEC Project was approved by the (PJM) Board in August 2016 following the Transmission Expansion Advisory Committee (TEAC) and stakeholder review of the </w:t>
      </w:r>
      <w:r>
        <w:rPr>
          <w:sz w:val="26"/>
          <w:szCs w:val="26"/>
        </w:rPr>
        <w:t>p</w:t>
      </w:r>
      <w:r w:rsidRPr="002C4869">
        <w:rPr>
          <w:sz w:val="26"/>
          <w:szCs w:val="26"/>
        </w:rPr>
        <w:t>roject</w:t>
      </w:r>
      <w:r>
        <w:rPr>
          <w:sz w:val="26"/>
          <w:szCs w:val="26"/>
        </w:rPr>
        <w:t xml:space="preserve"> as a market efficiency project</w:t>
      </w:r>
      <w:r w:rsidRPr="002C4869">
        <w:rPr>
          <w:sz w:val="26"/>
          <w:szCs w:val="26"/>
        </w:rPr>
        <w:t xml:space="preserve">. </w:t>
      </w:r>
      <w:r>
        <w:rPr>
          <w:sz w:val="26"/>
          <w:szCs w:val="26"/>
        </w:rPr>
        <w:t>Specifically, t</w:t>
      </w:r>
      <w:r w:rsidRPr="002C4869">
        <w:rPr>
          <w:sz w:val="26"/>
          <w:szCs w:val="26"/>
        </w:rPr>
        <w:t>he IEC Project was approved by PJM to alleviate transmission congestion constraints in Pennsylvania, Maryland, West Virginia, and Virginia.</w:t>
      </w:r>
    </w:p>
  </w:footnote>
  <w:footnote w:id="6">
    <w:p w14:paraId="7D96F01F" w14:textId="7D4230CF" w:rsidR="00D10C62" w:rsidRPr="00852B72" w:rsidRDefault="00D10C62" w:rsidP="00DC31B8">
      <w:pPr>
        <w:pStyle w:val="footnotedescription"/>
        <w:spacing w:after="120" w:line="240" w:lineRule="auto"/>
        <w:ind w:left="0"/>
        <w:rPr>
          <w:sz w:val="26"/>
          <w:szCs w:val="26"/>
        </w:rPr>
      </w:pPr>
      <w:r>
        <w:rPr>
          <w:sz w:val="26"/>
          <w:szCs w:val="26"/>
        </w:rPr>
        <w:tab/>
      </w:r>
      <w:r w:rsidRPr="00852B72">
        <w:rPr>
          <w:rStyle w:val="footnotemark"/>
          <w:sz w:val="26"/>
          <w:szCs w:val="26"/>
        </w:rPr>
        <w:footnoteRef/>
      </w:r>
      <w:r w:rsidRPr="00852B72">
        <w:rPr>
          <w:sz w:val="26"/>
          <w:szCs w:val="26"/>
        </w:rPr>
        <w:tab/>
        <w:t xml:space="preserve">As of March 1, 2020, ALJ Calvelli no longer presided in this matter.  </w:t>
      </w:r>
    </w:p>
  </w:footnote>
  <w:footnote w:id="7">
    <w:p w14:paraId="317C8C4B" w14:textId="0B3186C2" w:rsidR="00D10C62" w:rsidRPr="00687B4E" w:rsidRDefault="00D10C62" w:rsidP="00687B4E">
      <w:pPr>
        <w:pStyle w:val="footnotedescription"/>
        <w:spacing w:line="240" w:lineRule="auto"/>
        <w:ind w:left="0" w:firstLine="720"/>
        <w:rPr>
          <w:sz w:val="26"/>
          <w:szCs w:val="26"/>
        </w:rPr>
      </w:pPr>
      <w:r w:rsidRPr="00852B72">
        <w:rPr>
          <w:rStyle w:val="footnotemark"/>
          <w:sz w:val="26"/>
          <w:szCs w:val="26"/>
        </w:rPr>
        <w:footnoteRef/>
      </w:r>
      <w:r w:rsidRPr="00852B72">
        <w:rPr>
          <w:sz w:val="26"/>
          <w:szCs w:val="26"/>
        </w:rPr>
        <w:t xml:space="preserve"> </w:t>
      </w:r>
      <w:r w:rsidRPr="00852B72">
        <w:rPr>
          <w:sz w:val="26"/>
          <w:szCs w:val="26"/>
        </w:rPr>
        <w:tab/>
      </w:r>
      <w:r w:rsidRPr="00852B72">
        <w:rPr>
          <w:i/>
          <w:sz w:val="26"/>
          <w:szCs w:val="26"/>
        </w:rPr>
        <w:t xml:space="preserve">Application of Transource Pennsylvania, LLC for all of the Necessary Authority, Approvals, and Certificates of Public Convenience: </w:t>
      </w:r>
      <w:r w:rsidR="001F364B" w:rsidRPr="00852B72">
        <w:rPr>
          <w:i/>
          <w:sz w:val="26"/>
          <w:szCs w:val="26"/>
        </w:rPr>
        <w:t xml:space="preserve"> </w:t>
      </w:r>
      <w:r w:rsidRPr="00852B72">
        <w:rPr>
          <w:i/>
          <w:sz w:val="26"/>
          <w:szCs w:val="26"/>
        </w:rPr>
        <w:t>(1) to Begin to Furnish and Supply Electric Transmission Service in Franklin and York Counties, Pennsylvania; (2) for Approval of Certain Affiliated Interest Agreements; and (3) for Any Other Approvals Necessary to Complete the Contemplated Transactions</w:t>
      </w:r>
      <w:r w:rsidRPr="00852B72">
        <w:rPr>
          <w:sz w:val="26"/>
          <w:szCs w:val="26"/>
        </w:rPr>
        <w:t>, Docket No. A</w:t>
      </w:r>
      <w:r w:rsidR="00852B72">
        <w:rPr>
          <w:sz w:val="26"/>
          <w:szCs w:val="26"/>
        </w:rPr>
        <w:noBreakHyphen/>
      </w:r>
      <w:r w:rsidRPr="00852B72">
        <w:rPr>
          <w:sz w:val="26"/>
          <w:szCs w:val="26"/>
        </w:rPr>
        <w:t>2017</w:t>
      </w:r>
      <w:r w:rsidR="00852B72">
        <w:rPr>
          <w:sz w:val="26"/>
          <w:szCs w:val="26"/>
        </w:rPr>
        <w:noBreakHyphen/>
      </w:r>
      <w:r w:rsidRPr="00852B72">
        <w:rPr>
          <w:sz w:val="26"/>
          <w:szCs w:val="26"/>
        </w:rPr>
        <w:t>2587821, Docket No. G-2587822</w:t>
      </w:r>
      <w:r w:rsidRPr="00687B4E">
        <w:rPr>
          <w:sz w:val="26"/>
          <w:szCs w:val="26"/>
        </w:rPr>
        <w:t xml:space="preserve"> (Opinion and Order entered Jan. 23, 2018). </w:t>
      </w:r>
    </w:p>
  </w:footnote>
  <w:footnote w:id="8">
    <w:p w14:paraId="6F011434" w14:textId="78974573" w:rsidR="00D10C62" w:rsidRPr="00227761" w:rsidRDefault="00D10C62" w:rsidP="00227761">
      <w:pPr>
        <w:pStyle w:val="FootnoteText"/>
        <w:ind w:firstLine="710"/>
        <w:rPr>
          <w:sz w:val="26"/>
          <w:szCs w:val="26"/>
        </w:rPr>
      </w:pPr>
      <w:r w:rsidRPr="00227761">
        <w:rPr>
          <w:rStyle w:val="FootnoteReference"/>
          <w:sz w:val="26"/>
          <w:szCs w:val="26"/>
        </w:rPr>
        <w:footnoteRef/>
      </w:r>
      <w:r w:rsidRPr="00227761">
        <w:rPr>
          <w:sz w:val="26"/>
          <w:szCs w:val="26"/>
        </w:rPr>
        <w:t xml:space="preserve"> </w:t>
      </w:r>
      <w:r w:rsidRPr="00227761">
        <w:rPr>
          <w:sz w:val="26"/>
          <w:szCs w:val="26"/>
        </w:rPr>
        <w:tab/>
        <w:t>On March 16, 2020, the Prehearing Conference scheduled for March</w:t>
      </w:r>
      <w:r w:rsidR="002D03FA">
        <w:rPr>
          <w:sz w:val="26"/>
          <w:szCs w:val="26"/>
        </w:rPr>
        <w:t> </w:t>
      </w:r>
      <w:r w:rsidRPr="00227761">
        <w:rPr>
          <w:sz w:val="26"/>
          <w:szCs w:val="26"/>
        </w:rPr>
        <w:t>18,</w:t>
      </w:r>
      <w:r w:rsidR="002D03FA">
        <w:rPr>
          <w:sz w:val="26"/>
          <w:szCs w:val="26"/>
        </w:rPr>
        <w:t> </w:t>
      </w:r>
      <w:r w:rsidRPr="00227761">
        <w:rPr>
          <w:sz w:val="26"/>
          <w:szCs w:val="26"/>
        </w:rPr>
        <w:t>2020</w:t>
      </w:r>
      <w:r>
        <w:rPr>
          <w:sz w:val="26"/>
          <w:szCs w:val="26"/>
        </w:rPr>
        <w:t>,</w:t>
      </w:r>
      <w:r w:rsidRPr="00227761">
        <w:rPr>
          <w:sz w:val="26"/>
          <w:szCs w:val="26"/>
        </w:rPr>
        <w:t xml:space="preserve"> was canceled per management directives pertaining to office closings due to</w:t>
      </w:r>
      <w:r>
        <w:rPr>
          <w:sz w:val="26"/>
          <w:szCs w:val="26"/>
        </w:rPr>
        <w:t xml:space="preserve"> the COVID-19</w:t>
      </w:r>
      <w:r w:rsidRPr="00227761">
        <w:rPr>
          <w:sz w:val="26"/>
          <w:szCs w:val="26"/>
        </w:rPr>
        <w:t xml:space="preserve"> pandemic.  On May 6, 2020, the Prehearing Conference was rescheduled for May 20, 2020</w:t>
      </w:r>
      <w:r>
        <w:rPr>
          <w:sz w:val="26"/>
          <w:szCs w:val="26"/>
        </w:rPr>
        <w:t>, and was subsequently held as a Telephonic Conference on that date</w:t>
      </w:r>
      <w:r w:rsidRPr="00227761">
        <w:rPr>
          <w:sz w:val="26"/>
          <w:szCs w:val="26"/>
        </w:rPr>
        <w:t>.</w:t>
      </w:r>
    </w:p>
  </w:footnote>
  <w:footnote w:id="9">
    <w:p w14:paraId="40167526" w14:textId="2B2961DB" w:rsidR="00D10C62" w:rsidRPr="00BE7973" w:rsidRDefault="00D10C62" w:rsidP="004E6023">
      <w:pPr>
        <w:pStyle w:val="FootnoteText"/>
        <w:rPr>
          <w:sz w:val="26"/>
          <w:szCs w:val="26"/>
        </w:rPr>
      </w:pPr>
      <w:r>
        <w:rPr>
          <w:sz w:val="26"/>
          <w:szCs w:val="26"/>
        </w:rPr>
        <w:tab/>
      </w:r>
      <w:r w:rsidRPr="00BE7973">
        <w:rPr>
          <w:rStyle w:val="FootnoteReference"/>
          <w:sz w:val="26"/>
          <w:szCs w:val="26"/>
        </w:rPr>
        <w:footnoteRef/>
      </w:r>
      <w:r w:rsidRPr="00BE7973">
        <w:rPr>
          <w:sz w:val="26"/>
          <w:szCs w:val="26"/>
        </w:rPr>
        <w:tab/>
      </w:r>
      <w:r w:rsidRPr="002F42AE">
        <w:rPr>
          <w:i/>
          <w:sz w:val="26"/>
        </w:rPr>
        <w:t>See</w:t>
      </w:r>
      <w:r w:rsidRPr="00BE7973">
        <w:rPr>
          <w:sz w:val="26"/>
          <w:szCs w:val="26"/>
        </w:rPr>
        <w:t xml:space="preserve"> 66 Pa.</w:t>
      </w:r>
      <w:r>
        <w:rPr>
          <w:sz w:val="26"/>
          <w:szCs w:val="26"/>
        </w:rPr>
        <w:t xml:space="preserve"> </w:t>
      </w:r>
      <w:r w:rsidRPr="00BE7973">
        <w:rPr>
          <w:sz w:val="26"/>
          <w:szCs w:val="26"/>
        </w:rPr>
        <w:t>C.S.A. §§ 332(a), 315.</w:t>
      </w:r>
    </w:p>
  </w:footnote>
  <w:footnote w:id="10">
    <w:p w14:paraId="095EB81D" w14:textId="57955D80" w:rsidR="00D10C62" w:rsidRPr="00522E5B" w:rsidRDefault="00D10C62" w:rsidP="004E6023">
      <w:pPr>
        <w:pStyle w:val="FootnoteText"/>
        <w:rPr>
          <w:sz w:val="26"/>
          <w:szCs w:val="26"/>
        </w:rPr>
      </w:pPr>
      <w:r>
        <w:rPr>
          <w:sz w:val="26"/>
          <w:szCs w:val="26"/>
        </w:rPr>
        <w:tab/>
      </w:r>
      <w:r w:rsidRPr="00522E5B">
        <w:rPr>
          <w:rStyle w:val="FootnoteReference"/>
          <w:sz w:val="26"/>
          <w:szCs w:val="26"/>
        </w:rPr>
        <w:footnoteRef/>
      </w:r>
      <w:r w:rsidRPr="00522E5B">
        <w:rPr>
          <w:sz w:val="26"/>
          <w:szCs w:val="26"/>
        </w:rPr>
        <w:tab/>
        <w:t xml:space="preserve">Transmission lines are exempt from local zoning pursuant to well-established case law.  </w:t>
      </w:r>
      <w:r w:rsidRPr="00522E5B">
        <w:rPr>
          <w:i/>
          <w:sz w:val="26"/>
          <w:szCs w:val="26"/>
        </w:rPr>
        <w:t>See, e.g., Duquesne Light Co. v. Upper St. Clair Township</w:t>
      </w:r>
      <w:r w:rsidRPr="00522E5B">
        <w:rPr>
          <w:sz w:val="26"/>
          <w:szCs w:val="26"/>
        </w:rPr>
        <w:t>, 377</w:t>
      </w:r>
      <w:r w:rsidR="00B551A5">
        <w:rPr>
          <w:sz w:val="26"/>
          <w:szCs w:val="26"/>
        </w:rPr>
        <w:t> </w:t>
      </w:r>
      <w:r w:rsidRPr="00522E5B">
        <w:rPr>
          <w:sz w:val="26"/>
          <w:szCs w:val="26"/>
        </w:rPr>
        <w:t>Pa.</w:t>
      </w:r>
      <w:r w:rsidR="00B551A5">
        <w:rPr>
          <w:sz w:val="26"/>
          <w:szCs w:val="26"/>
        </w:rPr>
        <w:t> </w:t>
      </w:r>
      <w:r w:rsidRPr="00522E5B">
        <w:rPr>
          <w:sz w:val="26"/>
          <w:szCs w:val="26"/>
        </w:rPr>
        <w:t xml:space="preserve">323, 105 A.2d 287 (1954); </w:t>
      </w:r>
      <w:r w:rsidRPr="00522E5B">
        <w:rPr>
          <w:i/>
          <w:sz w:val="26"/>
          <w:szCs w:val="26"/>
        </w:rPr>
        <w:t>Duquesne Light Co. v. Monroeville Borough</w:t>
      </w:r>
      <w:r w:rsidRPr="00522E5B">
        <w:rPr>
          <w:sz w:val="26"/>
          <w:szCs w:val="26"/>
        </w:rPr>
        <w:t>, 449</w:t>
      </w:r>
      <w:r w:rsidR="00B551A5">
        <w:rPr>
          <w:sz w:val="26"/>
          <w:szCs w:val="26"/>
        </w:rPr>
        <w:t> </w:t>
      </w:r>
      <w:r w:rsidRPr="00522E5B">
        <w:rPr>
          <w:sz w:val="26"/>
          <w:szCs w:val="26"/>
        </w:rPr>
        <w:t>Pa.</w:t>
      </w:r>
      <w:r w:rsidR="00B551A5">
        <w:rPr>
          <w:sz w:val="26"/>
          <w:szCs w:val="26"/>
        </w:rPr>
        <w:t> </w:t>
      </w:r>
      <w:r w:rsidRPr="00522E5B">
        <w:rPr>
          <w:sz w:val="26"/>
          <w:szCs w:val="26"/>
        </w:rPr>
        <w:t xml:space="preserve">573, 580, 298 A.2d 252, 256 (1972); </w:t>
      </w:r>
      <w:r w:rsidRPr="00522E5B">
        <w:rPr>
          <w:i/>
          <w:sz w:val="26"/>
          <w:szCs w:val="26"/>
        </w:rPr>
        <w:t>County of Chester v. Philadelphia Electric Co.</w:t>
      </w:r>
      <w:r w:rsidRPr="00522E5B">
        <w:rPr>
          <w:sz w:val="26"/>
          <w:szCs w:val="26"/>
        </w:rPr>
        <w:t xml:space="preserve">, 420 Pa. 422, 425-26, 218 A.2d 331, 333 (1966); </w:t>
      </w:r>
      <w:r w:rsidRPr="00522E5B">
        <w:rPr>
          <w:i/>
          <w:sz w:val="26"/>
          <w:szCs w:val="26"/>
        </w:rPr>
        <w:t>Commonwealth v. Delaware &amp; Hudson Railway Co.</w:t>
      </w:r>
      <w:r w:rsidRPr="00522E5B">
        <w:rPr>
          <w:sz w:val="26"/>
          <w:szCs w:val="26"/>
        </w:rPr>
        <w:t>, 339 A.2</w:t>
      </w:r>
      <w:r>
        <w:rPr>
          <w:sz w:val="26"/>
          <w:szCs w:val="26"/>
        </w:rPr>
        <w:t>d 155, 157 (Pa. Cmwlth. 1975).</w:t>
      </w:r>
    </w:p>
  </w:footnote>
  <w:footnote w:id="11">
    <w:p w14:paraId="0BC48FEE" w14:textId="38A70E2D" w:rsidR="00D10C62" w:rsidRPr="00D44F4A" w:rsidRDefault="00D10C62" w:rsidP="00B6319E">
      <w:pPr>
        <w:pStyle w:val="FootnoteText"/>
        <w:ind w:firstLine="720"/>
        <w:rPr>
          <w:sz w:val="26"/>
          <w:szCs w:val="26"/>
        </w:rPr>
      </w:pPr>
      <w:r w:rsidRPr="00D44F4A">
        <w:rPr>
          <w:rStyle w:val="FootnoteReference"/>
          <w:sz w:val="26"/>
          <w:szCs w:val="26"/>
        </w:rPr>
        <w:footnoteRef/>
      </w:r>
      <w:r w:rsidRPr="00D44F4A">
        <w:rPr>
          <w:sz w:val="26"/>
          <w:szCs w:val="26"/>
        </w:rPr>
        <w:t xml:space="preserve"> </w:t>
      </w:r>
      <w:r w:rsidRPr="00D44F4A">
        <w:rPr>
          <w:sz w:val="26"/>
          <w:szCs w:val="26"/>
        </w:rPr>
        <w:tab/>
      </w:r>
      <w:r w:rsidRPr="00D44F4A">
        <w:rPr>
          <w:i/>
          <w:sz w:val="26"/>
          <w:szCs w:val="26"/>
        </w:rPr>
        <w:t>Transmission Planning and Cost Allocation by Transmission Owning and Operating Public Utilities</w:t>
      </w:r>
      <w:r w:rsidRPr="00D44F4A">
        <w:rPr>
          <w:sz w:val="26"/>
          <w:szCs w:val="26"/>
        </w:rPr>
        <w:t>, 76 Fed. Reg. ¶ 49,842, 49,861 (Aug. 11, 2011) (FERC Order No. 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C11"/>
    <w:multiLevelType w:val="hybridMultilevel"/>
    <w:tmpl w:val="5842656C"/>
    <w:lvl w:ilvl="0" w:tplc="651C733C">
      <w:start w:val="1"/>
      <w:numFmt w:val="decimal"/>
      <w:pStyle w:val="TOCH3"/>
      <w:lvlText w:val="%1."/>
      <w:lvlJc w:val="left"/>
      <w:pPr>
        <w:ind w:left="1080" w:hanging="360"/>
      </w:pPr>
      <w:rPr>
        <w:rFonts w:ascii="Times New Roman" w:hAnsi="Times New Roman" w:hint="default"/>
        <w:sz w:val="26"/>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15:restartNumberingAfterBreak="0">
    <w:nsid w:val="06423932"/>
    <w:multiLevelType w:val="hybridMultilevel"/>
    <w:tmpl w:val="DEB679FC"/>
    <w:lvl w:ilvl="0" w:tplc="0409000F">
      <w:start w:val="1"/>
      <w:numFmt w:val="decimal"/>
      <w:lvlText w:val="%1."/>
      <w:lvlJc w:val="left"/>
      <w:pPr>
        <w:ind w:left="10440" w:hanging="360"/>
      </w:p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2" w15:restartNumberingAfterBreak="0">
    <w:nsid w:val="0A187A97"/>
    <w:multiLevelType w:val="hybridMultilevel"/>
    <w:tmpl w:val="1A4889B4"/>
    <w:lvl w:ilvl="0" w:tplc="642EA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21286"/>
    <w:multiLevelType w:val="hybridMultilevel"/>
    <w:tmpl w:val="D252211C"/>
    <w:lvl w:ilvl="0" w:tplc="203C0EB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5013D"/>
    <w:multiLevelType w:val="hybridMultilevel"/>
    <w:tmpl w:val="EC028F2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22A37F89"/>
    <w:multiLevelType w:val="hybridMultilevel"/>
    <w:tmpl w:val="C728C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C215A"/>
    <w:multiLevelType w:val="hybridMultilevel"/>
    <w:tmpl w:val="5CEC2910"/>
    <w:lvl w:ilvl="0" w:tplc="A8B01252">
      <w:start w:val="1"/>
      <w:numFmt w:val="lowerLetter"/>
      <w:pStyle w:val="TOCH4"/>
      <w:lvlText w:val="%1."/>
      <w:lvlJc w:val="left"/>
      <w:pPr>
        <w:ind w:left="2160" w:hanging="360"/>
      </w:pPr>
      <w:rPr>
        <w:rFonts w:hint="default"/>
        <w:sz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AC340FC"/>
    <w:multiLevelType w:val="hybridMultilevel"/>
    <w:tmpl w:val="802C7856"/>
    <w:lvl w:ilvl="0" w:tplc="20EE9730">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2335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4F32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EB70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0CEF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E3C4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A112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00FF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2CF3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8209FB"/>
    <w:multiLevelType w:val="hybridMultilevel"/>
    <w:tmpl w:val="1FEAAEB2"/>
    <w:lvl w:ilvl="0" w:tplc="6C6CF95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E2030"/>
    <w:multiLevelType w:val="hybridMultilevel"/>
    <w:tmpl w:val="E35CDA00"/>
    <w:lvl w:ilvl="0" w:tplc="8054ACB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8327CB"/>
    <w:multiLevelType w:val="hybridMultilevel"/>
    <w:tmpl w:val="C9B8398E"/>
    <w:lvl w:ilvl="0" w:tplc="0409000F">
      <w:start w:val="1"/>
      <w:numFmt w:val="decimal"/>
      <w:lvlText w:val="%1."/>
      <w:lvlJc w:val="left"/>
      <w:pPr>
        <w:ind w:left="10440" w:hanging="360"/>
      </w:p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1" w15:restartNumberingAfterBreak="0">
    <w:nsid w:val="3D494F77"/>
    <w:multiLevelType w:val="hybridMultilevel"/>
    <w:tmpl w:val="8280DAF4"/>
    <w:lvl w:ilvl="0" w:tplc="48D6CF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C2416">
      <w:start w:val="1"/>
      <w:numFmt w:val="decimal"/>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2F4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AE2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2D7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846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84F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E68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037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4A600A"/>
    <w:multiLevelType w:val="hybridMultilevel"/>
    <w:tmpl w:val="D8EEA64E"/>
    <w:lvl w:ilvl="0" w:tplc="8738FB7A">
      <w:start w:val="1"/>
      <w:numFmt w:val="decimal"/>
      <w:pStyle w:val="Heading3"/>
      <w:lvlText w:val="%1."/>
      <w:lvlJc w:val="left"/>
      <w:pPr>
        <w:ind w:left="6480" w:hanging="360"/>
      </w:pPr>
      <w:rPr>
        <w:rFonts w:ascii="Times New Roman" w:hAnsi="Times New Roman" w:hint="default"/>
        <w:sz w:val="26"/>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47BF2C7E"/>
    <w:multiLevelType w:val="hybridMultilevel"/>
    <w:tmpl w:val="CE5C3392"/>
    <w:lvl w:ilvl="0" w:tplc="E3F034FA">
      <w:start w:val="1"/>
      <w:numFmt w:val="lowerRoman"/>
      <w:pStyle w:val="TOCH5"/>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0B43D4A"/>
    <w:multiLevelType w:val="hybridMultilevel"/>
    <w:tmpl w:val="1D28F02E"/>
    <w:lvl w:ilvl="0" w:tplc="9320D6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223554E"/>
    <w:multiLevelType w:val="hybridMultilevel"/>
    <w:tmpl w:val="B7388058"/>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6" w15:restartNumberingAfterBreak="0">
    <w:nsid w:val="55207DA5"/>
    <w:multiLevelType w:val="hybridMultilevel"/>
    <w:tmpl w:val="45EE0BD0"/>
    <w:lvl w:ilvl="0" w:tplc="703AE7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323F00"/>
    <w:multiLevelType w:val="hybridMultilevel"/>
    <w:tmpl w:val="6E089BB8"/>
    <w:lvl w:ilvl="0" w:tplc="37120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887B37"/>
    <w:multiLevelType w:val="hybridMultilevel"/>
    <w:tmpl w:val="F356D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50DA2398">
      <w:start w:val="3"/>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6068E5CE">
      <w:start w:val="1"/>
      <w:numFmt w:val="decimal"/>
      <w:lvlText w:val="%7."/>
      <w:lvlJc w:val="left"/>
      <w:pPr>
        <w:ind w:left="6120" w:hanging="360"/>
      </w:pPr>
      <w:rPr>
        <w:rFonts w:hint="default"/>
      </w:r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72516EE4"/>
    <w:multiLevelType w:val="hybridMultilevel"/>
    <w:tmpl w:val="D200CFFE"/>
    <w:lvl w:ilvl="0" w:tplc="91BE9BF0">
      <w:start w:val="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77B8F"/>
    <w:multiLevelType w:val="hybridMultilevel"/>
    <w:tmpl w:val="8006EDBE"/>
    <w:lvl w:ilvl="0" w:tplc="4F607EC2">
      <w:start w:val="1"/>
      <w:numFmt w:val="upperLetter"/>
      <w:pStyle w:val="TOCH2"/>
      <w:lvlText w:val="%1."/>
      <w:lvlJc w:val="left"/>
      <w:pPr>
        <w:ind w:left="3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7A514F97"/>
    <w:multiLevelType w:val="hybridMultilevel"/>
    <w:tmpl w:val="A1A828B0"/>
    <w:lvl w:ilvl="0" w:tplc="0409000F">
      <w:start w:val="1"/>
      <w:numFmt w:val="decimal"/>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2" w15:restartNumberingAfterBreak="0">
    <w:nsid w:val="7D185DEB"/>
    <w:multiLevelType w:val="hybridMultilevel"/>
    <w:tmpl w:val="18D62696"/>
    <w:lvl w:ilvl="0" w:tplc="95183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22"/>
  </w:num>
  <w:num w:numId="6">
    <w:abstractNumId w:val="18"/>
  </w:num>
  <w:num w:numId="7">
    <w:abstractNumId w:val="20"/>
  </w:num>
  <w:num w:numId="8">
    <w:abstractNumId w:val="4"/>
  </w:num>
  <w:num w:numId="9">
    <w:abstractNumId w:val="15"/>
  </w:num>
  <w:num w:numId="10">
    <w:abstractNumId w:val="21"/>
  </w:num>
  <w:num w:numId="11">
    <w:abstractNumId w:val="1"/>
  </w:num>
  <w:num w:numId="12">
    <w:abstractNumId w:val="10"/>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12"/>
  </w:num>
  <w:num w:numId="20">
    <w:abstractNumId w:val="12"/>
    <w:lvlOverride w:ilvl="0">
      <w:startOverride w:val="1"/>
    </w:lvlOverride>
  </w:num>
  <w:num w:numId="21">
    <w:abstractNumId w:val="12"/>
    <w:lvlOverride w:ilvl="0">
      <w:startOverride w:val="4"/>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8"/>
    <w:lvlOverride w:ilvl="0">
      <w:startOverride w:val="7"/>
    </w:lvlOverride>
  </w:num>
  <w:num w:numId="29">
    <w:abstractNumId w:val="0"/>
    <w:lvlOverride w:ilvl="0">
      <w:startOverride w:val="1"/>
    </w:lvlOverride>
  </w:num>
  <w:num w:numId="30">
    <w:abstractNumId w:val="0"/>
    <w:lvlOverride w:ilvl="0">
      <w:startOverride w:val="1"/>
    </w:lvlOverride>
  </w:num>
  <w:num w:numId="31">
    <w:abstractNumId w:val="5"/>
  </w:num>
  <w:num w:numId="32">
    <w:abstractNumId w:val="2"/>
  </w:num>
  <w:num w:numId="33">
    <w:abstractNumId w:val="16"/>
  </w:num>
  <w:num w:numId="34">
    <w:abstractNumId w:val="11"/>
  </w:num>
  <w:num w:numId="35">
    <w:abstractNumId w:val="3"/>
  </w:num>
  <w:num w:numId="36">
    <w:abstractNumId w:val="6"/>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13"/>
  </w:num>
  <w:num w:numId="45">
    <w:abstractNumId w:val="14"/>
  </w:num>
  <w:num w:numId="46">
    <w:abstractNumId w:val="17"/>
  </w:num>
  <w:num w:numId="47">
    <w:abstractNumId w:val="13"/>
    <w:lvlOverride w:ilvl="0">
      <w:startOverride w:val="1"/>
    </w:lvlOverride>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8B"/>
    <w:rsid w:val="0000003D"/>
    <w:rsid w:val="000019FD"/>
    <w:rsid w:val="00004123"/>
    <w:rsid w:val="00004252"/>
    <w:rsid w:val="00004D8C"/>
    <w:rsid w:val="00010BFE"/>
    <w:rsid w:val="000117DD"/>
    <w:rsid w:val="00011996"/>
    <w:rsid w:val="0001359E"/>
    <w:rsid w:val="0001360A"/>
    <w:rsid w:val="000139F7"/>
    <w:rsid w:val="00013E32"/>
    <w:rsid w:val="00013EC4"/>
    <w:rsid w:val="000208AC"/>
    <w:rsid w:val="00020A01"/>
    <w:rsid w:val="00021D04"/>
    <w:rsid w:val="00022D03"/>
    <w:rsid w:val="00023574"/>
    <w:rsid w:val="00023CF8"/>
    <w:rsid w:val="0002446D"/>
    <w:rsid w:val="00024590"/>
    <w:rsid w:val="00024F16"/>
    <w:rsid w:val="0002589C"/>
    <w:rsid w:val="00030F02"/>
    <w:rsid w:val="00032010"/>
    <w:rsid w:val="00033EE7"/>
    <w:rsid w:val="00033F02"/>
    <w:rsid w:val="000352F7"/>
    <w:rsid w:val="00035DBB"/>
    <w:rsid w:val="000364F9"/>
    <w:rsid w:val="00036FFB"/>
    <w:rsid w:val="0003744A"/>
    <w:rsid w:val="000377DD"/>
    <w:rsid w:val="000378AA"/>
    <w:rsid w:val="0004058E"/>
    <w:rsid w:val="00041468"/>
    <w:rsid w:val="00042559"/>
    <w:rsid w:val="00044A10"/>
    <w:rsid w:val="000457F8"/>
    <w:rsid w:val="00046377"/>
    <w:rsid w:val="00046667"/>
    <w:rsid w:val="00046CC6"/>
    <w:rsid w:val="00047ED8"/>
    <w:rsid w:val="00050051"/>
    <w:rsid w:val="00050442"/>
    <w:rsid w:val="000508F7"/>
    <w:rsid w:val="000511A3"/>
    <w:rsid w:val="00051AF4"/>
    <w:rsid w:val="00052770"/>
    <w:rsid w:val="00052E0F"/>
    <w:rsid w:val="00053C72"/>
    <w:rsid w:val="00054056"/>
    <w:rsid w:val="00055AC3"/>
    <w:rsid w:val="00056580"/>
    <w:rsid w:val="00057C34"/>
    <w:rsid w:val="00060354"/>
    <w:rsid w:val="00060764"/>
    <w:rsid w:val="000609E6"/>
    <w:rsid w:val="000615CB"/>
    <w:rsid w:val="00061C27"/>
    <w:rsid w:val="00062319"/>
    <w:rsid w:val="000625DC"/>
    <w:rsid w:val="00063047"/>
    <w:rsid w:val="00063F9B"/>
    <w:rsid w:val="00065359"/>
    <w:rsid w:val="00066AAA"/>
    <w:rsid w:val="000705B9"/>
    <w:rsid w:val="00071103"/>
    <w:rsid w:val="00074D05"/>
    <w:rsid w:val="000778FF"/>
    <w:rsid w:val="00080236"/>
    <w:rsid w:val="0008023D"/>
    <w:rsid w:val="000819EB"/>
    <w:rsid w:val="00084A0D"/>
    <w:rsid w:val="00084C05"/>
    <w:rsid w:val="000852F3"/>
    <w:rsid w:val="00085B35"/>
    <w:rsid w:val="00085CE0"/>
    <w:rsid w:val="000860CB"/>
    <w:rsid w:val="00086B39"/>
    <w:rsid w:val="0009007F"/>
    <w:rsid w:val="0009171E"/>
    <w:rsid w:val="00091D5E"/>
    <w:rsid w:val="00092076"/>
    <w:rsid w:val="00094CD5"/>
    <w:rsid w:val="000950BD"/>
    <w:rsid w:val="00096B10"/>
    <w:rsid w:val="000A3772"/>
    <w:rsid w:val="000A4153"/>
    <w:rsid w:val="000A42C8"/>
    <w:rsid w:val="000A5319"/>
    <w:rsid w:val="000A5A85"/>
    <w:rsid w:val="000A727E"/>
    <w:rsid w:val="000A7429"/>
    <w:rsid w:val="000A76F9"/>
    <w:rsid w:val="000A78BB"/>
    <w:rsid w:val="000A7BBA"/>
    <w:rsid w:val="000B124E"/>
    <w:rsid w:val="000B1F47"/>
    <w:rsid w:val="000B20EA"/>
    <w:rsid w:val="000B37ED"/>
    <w:rsid w:val="000B54B2"/>
    <w:rsid w:val="000B701B"/>
    <w:rsid w:val="000B75AC"/>
    <w:rsid w:val="000C0854"/>
    <w:rsid w:val="000C2581"/>
    <w:rsid w:val="000C25D8"/>
    <w:rsid w:val="000C4C4A"/>
    <w:rsid w:val="000C6E37"/>
    <w:rsid w:val="000C7494"/>
    <w:rsid w:val="000D0995"/>
    <w:rsid w:val="000D1307"/>
    <w:rsid w:val="000D2144"/>
    <w:rsid w:val="000D4B92"/>
    <w:rsid w:val="000D61DE"/>
    <w:rsid w:val="000D6361"/>
    <w:rsid w:val="000E02E3"/>
    <w:rsid w:val="000E2454"/>
    <w:rsid w:val="000E2C31"/>
    <w:rsid w:val="000E333C"/>
    <w:rsid w:val="000E33D6"/>
    <w:rsid w:val="000E3798"/>
    <w:rsid w:val="000E3CE0"/>
    <w:rsid w:val="000F0110"/>
    <w:rsid w:val="000F127C"/>
    <w:rsid w:val="000F26F7"/>
    <w:rsid w:val="000F2930"/>
    <w:rsid w:val="000F2EA5"/>
    <w:rsid w:val="000F4E5D"/>
    <w:rsid w:val="000F7139"/>
    <w:rsid w:val="000F7CB9"/>
    <w:rsid w:val="00102819"/>
    <w:rsid w:val="00102D61"/>
    <w:rsid w:val="0010371C"/>
    <w:rsid w:val="00104EAC"/>
    <w:rsid w:val="001060CB"/>
    <w:rsid w:val="00107478"/>
    <w:rsid w:val="00107A82"/>
    <w:rsid w:val="001104A1"/>
    <w:rsid w:val="00112E93"/>
    <w:rsid w:val="00113779"/>
    <w:rsid w:val="00113FA3"/>
    <w:rsid w:val="00114F28"/>
    <w:rsid w:val="001166F3"/>
    <w:rsid w:val="00117342"/>
    <w:rsid w:val="0012047F"/>
    <w:rsid w:val="00120E71"/>
    <w:rsid w:val="001223B9"/>
    <w:rsid w:val="001232CD"/>
    <w:rsid w:val="00124869"/>
    <w:rsid w:val="0012490C"/>
    <w:rsid w:val="00124F19"/>
    <w:rsid w:val="0012776B"/>
    <w:rsid w:val="00127E36"/>
    <w:rsid w:val="00130698"/>
    <w:rsid w:val="00131086"/>
    <w:rsid w:val="00132903"/>
    <w:rsid w:val="00133D8C"/>
    <w:rsid w:val="001344BE"/>
    <w:rsid w:val="00134C14"/>
    <w:rsid w:val="00135687"/>
    <w:rsid w:val="00136031"/>
    <w:rsid w:val="00140B7A"/>
    <w:rsid w:val="0014170E"/>
    <w:rsid w:val="001429BA"/>
    <w:rsid w:val="00142CB0"/>
    <w:rsid w:val="00143CAC"/>
    <w:rsid w:val="00145007"/>
    <w:rsid w:val="00146ED6"/>
    <w:rsid w:val="0015275F"/>
    <w:rsid w:val="001533EA"/>
    <w:rsid w:val="001539ED"/>
    <w:rsid w:val="00155E7C"/>
    <w:rsid w:val="001578A0"/>
    <w:rsid w:val="001578CF"/>
    <w:rsid w:val="00160F5C"/>
    <w:rsid w:val="001618F3"/>
    <w:rsid w:val="00161C41"/>
    <w:rsid w:val="00162EFE"/>
    <w:rsid w:val="00163CBF"/>
    <w:rsid w:val="0016427C"/>
    <w:rsid w:val="001645FA"/>
    <w:rsid w:val="00165E5A"/>
    <w:rsid w:val="00166B39"/>
    <w:rsid w:val="00166B95"/>
    <w:rsid w:val="0016771F"/>
    <w:rsid w:val="00170161"/>
    <w:rsid w:val="00171B97"/>
    <w:rsid w:val="00173FF8"/>
    <w:rsid w:val="0017430F"/>
    <w:rsid w:val="00174484"/>
    <w:rsid w:val="0017451F"/>
    <w:rsid w:val="00176801"/>
    <w:rsid w:val="00177488"/>
    <w:rsid w:val="00177556"/>
    <w:rsid w:val="001775F8"/>
    <w:rsid w:val="001816FC"/>
    <w:rsid w:val="001817F8"/>
    <w:rsid w:val="00181FBA"/>
    <w:rsid w:val="00181FE3"/>
    <w:rsid w:val="00184A96"/>
    <w:rsid w:val="001854B8"/>
    <w:rsid w:val="00185A8F"/>
    <w:rsid w:val="00186ADA"/>
    <w:rsid w:val="001871E9"/>
    <w:rsid w:val="00187529"/>
    <w:rsid w:val="0019121B"/>
    <w:rsid w:val="00193469"/>
    <w:rsid w:val="00194195"/>
    <w:rsid w:val="001A1B00"/>
    <w:rsid w:val="001A221F"/>
    <w:rsid w:val="001A2498"/>
    <w:rsid w:val="001A32FA"/>
    <w:rsid w:val="001A40BC"/>
    <w:rsid w:val="001A5646"/>
    <w:rsid w:val="001A5C2C"/>
    <w:rsid w:val="001B07B6"/>
    <w:rsid w:val="001B1A48"/>
    <w:rsid w:val="001B34FA"/>
    <w:rsid w:val="001B42C3"/>
    <w:rsid w:val="001B594C"/>
    <w:rsid w:val="001B5C75"/>
    <w:rsid w:val="001B6B6F"/>
    <w:rsid w:val="001B7C82"/>
    <w:rsid w:val="001C0F1C"/>
    <w:rsid w:val="001C1FFC"/>
    <w:rsid w:val="001C20D5"/>
    <w:rsid w:val="001C225D"/>
    <w:rsid w:val="001C44CC"/>
    <w:rsid w:val="001C5630"/>
    <w:rsid w:val="001C5641"/>
    <w:rsid w:val="001C56E5"/>
    <w:rsid w:val="001C6424"/>
    <w:rsid w:val="001C6BB2"/>
    <w:rsid w:val="001C6C59"/>
    <w:rsid w:val="001C766A"/>
    <w:rsid w:val="001C7E81"/>
    <w:rsid w:val="001D0798"/>
    <w:rsid w:val="001D0F3B"/>
    <w:rsid w:val="001D1E14"/>
    <w:rsid w:val="001D2108"/>
    <w:rsid w:val="001D578C"/>
    <w:rsid w:val="001D5AC2"/>
    <w:rsid w:val="001D5C90"/>
    <w:rsid w:val="001D5F2C"/>
    <w:rsid w:val="001E1F2E"/>
    <w:rsid w:val="001E222B"/>
    <w:rsid w:val="001E2646"/>
    <w:rsid w:val="001E3FEA"/>
    <w:rsid w:val="001E450A"/>
    <w:rsid w:val="001E4819"/>
    <w:rsid w:val="001E54C0"/>
    <w:rsid w:val="001F125D"/>
    <w:rsid w:val="001F128C"/>
    <w:rsid w:val="001F257F"/>
    <w:rsid w:val="001F364B"/>
    <w:rsid w:val="001F3C78"/>
    <w:rsid w:val="001F5732"/>
    <w:rsid w:val="001F7549"/>
    <w:rsid w:val="001F775D"/>
    <w:rsid w:val="001F7FD6"/>
    <w:rsid w:val="00200349"/>
    <w:rsid w:val="0020166D"/>
    <w:rsid w:val="00201A24"/>
    <w:rsid w:val="00201FC7"/>
    <w:rsid w:val="00202085"/>
    <w:rsid w:val="00204533"/>
    <w:rsid w:val="00204D92"/>
    <w:rsid w:val="002057B1"/>
    <w:rsid w:val="0020633B"/>
    <w:rsid w:val="002110A6"/>
    <w:rsid w:val="002110D2"/>
    <w:rsid w:val="00211D0D"/>
    <w:rsid w:val="00211DE1"/>
    <w:rsid w:val="0021221D"/>
    <w:rsid w:val="0021408D"/>
    <w:rsid w:val="00214D8D"/>
    <w:rsid w:val="002163A3"/>
    <w:rsid w:val="00216531"/>
    <w:rsid w:val="00216641"/>
    <w:rsid w:val="00217F71"/>
    <w:rsid w:val="00220E60"/>
    <w:rsid w:val="00222109"/>
    <w:rsid w:val="00222937"/>
    <w:rsid w:val="00224931"/>
    <w:rsid w:val="00225CB1"/>
    <w:rsid w:val="0022617C"/>
    <w:rsid w:val="002263AF"/>
    <w:rsid w:val="00226E24"/>
    <w:rsid w:val="002270BF"/>
    <w:rsid w:val="00227761"/>
    <w:rsid w:val="00227BDF"/>
    <w:rsid w:val="00227D74"/>
    <w:rsid w:val="0023166F"/>
    <w:rsid w:val="00231977"/>
    <w:rsid w:val="00232212"/>
    <w:rsid w:val="00234E19"/>
    <w:rsid w:val="00234E49"/>
    <w:rsid w:val="00240410"/>
    <w:rsid w:val="0024184E"/>
    <w:rsid w:val="00242C90"/>
    <w:rsid w:val="00245178"/>
    <w:rsid w:val="00245211"/>
    <w:rsid w:val="002457DD"/>
    <w:rsid w:val="00245BDE"/>
    <w:rsid w:val="00245FF6"/>
    <w:rsid w:val="0024645F"/>
    <w:rsid w:val="002472B9"/>
    <w:rsid w:val="002479CD"/>
    <w:rsid w:val="00251C68"/>
    <w:rsid w:val="00252E6B"/>
    <w:rsid w:val="0025372F"/>
    <w:rsid w:val="0025487A"/>
    <w:rsid w:val="00254CBF"/>
    <w:rsid w:val="00255BE1"/>
    <w:rsid w:val="00256B3E"/>
    <w:rsid w:val="002575A1"/>
    <w:rsid w:val="00260A38"/>
    <w:rsid w:val="00260C59"/>
    <w:rsid w:val="00261802"/>
    <w:rsid w:val="00262574"/>
    <w:rsid w:val="002626A3"/>
    <w:rsid w:val="00263AE0"/>
    <w:rsid w:val="00263C5F"/>
    <w:rsid w:val="0026451C"/>
    <w:rsid w:val="0026522B"/>
    <w:rsid w:val="002671E5"/>
    <w:rsid w:val="00267689"/>
    <w:rsid w:val="002679FE"/>
    <w:rsid w:val="00267E2E"/>
    <w:rsid w:val="00271446"/>
    <w:rsid w:val="002724B1"/>
    <w:rsid w:val="0027262E"/>
    <w:rsid w:val="00274885"/>
    <w:rsid w:val="00276016"/>
    <w:rsid w:val="00276C35"/>
    <w:rsid w:val="00277A41"/>
    <w:rsid w:val="002803CF"/>
    <w:rsid w:val="00280882"/>
    <w:rsid w:val="00281D49"/>
    <w:rsid w:val="00282312"/>
    <w:rsid w:val="00283298"/>
    <w:rsid w:val="0028371B"/>
    <w:rsid w:val="00285FE5"/>
    <w:rsid w:val="002870D4"/>
    <w:rsid w:val="002876A3"/>
    <w:rsid w:val="00287BDE"/>
    <w:rsid w:val="0029089D"/>
    <w:rsid w:val="00292576"/>
    <w:rsid w:val="00292800"/>
    <w:rsid w:val="00292EB1"/>
    <w:rsid w:val="002938AC"/>
    <w:rsid w:val="00294408"/>
    <w:rsid w:val="00296F10"/>
    <w:rsid w:val="002977F3"/>
    <w:rsid w:val="002A24E9"/>
    <w:rsid w:val="002A2A1B"/>
    <w:rsid w:val="002A38AD"/>
    <w:rsid w:val="002A3C3A"/>
    <w:rsid w:val="002A471B"/>
    <w:rsid w:val="002A62FA"/>
    <w:rsid w:val="002A7515"/>
    <w:rsid w:val="002A76B6"/>
    <w:rsid w:val="002A7D87"/>
    <w:rsid w:val="002B0D67"/>
    <w:rsid w:val="002B14FE"/>
    <w:rsid w:val="002B180B"/>
    <w:rsid w:val="002B283C"/>
    <w:rsid w:val="002B286D"/>
    <w:rsid w:val="002B3AA4"/>
    <w:rsid w:val="002B4288"/>
    <w:rsid w:val="002B4AA1"/>
    <w:rsid w:val="002B7F86"/>
    <w:rsid w:val="002C1B39"/>
    <w:rsid w:val="002C1C1C"/>
    <w:rsid w:val="002C21B5"/>
    <w:rsid w:val="002C25AA"/>
    <w:rsid w:val="002C2C15"/>
    <w:rsid w:val="002C4869"/>
    <w:rsid w:val="002C51B5"/>
    <w:rsid w:val="002C51EC"/>
    <w:rsid w:val="002C5F83"/>
    <w:rsid w:val="002C60A2"/>
    <w:rsid w:val="002C60AF"/>
    <w:rsid w:val="002C6209"/>
    <w:rsid w:val="002C6922"/>
    <w:rsid w:val="002C7CFC"/>
    <w:rsid w:val="002D00AE"/>
    <w:rsid w:val="002D03FA"/>
    <w:rsid w:val="002D09E1"/>
    <w:rsid w:val="002D0B82"/>
    <w:rsid w:val="002D340E"/>
    <w:rsid w:val="002D3710"/>
    <w:rsid w:val="002D3AFF"/>
    <w:rsid w:val="002D5CCD"/>
    <w:rsid w:val="002D69EB"/>
    <w:rsid w:val="002D7220"/>
    <w:rsid w:val="002D74B4"/>
    <w:rsid w:val="002D7680"/>
    <w:rsid w:val="002E131C"/>
    <w:rsid w:val="002E3CED"/>
    <w:rsid w:val="002E42E5"/>
    <w:rsid w:val="002E545C"/>
    <w:rsid w:val="002E7273"/>
    <w:rsid w:val="002E72F1"/>
    <w:rsid w:val="002E7AD2"/>
    <w:rsid w:val="002F1B92"/>
    <w:rsid w:val="002F2F8B"/>
    <w:rsid w:val="002F42AE"/>
    <w:rsid w:val="002F581B"/>
    <w:rsid w:val="002F709E"/>
    <w:rsid w:val="003026D9"/>
    <w:rsid w:val="00303DDE"/>
    <w:rsid w:val="003077C4"/>
    <w:rsid w:val="003111AE"/>
    <w:rsid w:val="00311A9A"/>
    <w:rsid w:val="003125B0"/>
    <w:rsid w:val="0031303E"/>
    <w:rsid w:val="00313FC5"/>
    <w:rsid w:val="0031645D"/>
    <w:rsid w:val="0031688A"/>
    <w:rsid w:val="00316B38"/>
    <w:rsid w:val="00317CB8"/>
    <w:rsid w:val="00321F6B"/>
    <w:rsid w:val="003236F7"/>
    <w:rsid w:val="00326B07"/>
    <w:rsid w:val="00326F1D"/>
    <w:rsid w:val="00327094"/>
    <w:rsid w:val="00327E71"/>
    <w:rsid w:val="003305AF"/>
    <w:rsid w:val="00332B87"/>
    <w:rsid w:val="00333983"/>
    <w:rsid w:val="003345A8"/>
    <w:rsid w:val="00335F77"/>
    <w:rsid w:val="00337E84"/>
    <w:rsid w:val="0034020B"/>
    <w:rsid w:val="00340AFB"/>
    <w:rsid w:val="00341373"/>
    <w:rsid w:val="003419F0"/>
    <w:rsid w:val="00341A73"/>
    <w:rsid w:val="00341EFA"/>
    <w:rsid w:val="00342912"/>
    <w:rsid w:val="00343369"/>
    <w:rsid w:val="00343676"/>
    <w:rsid w:val="00344352"/>
    <w:rsid w:val="003445EF"/>
    <w:rsid w:val="0034508C"/>
    <w:rsid w:val="00345292"/>
    <w:rsid w:val="003475BA"/>
    <w:rsid w:val="00347C92"/>
    <w:rsid w:val="00351948"/>
    <w:rsid w:val="003524C6"/>
    <w:rsid w:val="00352AA7"/>
    <w:rsid w:val="00352C2C"/>
    <w:rsid w:val="003533DF"/>
    <w:rsid w:val="00353B32"/>
    <w:rsid w:val="00353F9B"/>
    <w:rsid w:val="00354021"/>
    <w:rsid w:val="003553D6"/>
    <w:rsid w:val="003605C5"/>
    <w:rsid w:val="00361D81"/>
    <w:rsid w:val="0036341A"/>
    <w:rsid w:val="00364881"/>
    <w:rsid w:val="00364E1C"/>
    <w:rsid w:val="00365820"/>
    <w:rsid w:val="00366F30"/>
    <w:rsid w:val="0037048B"/>
    <w:rsid w:val="00370D3D"/>
    <w:rsid w:val="00371B9D"/>
    <w:rsid w:val="00372E63"/>
    <w:rsid w:val="003744CB"/>
    <w:rsid w:val="003750A7"/>
    <w:rsid w:val="0037525F"/>
    <w:rsid w:val="003754BB"/>
    <w:rsid w:val="0037574E"/>
    <w:rsid w:val="00375BAB"/>
    <w:rsid w:val="00375BEF"/>
    <w:rsid w:val="0037661C"/>
    <w:rsid w:val="00380987"/>
    <w:rsid w:val="00382BBE"/>
    <w:rsid w:val="00384F06"/>
    <w:rsid w:val="003862A8"/>
    <w:rsid w:val="0038756C"/>
    <w:rsid w:val="0038761D"/>
    <w:rsid w:val="00387F1D"/>
    <w:rsid w:val="00390803"/>
    <w:rsid w:val="003944DC"/>
    <w:rsid w:val="0039494A"/>
    <w:rsid w:val="003949AE"/>
    <w:rsid w:val="00394C9D"/>
    <w:rsid w:val="003A16ED"/>
    <w:rsid w:val="003A26D8"/>
    <w:rsid w:val="003A4CC8"/>
    <w:rsid w:val="003A501C"/>
    <w:rsid w:val="003A5209"/>
    <w:rsid w:val="003A54BE"/>
    <w:rsid w:val="003A6A28"/>
    <w:rsid w:val="003A757D"/>
    <w:rsid w:val="003B145F"/>
    <w:rsid w:val="003B1D04"/>
    <w:rsid w:val="003B3B3D"/>
    <w:rsid w:val="003B496C"/>
    <w:rsid w:val="003B4ED8"/>
    <w:rsid w:val="003B6519"/>
    <w:rsid w:val="003B7002"/>
    <w:rsid w:val="003B76AB"/>
    <w:rsid w:val="003C03D4"/>
    <w:rsid w:val="003C10C5"/>
    <w:rsid w:val="003C1DE0"/>
    <w:rsid w:val="003C21EF"/>
    <w:rsid w:val="003D10B7"/>
    <w:rsid w:val="003D1B9B"/>
    <w:rsid w:val="003D4B9B"/>
    <w:rsid w:val="003D615E"/>
    <w:rsid w:val="003D67AF"/>
    <w:rsid w:val="003D7CA2"/>
    <w:rsid w:val="003E1D4C"/>
    <w:rsid w:val="003E34AD"/>
    <w:rsid w:val="003E36D5"/>
    <w:rsid w:val="003E3902"/>
    <w:rsid w:val="003E43B8"/>
    <w:rsid w:val="003E4AF3"/>
    <w:rsid w:val="003E5305"/>
    <w:rsid w:val="003E55DC"/>
    <w:rsid w:val="003E59E8"/>
    <w:rsid w:val="003E70F3"/>
    <w:rsid w:val="003E7AD1"/>
    <w:rsid w:val="003E7D79"/>
    <w:rsid w:val="003F0C8A"/>
    <w:rsid w:val="003F12A7"/>
    <w:rsid w:val="003F171E"/>
    <w:rsid w:val="003F1D54"/>
    <w:rsid w:val="003F28F9"/>
    <w:rsid w:val="003F30BA"/>
    <w:rsid w:val="003F354D"/>
    <w:rsid w:val="003F4997"/>
    <w:rsid w:val="003F49AD"/>
    <w:rsid w:val="003F4FA2"/>
    <w:rsid w:val="003F5005"/>
    <w:rsid w:val="003F52FF"/>
    <w:rsid w:val="003F70DC"/>
    <w:rsid w:val="003F795A"/>
    <w:rsid w:val="0040001F"/>
    <w:rsid w:val="00400238"/>
    <w:rsid w:val="0040113B"/>
    <w:rsid w:val="004038EF"/>
    <w:rsid w:val="004039FE"/>
    <w:rsid w:val="0040477E"/>
    <w:rsid w:val="00404DC5"/>
    <w:rsid w:val="00405CF7"/>
    <w:rsid w:val="0040738F"/>
    <w:rsid w:val="004111EF"/>
    <w:rsid w:val="00411962"/>
    <w:rsid w:val="0041251A"/>
    <w:rsid w:val="0041319B"/>
    <w:rsid w:val="00414DD8"/>
    <w:rsid w:val="00415009"/>
    <w:rsid w:val="00415F8A"/>
    <w:rsid w:val="004165BF"/>
    <w:rsid w:val="0041717A"/>
    <w:rsid w:val="0041732F"/>
    <w:rsid w:val="004176B0"/>
    <w:rsid w:val="00417BBB"/>
    <w:rsid w:val="00417EB0"/>
    <w:rsid w:val="00420BBB"/>
    <w:rsid w:val="00421A58"/>
    <w:rsid w:val="00423024"/>
    <w:rsid w:val="004255F2"/>
    <w:rsid w:val="00425CE4"/>
    <w:rsid w:val="004263E6"/>
    <w:rsid w:val="00432883"/>
    <w:rsid w:val="00433F1E"/>
    <w:rsid w:val="0043481B"/>
    <w:rsid w:val="004348FB"/>
    <w:rsid w:val="00434BEA"/>
    <w:rsid w:val="00434E65"/>
    <w:rsid w:val="00435952"/>
    <w:rsid w:val="004368A6"/>
    <w:rsid w:val="004371FA"/>
    <w:rsid w:val="00437856"/>
    <w:rsid w:val="00437E7B"/>
    <w:rsid w:val="00440FCC"/>
    <w:rsid w:val="004412B8"/>
    <w:rsid w:val="00441B3C"/>
    <w:rsid w:val="004427B1"/>
    <w:rsid w:val="0044397F"/>
    <w:rsid w:val="004448A7"/>
    <w:rsid w:val="004459FD"/>
    <w:rsid w:val="004478B0"/>
    <w:rsid w:val="004516D1"/>
    <w:rsid w:val="00454678"/>
    <w:rsid w:val="0045773C"/>
    <w:rsid w:val="0046277D"/>
    <w:rsid w:val="00462962"/>
    <w:rsid w:val="00462BE3"/>
    <w:rsid w:val="004634C7"/>
    <w:rsid w:val="004641A6"/>
    <w:rsid w:val="0046765E"/>
    <w:rsid w:val="004728A5"/>
    <w:rsid w:val="00473A5D"/>
    <w:rsid w:val="004741AE"/>
    <w:rsid w:val="0047446A"/>
    <w:rsid w:val="00474DE1"/>
    <w:rsid w:val="004762C6"/>
    <w:rsid w:val="00481115"/>
    <w:rsid w:val="00481EBB"/>
    <w:rsid w:val="00482D23"/>
    <w:rsid w:val="00482F87"/>
    <w:rsid w:val="004839AC"/>
    <w:rsid w:val="00487713"/>
    <w:rsid w:val="00487C55"/>
    <w:rsid w:val="004901E6"/>
    <w:rsid w:val="00494113"/>
    <w:rsid w:val="00496A30"/>
    <w:rsid w:val="004973A3"/>
    <w:rsid w:val="00497677"/>
    <w:rsid w:val="004978A0"/>
    <w:rsid w:val="00497960"/>
    <w:rsid w:val="00497E3B"/>
    <w:rsid w:val="004A03E3"/>
    <w:rsid w:val="004A12DD"/>
    <w:rsid w:val="004A24CA"/>
    <w:rsid w:val="004A251C"/>
    <w:rsid w:val="004A2CEE"/>
    <w:rsid w:val="004A417B"/>
    <w:rsid w:val="004A4EC4"/>
    <w:rsid w:val="004A5001"/>
    <w:rsid w:val="004A5A29"/>
    <w:rsid w:val="004A6148"/>
    <w:rsid w:val="004A7E54"/>
    <w:rsid w:val="004B160B"/>
    <w:rsid w:val="004B18E1"/>
    <w:rsid w:val="004B2778"/>
    <w:rsid w:val="004B2A19"/>
    <w:rsid w:val="004B51E3"/>
    <w:rsid w:val="004B5F56"/>
    <w:rsid w:val="004B767D"/>
    <w:rsid w:val="004B79FA"/>
    <w:rsid w:val="004C0D65"/>
    <w:rsid w:val="004C3919"/>
    <w:rsid w:val="004C3D0A"/>
    <w:rsid w:val="004C44F5"/>
    <w:rsid w:val="004C47D1"/>
    <w:rsid w:val="004C5700"/>
    <w:rsid w:val="004C58B3"/>
    <w:rsid w:val="004C68D0"/>
    <w:rsid w:val="004C6CEE"/>
    <w:rsid w:val="004D1979"/>
    <w:rsid w:val="004D209A"/>
    <w:rsid w:val="004D32BD"/>
    <w:rsid w:val="004D3E83"/>
    <w:rsid w:val="004D4CF0"/>
    <w:rsid w:val="004D4DC8"/>
    <w:rsid w:val="004D4DCD"/>
    <w:rsid w:val="004D6C15"/>
    <w:rsid w:val="004E2297"/>
    <w:rsid w:val="004E27DF"/>
    <w:rsid w:val="004E4173"/>
    <w:rsid w:val="004E54B4"/>
    <w:rsid w:val="004E6023"/>
    <w:rsid w:val="004E74E8"/>
    <w:rsid w:val="004F0B87"/>
    <w:rsid w:val="004F1756"/>
    <w:rsid w:val="004F2242"/>
    <w:rsid w:val="004F2F28"/>
    <w:rsid w:val="004F34AF"/>
    <w:rsid w:val="004F3705"/>
    <w:rsid w:val="004F4C25"/>
    <w:rsid w:val="004F56C2"/>
    <w:rsid w:val="004F5BE3"/>
    <w:rsid w:val="004F7289"/>
    <w:rsid w:val="004F783E"/>
    <w:rsid w:val="00501DBE"/>
    <w:rsid w:val="00502E52"/>
    <w:rsid w:val="00503062"/>
    <w:rsid w:val="00503400"/>
    <w:rsid w:val="00503DE7"/>
    <w:rsid w:val="005041AB"/>
    <w:rsid w:val="00504227"/>
    <w:rsid w:val="005050E4"/>
    <w:rsid w:val="0050688F"/>
    <w:rsid w:val="005110E9"/>
    <w:rsid w:val="005113FE"/>
    <w:rsid w:val="00513008"/>
    <w:rsid w:val="0051337B"/>
    <w:rsid w:val="00513937"/>
    <w:rsid w:val="00514645"/>
    <w:rsid w:val="0051608B"/>
    <w:rsid w:val="0052066E"/>
    <w:rsid w:val="00521009"/>
    <w:rsid w:val="0052295E"/>
    <w:rsid w:val="00523007"/>
    <w:rsid w:val="0052493D"/>
    <w:rsid w:val="00524E4E"/>
    <w:rsid w:val="00527540"/>
    <w:rsid w:val="00527AF7"/>
    <w:rsid w:val="00534708"/>
    <w:rsid w:val="00540EC1"/>
    <w:rsid w:val="00541118"/>
    <w:rsid w:val="00541E7C"/>
    <w:rsid w:val="00541F2B"/>
    <w:rsid w:val="00542177"/>
    <w:rsid w:val="00543169"/>
    <w:rsid w:val="00543800"/>
    <w:rsid w:val="00543822"/>
    <w:rsid w:val="00543BA6"/>
    <w:rsid w:val="00544F8F"/>
    <w:rsid w:val="00545FC7"/>
    <w:rsid w:val="00547F5D"/>
    <w:rsid w:val="00550491"/>
    <w:rsid w:val="00550C2F"/>
    <w:rsid w:val="0055143C"/>
    <w:rsid w:val="00551FFB"/>
    <w:rsid w:val="00552004"/>
    <w:rsid w:val="00555187"/>
    <w:rsid w:val="00555A8E"/>
    <w:rsid w:val="005564B4"/>
    <w:rsid w:val="005565B3"/>
    <w:rsid w:val="00556668"/>
    <w:rsid w:val="00560DA3"/>
    <w:rsid w:val="00560E5C"/>
    <w:rsid w:val="00563273"/>
    <w:rsid w:val="00564D5D"/>
    <w:rsid w:val="00565C6E"/>
    <w:rsid w:val="0056635D"/>
    <w:rsid w:val="00570069"/>
    <w:rsid w:val="0057114F"/>
    <w:rsid w:val="00572110"/>
    <w:rsid w:val="005722A5"/>
    <w:rsid w:val="00575640"/>
    <w:rsid w:val="005769B1"/>
    <w:rsid w:val="00577865"/>
    <w:rsid w:val="00577FDE"/>
    <w:rsid w:val="005812F4"/>
    <w:rsid w:val="00581A4E"/>
    <w:rsid w:val="005836F8"/>
    <w:rsid w:val="00583AA1"/>
    <w:rsid w:val="005850BE"/>
    <w:rsid w:val="005853E2"/>
    <w:rsid w:val="00586260"/>
    <w:rsid w:val="005903E8"/>
    <w:rsid w:val="005918DF"/>
    <w:rsid w:val="00593A9B"/>
    <w:rsid w:val="0059400C"/>
    <w:rsid w:val="00594BFB"/>
    <w:rsid w:val="00594F3B"/>
    <w:rsid w:val="00595A03"/>
    <w:rsid w:val="005966C1"/>
    <w:rsid w:val="00597C25"/>
    <w:rsid w:val="005A06B9"/>
    <w:rsid w:val="005A22B9"/>
    <w:rsid w:val="005A2D70"/>
    <w:rsid w:val="005A389C"/>
    <w:rsid w:val="005A3DC4"/>
    <w:rsid w:val="005A3F66"/>
    <w:rsid w:val="005A4AB3"/>
    <w:rsid w:val="005A5056"/>
    <w:rsid w:val="005A5D7E"/>
    <w:rsid w:val="005A7A4D"/>
    <w:rsid w:val="005B0F97"/>
    <w:rsid w:val="005B255E"/>
    <w:rsid w:val="005B2A04"/>
    <w:rsid w:val="005B3232"/>
    <w:rsid w:val="005B373C"/>
    <w:rsid w:val="005B3ACE"/>
    <w:rsid w:val="005B3DF8"/>
    <w:rsid w:val="005B4BA3"/>
    <w:rsid w:val="005B5082"/>
    <w:rsid w:val="005B5ED8"/>
    <w:rsid w:val="005B6257"/>
    <w:rsid w:val="005C19E1"/>
    <w:rsid w:val="005C5C73"/>
    <w:rsid w:val="005C6F6B"/>
    <w:rsid w:val="005C72CA"/>
    <w:rsid w:val="005D0F85"/>
    <w:rsid w:val="005D116D"/>
    <w:rsid w:val="005D1353"/>
    <w:rsid w:val="005D1B28"/>
    <w:rsid w:val="005D244C"/>
    <w:rsid w:val="005D36F6"/>
    <w:rsid w:val="005D3BA9"/>
    <w:rsid w:val="005D483E"/>
    <w:rsid w:val="005D5509"/>
    <w:rsid w:val="005D7F2E"/>
    <w:rsid w:val="005E1F08"/>
    <w:rsid w:val="005E2CD1"/>
    <w:rsid w:val="005E3B0F"/>
    <w:rsid w:val="005E4629"/>
    <w:rsid w:val="005E626C"/>
    <w:rsid w:val="005E6F66"/>
    <w:rsid w:val="005E7E2F"/>
    <w:rsid w:val="005F13C0"/>
    <w:rsid w:val="005F39E0"/>
    <w:rsid w:val="005F412A"/>
    <w:rsid w:val="005F44F7"/>
    <w:rsid w:val="005F4EAC"/>
    <w:rsid w:val="005F5377"/>
    <w:rsid w:val="005F5CC0"/>
    <w:rsid w:val="005F61EC"/>
    <w:rsid w:val="005F6573"/>
    <w:rsid w:val="005F68E2"/>
    <w:rsid w:val="005F6FB3"/>
    <w:rsid w:val="006036AF"/>
    <w:rsid w:val="00606C1F"/>
    <w:rsid w:val="0060704A"/>
    <w:rsid w:val="00607DF0"/>
    <w:rsid w:val="00607F28"/>
    <w:rsid w:val="00607F30"/>
    <w:rsid w:val="00610EDD"/>
    <w:rsid w:val="0061100B"/>
    <w:rsid w:val="006116D6"/>
    <w:rsid w:val="0061250D"/>
    <w:rsid w:val="006127AD"/>
    <w:rsid w:val="006135A1"/>
    <w:rsid w:val="006162E2"/>
    <w:rsid w:val="00616D96"/>
    <w:rsid w:val="006179E0"/>
    <w:rsid w:val="006200CC"/>
    <w:rsid w:val="0062074F"/>
    <w:rsid w:val="00620F3A"/>
    <w:rsid w:val="00621C73"/>
    <w:rsid w:val="00622E6B"/>
    <w:rsid w:val="006235A0"/>
    <w:rsid w:val="006236B2"/>
    <w:rsid w:val="00623E59"/>
    <w:rsid w:val="0062420F"/>
    <w:rsid w:val="006247AD"/>
    <w:rsid w:val="00625279"/>
    <w:rsid w:val="00625611"/>
    <w:rsid w:val="0062564E"/>
    <w:rsid w:val="00625BE3"/>
    <w:rsid w:val="00626D01"/>
    <w:rsid w:val="0062739F"/>
    <w:rsid w:val="0063070C"/>
    <w:rsid w:val="006322E9"/>
    <w:rsid w:val="006342CB"/>
    <w:rsid w:val="006342EA"/>
    <w:rsid w:val="0063481F"/>
    <w:rsid w:val="0063497B"/>
    <w:rsid w:val="00637E3F"/>
    <w:rsid w:val="00637FC2"/>
    <w:rsid w:val="00641692"/>
    <w:rsid w:val="00644B6C"/>
    <w:rsid w:val="00644D9F"/>
    <w:rsid w:val="0064513F"/>
    <w:rsid w:val="00645BFA"/>
    <w:rsid w:val="00646369"/>
    <w:rsid w:val="00650B12"/>
    <w:rsid w:val="00653B92"/>
    <w:rsid w:val="00655B7B"/>
    <w:rsid w:val="006561D3"/>
    <w:rsid w:val="00656F98"/>
    <w:rsid w:val="006603ED"/>
    <w:rsid w:val="00661248"/>
    <w:rsid w:val="006623B5"/>
    <w:rsid w:val="00662F8D"/>
    <w:rsid w:val="00664358"/>
    <w:rsid w:val="006646C1"/>
    <w:rsid w:val="00664BDC"/>
    <w:rsid w:val="006652EE"/>
    <w:rsid w:val="00665850"/>
    <w:rsid w:val="0066625E"/>
    <w:rsid w:val="00666E39"/>
    <w:rsid w:val="00667B6F"/>
    <w:rsid w:val="0067180C"/>
    <w:rsid w:val="00671F9E"/>
    <w:rsid w:val="00672C2D"/>
    <w:rsid w:val="00672F4E"/>
    <w:rsid w:val="006742C5"/>
    <w:rsid w:val="006744EF"/>
    <w:rsid w:val="00675203"/>
    <w:rsid w:val="0067601D"/>
    <w:rsid w:val="00677BF6"/>
    <w:rsid w:val="0068091D"/>
    <w:rsid w:val="006814BD"/>
    <w:rsid w:val="00683DB7"/>
    <w:rsid w:val="006874B1"/>
    <w:rsid w:val="00687667"/>
    <w:rsid w:val="00687700"/>
    <w:rsid w:val="00687A8C"/>
    <w:rsid w:val="00687B4E"/>
    <w:rsid w:val="00690F1F"/>
    <w:rsid w:val="006915D0"/>
    <w:rsid w:val="006916E0"/>
    <w:rsid w:val="006916EA"/>
    <w:rsid w:val="00691E49"/>
    <w:rsid w:val="00692D6E"/>
    <w:rsid w:val="00697C77"/>
    <w:rsid w:val="006A15A7"/>
    <w:rsid w:val="006A2D33"/>
    <w:rsid w:val="006A2D84"/>
    <w:rsid w:val="006A3BE2"/>
    <w:rsid w:val="006A4452"/>
    <w:rsid w:val="006A4746"/>
    <w:rsid w:val="006A62A2"/>
    <w:rsid w:val="006A6AA7"/>
    <w:rsid w:val="006B1B34"/>
    <w:rsid w:val="006B2DDD"/>
    <w:rsid w:val="006B420B"/>
    <w:rsid w:val="006B449A"/>
    <w:rsid w:val="006B4EDC"/>
    <w:rsid w:val="006B598A"/>
    <w:rsid w:val="006B7043"/>
    <w:rsid w:val="006C0E21"/>
    <w:rsid w:val="006C160A"/>
    <w:rsid w:val="006C17FC"/>
    <w:rsid w:val="006C19B2"/>
    <w:rsid w:val="006C2380"/>
    <w:rsid w:val="006C2C4B"/>
    <w:rsid w:val="006C6327"/>
    <w:rsid w:val="006C63D3"/>
    <w:rsid w:val="006C666B"/>
    <w:rsid w:val="006C6F48"/>
    <w:rsid w:val="006C7E88"/>
    <w:rsid w:val="006D0E3E"/>
    <w:rsid w:val="006D15A0"/>
    <w:rsid w:val="006D305F"/>
    <w:rsid w:val="006D6170"/>
    <w:rsid w:val="006D7103"/>
    <w:rsid w:val="006E311F"/>
    <w:rsid w:val="006E33C8"/>
    <w:rsid w:val="006E373C"/>
    <w:rsid w:val="006E462B"/>
    <w:rsid w:val="006E6080"/>
    <w:rsid w:val="006E6872"/>
    <w:rsid w:val="006F12DA"/>
    <w:rsid w:val="006F233F"/>
    <w:rsid w:val="006F3343"/>
    <w:rsid w:val="006F4DEF"/>
    <w:rsid w:val="006F5748"/>
    <w:rsid w:val="006F5990"/>
    <w:rsid w:val="006F6A0C"/>
    <w:rsid w:val="006F7286"/>
    <w:rsid w:val="00701A3F"/>
    <w:rsid w:val="00702399"/>
    <w:rsid w:val="00704830"/>
    <w:rsid w:val="00704933"/>
    <w:rsid w:val="00704F54"/>
    <w:rsid w:val="0070629B"/>
    <w:rsid w:val="00707118"/>
    <w:rsid w:val="0071024A"/>
    <w:rsid w:val="007105D5"/>
    <w:rsid w:val="00710AC0"/>
    <w:rsid w:val="0071303D"/>
    <w:rsid w:val="00713683"/>
    <w:rsid w:val="00713711"/>
    <w:rsid w:val="00715041"/>
    <w:rsid w:val="00715DAF"/>
    <w:rsid w:val="007165D3"/>
    <w:rsid w:val="0071671F"/>
    <w:rsid w:val="007170D0"/>
    <w:rsid w:val="0071780A"/>
    <w:rsid w:val="00717AD9"/>
    <w:rsid w:val="0072118F"/>
    <w:rsid w:val="0072403C"/>
    <w:rsid w:val="007246D3"/>
    <w:rsid w:val="00724842"/>
    <w:rsid w:val="0072500F"/>
    <w:rsid w:val="0072523D"/>
    <w:rsid w:val="00725A4F"/>
    <w:rsid w:val="00726085"/>
    <w:rsid w:val="0072675A"/>
    <w:rsid w:val="00726BAA"/>
    <w:rsid w:val="007278FB"/>
    <w:rsid w:val="00730D46"/>
    <w:rsid w:val="00731D24"/>
    <w:rsid w:val="00731E9D"/>
    <w:rsid w:val="007320E1"/>
    <w:rsid w:val="007327D0"/>
    <w:rsid w:val="00733185"/>
    <w:rsid w:val="00733667"/>
    <w:rsid w:val="00733E2B"/>
    <w:rsid w:val="007343CD"/>
    <w:rsid w:val="00734824"/>
    <w:rsid w:val="00737030"/>
    <w:rsid w:val="00737642"/>
    <w:rsid w:val="0074445A"/>
    <w:rsid w:val="00745520"/>
    <w:rsid w:val="0074701E"/>
    <w:rsid w:val="00747FEF"/>
    <w:rsid w:val="00755831"/>
    <w:rsid w:val="0076271E"/>
    <w:rsid w:val="00762B4E"/>
    <w:rsid w:val="00764D2B"/>
    <w:rsid w:val="007650F0"/>
    <w:rsid w:val="007658E0"/>
    <w:rsid w:val="00765C6C"/>
    <w:rsid w:val="00766B3B"/>
    <w:rsid w:val="0076717A"/>
    <w:rsid w:val="00771271"/>
    <w:rsid w:val="0077129C"/>
    <w:rsid w:val="00771C96"/>
    <w:rsid w:val="007732B6"/>
    <w:rsid w:val="00773360"/>
    <w:rsid w:val="00773C97"/>
    <w:rsid w:val="007744B6"/>
    <w:rsid w:val="00774BAD"/>
    <w:rsid w:val="00774D78"/>
    <w:rsid w:val="007758CC"/>
    <w:rsid w:val="007764DB"/>
    <w:rsid w:val="007771D4"/>
    <w:rsid w:val="00777C19"/>
    <w:rsid w:val="0078138F"/>
    <w:rsid w:val="0078141B"/>
    <w:rsid w:val="0078229F"/>
    <w:rsid w:val="007825EA"/>
    <w:rsid w:val="00782B19"/>
    <w:rsid w:val="00783B90"/>
    <w:rsid w:val="007844ED"/>
    <w:rsid w:val="00785E16"/>
    <w:rsid w:val="0078685B"/>
    <w:rsid w:val="007871FE"/>
    <w:rsid w:val="007919EA"/>
    <w:rsid w:val="0079256B"/>
    <w:rsid w:val="00792EE7"/>
    <w:rsid w:val="0079353D"/>
    <w:rsid w:val="0079446F"/>
    <w:rsid w:val="00795135"/>
    <w:rsid w:val="00795B3A"/>
    <w:rsid w:val="00795FF8"/>
    <w:rsid w:val="007967A2"/>
    <w:rsid w:val="007975CA"/>
    <w:rsid w:val="007A0499"/>
    <w:rsid w:val="007A0A20"/>
    <w:rsid w:val="007A116A"/>
    <w:rsid w:val="007A1F4F"/>
    <w:rsid w:val="007A41D7"/>
    <w:rsid w:val="007A4893"/>
    <w:rsid w:val="007A50E3"/>
    <w:rsid w:val="007A5BDC"/>
    <w:rsid w:val="007A76D2"/>
    <w:rsid w:val="007A7BE8"/>
    <w:rsid w:val="007A7F69"/>
    <w:rsid w:val="007B0C0F"/>
    <w:rsid w:val="007B210C"/>
    <w:rsid w:val="007B2149"/>
    <w:rsid w:val="007B34FF"/>
    <w:rsid w:val="007B3D69"/>
    <w:rsid w:val="007B4781"/>
    <w:rsid w:val="007B66E3"/>
    <w:rsid w:val="007C0140"/>
    <w:rsid w:val="007C07A9"/>
    <w:rsid w:val="007C0ECF"/>
    <w:rsid w:val="007C1D9E"/>
    <w:rsid w:val="007C27E9"/>
    <w:rsid w:val="007C2EC2"/>
    <w:rsid w:val="007C3273"/>
    <w:rsid w:val="007C45DB"/>
    <w:rsid w:val="007C462C"/>
    <w:rsid w:val="007C65CC"/>
    <w:rsid w:val="007D138D"/>
    <w:rsid w:val="007D2974"/>
    <w:rsid w:val="007D3BE7"/>
    <w:rsid w:val="007D496E"/>
    <w:rsid w:val="007D5B69"/>
    <w:rsid w:val="007D6CEB"/>
    <w:rsid w:val="007D770A"/>
    <w:rsid w:val="007D7890"/>
    <w:rsid w:val="007E0E42"/>
    <w:rsid w:val="007E19CC"/>
    <w:rsid w:val="007E2961"/>
    <w:rsid w:val="007E2AA8"/>
    <w:rsid w:val="007E3C26"/>
    <w:rsid w:val="007E3CBA"/>
    <w:rsid w:val="007E47BB"/>
    <w:rsid w:val="007E5C47"/>
    <w:rsid w:val="007E6D8A"/>
    <w:rsid w:val="007E7720"/>
    <w:rsid w:val="007F1506"/>
    <w:rsid w:val="007F174B"/>
    <w:rsid w:val="007F1C9B"/>
    <w:rsid w:val="007F394A"/>
    <w:rsid w:val="007F3F8B"/>
    <w:rsid w:val="007F5D05"/>
    <w:rsid w:val="007F5D5E"/>
    <w:rsid w:val="007F634C"/>
    <w:rsid w:val="00800406"/>
    <w:rsid w:val="00802213"/>
    <w:rsid w:val="0080258C"/>
    <w:rsid w:val="00802C8B"/>
    <w:rsid w:val="00802FD1"/>
    <w:rsid w:val="008037FB"/>
    <w:rsid w:val="008053DF"/>
    <w:rsid w:val="00805675"/>
    <w:rsid w:val="00805A49"/>
    <w:rsid w:val="00806C31"/>
    <w:rsid w:val="008072F2"/>
    <w:rsid w:val="00812582"/>
    <w:rsid w:val="00814265"/>
    <w:rsid w:val="008145C9"/>
    <w:rsid w:val="00814CD5"/>
    <w:rsid w:val="00820247"/>
    <w:rsid w:val="0082133A"/>
    <w:rsid w:val="008251C7"/>
    <w:rsid w:val="00827B61"/>
    <w:rsid w:val="008303B1"/>
    <w:rsid w:val="00831D2C"/>
    <w:rsid w:val="008356EA"/>
    <w:rsid w:val="0083573C"/>
    <w:rsid w:val="00836377"/>
    <w:rsid w:val="00840B89"/>
    <w:rsid w:val="008418A4"/>
    <w:rsid w:val="00842B07"/>
    <w:rsid w:val="008457ED"/>
    <w:rsid w:val="00846F29"/>
    <w:rsid w:val="00847018"/>
    <w:rsid w:val="00847CA9"/>
    <w:rsid w:val="00850299"/>
    <w:rsid w:val="00850CE6"/>
    <w:rsid w:val="00851282"/>
    <w:rsid w:val="00851A29"/>
    <w:rsid w:val="008521A1"/>
    <w:rsid w:val="0085237A"/>
    <w:rsid w:val="00852565"/>
    <w:rsid w:val="00852B72"/>
    <w:rsid w:val="00853675"/>
    <w:rsid w:val="008539AB"/>
    <w:rsid w:val="0085468E"/>
    <w:rsid w:val="008561C3"/>
    <w:rsid w:val="008565D1"/>
    <w:rsid w:val="00856CB8"/>
    <w:rsid w:val="008615FF"/>
    <w:rsid w:val="0086238B"/>
    <w:rsid w:val="00862A39"/>
    <w:rsid w:val="00862F71"/>
    <w:rsid w:val="00863265"/>
    <w:rsid w:val="00863760"/>
    <w:rsid w:val="008645EA"/>
    <w:rsid w:val="00865A81"/>
    <w:rsid w:val="00866A25"/>
    <w:rsid w:val="00870209"/>
    <w:rsid w:val="00870B3C"/>
    <w:rsid w:val="00872D43"/>
    <w:rsid w:val="00873BB2"/>
    <w:rsid w:val="00874218"/>
    <w:rsid w:val="00875C08"/>
    <w:rsid w:val="00876263"/>
    <w:rsid w:val="00876DC3"/>
    <w:rsid w:val="00877247"/>
    <w:rsid w:val="00877C89"/>
    <w:rsid w:val="00882885"/>
    <w:rsid w:val="0088510F"/>
    <w:rsid w:val="00885BAE"/>
    <w:rsid w:val="00886A6B"/>
    <w:rsid w:val="00887041"/>
    <w:rsid w:val="00887D37"/>
    <w:rsid w:val="00890EB6"/>
    <w:rsid w:val="008929E5"/>
    <w:rsid w:val="00892BFC"/>
    <w:rsid w:val="0089404F"/>
    <w:rsid w:val="00896BD6"/>
    <w:rsid w:val="008A0C1B"/>
    <w:rsid w:val="008A1DD5"/>
    <w:rsid w:val="008A24D9"/>
    <w:rsid w:val="008A2FBB"/>
    <w:rsid w:val="008A3E59"/>
    <w:rsid w:val="008A46DA"/>
    <w:rsid w:val="008A587D"/>
    <w:rsid w:val="008A604F"/>
    <w:rsid w:val="008A6580"/>
    <w:rsid w:val="008A65F0"/>
    <w:rsid w:val="008A7F6E"/>
    <w:rsid w:val="008B01BD"/>
    <w:rsid w:val="008B0C4D"/>
    <w:rsid w:val="008B0DAE"/>
    <w:rsid w:val="008B2C71"/>
    <w:rsid w:val="008C13A2"/>
    <w:rsid w:val="008C1B8E"/>
    <w:rsid w:val="008C1BC4"/>
    <w:rsid w:val="008C1C4B"/>
    <w:rsid w:val="008C40EF"/>
    <w:rsid w:val="008C7621"/>
    <w:rsid w:val="008D07A3"/>
    <w:rsid w:val="008D14F1"/>
    <w:rsid w:val="008D1B88"/>
    <w:rsid w:val="008D3F97"/>
    <w:rsid w:val="008D47C7"/>
    <w:rsid w:val="008D5CD6"/>
    <w:rsid w:val="008D7B04"/>
    <w:rsid w:val="008E0EDF"/>
    <w:rsid w:val="008E1178"/>
    <w:rsid w:val="008E5B2D"/>
    <w:rsid w:val="008E60E8"/>
    <w:rsid w:val="008E6213"/>
    <w:rsid w:val="008E76AB"/>
    <w:rsid w:val="008E78CA"/>
    <w:rsid w:val="008F2E27"/>
    <w:rsid w:val="008F2F5D"/>
    <w:rsid w:val="008F4425"/>
    <w:rsid w:val="008F46C9"/>
    <w:rsid w:val="008F5863"/>
    <w:rsid w:val="008F6032"/>
    <w:rsid w:val="008F6635"/>
    <w:rsid w:val="008F7A73"/>
    <w:rsid w:val="009004B3"/>
    <w:rsid w:val="00900639"/>
    <w:rsid w:val="00903E3E"/>
    <w:rsid w:val="00905030"/>
    <w:rsid w:val="00905FFA"/>
    <w:rsid w:val="00906677"/>
    <w:rsid w:val="00906781"/>
    <w:rsid w:val="00907B57"/>
    <w:rsid w:val="00910924"/>
    <w:rsid w:val="00914840"/>
    <w:rsid w:val="00915801"/>
    <w:rsid w:val="009166D2"/>
    <w:rsid w:val="00917AAB"/>
    <w:rsid w:val="00920675"/>
    <w:rsid w:val="00921945"/>
    <w:rsid w:val="0092335A"/>
    <w:rsid w:val="009239BC"/>
    <w:rsid w:val="00923AFB"/>
    <w:rsid w:val="00925E50"/>
    <w:rsid w:val="00925F66"/>
    <w:rsid w:val="00926679"/>
    <w:rsid w:val="00930C8B"/>
    <w:rsid w:val="00930FB3"/>
    <w:rsid w:val="0093111E"/>
    <w:rsid w:val="00931E2E"/>
    <w:rsid w:val="00932482"/>
    <w:rsid w:val="00933CCB"/>
    <w:rsid w:val="0093428B"/>
    <w:rsid w:val="009346F5"/>
    <w:rsid w:val="00934CCB"/>
    <w:rsid w:val="009364F4"/>
    <w:rsid w:val="00937F91"/>
    <w:rsid w:val="0094137A"/>
    <w:rsid w:val="009423BD"/>
    <w:rsid w:val="00942520"/>
    <w:rsid w:val="0094349A"/>
    <w:rsid w:val="00944898"/>
    <w:rsid w:val="00945D3D"/>
    <w:rsid w:val="00945DD5"/>
    <w:rsid w:val="00947224"/>
    <w:rsid w:val="00947917"/>
    <w:rsid w:val="00947EA8"/>
    <w:rsid w:val="00952B40"/>
    <w:rsid w:val="00954469"/>
    <w:rsid w:val="009558FB"/>
    <w:rsid w:val="00955E16"/>
    <w:rsid w:val="00955E39"/>
    <w:rsid w:val="00960523"/>
    <w:rsid w:val="009617F9"/>
    <w:rsid w:val="0097130F"/>
    <w:rsid w:val="00971EB4"/>
    <w:rsid w:val="009721BD"/>
    <w:rsid w:val="009746CB"/>
    <w:rsid w:val="00974F74"/>
    <w:rsid w:val="00975D6E"/>
    <w:rsid w:val="00976D44"/>
    <w:rsid w:val="0097750F"/>
    <w:rsid w:val="00977F8A"/>
    <w:rsid w:val="009813D1"/>
    <w:rsid w:val="0098187C"/>
    <w:rsid w:val="009824BA"/>
    <w:rsid w:val="00982B1A"/>
    <w:rsid w:val="0098306C"/>
    <w:rsid w:val="00983766"/>
    <w:rsid w:val="00983A5C"/>
    <w:rsid w:val="00983FB6"/>
    <w:rsid w:val="00984434"/>
    <w:rsid w:val="00984C30"/>
    <w:rsid w:val="0098641B"/>
    <w:rsid w:val="009866CB"/>
    <w:rsid w:val="00986983"/>
    <w:rsid w:val="00986D22"/>
    <w:rsid w:val="00993A47"/>
    <w:rsid w:val="00994895"/>
    <w:rsid w:val="0099490D"/>
    <w:rsid w:val="00994BCB"/>
    <w:rsid w:val="00995FF3"/>
    <w:rsid w:val="00996E57"/>
    <w:rsid w:val="00997521"/>
    <w:rsid w:val="00997EB7"/>
    <w:rsid w:val="009A0D94"/>
    <w:rsid w:val="009A1AFB"/>
    <w:rsid w:val="009A2157"/>
    <w:rsid w:val="009A29BD"/>
    <w:rsid w:val="009A2E0A"/>
    <w:rsid w:val="009A38F9"/>
    <w:rsid w:val="009A3904"/>
    <w:rsid w:val="009A441B"/>
    <w:rsid w:val="009A4AF7"/>
    <w:rsid w:val="009A6935"/>
    <w:rsid w:val="009A6A01"/>
    <w:rsid w:val="009B0501"/>
    <w:rsid w:val="009B0D40"/>
    <w:rsid w:val="009B1E2C"/>
    <w:rsid w:val="009B2BB9"/>
    <w:rsid w:val="009B46EC"/>
    <w:rsid w:val="009B5AFE"/>
    <w:rsid w:val="009B66A4"/>
    <w:rsid w:val="009B778C"/>
    <w:rsid w:val="009C1403"/>
    <w:rsid w:val="009C17E9"/>
    <w:rsid w:val="009C1C5B"/>
    <w:rsid w:val="009C2140"/>
    <w:rsid w:val="009C2C5B"/>
    <w:rsid w:val="009C2DA2"/>
    <w:rsid w:val="009C3D25"/>
    <w:rsid w:val="009C4412"/>
    <w:rsid w:val="009C4B74"/>
    <w:rsid w:val="009C50A6"/>
    <w:rsid w:val="009C7F4D"/>
    <w:rsid w:val="009D088D"/>
    <w:rsid w:val="009D1D4B"/>
    <w:rsid w:val="009D2544"/>
    <w:rsid w:val="009D2970"/>
    <w:rsid w:val="009D37FD"/>
    <w:rsid w:val="009D4243"/>
    <w:rsid w:val="009D42E9"/>
    <w:rsid w:val="009D4659"/>
    <w:rsid w:val="009D5619"/>
    <w:rsid w:val="009D67AF"/>
    <w:rsid w:val="009D70F7"/>
    <w:rsid w:val="009E2184"/>
    <w:rsid w:val="009E4871"/>
    <w:rsid w:val="009E4A0B"/>
    <w:rsid w:val="009E5551"/>
    <w:rsid w:val="009E5731"/>
    <w:rsid w:val="009E5BA2"/>
    <w:rsid w:val="009F0F94"/>
    <w:rsid w:val="009F21EE"/>
    <w:rsid w:val="009F26B0"/>
    <w:rsid w:val="009F2C55"/>
    <w:rsid w:val="009F3786"/>
    <w:rsid w:val="009F5463"/>
    <w:rsid w:val="009F75D6"/>
    <w:rsid w:val="009F7716"/>
    <w:rsid w:val="00A00864"/>
    <w:rsid w:val="00A0157D"/>
    <w:rsid w:val="00A01693"/>
    <w:rsid w:val="00A05927"/>
    <w:rsid w:val="00A07769"/>
    <w:rsid w:val="00A1150A"/>
    <w:rsid w:val="00A1177B"/>
    <w:rsid w:val="00A11FEB"/>
    <w:rsid w:val="00A120D4"/>
    <w:rsid w:val="00A1279D"/>
    <w:rsid w:val="00A12CE1"/>
    <w:rsid w:val="00A168CE"/>
    <w:rsid w:val="00A17437"/>
    <w:rsid w:val="00A24070"/>
    <w:rsid w:val="00A24A45"/>
    <w:rsid w:val="00A24F01"/>
    <w:rsid w:val="00A24F2A"/>
    <w:rsid w:val="00A268B9"/>
    <w:rsid w:val="00A26C9A"/>
    <w:rsid w:val="00A26D3D"/>
    <w:rsid w:val="00A3167A"/>
    <w:rsid w:val="00A32D21"/>
    <w:rsid w:val="00A33192"/>
    <w:rsid w:val="00A36011"/>
    <w:rsid w:val="00A3608D"/>
    <w:rsid w:val="00A37C1D"/>
    <w:rsid w:val="00A40E46"/>
    <w:rsid w:val="00A41BE7"/>
    <w:rsid w:val="00A41D84"/>
    <w:rsid w:val="00A42CCB"/>
    <w:rsid w:val="00A435DA"/>
    <w:rsid w:val="00A442EB"/>
    <w:rsid w:val="00A44A0D"/>
    <w:rsid w:val="00A4754C"/>
    <w:rsid w:val="00A51C6B"/>
    <w:rsid w:val="00A52281"/>
    <w:rsid w:val="00A52BAF"/>
    <w:rsid w:val="00A5324A"/>
    <w:rsid w:val="00A53570"/>
    <w:rsid w:val="00A557ED"/>
    <w:rsid w:val="00A559E2"/>
    <w:rsid w:val="00A55AFA"/>
    <w:rsid w:val="00A576BC"/>
    <w:rsid w:val="00A60B57"/>
    <w:rsid w:val="00A60C86"/>
    <w:rsid w:val="00A6214A"/>
    <w:rsid w:val="00A6217A"/>
    <w:rsid w:val="00A63750"/>
    <w:rsid w:val="00A651F9"/>
    <w:rsid w:val="00A6554C"/>
    <w:rsid w:val="00A664D7"/>
    <w:rsid w:val="00A67CEA"/>
    <w:rsid w:val="00A7190D"/>
    <w:rsid w:val="00A71DB3"/>
    <w:rsid w:val="00A75C21"/>
    <w:rsid w:val="00A763B4"/>
    <w:rsid w:val="00A76A4E"/>
    <w:rsid w:val="00A807BE"/>
    <w:rsid w:val="00A8102E"/>
    <w:rsid w:val="00A81F10"/>
    <w:rsid w:val="00A8260E"/>
    <w:rsid w:val="00A82911"/>
    <w:rsid w:val="00A832F2"/>
    <w:rsid w:val="00A839A5"/>
    <w:rsid w:val="00A860D7"/>
    <w:rsid w:val="00A86F04"/>
    <w:rsid w:val="00A902A7"/>
    <w:rsid w:val="00A90CBB"/>
    <w:rsid w:val="00A92659"/>
    <w:rsid w:val="00A949B9"/>
    <w:rsid w:val="00A96B43"/>
    <w:rsid w:val="00A96F4A"/>
    <w:rsid w:val="00A97442"/>
    <w:rsid w:val="00AA06A1"/>
    <w:rsid w:val="00AA2724"/>
    <w:rsid w:val="00AA2CF4"/>
    <w:rsid w:val="00AA750A"/>
    <w:rsid w:val="00AB0A29"/>
    <w:rsid w:val="00AB1CAE"/>
    <w:rsid w:val="00AB1FEC"/>
    <w:rsid w:val="00AB286E"/>
    <w:rsid w:val="00AB36DC"/>
    <w:rsid w:val="00AB46F5"/>
    <w:rsid w:val="00AB69AC"/>
    <w:rsid w:val="00AB6CF3"/>
    <w:rsid w:val="00AB765F"/>
    <w:rsid w:val="00AC1B51"/>
    <w:rsid w:val="00AC2D41"/>
    <w:rsid w:val="00AC525E"/>
    <w:rsid w:val="00AC55AE"/>
    <w:rsid w:val="00AC5DBE"/>
    <w:rsid w:val="00AC7CBC"/>
    <w:rsid w:val="00AC7D90"/>
    <w:rsid w:val="00AD12A0"/>
    <w:rsid w:val="00AD140C"/>
    <w:rsid w:val="00AD17EF"/>
    <w:rsid w:val="00AD2F37"/>
    <w:rsid w:val="00AD6558"/>
    <w:rsid w:val="00AD7D11"/>
    <w:rsid w:val="00AE0DF9"/>
    <w:rsid w:val="00AE19BE"/>
    <w:rsid w:val="00AE1E02"/>
    <w:rsid w:val="00AE1E1D"/>
    <w:rsid w:val="00AE2BE1"/>
    <w:rsid w:val="00AE3277"/>
    <w:rsid w:val="00AE3588"/>
    <w:rsid w:val="00AE37B2"/>
    <w:rsid w:val="00AE4AC9"/>
    <w:rsid w:val="00AE5851"/>
    <w:rsid w:val="00AE5A4B"/>
    <w:rsid w:val="00AE5F56"/>
    <w:rsid w:val="00AE68F0"/>
    <w:rsid w:val="00AF051F"/>
    <w:rsid w:val="00AF1896"/>
    <w:rsid w:val="00AF4FF7"/>
    <w:rsid w:val="00AF524D"/>
    <w:rsid w:val="00AF64AF"/>
    <w:rsid w:val="00AF66E3"/>
    <w:rsid w:val="00B02947"/>
    <w:rsid w:val="00B04033"/>
    <w:rsid w:val="00B069C7"/>
    <w:rsid w:val="00B11342"/>
    <w:rsid w:val="00B11D7D"/>
    <w:rsid w:val="00B11D97"/>
    <w:rsid w:val="00B12538"/>
    <w:rsid w:val="00B12F1B"/>
    <w:rsid w:val="00B135A1"/>
    <w:rsid w:val="00B157AB"/>
    <w:rsid w:val="00B172FA"/>
    <w:rsid w:val="00B17BC3"/>
    <w:rsid w:val="00B20204"/>
    <w:rsid w:val="00B2063A"/>
    <w:rsid w:val="00B2067F"/>
    <w:rsid w:val="00B216CB"/>
    <w:rsid w:val="00B2203A"/>
    <w:rsid w:val="00B25CC5"/>
    <w:rsid w:val="00B2628E"/>
    <w:rsid w:val="00B2675C"/>
    <w:rsid w:val="00B27C0A"/>
    <w:rsid w:val="00B30598"/>
    <w:rsid w:val="00B31322"/>
    <w:rsid w:val="00B35044"/>
    <w:rsid w:val="00B35F89"/>
    <w:rsid w:val="00B4081A"/>
    <w:rsid w:val="00B40E18"/>
    <w:rsid w:val="00B413D4"/>
    <w:rsid w:val="00B41A5C"/>
    <w:rsid w:val="00B42019"/>
    <w:rsid w:val="00B420E0"/>
    <w:rsid w:val="00B436DB"/>
    <w:rsid w:val="00B436E0"/>
    <w:rsid w:val="00B43A36"/>
    <w:rsid w:val="00B450F3"/>
    <w:rsid w:val="00B45153"/>
    <w:rsid w:val="00B45840"/>
    <w:rsid w:val="00B46741"/>
    <w:rsid w:val="00B46CA7"/>
    <w:rsid w:val="00B51B1B"/>
    <w:rsid w:val="00B520FC"/>
    <w:rsid w:val="00B537F2"/>
    <w:rsid w:val="00B546DA"/>
    <w:rsid w:val="00B551A5"/>
    <w:rsid w:val="00B5562D"/>
    <w:rsid w:val="00B55713"/>
    <w:rsid w:val="00B56701"/>
    <w:rsid w:val="00B57369"/>
    <w:rsid w:val="00B602E2"/>
    <w:rsid w:val="00B6033F"/>
    <w:rsid w:val="00B60D9B"/>
    <w:rsid w:val="00B61928"/>
    <w:rsid w:val="00B62299"/>
    <w:rsid w:val="00B62395"/>
    <w:rsid w:val="00B6319E"/>
    <w:rsid w:val="00B63BAD"/>
    <w:rsid w:val="00B652B5"/>
    <w:rsid w:val="00B702F2"/>
    <w:rsid w:val="00B70E96"/>
    <w:rsid w:val="00B71C5E"/>
    <w:rsid w:val="00B73E3F"/>
    <w:rsid w:val="00B74102"/>
    <w:rsid w:val="00B74618"/>
    <w:rsid w:val="00B763AC"/>
    <w:rsid w:val="00B779F8"/>
    <w:rsid w:val="00B77E3D"/>
    <w:rsid w:val="00B81802"/>
    <w:rsid w:val="00B83371"/>
    <w:rsid w:val="00B91C7A"/>
    <w:rsid w:val="00B9373A"/>
    <w:rsid w:val="00B938D0"/>
    <w:rsid w:val="00B93A1B"/>
    <w:rsid w:val="00B94902"/>
    <w:rsid w:val="00B96690"/>
    <w:rsid w:val="00B97C3B"/>
    <w:rsid w:val="00BA0197"/>
    <w:rsid w:val="00BA08DE"/>
    <w:rsid w:val="00BA16F2"/>
    <w:rsid w:val="00BA3A16"/>
    <w:rsid w:val="00BA5976"/>
    <w:rsid w:val="00BA6597"/>
    <w:rsid w:val="00BA6635"/>
    <w:rsid w:val="00BA68C8"/>
    <w:rsid w:val="00BA7B9F"/>
    <w:rsid w:val="00BB0CCB"/>
    <w:rsid w:val="00BB1758"/>
    <w:rsid w:val="00BB2182"/>
    <w:rsid w:val="00BB2DB3"/>
    <w:rsid w:val="00BB30C2"/>
    <w:rsid w:val="00BB4776"/>
    <w:rsid w:val="00BB4D80"/>
    <w:rsid w:val="00BB579B"/>
    <w:rsid w:val="00BB6710"/>
    <w:rsid w:val="00BB6F11"/>
    <w:rsid w:val="00BC058C"/>
    <w:rsid w:val="00BC0F3B"/>
    <w:rsid w:val="00BC1CB3"/>
    <w:rsid w:val="00BC1E72"/>
    <w:rsid w:val="00BC212E"/>
    <w:rsid w:val="00BC31B8"/>
    <w:rsid w:val="00BC355C"/>
    <w:rsid w:val="00BC366D"/>
    <w:rsid w:val="00BC3FA8"/>
    <w:rsid w:val="00BC4D1D"/>
    <w:rsid w:val="00BC6786"/>
    <w:rsid w:val="00BC7D64"/>
    <w:rsid w:val="00BD00D4"/>
    <w:rsid w:val="00BD02F3"/>
    <w:rsid w:val="00BD0A6F"/>
    <w:rsid w:val="00BD0E71"/>
    <w:rsid w:val="00BD165F"/>
    <w:rsid w:val="00BD16B8"/>
    <w:rsid w:val="00BD20F5"/>
    <w:rsid w:val="00BD32E5"/>
    <w:rsid w:val="00BD4714"/>
    <w:rsid w:val="00BD4CE8"/>
    <w:rsid w:val="00BD58B7"/>
    <w:rsid w:val="00BD5ADC"/>
    <w:rsid w:val="00BD6F5F"/>
    <w:rsid w:val="00BE04EA"/>
    <w:rsid w:val="00BE0A71"/>
    <w:rsid w:val="00BE10FA"/>
    <w:rsid w:val="00BE20D8"/>
    <w:rsid w:val="00BE2CB0"/>
    <w:rsid w:val="00BE6A31"/>
    <w:rsid w:val="00BE7071"/>
    <w:rsid w:val="00BF088F"/>
    <w:rsid w:val="00BF0CB1"/>
    <w:rsid w:val="00BF1B5F"/>
    <w:rsid w:val="00BF3349"/>
    <w:rsid w:val="00BF3C64"/>
    <w:rsid w:val="00BF40D1"/>
    <w:rsid w:val="00BF51BE"/>
    <w:rsid w:val="00BF5CD3"/>
    <w:rsid w:val="00BF71AA"/>
    <w:rsid w:val="00BF7BFF"/>
    <w:rsid w:val="00C01091"/>
    <w:rsid w:val="00C046EF"/>
    <w:rsid w:val="00C04D90"/>
    <w:rsid w:val="00C0515E"/>
    <w:rsid w:val="00C07AED"/>
    <w:rsid w:val="00C100A7"/>
    <w:rsid w:val="00C12075"/>
    <w:rsid w:val="00C12DA7"/>
    <w:rsid w:val="00C138BC"/>
    <w:rsid w:val="00C13DA7"/>
    <w:rsid w:val="00C1517C"/>
    <w:rsid w:val="00C157D3"/>
    <w:rsid w:val="00C15C00"/>
    <w:rsid w:val="00C169B7"/>
    <w:rsid w:val="00C16C82"/>
    <w:rsid w:val="00C20A6A"/>
    <w:rsid w:val="00C2517D"/>
    <w:rsid w:val="00C2593B"/>
    <w:rsid w:val="00C26161"/>
    <w:rsid w:val="00C26FD6"/>
    <w:rsid w:val="00C27A9F"/>
    <w:rsid w:val="00C27C21"/>
    <w:rsid w:val="00C3241D"/>
    <w:rsid w:val="00C34670"/>
    <w:rsid w:val="00C409D7"/>
    <w:rsid w:val="00C40C07"/>
    <w:rsid w:val="00C41322"/>
    <w:rsid w:val="00C41638"/>
    <w:rsid w:val="00C426B0"/>
    <w:rsid w:val="00C42960"/>
    <w:rsid w:val="00C43952"/>
    <w:rsid w:val="00C43A39"/>
    <w:rsid w:val="00C44407"/>
    <w:rsid w:val="00C44950"/>
    <w:rsid w:val="00C4500C"/>
    <w:rsid w:val="00C4527B"/>
    <w:rsid w:val="00C502F2"/>
    <w:rsid w:val="00C5314D"/>
    <w:rsid w:val="00C53157"/>
    <w:rsid w:val="00C531D4"/>
    <w:rsid w:val="00C53CC2"/>
    <w:rsid w:val="00C5406A"/>
    <w:rsid w:val="00C553F5"/>
    <w:rsid w:val="00C5581F"/>
    <w:rsid w:val="00C56093"/>
    <w:rsid w:val="00C6426F"/>
    <w:rsid w:val="00C648A7"/>
    <w:rsid w:val="00C70309"/>
    <w:rsid w:val="00C7100E"/>
    <w:rsid w:val="00C7319C"/>
    <w:rsid w:val="00C7354D"/>
    <w:rsid w:val="00C74D34"/>
    <w:rsid w:val="00C769DC"/>
    <w:rsid w:val="00C76E6C"/>
    <w:rsid w:val="00C81679"/>
    <w:rsid w:val="00C81B62"/>
    <w:rsid w:val="00C838A6"/>
    <w:rsid w:val="00C85805"/>
    <w:rsid w:val="00C866EF"/>
    <w:rsid w:val="00C90304"/>
    <w:rsid w:val="00C90952"/>
    <w:rsid w:val="00C90B4F"/>
    <w:rsid w:val="00C90D1C"/>
    <w:rsid w:val="00C91872"/>
    <w:rsid w:val="00C92989"/>
    <w:rsid w:val="00C93690"/>
    <w:rsid w:val="00C942D8"/>
    <w:rsid w:val="00C94ABB"/>
    <w:rsid w:val="00C953B2"/>
    <w:rsid w:val="00C967E0"/>
    <w:rsid w:val="00C97347"/>
    <w:rsid w:val="00CA020B"/>
    <w:rsid w:val="00CA0DAC"/>
    <w:rsid w:val="00CA1296"/>
    <w:rsid w:val="00CA1DF1"/>
    <w:rsid w:val="00CA2325"/>
    <w:rsid w:val="00CA2692"/>
    <w:rsid w:val="00CA3378"/>
    <w:rsid w:val="00CA5506"/>
    <w:rsid w:val="00CA715E"/>
    <w:rsid w:val="00CB0592"/>
    <w:rsid w:val="00CB216B"/>
    <w:rsid w:val="00CB2DD8"/>
    <w:rsid w:val="00CB2F92"/>
    <w:rsid w:val="00CB3B4A"/>
    <w:rsid w:val="00CB5870"/>
    <w:rsid w:val="00CB62FC"/>
    <w:rsid w:val="00CB7C14"/>
    <w:rsid w:val="00CB7DAC"/>
    <w:rsid w:val="00CB7F3D"/>
    <w:rsid w:val="00CC2E44"/>
    <w:rsid w:val="00CC50B5"/>
    <w:rsid w:val="00CC5499"/>
    <w:rsid w:val="00CC5C15"/>
    <w:rsid w:val="00CC71AD"/>
    <w:rsid w:val="00CD0727"/>
    <w:rsid w:val="00CD139F"/>
    <w:rsid w:val="00CD3289"/>
    <w:rsid w:val="00CD3B5D"/>
    <w:rsid w:val="00CD44D1"/>
    <w:rsid w:val="00CD6A49"/>
    <w:rsid w:val="00CD7017"/>
    <w:rsid w:val="00CD7F17"/>
    <w:rsid w:val="00CE0031"/>
    <w:rsid w:val="00CE1339"/>
    <w:rsid w:val="00CE14E0"/>
    <w:rsid w:val="00CE1B13"/>
    <w:rsid w:val="00CE66F2"/>
    <w:rsid w:val="00CE7639"/>
    <w:rsid w:val="00CE7858"/>
    <w:rsid w:val="00CF2B1C"/>
    <w:rsid w:val="00CF386C"/>
    <w:rsid w:val="00CF4B8F"/>
    <w:rsid w:val="00CF62B1"/>
    <w:rsid w:val="00CF7AFA"/>
    <w:rsid w:val="00D01AD4"/>
    <w:rsid w:val="00D01CFE"/>
    <w:rsid w:val="00D052EF"/>
    <w:rsid w:val="00D0724A"/>
    <w:rsid w:val="00D10426"/>
    <w:rsid w:val="00D108A7"/>
    <w:rsid w:val="00D109BC"/>
    <w:rsid w:val="00D10C62"/>
    <w:rsid w:val="00D12077"/>
    <w:rsid w:val="00D120F4"/>
    <w:rsid w:val="00D13D09"/>
    <w:rsid w:val="00D14A4B"/>
    <w:rsid w:val="00D1679A"/>
    <w:rsid w:val="00D1723F"/>
    <w:rsid w:val="00D172E9"/>
    <w:rsid w:val="00D200CE"/>
    <w:rsid w:val="00D208AB"/>
    <w:rsid w:val="00D2101B"/>
    <w:rsid w:val="00D216AC"/>
    <w:rsid w:val="00D239A0"/>
    <w:rsid w:val="00D2624E"/>
    <w:rsid w:val="00D2625C"/>
    <w:rsid w:val="00D315AB"/>
    <w:rsid w:val="00D3194B"/>
    <w:rsid w:val="00D332B0"/>
    <w:rsid w:val="00D34B02"/>
    <w:rsid w:val="00D35498"/>
    <w:rsid w:val="00D35687"/>
    <w:rsid w:val="00D3698A"/>
    <w:rsid w:val="00D4032B"/>
    <w:rsid w:val="00D411B1"/>
    <w:rsid w:val="00D414D4"/>
    <w:rsid w:val="00D41A67"/>
    <w:rsid w:val="00D41F32"/>
    <w:rsid w:val="00D42BCD"/>
    <w:rsid w:val="00D44380"/>
    <w:rsid w:val="00D449E8"/>
    <w:rsid w:val="00D44F4A"/>
    <w:rsid w:val="00D45309"/>
    <w:rsid w:val="00D504BB"/>
    <w:rsid w:val="00D52FCD"/>
    <w:rsid w:val="00D53DA1"/>
    <w:rsid w:val="00D55349"/>
    <w:rsid w:val="00D5594F"/>
    <w:rsid w:val="00D56A67"/>
    <w:rsid w:val="00D609E0"/>
    <w:rsid w:val="00D60A00"/>
    <w:rsid w:val="00D62B7A"/>
    <w:rsid w:val="00D63218"/>
    <w:rsid w:val="00D650AC"/>
    <w:rsid w:val="00D65465"/>
    <w:rsid w:val="00D660A5"/>
    <w:rsid w:val="00D66C9C"/>
    <w:rsid w:val="00D675C4"/>
    <w:rsid w:val="00D67BC1"/>
    <w:rsid w:val="00D7004F"/>
    <w:rsid w:val="00D7068A"/>
    <w:rsid w:val="00D71092"/>
    <w:rsid w:val="00D710EA"/>
    <w:rsid w:val="00D71FE7"/>
    <w:rsid w:val="00D726DA"/>
    <w:rsid w:val="00D727E7"/>
    <w:rsid w:val="00D72850"/>
    <w:rsid w:val="00D72D8E"/>
    <w:rsid w:val="00D737FF"/>
    <w:rsid w:val="00D7555B"/>
    <w:rsid w:val="00D75CF9"/>
    <w:rsid w:val="00D75E5E"/>
    <w:rsid w:val="00D76756"/>
    <w:rsid w:val="00D76955"/>
    <w:rsid w:val="00D7759D"/>
    <w:rsid w:val="00D80414"/>
    <w:rsid w:val="00D805A9"/>
    <w:rsid w:val="00D81E60"/>
    <w:rsid w:val="00D83107"/>
    <w:rsid w:val="00D833CB"/>
    <w:rsid w:val="00D84BC5"/>
    <w:rsid w:val="00D86876"/>
    <w:rsid w:val="00D9005E"/>
    <w:rsid w:val="00D9145F"/>
    <w:rsid w:val="00D91BA3"/>
    <w:rsid w:val="00D94553"/>
    <w:rsid w:val="00D96A0B"/>
    <w:rsid w:val="00DA1EAF"/>
    <w:rsid w:val="00DA2BDA"/>
    <w:rsid w:val="00DA4443"/>
    <w:rsid w:val="00DA56D5"/>
    <w:rsid w:val="00DA5DAA"/>
    <w:rsid w:val="00DA5E52"/>
    <w:rsid w:val="00DB0C09"/>
    <w:rsid w:val="00DB1A67"/>
    <w:rsid w:val="00DB33E4"/>
    <w:rsid w:val="00DB4426"/>
    <w:rsid w:val="00DB5D3C"/>
    <w:rsid w:val="00DB60EB"/>
    <w:rsid w:val="00DB68E1"/>
    <w:rsid w:val="00DB6E35"/>
    <w:rsid w:val="00DC1BAB"/>
    <w:rsid w:val="00DC31B8"/>
    <w:rsid w:val="00DC321E"/>
    <w:rsid w:val="00DC41E6"/>
    <w:rsid w:val="00DC46C1"/>
    <w:rsid w:val="00DC564C"/>
    <w:rsid w:val="00DC6832"/>
    <w:rsid w:val="00DC7701"/>
    <w:rsid w:val="00DD00C5"/>
    <w:rsid w:val="00DD268F"/>
    <w:rsid w:val="00DD4A6C"/>
    <w:rsid w:val="00DD5102"/>
    <w:rsid w:val="00DD6495"/>
    <w:rsid w:val="00DE1716"/>
    <w:rsid w:val="00DE2BC2"/>
    <w:rsid w:val="00DE4482"/>
    <w:rsid w:val="00DE5286"/>
    <w:rsid w:val="00DE5D50"/>
    <w:rsid w:val="00DE5D95"/>
    <w:rsid w:val="00DF05A3"/>
    <w:rsid w:val="00DF0EA1"/>
    <w:rsid w:val="00DF1598"/>
    <w:rsid w:val="00DF26F3"/>
    <w:rsid w:val="00DF5088"/>
    <w:rsid w:val="00DF577E"/>
    <w:rsid w:val="00DF584C"/>
    <w:rsid w:val="00DF6912"/>
    <w:rsid w:val="00DF7235"/>
    <w:rsid w:val="00DF7F35"/>
    <w:rsid w:val="00E01CC8"/>
    <w:rsid w:val="00E03B40"/>
    <w:rsid w:val="00E04573"/>
    <w:rsid w:val="00E05501"/>
    <w:rsid w:val="00E064FD"/>
    <w:rsid w:val="00E06921"/>
    <w:rsid w:val="00E06BDA"/>
    <w:rsid w:val="00E06C87"/>
    <w:rsid w:val="00E07452"/>
    <w:rsid w:val="00E1304A"/>
    <w:rsid w:val="00E142EF"/>
    <w:rsid w:val="00E145E6"/>
    <w:rsid w:val="00E14C79"/>
    <w:rsid w:val="00E14EDC"/>
    <w:rsid w:val="00E15080"/>
    <w:rsid w:val="00E159A7"/>
    <w:rsid w:val="00E1646D"/>
    <w:rsid w:val="00E17A15"/>
    <w:rsid w:val="00E17C76"/>
    <w:rsid w:val="00E205AF"/>
    <w:rsid w:val="00E2287E"/>
    <w:rsid w:val="00E24F09"/>
    <w:rsid w:val="00E254E0"/>
    <w:rsid w:val="00E25EBA"/>
    <w:rsid w:val="00E260AA"/>
    <w:rsid w:val="00E27415"/>
    <w:rsid w:val="00E30676"/>
    <w:rsid w:val="00E31C5B"/>
    <w:rsid w:val="00E322E4"/>
    <w:rsid w:val="00E33248"/>
    <w:rsid w:val="00E36D79"/>
    <w:rsid w:val="00E36FCD"/>
    <w:rsid w:val="00E37767"/>
    <w:rsid w:val="00E44268"/>
    <w:rsid w:val="00E450E5"/>
    <w:rsid w:val="00E458F5"/>
    <w:rsid w:val="00E46094"/>
    <w:rsid w:val="00E469BD"/>
    <w:rsid w:val="00E46B57"/>
    <w:rsid w:val="00E47175"/>
    <w:rsid w:val="00E4732B"/>
    <w:rsid w:val="00E501B1"/>
    <w:rsid w:val="00E5066A"/>
    <w:rsid w:val="00E50995"/>
    <w:rsid w:val="00E50A87"/>
    <w:rsid w:val="00E51502"/>
    <w:rsid w:val="00E51D56"/>
    <w:rsid w:val="00E51FBA"/>
    <w:rsid w:val="00E5306B"/>
    <w:rsid w:val="00E53794"/>
    <w:rsid w:val="00E546B9"/>
    <w:rsid w:val="00E557E4"/>
    <w:rsid w:val="00E55E0B"/>
    <w:rsid w:val="00E566FF"/>
    <w:rsid w:val="00E571D8"/>
    <w:rsid w:val="00E57FC1"/>
    <w:rsid w:val="00E60CE6"/>
    <w:rsid w:val="00E611AF"/>
    <w:rsid w:val="00E6128B"/>
    <w:rsid w:val="00E612ED"/>
    <w:rsid w:val="00E61CDE"/>
    <w:rsid w:val="00E61E40"/>
    <w:rsid w:val="00E627E0"/>
    <w:rsid w:val="00E62C3B"/>
    <w:rsid w:val="00E661D8"/>
    <w:rsid w:val="00E6643F"/>
    <w:rsid w:val="00E677E9"/>
    <w:rsid w:val="00E7138A"/>
    <w:rsid w:val="00E71417"/>
    <w:rsid w:val="00E715C4"/>
    <w:rsid w:val="00E73783"/>
    <w:rsid w:val="00E73A70"/>
    <w:rsid w:val="00E73EB9"/>
    <w:rsid w:val="00E74593"/>
    <w:rsid w:val="00E77B0D"/>
    <w:rsid w:val="00E77DE8"/>
    <w:rsid w:val="00E80483"/>
    <w:rsid w:val="00E81351"/>
    <w:rsid w:val="00E82B10"/>
    <w:rsid w:val="00E82B2A"/>
    <w:rsid w:val="00E83DAA"/>
    <w:rsid w:val="00E84D99"/>
    <w:rsid w:val="00E86259"/>
    <w:rsid w:val="00E86458"/>
    <w:rsid w:val="00E864CC"/>
    <w:rsid w:val="00E86B05"/>
    <w:rsid w:val="00E87577"/>
    <w:rsid w:val="00E87983"/>
    <w:rsid w:val="00E92224"/>
    <w:rsid w:val="00E94CED"/>
    <w:rsid w:val="00E94E51"/>
    <w:rsid w:val="00E96730"/>
    <w:rsid w:val="00E9750C"/>
    <w:rsid w:val="00E97822"/>
    <w:rsid w:val="00EA1758"/>
    <w:rsid w:val="00EA265A"/>
    <w:rsid w:val="00EA28A8"/>
    <w:rsid w:val="00EA5695"/>
    <w:rsid w:val="00EA68F5"/>
    <w:rsid w:val="00EB058E"/>
    <w:rsid w:val="00EB08E2"/>
    <w:rsid w:val="00EB0E33"/>
    <w:rsid w:val="00EB18A4"/>
    <w:rsid w:val="00EB57AA"/>
    <w:rsid w:val="00EB7360"/>
    <w:rsid w:val="00EB7D2F"/>
    <w:rsid w:val="00EC1A67"/>
    <w:rsid w:val="00EC28A5"/>
    <w:rsid w:val="00EC3267"/>
    <w:rsid w:val="00EC3C59"/>
    <w:rsid w:val="00EC3ED9"/>
    <w:rsid w:val="00EC578D"/>
    <w:rsid w:val="00EC6E9C"/>
    <w:rsid w:val="00EC7A18"/>
    <w:rsid w:val="00ED01E8"/>
    <w:rsid w:val="00ED04DC"/>
    <w:rsid w:val="00ED0D16"/>
    <w:rsid w:val="00ED1186"/>
    <w:rsid w:val="00ED27AC"/>
    <w:rsid w:val="00ED3A9D"/>
    <w:rsid w:val="00ED4028"/>
    <w:rsid w:val="00ED52EC"/>
    <w:rsid w:val="00ED6386"/>
    <w:rsid w:val="00ED6F39"/>
    <w:rsid w:val="00EE13AA"/>
    <w:rsid w:val="00EE321F"/>
    <w:rsid w:val="00EE3E10"/>
    <w:rsid w:val="00EE3E56"/>
    <w:rsid w:val="00EE43EE"/>
    <w:rsid w:val="00EE4425"/>
    <w:rsid w:val="00EE4B6A"/>
    <w:rsid w:val="00EE6906"/>
    <w:rsid w:val="00EF120A"/>
    <w:rsid w:val="00EF139B"/>
    <w:rsid w:val="00EF1E26"/>
    <w:rsid w:val="00EF1FD5"/>
    <w:rsid w:val="00EF47E8"/>
    <w:rsid w:val="00EF7240"/>
    <w:rsid w:val="00EF7961"/>
    <w:rsid w:val="00F0104D"/>
    <w:rsid w:val="00F01BCF"/>
    <w:rsid w:val="00F0235C"/>
    <w:rsid w:val="00F03009"/>
    <w:rsid w:val="00F06B4C"/>
    <w:rsid w:val="00F0726D"/>
    <w:rsid w:val="00F07859"/>
    <w:rsid w:val="00F07E5C"/>
    <w:rsid w:val="00F10D4F"/>
    <w:rsid w:val="00F1244C"/>
    <w:rsid w:val="00F131D0"/>
    <w:rsid w:val="00F13B54"/>
    <w:rsid w:val="00F13DA5"/>
    <w:rsid w:val="00F150F5"/>
    <w:rsid w:val="00F152EA"/>
    <w:rsid w:val="00F16C6B"/>
    <w:rsid w:val="00F173F8"/>
    <w:rsid w:val="00F224CD"/>
    <w:rsid w:val="00F22E86"/>
    <w:rsid w:val="00F2314D"/>
    <w:rsid w:val="00F231D7"/>
    <w:rsid w:val="00F2331F"/>
    <w:rsid w:val="00F24378"/>
    <w:rsid w:val="00F2489C"/>
    <w:rsid w:val="00F24FD1"/>
    <w:rsid w:val="00F26219"/>
    <w:rsid w:val="00F26CB3"/>
    <w:rsid w:val="00F26D53"/>
    <w:rsid w:val="00F3037A"/>
    <w:rsid w:val="00F32C5D"/>
    <w:rsid w:val="00F33038"/>
    <w:rsid w:val="00F330FC"/>
    <w:rsid w:val="00F343A4"/>
    <w:rsid w:val="00F36A3B"/>
    <w:rsid w:val="00F36E56"/>
    <w:rsid w:val="00F3760A"/>
    <w:rsid w:val="00F37C0F"/>
    <w:rsid w:val="00F405F4"/>
    <w:rsid w:val="00F417AF"/>
    <w:rsid w:val="00F42A21"/>
    <w:rsid w:val="00F43238"/>
    <w:rsid w:val="00F43CAF"/>
    <w:rsid w:val="00F44FB5"/>
    <w:rsid w:val="00F468A4"/>
    <w:rsid w:val="00F47331"/>
    <w:rsid w:val="00F47349"/>
    <w:rsid w:val="00F5139B"/>
    <w:rsid w:val="00F557CE"/>
    <w:rsid w:val="00F578BA"/>
    <w:rsid w:val="00F611DF"/>
    <w:rsid w:val="00F61CAD"/>
    <w:rsid w:val="00F62E66"/>
    <w:rsid w:val="00F64C5D"/>
    <w:rsid w:val="00F64E78"/>
    <w:rsid w:val="00F66E6B"/>
    <w:rsid w:val="00F7107B"/>
    <w:rsid w:val="00F71857"/>
    <w:rsid w:val="00F73C3D"/>
    <w:rsid w:val="00F73EF0"/>
    <w:rsid w:val="00F760C1"/>
    <w:rsid w:val="00F76600"/>
    <w:rsid w:val="00F77150"/>
    <w:rsid w:val="00F77559"/>
    <w:rsid w:val="00F776DD"/>
    <w:rsid w:val="00F77756"/>
    <w:rsid w:val="00F804D8"/>
    <w:rsid w:val="00F805E5"/>
    <w:rsid w:val="00F80D19"/>
    <w:rsid w:val="00F815AB"/>
    <w:rsid w:val="00F81D51"/>
    <w:rsid w:val="00F82318"/>
    <w:rsid w:val="00F82BCD"/>
    <w:rsid w:val="00F82D1C"/>
    <w:rsid w:val="00F847A3"/>
    <w:rsid w:val="00F854C8"/>
    <w:rsid w:val="00F86771"/>
    <w:rsid w:val="00F87292"/>
    <w:rsid w:val="00F90EAD"/>
    <w:rsid w:val="00F91924"/>
    <w:rsid w:val="00F922A0"/>
    <w:rsid w:val="00F923A4"/>
    <w:rsid w:val="00F94EED"/>
    <w:rsid w:val="00F95998"/>
    <w:rsid w:val="00F95A25"/>
    <w:rsid w:val="00F95C26"/>
    <w:rsid w:val="00F962F1"/>
    <w:rsid w:val="00F97725"/>
    <w:rsid w:val="00FA06D0"/>
    <w:rsid w:val="00FA18DB"/>
    <w:rsid w:val="00FA1E1F"/>
    <w:rsid w:val="00FA2396"/>
    <w:rsid w:val="00FA280B"/>
    <w:rsid w:val="00FA357C"/>
    <w:rsid w:val="00FA3905"/>
    <w:rsid w:val="00FA46C0"/>
    <w:rsid w:val="00FA5741"/>
    <w:rsid w:val="00FA5B88"/>
    <w:rsid w:val="00FA64F3"/>
    <w:rsid w:val="00FA6D07"/>
    <w:rsid w:val="00FA6F85"/>
    <w:rsid w:val="00FB1FB4"/>
    <w:rsid w:val="00FB35A0"/>
    <w:rsid w:val="00FB5013"/>
    <w:rsid w:val="00FB6138"/>
    <w:rsid w:val="00FB6856"/>
    <w:rsid w:val="00FC0082"/>
    <w:rsid w:val="00FC01CF"/>
    <w:rsid w:val="00FC0E2D"/>
    <w:rsid w:val="00FC0E4D"/>
    <w:rsid w:val="00FC2863"/>
    <w:rsid w:val="00FC2916"/>
    <w:rsid w:val="00FC364A"/>
    <w:rsid w:val="00FC3877"/>
    <w:rsid w:val="00FC40A8"/>
    <w:rsid w:val="00FC4A11"/>
    <w:rsid w:val="00FC52C3"/>
    <w:rsid w:val="00FC6CA5"/>
    <w:rsid w:val="00FD2EC5"/>
    <w:rsid w:val="00FD39A1"/>
    <w:rsid w:val="00FD45A9"/>
    <w:rsid w:val="00FD481D"/>
    <w:rsid w:val="00FD508B"/>
    <w:rsid w:val="00FD6605"/>
    <w:rsid w:val="00FD6E29"/>
    <w:rsid w:val="00FE0B85"/>
    <w:rsid w:val="00FE379C"/>
    <w:rsid w:val="00FE4306"/>
    <w:rsid w:val="00FE4727"/>
    <w:rsid w:val="00FE704E"/>
    <w:rsid w:val="00FF14C5"/>
    <w:rsid w:val="00FF1D43"/>
    <w:rsid w:val="00FF209C"/>
    <w:rsid w:val="00FF4577"/>
    <w:rsid w:val="00FF4715"/>
    <w:rsid w:val="00FF4831"/>
    <w:rsid w:val="00FF52BB"/>
    <w:rsid w:val="00FF6559"/>
    <w:rsid w:val="00FF67AB"/>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4C98"/>
  <w15:chartTrackingRefBased/>
  <w15:docId w15:val="{4E7766B0-5EAD-4732-8251-76597CE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78"/>
    <w:pPr>
      <w:spacing w:line="360" w:lineRule="auto"/>
    </w:pPr>
    <w:rPr>
      <w:rFonts w:eastAsia="Times New Roman"/>
      <w:color w:val="000000"/>
      <w:sz w:val="26"/>
      <w:szCs w:val="22"/>
    </w:rPr>
  </w:style>
  <w:style w:type="paragraph" w:styleId="Heading1">
    <w:name w:val="heading 1"/>
    <w:basedOn w:val="Normal"/>
    <w:next w:val="Normal"/>
    <w:link w:val="Heading1Char"/>
    <w:uiPriority w:val="9"/>
    <w:qFormat/>
    <w:rsid w:val="008561C3"/>
    <w:pPr>
      <w:keepNext/>
      <w:keepLines/>
      <w:jc w:val="center"/>
      <w:outlineLvl w:val="0"/>
    </w:pPr>
    <w:rPr>
      <w:rFonts w:eastAsiaTheme="majorEastAsia"/>
      <w:b/>
      <w:bCs/>
      <w:color w:val="auto"/>
      <w:szCs w:val="26"/>
      <w:u w:color="000000"/>
    </w:rPr>
  </w:style>
  <w:style w:type="paragraph" w:styleId="Heading2">
    <w:name w:val="heading 2"/>
    <w:basedOn w:val="ListParagraph"/>
    <w:next w:val="Normal"/>
    <w:link w:val="Heading2Char"/>
    <w:uiPriority w:val="9"/>
    <w:unhideWhenUsed/>
    <w:qFormat/>
    <w:rsid w:val="00D3698A"/>
    <w:pPr>
      <w:numPr>
        <w:numId w:val="4"/>
      </w:numPr>
      <w:outlineLvl w:val="1"/>
    </w:pPr>
    <w:rPr>
      <w:b/>
      <w:bCs/>
      <w:szCs w:val="26"/>
    </w:rPr>
  </w:style>
  <w:style w:type="paragraph" w:styleId="Heading3">
    <w:name w:val="heading 3"/>
    <w:basedOn w:val="ListParagraph"/>
    <w:next w:val="Normal"/>
    <w:link w:val="Heading3Char"/>
    <w:uiPriority w:val="9"/>
    <w:unhideWhenUsed/>
    <w:qFormat/>
    <w:rsid w:val="005D36F6"/>
    <w:pPr>
      <w:numPr>
        <w:numId w:val="19"/>
      </w:numPr>
      <w:outlineLvl w:val="2"/>
    </w:pPr>
    <w:rPr>
      <w:b/>
      <w:bCs/>
      <w:szCs w:val="26"/>
    </w:rPr>
  </w:style>
  <w:style w:type="paragraph" w:styleId="Heading4">
    <w:name w:val="heading 4"/>
    <w:basedOn w:val="Normal"/>
    <w:next w:val="Normal"/>
    <w:link w:val="Heading4Char"/>
    <w:uiPriority w:val="9"/>
    <w:semiHidden/>
    <w:unhideWhenUsed/>
    <w:qFormat/>
    <w:rsid w:val="004E602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508B"/>
    <w:pPr>
      <w:spacing w:line="240" w:lineRule="auto"/>
    </w:pPr>
    <w:rPr>
      <w:sz w:val="20"/>
      <w:szCs w:val="20"/>
    </w:rPr>
  </w:style>
  <w:style w:type="character" w:customStyle="1" w:styleId="FootnoteTextChar">
    <w:name w:val="Footnote Text Char"/>
    <w:basedOn w:val="DefaultParagraphFont"/>
    <w:link w:val="FootnoteText"/>
    <w:uiPriority w:val="99"/>
    <w:semiHidden/>
    <w:rsid w:val="00FD508B"/>
    <w:rPr>
      <w:rFonts w:eastAsia="Times New Roman"/>
      <w:color w:val="000000"/>
      <w:sz w:val="20"/>
      <w:szCs w:val="20"/>
    </w:r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Style 6,Style 3,FR"/>
    <w:basedOn w:val="DefaultParagraphFont"/>
    <w:uiPriority w:val="99"/>
    <w:unhideWhenUsed/>
    <w:qFormat/>
    <w:rsid w:val="00FD508B"/>
    <w:rPr>
      <w:vertAlign w:val="superscript"/>
    </w:rPr>
  </w:style>
  <w:style w:type="paragraph" w:customStyle="1" w:styleId="footnotedescription">
    <w:name w:val="footnote description"/>
    <w:next w:val="Normal"/>
    <w:link w:val="footnotedescriptionChar"/>
    <w:hidden/>
    <w:rsid w:val="002C4869"/>
    <w:pPr>
      <w:spacing w:line="259" w:lineRule="auto"/>
      <w:ind w:left="91"/>
    </w:pPr>
    <w:rPr>
      <w:rFonts w:eastAsia="Times New Roman"/>
      <w:color w:val="000000"/>
      <w:sz w:val="20"/>
      <w:szCs w:val="22"/>
    </w:rPr>
  </w:style>
  <w:style w:type="character" w:customStyle="1" w:styleId="footnotedescriptionChar">
    <w:name w:val="footnote description Char"/>
    <w:link w:val="footnotedescription"/>
    <w:rsid w:val="002C4869"/>
    <w:rPr>
      <w:rFonts w:eastAsia="Times New Roman"/>
      <w:color w:val="000000"/>
      <w:sz w:val="20"/>
      <w:szCs w:val="22"/>
    </w:rPr>
  </w:style>
  <w:style w:type="character" w:customStyle="1" w:styleId="footnotemark">
    <w:name w:val="footnote mark"/>
    <w:hidden/>
    <w:rsid w:val="002C4869"/>
    <w:rPr>
      <w:rFonts w:ascii="Times New Roman" w:eastAsia="Times New Roman" w:hAnsi="Times New Roman" w:cs="Times New Roman"/>
      <w:color w:val="000000"/>
      <w:sz w:val="20"/>
      <w:vertAlign w:val="superscript"/>
    </w:rPr>
  </w:style>
  <w:style w:type="paragraph" w:styleId="ListParagraph">
    <w:name w:val="List Paragraph"/>
    <w:basedOn w:val="Normal"/>
    <w:link w:val="ListParagraphChar"/>
    <w:uiPriority w:val="34"/>
    <w:qFormat/>
    <w:rsid w:val="002B4288"/>
    <w:pPr>
      <w:ind w:left="720" w:firstLine="1440"/>
    </w:pPr>
    <w:rPr>
      <w:color w:val="auto"/>
      <w:szCs w:val="24"/>
    </w:rPr>
  </w:style>
  <w:style w:type="table" w:customStyle="1" w:styleId="TableGrid3">
    <w:name w:val="Table Grid3"/>
    <w:basedOn w:val="TableNormal"/>
    <w:next w:val="TableGrid"/>
    <w:uiPriority w:val="59"/>
    <w:rsid w:val="002B4288"/>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B4288"/>
    <w:pPr>
      <w:tabs>
        <w:tab w:val="left" w:pos="1440"/>
      </w:tabs>
    </w:pPr>
    <w:rPr>
      <w:rFonts w:eastAsia="Times New Roman"/>
      <w:szCs w:val="20"/>
    </w:rPr>
  </w:style>
  <w:style w:type="table" w:styleId="TableGrid">
    <w:name w:val="Table Grid"/>
    <w:basedOn w:val="TableNormal"/>
    <w:uiPriority w:val="39"/>
    <w:rsid w:val="002B4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288"/>
    <w:pPr>
      <w:tabs>
        <w:tab w:val="center" w:pos="4680"/>
        <w:tab w:val="right" w:pos="9360"/>
      </w:tabs>
      <w:spacing w:line="240" w:lineRule="auto"/>
    </w:pPr>
  </w:style>
  <w:style w:type="character" w:customStyle="1" w:styleId="HeaderChar">
    <w:name w:val="Header Char"/>
    <w:basedOn w:val="DefaultParagraphFont"/>
    <w:link w:val="Header"/>
    <w:uiPriority w:val="99"/>
    <w:rsid w:val="002B4288"/>
    <w:rPr>
      <w:rFonts w:eastAsia="Times New Roman"/>
      <w:color w:val="000000"/>
      <w:szCs w:val="22"/>
    </w:rPr>
  </w:style>
  <w:style w:type="paragraph" w:styleId="Footer">
    <w:name w:val="footer"/>
    <w:basedOn w:val="Normal"/>
    <w:link w:val="FooterChar"/>
    <w:uiPriority w:val="99"/>
    <w:unhideWhenUsed/>
    <w:rsid w:val="002B4288"/>
    <w:pPr>
      <w:tabs>
        <w:tab w:val="center" w:pos="4680"/>
        <w:tab w:val="right" w:pos="9360"/>
      </w:tabs>
      <w:spacing w:line="240" w:lineRule="auto"/>
    </w:pPr>
  </w:style>
  <w:style w:type="character" w:customStyle="1" w:styleId="FooterChar">
    <w:name w:val="Footer Char"/>
    <w:basedOn w:val="DefaultParagraphFont"/>
    <w:link w:val="Footer"/>
    <w:uiPriority w:val="99"/>
    <w:rsid w:val="002B4288"/>
    <w:rPr>
      <w:rFonts w:eastAsia="Times New Roman"/>
      <w:color w:val="000000"/>
      <w:szCs w:val="22"/>
    </w:rPr>
  </w:style>
  <w:style w:type="character" w:customStyle="1" w:styleId="Heading1Char">
    <w:name w:val="Heading 1 Char"/>
    <w:basedOn w:val="DefaultParagraphFont"/>
    <w:link w:val="Heading1"/>
    <w:uiPriority w:val="9"/>
    <w:rsid w:val="008561C3"/>
    <w:rPr>
      <w:rFonts w:eastAsiaTheme="majorEastAsia"/>
      <w:b/>
      <w:bCs/>
      <w:sz w:val="26"/>
      <w:szCs w:val="26"/>
      <w:u w:color="000000"/>
    </w:rPr>
  </w:style>
  <w:style w:type="character" w:styleId="Hyperlink">
    <w:name w:val="Hyperlink"/>
    <w:basedOn w:val="DefaultParagraphFont"/>
    <w:uiPriority w:val="99"/>
    <w:unhideWhenUsed/>
    <w:rsid w:val="008561C3"/>
    <w:rPr>
      <w:color w:val="0563C1" w:themeColor="hyperlink"/>
      <w:u w:val="single"/>
    </w:rPr>
  </w:style>
  <w:style w:type="paragraph" w:styleId="TOC1">
    <w:name w:val="toc 1"/>
    <w:basedOn w:val="Normal"/>
    <w:next w:val="Normal"/>
    <w:autoRedefine/>
    <w:uiPriority w:val="39"/>
    <w:unhideWhenUsed/>
    <w:rsid w:val="00F64E78"/>
    <w:pPr>
      <w:spacing w:after="100" w:line="240" w:lineRule="auto"/>
    </w:pPr>
    <w:rPr>
      <w:color w:val="0D0D0D" w:themeColor="text1" w:themeTint="F2"/>
    </w:rPr>
  </w:style>
  <w:style w:type="character" w:customStyle="1" w:styleId="Heading2Char">
    <w:name w:val="Heading 2 Char"/>
    <w:basedOn w:val="DefaultParagraphFont"/>
    <w:link w:val="Heading2"/>
    <w:uiPriority w:val="9"/>
    <w:rsid w:val="00D3698A"/>
    <w:rPr>
      <w:rFonts w:eastAsia="Times New Roman"/>
      <w:b/>
      <w:bCs/>
      <w:sz w:val="26"/>
      <w:szCs w:val="26"/>
    </w:rPr>
  </w:style>
  <w:style w:type="character" w:customStyle="1" w:styleId="Heading3Char">
    <w:name w:val="Heading 3 Char"/>
    <w:basedOn w:val="DefaultParagraphFont"/>
    <w:link w:val="Heading3"/>
    <w:uiPriority w:val="9"/>
    <w:rsid w:val="005D36F6"/>
    <w:rPr>
      <w:rFonts w:eastAsia="Times New Roman"/>
      <w:b/>
      <w:bCs/>
      <w:sz w:val="26"/>
      <w:szCs w:val="26"/>
    </w:rPr>
  </w:style>
  <w:style w:type="paragraph" w:customStyle="1" w:styleId="TOCH2">
    <w:name w:val="TOC H 2"/>
    <w:basedOn w:val="ListParagraph"/>
    <w:link w:val="TOCH2Char"/>
    <w:autoRedefine/>
    <w:qFormat/>
    <w:rsid w:val="00A97442"/>
    <w:pPr>
      <w:numPr>
        <w:numId w:val="7"/>
      </w:numPr>
      <w:ind w:left="720" w:hanging="720"/>
    </w:pPr>
    <w:rPr>
      <w:rFonts w:ascii="Times New Roman Bold" w:hAnsi="Times New Roman Bold"/>
      <w:b/>
      <w:bCs/>
      <w:szCs w:val="26"/>
    </w:rPr>
  </w:style>
  <w:style w:type="paragraph" w:customStyle="1" w:styleId="TOCH3">
    <w:name w:val="TOC H 3"/>
    <w:basedOn w:val="Heading3"/>
    <w:link w:val="TOCH3Char"/>
    <w:qFormat/>
    <w:rsid w:val="009D088D"/>
    <w:pPr>
      <w:numPr>
        <w:numId w:val="22"/>
      </w:numPr>
      <w:spacing w:line="240" w:lineRule="auto"/>
      <w:ind w:left="1440" w:hanging="720"/>
    </w:pPr>
  </w:style>
  <w:style w:type="character" w:customStyle="1" w:styleId="ListParagraphChar">
    <w:name w:val="List Paragraph Char"/>
    <w:basedOn w:val="DefaultParagraphFont"/>
    <w:link w:val="ListParagraph"/>
    <w:uiPriority w:val="34"/>
    <w:rsid w:val="005D36F6"/>
    <w:rPr>
      <w:rFonts w:eastAsia="Times New Roman"/>
    </w:rPr>
  </w:style>
  <w:style w:type="character" w:customStyle="1" w:styleId="TOCH2Char">
    <w:name w:val="TOC H 2 Char"/>
    <w:basedOn w:val="ListParagraphChar"/>
    <w:link w:val="TOCH2"/>
    <w:rsid w:val="00A97442"/>
    <w:rPr>
      <w:rFonts w:ascii="Times New Roman Bold" w:eastAsia="Times New Roman" w:hAnsi="Times New Roman Bold"/>
      <w:b/>
      <w:bCs/>
      <w:sz w:val="26"/>
      <w:szCs w:val="26"/>
    </w:rPr>
  </w:style>
  <w:style w:type="paragraph" w:styleId="TOCHeading">
    <w:name w:val="TOC Heading"/>
    <w:basedOn w:val="Heading1"/>
    <w:next w:val="Normal"/>
    <w:uiPriority w:val="39"/>
    <w:unhideWhenUsed/>
    <w:qFormat/>
    <w:rsid w:val="00A97442"/>
    <w:pPr>
      <w:spacing w:before="240" w:line="259" w:lineRule="auto"/>
      <w:jc w:val="left"/>
      <w:outlineLvl w:val="9"/>
    </w:pPr>
    <w:rPr>
      <w:rFonts w:asciiTheme="majorHAnsi" w:hAnsiTheme="majorHAnsi" w:cstheme="majorBidi"/>
      <w:b w:val="0"/>
      <w:bCs w:val="0"/>
      <w:color w:val="2F5496" w:themeColor="accent1" w:themeShade="BF"/>
      <w:sz w:val="32"/>
      <w:szCs w:val="32"/>
    </w:rPr>
  </w:style>
  <w:style w:type="character" w:customStyle="1" w:styleId="TOCH3Char">
    <w:name w:val="TOC H 3 Char"/>
    <w:basedOn w:val="Heading3Char"/>
    <w:link w:val="TOCH3"/>
    <w:rsid w:val="009D088D"/>
    <w:rPr>
      <w:rFonts w:eastAsia="Times New Roman"/>
      <w:b/>
      <w:bCs/>
      <w:sz w:val="26"/>
      <w:szCs w:val="26"/>
    </w:rPr>
  </w:style>
  <w:style w:type="paragraph" w:styleId="TOC3">
    <w:name w:val="toc 3"/>
    <w:basedOn w:val="Normal"/>
    <w:next w:val="Normal"/>
    <w:autoRedefine/>
    <w:uiPriority w:val="39"/>
    <w:unhideWhenUsed/>
    <w:rsid w:val="0047446A"/>
    <w:pPr>
      <w:tabs>
        <w:tab w:val="left" w:pos="2160"/>
        <w:tab w:val="right" w:leader="dot" w:pos="9350"/>
      </w:tabs>
      <w:spacing w:after="100" w:line="240" w:lineRule="auto"/>
      <w:ind w:left="2160" w:hanging="720"/>
    </w:pPr>
  </w:style>
  <w:style w:type="character" w:customStyle="1" w:styleId="Heading4Char">
    <w:name w:val="Heading 4 Char"/>
    <w:basedOn w:val="DefaultParagraphFont"/>
    <w:link w:val="Heading4"/>
    <w:uiPriority w:val="9"/>
    <w:semiHidden/>
    <w:rsid w:val="004E6023"/>
    <w:rPr>
      <w:rFonts w:asciiTheme="majorHAnsi" w:eastAsiaTheme="majorEastAsia" w:hAnsiTheme="majorHAnsi" w:cstheme="majorBidi"/>
      <w:i/>
      <w:iCs/>
      <w:color w:val="2F5496" w:themeColor="accent1" w:themeShade="BF"/>
      <w:szCs w:val="22"/>
    </w:rPr>
  </w:style>
  <w:style w:type="table" w:customStyle="1" w:styleId="TableGrid0">
    <w:name w:val="TableGrid"/>
    <w:rsid w:val="0034137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OCH4">
    <w:name w:val="TOC H 4"/>
    <w:basedOn w:val="Normal"/>
    <w:link w:val="TOCH4Char"/>
    <w:qFormat/>
    <w:rsid w:val="009D088D"/>
    <w:pPr>
      <w:numPr>
        <w:numId w:val="36"/>
      </w:numPr>
      <w:ind w:hanging="720"/>
      <w:jc w:val="both"/>
      <w:outlineLvl w:val="2"/>
    </w:pPr>
    <w:rPr>
      <w:b/>
      <w:color w:val="auto"/>
      <w:szCs w:val="26"/>
    </w:rPr>
  </w:style>
  <w:style w:type="character" w:customStyle="1" w:styleId="TOCH4Char">
    <w:name w:val="TOC H 4 Char"/>
    <w:basedOn w:val="DefaultParagraphFont"/>
    <w:link w:val="TOCH4"/>
    <w:rsid w:val="009D088D"/>
    <w:rPr>
      <w:rFonts w:eastAsia="Times New Roman"/>
      <w:b/>
      <w:sz w:val="26"/>
      <w:szCs w:val="26"/>
    </w:rPr>
  </w:style>
  <w:style w:type="table" w:customStyle="1" w:styleId="TableGrid1">
    <w:name w:val="TableGrid1"/>
    <w:rsid w:val="00E975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11342"/>
    <w:rPr>
      <w:sz w:val="16"/>
      <w:szCs w:val="16"/>
    </w:rPr>
  </w:style>
  <w:style w:type="paragraph" w:styleId="CommentText">
    <w:name w:val="annotation text"/>
    <w:basedOn w:val="Normal"/>
    <w:link w:val="CommentTextChar"/>
    <w:uiPriority w:val="99"/>
    <w:unhideWhenUsed/>
    <w:rsid w:val="00104EAC"/>
    <w:pPr>
      <w:spacing w:line="240" w:lineRule="auto"/>
    </w:pPr>
    <w:rPr>
      <w:sz w:val="20"/>
      <w:szCs w:val="20"/>
    </w:rPr>
  </w:style>
  <w:style w:type="character" w:customStyle="1" w:styleId="CommentTextChar">
    <w:name w:val="Comment Text Char"/>
    <w:basedOn w:val="DefaultParagraphFont"/>
    <w:link w:val="CommentText"/>
    <w:uiPriority w:val="99"/>
    <w:rsid w:val="00B11342"/>
    <w:rPr>
      <w:rFonts w:eastAsia="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11342"/>
    <w:rPr>
      <w:b/>
      <w:bCs/>
    </w:rPr>
  </w:style>
  <w:style w:type="character" w:customStyle="1" w:styleId="CommentSubjectChar">
    <w:name w:val="Comment Subject Char"/>
    <w:basedOn w:val="CommentTextChar"/>
    <w:link w:val="CommentSubject"/>
    <w:uiPriority w:val="99"/>
    <w:semiHidden/>
    <w:rsid w:val="00B11342"/>
    <w:rPr>
      <w:rFonts w:eastAsia="Times New Roman"/>
      <w:b/>
      <w:bCs/>
      <w:color w:val="000000"/>
      <w:sz w:val="20"/>
      <w:szCs w:val="20"/>
    </w:rPr>
  </w:style>
  <w:style w:type="paragraph" w:styleId="Revision">
    <w:name w:val="Revision"/>
    <w:hidden/>
    <w:uiPriority w:val="99"/>
    <w:semiHidden/>
    <w:rsid w:val="00B11342"/>
    <w:rPr>
      <w:rFonts w:eastAsia="Times New Roman"/>
      <w:color w:val="000000"/>
      <w:szCs w:val="22"/>
    </w:rPr>
  </w:style>
  <w:style w:type="paragraph" w:customStyle="1" w:styleId="TOCH5">
    <w:name w:val="TOC H 5"/>
    <w:basedOn w:val="TOCH4"/>
    <w:link w:val="TOCH5Char"/>
    <w:autoRedefine/>
    <w:qFormat/>
    <w:rsid w:val="00925F66"/>
    <w:pPr>
      <w:numPr>
        <w:numId w:val="44"/>
      </w:numPr>
      <w:ind w:left="2880" w:hanging="720"/>
    </w:pPr>
    <w:rPr>
      <w:rFonts w:ascii="Times New Roman Bold" w:hAnsi="Times New Roman Bold"/>
    </w:rPr>
  </w:style>
  <w:style w:type="paragraph" w:styleId="TOC2">
    <w:name w:val="toc 2"/>
    <w:basedOn w:val="Normal"/>
    <w:next w:val="Normal"/>
    <w:autoRedefine/>
    <w:uiPriority w:val="39"/>
    <w:unhideWhenUsed/>
    <w:rsid w:val="0047446A"/>
    <w:pPr>
      <w:tabs>
        <w:tab w:val="left" w:pos="1440"/>
        <w:tab w:val="right" w:leader="dot" w:pos="9350"/>
      </w:tabs>
      <w:spacing w:after="100" w:line="240" w:lineRule="auto"/>
      <w:ind w:left="1440" w:hanging="720"/>
    </w:pPr>
  </w:style>
  <w:style w:type="character" w:customStyle="1" w:styleId="TOCH5Char">
    <w:name w:val="TOC H 5 Char"/>
    <w:basedOn w:val="TOCH4Char"/>
    <w:link w:val="TOCH5"/>
    <w:rsid w:val="00925F66"/>
    <w:rPr>
      <w:rFonts w:ascii="Times New Roman Bold" w:eastAsia="Times New Roman" w:hAnsi="Times New Roman Bold"/>
      <w:b/>
      <w:sz w:val="26"/>
      <w:szCs w:val="26"/>
    </w:rPr>
  </w:style>
  <w:style w:type="paragraph" w:styleId="TOC4">
    <w:name w:val="toc 4"/>
    <w:basedOn w:val="Normal"/>
    <w:next w:val="Normal"/>
    <w:autoRedefine/>
    <w:uiPriority w:val="39"/>
    <w:unhideWhenUsed/>
    <w:rsid w:val="0047446A"/>
    <w:pPr>
      <w:tabs>
        <w:tab w:val="left" w:pos="3600"/>
        <w:tab w:val="right" w:leader="dot" w:pos="9350"/>
      </w:tabs>
      <w:spacing w:after="100" w:line="240" w:lineRule="auto"/>
      <w:ind w:left="2880" w:hanging="720"/>
    </w:pPr>
  </w:style>
  <w:style w:type="paragraph" w:styleId="TOC5">
    <w:name w:val="toc 5"/>
    <w:basedOn w:val="Normal"/>
    <w:next w:val="Normal"/>
    <w:autoRedefine/>
    <w:uiPriority w:val="39"/>
    <w:unhideWhenUsed/>
    <w:rsid w:val="0047446A"/>
    <w:pPr>
      <w:tabs>
        <w:tab w:val="left" w:pos="3600"/>
        <w:tab w:val="right" w:leader="dot" w:pos="9350"/>
      </w:tabs>
      <w:spacing w:after="100" w:line="240" w:lineRule="auto"/>
      <w:ind w:left="3600" w:hanging="720"/>
    </w:pPr>
  </w:style>
  <w:style w:type="paragraph" w:styleId="BalloonText">
    <w:name w:val="Balloon Text"/>
    <w:basedOn w:val="Normal"/>
    <w:link w:val="BalloonTextChar"/>
    <w:uiPriority w:val="99"/>
    <w:semiHidden/>
    <w:unhideWhenUsed/>
    <w:rsid w:val="009558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F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f5187bf53a901b7c95a078d1c0376220">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8a0b9c4240fd6a885c3cd86f271922ca"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2053-CF55-4590-8512-743A94C5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C3200-F970-4225-987A-6DAA4869D94F}">
  <ds:schemaRefs>
    <ds:schemaRef ds:uri="http://schemas.microsoft.com/sharepoint/v3/contenttype/forms"/>
  </ds:schemaRefs>
</ds:datastoreItem>
</file>

<file path=customXml/itemProps3.xml><?xml version="1.0" encoding="utf-8"?>
<ds:datastoreItem xmlns:ds="http://schemas.openxmlformats.org/officeDocument/2006/customXml" ds:itemID="{C3A8AED4-9C91-4052-9C48-1FE6CAFBF5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8CAB68-21CF-496D-9466-9E92A4D6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22293</Words>
  <Characters>127076</Characters>
  <Application>Microsoft Office Word</Application>
  <DocSecurity>4</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Hisiro</dc:creator>
  <cp:keywords/>
  <dc:description/>
  <cp:lastModifiedBy>Wagner, Nathan R</cp:lastModifiedBy>
  <cp:revision>2</cp:revision>
  <dcterms:created xsi:type="dcterms:W3CDTF">2021-05-24T12:05:00Z</dcterms:created>
  <dcterms:modified xsi:type="dcterms:W3CDTF">2021-05-24T12:05:00Z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y fmtid="{D5CDD505-2E9C-101B-9397-08002B2CF9AE}" pid="3" name="_DocHome">
    <vt:i4>-138088074</vt:i4>
  </property>
</Properties>
</file>