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87"/>
        <w:gridCol w:w="1440"/>
      </w:tblGrid>
      <w:tr w:rsidR="00C74A51" w14:paraId="38250B1A" w14:textId="77777777">
        <w:trPr>
          <w:trHeight w:val="990"/>
        </w:trPr>
        <w:tc>
          <w:tcPr>
            <w:tcW w:w="1363" w:type="dxa"/>
          </w:tcPr>
          <w:p w14:paraId="1F39F396" w14:textId="3BC1F613" w:rsidR="00C74A51" w:rsidRDefault="00EB13C6">
            <w:pPr>
              <w:rPr>
                <w:sz w:val="24"/>
              </w:rPr>
            </w:pPr>
            <w:r>
              <w:rPr>
                <w:noProof/>
                <w:spacing w:val="-2"/>
              </w:rPr>
              <w:drawing>
                <wp:inline distT="0" distB="0" distL="0" distR="0" wp14:anchorId="1FA19FE0" wp14:editId="3C344182">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14:paraId="0D427605" w14:textId="77777777" w:rsidR="00C74A51" w:rsidRPr="00AF02D1" w:rsidRDefault="00C74A51">
            <w:pPr>
              <w:suppressAutoHyphens/>
              <w:spacing w:line="204" w:lineRule="auto"/>
              <w:jc w:val="center"/>
              <w:rPr>
                <w:rFonts w:ascii="Arial" w:hAnsi="Arial"/>
                <w:color w:val="000080"/>
                <w:spacing w:val="-3"/>
                <w:sz w:val="8"/>
                <w:szCs w:val="8"/>
              </w:rPr>
            </w:pPr>
          </w:p>
          <w:p w14:paraId="49B65DF4"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743F460F"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3A6FA749" w14:textId="77777777" w:rsidR="00C74A51" w:rsidRPr="00AF02D1" w:rsidRDefault="002F2B8C" w:rsidP="00A61C0A">
            <w:pPr>
              <w:jc w:val="center"/>
              <w:rPr>
                <w:rFonts w:ascii="Arial" w:hAnsi="Arial"/>
                <w:color w:val="000080"/>
                <w:spacing w:val="-3"/>
                <w:sz w:val="26"/>
              </w:rPr>
            </w:pPr>
            <w:r>
              <w:rPr>
                <w:rFonts w:ascii="Arial" w:hAnsi="Arial"/>
                <w:color w:val="000080"/>
                <w:spacing w:val="-3"/>
                <w:sz w:val="26"/>
              </w:rPr>
              <w:t>P.O. BOX 3265</w:t>
            </w:r>
            <w:r w:rsidR="00A61C0A">
              <w:rPr>
                <w:rFonts w:ascii="Arial" w:hAnsi="Arial"/>
                <w:color w:val="000080"/>
                <w:spacing w:val="-3"/>
                <w:sz w:val="26"/>
              </w:rPr>
              <w:t xml:space="preserve">, </w:t>
            </w:r>
            <w:r w:rsidR="00C74A51">
              <w:rPr>
                <w:rFonts w:ascii="Arial" w:hAnsi="Arial"/>
                <w:color w:val="000080"/>
                <w:spacing w:val="-3"/>
                <w:sz w:val="26"/>
              </w:rPr>
              <w:t xml:space="preserve">HARRISBURG, PA </w:t>
            </w:r>
            <w:r w:rsidR="00AF4A0F">
              <w:rPr>
                <w:rFonts w:ascii="Arial" w:hAnsi="Arial"/>
                <w:color w:val="000080"/>
                <w:spacing w:val="-3"/>
                <w:sz w:val="26"/>
              </w:rPr>
              <w:t>171</w:t>
            </w:r>
            <w:r w:rsidR="00864070">
              <w:rPr>
                <w:rFonts w:ascii="Arial" w:hAnsi="Arial"/>
                <w:color w:val="000080"/>
                <w:spacing w:val="-3"/>
                <w:sz w:val="26"/>
              </w:rPr>
              <w:t>0</w:t>
            </w:r>
            <w:r>
              <w:rPr>
                <w:rFonts w:ascii="Arial" w:hAnsi="Arial"/>
                <w:color w:val="000080"/>
                <w:spacing w:val="-3"/>
                <w:sz w:val="26"/>
              </w:rPr>
              <w:t>5-3265</w:t>
            </w:r>
          </w:p>
        </w:tc>
        <w:tc>
          <w:tcPr>
            <w:tcW w:w="1440" w:type="dxa"/>
          </w:tcPr>
          <w:p w14:paraId="68715C7B" w14:textId="77777777" w:rsidR="00C74A51" w:rsidRDefault="00C74A51">
            <w:pPr>
              <w:rPr>
                <w:rFonts w:ascii="Arial" w:hAnsi="Arial"/>
                <w:sz w:val="12"/>
              </w:rPr>
            </w:pPr>
          </w:p>
          <w:p w14:paraId="5FF5C707" w14:textId="77777777" w:rsidR="00C74A51" w:rsidRDefault="00C74A51">
            <w:pPr>
              <w:rPr>
                <w:rFonts w:ascii="Arial" w:hAnsi="Arial"/>
                <w:sz w:val="12"/>
              </w:rPr>
            </w:pPr>
          </w:p>
          <w:p w14:paraId="72E14A68" w14:textId="77777777" w:rsidR="00C74A51" w:rsidRDefault="00C74A51">
            <w:pPr>
              <w:jc w:val="right"/>
              <w:rPr>
                <w:rFonts w:ascii="Arial" w:hAnsi="Arial"/>
                <w:b/>
                <w:spacing w:val="-1"/>
                <w:sz w:val="12"/>
              </w:rPr>
            </w:pPr>
            <w:r>
              <w:rPr>
                <w:rFonts w:ascii="Arial" w:hAnsi="Arial"/>
                <w:b/>
                <w:spacing w:val="-1"/>
                <w:sz w:val="12"/>
              </w:rPr>
              <w:t>IN REPLY PLEASE REFER TO OUR FILE</w:t>
            </w:r>
          </w:p>
          <w:p w14:paraId="47F06314" w14:textId="77777777" w:rsidR="004F32B3" w:rsidRDefault="004F32B3">
            <w:pPr>
              <w:jc w:val="right"/>
              <w:rPr>
                <w:sz w:val="16"/>
                <w:szCs w:val="16"/>
              </w:rPr>
            </w:pPr>
          </w:p>
          <w:p w14:paraId="6C15D44C" w14:textId="00FFC66A" w:rsidR="00C95F36" w:rsidRDefault="00FA244D" w:rsidP="00284E35">
            <w:pPr>
              <w:jc w:val="right"/>
              <w:rPr>
                <w:sz w:val="16"/>
                <w:szCs w:val="16"/>
              </w:rPr>
            </w:pPr>
            <w:r>
              <w:rPr>
                <w:sz w:val="16"/>
                <w:szCs w:val="16"/>
              </w:rPr>
              <w:t xml:space="preserve">Bp8# </w:t>
            </w:r>
            <w:r w:rsidR="00830CED">
              <w:rPr>
                <w:sz w:val="16"/>
                <w:szCs w:val="16"/>
              </w:rPr>
              <w:t>2645254</w:t>
            </w:r>
          </w:p>
          <w:p w14:paraId="1C7E663E" w14:textId="46749112" w:rsidR="003569E8" w:rsidRPr="00170283" w:rsidRDefault="00C95F36" w:rsidP="00284E35">
            <w:pPr>
              <w:jc w:val="right"/>
              <w:rPr>
                <w:rFonts w:ascii="Arial" w:hAnsi="Arial"/>
                <w:sz w:val="16"/>
                <w:szCs w:val="16"/>
              </w:rPr>
            </w:pPr>
            <w:r>
              <w:rPr>
                <w:sz w:val="16"/>
                <w:szCs w:val="16"/>
              </w:rPr>
              <w:t>OR Docket No</w:t>
            </w:r>
            <w:r w:rsidR="00E81D7C">
              <w:rPr>
                <w:sz w:val="16"/>
                <w:szCs w:val="16"/>
              </w:rPr>
              <w:t>.</w:t>
            </w:r>
            <w:r w:rsidR="004829D3">
              <w:rPr>
                <w:sz w:val="16"/>
                <w:szCs w:val="16"/>
              </w:rPr>
              <w:t xml:space="preserve">  </w:t>
            </w:r>
            <w:r w:rsidR="00FA244D">
              <w:rPr>
                <w:sz w:val="16"/>
                <w:szCs w:val="16"/>
              </w:rPr>
              <w:t xml:space="preserve"> </w:t>
            </w:r>
            <w:r w:rsidR="004829D3">
              <w:rPr>
                <w:sz w:val="16"/>
                <w:szCs w:val="16"/>
              </w:rPr>
              <w:t>M-2018-2645254</w:t>
            </w:r>
          </w:p>
        </w:tc>
      </w:tr>
    </w:tbl>
    <w:p w14:paraId="0027AF3A" w14:textId="77777777"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14:paraId="0EDD10A4" w14:textId="1E1BB275" w:rsidR="00CB129D" w:rsidRPr="00CB129D" w:rsidRDefault="002417BF" w:rsidP="002417BF">
      <w:pPr>
        <w:tabs>
          <w:tab w:val="left" w:pos="720"/>
          <w:tab w:val="left" w:pos="1440"/>
          <w:tab w:val="left" w:pos="2160"/>
          <w:tab w:val="left" w:pos="4680"/>
        </w:tabs>
        <w:jc w:val="center"/>
        <w:rPr>
          <w:sz w:val="26"/>
          <w:szCs w:val="26"/>
        </w:rPr>
      </w:pPr>
      <w:r>
        <w:rPr>
          <w:sz w:val="26"/>
          <w:szCs w:val="26"/>
        </w:rPr>
        <w:t>June 21, 2021</w:t>
      </w:r>
    </w:p>
    <w:p w14:paraId="51D41D59" w14:textId="77777777" w:rsidR="003C56E2" w:rsidRDefault="003C56E2" w:rsidP="00BE575E">
      <w:pPr>
        <w:tabs>
          <w:tab w:val="left" w:pos="720"/>
          <w:tab w:val="left" w:pos="1440"/>
          <w:tab w:val="left" w:pos="2160"/>
          <w:tab w:val="left" w:pos="4680"/>
        </w:tabs>
        <w:jc w:val="center"/>
        <w:rPr>
          <w:b/>
          <w:sz w:val="26"/>
          <w:szCs w:val="26"/>
        </w:rPr>
      </w:pPr>
    </w:p>
    <w:p w14:paraId="5176BAE5" w14:textId="77777777" w:rsidR="00313F77" w:rsidRPr="003C56E2" w:rsidRDefault="00313F77" w:rsidP="00BE575E">
      <w:pPr>
        <w:tabs>
          <w:tab w:val="left" w:pos="720"/>
          <w:tab w:val="left" w:pos="1440"/>
          <w:tab w:val="left" w:pos="2160"/>
          <w:tab w:val="left" w:pos="4680"/>
        </w:tabs>
        <w:rPr>
          <w:b/>
          <w:sz w:val="26"/>
          <w:szCs w:val="26"/>
        </w:rPr>
      </w:pPr>
    </w:p>
    <w:p w14:paraId="5380363B" w14:textId="05B19BF1" w:rsidR="00CF7B8E" w:rsidRDefault="004100A9" w:rsidP="005E3C21">
      <w:pPr>
        <w:tabs>
          <w:tab w:val="left" w:pos="720"/>
          <w:tab w:val="left" w:pos="1440"/>
          <w:tab w:val="left" w:pos="2160"/>
          <w:tab w:val="left" w:pos="5400"/>
        </w:tabs>
        <w:ind w:left="720" w:hanging="720"/>
        <w:rPr>
          <w:sz w:val="26"/>
          <w:szCs w:val="26"/>
        </w:rPr>
      </w:pPr>
      <w:r>
        <w:rPr>
          <w:sz w:val="26"/>
          <w:szCs w:val="26"/>
        </w:rPr>
        <w:t>To:</w:t>
      </w:r>
      <w:r w:rsidR="00787C0D">
        <w:rPr>
          <w:sz w:val="26"/>
          <w:szCs w:val="26"/>
        </w:rPr>
        <w:tab/>
        <w:t>All Electric Distribution Companies, Electric Generation Suppliers, Statutory Advocates</w:t>
      </w:r>
      <w:r w:rsidR="00D871D3">
        <w:rPr>
          <w:sz w:val="26"/>
          <w:szCs w:val="26"/>
        </w:rPr>
        <w:t xml:space="preserve"> and Parties that filed Comments at this Docket.</w:t>
      </w:r>
    </w:p>
    <w:p w14:paraId="29486E20" w14:textId="77777777" w:rsidR="00930003" w:rsidRPr="003C56E2" w:rsidRDefault="00930003" w:rsidP="00BE575E">
      <w:pPr>
        <w:tabs>
          <w:tab w:val="left" w:pos="720"/>
          <w:tab w:val="left" w:pos="1440"/>
          <w:tab w:val="left" w:pos="2160"/>
          <w:tab w:val="left" w:pos="4680"/>
        </w:tabs>
        <w:ind w:right="576"/>
        <w:rPr>
          <w:sz w:val="26"/>
          <w:szCs w:val="26"/>
        </w:rPr>
      </w:pPr>
    </w:p>
    <w:p w14:paraId="5AB5891B" w14:textId="77777777" w:rsidR="001F2EDC" w:rsidRPr="003C56E2" w:rsidRDefault="001F2EDC" w:rsidP="00BE575E">
      <w:pPr>
        <w:tabs>
          <w:tab w:val="left" w:pos="720"/>
          <w:tab w:val="left" w:pos="1440"/>
          <w:tab w:val="left" w:pos="2160"/>
          <w:tab w:val="left" w:pos="4680"/>
        </w:tabs>
        <w:ind w:right="576"/>
        <w:rPr>
          <w:sz w:val="26"/>
          <w:szCs w:val="26"/>
        </w:rPr>
      </w:pPr>
    </w:p>
    <w:p w14:paraId="0159B597" w14:textId="05EDD13B" w:rsidR="00EC71DD" w:rsidRDefault="00BE575E" w:rsidP="005E3C21">
      <w:pPr>
        <w:tabs>
          <w:tab w:val="left" w:pos="720"/>
          <w:tab w:val="left" w:pos="1440"/>
          <w:tab w:val="left" w:pos="2160"/>
          <w:tab w:val="left" w:pos="4680"/>
        </w:tabs>
        <w:ind w:left="1440" w:hanging="1440"/>
        <w:rPr>
          <w:sz w:val="26"/>
          <w:szCs w:val="26"/>
        </w:rPr>
      </w:pPr>
      <w:r>
        <w:rPr>
          <w:sz w:val="26"/>
          <w:szCs w:val="26"/>
        </w:rPr>
        <w:tab/>
      </w:r>
      <w:r w:rsidR="00930003" w:rsidRPr="003C56E2">
        <w:rPr>
          <w:sz w:val="26"/>
          <w:szCs w:val="26"/>
        </w:rPr>
        <w:t>Re:</w:t>
      </w:r>
      <w:r w:rsidR="00FA244D">
        <w:rPr>
          <w:sz w:val="26"/>
          <w:szCs w:val="26"/>
        </w:rPr>
        <w:tab/>
      </w:r>
      <w:r w:rsidR="006E5B00">
        <w:rPr>
          <w:sz w:val="26"/>
          <w:szCs w:val="26"/>
        </w:rPr>
        <w:t>Closing Docket No. </w:t>
      </w:r>
      <w:r w:rsidR="009438F2">
        <w:rPr>
          <w:sz w:val="26"/>
          <w:szCs w:val="26"/>
        </w:rPr>
        <w:t>M-2018-2645254, re</w:t>
      </w:r>
      <w:r w:rsidR="00E67DC2">
        <w:rPr>
          <w:sz w:val="26"/>
          <w:szCs w:val="26"/>
        </w:rPr>
        <w:t xml:space="preserve">: Supplier Consolidated Billing, without </w:t>
      </w:r>
      <w:r w:rsidR="005F0B33">
        <w:rPr>
          <w:sz w:val="26"/>
          <w:szCs w:val="26"/>
        </w:rPr>
        <w:t>further action</w:t>
      </w:r>
    </w:p>
    <w:p w14:paraId="0C3A7B40" w14:textId="77777777" w:rsidR="001F2EDC" w:rsidRPr="003C56E2" w:rsidRDefault="001F2EDC" w:rsidP="00BE575E">
      <w:pPr>
        <w:tabs>
          <w:tab w:val="left" w:pos="720"/>
          <w:tab w:val="left" w:pos="1440"/>
          <w:tab w:val="left" w:pos="2160"/>
          <w:tab w:val="left" w:pos="4680"/>
        </w:tabs>
        <w:rPr>
          <w:sz w:val="26"/>
          <w:szCs w:val="26"/>
        </w:rPr>
      </w:pPr>
    </w:p>
    <w:p w14:paraId="3FED4F24" w14:textId="050DA57C" w:rsidR="006B1D90" w:rsidRDefault="0069271F" w:rsidP="0040425B">
      <w:pPr>
        <w:tabs>
          <w:tab w:val="left" w:pos="720"/>
          <w:tab w:val="left" w:pos="1440"/>
          <w:tab w:val="left" w:pos="2160"/>
          <w:tab w:val="left" w:pos="4680"/>
        </w:tabs>
        <w:ind w:firstLine="720"/>
        <w:rPr>
          <w:sz w:val="26"/>
          <w:szCs w:val="26"/>
        </w:rPr>
      </w:pPr>
      <w:r>
        <w:rPr>
          <w:sz w:val="26"/>
          <w:szCs w:val="26"/>
        </w:rPr>
        <w:t>T</w:t>
      </w:r>
      <w:r w:rsidR="0040425B">
        <w:rPr>
          <w:sz w:val="26"/>
          <w:szCs w:val="26"/>
        </w:rPr>
        <w:t xml:space="preserve">he </w:t>
      </w:r>
      <w:r w:rsidR="005001C7">
        <w:rPr>
          <w:sz w:val="26"/>
          <w:szCs w:val="26"/>
        </w:rPr>
        <w:t xml:space="preserve">Pennsylvania Public Utility </w:t>
      </w:r>
      <w:r w:rsidR="0040425B">
        <w:rPr>
          <w:sz w:val="26"/>
          <w:szCs w:val="26"/>
        </w:rPr>
        <w:t>Commission</w:t>
      </w:r>
      <w:r w:rsidR="005001C7">
        <w:rPr>
          <w:sz w:val="26"/>
          <w:szCs w:val="26"/>
        </w:rPr>
        <w:t xml:space="preserve"> (Commission)</w:t>
      </w:r>
      <w:r w:rsidR="0040425B">
        <w:rPr>
          <w:sz w:val="26"/>
          <w:szCs w:val="26"/>
        </w:rPr>
        <w:t xml:space="preserve"> </w:t>
      </w:r>
      <w:r w:rsidR="00BA7CA6">
        <w:rPr>
          <w:sz w:val="26"/>
          <w:szCs w:val="26"/>
        </w:rPr>
        <w:t xml:space="preserve">initiated the instant proceeding at the </w:t>
      </w:r>
      <w:r w:rsidR="0040425B">
        <w:rPr>
          <w:sz w:val="26"/>
          <w:szCs w:val="26"/>
        </w:rPr>
        <w:t>January 18, </w:t>
      </w:r>
      <w:r w:rsidR="004D1319">
        <w:rPr>
          <w:sz w:val="26"/>
          <w:szCs w:val="26"/>
        </w:rPr>
        <w:t>2018,</w:t>
      </w:r>
      <w:r w:rsidR="0040425B">
        <w:rPr>
          <w:sz w:val="26"/>
          <w:szCs w:val="26"/>
        </w:rPr>
        <w:t xml:space="preserve"> public meeting, </w:t>
      </w:r>
      <w:r w:rsidR="00BA7CA6">
        <w:rPr>
          <w:sz w:val="26"/>
          <w:szCs w:val="26"/>
        </w:rPr>
        <w:t>with the adoption of</w:t>
      </w:r>
      <w:r w:rsidR="0040425B">
        <w:rPr>
          <w:sz w:val="26"/>
          <w:szCs w:val="26"/>
        </w:rPr>
        <w:t xml:space="preserve"> the Joint Motion of Chairman </w:t>
      </w:r>
      <w:r w:rsidR="00061675" w:rsidRPr="00061675">
        <w:rPr>
          <w:sz w:val="26"/>
          <w:szCs w:val="26"/>
        </w:rPr>
        <w:t>Dutrieuille</w:t>
      </w:r>
      <w:r w:rsidR="0040425B">
        <w:rPr>
          <w:sz w:val="26"/>
          <w:szCs w:val="26"/>
        </w:rPr>
        <w:t xml:space="preserve"> and Commissioner Kennard </w:t>
      </w:r>
      <w:r w:rsidR="009177E3">
        <w:rPr>
          <w:sz w:val="26"/>
          <w:szCs w:val="26"/>
        </w:rPr>
        <w:t>that</w:t>
      </w:r>
      <w:r w:rsidR="0040425B">
        <w:rPr>
          <w:sz w:val="26"/>
          <w:szCs w:val="26"/>
        </w:rPr>
        <w:t xml:space="preserve">, among other things, required the Law Bureau and Office of Competitive Market Oversight to organize an </w:t>
      </w:r>
      <w:proofErr w:type="spellStart"/>
      <w:r w:rsidR="0040425B">
        <w:rPr>
          <w:i/>
          <w:iCs/>
          <w:sz w:val="26"/>
          <w:szCs w:val="26"/>
        </w:rPr>
        <w:t>en</w:t>
      </w:r>
      <w:proofErr w:type="spellEnd"/>
      <w:r w:rsidR="0040425B">
        <w:rPr>
          <w:i/>
          <w:iCs/>
          <w:sz w:val="26"/>
          <w:szCs w:val="26"/>
        </w:rPr>
        <w:t xml:space="preserve"> banc</w:t>
      </w:r>
      <w:r w:rsidR="0040425B">
        <w:rPr>
          <w:sz w:val="26"/>
          <w:szCs w:val="26"/>
        </w:rPr>
        <w:t xml:space="preserve"> hearing seeking comments on the legality, feasibility, and appropriateness of</w:t>
      </w:r>
      <w:r w:rsidR="005001C7">
        <w:rPr>
          <w:sz w:val="26"/>
          <w:szCs w:val="26"/>
        </w:rPr>
        <w:t xml:space="preserve"> electric generation supplier</w:t>
      </w:r>
      <w:r w:rsidR="00B4727F">
        <w:rPr>
          <w:sz w:val="26"/>
          <w:szCs w:val="26"/>
        </w:rPr>
        <w:t xml:space="preserve"> (EGS)</w:t>
      </w:r>
      <w:r w:rsidR="005001C7">
        <w:rPr>
          <w:sz w:val="26"/>
          <w:szCs w:val="26"/>
        </w:rPr>
        <w:t xml:space="preserve"> consolidated billing</w:t>
      </w:r>
      <w:r w:rsidR="0040425B">
        <w:rPr>
          <w:sz w:val="26"/>
          <w:szCs w:val="26"/>
        </w:rPr>
        <w:t xml:space="preserve"> </w:t>
      </w:r>
      <w:r w:rsidR="005001C7">
        <w:rPr>
          <w:sz w:val="26"/>
          <w:szCs w:val="26"/>
        </w:rPr>
        <w:t>(</w:t>
      </w:r>
      <w:r w:rsidR="0040425B">
        <w:rPr>
          <w:sz w:val="26"/>
          <w:szCs w:val="26"/>
        </w:rPr>
        <w:t>SCB</w:t>
      </w:r>
      <w:r w:rsidR="005001C7">
        <w:rPr>
          <w:sz w:val="26"/>
          <w:szCs w:val="26"/>
        </w:rPr>
        <w:t>)</w:t>
      </w:r>
      <w:r w:rsidR="0040425B">
        <w:rPr>
          <w:sz w:val="26"/>
          <w:szCs w:val="26"/>
        </w:rPr>
        <w:t xml:space="preserve">.  </w:t>
      </w:r>
      <w:r w:rsidR="0040425B">
        <w:rPr>
          <w:i/>
          <w:iCs/>
          <w:sz w:val="26"/>
          <w:szCs w:val="26"/>
        </w:rPr>
        <w:t xml:space="preserve">See </w:t>
      </w:r>
      <w:r w:rsidR="0040425B" w:rsidRPr="00872A6B">
        <w:rPr>
          <w:i/>
          <w:iCs/>
          <w:sz w:val="26"/>
          <w:szCs w:val="26"/>
        </w:rPr>
        <w:t xml:space="preserve">Petition of NRG Energy, Inc. for Implementation of Electric Generation Supplier Consolidated Billing, </w:t>
      </w:r>
      <w:r w:rsidR="0040425B" w:rsidRPr="00AC4DEC">
        <w:rPr>
          <w:sz w:val="26"/>
          <w:szCs w:val="26"/>
        </w:rPr>
        <w:t>Docket No. P-</w:t>
      </w:r>
      <w:r w:rsidR="004D1319">
        <w:rPr>
          <w:sz w:val="26"/>
          <w:szCs w:val="26"/>
        </w:rPr>
        <w:t> </w:t>
      </w:r>
      <w:r w:rsidR="0040425B" w:rsidRPr="00AC4DEC">
        <w:rPr>
          <w:sz w:val="26"/>
          <w:szCs w:val="26"/>
        </w:rPr>
        <w:t>2016-2579249 (Order</w:t>
      </w:r>
      <w:r w:rsidR="0040425B" w:rsidRPr="00FB39A6">
        <w:rPr>
          <w:sz w:val="26"/>
          <w:szCs w:val="26"/>
        </w:rPr>
        <w:t xml:space="preserve"> entered January 31, 2018</w:t>
      </w:r>
      <w:r w:rsidR="0040425B" w:rsidRPr="00AC4DEC">
        <w:rPr>
          <w:sz w:val="26"/>
          <w:szCs w:val="26"/>
        </w:rPr>
        <w:t>)</w:t>
      </w:r>
      <w:r w:rsidR="0040425B">
        <w:rPr>
          <w:sz w:val="26"/>
          <w:szCs w:val="26"/>
        </w:rPr>
        <w:t>.</w:t>
      </w:r>
      <w:r w:rsidR="005001C7">
        <w:rPr>
          <w:sz w:val="26"/>
          <w:szCs w:val="26"/>
        </w:rPr>
        <w:t xml:space="preserve">  </w:t>
      </w:r>
      <w:r w:rsidR="00B4727F">
        <w:rPr>
          <w:sz w:val="26"/>
          <w:szCs w:val="26"/>
        </w:rPr>
        <w:t>T</w:t>
      </w:r>
      <w:r w:rsidR="005001C7">
        <w:rPr>
          <w:sz w:val="26"/>
          <w:szCs w:val="26"/>
        </w:rPr>
        <w:t xml:space="preserve">he Commission held </w:t>
      </w:r>
      <w:proofErr w:type="spellStart"/>
      <w:r w:rsidR="005001C7">
        <w:rPr>
          <w:i/>
          <w:iCs/>
          <w:sz w:val="26"/>
          <w:szCs w:val="26"/>
        </w:rPr>
        <w:t>en</w:t>
      </w:r>
      <w:proofErr w:type="spellEnd"/>
      <w:r w:rsidR="005001C7">
        <w:rPr>
          <w:i/>
          <w:iCs/>
          <w:sz w:val="26"/>
          <w:szCs w:val="26"/>
        </w:rPr>
        <w:t xml:space="preserve"> banc</w:t>
      </w:r>
      <w:r w:rsidR="005001C7">
        <w:rPr>
          <w:sz w:val="26"/>
          <w:szCs w:val="26"/>
        </w:rPr>
        <w:t xml:space="preserve"> hearings </w:t>
      </w:r>
      <w:r w:rsidR="00576425">
        <w:rPr>
          <w:sz w:val="26"/>
          <w:szCs w:val="26"/>
        </w:rPr>
        <w:t xml:space="preserve">on June 14 and July 12, 2018, </w:t>
      </w:r>
      <w:r w:rsidR="005001C7">
        <w:rPr>
          <w:sz w:val="26"/>
          <w:szCs w:val="26"/>
        </w:rPr>
        <w:t xml:space="preserve">to </w:t>
      </w:r>
      <w:r w:rsidR="006B1D90">
        <w:rPr>
          <w:sz w:val="26"/>
          <w:szCs w:val="26"/>
        </w:rPr>
        <w:t>gather</w:t>
      </w:r>
      <w:r w:rsidR="005001C7">
        <w:rPr>
          <w:sz w:val="26"/>
          <w:szCs w:val="26"/>
        </w:rPr>
        <w:t xml:space="preserve"> information </w:t>
      </w:r>
      <w:r w:rsidR="0080757F">
        <w:rPr>
          <w:sz w:val="26"/>
          <w:szCs w:val="26"/>
        </w:rPr>
        <w:t xml:space="preserve">regarding </w:t>
      </w:r>
      <w:r w:rsidR="006B1D90">
        <w:rPr>
          <w:sz w:val="26"/>
          <w:szCs w:val="26"/>
        </w:rPr>
        <w:t>(1) whether SCB is legal under the Public Utility Code</w:t>
      </w:r>
      <w:r w:rsidR="00D75241">
        <w:rPr>
          <w:sz w:val="26"/>
          <w:szCs w:val="26"/>
        </w:rPr>
        <w:t xml:space="preserve"> (Code)</w:t>
      </w:r>
      <w:r w:rsidR="006B1D90">
        <w:rPr>
          <w:sz w:val="26"/>
          <w:szCs w:val="26"/>
        </w:rPr>
        <w:t xml:space="preserve"> and Commission regulations; (2) whether SCB is appropriate and in the public interest as a matter of policy; and (3) whether the benefits of implementing SCB outweigh the costs associated with implementation.  During the June hearing, the Commission heard </w:t>
      </w:r>
      <w:r w:rsidR="00576425">
        <w:rPr>
          <w:sz w:val="26"/>
          <w:szCs w:val="26"/>
        </w:rPr>
        <w:t xml:space="preserve">testimony </w:t>
      </w:r>
      <w:r w:rsidR="006B1D90">
        <w:rPr>
          <w:sz w:val="26"/>
          <w:szCs w:val="26"/>
        </w:rPr>
        <w:t>from EGSs and consumer advocates</w:t>
      </w:r>
      <w:r w:rsidR="00576425">
        <w:rPr>
          <w:sz w:val="26"/>
          <w:szCs w:val="26"/>
        </w:rPr>
        <w:t>,</w:t>
      </w:r>
      <w:r w:rsidR="006B1D90">
        <w:rPr>
          <w:sz w:val="26"/>
          <w:szCs w:val="26"/>
        </w:rPr>
        <w:t xml:space="preserve"> while at the July hearing the Commission heard testimony from EGSs and electric distribution companies (EDCs).  </w:t>
      </w:r>
    </w:p>
    <w:p w14:paraId="79858EBE" w14:textId="77777777" w:rsidR="006B1D90" w:rsidRDefault="006B1D90" w:rsidP="0040425B">
      <w:pPr>
        <w:tabs>
          <w:tab w:val="left" w:pos="720"/>
          <w:tab w:val="left" w:pos="1440"/>
          <w:tab w:val="left" w:pos="2160"/>
          <w:tab w:val="left" w:pos="4680"/>
        </w:tabs>
        <w:ind w:firstLine="720"/>
        <w:rPr>
          <w:sz w:val="26"/>
          <w:szCs w:val="26"/>
        </w:rPr>
      </w:pPr>
    </w:p>
    <w:p w14:paraId="4BEC4A4C" w14:textId="7F763F58" w:rsidR="00FA244D" w:rsidRDefault="005001C7" w:rsidP="0040425B">
      <w:pPr>
        <w:tabs>
          <w:tab w:val="left" w:pos="720"/>
          <w:tab w:val="left" w:pos="1440"/>
          <w:tab w:val="left" w:pos="2160"/>
          <w:tab w:val="left" w:pos="4680"/>
        </w:tabs>
        <w:ind w:firstLine="720"/>
        <w:rPr>
          <w:sz w:val="26"/>
          <w:szCs w:val="26"/>
        </w:rPr>
      </w:pPr>
      <w:r>
        <w:rPr>
          <w:sz w:val="26"/>
          <w:szCs w:val="26"/>
        </w:rPr>
        <w:t xml:space="preserve">The Commission </w:t>
      </w:r>
      <w:r w:rsidR="0049593E">
        <w:rPr>
          <w:sz w:val="26"/>
          <w:szCs w:val="26"/>
        </w:rPr>
        <w:t xml:space="preserve">also </w:t>
      </w:r>
      <w:r>
        <w:rPr>
          <w:sz w:val="26"/>
          <w:szCs w:val="26"/>
        </w:rPr>
        <w:t xml:space="preserve">received stakeholder comments </w:t>
      </w:r>
      <w:r w:rsidR="0049593E">
        <w:rPr>
          <w:sz w:val="26"/>
          <w:szCs w:val="26"/>
        </w:rPr>
        <w:t xml:space="preserve">on </w:t>
      </w:r>
      <w:r w:rsidR="0050466A">
        <w:rPr>
          <w:sz w:val="26"/>
          <w:szCs w:val="26"/>
        </w:rPr>
        <w:t xml:space="preserve">the propriety of </w:t>
      </w:r>
      <w:r w:rsidR="00087AE4">
        <w:rPr>
          <w:sz w:val="26"/>
          <w:szCs w:val="26"/>
        </w:rPr>
        <w:t xml:space="preserve">SCB </w:t>
      </w:r>
      <w:r>
        <w:rPr>
          <w:sz w:val="26"/>
          <w:szCs w:val="26"/>
        </w:rPr>
        <w:t>prior to the hearings and reply comments following the hearings</w:t>
      </w:r>
      <w:r w:rsidR="0050466A">
        <w:rPr>
          <w:sz w:val="26"/>
          <w:szCs w:val="26"/>
        </w:rPr>
        <w:t>.</w:t>
      </w:r>
      <w:r>
        <w:rPr>
          <w:sz w:val="26"/>
          <w:szCs w:val="26"/>
        </w:rPr>
        <w:t xml:space="preserve">  </w:t>
      </w:r>
      <w:r w:rsidR="006B1D90">
        <w:rPr>
          <w:sz w:val="26"/>
          <w:szCs w:val="26"/>
        </w:rPr>
        <w:t>In general, consumer advocates and EDCs opposed implementation of SCB.  Specifically, opponents argued that Section 2807(c) of the Code</w:t>
      </w:r>
      <w:r w:rsidR="00D75241">
        <w:rPr>
          <w:sz w:val="26"/>
          <w:szCs w:val="26"/>
        </w:rPr>
        <w:t xml:space="preserve">, 66 </w:t>
      </w:r>
      <w:proofErr w:type="spellStart"/>
      <w:r w:rsidR="00D75241">
        <w:rPr>
          <w:sz w:val="26"/>
          <w:szCs w:val="26"/>
        </w:rPr>
        <w:t>Pa.C.S</w:t>
      </w:r>
      <w:proofErr w:type="spellEnd"/>
      <w:r w:rsidR="00D75241">
        <w:rPr>
          <w:sz w:val="26"/>
          <w:szCs w:val="26"/>
        </w:rPr>
        <w:t>. §</w:t>
      </w:r>
      <w:r w:rsidR="00BF7A3B">
        <w:rPr>
          <w:sz w:val="26"/>
          <w:szCs w:val="26"/>
        </w:rPr>
        <w:t> </w:t>
      </w:r>
      <w:r w:rsidR="00D75241">
        <w:rPr>
          <w:sz w:val="26"/>
          <w:szCs w:val="26"/>
        </w:rPr>
        <w:t xml:space="preserve">2807(c), </w:t>
      </w:r>
      <w:r w:rsidR="006B1D90">
        <w:rPr>
          <w:sz w:val="26"/>
          <w:szCs w:val="26"/>
        </w:rPr>
        <w:t>allows for either utility consolidated billing (UCB) or dual billing, but not SCB.  The opponents also asserted that SCB would violate critical billing, collection, and termination standards contained in Chapter 14 of the Code and Chapter 56 of the Commission’s regulations because EGSs are not subject to those requirements.  Opponents also asserted that SCB is not in the public interest and may be cost prohibitive.</w:t>
      </w:r>
    </w:p>
    <w:p w14:paraId="1DD82429" w14:textId="07EFFFB5" w:rsidR="006B1D90" w:rsidRDefault="006B1D90" w:rsidP="0040425B">
      <w:pPr>
        <w:tabs>
          <w:tab w:val="left" w:pos="720"/>
          <w:tab w:val="left" w:pos="1440"/>
          <w:tab w:val="left" w:pos="2160"/>
          <w:tab w:val="left" w:pos="4680"/>
        </w:tabs>
        <w:ind w:firstLine="720"/>
        <w:rPr>
          <w:sz w:val="26"/>
          <w:szCs w:val="26"/>
        </w:rPr>
      </w:pPr>
    </w:p>
    <w:p w14:paraId="1D3168D2" w14:textId="24906F53" w:rsidR="006B1D90" w:rsidRPr="006B1D90" w:rsidRDefault="006B1D90" w:rsidP="0040425B">
      <w:pPr>
        <w:tabs>
          <w:tab w:val="left" w:pos="720"/>
          <w:tab w:val="left" w:pos="1440"/>
          <w:tab w:val="left" w:pos="2160"/>
          <w:tab w:val="left" w:pos="4680"/>
        </w:tabs>
        <w:ind w:firstLine="720"/>
        <w:rPr>
          <w:sz w:val="26"/>
          <w:szCs w:val="26"/>
        </w:rPr>
      </w:pPr>
      <w:r>
        <w:rPr>
          <w:sz w:val="26"/>
          <w:szCs w:val="26"/>
        </w:rPr>
        <w:t>EGSs and their trade associations generally support</w:t>
      </w:r>
      <w:r w:rsidR="009C6202">
        <w:rPr>
          <w:sz w:val="26"/>
          <w:szCs w:val="26"/>
        </w:rPr>
        <w:t>ed</w:t>
      </w:r>
      <w:r>
        <w:rPr>
          <w:sz w:val="26"/>
          <w:szCs w:val="26"/>
        </w:rPr>
        <w:t xml:space="preserve"> SCB.  They claimed that SCB is consistent with the</w:t>
      </w:r>
      <w:r w:rsidR="00EB13C6">
        <w:rPr>
          <w:sz w:val="26"/>
          <w:szCs w:val="26"/>
        </w:rPr>
        <w:t xml:space="preserve"> Code and the intent of the Electricity Generation Customer Choice and</w:t>
      </w:r>
      <w:r>
        <w:rPr>
          <w:sz w:val="26"/>
          <w:szCs w:val="26"/>
        </w:rPr>
        <w:t xml:space="preserve"> Competition Act and touted the new non-commodity products and services EGSs </w:t>
      </w:r>
      <w:r w:rsidR="00041A11">
        <w:rPr>
          <w:sz w:val="26"/>
          <w:szCs w:val="26"/>
        </w:rPr>
        <w:t xml:space="preserve">would </w:t>
      </w:r>
      <w:r>
        <w:rPr>
          <w:sz w:val="26"/>
          <w:szCs w:val="26"/>
        </w:rPr>
        <w:t xml:space="preserve">be able to offer customers if SCB were adopted.  They also looked favorably on the ability of EGSs to issue their own bills that </w:t>
      </w:r>
      <w:r w:rsidR="0009381B">
        <w:rPr>
          <w:sz w:val="26"/>
          <w:szCs w:val="26"/>
        </w:rPr>
        <w:t xml:space="preserve">would </w:t>
      </w:r>
      <w:r>
        <w:rPr>
          <w:sz w:val="26"/>
          <w:szCs w:val="26"/>
        </w:rPr>
        <w:t xml:space="preserve">provide EGSs with a greater </w:t>
      </w:r>
      <w:r>
        <w:rPr>
          <w:sz w:val="26"/>
          <w:szCs w:val="26"/>
        </w:rPr>
        <w:lastRenderedPageBreak/>
        <w:t xml:space="preserve">opportunity to connect with customers and advertise new products and services and, more importantly, to bill for those products and services in a single bill.  </w:t>
      </w:r>
      <w:r w:rsidR="00EB13C6">
        <w:rPr>
          <w:sz w:val="26"/>
          <w:szCs w:val="26"/>
        </w:rPr>
        <w:t>Supporters also claimed that SCB is necessary to make up for the unfair competitive advantage EDCs enjoy because of utility consolidated billing.</w:t>
      </w:r>
    </w:p>
    <w:p w14:paraId="19CDC0D2" w14:textId="056B0060" w:rsidR="005001C7" w:rsidRDefault="005001C7" w:rsidP="0040425B">
      <w:pPr>
        <w:tabs>
          <w:tab w:val="left" w:pos="720"/>
          <w:tab w:val="left" w:pos="1440"/>
          <w:tab w:val="left" w:pos="2160"/>
          <w:tab w:val="left" w:pos="4680"/>
        </w:tabs>
        <w:ind w:firstLine="720"/>
        <w:rPr>
          <w:sz w:val="26"/>
          <w:szCs w:val="26"/>
        </w:rPr>
      </w:pPr>
    </w:p>
    <w:p w14:paraId="101F7EB8" w14:textId="4846B827" w:rsidR="00EB13C6" w:rsidRDefault="005001C7" w:rsidP="0040425B">
      <w:pPr>
        <w:tabs>
          <w:tab w:val="left" w:pos="720"/>
          <w:tab w:val="left" w:pos="1440"/>
          <w:tab w:val="left" w:pos="2160"/>
          <w:tab w:val="left" w:pos="4680"/>
        </w:tabs>
        <w:ind w:firstLine="720"/>
        <w:rPr>
          <w:sz w:val="26"/>
          <w:szCs w:val="26"/>
        </w:rPr>
      </w:pPr>
      <w:r>
        <w:rPr>
          <w:sz w:val="26"/>
          <w:szCs w:val="26"/>
        </w:rPr>
        <w:t>At this time, the Commission has decided to close the instant proceeding, at Docket No. M</w:t>
      </w:r>
      <w:r>
        <w:rPr>
          <w:sz w:val="26"/>
          <w:szCs w:val="26"/>
        </w:rPr>
        <w:noBreakHyphen/>
        <w:t>2018</w:t>
      </w:r>
      <w:r>
        <w:rPr>
          <w:sz w:val="26"/>
          <w:szCs w:val="26"/>
        </w:rPr>
        <w:noBreakHyphen/>
        <w:t>2645254</w:t>
      </w:r>
      <w:r w:rsidR="008A7C32">
        <w:rPr>
          <w:sz w:val="26"/>
          <w:szCs w:val="26"/>
        </w:rPr>
        <w:t>, without taking a</w:t>
      </w:r>
      <w:r w:rsidR="004F33CB">
        <w:rPr>
          <w:sz w:val="26"/>
          <w:szCs w:val="26"/>
        </w:rPr>
        <w:t>dditional action</w:t>
      </w:r>
      <w:r w:rsidR="00EB13C6">
        <w:rPr>
          <w:sz w:val="26"/>
          <w:szCs w:val="26"/>
        </w:rPr>
        <w:t>.</w:t>
      </w:r>
      <w:r>
        <w:rPr>
          <w:sz w:val="26"/>
          <w:szCs w:val="26"/>
        </w:rPr>
        <w:t xml:space="preserve"> </w:t>
      </w:r>
      <w:r w:rsidR="00EB13C6">
        <w:rPr>
          <w:sz w:val="26"/>
          <w:szCs w:val="26"/>
        </w:rPr>
        <w:t xml:space="preserve"> </w:t>
      </w:r>
      <w:r w:rsidR="004F33CB">
        <w:rPr>
          <w:sz w:val="26"/>
          <w:szCs w:val="26"/>
        </w:rPr>
        <w:t>Even after considering</w:t>
      </w:r>
      <w:r w:rsidR="00EB13C6">
        <w:rPr>
          <w:sz w:val="26"/>
          <w:szCs w:val="26"/>
        </w:rPr>
        <w:t xml:space="preserve"> t</w:t>
      </w:r>
      <w:r w:rsidR="00EB13C6" w:rsidRPr="00980968">
        <w:rPr>
          <w:sz w:val="26"/>
          <w:szCs w:val="26"/>
        </w:rPr>
        <w:t xml:space="preserve">he testimony and exhibits presented at the two </w:t>
      </w:r>
      <w:proofErr w:type="spellStart"/>
      <w:r w:rsidR="00EB13C6" w:rsidRPr="00980968">
        <w:rPr>
          <w:i/>
          <w:iCs/>
          <w:sz w:val="26"/>
          <w:szCs w:val="26"/>
        </w:rPr>
        <w:t>en</w:t>
      </w:r>
      <w:proofErr w:type="spellEnd"/>
      <w:r w:rsidR="00EB13C6" w:rsidRPr="00980968">
        <w:rPr>
          <w:i/>
          <w:iCs/>
          <w:sz w:val="26"/>
          <w:szCs w:val="26"/>
        </w:rPr>
        <w:t xml:space="preserve"> banc</w:t>
      </w:r>
      <w:r w:rsidR="00EB13C6" w:rsidRPr="00980968">
        <w:rPr>
          <w:sz w:val="26"/>
          <w:szCs w:val="26"/>
        </w:rPr>
        <w:t xml:space="preserve"> hearings, and the </w:t>
      </w:r>
      <w:r w:rsidR="00DA19ED">
        <w:rPr>
          <w:sz w:val="26"/>
          <w:szCs w:val="26"/>
        </w:rPr>
        <w:t xml:space="preserve">comments and </w:t>
      </w:r>
      <w:r w:rsidR="00EB13C6" w:rsidRPr="00980968">
        <w:rPr>
          <w:sz w:val="26"/>
          <w:szCs w:val="26"/>
        </w:rPr>
        <w:t xml:space="preserve">reply comments, the record still lacks sufficient detail for the Commission to definitively conclude that implementation of SCB would be prudent from a public policy perspective </w:t>
      </w:r>
      <w:r w:rsidR="00CA2745">
        <w:rPr>
          <w:sz w:val="26"/>
          <w:szCs w:val="26"/>
        </w:rPr>
        <w:t>or</w:t>
      </w:r>
      <w:r w:rsidR="00CA2745" w:rsidRPr="00980968">
        <w:rPr>
          <w:sz w:val="26"/>
          <w:szCs w:val="26"/>
        </w:rPr>
        <w:t xml:space="preserve"> </w:t>
      </w:r>
      <w:r w:rsidR="00EB13C6" w:rsidRPr="00980968">
        <w:rPr>
          <w:sz w:val="26"/>
          <w:szCs w:val="26"/>
        </w:rPr>
        <w:t>legal under Chapters 14 and 28 of the Code.</w:t>
      </w:r>
      <w:r w:rsidR="00EB13C6">
        <w:rPr>
          <w:sz w:val="26"/>
          <w:szCs w:val="26"/>
        </w:rPr>
        <w:t xml:space="preserve">  O</w:t>
      </w:r>
      <w:r w:rsidR="00EB13C6" w:rsidRPr="001D372C">
        <w:rPr>
          <w:sz w:val="26"/>
          <w:szCs w:val="26"/>
        </w:rPr>
        <w:t>utstanding questions, primarily related to consumer protections and the Commission’s lack of jurisdiction over EGSs under current law, include</w:t>
      </w:r>
      <w:r w:rsidR="00B34FC4">
        <w:rPr>
          <w:sz w:val="26"/>
          <w:szCs w:val="26"/>
        </w:rPr>
        <w:t>, but are not limited to,</w:t>
      </w:r>
      <w:r w:rsidR="00EB13C6" w:rsidRPr="001D372C">
        <w:rPr>
          <w:sz w:val="26"/>
          <w:szCs w:val="26"/>
        </w:rPr>
        <w:t xml:space="preserve"> (1) the legal authority for SCB;</w:t>
      </w:r>
      <w:r w:rsidR="009F3EA0">
        <w:rPr>
          <w:sz w:val="26"/>
          <w:szCs w:val="26"/>
        </w:rPr>
        <w:t xml:space="preserve"> </w:t>
      </w:r>
      <w:r w:rsidR="00EB13C6" w:rsidRPr="001D372C">
        <w:rPr>
          <w:sz w:val="26"/>
          <w:szCs w:val="26"/>
        </w:rPr>
        <w:t>(2)</w:t>
      </w:r>
      <w:r w:rsidR="004F33CB">
        <w:rPr>
          <w:sz w:val="26"/>
          <w:szCs w:val="26"/>
        </w:rPr>
        <w:t> </w:t>
      </w:r>
      <w:r w:rsidR="00EB13C6" w:rsidRPr="001D372C">
        <w:rPr>
          <w:sz w:val="26"/>
          <w:szCs w:val="26"/>
        </w:rPr>
        <w:t xml:space="preserve">the legal authority for EGSs to bill and collect </w:t>
      </w:r>
      <w:r w:rsidR="00D0519E">
        <w:rPr>
          <w:sz w:val="26"/>
          <w:szCs w:val="26"/>
        </w:rPr>
        <w:t>EDC</w:t>
      </w:r>
      <w:r w:rsidR="00D0519E" w:rsidRPr="001D372C">
        <w:rPr>
          <w:sz w:val="26"/>
          <w:szCs w:val="26"/>
        </w:rPr>
        <w:t xml:space="preserve"> </w:t>
      </w:r>
      <w:r w:rsidR="00EB13C6" w:rsidRPr="001D372C">
        <w:rPr>
          <w:sz w:val="26"/>
          <w:szCs w:val="26"/>
        </w:rPr>
        <w:t xml:space="preserve">distribution </w:t>
      </w:r>
      <w:r w:rsidR="00D0519E">
        <w:rPr>
          <w:sz w:val="26"/>
          <w:szCs w:val="26"/>
        </w:rPr>
        <w:t>charges</w:t>
      </w:r>
      <w:r w:rsidR="00EB13C6" w:rsidRPr="001D372C">
        <w:rPr>
          <w:sz w:val="26"/>
          <w:szCs w:val="26"/>
        </w:rPr>
        <w:t>; (3)</w:t>
      </w:r>
      <w:r w:rsidR="004F33CB">
        <w:rPr>
          <w:sz w:val="26"/>
          <w:szCs w:val="26"/>
        </w:rPr>
        <w:t> </w:t>
      </w:r>
      <w:r w:rsidR="00EB13C6" w:rsidRPr="001D372C">
        <w:rPr>
          <w:sz w:val="26"/>
          <w:szCs w:val="26"/>
        </w:rPr>
        <w:t xml:space="preserve">the legal authority </w:t>
      </w:r>
      <w:r w:rsidR="005F719A">
        <w:rPr>
          <w:sz w:val="26"/>
          <w:szCs w:val="26"/>
        </w:rPr>
        <w:t>for</w:t>
      </w:r>
      <w:r w:rsidR="005F719A" w:rsidRPr="001D372C">
        <w:rPr>
          <w:sz w:val="26"/>
          <w:szCs w:val="26"/>
        </w:rPr>
        <w:t xml:space="preserve"> </w:t>
      </w:r>
      <w:r w:rsidR="00EB13C6" w:rsidRPr="001D372C">
        <w:rPr>
          <w:sz w:val="26"/>
          <w:szCs w:val="26"/>
        </w:rPr>
        <w:t>EGSs to order termination of a customer’s electric service; (4)</w:t>
      </w:r>
      <w:r w:rsidR="004F33CB">
        <w:rPr>
          <w:sz w:val="26"/>
          <w:szCs w:val="26"/>
        </w:rPr>
        <w:t> </w:t>
      </w:r>
      <w:r w:rsidR="00CC50A7">
        <w:rPr>
          <w:sz w:val="26"/>
          <w:szCs w:val="26"/>
        </w:rPr>
        <w:t>how</w:t>
      </w:r>
      <w:r w:rsidR="00EB13C6" w:rsidRPr="001D372C">
        <w:rPr>
          <w:sz w:val="26"/>
          <w:szCs w:val="26"/>
        </w:rPr>
        <w:t xml:space="preserve"> to properly account for </w:t>
      </w:r>
      <w:r w:rsidR="00CC50A7">
        <w:rPr>
          <w:sz w:val="26"/>
          <w:szCs w:val="26"/>
        </w:rPr>
        <w:t xml:space="preserve">EGS </w:t>
      </w:r>
      <w:r w:rsidR="00EB13C6" w:rsidRPr="001D372C">
        <w:rPr>
          <w:sz w:val="26"/>
          <w:szCs w:val="26"/>
        </w:rPr>
        <w:t>value</w:t>
      </w:r>
      <w:r w:rsidR="009B12E0">
        <w:rPr>
          <w:sz w:val="26"/>
          <w:szCs w:val="26"/>
        </w:rPr>
        <w:noBreakHyphen/>
      </w:r>
      <w:r w:rsidR="00EB13C6" w:rsidRPr="001D372C">
        <w:rPr>
          <w:sz w:val="26"/>
          <w:szCs w:val="26"/>
        </w:rPr>
        <w:t>added</w:t>
      </w:r>
      <w:r w:rsidR="009B12E0">
        <w:rPr>
          <w:sz w:val="26"/>
          <w:szCs w:val="26"/>
        </w:rPr>
        <w:noBreakHyphen/>
      </w:r>
      <w:r w:rsidR="00EB13C6" w:rsidRPr="001D372C">
        <w:rPr>
          <w:sz w:val="26"/>
          <w:szCs w:val="26"/>
        </w:rPr>
        <w:t>service charges; and (5)</w:t>
      </w:r>
      <w:r w:rsidR="004F33CB">
        <w:rPr>
          <w:sz w:val="26"/>
          <w:szCs w:val="26"/>
        </w:rPr>
        <w:t> </w:t>
      </w:r>
      <w:r w:rsidR="00EB13C6" w:rsidRPr="001D372C">
        <w:rPr>
          <w:sz w:val="26"/>
          <w:szCs w:val="26"/>
        </w:rPr>
        <w:t xml:space="preserve">the administration of </w:t>
      </w:r>
      <w:r w:rsidR="009B12E0">
        <w:rPr>
          <w:sz w:val="26"/>
          <w:szCs w:val="26"/>
        </w:rPr>
        <w:t xml:space="preserve">EGS </w:t>
      </w:r>
      <w:r w:rsidR="00EB13C6" w:rsidRPr="001D372C">
        <w:rPr>
          <w:sz w:val="26"/>
          <w:szCs w:val="26"/>
        </w:rPr>
        <w:t xml:space="preserve">purchase of receivables programs.  </w:t>
      </w:r>
    </w:p>
    <w:p w14:paraId="5FA1C328" w14:textId="77777777" w:rsidR="00EB13C6" w:rsidRDefault="00EB13C6" w:rsidP="0040425B">
      <w:pPr>
        <w:tabs>
          <w:tab w:val="left" w:pos="720"/>
          <w:tab w:val="left" w:pos="1440"/>
          <w:tab w:val="left" w:pos="2160"/>
          <w:tab w:val="left" w:pos="4680"/>
        </w:tabs>
        <w:ind w:firstLine="720"/>
        <w:rPr>
          <w:sz w:val="26"/>
          <w:szCs w:val="26"/>
        </w:rPr>
      </w:pPr>
    </w:p>
    <w:p w14:paraId="74FA0C4F" w14:textId="59BDCDEB" w:rsidR="005001C7" w:rsidRPr="005001C7" w:rsidRDefault="008B0C2F" w:rsidP="0040425B">
      <w:pPr>
        <w:tabs>
          <w:tab w:val="left" w:pos="720"/>
          <w:tab w:val="left" w:pos="1440"/>
          <w:tab w:val="left" w:pos="2160"/>
          <w:tab w:val="left" w:pos="4680"/>
        </w:tabs>
        <w:ind w:firstLine="720"/>
        <w:rPr>
          <w:sz w:val="26"/>
          <w:szCs w:val="26"/>
        </w:rPr>
      </w:pPr>
      <w:r>
        <w:rPr>
          <w:sz w:val="26"/>
          <w:szCs w:val="26"/>
        </w:rPr>
        <w:t xml:space="preserve">As </w:t>
      </w:r>
      <w:r w:rsidR="007F0437">
        <w:rPr>
          <w:sz w:val="26"/>
          <w:szCs w:val="26"/>
        </w:rPr>
        <w:t xml:space="preserve">there is neither clear authority </w:t>
      </w:r>
      <w:r w:rsidR="00AA20B8">
        <w:rPr>
          <w:sz w:val="26"/>
          <w:szCs w:val="26"/>
        </w:rPr>
        <w:t>for</w:t>
      </w:r>
      <w:r w:rsidR="00585851">
        <w:rPr>
          <w:sz w:val="26"/>
          <w:szCs w:val="26"/>
        </w:rPr>
        <w:t>,</w:t>
      </w:r>
      <w:r w:rsidR="00AA20B8">
        <w:rPr>
          <w:sz w:val="26"/>
          <w:szCs w:val="26"/>
        </w:rPr>
        <w:t xml:space="preserve"> </w:t>
      </w:r>
      <w:r w:rsidR="00585851">
        <w:rPr>
          <w:sz w:val="26"/>
          <w:szCs w:val="26"/>
        </w:rPr>
        <w:t>nor</w:t>
      </w:r>
      <w:r w:rsidR="007F0437">
        <w:rPr>
          <w:sz w:val="26"/>
          <w:szCs w:val="26"/>
        </w:rPr>
        <w:t xml:space="preserve"> con</w:t>
      </w:r>
      <w:r w:rsidR="00551B50">
        <w:rPr>
          <w:sz w:val="26"/>
          <w:szCs w:val="26"/>
        </w:rPr>
        <w:t>sensus</w:t>
      </w:r>
      <w:r w:rsidR="00AA20B8">
        <w:rPr>
          <w:sz w:val="26"/>
          <w:szCs w:val="26"/>
        </w:rPr>
        <w:t xml:space="preserve"> on how </w:t>
      </w:r>
      <w:r w:rsidR="000213BD">
        <w:rPr>
          <w:sz w:val="26"/>
          <w:szCs w:val="26"/>
        </w:rPr>
        <w:t>to</w:t>
      </w:r>
      <w:r w:rsidR="00AA20B8">
        <w:rPr>
          <w:sz w:val="26"/>
          <w:szCs w:val="26"/>
        </w:rPr>
        <w:t xml:space="preserve"> implement SCB</w:t>
      </w:r>
      <w:r w:rsidR="00165F23">
        <w:rPr>
          <w:sz w:val="26"/>
          <w:szCs w:val="26"/>
        </w:rPr>
        <w:t xml:space="preserve">, we </w:t>
      </w:r>
      <w:r w:rsidR="00BD75DD">
        <w:rPr>
          <w:sz w:val="26"/>
          <w:szCs w:val="26"/>
        </w:rPr>
        <w:t>cannot move forward with proposing implementation of SCB at this time and will close this proceeding</w:t>
      </w:r>
      <w:r w:rsidR="008D2B88">
        <w:rPr>
          <w:sz w:val="26"/>
          <w:szCs w:val="26"/>
        </w:rPr>
        <w:t xml:space="preserve">. </w:t>
      </w:r>
      <w:r w:rsidR="00551B50">
        <w:rPr>
          <w:sz w:val="26"/>
          <w:szCs w:val="26"/>
        </w:rPr>
        <w:t xml:space="preserve"> </w:t>
      </w:r>
      <w:r w:rsidR="006B1D90">
        <w:rPr>
          <w:sz w:val="26"/>
          <w:szCs w:val="26"/>
        </w:rPr>
        <w:t xml:space="preserve">Closing the proceeding </w:t>
      </w:r>
      <w:r w:rsidR="002F204A">
        <w:rPr>
          <w:sz w:val="26"/>
          <w:szCs w:val="26"/>
        </w:rPr>
        <w:t xml:space="preserve">will better enable the General Assembly to address </w:t>
      </w:r>
      <w:r w:rsidR="007E3E80">
        <w:rPr>
          <w:sz w:val="26"/>
          <w:szCs w:val="26"/>
        </w:rPr>
        <w:t xml:space="preserve">the outstanding questions associated with </w:t>
      </w:r>
      <w:r w:rsidR="002F204A">
        <w:rPr>
          <w:sz w:val="26"/>
          <w:szCs w:val="26"/>
        </w:rPr>
        <w:t>SCB without concerns of a parallel regulatory effort by the Commission.</w:t>
      </w:r>
      <w:r w:rsidR="00EB13C6">
        <w:rPr>
          <w:sz w:val="26"/>
          <w:szCs w:val="26"/>
        </w:rPr>
        <w:t xml:space="preserve">  The Commission extends its thanks to all the stakeholders that participated in the robust conversation around SCB and that provided thoughtful, informed, and insightful perspectives through testimony and comments.</w:t>
      </w:r>
    </w:p>
    <w:p w14:paraId="022B21A4" w14:textId="77777777" w:rsidR="0040425B" w:rsidRDefault="0040425B" w:rsidP="00BE575E">
      <w:pPr>
        <w:tabs>
          <w:tab w:val="left" w:pos="720"/>
          <w:tab w:val="left" w:pos="1440"/>
          <w:tab w:val="left" w:pos="2160"/>
          <w:tab w:val="left" w:pos="4680"/>
        </w:tabs>
        <w:rPr>
          <w:sz w:val="26"/>
          <w:szCs w:val="26"/>
        </w:rPr>
      </w:pPr>
    </w:p>
    <w:p w14:paraId="42EB1808" w14:textId="11B53865" w:rsidR="00930003" w:rsidRPr="003C56E2" w:rsidRDefault="00BE575E" w:rsidP="00BE575E">
      <w:pPr>
        <w:tabs>
          <w:tab w:val="left" w:pos="720"/>
          <w:tab w:val="left" w:pos="1440"/>
          <w:tab w:val="left" w:pos="2160"/>
          <w:tab w:val="left" w:pos="4680"/>
        </w:tabs>
        <w:autoSpaceDE w:val="0"/>
        <w:autoSpaceDN w:val="0"/>
        <w:adjustRightInd w:val="0"/>
        <w:rPr>
          <w:sz w:val="26"/>
          <w:szCs w:val="26"/>
        </w:rPr>
      </w:pPr>
      <w:r>
        <w:rPr>
          <w:sz w:val="26"/>
          <w:szCs w:val="26"/>
        </w:rPr>
        <w:tab/>
      </w:r>
      <w:r w:rsidR="00930003" w:rsidRPr="003C56E2">
        <w:rPr>
          <w:sz w:val="26"/>
          <w:szCs w:val="26"/>
        </w:rPr>
        <w:t xml:space="preserve">Please direct any questions to </w:t>
      </w:r>
      <w:r w:rsidR="009D335F">
        <w:rPr>
          <w:sz w:val="26"/>
          <w:szCs w:val="26"/>
        </w:rPr>
        <w:t xml:space="preserve">Colin W. Scott </w:t>
      </w:r>
      <w:r w:rsidR="001F2EDC" w:rsidRPr="003C56E2">
        <w:rPr>
          <w:sz w:val="26"/>
          <w:szCs w:val="26"/>
        </w:rPr>
        <w:t xml:space="preserve">or </w:t>
      </w:r>
      <w:r w:rsidR="009D335F">
        <w:rPr>
          <w:sz w:val="26"/>
          <w:szCs w:val="26"/>
        </w:rPr>
        <w:t>Scott J. Thomas</w:t>
      </w:r>
      <w:r w:rsidR="000E4C77" w:rsidRPr="003C56E2">
        <w:rPr>
          <w:sz w:val="26"/>
          <w:szCs w:val="26"/>
        </w:rPr>
        <w:t>, Assistant Counsel, Law Bureau, at (717) 787</w:t>
      </w:r>
      <w:r w:rsidR="000E4C77" w:rsidRPr="003C56E2">
        <w:rPr>
          <w:sz w:val="26"/>
          <w:szCs w:val="26"/>
        </w:rPr>
        <w:noBreakHyphen/>
      </w:r>
      <w:r w:rsidR="00FA244D">
        <w:rPr>
          <w:sz w:val="26"/>
          <w:szCs w:val="26"/>
        </w:rPr>
        <w:t>5000</w:t>
      </w:r>
      <w:r w:rsidR="00930003" w:rsidRPr="003C56E2">
        <w:rPr>
          <w:sz w:val="26"/>
          <w:szCs w:val="26"/>
        </w:rPr>
        <w:t>.</w:t>
      </w:r>
    </w:p>
    <w:p w14:paraId="5005BD40" w14:textId="1ED02618" w:rsidR="00930003" w:rsidRPr="003C56E2" w:rsidRDefault="00930003" w:rsidP="00BE575E">
      <w:pPr>
        <w:tabs>
          <w:tab w:val="left" w:pos="720"/>
          <w:tab w:val="left" w:pos="1440"/>
          <w:tab w:val="left" w:pos="2160"/>
          <w:tab w:val="left" w:pos="4680"/>
        </w:tabs>
        <w:rPr>
          <w:sz w:val="26"/>
          <w:szCs w:val="26"/>
        </w:rPr>
      </w:pPr>
    </w:p>
    <w:p w14:paraId="073A31FF" w14:textId="6B3C64EB" w:rsidR="00930003" w:rsidRPr="003C56E2" w:rsidRDefault="002417BF" w:rsidP="00BE575E">
      <w:pPr>
        <w:tabs>
          <w:tab w:val="left" w:pos="720"/>
          <w:tab w:val="left" w:pos="1440"/>
          <w:tab w:val="left" w:pos="2160"/>
          <w:tab w:val="left" w:pos="4680"/>
        </w:tabs>
        <w:rPr>
          <w:sz w:val="26"/>
          <w:szCs w:val="26"/>
        </w:rPr>
      </w:pPr>
      <w:r w:rsidRPr="009F01BA">
        <w:rPr>
          <w:b/>
          <w:noProof/>
        </w:rPr>
        <w:drawing>
          <wp:anchor distT="0" distB="0" distL="114300" distR="114300" simplePos="0" relativeHeight="251659264" behindDoc="1" locked="0" layoutInCell="1" allowOverlap="1" wp14:anchorId="0D4E7E21" wp14:editId="7FADAB39">
            <wp:simplePos x="0" y="0"/>
            <wp:positionH relativeFrom="column">
              <wp:posOffset>2819400</wp:posOffset>
            </wp:positionH>
            <wp:positionV relativeFrom="paragraph">
              <wp:posOffset>8890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BE575E">
        <w:rPr>
          <w:sz w:val="26"/>
          <w:szCs w:val="26"/>
        </w:rPr>
        <w:tab/>
      </w:r>
      <w:r w:rsidR="00BE575E">
        <w:rPr>
          <w:sz w:val="26"/>
          <w:szCs w:val="26"/>
        </w:rPr>
        <w:tab/>
      </w:r>
      <w:r w:rsidR="00930003" w:rsidRPr="003C56E2">
        <w:rPr>
          <w:sz w:val="26"/>
          <w:szCs w:val="26"/>
        </w:rPr>
        <w:tab/>
      </w:r>
      <w:r w:rsidR="00930003" w:rsidRPr="003C56E2">
        <w:rPr>
          <w:sz w:val="26"/>
          <w:szCs w:val="26"/>
        </w:rPr>
        <w:tab/>
        <w:t>Sincerely,</w:t>
      </w:r>
    </w:p>
    <w:p w14:paraId="5E9CACC5" w14:textId="350711A3" w:rsidR="00930003" w:rsidRPr="003C56E2" w:rsidRDefault="00930003" w:rsidP="00BE575E">
      <w:pPr>
        <w:tabs>
          <w:tab w:val="left" w:pos="720"/>
          <w:tab w:val="left" w:pos="1440"/>
          <w:tab w:val="left" w:pos="2160"/>
          <w:tab w:val="left" w:pos="4680"/>
        </w:tabs>
        <w:rPr>
          <w:sz w:val="26"/>
          <w:szCs w:val="26"/>
        </w:rPr>
      </w:pPr>
    </w:p>
    <w:p w14:paraId="3B9CF70E" w14:textId="77777777" w:rsidR="00930003" w:rsidRPr="003C56E2" w:rsidRDefault="00930003" w:rsidP="00BE575E">
      <w:pPr>
        <w:tabs>
          <w:tab w:val="left" w:pos="720"/>
          <w:tab w:val="left" w:pos="1440"/>
          <w:tab w:val="left" w:pos="2160"/>
          <w:tab w:val="left" w:pos="4680"/>
        </w:tabs>
        <w:rPr>
          <w:sz w:val="26"/>
          <w:szCs w:val="26"/>
        </w:rPr>
      </w:pPr>
    </w:p>
    <w:p w14:paraId="0FBEA6BC" w14:textId="77777777" w:rsidR="00930003" w:rsidRPr="003C56E2" w:rsidRDefault="00930003" w:rsidP="00BE575E">
      <w:pPr>
        <w:tabs>
          <w:tab w:val="left" w:pos="720"/>
          <w:tab w:val="left" w:pos="1440"/>
          <w:tab w:val="left" w:pos="2160"/>
          <w:tab w:val="left" w:pos="4680"/>
        </w:tabs>
        <w:rPr>
          <w:sz w:val="26"/>
          <w:szCs w:val="26"/>
        </w:rPr>
      </w:pPr>
    </w:p>
    <w:p w14:paraId="200F3B30" w14:textId="77777777" w:rsidR="00930003" w:rsidRPr="003C56E2" w:rsidRDefault="00930003" w:rsidP="00BE575E">
      <w:pPr>
        <w:pStyle w:val="Heading1"/>
        <w:tabs>
          <w:tab w:val="left" w:pos="720"/>
          <w:tab w:val="left" w:pos="1440"/>
          <w:tab w:val="left" w:pos="2160"/>
          <w:tab w:val="left" w:pos="4680"/>
        </w:tabs>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335A29">
        <w:rPr>
          <w:sz w:val="26"/>
          <w:szCs w:val="26"/>
        </w:rPr>
        <w:t>Rosemary Chiavetta</w:t>
      </w:r>
    </w:p>
    <w:p w14:paraId="035E5F75" w14:textId="77777777" w:rsidR="00930003" w:rsidRPr="003C56E2" w:rsidRDefault="00BE575E" w:rsidP="00BE575E">
      <w:pPr>
        <w:tabs>
          <w:tab w:val="left" w:pos="720"/>
          <w:tab w:val="left" w:pos="1440"/>
          <w:tab w:val="left" w:pos="2160"/>
          <w:tab w:val="left" w:pos="4680"/>
        </w:tabs>
        <w:rPr>
          <w:sz w:val="26"/>
          <w:szCs w:val="26"/>
        </w:rPr>
      </w:pPr>
      <w:r>
        <w:rPr>
          <w:sz w:val="26"/>
          <w:szCs w:val="26"/>
        </w:rPr>
        <w:tab/>
      </w:r>
      <w:r>
        <w:rPr>
          <w:sz w:val="26"/>
          <w:szCs w:val="26"/>
        </w:rPr>
        <w:tab/>
      </w:r>
      <w:r w:rsidR="00930003" w:rsidRPr="003C56E2">
        <w:rPr>
          <w:sz w:val="26"/>
          <w:szCs w:val="26"/>
        </w:rPr>
        <w:tab/>
      </w:r>
      <w:r w:rsidR="00930003" w:rsidRPr="003C56E2">
        <w:rPr>
          <w:sz w:val="26"/>
          <w:szCs w:val="26"/>
        </w:rPr>
        <w:tab/>
        <w:t>Secretary</w:t>
      </w:r>
    </w:p>
    <w:p w14:paraId="331B8590" w14:textId="6703C9D4" w:rsidR="00C77F29" w:rsidRDefault="00C77F29" w:rsidP="007C6E8A">
      <w:pPr>
        <w:tabs>
          <w:tab w:val="left" w:pos="720"/>
          <w:tab w:val="left" w:pos="1440"/>
          <w:tab w:val="left" w:pos="2160"/>
          <w:tab w:val="left" w:pos="4680"/>
        </w:tabs>
        <w:rPr>
          <w:sz w:val="26"/>
          <w:szCs w:val="26"/>
        </w:rPr>
      </w:pPr>
    </w:p>
    <w:p w14:paraId="1762AC8D" w14:textId="3F824B3B" w:rsidR="009710EA" w:rsidRDefault="009710EA" w:rsidP="007C6E8A">
      <w:pPr>
        <w:tabs>
          <w:tab w:val="left" w:pos="720"/>
          <w:tab w:val="left" w:pos="1440"/>
          <w:tab w:val="left" w:pos="2160"/>
          <w:tab w:val="left" w:pos="4680"/>
        </w:tabs>
        <w:rPr>
          <w:sz w:val="26"/>
          <w:szCs w:val="26"/>
        </w:rPr>
      </w:pPr>
    </w:p>
    <w:p w14:paraId="048CDE25" w14:textId="014E8036" w:rsidR="009710EA" w:rsidRDefault="009710EA" w:rsidP="007A53B0">
      <w:pPr>
        <w:tabs>
          <w:tab w:val="left" w:pos="720"/>
          <w:tab w:val="left" w:pos="1440"/>
          <w:tab w:val="left" w:pos="2160"/>
          <w:tab w:val="left" w:pos="4680"/>
        </w:tabs>
        <w:ind w:left="720" w:hanging="720"/>
        <w:rPr>
          <w:sz w:val="26"/>
          <w:szCs w:val="26"/>
        </w:rPr>
      </w:pPr>
      <w:r>
        <w:rPr>
          <w:sz w:val="26"/>
          <w:szCs w:val="26"/>
        </w:rPr>
        <w:t>cc:</w:t>
      </w:r>
      <w:r>
        <w:rPr>
          <w:sz w:val="26"/>
          <w:szCs w:val="26"/>
        </w:rPr>
        <w:tab/>
      </w:r>
      <w:r w:rsidR="00736CAB">
        <w:rPr>
          <w:sz w:val="26"/>
          <w:szCs w:val="26"/>
        </w:rPr>
        <w:t xml:space="preserve">Senator Robert </w:t>
      </w:r>
      <w:r w:rsidR="00137561">
        <w:rPr>
          <w:sz w:val="26"/>
          <w:szCs w:val="26"/>
        </w:rPr>
        <w:t xml:space="preserve">M. </w:t>
      </w:r>
      <w:r w:rsidR="00736CAB">
        <w:rPr>
          <w:sz w:val="26"/>
          <w:szCs w:val="26"/>
        </w:rPr>
        <w:t>Tomlinson</w:t>
      </w:r>
      <w:r w:rsidR="007A53B0">
        <w:rPr>
          <w:sz w:val="26"/>
          <w:szCs w:val="26"/>
        </w:rPr>
        <w:t>, Chair, Senate Committee on Consumer Protection and Professional Licensure</w:t>
      </w:r>
    </w:p>
    <w:p w14:paraId="0C085991" w14:textId="006E9E7C" w:rsidR="007A53B0" w:rsidRDefault="007A53B0" w:rsidP="007A53B0">
      <w:pPr>
        <w:tabs>
          <w:tab w:val="left" w:pos="720"/>
          <w:tab w:val="left" w:pos="1440"/>
          <w:tab w:val="left" w:pos="2160"/>
          <w:tab w:val="left" w:pos="4680"/>
        </w:tabs>
        <w:ind w:left="720" w:hanging="720"/>
        <w:rPr>
          <w:sz w:val="26"/>
          <w:szCs w:val="26"/>
        </w:rPr>
      </w:pPr>
      <w:r>
        <w:rPr>
          <w:sz w:val="26"/>
          <w:szCs w:val="26"/>
        </w:rPr>
        <w:tab/>
      </w:r>
      <w:r w:rsidR="00FB22B0">
        <w:rPr>
          <w:sz w:val="26"/>
          <w:szCs w:val="26"/>
        </w:rPr>
        <w:t xml:space="preserve">Senator Lisa </w:t>
      </w:r>
      <w:r w:rsidR="001D31A3">
        <w:rPr>
          <w:sz w:val="26"/>
          <w:szCs w:val="26"/>
        </w:rPr>
        <w:t xml:space="preserve">M. </w:t>
      </w:r>
      <w:proofErr w:type="spellStart"/>
      <w:r w:rsidR="00FB22B0">
        <w:rPr>
          <w:sz w:val="26"/>
          <w:szCs w:val="26"/>
        </w:rPr>
        <w:t>Boscola</w:t>
      </w:r>
      <w:proofErr w:type="spellEnd"/>
      <w:r w:rsidR="00FB22B0">
        <w:rPr>
          <w:sz w:val="26"/>
          <w:szCs w:val="26"/>
        </w:rPr>
        <w:t xml:space="preserve">, </w:t>
      </w:r>
      <w:r w:rsidR="00FF04F1">
        <w:rPr>
          <w:sz w:val="26"/>
          <w:szCs w:val="26"/>
        </w:rPr>
        <w:t xml:space="preserve">Minority Chair, Senate Committee on Consumer Protection and </w:t>
      </w:r>
      <w:r w:rsidR="00DB6017">
        <w:rPr>
          <w:sz w:val="26"/>
          <w:szCs w:val="26"/>
        </w:rPr>
        <w:t>Professional Licensure</w:t>
      </w:r>
    </w:p>
    <w:p w14:paraId="24BA83AA" w14:textId="2CE26BE3" w:rsidR="00DB6017" w:rsidRDefault="00DB6017" w:rsidP="007A53B0">
      <w:pPr>
        <w:tabs>
          <w:tab w:val="left" w:pos="720"/>
          <w:tab w:val="left" w:pos="1440"/>
          <w:tab w:val="left" w:pos="2160"/>
          <w:tab w:val="left" w:pos="4680"/>
        </w:tabs>
        <w:ind w:left="720" w:hanging="720"/>
        <w:rPr>
          <w:sz w:val="26"/>
          <w:szCs w:val="26"/>
        </w:rPr>
      </w:pPr>
      <w:r>
        <w:rPr>
          <w:sz w:val="26"/>
          <w:szCs w:val="26"/>
        </w:rPr>
        <w:tab/>
      </w:r>
      <w:r w:rsidR="00CA32D5">
        <w:rPr>
          <w:sz w:val="26"/>
          <w:szCs w:val="26"/>
        </w:rPr>
        <w:t>Hon. Jim Marshall, Chair, House Committee on Consumer Affairs</w:t>
      </w:r>
    </w:p>
    <w:p w14:paraId="4037C645" w14:textId="1C9A6ED8" w:rsidR="00CA32D5" w:rsidRPr="003C56E2" w:rsidRDefault="00CA32D5" w:rsidP="006A1570">
      <w:pPr>
        <w:tabs>
          <w:tab w:val="left" w:pos="720"/>
          <w:tab w:val="left" w:pos="1440"/>
          <w:tab w:val="left" w:pos="2160"/>
          <w:tab w:val="left" w:pos="4680"/>
        </w:tabs>
        <w:ind w:left="720" w:hanging="720"/>
        <w:rPr>
          <w:sz w:val="26"/>
          <w:szCs w:val="26"/>
        </w:rPr>
      </w:pPr>
      <w:r>
        <w:rPr>
          <w:sz w:val="26"/>
          <w:szCs w:val="26"/>
        </w:rPr>
        <w:tab/>
        <w:t xml:space="preserve">Hon. </w:t>
      </w:r>
      <w:r w:rsidR="00AB66C0">
        <w:rPr>
          <w:sz w:val="26"/>
          <w:szCs w:val="26"/>
        </w:rPr>
        <w:t xml:space="preserve">Robert </w:t>
      </w:r>
      <w:r w:rsidR="00AE5779">
        <w:rPr>
          <w:sz w:val="26"/>
          <w:szCs w:val="26"/>
        </w:rPr>
        <w:t xml:space="preserve">F. </w:t>
      </w:r>
      <w:proofErr w:type="spellStart"/>
      <w:r w:rsidR="00AB66C0">
        <w:rPr>
          <w:sz w:val="26"/>
          <w:szCs w:val="26"/>
        </w:rPr>
        <w:t>Matzie</w:t>
      </w:r>
      <w:proofErr w:type="spellEnd"/>
      <w:r w:rsidR="00AB66C0">
        <w:rPr>
          <w:sz w:val="26"/>
          <w:szCs w:val="26"/>
        </w:rPr>
        <w:t xml:space="preserve">, </w:t>
      </w:r>
      <w:r w:rsidR="00AE5779">
        <w:rPr>
          <w:sz w:val="26"/>
          <w:szCs w:val="26"/>
        </w:rPr>
        <w:t>Democratic</w:t>
      </w:r>
      <w:r w:rsidR="00AB66C0">
        <w:rPr>
          <w:sz w:val="26"/>
          <w:szCs w:val="26"/>
        </w:rPr>
        <w:t xml:space="preserve"> Chair, House Committee on Consumer Affairs</w:t>
      </w:r>
    </w:p>
    <w:sectPr w:rsidR="00CA32D5" w:rsidRPr="003C56E2" w:rsidSect="0084218B">
      <w:footerReference w:type="even" r:id="rId12"/>
      <w:footerReference w:type="defaul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D88B4" w14:textId="77777777" w:rsidR="00601B5E" w:rsidRDefault="00601B5E">
      <w:r>
        <w:separator/>
      </w:r>
    </w:p>
  </w:endnote>
  <w:endnote w:type="continuationSeparator" w:id="0">
    <w:p w14:paraId="2757E55B" w14:textId="77777777" w:rsidR="00601B5E" w:rsidRDefault="0060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A195" w14:textId="77777777" w:rsidR="0075019A" w:rsidRDefault="0075019A"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DB7FF5" w14:textId="77777777" w:rsidR="0075019A" w:rsidRDefault="00750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7459" w14:textId="77777777" w:rsidR="0075019A" w:rsidRDefault="0075019A"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557E0E" w14:textId="77777777" w:rsidR="0075019A" w:rsidRDefault="00750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180B" w14:textId="77777777" w:rsidR="0075019A" w:rsidRDefault="007501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0E35BC" w14:textId="77777777" w:rsidR="0075019A" w:rsidRDefault="007501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CCF6" w14:textId="77777777" w:rsidR="0075019A" w:rsidRDefault="0075019A">
    <w:pPr>
      <w:pStyle w:val="Footer"/>
      <w:framePr w:wrap="around" w:vAnchor="text" w:hAnchor="margin" w:xAlign="center" w:y="1"/>
      <w:rPr>
        <w:rStyle w:val="PageNumber"/>
      </w:rPr>
    </w:pPr>
  </w:p>
  <w:p w14:paraId="741CBD19" w14:textId="77777777" w:rsidR="0075019A" w:rsidRDefault="00750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8E86" w14:textId="77777777" w:rsidR="00601B5E" w:rsidRDefault="00601B5E">
      <w:r>
        <w:separator/>
      </w:r>
    </w:p>
  </w:footnote>
  <w:footnote w:type="continuationSeparator" w:id="0">
    <w:p w14:paraId="3C183DC3" w14:textId="77777777" w:rsidR="00601B5E" w:rsidRDefault="00601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213BD"/>
    <w:rsid w:val="00034796"/>
    <w:rsid w:val="00040A62"/>
    <w:rsid w:val="00041A11"/>
    <w:rsid w:val="000433D6"/>
    <w:rsid w:val="0006085A"/>
    <w:rsid w:val="00060DCC"/>
    <w:rsid w:val="00061675"/>
    <w:rsid w:val="00067B3B"/>
    <w:rsid w:val="00067F2B"/>
    <w:rsid w:val="00075539"/>
    <w:rsid w:val="00076B03"/>
    <w:rsid w:val="00076F23"/>
    <w:rsid w:val="00087AE4"/>
    <w:rsid w:val="00091504"/>
    <w:rsid w:val="0009381B"/>
    <w:rsid w:val="00094150"/>
    <w:rsid w:val="000E4C77"/>
    <w:rsid w:val="001209F1"/>
    <w:rsid w:val="0012404A"/>
    <w:rsid w:val="00124DD5"/>
    <w:rsid w:val="00137561"/>
    <w:rsid w:val="00145021"/>
    <w:rsid w:val="00152F72"/>
    <w:rsid w:val="00165F23"/>
    <w:rsid w:val="00170283"/>
    <w:rsid w:val="001743D0"/>
    <w:rsid w:val="001D31A3"/>
    <w:rsid w:val="001D5DBB"/>
    <w:rsid w:val="001E1BF3"/>
    <w:rsid w:val="001F2EDC"/>
    <w:rsid w:val="00202276"/>
    <w:rsid w:val="00206F2B"/>
    <w:rsid w:val="002229C3"/>
    <w:rsid w:val="002364E4"/>
    <w:rsid w:val="002417BF"/>
    <w:rsid w:val="0025446A"/>
    <w:rsid w:val="00280E91"/>
    <w:rsid w:val="00284E35"/>
    <w:rsid w:val="00285461"/>
    <w:rsid w:val="00292374"/>
    <w:rsid w:val="0029471C"/>
    <w:rsid w:val="002A2000"/>
    <w:rsid w:val="002A52A0"/>
    <w:rsid w:val="002B51A2"/>
    <w:rsid w:val="002B7661"/>
    <w:rsid w:val="002C08FE"/>
    <w:rsid w:val="002F0138"/>
    <w:rsid w:val="002F204A"/>
    <w:rsid w:val="002F2B8C"/>
    <w:rsid w:val="00303D80"/>
    <w:rsid w:val="00307FF2"/>
    <w:rsid w:val="00313F77"/>
    <w:rsid w:val="0031429F"/>
    <w:rsid w:val="0032677D"/>
    <w:rsid w:val="00327A7F"/>
    <w:rsid w:val="00335A29"/>
    <w:rsid w:val="00345522"/>
    <w:rsid w:val="00347684"/>
    <w:rsid w:val="00347A10"/>
    <w:rsid w:val="003516A6"/>
    <w:rsid w:val="00353111"/>
    <w:rsid w:val="003569E8"/>
    <w:rsid w:val="00366A65"/>
    <w:rsid w:val="003A74A1"/>
    <w:rsid w:val="003B26C3"/>
    <w:rsid w:val="003C102A"/>
    <w:rsid w:val="003C56E2"/>
    <w:rsid w:val="003E4B39"/>
    <w:rsid w:val="0040425B"/>
    <w:rsid w:val="004100A9"/>
    <w:rsid w:val="00412474"/>
    <w:rsid w:val="0042140E"/>
    <w:rsid w:val="00423801"/>
    <w:rsid w:val="004246D9"/>
    <w:rsid w:val="00454526"/>
    <w:rsid w:val="00455F78"/>
    <w:rsid w:val="00460469"/>
    <w:rsid w:val="00466C1C"/>
    <w:rsid w:val="004829D3"/>
    <w:rsid w:val="0049593E"/>
    <w:rsid w:val="004A1767"/>
    <w:rsid w:val="004C1A7A"/>
    <w:rsid w:val="004D0FFB"/>
    <w:rsid w:val="004D1319"/>
    <w:rsid w:val="004D2698"/>
    <w:rsid w:val="004F32B3"/>
    <w:rsid w:val="004F33CB"/>
    <w:rsid w:val="004F5AAA"/>
    <w:rsid w:val="005001C7"/>
    <w:rsid w:val="0050466A"/>
    <w:rsid w:val="00513DCA"/>
    <w:rsid w:val="00514EA3"/>
    <w:rsid w:val="0051639C"/>
    <w:rsid w:val="00526ADA"/>
    <w:rsid w:val="00526F31"/>
    <w:rsid w:val="00551B50"/>
    <w:rsid w:val="00573C8F"/>
    <w:rsid w:val="00576425"/>
    <w:rsid w:val="00584C01"/>
    <w:rsid w:val="00585851"/>
    <w:rsid w:val="005A0955"/>
    <w:rsid w:val="005B3262"/>
    <w:rsid w:val="005B58B7"/>
    <w:rsid w:val="005C03C4"/>
    <w:rsid w:val="005E25C5"/>
    <w:rsid w:val="005E3690"/>
    <w:rsid w:val="005E3C21"/>
    <w:rsid w:val="005F0B33"/>
    <w:rsid w:val="005F3D24"/>
    <w:rsid w:val="005F719A"/>
    <w:rsid w:val="00601B5E"/>
    <w:rsid w:val="00614D42"/>
    <w:rsid w:val="00644859"/>
    <w:rsid w:val="00657B44"/>
    <w:rsid w:val="00672262"/>
    <w:rsid w:val="006755C0"/>
    <w:rsid w:val="00675DEE"/>
    <w:rsid w:val="0069271F"/>
    <w:rsid w:val="006A1570"/>
    <w:rsid w:val="006A1D3F"/>
    <w:rsid w:val="006B1D90"/>
    <w:rsid w:val="006C5C47"/>
    <w:rsid w:val="006D6779"/>
    <w:rsid w:val="006E1A84"/>
    <w:rsid w:val="006E5B00"/>
    <w:rsid w:val="006F394E"/>
    <w:rsid w:val="00700501"/>
    <w:rsid w:val="00700FAB"/>
    <w:rsid w:val="00701ED5"/>
    <w:rsid w:val="00712CC9"/>
    <w:rsid w:val="00721FA8"/>
    <w:rsid w:val="00736CAB"/>
    <w:rsid w:val="0075019A"/>
    <w:rsid w:val="007617B1"/>
    <w:rsid w:val="00763B88"/>
    <w:rsid w:val="0077210F"/>
    <w:rsid w:val="00772716"/>
    <w:rsid w:val="00773F47"/>
    <w:rsid w:val="00774744"/>
    <w:rsid w:val="00781966"/>
    <w:rsid w:val="00787C0D"/>
    <w:rsid w:val="00794208"/>
    <w:rsid w:val="00794E58"/>
    <w:rsid w:val="007A16AE"/>
    <w:rsid w:val="007A53B0"/>
    <w:rsid w:val="007B59B1"/>
    <w:rsid w:val="007C6E8A"/>
    <w:rsid w:val="007D28D7"/>
    <w:rsid w:val="007E34E3"/>
    <w:rsid w:val="007E3E80"/>
    <w:rsid w:val="007E64B5"/>
    <w:rsid w:val="007F0437"/>
    <w:rsid w:val="007F0775"/>
    <w:rsid w:val="007F55F1"/>
    <w:rsid w:val="0080757F"/>
    <w:rsid w:val="0080792C"/>
    <w:rsid w:val="00807CAF"/>
    <w:rsid w:val="008219DB"/>
    <w:rsid w:val="00830CED"/>
    <w:rsid w:val="0084218B"/>
    <w:rsid w:val="008476A6"/>
    <w:rsid w:val="00853FFE"/>
    <w:rsid w:val="00864070"/>
    <w:rsid w:val="00870E6C"/>
    <w:rsid w:val="0089022B"/>
    <w:rsid w:val="0089421A"/>
    <w:rsid w:val="008A2241"/>
    <w:rsid w:val="008A7C32"/>
    <w:rsid w:val="008B0C2F"/>
    <w:rsid w:val="008B0D9C"/>
    <w:rsid w:val="008C4D37"/>
    <w:rsid w:val="008D2B88"/>
    <w:rsid w:val="008E5EA0"/>
    <w:rsid w:val="008F78AA"/>
    <w:rsid w:val="009009B4"/>
    <w:rsid w:val="009140D5"/>
    <w:rsid w:val="009177E3"/>
    <w:rsid w:val="00927022"/>
    <w:rsid w:val="00930003"/>
    <w:rsid w:val="0093258F"/>
    <w:rsid w:val="009438F2"/>
    <w:rsid w:val="00966CC9"/>
    <w:rsid w:val="009710EA"/>
    <w:rsid w:val="00984274"/>
    <w:rsid w:val="0099767B"/>
    <w:rsid w:val="009A1144"/>
    <w:rsid w:val="009A3D65"/>
    <w:rsid w:val="009A5A76"/>
    <w:rsid w:val="009B12E0"/>
    <w:rsid w:val="009B1956"/>
    <w:rsid w:val="009B23D8"/>
    <w:rsid w:val="009B2E39"/>
    <w:rsid w:val="009B36CB"/>
    <w:rsid w:val="009C6202"/>
    <w:rsid w:val="009D335F"/>
    <w:rsid w:val="009E40EC"/>
    <w:rsid w:val="009E65F6"/>
    <w:rsid w:val="009E7E5D"/>
    <w:rsid w:val="009F3EA0"/>
    <w:rsid w:val="009F5F66"/>
    <w:rsid w:val="00A0792A"/>
    <w:rsid w:val="00A303D5"/>
    <w:rsid w:val="00A418D9"/>
    <w:rsid w:val="00A61C0A"/>
    <w:rsid w:val="00A66D1F"/>
    <w:rsid w:val="00A82C28"/>
    <w:rsid w:val="00A84699"/>
    <w:rsid w:val="00A93FB4"/>
    <w:rsid w:val="00A955FA"/>
    <w:rsid w:val="00AA0347"/>
    <w:rsid w:val="00AA20B8"/>
    <w:rsid w:val="00AA6F16"/>
    <w:rsid w:val="00AB36A9"/>
    <w:rsid w:val="00AB66C0"/>
    <w:rsid w:val="00AD6503"/>
    <w:rsid w:val="00AD6AC9"/>
    <w:rsid w:val="00AD77EE"/>
    <w:rsid w:val="00AE5779"/>
    <w:rsid w:val="00AE792C"/>
    <w:rsid w:val="00AF02D1"/>
    <w:rsid w:val="00AF16AC"/>
    <w:rsid w:val="00AF4A0F"/>
    <w:rsid w:val="00B00393"/>
    <w:rsid w:val="00B11039"/>
    <w:rsid w:val="00B12277"/>
    <w:rsid w:val="00B31B02"/>
    <w:rsid w:val="00B34FC4"/>
    <w:rsid w:val="00B3551A"/>
    <w:rsid w:val="00B44A1E"/>
    <w:rsid w:val="00B4727F"/>
    <w:rsid w:val="00B57C6E"/>
    <w:rsid w:val="00B62D45"/>
    <w:rsid w:val="00B719AA"/>
    <w:rsid w:val="00B97014"/>
    <w:rsid w:val="00BA7CA6"/>
    <w:rsid w:val="00BC3A3C"/>
    <w:rsid w:val="00BC7ABE"/>
    <w:rsid w:val="00BD3A5C"/>
    <w:rsid w:val="00BD752E"/>
    <w:rsid w:val="00BD75DD"/>
    <w:rsid w:val="00BE1417"/>
    <w:rsid w:val="00BE4A72"/>
    <w:rsid w:val="00BE5119"/>
    <w:rsid w:val="00BE575E"/>
    <w:rsid w:val="00BF66A8"/>
    <w:rsid w:val="00BF6D7C"/>
    <w:rsid w:val="00BF6F03"/>
    <w:rsid w:val="00BF7A3B"/>
    <w:rsid w:val="00C140D5"/>
    <w:rsid w:val="00C17CD5"/>
    <w:rsid w:val="00C35E20"/>
    <w:rsid w:val="00C74A51"/>
    <w:rsid w:val="00C77C13"/>
    <w:rsid w:val="00C77F29"/>
    <w:rsid w:val="00C90506"/>
    <w:rsid w:val="00C91F9D"/>
    <w:rsid w:val="00C95F36"/>
    <w:rsid w:val="00C96CF9"/>
    <w:rsid w:val="00CA2745"/>
    <w:rsid w:val="00CA32D5"/>
    <w:rsid w:val="00CA44B2"/>
    <w:rsid w:val="00CB129D"/>
    <w:rsid w:val="00CB5738"/>
    <w:rsid w:val="00CC50A7"/>
    <w:rsid w:val="00CD2A1E"/>
    <w:rsid w:val="00CD42ED"/>
    <w:rsid w:val="00CE2A65"/>
    <w:rsid w:val="00CF047C"/>
    <w:rsid w:val="00CF7B8E"/>
    <w:rsid w:val="00D0095A"/>
    <w:rsid w:val="00D0519E"/>
    <w:rsid w:val="00D10592"/>
    <w:rsid w:val="00D355DB"/>
    <w:rsid w:val="00D55E96"/>
    <w:rsid w:val="00D64F9B"/>
    <w:rsid w:val="00D75241"/>
    <w:rsid w:val="00D82EFC"/>
    <w:rsid w:val="00D871D3"/>
    <w:rsid w:val="00DA19ED"/>
    <w:rsid w:val="00DA4D87"/>
    <w:rsid w:val="00DB6017"/>
    <w:rsid w:val="00DC35C5"/>
    <w:rsid w:val="00DD1A19"/>
    <w:rsid w:val="00DD7880"/>
    <w:rsid w:val="00DE3C6A"/>
    <w:rsid w:val="00DE4076"/>
    <w:rsid w:val="00DF2CAC"/>
    <w:rsid w:val="00E16ACF"/>
    <w:rsid w:val="00E236E3"/>
    <w:rsid w:val="00E26FF2"/>
    <w:rsid w:val="00E300D4"/>
    <w:rsid w:val="00E349DA"/>
    <w:rsid w:val="00E67DC2"/>
    <w:rsid w:val="00E81D7C"/>
    <w:rsid w:val="00E93258"/>
    <w:rsid w:val="00EA4B19"/>
    <w:rsid w:val="00EB13C6"/>
    <w:rsid w:val="00EC0F0A"/>
    <w:rsid w:val="00EC71DD"/>
    <w:rsid w:val="00EC7A49"/>
    <w:rsid w:val="00EC7ADB"/>
    <w:rsid w:val="00EC7EB6"/>
    <w:rsid w:val="00ED4DA3"/>
    <w:rsid w:val="00ED57C8"/>
    <w:rsid w:val="00ED7722"/>
    <w:rsid w:val="00F11A81"/>
    <w:rsid w:val="00F44830"/>
    <w:rsid w:val="00F4598D"/>
    <w:rsid w:val="00F530E2"/>
    <w:rsid w:val="00F7094C"/>
    <w:rsid w:val="00F90527"/>
    <w:rsid w:val="00FA0E37"/>
    <w:rsid w:val="00FA244D"/>
    <w:rsid w:val="00FA2FCC"/>
    <w:rsid w:val="00FB22B0"/>
    <w:rsid w:val="00FB3D01"/>
    <w:rsid w:val="00FC1D6A"/>
    <w:rsid w:val="00FF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8E54C01"/>
  <w15:chartTrackingRefBased/>
  <w15:docId w15:val="{58844747-01C4-4CDA-B881-5DA00B9D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aliases w:val="Footnote Text Char1,Footnote Text Char Char1,Footnote Text Char1 Char Char,Footnote Text Char Char1 Char Char,Footnote Text Char2 Char Char1 Char Char,Footnote Text Char1 Char Char Char Char Char1"/>
    <w:basedOn w:val="Normal"/>
    <w:link w:val="FootnoteTextChar"/>
    <w:uiPriority w:val="99"/>
    <w:rsid w:val="006B1D90"/>
    <w:pPr>
      <w:widowControl w:val="0"/>
      <w:autoSpaceDE w:val="0"/>
      <w:autoSpaceDN w:val="0"/>
      <w:adjustRightInd w:val="0"/>
    </w:p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
    <w:basedOn w:val="DefaultParagraphFont"/>
    <w:link w:val="FootnoteText"/>
    <w:uiPriority w:val="99"/>
    <w:rsid w:val="006B1D90"/>
  </w:style>
  <w:style w:type="character" w:styleId="FootnoteReference">
    <w:name w:val="footnote reference"/>
    <w:uiPriority w:val="99"/>
    <w:rsid w:val="006B1D90"/>
    <w:rPr>
      <w:vertAlign w:val="superscript"/>
    </w:rPr>
  </w:style>
  <w:style w:type="character" w:styleId="Hyperlink">
    <w:name w:val="Hyperlink"/>
    <w:basedOn w:val="DefaultParagraphFont"/>
    <w:rsid w:val="00EA4B19"/>
    <w:rPr>
      <w:color w:val="0563C1" w:themeColor="hyperlink"/>
      <w:u w:val="single"/>
    </w:rPr>
  </w:style>
  <w:style w:type="character" w:styleId="UnresolvedMention">
    <w:name w:val="Unresolved Mention"/>
    <w:basedOn w:val="DefaultParagraphFont"/>
    <w:uiPriority w:val="99"/>
    <w:semiHidden/>
    <w:unhideWhenUsed/>
    <w:rsid w:val="00EA4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49921-81B2-4567-AB63-1366F042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cp:lastModifiedBy>Sheffer, Ryan</cp:lastModifiedBy>
  <cp:revision>7</cp:revision>
  <cp:lastPrinted>2012-02-21T16:49:00Z</cp:lastPrinted>
  <dcterms:created xsi:type="dcterms:W3CDTF">2021-06-21T14:20:00Z</dcterms:created>
  <dcterms:modified xsi:type="dcterms:W3CDTF">2021-06-21T18:18:00Z</dcterms:modified>
</cp:coreProperties>
</file>