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40EE" w14:textId="67039FD3" w:rsidR="00863CE1" w:rsidRDefault="001916B8" w:rsidP="003B3648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January 14, 2022</w:t>
      </w:r>
    </w:p>
    <w:p w14:paraId="3E8F4E38" w14:textId="65E5E032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Docket No. </w:t>
      </w:r>
      <w:r w:rsidR="00E0420F">
        <w:rPr>
          <w:color w:val="000000" w:themeColor="text1"/>
          <w:sz w:val="26"/>
          <w:szCs w:val="26"/>
        </w:rPr>
        <w:t>R-2021-3024750</w:t>
      </w:r>
    </w:p>
    <w:p w14:paraId="1AB89349" w14:textId="6186414F" w:rsidR="00206F9E" w:rsidRPr="00F50ADF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Utility Code: </w:t>
      </w:r>
      <w:r w:rsidR="00066986">
        <w:rPr>
          <w:color w:val="000000" w:themeColor="text1"/>
          <w:sz w:val="26"/>
          <w:szCs w:val="26"/>
        </w:rPr>
        <w:t>110150</w:t>
      </w:r>
    </w:p>
    <w:p w14:paraId="35F7224D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4EBA216" w14:textId="080A33B3" w:rsidR="00206F9E" w:rsidRPr="00F50ADF" w:rsidRDefault="00B155BF" w:rsidP="00206F9E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Michael Zimmerman</w:t>
      </w:r>
    </w:p>
    <w:p w14:paraId="3EB61616" w14:textId="4BF5B5DC" w:rsidR="00206F9E" w:rsidRPr="00F50ADF" w:rsidRDefault="00B155BF" w:rsidP="00206F9E">
      <w:pPr>
        <w:rPr>
          <w:sz w:val="26"/>
          <w:szCs w:val="26"/>
        </w:rPr>
      </w:pPr>
      <w:r>
        <w:rPr>
          <w:sz w:val="26"/>
          <w:szCs w:val="26"/>
        </w:rPr>
        <w:t>Duquesne Light Company</w:t>
      </w:r>
    </w:p>
    <w:p w14:paraId="6A7A19A4" w14:textId="4D2E566C" w:rsidR="00206F9E" w:rsidRDefault="00B155BF" w:rsidP="00206F9E">
      <w:pPr>
        <w:rPr>
          <w:sz w:val="26"/>
          <w:szCs w:val="26"/>
        </w:rPr>
      </w:pPr>
      <w:r>
        <w:rPr>
          <w:sz w:val="26"/>
          <w:szCs w:val="26"/>
        </w:rPr>
        <w:t>411 Seventh Avenue, 15-7</w:t>
      </w:r>
    </w:p>
    <w:p w14:paraId="05B65CE2" w14:textId="3CCE9478" w:rsidR="00B155BF" w:rsidRPr="00F50ADF" w:rsidRDefault="00B155BF" w:rsidP="00206F9E">
      <w:pPr>
        <w:rPr>
          <w:sz w:val="26"/>
          <w:szCs w:val="26"/>
        </w:rPr>
      </w:pPr>
      <w:r>
        <w:rPr>
          <w:sz w:val="26"/>
          <w:szCs w:val="26"/>
        </w:rPr>
        <w:t>Pittsburgh, PA  15219</w:t>
      </w:r>
    </w:p>
    <w:p w14:paraId="693685A3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6BB1AEFB" w14:textId="5914A3FA" w:rsidR="00206F9E" w:rsidRPr="00F50ADF" w:rsidRDefault="00206F9E" w:rsidP="00206F9E">
      <w:pPr>
        <w:rPr>
          <w:color w:val="000000" w:themeColor="text1"/>
          <w:sz w:val="26"/>
          <w:szCs w:val="26"/>
        </w:rPr>
      </w:pPr>
      <w:r w:rsidRPr="00F50ADF">
        <w:rPr>
          <w:color w:val="000000" w:themeColor="text1"/>
          <w:sz w:val="26"/>
          <w:szCs w:val="26"/>
        </w:rPr>
        <w:t xml:space="preserve">Re: </w:t>
      </w:r>
      <w:r w:rsidR="008C1571" w:rsidRPr="008C1571">
        <w:rPr>
          <w:color w:val="000000" w:themeColor="text1"/>
          <w:sz w:val="26"/>
          <w:szCs w:val="26"/>
        </w:rPr>
        <w:t>Duquesne Light Company</w:t>
      </w:r>
      <w:r w:rsidR="00A35447">
        <w:rPr>
          <w:color w:val="000000" w:themeColor="text1"/>
          <w:sz w:val="26"/>
          <w:szCs w:val="26"/>
        </w:rPr>
        <w:t xml:space="preserve">; </w:t>
      </w:r>
      <w:r w:rsidR="00A35447" w:rsidRPr="00A35447">
        <w:rPr>
          <w:color w:val="000000" w:themeColor="text1"/>
          <w:sz w:val="26"/>
          <w:szCs w:val="26"/>
        </w:rPr>
        <w:t>Supplement No. 36 to Tariff Electric – Pa. P.U.C. No. 25</w:t>
      </w:r>
    </w:p>
    <w:p w14:paraId="1A92BB30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1B3FFA6D" w:rsidR="00206F9E" w:rsidRPr="00F50ADF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F50ADF">
        <w:rPr>
          <w:color w:val="000000" w:themeColor="text1"/>
          <w:sz w:val="26"/>
          <w:szCs w:val="26"/>
        </w:rPr>
        <w:t xml:space="preserve">Dear </w:t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Pr="00F50ADF">
        <w:rPr>
          <w:color w:val="000000" w:themeColor="text1"/>
          <w:sz w:val="26"/>
          <w:szCs w:val="26"/>
        </w:rPr>
        <w:softHyphen/>
      </w:r>
      <w:r w:rsidR="00B96A94">
        <w:rPr>
          <w:color w:val="000000" w:themeColor="text1"/>
          <w:sz w:val="26"/>
          <w:szCs w:val="26"/>
        </w:rPr>
        <w:t>Mr. Zimmerman</w:t>
      </w:r>
      <w:r w:rsidRPr="00F50ADF">
        <w:rPr>
          <w:color w:val="000000" w:themeColor="text1"/>
          <w:sz w:val="26"/>
          <w:szCs w:val="26"/>
        </w:rPr>
        <w:t>:</w:t>
      </w:r>
    </w:p>
    <w:bookmarkEnd w:id="0"/>
    <w:p w14:paraId="1C3201EC" w14:textId="77777777" w:rsidR="00206F9E" w:rsidRPr="00F50ADF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79A9211D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 xml:space="preserve">By Order entered </w:t>
      </w:r>
      <w:r w:rsidR="001318A7">
        <w:rPr>
          <w:sz w:val="26"/>
          <w:szCs w:val="26"/>
        </w:rPr>
        <w:t>December 16, 2021</w:t>
      </w:r>
      <w:r w:rsidRPr="00F50ADF">
        <w:rPr>
          <w:sz w:val="26"/>
          <w:szCs w:val="26"/>
        </w:rPr>
        <w:t xml:space="preserve">, the Commission authorized </w:t>
      </w:r>
      <w:r w:rsidR="001318A7" w:rsidRPr="001318A7">
        <w:rPr>
          <w:sz w:val="26"/>
          <w:szCs w:val="26"/>
        </w:rPr>
        <w:t xml:space="preserve">Duquesne Light Company </w:t>
      </w:r>
      <w:r w:rsidRPr="00F50ADF">
        <w:rPr>
          <w:sz w:val="26"/>
          <w:szCs w:val="26"/>
        </w:rPr>
        <w:t>(</w:t>
      </w:r>
      <w:r w:rsidR="00ED4E76">
        <w:rPr>
          <w:sz w:val="26"/>
          <w:szCs w:val="26"/>
        </w:rPr>
        <w:t xml:space="preserve">the </w:t>
      </w:r>
      <w:r w:rsidRPr="00F50ADF">
        <w:rPr>
          <w:sz w:val="26"/>
          <w:szCs w:val="26"/>
        </w:rPr>
        <w:t>Company) to file</w:t>
      </w:r>
      <w:r w:rsidR="00802C29">
        <w:rPr>
          <w:sz w:val="26"/>
          <w:szCs w:val="26"/>
        </w:rPr>
        <w:t xml:space="preserve"> a tariff supplement</w:t>
      </w:r>
      <w:r w:rsidRPr="00F50ADF">
        <w:rPr>
          <w:sz w:val="26"/>
          <w:szCs w:val="26"/>
        </w:rPr>
        <w:t xml:space="preserve"> </w:t>
      </w:r>
      <w:r w:rsidR="00B52342" w:rsidRPr="00B52342">
        <w:rPr>
          <w:sz w:val="26"/>
          <w:szCs w:val="26"/>
        </w:rPr>
        <w:t>incorporating the terms and changes to its rates, rules and regulations as set forth in Appendix A to the Joint Petition for Settlement</w:t>
      </w:r>
      <w:r w:rsidR="00C62A71" w:rsidRPr="00F50ADF">
        <w:rPr>
          <w:sz w:val="26"/>
          <w:szCs w:val="26"/>
        </w:rPr>
        <w:t xml:space="preserve"> filed in the above docketed rate investigation</w:t>
      </w:r>
      <w:r w:rsidRPr="00F50ADF">
        <w:rPr>
          <w:sz w:val="26"/>
          <w:szCs w:val="26"/>
        </w:rPr>
        <w:t xml:space="preserve">, </w:t>
      </w:r>
      <w:r w:rsidR="002A06B4" w:rsidRPr="002A06B4">
        <w:rPr>
          <w:sz w:val="26"/>
          <w:szCs w:val="26"/>
        </w:rPr>
        <w:t xml:space="preserve">for service rendered on and after January 15, 2022, </w:t>
      </w:r>
      <w:r w:rsidRPr="00F50ADF">
        <w:rPr>
          <w:sz w:val="26"/>
          <w:szCs w:val="26"/>
        </w:rPr>
        <w:t xml:space="preserve">designed to produce </w:t>
      </w:r>
      <w:r w:rsidR="00A41B0A" w:rsidRPr="00A41B0A">
        <w:rPr>
          <w:sz w:val="26"/>
          <w:szCs w:val="26"/>
        </w:rPr>
        <w:t>an increase in annual revenue of not more than $74.2 million.</w:t>
      </w:r>
      <w:r w:rsidRPr="00F50ADF">
        <w:rPr>
          <w:sz w:val="26"/>
          <w:szCs w:val="26"/>
        </w:rPr>
        <w:t xml:space="preserve">  On </w:t>
      </w:r>
      <w:r w:rsidR="00C93021">
        <w:rPr>
          <w:sz w:val="26"/>
          <w:szCs w:val="26"/>
        </w:rPr>
        <w:t>January 4, 2022</w:t>
      </w:r>
      <w:r w:rsidRPr="00F50ADF">
        <w:rPr>
          <w:sz w:val="26"/>
          <w:szCs w:val="26"/>
        </w:rPr>
        <w:t xml:space="preserve">, the Company filed </w:t>
      </w:r>
      <w:r w:rsidR="00C93021" w:rsidRPr="00C93021">
        <w:rPr>
          <w:sz w:val="26"/>
          <w:szCs w:val="26"/>
        </w:rPr>
        <w:t>Supplement No. 36 to Tariff Electric – Pa. P.U.C. No. 25</w:t>
      </w:r>
      <w:r w:rsidR="00C93021">
        <w:rPr>
          <w:sz w:val="26"/>
          <w:szCs w:val="26"/>
        </w:rPr>
        <w:t xml:space="preserve"> </w:t>
      </w:r>
      <w:r w:rsidRPr="00F50ADF">
        <w:rPr>
          <w:sz w:val="26"/>
          <w:szCs w:val="26"/>
        </w:rPr>
        <w:t xml:space="preserve">to become effective </w:t>
      </w:r>
      <w:r w:rsidR="00E4472E" w:rsidRPr="00E4472E">
        <w:rPr>
          <w:sz w:val="26"/>
          <w:szCs w:val="26"/>
        </w:rPr>
        <w:t>January 15, 2022</w:t>
      </w:r>
      <w:r w:rsidR="00556D44">
        <w:rPr>
          <w:sz w:val="26"/>
          <w:szCs w:val="26"/>
        </w:rPr>
        <w:t xml:space="preserve">, in compliance with the </w:t>
      </w:r>
      <w:r w:rsidR="00DD6270">
        <w:rPr>
          <w:sz w:val="26"/>
          <w:szCs w:val="26"/>
        </w:rPr>
        <w:t>Order</w:t>
      </w:r>
      <w:r w:rsidRPr="00F50ADF">
        <w:rPr>
          <w:sz w:val="26"/>
          <w:szCs w:val="26"/>
        </w:rPr>
        <w:t>.</w:t>
      </w:r>
    </w:p>
    <w:p w14:paraId="51CB0A44" w14:textId="77777777" w:rsidR="00B25811" w:rsidRPr="00F50ADF" w:rsidRDefault="00B25811" w:rsidP="00B25811">
      <w:pPr>
        <w:rPr>
          <w:sz w:val="26"/>
          <w:szCs w:val="26"/>
        </w:rPr>
      </w:pPr>
    </w:p>
    <w:p w14:paraId="7555AD23" w14:textId="4C33BE6F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  <w:t>Commission Staff has reviewed the tariff revisions and found that suspension or further investigation do</w:t>
      </w:r>
      <w:r w:rsidR="006D47F7">
        <w:rPr>
          <w:sz w:val="26"/>
          <w:szCs w:val="26"/>
        </w:rPr>
        <w:t>es</w:t>
      </w:r>
      <w:r w:rsidRPr="00F50ADF">
        <w:rPr>
          <w:sz w:val="26"/>
          <w:szCs w:val="26"/>
        </w:rPr>
        <w:t xml:space="preserve"> not appear warranted at this time.  Therefore, in accordance with 52 Pa. Code </w:t>
      </w:r>
      <w:r w:rsidR="00D95F38" w:rsidRPr="00F50ADF">
        <w:rPr>
          <w:sz w:val="26"/>
          <w:szCs w:val="26"/>
        </w:rPr>
        <w:t xml:space="preserve">Chapter 53, </w:t>
      </w:r>
      <w:r w:rsidR="00C93021" w:rsidRPr="00C93021">
        <w:rPr>
          <w:sz w:val="26"/>
          <w:szCs w:val="26"/>
        </w:rPr>
        <w:t>Supplement No. 36 to Tariff Electric – Pa. P.U.C. No. 25</w:t>
      </w:r>
      <w:r w:rsidRPr="00F50ADF">
        <w:rPr>
          <w:sz w:val="26"/>
          <w:szCs w:val="26"/>
        </w:rPr>
        <w:t xml:space="preserve"> is effective by operation of law </w:t>
      </w:r>
      <w:r w:rsidR="00D95F38" w:rsidRPr="00F50ADF">
        <w:rPr>
          <w:sz w:val="26"/>
          <w:szCs w:val="26"/>
        </w:rPr>
        <w:t>as of</w:t>
      </w:r>
      <w:r w:rsidRPr="00F50ADF">
        <w:rPr>
          <w:sz w:val="26"/>
          <w:szCs w:val="26"/>
        </w:rPr>
        <w:t xml:space="preserve"> the effective date contained on each page of the supplement.</w:t>
      </w:r>
      <w:r w:rsidRPr="009C0A25">
        <w:rPr>
          <w:sz w:val="26"/>
          <w:szCs w:val="26"/>
        </w:rPr>
        <w:t xml:space="preserve">  </w:t>
      </w:r>
      <w:r w:rsidRPr="00F50ADF">
        <w:rPr>
          <w:sz w:val="26"/>
          <w:szCs w:val="26"/>
        </w:rPr>
        <w:t>However, this is without prejudice to any formal complaints timely filed against said tariff revision</w:t>
      </w:r>
      <w:r w:rsidR="00720E93" w:rsidRPr="00F50ADF">
        <w:rPr>
          <w:sz w:val="26"/>
          <w:szCs w:val="26"/>
        </w:rPr>
        <w:t>s</w:t>
      </w:r>
      <w:r w:rsidRPr="00F50ADF">
        <w:rPr>
          <w:sz w:val="26"/>
          <w:szCs w:val="26"/>
        </w:rPr>
        <w:t>.</w:t>
      </w:r>
    </w:p>
    <w:p w14:paraId="72E02121" w14:textId="77777777" w:rsidR="00B25811" w:rsidRPr="00F50ADF" w:rsidRDefault="00B25811" w:rsidP="00B25811">
      <w:pPr>
        <w:rPr>
          <w:sz w:val="26"/>
          <w:szCs w:val="26"/>
        </w:rPr>
      </w:pPr>
    </w:p>
    <w:p w14:paraId="1B63F44A" w14:textId="0B6ECF01" w:rsidR="00B25811" w:rsidRPr="00F50ADF" w:rsidRDefault="00B25811" w:rsidP="00B25811">
      <w:pPr>
        <w:rPr>
          <w:sz w:val="26"/>
          <w:szCs w:val="26"/>
        </w:rPr>
      </w:pPr>
      <w:r w:rsidRPr="00F50ADF">
        <w:rPr>
          <w:sz w:val="26"/>
          <w:szCs w:val="26"/>
        </w:rPr>
        <w:tab/>
      </w:r>
      <w:r w:rsidR="0004444F">
        <w:rPr>
          <w:sz w:val="26"/>
          <w:szCs w:val="26"/>
        </w:rPr>
        <w:t xml:space="preserve">If you have any questions in this matter, please contact Marissa Boyle, Bureau of Technical Utility Services, at (717) 787-7237 or </w:t>
      </w:r>
      <w:hyperlink r:id="rId7" w:history="1">
        <w:r w:rsidR="0004444F">
          <w:rPr>
            <w:rStyle w:val="Hyperlink"/>
            <w:sz w:val="26"/>
            <w:szCs w:val="26"/>
          </w:rPr>
          <w:t>maboyle@pa.gov</w:t>
        </w:r>
      </w:hyperlink>
      <w:r w:rsidR="0004444F">
        <w:rPr>
          <w:sz w:val="26"/>
          <w:szCs w:val="26"/>
        </w:rPr>
        <w:t>.</w:t>
      </w:r>
    </w:p>
    <w:p w14:paraId="649F73C0" w14:textId="77777777" w:rsidR="00B25811" w:rsidRPr="00F50ADF" w:rsidRDefault="00B25811" w:rsidP="00722527">
      <w:pPr>
        <w:rPr>
          <w:sz w:val="26"/>
          <w:szCs w:val="26"/>
        </w:rPr>
      </w:pPr>
    </w:p>
    <w:p w14:paraId="542887C8" w14:textId="57E24436" w:rsidR="00722527" w:rsidRPr="00F50ADF" w:rsidRDefault="001916B8" w:rsidP="00722527">
      <w:pPr>
        <w:rPr>
          <w:sz w:val="26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8358419" wp14:editId="56E26519">
            <wp:simplePos x="0" y="0"/>
            <wp:positionH relativeFrom="column">
              <wp:posOffset>2495550</wp:posOffset>
            </wp:positionH>
            <wp:positionV relativeFrom="paragraph">
              <wp:posOffset>74930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</w:r>
      <w:r w:rsidR="00722527" w:rsidRPr="00F50ADF">
        <w:rPr>
          <w:sz w:val="26"/>
          <w:szCs w:val="26"/>
        </w:rPr>
        <w:tab/>
        <w:t>Sincerely,</w:t>
      </w:r>
    </w:p>
    <w:p w14:paraId="31EDE73D" w14:textId="2D20A18C" w:rsidR="00722527" w:rsidRPr="00F50ADF" w:rsidRDefault="001916B8" w:rsidP="001916B8">
      <w:pPr>
        <w:tabs>
          <w:tab w:val="left" w:pos="51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14:paraId="0ECCD200" w14:textId="77777777" w:rsidR="00722527" w:rsidRPr="00F50ADF" w:rsidRDefault="00722527" w:rsidP="00722527">
      <w:pPr>
        <w:rPr>
          <w:sz w:val="26"/>
          <w:szCs w:val="26"/>
        </w:rPr>
      </w:pPr>
    </w:p>
    <w:p w14:paraId="62A0FE60" w14:textId="77777777" w:rsidR="00722527" w:rsidRPr="00F50ADF" w:rsidRDefault="00722527" w:rsidP="00722527">
      <w:pPr>
        <w:rPr>
          <w:sz w:val="26"/>
          <w:szCs w:val="26"/>
        </w:rPr>
      </w:pPr>
    </w:p>
    <w:p w14:paraId="554B8170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Rosemary Chiavetta</w:t>
      </w:r>
    </w:p>
    <w:p w14:paraId="4CB19A5A" w14:textId="77777777" w:rsidR="00722527" w:rsidRPr="00F50ADF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F50ADF">
        <w:rPr>
          <w:sz w:val="26"/>
          <w:szCs w:val="26"/>
        </w:rPr>
        <w:tab/>
        <w:t>Secretary</w:t>
      </w:r>
    </w:p>
    <w:p w14:paraId="547B416A" w14:textId="77777777" w:rsidR="00B25811" w:rsidRPr="00F50ADF" w:rsidRDefault="00B25811" w:rsidP="00B25811">
      <w:pPr>
        <w:rPr>
          <w:sz w:val="26"/>
          <w:szCs w:val="26"/>
        </w:rPr>
      </w:pPr>
    </w:p>
    <w:p w14:paraId="17896DBB" w14:textId="52E51BB2" w:rsidR="00B25811" w:rsidRPr="009B7B6E" w:rsidRDefault="00B25811" w:rsidP="00B25811">
      <w:pPr>
        <w:rPr>
          <w:sz w:val="26"/>
          <w:szCs w:val="26"/>
        </w:rPr>
      </w:pPr>
    </w:p>
    <w:sectPr w:rsidR="00B25811" w:rsidRPr="009B7B6E" w:rsidSect="008B162F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2C88" w14:textId="77777777" w:rsidR="00311B38" w:rsidRDefault="00311B38">
      <w:r>
        <w:separator/>
      </w:r>
    </w:p>
  </w:endnote>
  <w:endnote w:type="continuationSeparator" w:id="0">
    <w:p w14:paraId="2F9345B9" w14:textId="77777777" w:rsidR="00311B38" w:rsidRDefault="0031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EEAA" w14:textId="32841424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F7A7" w14:textId="77777777" w:rsidR="00311B38" w:rsidRDefault="00311B38">
      <w:r>
        <w:separator/>
      </w:r>
    </w:p>
  </w:footnote>
  <w:footnote w:type="continuationSeparator" w:id="0">
    <w:p w14:paraId="6913A546" w14:textId="77777777" w:rsidR="00311B38" w:rsidRDefault="00311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90" w:type="dxa"/>
      <w:tblInd w:w="-702" w:type="dxa"/>
      <w:tblLayout w:type="fixed"/>
      <w:tblLook w:val="04A0" w:firstRow="1" w:lastRow="0" w:firstColumn="1" w:lastColumn="0" w:noHBand="0" w:noVBand="1"/>
    </w:tblPr>
    <w:tblGrid>
      <w:gridCol w:w="2232"/>
      <w:gridCol w:w="7218"/>
      <w:gridCol w:w="1440"/>
    </w:tblGrid>
    <w:tr w:rsidR="008262D7" w14:paraId="461705E9" w14:textId="77777777" w:rsidTr="008262D7">
      <w:trPr>
        <w:trHeight w:val="990"/>
      </w:trPr>
      <w:tc>
        <w:tcPr>
          <w:tcW w:w="2232" w:type="dxa"/>
          <w:hideMark/>
        </w:tcPr>
        <w:p w14:paraId="75D69C5E" w14:textId="4181F116" w:rsidR="008262D7" w:rsidRDefault="00886907" w:rsidP="008262D7">
          <w:r>
            <w:rPr>
              <w:noProof/>
              <w:szCs w:val="24"/>
            </w:rPr>
            <w:drawing>
              <wp:anchor distT="0" distB="0" distL="114300" distR="114300" simplePos="0" relativeHeight="251661312" behindDoc="0" locked="0" layoutInCell="1" allowOverlap="1" wp14:anchorId="310ABE5F" wp14:editId="04361323">
                <wp:simplePos x="0" y="0"/>
                <wp:positionH relativeFrom="margin">
                  <wp:posOffset>-60960</wp:posOffset>
                </wp:positionH>
                <wp:positionV relativeFrom="paragraph">
                  <wp:posOffset>10795</wp:posOffset>
                </wp:positionV>
                <wp:extent cx="1402996" cy="601980"/>
                <wp:effectExtent l="0" t="0" r="6985" b="7620"/>
                <wp:wrapSquare wrapText="bothSides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864" cy="6023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18" w:type="dxa"/>
          <w:hideMark/>
        </w:tcPr>
        <w:p w14:paraId="4539B131" w14:textId="77777777" w:rsidR="008262D7" w:rsidRDefault="008262D7" w:rsidP="008262D7">
          <w:pPr>
            <w:suppressAutoHyphens/>
            <w:spacing w:line="204" w:lineRule="auto"/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</w:pPr>
          <w:r>
            <w:rPr>
              <w:rFonts w:ascii="Arial" w:hAnsi="Arial"/>
              <w:color w:val="000099"/>
              <w:spacing w:val="-3"/>
              <w:sz w:val="26"/>
            </w:rPr>
            <w:t xml:space="preserve">                     </w:t>
          </w:r>
          <w:r>
            <w:rPr>
              <w:rFonts w:ascii="Calibri" w:hAnsi="Calibri" w:cs="Calibri"/>
              <w:b/>
              <w:bCs/>
              <w:color w:val="000099"/>
              <w:spacing w:val="-3"/>
              <w:sz w:val="26"/>
            </w:rPr>
            <w:t>COMMONWEALTH OF PENNSYLVANIA</w:t>
          </w:r>
        </w:p>
        <w:p w14:paraId="514F8622" w14:textId="77777777" w:rsidR="008262D7" w:rsidRDefault="008262D7" w:rsidP="008262D7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PENNSYLVANIA PUBLIC UTILITY COMMISSION</w:t>
          </w:r>
        </w:p>
        <w:p w14:paraId="72D99E51" w14:textId="77777777" w:rsidR="008262D7" w:rsidRDefault="008262D7" w:rsidP="008262D7">
          <w:pPr>
            <w:suppressAutoHyphens/>
            <w:spacing w:line="204" w:lineRule="auto"/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COMMONWEALTH KEYSTONE BUILDING</w:t>
          </w:r>
        </w:p>
        <w:p w14:paraId="219B6CB5" w14:textId="77777777" w:rsidR="008262D7" w:rsidRDefault="008262D7" w:rsidP="008262D7">
          <w:pPr>
            <w:jc w:val="center"/>
            <w:rPr>
              <w:rFonts w:ascii="Calibri" w:hAnsi="Calibri" w:cs="Calibri"/>
              <w:color w:val="000099"/>
              <w:spacing w:val="-3"/>
              <w:sz w:val="22"/>
              <w:szCs w:val="2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400 NORTH STREET</w:t>
          </w:r>
        </w:p>
        <w:p w14:paraId="62A62927" w14:textId="77777777" w:rsidR="008262D7" w:rsidRDefault="008262D7" w:rsidP="008262D7">
          <w:pPr>
            <w:jc w:val="center"/>
            <w:rPr>
              <w:rFonts w:ascii="Arial" w:hAnsi="Arial"/>
              <w:sz w:val="12"/>
            </w:rPr>
          </w:pPr>
          <w:r>
            <w:rPr>
              <w:rFonts w:ascii="Calibri" w:hAnsi="Calibri" w:cs="Calibri"/>
              <w:color w:val="000099"/>
              <w:spacing w:val="-3"/>
              <w:sz w:val="22"/>
              <w:szCs w:val="22"/>
            </w:rPr>
            <w:t>HARRISBURG, PENNSYLVANIA 17120</w:t>
          </w:r>
        </w:p>
      </w:tc>
      <w:tc>
        <w:tcPr>
          <w:tcW w:w="1440" w:type="dxa"/>
        </w:tcPr>
        <w:p w14:paraId="1B85AF5C" w14:textId="77777777" w:rsidR="008262D7" w:rsidRDefault="008262D7" w:rsidP="008262D7">
          <w:pPr>
            <w:rPr>
              <w:rFonts w:ascii="Arial" w:hAnsi="Arial"/>
              <w:sz w:val="12"/>
            </w:rPr>
          </w:pPr>
        </w:p>
        <w:p w14:paraId="72A52F5D" w14:textId="77777777" w:rsidR="008262D7" w:rsidRDefault="008262D7" w:rsidP="008262D7">
          <w:pPr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14:paraId="5A26A7CF" w14:textId="77777777" w:rsidR="008262D7" w:rsidRDefault="008262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4444F"/>
    <w:rsid w:val="000515C7"/>
    <w:rsid w:val="00053B85"/>
    <w:rsid w:val="0005402C"/>
    <w:rsid w:val="00057F4A"/>
    <w:rsid w:val="00065D59"/>
    <w:rsid w:val="0006621E"/>
    <w:rsid w:val="00066986"/>
    <w:rsid w:val="0006790B"/>
    <w:rsid w:val="00067C2E"/>
    <w:rsid w:val="000723FA"/>
    <w:rsid w:val="000761C0"/>
    <w:rsid w:val="0008427B"/>
    <w:rsid w:val="000902EE"/>
    <w:rsid w:val="0009284F"/>
    <w:rsid w:val="000A2451"/>
    <w:rsid w:val="000A36FC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4066"/>
    <w:rsid w:val="0011013E"/>
    <w:rsid w:val="001155CB"/>
    <w:rsid w:val="0012110E"/>
    <w:rsid w:val="0012461C"/>
    <w:rsid w:val="00124F3A"/>
    <w:rsid w:val="001264B6"/>
    <w:rsid w:val="001318A7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62BA"/>
    <w:rsid w:val="0017540A"/>
    <w:rsid w:val="0017760B"/>
    <w:rsid w:val="00180CFB"/>
    <w:rsid w:val="0018720B"/>
    <w:rsid w:val="001916B8"/>
    <w:rsid w:val="00191FE1"/>
    <w:rsid w:val="001A1A45"/>
    <w:rsid w:val="001A2153"/>
    <w:rsid w:val="001A2FBB"/>
    <w:rsid w:val="001B4A58"/>
    <w:rsid w:val="001D1712"/>
    <w:rsid w:val="001D5749"/>
    <w:rsid w:val="001F1D45"/>
    <w:rsid w:val="001F4A76"/>
    <w:rsid w:val="00205323"/>
    <w:rsid w:val="00206AF2"/>
    <w:rsid w:val="00206F9E"/>
    <w:rsid w:val="00212299"/>
    <w:rsid w:val="00227576"/>
    <w:rsid w:val="002311CC"/>
    <w:rsid w:val="00231244"/>
    <w:rsid w:val="002354DC"/>
    <w:rsid w:val="00244511"/>
    <w:rsid w:val="00256182"/>
    <w:rsid w:val="0026506D"/>
    <w:rsid w:val="00266BF8"/>
    <w:rsid w:val="00272D3C"/>
    <w:rsid w:val="00277061"/>
    <w:rsid w:val="00294B4B"/>
    <w:rsid w:val="00295BF0"/>
    <w:rsid w:val="002A06B4"/>
    <w:rsid w:val="002A545C"/>
    <w:rsid w:val="002B1776"/>
    <w:rsid w:val="002B4044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11B38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08E"/>
    <w:rsid w:val="00352AFA"/>
    <w:rsid w:val="00353843"/>
    <w:rsid w:val="003836A4"/>
    <w:rsid w:val="003841BA"/>
    <w:rsid w:val="00387DA5"/>
    <w:rsid w:val="003944D1"/>
    <w:rsid w:val="003B1A94"/>
    <w:rsid w:val="003B3648"/>
    <w:rsid w:val="003B68F2"/>
    <w:rsid w:val="003C0834"/>
    <w:rsid w:val="003C1936"/>
    <w:rsid w:val="003C20A9"/>
    <w:rsid w:val="003C2ACF"/>
    <w:rsid w:val="003C3833"/>
    <w:rsid w:val="003D021C"/>
    <w:rsid w:val="003E6E97"/>
    <w:rsid w:val="003F44B6"/>
    <w:rsid w:val="003F7CE2"/>
    <w:rsid w:val="00401C75"/>
    <w:rsid w:val="004159C6"/>
    <w:rsid w:val="00420E46"/>
    <w:rsid w:val="00434D2A"/>
    <w:rsid w:val="004376E3"/>
    <w:rsid w:val="00443956"/>
    <w:rsid w:val="00456861"/>
    <w:rsid w:val="00461748"/>
    <w:rsid w:val="004660E3"/>
    <w:rsid w:val="00466AD7"/>
    <w:rsid w:val="00470AE3"/>
    <w:rsid w:val="00471C2A"/>
    <w:rsid w:val="004728E1"/>
    <w:rsid w:val="00472F28"/>
    <w:rsid w:val="004743CF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501911"/>
    <w:rsid w:val="00515CB8"/>
    <w:rsid w:val="00522057"/>
    <w:rsid w:val="005232B9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56D44"/>
    <w:rsid w:val="0056118F"/>
    <w:rsid w:val="00571CC5"/>
    <w:rsid w:val="005749A9"/>
    <w:rsid w:val="00574F8B"/>
    <w:rsid w:val="005758E5"/>
    <w:rsid w:val="00583A30"/>
    <w:rsid w:val="0058541B"/>
    <w:rsid w:val="0058733C"/>
    <w:rsid w:val="0059791D"/>
    <w:rsid w:val="00597EC1"/>
    <w:rsid w:val="005A7E07"/>
    <w:rsid w:val="005D0EA3"/>
    <w:rsid w:val="005D298F"/>
    <w:rsid w:val="005D669C"/>
    <w:rsid w:val="005D7F4C"/>
    <w:rsid w:val="005F3F27"/>
    <w:rsid w:val="00600756"/>
    <w:rsid w:val="006011EB"/>
    <w:rsid w:val="00614FDE"/>
    <w:rsid w:val="00621754"/>
    <w:rsid w:val="006238FB"/>
    <w:rsid w:val="00633EEA"/>
    <w:rsid w:val="00635A69"/>
    <w:rsid w:val="00644A30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C3B0D"/>
    <w:rsid w:val="006D0812"/>
    <w:rsid w:val="006D47F7"/>
    <w:rsid w:val="006D648E"/>
    <w:rsid w:val="006D75B2"/>
    <w:rsid w:val="006E1263"/>
    <w:rsid w:val="006E22D3"/>
    <w:rsid w:val="006F7BD8"/>
    <w:rsid w:val="00701979"/>
    <w:rsid w:val="0070664E"/>
    <w:rsid w:val="00714424"/>
    <w:rsid w:val="007166E9"/>
    <w:rsid w:val="00720E93"/>
    <w:rsid w:val="00722527"/>
    <w:rsid w:val="00725957"/>
    <w:rsid w:val="00727178"/>
    <w:rsid w:val="00727E82"/>
    <w:rsid w:val="00732A26"/>
    <w:rsid w:val="007331FA"/>
    <w:rsid w:val="00734009"/>
    <w:rsid w:val="00736988"/>
    <w:rsid w:val="007415A2"/>
    <w:rsid w:val="00742E7D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02C29"/>
    <w:rsid w:val="008159FD"/>
    <w:rsid w:val="008262D7"/>
    <w:rsid w:val="00833958"/>
    <w:rsid w:val="00834BEC"/>
    <w:rsid w:val="00841BD1"/>
    <w:rsid w:val="00855190"/>
    <w:rsid w:val="00856AB4"/>
    <w:rsid w:val="00862F80"/>
    <w:rsid w:val="00863CE1"/>
    <w:rsid w:val="008704FE"/>
    <w:rsid w:val="00882E3F"/>
    <w:rsid w:val="008834E0"/>
    <w:rsid w:val="00884D8A"/>
    <w:rsid w:val="00885F07"/>
    <w:rsid w:val="00886907"/>
    <w:rsid w:val="008970CE"/>
    <w:rsid w:val="00897392"/>
    <w:rsid w:val="008A6E17"/>
    <w:rsid w:val="008B162F"/>
    <w:rsid w:val="008B3037"/>
    <w:rsid w:val="008B4EAD"/>
    <w:rsid w:val="008B53AC"/>
    <w:rsid w:val="008B66F2"/>
    <w:rsid w:val="008B6987"/>
    <w:rsid w:val="008B7249"/>
    <w:rsid w:val="008B7B5D"/>
    <w:rsid w:val="008C1571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14CFE"/>
    <w:rsid w:val="009417CD"/>
    <w:rsid w:val="0094533C"/>
    <w:rsid w:val="0095390B"/>
    <w:rsid w:val="00955C6D"/>
    <w:rsid w:val="009575BA"/>
    <w:rsid w:val="00960081"/>
    <w:rsid w:val="009612BE"/>
    <w:rsid w:val="00961A05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442"/>
    <w:rsid w:val="009E7BC4"/>
    <w:rsid w:val="009F49F6"/>
    <w:rsid w:val="009F77FB"/>
    <w:rsid w:val="00A0093B"/>
    <w:rsid w:val="00A0369A"/>
    <w:rsid w:val="00A10484"/>
    <w:rsid w:val="00A12DE2"/>
    <w:rsid w:val="00A140BD"/>
    <w:rsid w:val="00A171DB"/>
    <w:rsid w:val="00A1796B"/>
    <w:rsid w:val="00A24641"/>
    <w:rsid w:val="00A31208"/>
    <w:rsid w:val="00A34F44"/>
    <w:rsid w:val="00A35447"/>
    <w:rsid w:val="00A35DD0"/>
    <w:rsid w:val="00A4021D"/>
    <w:rsid w:val="00A41B0A"/>
    <w:rsid w:val="00A46305"/>
    <w:rsid w:val="00A4708E"/>
    <w:rsid w:val="00A47D19"/>
    <w:rsid w:val="00A71787"/>
    <w:rsid w:val="00A74383"/>
    <w:rsid w:val="00A965DF"/>
    <w:rsid w:val="00A97571"/>
    <w:rsid w:val="00AA4F00"/>
    <w:rsid w:val="00AA746E"/>
    <w:rsid w:val="00AB0C2C"/>
    <w:rsid w:val="00AB556F"/>
    <w:rsid w:val="00AB5F58"/>
    <w:rsid w:val="00AB67BC"/>
    <w:rsid w:val="00AC597D"/>
    <w:rsid w:val="00AC62AC"/>
    <w:rsid w:val="00AE287A"/>
    <w:rsid w:val="00AE4FCE"/>
    <w:rsid w:val="00AE6245"/>
    <w:rsid w:val="00AF0D8C"/>
    <w:rsid w:val="00AF5BD4"/>
    <w:rsid w:val="00B0488D"/>
    <w:rsid w:val="00B10D25"/>
    <w:rsid w:val="00B11DA5"/>
    <w:rsid w:val="00B13ECF"/>
    <w:rsid w:val="00B155BF"/>
    <w:rsid w:val="00B16E7A"/>
    <w:rsid w:val="00B23F5E"/>
    <w:rsid w:val="00B25811"/>
    <w:rsid w:val="00B264D5"/>
    <w:rsid w:val="00B32990"/>
    <w:rsid w:val="00B4715B"/>
    <w:rsid w:val="00B472C6"/>
    <w:rsid w:val="00B52342"/>
    <w:rsid w:val="00B77728"/>
    <w:rsid w:val="00B800F7"/>
    <w:rsid w:val="00B8278F"/>
    <w:rsid w:val="00B87AA5"/>
    <w:rsid w:val="00B91634"/>
    <w:rsid w:val="00B93B00"/>
    <w:rsid w:val="00B95752"/>
    <w:rsid w:val="00B96A94"/>
    <w:rsid w:val="00B977B2"/>
    <w:rsid w:val="00BA064B"/>
    <w:rsid w:val="00BA0E50"/>
    <w:rsid w:val="00BA3C58"/>
    <w:rsid w:val="00BC76A3"/>
    <w:rsid w:val="00BD1258"/>
    <w:rsid w:val="00BD13EF"/>
    <w:rsid w:val="00BD24A2"/>
    <w:rsid w:val="00BD6B09"/>
    <w:rsid w:val="00BE46FD"/>
    <w:rsid w:val="00BE51E5"/>
    <w:rsid w:val="00BE7C84"/>
    <w:rsid w:val="00BF0385"/>
    <w:rsid w:val="00BF0CE9"/>
    <w:rsid w:val="00C22074"/>
    <w:rsid w:val="00C25A0A"/>
    <w:rsid w:val="00C33E42"/>
    <w:rsid w:val="00C3562A"/>
    <w:rsid w:val="00C458F5"/>
    <w:rsid w:val="00C57657"/>
    <w:rsid w:val="00C62A71"/>
    <w:rsid w:val="00C655C3"/>
    <w:rsid w:val="00C70A0F"/>
    <w:rsid w:val="00C7770C"/>
    <w:rsid w:val="00C92AAA"/>
    <w:rsid w:val="00C93021"/>
    <w:rsid w:val="00C97AC7"/>
    <w:rsid w:val="00CA70F9"/>
    <w:rsid w:val="00CB0F99"/>
    <w:rsid w:val="00CB3A5E"/>
    <w:rsid w:val="00CB60D5"/>
    <w:rsid w:val="00CD6709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0B65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28DA"/>
    <w:rsid w:val="00DC3ACB"/>
    <w:rsid w:val="00DC6980"/>
    <w:rsid w:val="00DD0701"/>
    <w:rsid w:val="00DD0892"/>
    <w:rsid w:val="00DD1390"/>
    <w:rsid w:val="00DD6270"/>
    <w:rsid w:val="00DE34B0"/>
    <w:rsid w:val="00DF2E12"/>
    <w:rsid w:val="00E0420F"/>
    <w:rsid w:val="00E060EE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472E"/>
    <w:rsid w:val="00E478FB"/>
    <w:rsid w:val="00E50F8B"/>
    <w:rsid w:val="00E5456F"/>
    <w:rsid w:val="00E579D8"/>
    <w:rsid w:val="00E71EF0"/>
    <w:rsid w:val="00E7242C"/>
    <w:rsid w:val="00E73F89"/>
    <w:rsid w:val="00E86FC9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08334A"/>
  <w15:docId w15:val="{137A79D4-FDEA-4A3F-A01D-25B0E62A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boyle@p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2550-85EA-4EDA-878C-5E12190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 Letterhead Template</vt:lpstr>
    </vt:vector>
  </TitlesOfParts>
  <Company>Pennsylvania Public Utility Commission</Company>
  <LinksUpToDate>false</LinksUpToDate>
  <CharactersWithSpaces>1579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 Letterhead Template</dc:title>
  <dc:subject>Letterhead Template (Secretarial and other)</dc:subject>
  <dc:creator>Derek Vogelsong</dc:creator>
  <cp:lastModifiedBy>Sheffer, Ryan</cp:lastModifiedBy>
  <cp:revision>14</cp:revision>
  <cp:lastPrinted>2016-08-03T12:49:00Z</cp:lastPrinted>
  <dcterms:created xsi:type="dcterms:W3CDTF">2022-01-07T21:20:00Z</dcterms:created>
  <dcterms:modified xsi:type="dcterms:W3CDTF">2022-01-14T12:22:00Z</dcterms:modified>
</cp:coreProperties>
</file>