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Layout w:type="fixed"/>
        <w:tblLook w:val="0000" w:firstRow="0" w:lastRow="0" w:firstColumn="0" w:lastColumn="0" w:noHBand="0" w:noVBand="0"/>
      </w:tblPr>
      <w:tblGrid>
        <w:gridCol w:w="2448"/>
        <w:gridCol w:w="7470"/>
      </w:tblGrid>
      <w:tr w:rsidR="00BF4F21" w:rsidTr="00C0738C">
        <w:trPr>
          <w:trHeight w:val="1170"/>
        </w:trPr>
        <w:tc>
          <w:tcPr>
            <w:tcW w:w="2448" w:type="dxa"/>
          </w:tcPr>
          <w:p w:rsidR="00BF4F21" w:rsidRPr="00832B90" w:rsidRDefault="00BF4F21">
            <w:pPr>
              <w:rPr>
                <w:sz w:val="18"/>
              </w:rPr>
            </w:pPr>
            <w:bookmarkStart w:id="0" w:name="_GoBack"/>
            <w:bookmarkEnd w:id="0"/>
            <w:r>
              <w:rPr>
                <w:noProof/>
                <w:sz w:val="18"/>
              </w:rPr>
              <w:drawing>
                <wp:inline distT="0" distB="0" distL="0" distR="0" wp14:anchorId="0E5E99C4" wp14:editId="5E3DA3C8">
                  <wp:extent cx="1417320" cy="1351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320" cy="1351915"/>
                          </a:xfrm>
                          <a:prstGeom prst="rect">
                            <a:avLst/>
                          </a:prstGeom>
                          <a:noFill/>
                          <a:ln>
                            <a:noFill/>
                          </a:ln>
                        </pic:spPr>
                      </pic:pic>
                    </a:graphicData>
                  </a:graphic>
                </wp:inline>
              </w:drawing>
            </w:r>
          </w:p>
        </w:tc>
        <w:tc>
          <w:tcPr>
            <w:tcW w:w="7470" w:type="dxa"/>
          </w:tcPr>
          <w:p w:rsidR="00BF4F21" w:rsidRDefault="00BF4F21">
            <w:pPr>
              <w:suppressAutoHyphens/>
              <w:spacing w:line="204" w:lineRule="auto"/>
              <w:jc w:val="center"/>
              <w:rPr>
                <w:rFonts w:ascii="Arial" w:hAnsi="Arial"/>
                <w:spacing w:val="-3"/>
                <w:sz w:val="20"/>
              </w:rPr>
            </w:pPr>
          </w:p>
          <w:p w:rsidR="00BF4F21" w:rsidRPr="00C0738C" w:rsidRDefault="00BF4F21">
            <w:pPr>
              <w:suppressAutoHyphens/>
              <w:spacing w:line="204" w:lineRule="auto"/>
              <w:jc w:val="center"/>
              <w:rPr>
                <w:b/>
                <w:spacing w:val="-3"/>
                <w:sz w:val="28"/>
                <w:szCs w:val="28"/>
              </w:rPr>
            </w:pPr>
            <w:r w:rsidRPr="00C0738C">
              <w:rPr>
                <w:b/>
                <w:spacing w:val="-3"/>
                <w:sz w:val="28"/>
                <w:szCs w:val="28"/>
              </w:rPr>
              <w:t>COMMONWEALTH OF PENNSYLVANIA</w:t>
            </w:r>
            <w:r w:rsidRPr="00C0738C">
              <w:rPr>
                <w:b/>
                <w:spacing w:val="-3"/>
                <w:sz w:val="28"/>
                <w:szCs w:val="28"/>
              </w:rPr>
              <w:fldChar w:fldCharType="begin"/>
            </w:r>
            <w:r w:rsidRPr="00C0738C">
              <w:rPr>
                <w:b/>
                <w:spacing w:val="-3"/>
                <w:sz w:val="28"/>
                <w:szCs w:val="28"/>
              </w:rPr>
              <w:instrText xml:space="preserve">PRIVATE </w:instrText>
            </w:r>
            <w:r w:rsidRPr="00C0738C">
              <w:rPr>
                <w:b/>
                <w:spacing w:val="-3"/>
                <w:sz w:val="28"/>
                <w:szCs w:val="28"/>
              </w:rPr>
              <w:fldChar w:fldCharType="end"/>
            </w:r>
          </w:p>
          <w:p w:rsidR="00BF4F21" w:rsidRPr="00C0738C" w:rsidRDefault="00BF4F21">
            <w:pPr>
              <w:suppressAutoHyphens/>
              <w:spacing w:line="204" w:lineRule="auto"/>
              <w:jc w:val="center"/>
              <w:rPr>
                <w:b/>
                <w:spacing w:val="-3"/>
                <w:sz w:val="28"/>
                <w:szCs w:val="28"/>
              </w:rPr>
            </w:pPr>
            <w:r w:rsidRPr="00C0738C">
              <w:rPr>
                <w:b/>
                <w:spacing w:val="-3"/>
                <w:sz w:val="28"/>
                <w:szCs w:val="28"/>
              </w:rPr>
              <w:t>PENNSYLVANIA PUBLIC UTILITY COMMISSION</w:t>
            </w:r>
          </w:p>
          <w:p w:rsidR="00BF4F21" w:rsidRPr="00C0738C" w:rsidRDefault="00BF4F21">
            <w:pPr>
              <w:jc w:val="center"/>
              <w:rPr>
                <w:rFonts w:ascii="Arial" w:hAnsi="Arial"/>
                <w:sz w:val="28"/>
                <w:szCs w:val="28"/>
              </w:rPr>
            </w:pPr>
            <w:r w:rsidRPr="00C0738C">
              <w:rPr>
                <w:b/>
                <w:spacing w:val="-3"/>
                <w:sz w:val="28"/>
                <w:szCs w:val="28"/>
              </w:rPr>
              <w:t>PO BOX 3265, HARRISBURG, PA 17105-3265</w:t>
            </w:r>
          </w:p>
          <w:p w:rsidR="00BF4F21" w:rsidRDefault="00BF4F21">
            <w:pPr>
              <w:rPr>
                <w:rFonts w:ascii="Arial" w:hAnsi="Arial"/>
                <w:sz w:val="9"/>
              </w:rPr>
            </w:pPr>
          </w:p>
          <w:p w:rsidR="00BF4F21" w:rsidRDefault="00BF4F21">
            <w:pPr>
              <w:rPr>
                <w:rFonts w:ascii="Arial" w:hAnsi="Arial"/>
                <w:sz w:val="9"/>
              </w:rPr>
            </w:pPr>
          </w:p>
          <w:p w:rsidR="00BF4F21" w:rsidRDefault="00BF4F21">
            <w:pPr>
              <w:rPr>
                <w:rFonts w:ascii="Arial" w:hAnsi="Arial"/>
                <w:sz w:val="9"/>
              </w:rPr>
            </w:pPr>
          </w:p>
          <w:p w:rsidR="00BF4F21" w:rsidRDefault="00BF4F21">
            <w:pPr>
              <w:rPr>
                <w:rFonts w:ascii="Arial" w:hAnsi="Arial"/>
                <w:sz w:val="9"/>
              </w:rPr>
            </w:pPr>
          </w:p>
          <w:p w:rsidR="00BF4F21" w:rsidRDefault="00BF4F21">
            <w:pPr>
              <w:rPr>
                <w:rFonts w:ascii="Arial" w:hAnsi="Arial"/>
                <w:sz w:val="9"/>
              </w:rPr>
            </w:pPr>
          </w:p>
          <w:p w:rsidR="00BF4F21" w:rsidRDefault="00BF4F21">
            <w:pPr>
              <w:jc w:val="right"/>
              <w:rPr>
                <w:rFonts w:ascii="Arial" w:hAnsi="Arial"/>
                <w:b/>
                <w:spacing w:val="-1"/>
                <w:sz w:val="9"/>
              </w:rPr>
            </w:pPr>
          </w:p>
          <w:p w:rsidR="00BF4F21" w:rsidRDefault="00BF4F21">
            <w:pPr>
              <w:jc w:val="right"/>
              <w:rPr>
                <w:rFonts w:ascii="Arial" w:hAnsi="Arial"/>
                <w:b/>
                <w:spacing w:val="-1"/>
                <w:sz w:val="9"/>
              </w:rPr>
            </w:pPr>
          </w:p>
          <w:p w:rsidR="00BF4F21" w:rsidRDefault="00BF4F21">
            <w:pPr>
              <w:jc w:val="right"/>
              <w:rPr>
                <w:rFonts w:ascii="Arial" w:hAnsi="Arial"/>
                <w:b/>
                <w:spacing w:val="-1"/>
                <w:sz w:val="9"/>
              </w:rPr>
            </w:pPr>
          </w:p>
          <w:p w:rsidR="00BF4F21" w:rsidRDefault="00BF4F21">
            <w:pPr>
              <w:jc w:val="right"/>
              <w:rPr>
                <w:rFonts w:ascii="Arial" w:hAnsi="Arial"/>
                <w:b/>
                <w:spacing w:val="-1"/>
                <w:sz w:val="9"/>
              </w:rPr>
            </w:pPr>
          </w:p>
          <w:p w:rsidR="00BF4F21" w:rsidRDefault="00BF4F21">
            <w:pPr>
              <w:jc w:val="right"/>
              <w:rPr>
                <w:rFonts w:ascii="Arial" w:hAnsi="Arial"/>
                <w:b/>
                <w:spacing w:val="-1"/>
                <w:sz w:val="9"/>
              </w:rPr>
            </w:pPr>
          </w:p>
          <w:p w:rsidR="00BF4F21" w:rsidRDefault="00BF4F21">
            <w:pPr>
              <w:jc w:val="right"/>
              <w:rPr>
                <w:rFonts w:ascii="Arial" w:hAnsi="Arial"/>
                <w:b/>
                <w:spacing w:val="-1"/>
                <w:sz w:val="9"/>
              </w:rPr>
            </w:pPr>
          </w:p>
          <w:p w:rsidR="00BF4F21" w:rsidRDefault="00BF4F21">
            <w:pPr>
              <w:jc w:val="right"/>
              <w:rPr>
                <w:rFonts w:ascii="Arial" w:hAnsi="Arial"/>
                <w:sz w:val="9"/>
              </w:rPr>
            </w:pPr>
          </w:p>
        </w:tc>
      </w:tr>
    </w:tbl>
    <w:p w:rsidR="00832B90" w:rsidRDefault="00832B90" w:rsidP="00A57A7E">
      <w:pPr>
        <w:ind w:left="720" w:hanging="720"/>
        <w:rPr>
          <w:b/>
          <w:sz w:val="24"/>
        </w:rPr>
      </w:pPr>
    </w:p>
    <w:p w:rsidR="00832B90" w:rsidRDefault="00832B90" w:rsidP="00A57A7E">
      <w:pPr>
        <w:ind w:left="720" w:hanging="720"/>
        <w:rPr>
          <w:b/>
          <w:sz w:val="24"/>
        </w:rPr>
      </w:pPr>
    </w:p>
    <w:p w:rsidR="004B1375" w:rsidRDefault="004D4FC9" w:rsidP="00A57A7E">
      <w:pPr>
        <w:ind w:left="720" w:hanging="720"/>
        <w:rPr>
          <w:b/>
          <w:sz w:val="24"/>
        </w:rPr>
      </w:pPr>
      <w:r w:rsidRPr="00A57A7E">
        <w:rPr>
          <w:b/>
          <w:sz w:val="24"/>
        </w:rPr>
        <w:t>Re:</w:t>
      </w:r>
      <w:r w:rsidRPr="00A57A7E">
        <w:rPr>
          <w:b/>
          <w:sz w:val="24"/>
        </w:rPr>
        <w:tab/>
        <w:t>Applications for Telecommunication</w:t>
      </w:r>
      <w:r w:rsidR="00A77388">
        <w:rPr>
          <w:b/>
          <w:sz w:val="24"/>
        </w:rPr>
        <w:t>s</w:t>
      </w:r>
      <w:r w:rsidRPr="00A57A7E">
        <w:rPr>
          <w:b/>
          <w:sz w:val="24"/>
        </w:rPr>
        <w:t xml:space="preserve"> Authority within the Commonwealth of Pennsylvania</w:t>
      </w:r>
      <w:r w:rsidR="004B1375">
        <w:rPr>
          <w:b/>
          <w:sz w:val="24"/>
        </w:rPr>
        <w:t xml:space="preserve"> for</w:t>
      </w:r>
      <w:r w:rsidR="00A77388">
        <w:rPr>
          <w:b/>
          <w:sz w:val="24"/>
        </w:rPr>
        <w:t>:</w:t>
      </w:r>
      <w:r w:rsidR="004B1375">
        <w:rPr>
          <w:b/>
          <w:sz w:val="24"/>
        </w:rPr>
        <w:t xml:space="preserve"> </w:t>
      </w:r>
    </w:p>
    <w:p w:rsidR="004B1375" w:rsidRDefault="004B1375" w:rsidP="00A57A7E">
      <w:pPr>
        <w:ind w:left="720" w:hanging="720"/>
        <w:rPr>
          <w:b/>
          <w:sz w:val="24"/>
        </w:rPr>
      </w:pPr>
      <w:r>
        <w:rPr>
          <w:b/>
          <w:sz w:val="24"/>
        </w:rPr>
        <w:tab/>
      </w:r>
      <w:r>
        <w:rPr>
          <w:b/>
          <w:sz w:val="24"/>
        </w:rPr>
        <w:tab/>
        <w:t xml:space="preserve">CLEC (Competitive Local Exchange Carrier), </w:t>
      </w:r>
    </w:p>
    <w:p w:rsidR="004B1375" w:rsidRDefault="004B1375" w:rsidP="00A57A7E">
      <w:pPr>
        <w:ind w:left="720" w:hanging="720"/>
        <w:rPr>
          <w:b/>
          <w:sz w:val="24"/>
        </w:rPr>
      </w:pPr>
      <w:r>
        <w:rPr>
          <w:b/>
          <w:sz w:val="24"/>
        </w:rPr>
        <w:tab/>
      </w:r>
      <w:r>
        <w:rPr>
          <w:b/>
          <w:sz w:val="24"/>
        </w:rPr>
        <w:tab/>
        <w:t xml:space="preserve">IXC Reseller (Interexchange Carrier Reseller), </w:t>
      </w:r>
    </w:p>
    <w:p w:rsidR="004B1375" w:rsidRDefault="004B1375" w:rsidP="00A57A7E">
      <w:pPr>
        <w:ind w:left="720" w:hanging="720"/>
        <w:rPr>
          <w:b/>
          <w:sz w:val="24"/>
        </w:rPr>
      </w:pPr>
      <w:r>
        <w:rPr>
          <w:b/>
          <w:sz w:val="24"/>
        </w:rPr>
        <w:tab/>
      </w:r>
      <w:r>
        <w:rPr>
          <w:b/>
          <w:sz w:val="24"/>
        </w:rPr>
        <w:tab/>
        <w:t xml:space="preserve">IXC Facilities-based (Interexchange Carrier Facilities-Based), or </w:t>
      </w:r>
    </w:p>
    <w:p w:rsidR="004D4FC9" w:rsidRPr="00A57A7E" w:rsidRDefault="004B1375" w:rsidP="00A57A7E">
      <w:pPr>
        <w:ind w:left="720" w:hanging="720"/>
        <w:rPr>
          <w:b/>
          <w:sz w:val="24"/>
        </w:rPr>
      </w:pPr>
      <w:r>
        <w:rPr>
          <w:b/>
          <w:sz w:val="24"/>
        </w:rPr>
        <w:tab/>
      </w:r>
      <w:r>
        <w:rPr>
          <w:b/>
          <w:sz w:val="24"/>
        </w:rPr>
        <w:tab/>
        <w:t>CAP (Competitive Access Provider)</w:t>
      </w:r>
    </w:p>
    <w:p w:rsidR="004D4FC9" w:rsidRDefault="004D4FC9">
      <w:pPr>
        <w:rPr>
          <w:sz w:val="24"/>
        </w:rPr>
      </w:pPr>
    </w:p>
    <w:p w:rsidR="004D4FC9" w:rsidRDefault="004D4FC9">
      <w:pPr>
        <w:rPr>
          <w:sz w:val="24"/>
        </w:rPr>
      </w:pPr>
      <w:r>
        <w:rPr>
          <w:sz w:val="24"/>
        </w:rPr>
        <w:t>Dear Applicant:</w:t>
      </w:r>
    </w:p>
    <w:p w:rsidR="004D4FC9" w:rsidRDefault="004D4FC9">
      <w:pPr>
        <w:rPr>
          <w:sz w:val="24"/>
        </w:rPr>
      </w:pPr>
    </w:p>
    <w:p w:rsidR="004D4FC9" w:rsidRDefault="004D4FC9">
      <w:pPr>
        <w:rPr>
          <w:sz w:val="24"/>
        </w:rPr>
      </w:pPr>
      <w:r>
        <w:rPr>
          <w:sz w:val="24"/>
        </w:rPr>
        <w:t xml:space="preserve">Enclosed, please find application form, PUC-377, adopted by the Pennsylvania Public Utility Commission on </w:t>
      </w:r>
      <w:smartTag w:uri="urn:schemas-microsoft-com:office:smarttags" w:element="date">
        <w:smartTagPr>
          <w:attr w:name="Year" w:val="1996"/>
          <w:attr w:name="Day" w:val="7"/>
          <w:attr w:name="Month" w:val="9"/>
        </w:smartTagPr>
        <w:r>
          <w:rPr>
            <w:sz w:val="24"/>
          </w:rPr>
          <w:t>September 7, 1996</w:t>
        </w:r>
      </w:smartTag>
      <w:r>
        <w:rPr>
          <w:sz w:val="24"/>
        </w:rPr>
        <w:t xml:space="preserve">, by the Implementation Reconsideration Order in Docket No. M-0090799, </w:t>
      </w:r>
      <w:r>
        <w:rPr>
          <w:i/>
          <w:sz w:val="24"/>
        </w:rPr>
        <w:t>In re:  Implementation of the Telecommunications Act of 1996 (TA</w:t>
      </w:r>
      <w:r>
        <w:rPr>
          <w:i/>
          <w:sz w:val="24"/>
        </w:rPr>
        <w:noBreakHyphen/>
        <w:t>96)</w:t>
      </w:r>
      <w:r>
        <w:rPr>
          <w:sz w:val="24"/>
        </w:rPr>
        <w:t>.  Additionally, we have included the minimum information required for evaluation of financial fitness and for tariff sufficiency.</w:t>
      </w:r>
    </w:p>
    <w:p w:rsidR="004D4FC9" w:rsidRDefault="004D4FC9">
      <w:pPr>
        <w:rPr>
          <w:sz w:val="24"/>
        </w:rPr>
      </w:pPr>
    </w:p>
    <w:p w:rsidR="00E32E1B" w:rsidRDefault="004D4FC9" w:rsidP="00C0738C">
      <w:pPr>
        <w:ind w:left="720" w:hanging="720"/>
        <w:rPr>
          <w:sz w:val="24"/>
        </w:rPr>
      </w:pPr>
      <w:r>
        <w:rPr>
          <w:sz w:val="24"/>
        </w:rPr>
        <w:t>*</w:t>
      </w:r>
      <w:r>
        <w:rPr>
          <w:sz w:val="24"/>
        </w:rPr>
        <w:tab/>
      </w:r>
      <w:r w:rsidRPr="00E32E1B">
        <w:rPr>
          <w:sz w:val="24"/>
        </w:rPr>
        <w:t xml:space="preserve">An application may be </w:t>
      </w:r>
      <w:r w:rsidR="00BA61A5" w:rsidRPr="00E32E1B">
        <w:rPr>
          <w:sz w:val="24"/>
        </w:rPr>
        <w:t>e-</w:t>
      </w:r>
      <w:r w:rsidRPr="00E32E1B">
        <w:rPr>
          <w:sz w:val="24"/>
        </w:rPr>
        <w:t>filed</w:t>
      </w:r>
      <w:r w:rsidR="00BA61A5" w:rsidRPr="00E32E1B">
        <w:rPr>
          <w:sz w:val="24"/>
        </w:rPr>
        <w:t xml:space="preserve"> or filed in hard copy.  </w:t>
      </w:r>
      <w:r w:rsidR="00E32E1B" w:rsidRPr="00E32E1B">
        <w:rPr>
          <w:sz w:val="24"/>
        </w:rPr>
        <w:t>To file a hard copy</w:t>
      </w:r>
      <w:r w:rsidR="00E32E1B">
        <w:rPr>
          <w:sz w:val="24"/>
        </w:rPr>
        <w:t>,</w:t>
      </w:r>
      <w:r w:rsidR="0078639F" w:rsidRPr="00E32E1B">
        <w:rPr>
          <w:sz w:val="24"/>
        </w:rPr>
        <w:t xml:space="preserve"> </w:t>
      </w:r>
      <w:r w:rsidR="0078639F" w:rsidRPr="00C0738C">
        <w:rPr>
          <w:bCs/>
          <w:sz w:val="24"/>
        </w:rPr>
        <w:t>file a signed</w:t>
      </w:r>
      <w:r w:rsidR="00E32E1B" w:rsidRPr="00C0738C">
        <w:rPr>
          <w:bCs/>
          <w:sz w:val="24"/>
        </w:rPr>
        <w:t xml:space="preserve"> o</w:t>
      </w:r>
      <w:r w:rsidR="0078639F" w:rsidRPr="00C0738C">
        <w:rPr>
          <w:bCs/>
          <w:sz w:val="24"/>
        </w:rPr>
        <w:t>riginal</w:t>
      </w:r>
      <w:r w:rsidR="00E32E1B" w:rsidRPr="00C0738C">
        <w:rPr>
          <w:bCs/>
          <w:sz w:val="24"/>
        </w:rPr>
        <w:t xml:space="preserve"> </w:t>
      </w:r>
      <w:r w:rsidR="0078639F" w:rsidRPr="00C0738C">
        <w:rPr>
          <w:bCs/>
          <w:sz w:val="24"/>
        </w:rPr>
        <w:t xml:space="preserve">version </w:t>
      </w:r>
      <w:r w:rsidR="0078639F" w:rsidRPr="00E32E1B">
        <w:rPr>
          <w:sz w:val="24"/>
        </w:rPr>
        <w:t>of your entire application with the</w:t>
      </w:r>
      <w:r w:rsidR="00820027">
        <w:rPr>
          <w:sz w:val="24"/>
        </w:rPr>
        <w:t xml:space="preserve"> Commission’s Secretary's Bureau</w:t>
      </w:r>
      <w:r w:rsidR="00E32E1B" w:rsidRPr="00E32E1B">
        <w:rPr>
          <w:sz w:val="24"/>
        </w:rPr>
        <w:t xml:space="preserve"> at:</w:t>
      </w:r>
    </w:p>
    <w:p w:rsidR="00E32E1B" w:rsidRDefault="00E32E1B" w:rsidP="00C0738C">
      <w:pPr>
        <w:ind w:left="720" w:hanging="720"/>
        <w:rPr>
          <w:sz w:val="24"/>
        </w:rPr>
      </w:pPr>
    </w:p>
    <w:p w:rsidR="00E32E1B" w:rsidRPr="009E3871" w:rsidRDefault="00E32E1B" w:rsidP="00C0738C">
      <w:pPr>
        <w:ind w:left="720" w:hanging="720"/>
        <w:rPr>
          <w:szCs w:val="24"/>
        </w:rPr>
      </w:pPr>
      <w:r>
        <w:rPr>
          <w:sz w:val="24"/>
        </w:rPr>
        <w:tab/>
      </w:r>
      <w:r>
        <w:rPr>
          <w:sz w:val="24"/>
        </w:rPr>
        <w:tab/>
      </w:r>
      <w:r>
        <w:rPr>
          <w:sz w:val="24"/>
        </w:rPr>
        <w:tab/>
      </w:r>
      <w:r w:rsidRPr="00C0738C">
        <w:rPr>
          <w:sz w:val="24"/>
          <w:szCs w:val="24"/>
        </w:rPr>
        <w:t>Secretary</w:t>
      </w:r>
    </w:p>
    <w:p w:rsidR="00E32E1B" w:rsidRPr="009E3871" w:rsidRDefault="00E32E1B" w:rsidP="00C0738C">
      <w:pPr>
        <w:ind w:left="720" w:hanging="720"/>
        <w:rPr>
          <w:sz w:val="24"/>
          <w:szCs w:val="24"/>
        </w:rPr>
      </w:pPr>
      <w:r w:rsidRPr="00C0738C">
        <w:rPr>
          <w:sz w:val="24"/>
          <w:szCs w:val="24"/>
        </w:rPr>
        <w:tab/>
      </w:r>
      <w:r w:rsidRPr="00C0738C">
        <w:rPr>
          <w:sz w:val="24"/>
          <w:szCs w:val="24"/>
        </w:rPr>
        <w:tab/>
      </w:r>
      <w:r w:rsidRPr="00C0738C">
        <w:rPr>
          <w:sz w:val="24"/>
          <w:szCs w:val="24"/>
        </w:rPr>
        <w:tab/>
        <w:t>Pa. Public Utility Commission</w:t>
      </w:r>
      <w:r w:rsidRPr="009E3871">
        <w:rPr>
          <w:sz w:val="24"/>
          <w:szCs w:val="24"/>
        </w:rPr>
        <w:tab/>
      </w:r>
      <w:r w:rsidRPr="009E3871">
        <w:rPr>
          <w:sz w:val="24"/>
          <w:szCs w:val="24"/>
        </w:rPr>
        <w:tab/>
      </w:r>
      <w:r w:rsidRPr="009E3871">
        <w:rPr>
          <w:sz w:val="24"/>
          <w:szCs w:val="24"/>
        </w:rPr>
        <w:tab/>
      </w:r>
      <w:r w:rsidRPr="009E3871">
        <w:rPr>
          <w:sz w:val="24"/>
          <w:szCs w:val="24"/>
        </w:rPr>
        <w:tab/>
      </w:r>
      <w:r w:rsidRPr="009E3871">
        <w:rPr>
          <w:sz w:val="24"/>
          <w:szCs w:val="24"/>
        </w:rPr>
        <w:tab/>
      </w:r>
      <w:r w:rsidRPr="009E3871">
        <w:rPr>
          <w:sz w:val="24"/>
          <w:szCs w:val="24"/>
        </w:rPr>
        <w:tab/>
      </w:r>
      <w:r w:rsidRPr="009E3871">
        <w:rPr>
          <w:sz w:val="24"/>
          <w:szCs w:val="24"/>
        </w:rPr>
        <w:tab/>
      </w:r>
      <w:r w:rsidRPr="00C0738C">
        <w:rPr>
          <w:sz w:val="24"/>
          <w:szCs w:val="24"/>
        </w:rPr>
        <w:t>Commonwealth Keystone Building</w:t>
      </w:r>
      <w:r w:rsidRPr="00C0738C">
        <w:rPr>
          <w:sz w:val="24"/>
          <w:szCs w:val="24"/>
        </w:rPr>
        <w:tab/>
      </w:r>
      <w:r w:rsidRPr="00C0738C">
        <w:rPr>
          <w:sz w:val="24"/>
          <w:szCs w:val="24"/>
        </w:rPr>
        <w:tab/>
      </w:r>
      <w:r w:rsidRPr="00C0738C">
        <w:rPr>
          <w:sz w:val="24"/>
          <w:szCs w:val="24"/>
        </w:rPr>
        <w:tab/>
      </w:r>
      <w:r w:rsidRPr="00C0738C">
        <w:rPr>
          <w:sz w:val="24"/>
          <w:szCs w:val="24"/>
        </w:rPr>
        <w:tab/>
      </w:r>
      <w:r w:rsidRPr="00C0738C">
        <w:rPr>
          <w:sz w:val="24"/>
          <w:szCs w:val="24"/>
        </w:rPr>
        <w:tab/>
      </w:r>
      <w:r w:rsidRPr="00C0738C">
        <w:rPr>
          <w:sz w:val="24"/>
          <w:szCs w:val="24"/>
        </w:rPr>
        <w:tab/>
      </w:r>
      <w:r>
        <w:rPr>
          <w:sz w:val="24"/>
          <w:szCs w:val="24"/>
        </w:rPr>
        <w:tab/>
      </w:r>
      <w:r w:rsidRPr="009E3871">
        <w:rPr>
          <w:sz w:val="24"/>
          <w:szCs w:val="24"/>
        </w:rPr>
        <w:t>Second Floor - Room N201</w:t>
      </w:r>
    </w:p>
    <w:p w:rsidR="00E32E1B" w:rsidRPr="00C0738C" w:rsidRDefault="00E32E1B" w:rsidP="00C0738C">
      <w:pPr>
        <w:ind w:left="720" w:hanging="720"/>
        <w:rPr>
          <w:sz w:val="24"/>
          <w:szCs w:val="24"/>
        </w:rPr>
      </w:pPr>
      <w:r w:rsidRPr="009E3871">
        <w:rPr>
          <w:sz w:val="24"/>
          <w:szCs w:val="24"/>
        </w:rPr>
        <w:tab/>
      </w:r>
      <w:r w:rsidRPr="009E3871">
        <w:rPr>
          <w:sz w:val="24"/>
          <w:szCs w:val="24"/>
        </w:rPr>
        <w:tab/>
      </w:r>
      <w:r w:rsidRPr="009E3871">
        <w:rPr>
          <w:sz w:val="24"/>
          <w:szCs w:val="24"/>
        </w:rPr>
        <w:tab/>
      </w:r>
      <w:r w:rsidRPr="00C0738C">
        <w:rPr>
          <w:sz w:val="24"/>
          <w:szCs w:val="24"/>
        </w:rPr>
        <w:t>Harrisburg, PA  17120</w:t>
      </w:r>
    </w:p>
    <w:p w:rsidR="00E32E1B" w:rsidRPr="0078639F" w:rsidRDefault="00E32E1B" w:rsidP="00C0738C">
      <w:pPr>
        <w:rPr>
          <w:b/>
          <w:bCs/>
          <w:sz w:val="24"/>
        </w:rPr>
      </w:pPr>
    </w:p>
    <w:p w:rsidR="0078639F" w:rsidRPr="00E32E1B" w:rsidRDefault="00E32E1B" w:rsidP="00C0738C">
      <w:pPr>
        <w:rPr>
          <w:sz w:val="24"/>
        </w:rPr>
      </w:pPr>
      <w:r>
        <w:rPr>
          <w:sz w:val="24"/>
        </w:rPr>
        <w:tab/>
      </w:r>
      <w:r w:rsidR="0078639F" w:rsidRPr="0078639F">
        <w:rPr>
          <w:sz w:val="24"/>
        </w:rPr>
        <w:t xml:space="preserve">To file an electronic version of the application, visit the Commission’s e-filing </w:t>
      </w:r>
      <w:r>
        <w:rPr>
          <w:sz w:val="24"/>
        </w:rPr>
        <w:tab/>
      </w:r>
      <w:r w:rsidR="0078639F" w:rsidRPr="0078639F">
        <w:rPr>
          <w:sz w:val="24"/>
        </w:rPr>
        <w:t>page and follow the instructions.</w:t>
      </w:r>
      <w:r>
        <w:rPr>
          <w:sz w:val="24"/>
        </w:rPr>
        <w:t xml:space="preserve">  </w:t>
      </w:r>
      <w:r w:rsidR="0078639F" w:rsidRPr="0078639F">
        <w:rPr>
          <w:sz w:val="24"/>
        </w:rPr>
        <w:t>The page is located at</w:t>
      </w:r>
      <w:r>
        <w:rPr>
          <w:sz w:val="24"/>
        </w:rPr>
        <w:t xml:space="preserve">:  </w:t>
      </w:r>
      <w:r w:rsidR="006A68B7">
        <w:rPr>
          <w:sz w:val="24"/>
        </w:rPr>
        <w:tab/>
      </w:r>
      <w:hyperlink r:id="rId10" w:history="1">
        <w:r w:rsidR="0078639F" w:rsidRPr="00FD7D84">
          <w:rPr>
            <w:rStyle w:val="Hyperlink"/>
            <w:sz w:val="24"/>
          </w:rPr>
          <w:t>http://www.puc.pa.gov/efiling/default.aspx</w:t>
        </w:r>
      </w:hyperlink>
    </w:p>
    <w:p w:rsidR="004D4FC9" w:rsidRDefault="004D4FC9">
      <w:pPr>
        <w:rPr>
          <w:sz w:val="24"/>
        </w:rPr>
      </w:pPr>
    </w:p>
    <w:p w:rsidR="004D4FC9" w:rsidRDefault="004D4FC9">
      <w:pPr>
        <w:ind w:left="720" w:hanging="720"/>
        <w:rPr>
          <w:sz w:val="24"/>
        </w:rPr>
      </w:pPr>
      <w:r>
        <w:rPr>
          <w:sz w:val="24"/>
        </w:rPr>
        <w:t>*</w:t>
      </w:r>
      <w:r>
        <w:rPr>
          <w:sz w:val="24"/>
        </w:rPr>
        <w:tab/>
        <w:t>An applicant may submit one application for all desired services.  If you request more than one type of authority in a single application, you must use a separate caption on the face of the application for each authority and submit a proposed tariff for each type of servic</w:t>
      </w:r>
      <w:r w:rsidR="00ED1B0D">
        <w:rPr>
          <w:sz w:val="24"/>
        </w:rPr>
        <w:t>e</w:t>
      </w:r>
      <w:r w:rsidR="0078639F">
        <w:rPr>
          <w:sz w:val="24"/>
        </w:rPr>
        <w:t xml:space="preserve"> (with the possible exception of IXC authority</w:t>
      </w:r>
      <w:r w:rsidR="00820027">
        <w:rPr>
          <w:sz w:val="24"/>
        </w:rPr>
        <w:t>, see below</w:t>
      </w:r>
      <w:r w:rsidR="0078639F">
        <w:rPr>
          <w:sz w:val="24"/>
        </w:rPr>
        <w:t>)</w:t>
      </w:r>
      <w:r>
        <w:rPr>
          <w:sz w:val="24"/>
        </w:rPr>
        <w:t>.</w:t>
      </w:r>
    </w:p>
    <w:p w:rsidR="00ED1B0D" w:rsidRDefault="00ED1B0D">
      <w:pPr>
        <w:ind w:left="720" w:hanging="720"/>
        <w:rPr>
          <w:sz w:val="24"/>
        </w:rPr>
      </w:pPr>
    </w:p>
    <w:p w:rsidR="00ED1B0D" w:rsidRDefault="00ED1B0D">
      <w:pPr>
        <w:ind w:left="720" w:hanging="720"/>
        <w:rPr>
          <w:sz w:val="24"/>
        </w:rPr>
      </w:pPr>
      <w:r w:rsidRPr="0078639F">
        <w:rPr>
          <w:sz w:val="24"/>
        </w:rPr>
        <w:lastRenderedPageBreak/>
        <w:t>*</w:t>
      </w:r>
      <w:r w:rsidRPr="0078639F">
        <w:rPr>
          <w:sz w:val="24"/>
        </w:rPr>
        <w:tab/>
      </w:r>
      <w:r w:rsidRPr="0078639F">
        <w:rPr>
          <w:sz w:val="24"/>
          <w:szCs w:val="24"/>
        </w:rPr>
        <w:t xml:space="preserve">Pursuant to 66 </w:t>
      </w:r>
      <w:smartTag w:uri="urn:schemas-microsoft-com:office:smarttags" w:element="State">
        <w:smartTag w:uri="urn:schemas-microsoft-com:office:smarttags" w:element="place">
          <w:r w:rsidRPr="0078639F">
            <w:rPr>
              <w:sz w:val="24"/>
              <w:szCs w:val="24"/>
            </w:rPr>
            <w:t>Pa.</w:t>
          </w:r>
        </w:smartTag>
      </w:smartTag>
      <w:r w:rsidRPr="0078639F">
        <w:rPr>
          <w:sz w:val="24"/>
          <w:szCs w:val="24"/>
        </w:rPr>
        <w:t xml:space="preserve"> C.S. § 3018(a), all interexchange services provided by IXCs</w:t>
      </w:r>
      <w:r w:rsidR="0078639F">
        <w:rPr>
          <w:sz w:val="24"/>
          <w:szCs w:val="24"/>
        </w:rPr>
        <w:t xml:space="preserve"> </w:t>
      </w:r>
      <w:r w:rsidRPr="0078639F">
        <w:rPr>
          <w:sz w:val="24"/>
          <w:szCs w:val="24"/>
        </w:rPr>
        <w:t>are now deemed competitive.  Section 3018(b)(2) gives IXCs the option to (1) file and maintain tariffs with the Commission, (2) file and maintain price lists with the Commission, or (3) detariff, making them subject to Pennsylvania state contract law.  Therefore, IXCs are no longer required to file with the Commission tariffs or price lists for their competit</w:t>
      </w:r>
      <w:r w:rsidR="009E3871">
        <w:rPr>
          <w:sz w:val="24"/>
          <w:szCs w:val="24"/>
        </w:rPr>
        <w:t xml:space="preserve">ive services.  Accordingly, </w:t>
      </w:r>
      <w:r w:rsidRPr="0078639F">
        <w:rPr>
          <w:sz w:val="24"/>
          <w:szCs w:val="24"/>
        </w:rPr>
        <w:t>applicants</w:t>
      </w:r>
      <w:r w:rsidR="009E3871">
        <w:rPr>
          <w:sz w:val="24"/>
          <w:szCs w:val="24"/>
        </w:rPr>
        <w:t xml:space="preserve"> for IXC authority </w:t>
      </w:r>
      <w:r w:rsidR="0078639F">
        <w:rPr>
          <w:sz w:val="24"/>
          <w:szCs w:val="24"/>
        </w:rPr>
        <w:t xml:space="preserve">are not required to submit a proposed tariff. </w:t>
      </w:r>
    </w:p>
    <w:p w:rsidR="004D4FC9" w:rsidRDefault="004D4FC9">
      <w:pPr>
        <w:ind w:left="720" w:hanging="720"/>
        <w:rPr>
          <w:sz w:val="24"/>
        </w:rPr>
      </w:pPr>
    </w:p>
    <w:p w:rsidR="004D4FC9" w:rsidRDefault="004D4FC9">
      <w:pPr>
        <w:ind w:left="720" w:hanging="720"/>
        <w:rPr>
          <w:sz w:val="24"/>
        </w:rPr>
      </w:pPr>
      <w:r>
        <w:rPr>
          <w:sz w:val="24"/>
        </w:rPr>
        <w:t>*</w:t>
      </w:r>
      <w:r>
        <w:rPr>
          <w:sz w:val="24"/>
        </w:rPr>
        <w:tab/>
        <w:t>An applicant for CLEC</w:t>
      </w:r>
      <w:r w:rsidR="00304B97">
        <w:rPr>
          <w:sz w:val="24"/>
        </w:rPr>
        <w:t xml:space="preserve"> service</w:t>
      </w:r>
      <w:r>
        <w:rPr>
          <w:sz w:val="24"/>
        </w:rPr>
        <w:t xml:space="preserve"> </w:t>
      </w:r>
      <w:r w:rsidR="00F5641D">
        <w:rPr>
          <w:sz w:val="24"/>
        </w:rPr>
        <w:t>must provide</w:t>
      </w:r>
      <w:r>
        <w:rPr>
          <w:sz w:val="24"/>
        </w:rPr>
        <w:t xml:space="preserve"> a copy of the application on all incumbent local exchange carriers (ILECs)</w:t>
      </w:r>
      <w:r w:rsidR="00304B97">
        <w:rPr>
          <w:sz w:val="24"/>
        </w:rPr>
        <w:t xml:space="preserve"> </w:t>
      </w:r>
      <w:r w:rsidR="00820027">
        <w:rPr>
          <w:sz w:val="24"/>
        </w:rPr>
        <w:t>in whose service territories it</w:t>
      </w:r>
      <w:r w:rsidR="00304B97">
        <w:rPr>
          <w:sz w:val="24"/>
        </w:rPr>
        <w:t xml:space="preserve"> want</w:t>
      </w:r>
      <w:r w:rsidR="00820027">
        <w:rPr>
          <w:sz w:val="24"/>
        </w:rPr>
        <w:t>s</w:t>
      </w:r>
      <w:r w:rsidR="00304B97">
        <w:rPr>
          <w:sz w:val="24"/>
        </w:rPr>
        <w:t xml:space="preserve"> to provide service</w:t>
      </w:r>
      <w:r>
        <w:rPr>
          <w:sz w:val="24"/>
        </w:rPr>
        <w:t>.  A certificate of service must be attached to the application.  A copy of the CLEC application should also be served on all parties named in item number 17 of the application.  A CLEC applicant should specify whether it will be operating as a reseller, facilities-based, or combination/mixed CLEC.</w:t>
      </w:r>
    </w:p>
    <w:p w:rsidR="004D4FC9" w:rsidRDefault="004D4FC9">
      <w:pPr>
        <w:ind w:left="1440" w:hanging="1440"/>
        <w:rPr>
          <w:sz w:val="24"/>
        </w:rPr>
      </w:pPr>
    </w:p>
    <w:p w:rsidR="004D4FC9" w:rsidRDefault="004D4FC9">
      <w:pPr>
        <w:ind w:left="720" w:hanging="720"/>
        <w:rPr>
          <w:sz w:val="24"/>
        </w:rPr>
      </w:pPr>
      <w:r>
        <w:rPr>
          <w:sz w:val="24"/>
        </w:rPr>
        <w:t>*</w:t>
      </w:r>
      <w:r>
        <w:rPr>
          <w:sz w:val="24"/>
        </w:rPr>
        <w:tab/>
        <w:t xml:space="preserve">CLEC authority does </w:t>
      </w:r>
      <w:r>
        <w:rPr>
          <w:b/>
          <w:sz w:val="24"/>
        </w:rPr>
        <w:t>not</w:t>
      </w:r>
      <w:r>
        <w:rPr>
          <w:sz w:val="24"/>
        </w:rPr>
        <w:t xml:space="preserve"> include intraLATA Interexchange (IXC) toll authority or competitive access provider (CAP) authority.  If the applicant desires to provide intraLATA IXC services and/or CAP services, whether or not in conjunction with CLEC and/or </w:t>
      </w:r>
      <w:proofErr w:type="spellStart"/>
      <w:r>
        <w:rPr>
          <w:sz w:val="24"/>
        </w:rPr>
        <w:t>interLATA</w:t>
      </w:r>
      <w:proofErr w:type="spellEnd"/>
      <w:r>
        <w:rPr>
          <w:sz w:val="24"/>
        </w:rPr>
        <w:t xml:space="preserve"> IXC services, the applicant must explicitly request authority for IXC services and/or CAP services and so indicate in response to questions number 9 and 10.  CAP authority may not be used to access the Public Switched Network or toll calling.  You must also designate whether the IXC/CAP services will be provided via resale, facilities-based, or combination/mixed operations.  IXC and CAP authority is</w:t>
      </w:r>
      <w:r w:rsidR="00ED1B0D">
        <w:rPr>
          <w:sz w:val="24"/>
        </w:rPr>
        <w:t xml:space="preserve"> </w:t>
      </w:r>
      <w:r>
        <w:rPr>
          <w:sz w:val="24"/>
        </w:rPr>
        <w:t>issued</w:t>
      </w:r>
      <w:r w:rsidR="00ED1B0D">
        <w:rPr>
          <w:sz w:val="24"/>
        </w:rPr>
        <w:t xml:space="preserve"> on a </w:t>
      </w:r>
      <w:r>
        <w:rPr>
          <w:sz w:val="24"/>
        </w:rPr>
        <w:t>statewide</w:t>
      </w:r>
      <w:r w:rsidR="00ED1B0D">
        <w:rPr>
          <w:sz w:val="24"/>
        </w:rPr>
        <w:t xml:space="preserve"> basis</w:t>
      </w:r>
      <w:r>
        <w:rPr>
          <w:sz w:val="24"/>
        </w:rPr>
        <w:t xml:space="preserve"> and requires notice of service only as specified in item number 17.</w:t>
      </w:r>
    </w:p>
    <w:p w:rsidR="004D4FC9" w:rsidRDefault="004D4FC9">
      <w:pPr>
        <w:ind w:left="1440" w:hanging="1440"/>
        <w:rPr>
          <w:sz w:val="24"/>
        </w:rPr>
      </w:pPr>
    </w:p>
    <w:p w:rsidR="004D4FC9" w:rsidRDefault="004D4FC9">
      <w:pPr>
        <w:rPr>
          <w:sz w:val="24"/>
        </w:rPr>
      </w:pPr>
      <w:r>
        <w:rPr>
          <w:sz w:val="24"/>
        </w:rPr>
        <w:t>If an application is properly filed and served</w:t>
      </w:r>
      <w:r w:rsidR="0060548B">
        <w:rPr>
          <w:sz w:val="24"/>
        </w:rPr>
        <w:t xml:space="preserve">, </w:t>
      </w:r>
      <w:r>
        <w:rPr>
          <w:sz w:val="24"/>
        </w:rPr>
        <w:t>including a proposed tariff with rules</w:t>
      </w:r>
      <w:r w:rsidR="00820027">
        <w:rPr>
          <w:sz w:val="24"/>
        </w:rPr>
        <w:t>,</w:t>
      </w:r>
      <w:r>
        <w:rPr>
          <w:sz w:val="24"/>
        </w:rPr>
        <w:t xml:space="preserve"> regulations and </w:t>
      </w:r>
      <w:r>
        <w:rPr>
          <w:b/>
          <w:sz w:val="24"/>
        </w:rPr>
        <w:t xml:space="preserve">rates </w:t>
      </w:r>
      <w:r>
        <w:rPr>
          <w:sz w:val="24"/>
        </w:rPr>
        <w:t>for services, the Secretary’s Bureau will mail the applicant a letter indicating acceptance of the application</w:t>
      </w:r>
      <w:r w:rsidR="0060548B">
        <w:rPr>
          <w:sz w:val="24"/>
        </w:rPr>
        <w:t xml:space="preserve"> and granting of provisional authority</w:t>
      </w:r>
      <w:r w:rsidR="007739D1" w:rsidRPr="007739D1">
        <w:rPr>
          <w:rFonts w:ascii="Book Antiqua" w:hAnsi="Book Antiqua" w:cs="Book Antiqua"/>
          <w:color w:val="FF0000"/>
          <w:sz w:val="24"/>
          <w:szCs w:val="24"/>
        </w:rPr>
        <w:t xml:space="preserve"> </w:t>
      </w:r>
      <w:r w:rsidR="007739D1" w:rsidRPr="007739D1">
        <w:rPr>
          <w:sz w:val="24"/>
          <w:szCs w:val="24"/>
        </w:rPr>
        <w:t>in non-rural ILEC services areas</w:t>
      </w:r>
      <w:r>
        <w:rPr>
          <w:sz w:val="24"/>
        </w:rPr>
        <w:t xml:space="preserve">.  While the Secretarial Letter will not constitute a certificate of public convenience, it will constitute an applicant’s authority to proceed under paragraph B.1.c.4 on page 7 of the </w:t>
      </w:r>
      <w:smartTag w:uri="urn:schemas-microsoft-com:office:smarttags" w:element="date">
        <w:smartTagPr>
          <w:attr w:name="Year" w:val="1996"/>
          <w:attr w:name="Day" w:val="3"/>
          <w:attr w:name="Month" w:val="6"/>
        </w:smartTagPr>
        <w:r>
          <w:rPr>
            <w:sz w:val="24"/>
          </w:rPr>
          <w:t>June 3, 1996</w:t>
        </w:r>
      </w:smartTag>
      <w:r>
        <w:rPr>
          <w:sz w:val="24"/>
        </w:rPr>
        <w:t xml:space="preserve">, Implementation Order, as modified by page 5 of the </w:t>
      </w:r>
      <w:smartTag w:uri="urn:schemas-microsoft-com:office:smarttags" w:element="date">
        <w:smartTagPr>
          <w:attr w:name="Year" w:val="1996"/>
          <w:attr w:name="Day" w:val="7"/>
          <w:attr w:name="Month" w:val="9"/>
        </w:smartTagPr>
        <w:r>
          <w:rPr>
            <w:sz w:val="24"/>
          </w:rPr>
          <w:t>September 7, 1996</w:t>
        </w:r>
      </w:smartTag>
      <w:r>
        <w:rPr>
          <w:sz w:val="24"/>
        </w:rPr>
        <w:t>, Implementation Reconsideration Order.</w:t>
      </w:r>
    </w:p>
    <w:p w:rsidR="004D4FC9" w:rsidRDefault="004D4FC9">
      <w:pPr>
        <w:rPr>
          <w:sz w:val="24"/>
        </w:rPr>
      </w:pPr>
    </w:p>
    <w:p w:rsidR="0060548B" w:rsidRDefault="00A57A7E">
      <w:pPr>
        <w:ind w:right="-360"/>
        <w:rPr>
          <w:sz w:val="24"/>
        </w:rPr>
      </w:pPr>
      <w:r w:rsidRPr="0060548B">
        <w:rPr>
          <w:b/>
          <w:sz w:val="24"/>
          <w:u w:val="single"/>
        </w:rPr>
        <w:t>CLEC INTERCONNECTION AND RESALE AG</w:t>
      </w:r>
      <w:r w:rsidR="009E3871">
        <w:rPr>
          <w:b/>
          <w:sz w:val="24"/>
          <w:u w:val="single"/>
        </w:rPr>
        <w:t>R</w:t>
      </w:r>
      <w:r w:rsidRPr="0060548B">
        <w:rPr>
          <w:b/>
          <w:sz w:val="24"/>
          <w:u w:val="single"/>
        </w:rPr>
        <w:t>EEMENTS</w:t>
      </w:r>
    </w:p>
    <w:p w:rsidR="004D4FC9" w:rsidRDefault="0060548B">
      <w:pPr>
        <w:ind w:right="-360"/>
        <w:rPr>
          <w:sz w:val="24"/>
        </w:rPr>
      </w:pPr>
      <w:r>
        <w:rPr>
          <w:sz w:val="24"/>
        </w:rPr>
        <w:t>I</w:t>
      </w:r>
      <w:r w:rsidR="004D4FC9">
        <w:rPr>
          <w:sz w:val="24"/>
        </w:rPr>
        <w:t>nterconnection and resale agreements may be filed prior to, in conjunction with, or subsequent to the filing of a CLEC application.  The parties to such agreements should file a joint petition requesting that agreement be approved, summarizing the key points of the agreement, and averring compliance with the requirements of TA</w:t>
      </w:r>
      <w:r w:rsidR="004D4FC9">
        <w:rPr>
          <w:sz w:val="24"/>
        </w:rPr>
        <w:noBreakHyphen/>
        <w:t>96 and this Commission’s Implementation Orders.</w:t>
      </w:r>
    </w:p>
    <w:p w:rsidR="00FE3830" w:rsidRDefault="004D4FC9">
      <w:pPr>
        <w:keepLines/>
        <w:rPr>
          <w:sz w:val="24"/>
        </w:rPr>
      </w:pPr>
      <w:r>
        <w:rPr>
          <w:sz w:val="24"/>
        </w:rPr>
        <w:tab/>
      </w:r>
      <w:r>
        <w:rPr>
          <w:sz w:val="24"/>
        </w:rPr>
        <w:tab/>
      </w:r>
    </w:p>
    <w:p w:rsidR="00FE3830" w:rsidRPr="00FE3830" w:rsidRDefault="00A57A7E">
      <w:pPr>
        <w:keepLines/>
        <w:rPr>
          <w:b/>
          <w:sz w:val="24"/>
          <w:u w:val="single"/>
        </w:rPr>
      </w:pPr>
      <w:r>
        <w:rPr>
          <w:b/>
          <w:sz w:val="24"/>
          <w:u w:val="single"/>
        </w:rPr>
        <w:t xml:space="preserve">CLEC </w:t>
      </w:r>
      <w:r w:rsidRPr="00FE3830">
        <w:rPr>
          <w:b/>
          <w:sz w:val="24"/>
          <w:u w:val="single"/>
        </w:rPr>
        <w:t xml:space="preserve">911 SERVICE </w:t>
      </w:r>
    </w:p>
    <w:p w:rsidR="004B1375" w:rsidRDefault="004D4FC9" w:rsidP="002E2645">
      <w:pPr>
        <w:autoSpaceDE w:val="0"/>
        <w:autoSpaceDN w:val="0"/>
        <w:adjustRightInd w:val="0"/>
        <w:rPr>
          <w:sz w:val="24"/>
        </w:rPr>
      </w:pPr>
      <w:r>
        <w:rPr>
          <w:sz w:val="24"/>
        </w:rPr>
        <w:t xml:space="preserve">CLECs are required to </w:t>
      </w:r>
      <w:r w:rsidR="00DA7986">
        <w:rPr>
          <w:sz w:val="24"/>
        </w:rPr>
        <w:t xml:space="preserve">enable toll-free access to the </w:t>
      </w:r>
      <w:r>
        <w:rPr>
          <w:sz w:val="24"/>
        </w:rPr>
        <w:t xml:space="preserve">911 emergency </w:t>
      </w:r>
      <w:proofErr w:type="gramStart"/>
      <w:r>
        <w:rPr>
          <w:sz w:val="24"/>
        </w:rPr>
        <w:t>number</w:t>
      </w:r>
      <w:proofErr w:type="gramEnd"/>
      <w:r>
        <w:rPr>
          <w:sz w:val="24"/>
        </w:rPr>
        <w:t xml:space="preserve"> for any individual within the Commonwealth to gain rapid, direct access to emergency aid.  C</w:t>
      </w:r>
      <w:r w:rsidR="002E2645">
        <w:rPr>
          <w:sz w:val="24"/>
        </w:rPr>
        <w:t xml:space="preserve">LECs </w:t>
      </w:r>
      <w:r>
        <w:rPr>
          <w:sz w:val="24"/>
        </w:rPr>
        <w:t xml:space="preserve">are also required to contact and make necessary arrangements for the provisioning of Emergency 911 </w:t>
      </w:r>
      <w:r w:rsidR="0060548B">
        <w:rPr>
          <w:sz w:val="24"/>
        </w:rPr>
        <w:t xml:space="preserve">(E-911) </w:t>
      </w:r>
      <w:r>
        <w:rPr>
          <w:sz w:val="24"/>
        </w:rPr>
        <w:t xml:space="preserve">service with </w:t>
      </w:r>
      <w:r w:rsidR="00DA7986">
        <w:rPr>
          <w:sz w:val="24"/>
        </w:rPr>
        <w:t xml:space="preserve">each Public Safety Answering Point (PSAP) where </w:t>
      </w:r>
      <w:r>
        <w:rPr>
          <w:sz w:val="24"/>
        </w:rPr>
        <w:t>the carrier intends to provide service</w:t>
      </w:r>
      <w:r w:rsidR="00DA7986">
        <w:rPr>
          <w:sz w:val="24"/>
        </w:rPr>
        <w:t>.</w:t>
      </w:r>
      <w:r w:rsidR="002E2645">
        <w:rPr>
          <w:sz w:val="24"/>
        </w:rPr>
        <w:t xml:space="preserve"> </w:t>
      </w:r>
    </w:p>
    <w:p w:rsidR="00832B90" w:rsidRDefault="00832B90" w:rsidP="004B1375">
      <w:pPr>
        <w:keepLines/>
        <w:rPr>
          <w:sz w:val="24"/>
        </w:rPr>
      </w:pPr>
    </w:p>
    <w:p w:rsidR="00F5641D" w:rsidRDefault="004B1375" w:rsidP="00832B90">
      <w:pPr>
        <w:rPr>
          <w:sz w:val="24"/>
        </w:rPr>
      </w:pPr>
      <w:r>
        <w:rPr>
          <w:sz w:val="24"/>
        </w:rPr>
        <w:t xml:space="preserve">An Officer of the carrier must acknowledge on the affidavit attached to the application that the carrier has contacted the appropriate 911 Coordinator(s) </w:t>
      </w:r>
      <w:r w:rsidRPr="004B1375">
        <w:rPr>
          <w:b/>
          <w:i/>
          <w:sz w:val="24"/>
        </w:rPr>
        <w:t>via certified letter</w:t>
      </w:r>
      <w:r>
        <w:rPr>
          <w:sz w:val="24"/>
        </w:rPr>
        <w:t xml:space="preserve"> and that arrangements are under way for the provisioning of emergency 911 in each </w:t>
      </w:r>
      <w:r w:rsidR="00DA7986">
        <w:rPr>
          <w:sz w:val="24"/>
        </w:rPr>
        <w:t xml:space="preserve">PSAP </w:t>
      </w:r>
      <w:r>
        <w:rPr>
          <w:sz w:val="24"/>
        </w:rPr>
        <w:t xml:space="preserve">where service is to be provided.  CLECs are also responsible to comply with the provisions of the Public Safety Emergency Telephone Act, which includes collecting and remitting the 911 contribution rates as well as providing an access line count to the counties when requested. </w:t>
      </w:r>
      <w:r w:rsidR="00ED1B0D">
        <w:rPr>
          <w:sz w:val="24"/>
        </w:rPr>
        <w:t xml:space="preserve"> </w:t>
      </w:r>
      <w:r>
        <w:rPr>
          <w:sz w:val="24"/>
        </w:rPr>
        <w:t xml:space="preserve">The Act as well as a listing of 911 Coordinators </w:t>
      </w:r>
      <w:r w:rsidR="00DA7986">
        <w:rPr>
          <w:sz w:val="24"/>
        </w:rPr>
        <w:t xml:space="preserve">and 911 contribution rates </w:t>
      </w:r>
      <w:proofErr w:type="gramStart"/>
      <w:r w:rsidR="00DA7986">
        <w:rPr>
          <w:sz w:val="24"/>
        </w:rPr>
        <w:t>are</w:t>
      </w:r>
      <w:proofErr w:type="gramEnd"/>
      <w:r w:rsidR="00DA7986">
        <w:rPr>
          <w:sz w:val="24"/>
        </w:rPr>
        <w:t xml:space="preserve"> </w:t>
      </w:r>
      <w:r>
        <w:rPr>
          <w:sz w:val="24"/>
        </w:rPr>
        <w:t xml:space="preserve">available on the PEMA website at </w:t>
      </w:r>
      <w:hyperlink r:id="rId11" w:history="1">
        <w:r w:rsidR="00F5641D" w:rsidRPr="00FD7D84">
          <w:rPr>
            <w:rStyle w:val="Hyperlink"/>
            <w:sz w:val="24"/>
          </w:rPr>
          <w:t>http://www.pema.state.pa.us</w:t>
        </w:r>
      </w:hyperlink>
      <w:r>
        <w:rPr>
          <w:sz w:val="24"/>
        </w:rPr>
        <w:t>.</w:t>
      </w:r>
    </w:p>
    <w:p w:rsidR="004B1375" w:rsidRDefault="004D4FC9" w:rsidP="004B1375">
      <w:pPr>
        <w:rPr>
          <w:snapToGrid w:val="0"/>
          <w:sz w:val="24"/>
          <w:szCs w:val="24"/>
        </w:rPr>
      </w:pPr>
      <w:r>
        <w:rPr>
          <w:sz w:val="24"/>
        </w:rPr>
        <w:tab/>
      </w:r>
    </w:p>
    <w:p w:rsidR="004B1375" w:rsidRPr="004B1375" w:rsidRDefault="00C0738C" w:rsidP="004B1375">
      <w:pPr>
        <w:rPr>
          <w:b/>
          <w:snapToGrid w:val="0"/>
          <w:sz w:val="24"/>
          <w:szCs w:val="24"/>
          <w:u w:val="single"/>
        </w:rPr>
      </w:pPr>
      <w:r>
        <w:rPr>
          <w:b/>
          <w:snapToGrid w:val="0"/>
          <w:sz w:val="24"/>
          <w:szCs w:val="24"/>
          <w:u w:val="single"/>
        </w:rPr>
        <w:t xml:space="preserve">OTHER </w:t>
      </w:r>
      <w:r w:rsidR="00304B97">
        <w:rPr>
          <w:b/>
          <w:snapToGrid w:val="0"/>
          <w:sz w:val="24"/>
          <w:szCs w:val="24"/>
          <w:u w:val="single"/>
        </w:rPr>
        <w:t>INFORMATION</w:t>
      </w:r>
    </w:p>
    <w:p w:rsidR="00304B97" w:rsidRDefault="003D5D05" w:rsidP="00832B90">
      <w:pPr>
        <w:rPr>
          <w:sz w:val="24"/>
        </w:rPr>
      </w:pPr>
      <w:r>
        <w:rPr>
          <w:sz w:val="24"/>
        </w:rPr>
        <w:t xml:space="preserve">Additional </w:t>
      </w:r>
      <w:r w:rsidR="00C0738C">
        <w:rPr>
          <w:sz w:val="24"/>
        </w:rPr>
        <w:t>information</w:t>
      </w:r>
      <w:r w:rsidR="00DA7986">
        <w:rPr>
          <w:sz w:val="24"/>
        </w:rPr>
        <w:t>, e.g., reporting requi</w:t>
      </w:r>
      <w:r w:rsidR="00584854">
        <w:rPr>
          <w:sz w:val="24"/>
        </w:rPr>
        <w:t>rements, select tariff language and</w:t>
      </w:r>
      <w:r w:rsidR="00DA7986">
        <w:rPr>
          <w:sz w:val="24"/>
        </w:rPr>
        <w:t xml:space="preserve"> minimum requirements for financial fitness, are </w:t>
      </w:r>
      <w:r w:rsidR="00304B97">
        <w:rPr>
          <w:sz w:val="24"/>
        </w:rPr>
        <w:t>available on</w:t>
      </w:r>
      <w:r w:rsidR="004D4FC9">
        <w:rPr>
          <w:sz w:val="24"/>
        </w:rPr>
        <w:t xml:space="preserve"> the Commission’s website </w:t>
      </w:r>
      <w:r w:rsidR="00304B97">
        <w:rPr>
          <w:sz w:val="24"/>
        </w:rPr>
        <w:t xml:space="preserve">at: </w:t>
      </w:r>
    </w:p>
    <w:p w:rsidR="00304B97" w:rsidRDefault="0061295F" w:rsidP="00832B90">
      <w:pPr>
        <w:rPr>
          <w:sz w:val="24"/>
          <w:szCs w:val="24"/>
        </w:rPr>
      </w:pPr>
      <w:hyperlink r:id="rId12" w:history="1">
        <w:r w:rsidR="00304B97" w:rsidRPr="00C0738C">
          <w:rPr>
            <w:rStyle w:val="Hyperlink"/>
            <w:sz w:val="24"/>
            <w:szCs w:val="24"/>
          </w:rPr>
          <w:t>http://www.puc.pa.gov/utility_industry/telecommunications/application_to_provide_telecom_services.aspx</w:t>
        </w:r>
      </w:hyperlink>
    </w:p>
    <w:p w:rsidR="00EA7467" w:rsidRDefault="00EA7467">
      <w:pPr>
        <w:keepLines/>
        <w:rPr>
          <w:sz w:val="24"/>
        </w:rPr>
      </w:pPr>
    </w:p>
    <w:p w:rsidR="00832B90" w:rsidRPr="00832B90" w:rsidRDefault="00832B90">
      <w:pPr>
        <w:keepLines/>
        <w:rPr>
          <w:b/>
          <w:sz w:val="24"/>
          <w:u w:val="single"/>
        </w:rPr>
      </w:pPr>
      <w:r>
        <w:rPr>
          <w:b/>
          <w:sz w:val="24"/>
          <w:u w:val="single"/>
        </w:rPr>
        <w:t>PUC APPLICATION AND TARIFF REVIEW</w:t>
      </w:r>
    </w:p>
    <w:p w:rsidR="00832B90" w:rsidRDefault="004D4FC9" w:rsidP="00832B90">
      <w:pPr>
        <w:keepLines/>
        <w:rPr>
          <w:sz w:val="24"/>
        </w:rPr>
      </w:pPr>
      <w:r>
        <w:rPr>
          <w:sz w:val="24"/>
        </w:rPr>
        <w:t xml:space="preserve">The Commission’s Bureau of </w:t>
      </w:r>
      <w:r w:rsidR="002316A6">
        <w:rPr>
          <w:sz w:val="24"/>
        </w:rPr>
        <w:t xml:space="preserve">Technical </w:t>
      </w:r>
      <w:r>
        <w:rPr>
          <w:sz w:val="24"/>
        </w:rPr>
        <w:t>Utility Services - Telecommunications Group (</w:t>
      </w:r>
      <w:r w:rsidR="002316A6">
        <w:rPr>
          <w:sz w:val="24"/>
        </w:rPr>
        <w:t>T</w:t>
      </w:r>
      <w:r>
        <w:rPr>
          <w:sz w:val="24"/>
        </w:rPr>
        <w:t xml:space="preserve">US-Telecom) performs the review of </w:t>
      </w:r>
      <w:r w:rsidR="002316A6">
        <w:rPr>
          <w:sz w:val="24"/>
        </w:rPr>
        <w:t>applications for telecommunications authority and proposed tariffs.</w:t>
      </w:r>
      <w:r>
        <w:rPr>
          <w:sz w:val="24"/>
        </w:rPr>
        <w:t xml:space="preserve">  If you have further questions, please contact </w:t>
      </w:r>
      <w:r w:rsidR="002316A6">
        <w:rPr>
          <w:sz w:val="24"/>
        </w:rPr>
        <w:t>T</w:t>
      </w:r>
      <w:r>
        <w:rPr>
          <w:sz w:val="24"/>
        </w:rPr>
        <w:t xml:space="preserve">US-Telecom at </w:t>
      </w:r>
      <w:r w:rsidR="002316A6">
        <w:rPr>
          <w:sz w:val="24"/>
        </w:rPr>
        <w:t>(</w:t>
      </w:r>
      <w:r w:rsidR="004E1C80">
        <w:rPr>
          <w:rFonts w:cs="Arial"/>
          <w:sz w:val="24"/>
          <w:szCs w:val="24"/>
        </w:rPr>
        <w:t>717</w:t>
      </w:r>
      <w:r w:rsidR="002316A6">
        <w:rPr>
          <w:rFonts w:cs="Arial"/>
          <w:sz w:val="24"/>
          <w:szCs w:val="24"/>
        </w:rPr>
        <w:t xml:space="preserve">) </w:t>
      </w:r>
      <w:r w:rsidR="004E1C80">
        <w:rPr>
          <w:rFonts w:cs="Arial"/>
          <w:sz w:val="24"/>
          <w:szCs w:val="24"/>
        </w:rPr>
        <w:t>787-</w:t>
      </w:r>
      <w:r w:rsidR="00DB167F">
        <w:rPr>
          <w:rFonts w:cs="Arial"/>
          <w:sz w:val="24"/>
          <w:szCs w:val="24"/>
        </w:rPr>
        <w:t>5550</w:t>
      </w:r>
      <w:r w:rsidR="002316A6">
        <w:rPr>
          <w:rFonts w:cs="Arial"/>
          <w:sz w:val="24"/>
          <w:szCs w:val="24"/>
        </w:rPr>
        <w:t>.</w:t>
      </w:r>
      <w:r>
        <w:rPr>
          <w:sz w:val="24"/>
        </w:rPr>
        <w:tab/>
      </w:r>
      <w:r>
        <w:rPr>
          <w:sz w:val="24"/>
        </w:rPr>
        <w:tab/>
      </w:r>
      <w:r>
        <w:rPr>
          <w:sz w:val="24"/>
        </w:rPr>
        <w:tab/>
      </w:r>
      <w:r>
        <w:rPr>
          <w:sz w:val="24"/>
        </w:rPr>
        <w:tab/>
      </w:r>
    </w:p>
    <w:p w:rsidR="002316A6" w:rsidRDefault="00832B90">
      <w:pPr>
        <w:rPr>
          <w:sz w:val="24"/>
        </w:rPr>
      </w:pPr>
      <w:r>
        <w:rPr>
          <w:sz w:val="24"/>
        </w:rPr>
        <w:tab/>
      </w:r>
      <w:r>
        <w:rPr>
          <w:sz w:val="24"/>
        </w:rPr>
        <w:tab/>
      </w:r>
      <w:r>
        <w:rPr>
          <w:sz w:val="24"/>
        </w:rPr>
        <w:tab/>
      </w:r>
      <w:r>
        <w:rPr>
          <w:sz w:val="24"/>
        </w:rPr>
        <w:tab/>
      </w:r>
      <w:r>
        <w:rPr>
          <w:sz w:val="24"/>
        </w:rPr>
        <w:tab/>
      </w:r>
      <w:r w:rsidR="002316A6">
        <w:rPr>
          <w:sz w:val="24"/>
        </w:rPr>
        <w:tab/>
      </w:r>
    </w:p>
    <w:p w:rsidR="004D4FC9" w:rsidRDefault="002316A6">
      <w:pPr>
        <w:rPr>
          <w:sz w:val="24"/>
        </w:rPr>
      </w:pPr>
      <w:r>
        <w:rPr>
          <w:sz w:val="24"/>
        </w:rPr>
        <w:tab/>
      </w:r>
      <w:r>
        <w:rPr>
          <w:sz w:val="24"/>
        </w:rPr>
        <w:tab/>
      </w:r>
      <w:r>
        <w:rPr>
          <w:sz w:val="24"/>
        </w:rPr>
        <w:tab/>
      </w:r>
      <w:r>
        <w:rPr>
          <w:sz w:val="24"/>
        </w:rPr>
        <w:tab/>
      </w:r>
      <w:r>
        <w:rPr>
          <w:sz w:val="24"/>
        </w:rPr>
        <w:tab/>
      </w:r>
      <w:r>
        <w:rPr>
          <w:sz w:val="24"/>
        </w:rPr>
        <w:tab/>
      </w:r>
      <w:r w:rsidR="004D4FC9">
        <w:rPr>
          <w:sz w:val="24"/>
        </w:rPr>
        <w:t>Sincerely,</w:t>
      </w:r>
    </w:p>
    <w:p w:rsidR="004D4FC9" w:rsidRDefault="004D4FC9">
      <w:pPr>
        <w:rPr>
          <w:sz w:val="24"/>
        </w:rPr>
      </w:pPr>
    </w:p>
    <w:p w:rsidR="004D4FC9" w:rsidRDefault="004D4FC9">
      <w:pPr>
        <w:rPr>
          <w:sz w:val="24"/>
        </w:rPr>
      </w:pPr>
    </w:p>
    <w:p w:rsidR="002316A6" w:rsidRDefault="002316A6">
      <w:pPr>
        <w:rPr>
          <w:sz w:val="24"/>
        </w:rPr>
      </w:pPr>
    </w:p>
    <w:p w:rsidR="004D4FC9" w:rsidRDefault="004D4FC9">
      <w:pPr>
        <w:rPr>
          <w:sz w:val="24"/>
        </w:rPr>
      </w:pPr>
      <w:r>
        <w:rPr>
          <w:sz w:val="24"/>
        </w:rPr>
        <w:tab/>
      </w:r>
      <w:r>
        <w:rPr>
          <w:sz w:val="24"/>
        </w:rPr>
        <w:tab/>
      </w:r>
      <w:r>
        <w:rPr>
          <w:sz w:val="24"/>
        </w:rPr>
        <w:tab/>
      </w:r>
      <w:r>
        <w:rPr>
          <w:sz w:val="24"/>
        </w:rPr>
        <w:tab/>
      </w:r>
      <w:r>
        <w:rPr>
          <w:sz w:val="24"/>
        </w:rPr>
        <w:tab/>
      </w:r>
      <w:r w:rsidR="002316A6">
        <w:rPr>
          <w:sz w:val="24"/>
        </w:rPr>
        <w:tab/>
        <w:t>Rosemary Chiavetta</w:t>
      </w:r>
    </w:p>
    <w:p w:rsidR="004D4FC9" w:rsidRDefault="004D4FC9">
      <w:pPr>
        <w:rPr>
          <w:sz w:val="24"/>
        </w:rPr>
      </w:pPr>
      <w:r>
        <w:rPr>
          <w:sz w:val="24"/>
        </w:rPr>
        <w:tab/>
      </w:r>
      <w:r>
        <w:rPr>
          <w:sz w:val="24"/>
        </w:rPr>
        <w:tab/>
      </w:r>
      <w:r>
        <w:rPr>
          <w:sz w:val="24"/>
        </w:rPr>
        <w:tab/>
      </w:r>
      <w:r>
        <w:rPr>
          <w:sz w:val="24"/>
        </w:rPr>
        <w:tab/>
      </w:r>
      <w:r>
        <w:rPr>
          <w:sz w:val="24"/>
        </w:rPr>
        <w:tab/>
      </w:r>
      <w:r>
        <w:rPr>
          <w:sz w:val="24"/>
        </w:rPr>
        <w:tab/>
        <w:t>Secretary</w:t>
      </w:r>
    </w:p>
    <w:p w:rsidR="00832B90" w:rsidRDefault="00832B90">
      <w:pPr>
        <w:pStyle w:val="BodyText"/>
        <w:spacing w:after="0"/>
        <w:rPr>
          <w:sz w:val="24"/>
        </w:rPr>
      </w:pPr>
    </w:p>
    <w:p w:rsidR="004D4FC9" w:rsidRDefault="004D4FC9">
      <w:pPr>
        <w:pStyle w:val="BodyText"/>
        <w:spacing w:after="0"/>
        <w:rPr>
          <w:sz w:val="24"/>
        </w:rPr>
      </w:pPr>
      <w:r>
        <w:rPr>
          <w:sz w:val="24"/>
        </w:rPr>
        <w:t>Attachments:</w:t>
      </w:r>
    </w:p>
    <w:p w:rsidR="004D4FC9" w:rsidRDefault="004D4FC9">
      <w:pPr>
        <w:pStyle w:val="BodyText"/>
        <w:spacing w:after="0"/>
        <w:rPr>
          <w:sz w:val="24"/>
        </w:rPr>
      </w:pPr>
      <w:r>
        <w:rPr>
          <w:sz w:val="24"/>
        </w:rPr>
        <w:tab/>
        <w:t xml:space="preserve">1. </w:t>
      </w:r>
      <w:r w:rsidR="00C05A48">
        <w:rPr>
          <w:sz w:val="24"/>
        </w:rPr>
        <w:t xml:space="preserve"> </w:t>
      </w:r>
      <w:r>
        <w:rPr>
          <w:sz w:val="24"/>
        </w:rPr>
        <w:t>Application Check List</w:t>
      </w:r>
    </w:p>
    <w:p w:rsidR="004D4FC9" w:rsidRDefault="004D4FC9">
      <w:pPr>
        <w:pStyle w:val="BodyText"/>
        <w:spacing w:after="0"/>
        <w:rPr>
          <w:sz w:val="24"/>
        </w:rPr>
      </w:pPr>
      <w:r>
        <w:rPr>
          <w:sz w:val="24"/>
        </w:rPr>
        <w:tab/>
        <w:t xml:space="preserve">2. </w:t>
      </w:r>
      <w:r w:rsidR="00C05A48">
        <w:rPr>
          <w:sz w:val="24"/>
        </w:rPr>
        <w:t xml:space="preserve"> </w:t>
      </w:r>
      <w:r>
        <w:rPr>
          <w:sz w:val="24"/>
        </w:rPr>
        <w:t>Application Form (PUC</w:t>
      </w:r>
      <w:r w:rsidR="00AC5265">
        <w:rPr>
          <w:sz w:val="24"/>
        </w:rPr>
        <w:t>-</w:t>
      </w:r>
      <w:r>
        <w:rPr>
          <w:sz w:val="24"/>
        </w:rPr>
        <w:t xml:space="preserve">377).  </w:t>
      </w:r>
    </w:p>
    <w:p w:rsidR="00EA7467" w:rsidRDefault="00EA7467">
      <w:pPr>
        <w:pStyle w:val="BodyText"/>
        <w:spacing w:after="0"/>
        <w:rPr>
          <w:sz w:val="24"/>
        </w:rPr>
      </w:pPr>
    </w:p>
    <w:p w:rsidR="00EA7467" w:rsidRDefault="00EA7467">
      <w:pPr>
        <w:pStyle w:val="BodyText"/>
        <w:spacing w:after="0"/>
        <w:rPr>
          <w:sz w:val="24"/>
        </w:rPr>
      </w:pPr>
    </w:p>
    <w:p w:rsidR="00EA7467" w:rsidRDefault="00EA7467">
      <w:pPr>
        <w:pStyle w:val="BodyText"/>
        <w:spacing w:after="0"/>
        <w:rPr>
          <w:sz w:val="24"/>
        </w:rPr>
      </w:pPr>
    </w:p>
    <w:sectPr w:rsidR="00EA7467" w:rsidSect="00832B90">
      <w:footerReference w:type="even" r:id="rId13"/>
      <w:footerReference w:type="default" r:id="rId14"/>
      <w:pgSz w:w="12240" w:h="15840" w:code="1"/>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89" w:rsidRDefault="00B05F89">
      <w:r>
        <w:separator/>
      </w:r>
    </w:p>
  </w:endnote>
  <w:endnote w:type="continuationSeparator" w:id="0">
    <w:p w:rsidR="00B05F89" w:rsidRDefault="00B0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80" w:rsidRDefault="004E1C80" w:rsidP="00E22B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1C80" w:rsidRDefault="004E1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80" w:rsidRPr="00A57A7E" w:rsidRDefault="004E1C80" w:rsidP="00E22B5F">
    <w:pPr>
      <w:pStyle w:val="Footer"/>
      <w:framePr w:wrap="around" w:vAnchor="text" w:hAnchor="margin" w:xAlign="center" w:y="1"/>
      <w:rPr>
        <w:rStyle w:val="PageNumber"/>
        <w:sz w:val="22"/>
        <w:szCs w:val="22"/>
      </w:rPr>
    </w:pPr>
    <w:r w:rsidRPr="00A57A7E">
      <w:rPr>
        <w:rStyle w:val="PageNumber"/>
        <w:sz w:val="22"/>
        <w:szCs w:val="22"/>
      </w:rPr>
      <w:fldChar w:fldCharType="begin"/>
    </w:r>
    <w:r w:rsidRPr="00A57A7E">
      <w:rPr>
        <w:rStyle w:val="PageNumber"/>
        <w:sz w:val="22"/>
        <w:szCs w:val="22"/>
      </w:rPr>
      <w:instrText xml:space="preserve">PAGE  </w:instrText>
    </w:r>
    <w:r w:rsidRPr="00A57A7E">
      <w:rPr>
        <w:rStyle w:val="PageNumber"/>
        <w:sz w:val="22"/>
        <w:szCs w:val="22"/>
      </w:rPr>
      <w:fldChar w:fldCharType="separate"/>
    </w:r>
    <w:r w:rsidR="0061295F">
      <w:rPr>
        <w:rStyle w:val="PageNumber"/>
        <w:noProof/>
        <w:sz w:val="22"/>
        <w:szCs w:val="22"/>
      </w:rPr>
      <w:t>1</w:t>
    </w:r>
    <w:r w:rsidRPr="00A57A7E">
      <w:rPr>
        <w:rStyle w:val="PageNumber"/>
        <w:sz w:val="22"/>
        <w:szCs w:val="22"/>
      </w:rPr>
      <w:fldChar w:fldCharType="end"/>
    </w:r>
  </w:p>
  <w:p w:rsidR="004E1C80" w:rsidRDefault="004E1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89" w:rsidRDefault="00B05F89">
      <w:r>
        <w:separator/>
      </w:r>
    </w:p>
  </w:footnote>
  <w:footnote w:type="continuationSeparator" w:id="0">
    <w:p w:rsidR="00B05F89" w:rsidRDefault="00B05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E60D9"/>
    <w:multiLevelType w:val="hybridMultilevel"/>
    <w:tmpl w:val="55BA3D40"/>
    <w:lvl w:ilvl="0" w:tplc="F168BD50">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52AD784C"/>
    <w:multiLevelType w:val="hybridMultilevel"/>
    <w:tmpl w:val="3EFE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C9"/>
    <w:rsid w:val="00005027"/>
    <w:rsid w:val="00103B0C"/>
    <w:rsid w:val="00126E0C"/>
    <w:rsid w:val="00191FEE"/>
    <w:rsid w:val="001B2156"/>
    <w:rsid w:val="001C595B"/>
    <w:rsid w:val="002316A6"/>
    <w:rsid w:val="00247646"/>
    <w:rsid w:val="002E2645"/>
    <w:rsid w:val="00304B97"/>
    <w:rsid w:val="00331298"/>
    <w:rsid w:val="003D5D05"/>
    <w:rsid w:val="004A4A82"/>
    <w:rsid w:val="004B1375"/>
    <w:rsid w:val="004D4FC9"/>
    <w:rsid w:val="004E1C80"/>
    <w:rsid w:val="00584854"/>
    <w:rsid w:val="0060548B"/>
    <w:rsid w:val="0061295F"/>
    <w:rsid w:val="00622DA3"/>
    <w:rsid w:val="0062774B"/>
    <w:rsid w:val="006A68B7"/>
    <w:rsid w:val="007739D1"/>
    <w:rsid w:val="0078639F"/>
    <w:rsid w:val="007B02D1"/>
    <w:rsid w:val="007F5A7D"/>
    <w:rsid w:val="007F7578"/>
    <w:rsid w:val="00820027"/>
    <w:rsid w:val="00832B90"/>
    <w:rsid w:val="00926CBD"/>
    <w:rsid w:val="009861F9"/>
    <w:rsid w:val="009A5E86"/>
    <w:rsid w:val="009E3871"/>
    <w:rsid w:val="00A57A7E"/>
    <w:rsid w:val="00A77388"/>
    <w:rsid w:val="00A87AFC"/>
    <w:rsid w:val="00AC5265"/>
    <w:rsid w:val="00B05F89"/>
    <w:rsid w:val="00BA61A5"/>
    <w:rsid w:val="00BD1EB9"/>
    <w:rsid w:val="00BF4F21"/>
    <w:rsid w:val="00C05A48"/>
    <w:rsid w:val="00C0738C"/>
    <w:rsid w:val="00D1157D"/>
    <w:rsid w:val="00D64942"/>
    <w:rsid w:val="00D966B8"/>
    <w:rsid w:val="00D96B36"/>
    <w:rsid w:val="00DA7986"/>
    <w:rsid w:val="00DB167F"/>
    <w:rsid w:val="00E0599C"/>
    <w:rsid w:val="00E22B5F"/>
    <w:rsid w:val="00E30966"/>
    <w:rsid w:val="00E32E1B"/>
    <w:rsid w:val="00EA0415"/>
    <w:rsid w:val="00EA7467"/>
    <w:rsid w:val="00ED1B0D"/>
    <w:rsid w:val="00F5641D"/>
    <w:rsid w:val="00FE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rsid w:val="00E32E1B"/>
    <w:pPr>
      <w:keepNext/>
      <w:jc w:val="center"/>
      <w:outlineLvl w:val="0"/>
    </w:pPr>
    <w:rPr>
      <w:rFonts w:ascii="Arial" w:hAnsi="Arial"/>
      <w:sz w:val="24"/>
    </w:rPr>
  </w:style>
  <w:style w:type="paragraph" w:styleId="Heading2">
    <w:name w:val="heading 2"/>
    <w:basedOn w:val="Normal"/>
    <w:next w:val="Normal"/>
    <w:link w:val="Heading2Char"/>
    <w:qFormat/>
    <w:rsid w:val="00E32E1B"/>
    <w:pPr>
      <w:keepNext/>
      <w:jc w:val="center"/>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120"/>
      <w:ind w:firstLine="720"/>
    </w:pPr>
  </w:style>
  <w:style w:type="character" w:styleId="EndnoteReference">
    <w:name w:val="endnote reference"/>
    <w:semiHidden/>
    <w:rPr>
      <w:rFonts w:ascii="Times New Roman" w:hAnsi="Times New Roman"/>
      <w:sz w:val="26"/>
      <w:vertAlign w:val="superscript"/>
    </w:rPr>
  </w:style>
  <w:style w:type="character" w:styleId="FootnoteReference">
    <w:name w:val="footnote reference"/>
    <w:semiHidden/>
    <w:rPr>
      <w:vertAlign w:val="superscript"/>
    </w:rPr>
  </w:style>
  <w:style w:type="paragraph" w:styleId="BodyText">
    <w:name w:val="Body Text"/>
    <w:basedOn w:val="Normal"/>
    <w:pPr>
      <w:spacing w:after="160"/>
    </w:pPr>
    <w:rPr>
      <w:sz w:val="20"/>
    </w:rPr>
  </w:style>
  <w:style w:type="paragraph" w:styleId="Footer">
    <w:name w:val="footer"/>
    <w:basedOn w:val="Normal"/>
    <w:rsid w:val="00A57A7E"/>
    <w:pPr>
      <w:tabs>
        <w:tab w:val="center" w:pos="4320"/>
        <w:tab w:val="right" w:pos="8640"/>
      </w:tabs>
    </w:pPr>
  </w:style>
  <w:style w:type="character" w:styleId="PageNumber">
    <w:name w:val="page number"/>
    <w:basedOn w:val="DefaultParagraphFont"/>
    <w:rsid w:val="00A57A7E"/>
  </w:style>
  <w:style w:type="paragraph" w:styleId="Header">
    <w:name w:val="header"/>
    <w:basedOn w:val="Normal"/>
    <w:rsid w:val="00A57A7E"/>
    <w:pPr>
      <w:tabs>
        <w:tab w:val="center" w:pos="4320"/>
        <w:tab w:val="right" w:pos="8640"/>
      </w:tabs>
    </w:pPr>
  </w:style>
  <w:style w:type="character" w:styleId="Hyperlink">
    <w:name w:val="Hyperlink"/>
    <w:rsid w:val="00832B90"/>
    <w:rPr>
      <w:color w:val="0000FF"/>
      <w:u w:val="single"/>
    </w:rPr>
  </w:style>
  <w:style w:type="paragraph" w:styleId="BalloonText">
    <w:name w:val="Balloon Text"/>
    <w:basedOn w:val="Normal"/>
    <w:link w:val="BalloonTextChar"/>
    <w:rsid w:val="00A77388"/>
    <w:rPr>
      <w:rFonts w:ascii="Tahoma" w:hAnsi="Tahoma" w:cs="Tahoma"/>
      <w:sz w:val="16"/>
      <w:szCs w:val="16"/>
    </w:rPr>
  </w:style>
  <w:style w:type="character" w:customStyle="1" w:styleId="BalloonTextChar">
    <w:name w:val="Balloon Text Char"/>
    <w:basedOn w:val="DefaultParagraphFont"/>
    <w:link w:val="BalloonText"/>
    <w:rsid w:val="00A77388"/>
    <w:rPr>
      <w:rFonts w:ascii="Tahoma" w:hAnsi="Tahoma" w:cs="Tahoma"/>
      <w:sz w:val="16"/>
      <w:szCs w:val="16"/>
    </w:rPr>
  </w:style>
  <w:style w:type="character" w:customStyle="1" w:styleId="Heading1Char">
    <w:name w:val="Heading 1 Char"/>
    <w:basedOn w:val="DefaultParagraphFont"/>
    <w:link w:val="Heading1"/>
    <w:rsid w:val="00E32E1B"/>
    <w:rPr>
      <w:rFonts w:ascii="Arial" w:hAnsi="Arial"/>
      <w:sz w:val="24"/>
    </w:rPr>
  </w:style>
  <w:style w:type="character" w:customStyle="1" w:styleId="Heading2Char">
    <w:name w:val="Heading 2 Char"/>
    <w:basedOn w:val="DefaultParagraphFont"/>
    <w:link w:val="Heading2"/>
    <w:rsid w:val="00E32E1B"/>
    <w:rPr>
      <w:rFonts w:ascii="Arial" w:hAnsi="Arial"/>
      <w:sz w:val="28"/>
    </w:rPr>
  </w:style>
  <w:style w:type="character" w:styleId="FollowedHyperlink">
    <w:name w:val="FollowedHyperlink"/>
    <w:basedOn w:val="DefaultParagraphFont"/>
    <w:rsid w:val="00BF4F21"/>
    <w:rPr>
      <w:color w:val="800080" w:themeColor="followedHyperlink"/>
      <w:u w:val="single"/>
    </w:rPr>
  </w:style>
  <w:style w:type="paragraph" w:styleId="ListParagraph">
    <w:name w:val="List Paragraph"/>
    <w:basedOn w:val="Normal"/>
    <w:uiPriority w:val="34"/>
    <w:qFormat/>
    <w:rsid w:val="00C07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rsid w:val="00E32E1B"/>
    <w:pPr>
      <w:keepNext/>
      <w:jc w:val="center"/>
      <w:outlineLvl w:val="0"/>
    </w:pPr>
    <w:rPr>
      <w:rFonts w:ascii="Arial" w:hAnsi="Arial"/>
      <w:sz w:val="24"/>
    </w:rPr>
  </w:style>
  <w:style w:type="paragraph" w:styleId="Heading2">
    <w:name w:val="heading 2"/>
    <w:basedOn w:val="Normal"/>
    <w:next w:val="Normal"/>
    <w:link w:val="Heading2Char"/>
    <w:qFormat/>
    <w:rsid w:val="00E32E1B"/>
    <w:pPr>
      <w:keepNext/>
      <w:jc w:val="center"/>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120"/>
      <w:ind w:firstLine="720"/>
    </w:pPr>
  </w:style>
  <w:style w:type="character" w:styleId="EndnoteReference">
    <w:name w:val="endnote reference"/>
    <w:semiHidden/>
    <w:rPr>
      <w:rFonts w:ascii="Times New Roman" w:hAnsi="Times New Roman"/>
      <w:sz w:val="26"/>
      <w:vertAlign w:val="superscript"/>
    </w:rPr>
  </w:style>
  <w:style w:type="character" w:styleId="FootnoteReference">
    <w:name w:val="footnote reference"/>
    <w:semiHidden/>
    <w:rPr>
      <w:vertAlign w:val="superscript"/>
    </w:rPr>
  </w:style>
  <w:style w:type="paragraph" w:styleId="BodyText">
    <w:name w:val="Body Text"/>
    <w:basedOn w:val="Normal"/>
    <w:pPr>
      <w:spacing w:after="160"/>
    </w:pPr>
    <w:rPr>
      <w:sz w:val="20"/>
    </w:rPr>
  </w:style>
  <w:style w:type="paragraph" w:styleId="Footer">
    <w:name w:val="footer"/>
    <w:basedOn w:val="Normal"/>
    <w:rsid w:val="00A57A7E"/>
    <w:pPr>
      <w:tabs>
        <w:tab w:val="center" w:pos="4320"/>
        <w:tab w:val="right" w:pos="8640"/>
      </w:tabs>
    </w:pPr>
  </w:style>
  <w:style w:type="character" w:styleId="PageNumber">
    <w:name w:val="page number"/>
    <w:basedOn w:val="DefaultParagraphFont"/>
    <w:rsid w:val="00A57A7E"/>
  </w:style>
  <w:style w:type="paragraph" w:styleId="Header">
    <w:name w:val="header"/>
    <w:basedOn w:val="Normal"/>
    <w:rsid w:val="00A57A7E"/>
    <w:pPr>
      <w:tabs>
        <w:tab w:val="center" w:pos="4320"/>
        <w:tab w:val="right" w:pos="8640"/>
      </w:tabs>
    </w:pPr>
  </w:style>
  <w:style w:type="character" w:styleId="Hyperlink">
    <w:name w:val="Hyperlink"/>
    <w:rsid w:val="00832B90"/>
    <w:rPr>
      <w:color w:val="0000FF"/>
      <w:u w:val="single"/>
    </w:rPr>
  </w:style>
  <w:style w:type="paragraph" w:styleId="BalloonText">
    <w:name w:val="Balloon Text"/>
    <w:basedOn w:val="Normal"/>
    <w:link w:val="BalloonTextChar"/>
    <w:rsid w:val="00A77388"/>
    <w:rPr>
      <w:rFonts w:ascii="Tahoma" w:hAnsi="Tahoma" w:cs="Tahoma"/>
      <w:sz w:val="16"/>
      <w:szCs w:val="16"/>
    </w:rPr>
  </w:style>
  <w:style w:type="character" w:customStyle="1" w:styleId="BalloonTextChar">
    <w:name w:val="Balloon Text Char"/>
    <w:basedOn w:val="DefaultParagraphFont"/>
    <w:link w:val="BalloonText"/>
    <w:rsid w:val="00A77388"/>
    <w:rPr>
      <w:rFonts w:ascii="Tahoma" w:hAnsi="Tahoma" w:cs="Tahoma"/>
      <w:sz w:val="16"/>
      <w:szCs w:val="16"/>
    </w:rPr>
  </w:style>
  <w:style w:type="character" w:customStyle="1" w:styleId="Heading1Char">
    <w:name w:val="Heading 1 Char"/>
    <w:basedOn w:val="DefaultParagraphFont"/>
    <w:link w:val="Heading1"/>
    <w:rsid w:val="00E32E1B"/>
    <w:rPr>
      <w:rFonts w:ascii="Arial" w:hAnsi="Arial"/>
      <w:sz w:val="24"/>
    </w:rPr>
  </w:style>
  <w:style w:type="character" w:customStyle="1" w:styleId="Heading2Char">
    <w:name w:val="Heading 2 Char"/>
    <w:basedOn w:val="DefaultParagraphFont"/>
    <w:link w:val="Heading2"/>
    <w:rsid w:val="00E32E1B"/>
    <w:rPr>
      <w:rFonts w:ascii="Arial" w:hAnsi="Arial"/>
      <w:sz w:val="28"/>
    </w:rPr>
  </w:style>
  <w:style w:type="character" w:styleId="FollowedHyperlink">
    <w:name w:val="FollowedHyperlink"/>
    <w:basedOn w:val="DefaultParagraphFont"/>
    <w:rsid w:val="00BF4F21"/>
    <w:rPr>
      <w:color w:val="800080" w:themeColor="followedHyperlink"/>
      <w:u w:val="single"/>
    </w:rPr>
  </w:style>
  <w:style w:type="paragraph" w:styleId="ListParagraph">
    <w:name w:val="List Paragraph"/>
    <w:basedOn w:val="Normal"/>
    <w:uiPriority w:val="34"/>
    <w:qFormat/>
    <w:rsid w:val="00C07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57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c.pa.gov/utility_industry/telecommunications/application_to_provide_telecom_servic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ma.state.p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6E6-516A-406E-A7EA-0C631EC5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5654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Telco Application Cover Letter</vt:lpstr>
    </vt:vector>
  </TitlesOfParts>
  <Company>PA PUC</Company>
  <LinksUpToDate>false</LinksUpToDate>
  <CharactersWithSpaces>6540</CharactersWithSpaces>
  <SharedDoc>false</SharedDoc>
  <HLinks>
    <vt:vector size="12" baseType="variant">
      <vt:variant>
        <vt:i4>6422577</vt:i4>
      </vt:variant>
      <vt:variant>
        <vt:i4>3</vt:i4>
      </vt:variant>
      <vt:variant>
        <vt:i4>0</vt:i4>
      </vt:variant>
      <vt:variant>
        <vt:i4>5</vt:i4>
      </vt:variant>
      <vt:variant>
        <vt:lpwstr>http://www.puc.state.pa.us/</vt:lpwstr>
      </vt:variant>
      <vt:variant>
        <vt:lpwstr/>
      </vt:variant>
      <vt:variant>
        <vt:i4>851982</vt:i4>
      </vt:variant>
      <vt:variant>
        <vt:i4>0</vt:i4>
      </vt:variant>
      <vt:variant>
        <vt:i4>0</vt:i4>
      </vt:variant>
      <vt:variant>
        <vt:i4>5</vt:i4>
      </vt:variant>
      <vt:variant>
        <vt:lpwstr>http://www.pema.state.pa.us/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Telco Application Cover Letter</dc:title>
  <dc:creator>TROUT</dc:creator>
  <cp:lastModifiedBy>cypage</cp:lastModifiedBy>
  <cp:revision>2</cp:revision>
  <cp:lastPrinted>2012-12-18T13:53:00Z</cp:lastPrinted>
  <dcterms:created xsi:type="dcterms:W3CDTF">2012-12-18T16:23:00Z</dcterms:created>
  <dcterms:modified xsi:type="dcterms:W3CDTF">2012-12-18T16:23:00Z</dcterms:modified>
</cp:coreProperties>
</file>