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997"/>
        <w:gridCol w:w="1530"/>
      </w:tblGrid>
      <w:tr w:rsidR="00C74A51" w:rsidTr="008264DE">
        <w:trPr>
          <w:trHeight w:val="990"/>
        </w:trPr>
        <w:tc>
          <w:tcPr>
            <w:tcW w:w="1363" w:type="dxa"/>
          </w:tcPr>
          <w:p w:rsidR="00C74A51" w:rsidRDefault="00E2333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53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061A0A" w:rsidRDefault="00061A0A" w:rsidP="00061A0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061A0A" w:rsidRDefault="00061A0A" w:rsidP="00061A0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061A0A" w:rsidRDefault="00061A0A" w:rsidP="00061A0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8264DE" w:rsidRPr="00061A0A" w:rsidRDefault="00C74A51" w:rsidP="00061A0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</w:t>
            </w:r>
            <w:r w:rsidR="00061A0A">
              <w:rPr>
                <w:rFonts w:ascii="Arial" w:hAnsi="Arial"/>
                <w:b/>
                <w:spacing w:val="-1"/>
                <w:sz w:val="12"/>
              </w:rPr>
              <w:t>E</w:t>
            </w:r>
          </w:p>
        </w:tc>
      </w:tr>
    </w:tbl>
    <w:p w:rsidR="00C74A51" w:rsidRDefault="00C74A51">
      <w:pPr>
        <w:rPr>
          <w:sz w:val="24"/>
        </w:rPr>
        <w:sectPr w:rsidR="00C74A51" w:rsidSect="009E40EC">
          <w:headerReference w:type="default" r:id="rId10"/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Pr="008B041E" w:rsidRDefault="008B041E" w:rsidP="00FA0E37">
      <w:pPr>
        <w:jc w:val="center"/>
        <w:rPr>
          <w:sz w:val="26"/>
          <w:szCs w:val="26"/>
        </w:rPr>
      </w:pPr>
      <w:r w:rsidRPr="008B041E">
        <w:rPr>
          <w:sz w:val="26"/>
          <w:szCs w:val="26"/>
        </w:rPr>
        <w:lastRenderedPageBreak/>
        <w:t>April 26, 2012</w:t>
      </w:r>
    </w:p>
    <w:p w:rsidR="000B7F12" w:rsidRDefault="000B7F12" w:rsidP="005D491D">
      <w:pPr>
        <w:rPr>
          <w:sz w:val="26"/>
          <w:szCs w:val="26"/>
        </w:rPr>
      </w:pPr>
    </w:p>
    <w:p w:rsidR="000B7F12" w:rsidRDefault="000B7F12" w:rsidP="005D491D">
      <w:pPr>
        <w:rPr>
          <w:sz w:val="26"/>
          <w:szCs w:val="26"/>
        </w:rPr>
      </w:pPr>
    </w:p>
    <w:p w:rsidR="00A5572B" w:rsidRDefault="00260F70" w:rsidP="00061A0A">
      <w:pPr>
        <w:jc w:val="right"/>
        <w:rPr>
          <w:sz w:val="26"/>
          <w:szCs w:val="26"/>
        </w:rPr>
      </w:pPr>
      <w:r w:rsidRPr="00260F70">
        <w:rPr>
          <w:sz w:val="26"/>
          <w:szCs w:val="26"/>
        </w:rPr>
        <w:t>M-2012-2288561</w:t>
      </w:r>
      <w:r w:rsidR="00061A0A" w:rsidRPr="003E7D92">
        <w:rPr>
          <w:sz w:val="26"/>
          <w:szCs w:val="26"/>
          <w:highlight w:val="yellow"/>
        </w:rPr>
        <w:t xml:space="preserve"> </w:t>
      </w:r>
    </w:p>
    <w:p w:rsidR="00A5572B" w:rsidRPr="00607B3F" w:rsidRDefault="00607B3F" w:rsidP="005D491D">
      <w:pPr>
        <w:rPr>
          <w:b/>
          <w:sz w:val="26"/>
          <w:szCs w:val="26"/>
        </w:rPr>
      </w:pPr>
      <w:r w:rsidRPr="00607B3F">
        <w:rPr>
          <w:b/>
          <w:sz w:val="26"/>
          <w:szCs w:val="26"/>
        </w:rPr>
        <w:t>TO ALL PARTIES:</w:t>
      </w:r>
    </w:p>
    <w:p w:rsidR="000B7F12" w:rsidRDefault="000B7F12" w:rsidP="005D491D">
      <w:pPr>
        <w:rPr>
          <w:sz w:val="26"/>
          <w:szCs w:val="26"/>
        </w:rPr>
      </w:pPr>
    </w:p>
    <w:p w:rsidR="00DD64CC" w:rsidRPr="00C043E9" w:rsidRDefault="00DD64CC" w:rsidP="005D491D">
      <w:pPr>
        <w:rPr>
          <w:sz w:val="26"/>
          <w:szCs w:val="26"/>
        </w:rPr>
      </w:pPr>
    </w:p>
    <w:p w:rsidR="00607B3F" w:rsidRDefault="005D491D" w:rsidP="00607B3F">
      <w:pPr>
        <w:ind w:left="1440"/>
        <w:rPr>
          <w:b/>
          <w:sz w:val="26"/>
          <w:szCs w:val="26"/>
        </w:rPr>
      </w:pPr>
      <w:r w:rsidRPr="00C043E9">
        <w:rPr>
          <w:b/>
          <w:sz w:val="26"/>
          <w:szCs w:val="26"/>
        </w:rPr>
        <w:t>RE</w:t>
      </w:r>
      <w:r w:rsidRPr="00C043E9">
        <w:rPr>
          <w:sz w:val="26"/>
          <w:szCs w:val="26"/>
        </w:rPr>
        <w:t>:</w:t>
      </w:r>
      <w:r w:rsidRPr="00C043E9">
        <w:rPr>
          <w:sz w:val="26"/>
          <w:szCs w:val="26"/>
        </w:rPr>
        <w:tab/>
      </w:r>
      <w:r w:rsidR="008B041E">
        <w:rPr>
          <w:b/>
          <w:sz w:val="26"/>
          <w:szCs w:val="26"/>
        </w:rPr>
        <w:t>Implementation o</w:t>
      </w:r>
      <w:r w:rsidR="00607B3F" w:rsidRPr="00607B3F">
        <w:rPr>
          <w:b/>
          <w:sz w:val="26"/>
          <w:szCs w:val="26"/>
        </w:rPr>
        <w:t>f Unconvent</w:t>
      </w:r>
      <w:r w:rsidR="00607B3F">
        <w:rPr>
          <w:b/>
          <w:sz w:val="26"/>
          <w:szCs w:val="26"/>
        </w:rPr>
        <w:t>ional G</w:t>
      </w:r>
      <w:r w:rsidR="00607B3F" w:rsidRPr="00607B3F">
        <w:rPr>
          <w:b/>
          <w:sz w:val="26"/>
          <w:szCs w:val="26"/>
        </w:rPr>
        <w:t>as</w:t>
      </w:r>
    </w:p>
    <w:p w:rsidR="0037324C" w:rsidRDefault="00607B3F" w:rsidP="00607B3F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Well Fee Act, Act 13 o</w:t>
      </w:r>
      <w:r w:rsidRPr="00607B3F">
        <w:rPr>
          <w:b/>
          <w:sz w:val="26"/>
          <w:szCs w:val="26"/>
        </w:rPr>
        <w:t>f 2012</w:t>
      </w:r>
    </w:p>
    <w:p w:rsidR="00061A0A" w:rsidRDefault="00061A0A" w:rsidP="00061A0A">
      <w:pPr>
        <w:jc w:val="center"/>
        <w:rPr>
          <w:b/>
          <w:sz w:val="26"/>
          <w:szCs w:val="26"/>
        </w:rPr>
      </w:pPr>
    </w:p>
    <w:p w:rsidR="00260F70" w:rsidRDefault="00260F70" w:rsidP="005D491D">
      <w:pPr>
        <w:rPr>
          <w:sz w:val="26"/>
          <w:szCs w:val="26"/>
        </w:rPr>
      </w:pPr>
    </w:p>
    <w:p w:rsidR="005D491D" w:rsidRPr="00C043E9" w:rsidRDefault="00607B3F" w:rsidP="005D491D">
      <w:pPr>
        <w:rPr>
          <w:sz w:val="26"/>
          <w:szCs w:val="26"/>
        </w:rPr>
      </w:pPr>
      <w:r>
        <w:rPr>
          <w:sz w:val="26"/>
          <w:szCs w:val="26"/>
        </w:rPr>
        <w:t>To Whom It May Concern</w:t>
      </w:r>
      <w:r w:rsidR="005D491D" w:rsidRPr="00C043E9">
        <w:rPr>
          <w:sz w:val="26"/>
          <w:szCs w:val="26"/>
        </w:rPr>
        <w:t>:</w:t>
      </w:r>
    </w:p>
    <w:p w:rsidR="00C77F29" w:rsidRPr="00260F70" w:rsidRDefault="005D491D" w:rsidP="0037324C">
      <w:pPr>
        <w:rPr>
          <w:sz w:val="26"/>
          <w:szCs w:val="26"/>
        </w:rPr>
      </w:pPr>
      <w:r w:rsidRPr="00260F70">
        <w:rPr>
          <w:sz w:val="26"/>
          <w:szCs w:val="26"/>
        </w:rPr>
        <w:tab/>
      </w:r>
    </w:p>
    <w:p w:rsidR="00260F70" w:rsidRDefault="00260F70" w:rsidP="00260F70">
      <w:pPr>
        <w:ind w:firstLine="720"/>
        <w:rPr>
          <w:rFonts w:eastAsiaTheme="minorHAnsi"/>
          <w:sz w:val="26"/>
          <w:szCs w:val="26"/>
        </w:rPr>
      </w:pPr>
      <w:r w:rsidRPr="00260F70">
        <w:rPr>
          <w:rFonts w:eastAsiaTheme="minorHAnsi"/>
          <w:sz w:val="26"/>
          <w:szCs w:val="26"/>
        </w:rPr>
        <w:t xml:space="preserve">On March 29, 2012, a Petition for Review was filed in the Commonwealth Court challenging the constitutionality of Act 13 of 2012, the Unconventional Gas Well Impact Fee Act (Act 13).  </w:t>
      </w:r>
      <w:r w:rsidRPr="00260F70">
        <w:rPr>
          <w:rFonts w:eastAsiaTheme="minorHAnsi"/>
          <w:i/>
          <w:sz w:val="26"/>
          <w:szCs w:val="26"/>
        </w:rPr>
        <w:t>Robinson Township, et al. v. Commonwealth et al.</w:t>
      </w:r>
      <w:r w:rsidRPr="00260F70">
        <w:rPr>
          <w:rFonts w:eastAsiaTheme="minorHAnsi"/>
          <w:sz w:val="26"/>
          <w:szCs w:val="26"/>
        </w:rPr>
        <w:t xml:space="preserve">, No. 284 M.D. 2012.  On April 3, 2012, the Petitioners also filed an Application for Special Relief in the Nature of a Preliminary Injunction.  </w:t>
      </w:r>
    </w:p>
    <w:p w:rsidR="00260F70" w:rsidRPr="00260F70" w:rsidRDefault="00260F70" w:rsidP="00260F70">
      <w:pPr>
        <w:ind w:firstLine="720"/>
        <w:rPr>
          <w:rFonts w:eastAsiaTheme="minorHAnsi"/>
          <w:sz w:val="26"/>
          <w:szCs w:val="26"/>
        </w:rPr>
      </w:pPr>
    </w:p>
    <w:p w:rsidR="00260F70" w:rsidRPr="00260F70" w:rsidRDefault="00260F70" w:rsidP="00260F70">
      <w:pPr>
        <w:spacing w:after="200"/>
        <w:ind w:firstLine="720"/>
        <w:rPr>
          <w:rFonts w:eastAsiaTheme="minorHAnsi"/>
          <w:sz w:val="26"/>
          <w:szCs w:val="26"/>
        </w:rPr>
      </w:pPr>
      <w:r w:rsidRPr="00260F70">
        <w:rPr>
          <w:rFonts w:eastAsiaTheme="minorHAnsi"/>
          <w:sz w:val="26"/>
          <w:szCs w:val="26"/>
        </w:rPr>
        <w:t>On April 11, 2012, the Commonwealth Court issued an order that preliminarily enjoined</w:t>
      </w:r>
      <w:r>
        <w:rPr>
          <w:rFonts w:eastAsiaTheme="minorHAnsi"/>
          <w:sz w:val="26"/>
          <w:szCs w:val="26"/>
        </w:rPr>
        <w:t xml:space="preserve"> </w:t>
      </w:r>
      <w:r w:rsidRPr="00260F70">
        <w:rPr>
          <w:rFonts w:eastAsiaTheme="minorHAnsi"/>
          <w:sz w:val="26"/>
          <w:szCs w:val="26"/>
        </w:rPr>
        <w:t>the effective date of Section 3309(b) for a period of 120 days.  The Order is ambiguous, however, whether it also enjoins the remainder of Chapter 33, and if so, for what period of time.</w:t>
      </w:r>
      <w:r>
        <w:rPr>
          <w:rFonts w:eastAsiaTheme="minorHAnsi"/>
          <w:sz w:val="26"/>
          <w:szCs w:val="26"/>
        </w:rPr>
        <w:t xml:space="preserve">  </w:t>
      </w:r>
      <w:r w:rsidRPr="00260F70">
        <w:rPr>
          <w:rFonts w:eastAsiaTheme="minorHAnsi"/>
          <w:sz w:val="26"/>
          <w:szCs w:val="26"/>
        </w:rPr>
        <w:t xml:space="preserve">Due to the ambiguity regarding the intention and scope of the Court’s April 11, 2012 Preliminary Injunction Order, the Commission has filed an </w:t>
      </w:r>
      <w:r w:rsidR="00547CB8">
        <w:rPr>
          <w:rFonts w:eastAsiaTheme="minorHAnsi"/>
          <w:sz w:val="26"/>
          <w:szCs w:val="26"/>
        </w:rPr>
        <w:t xml:space="preserve">Expedited </w:t>
      </w:r>
      <w:r w:rsidRPr="00260F70">
        <w:rPr>
          <w:rFonts w:eastAsiaTheme="minorHAnsi"/>
          <w:sz w:val="26"/>
          <w:szCs w:val="26"/>
        </w:rPr>
        <w:t xml:space="preserve">Application </w:t>
      </w:r>
      <w:r w:rsidR="00547CB8">
        <w:rPr>
          <w:rFonts w:eastAsiaTheme="minorHAnsi"/>
          <w:sz w:val="26"/>
          <w:szCs w:val="26"/>
        </w:rPr>
        <w:t>t</w:t>
      </w:r>
      <w:r w:rsidR="00DF0EB1">
        <w:rPr>
          <w:rFonts w:eastAsiaTheme="minorHAnsi"/>
          <w:sz w:val="26"/>
          <w:szCs w:val="26"/>
        </w:rPr>
        <w:t>o Modify Order</w:t>
      </w:r>
      <w:r w:rsidRPr="00260F70">
        <w:rPr>
          <w:rFonts w:eastAsiaTheme="minorHAnsi"/>
          <w:sz w:val="26"/>
          <w:szCs w:val="26"/>
        </w:rPr>
        <w:t>.</w:t>
      </w:r>
    </w:p>
    <w:p w:rsidR="00260F70" w:rsidRPr="00260F70" w:rsidRDefault="00260F70" w:rsidP="00260F70">
      <w:pPr>
        <w:spacing w:after="200"/>
        <w:ind w:firstLine="720"/>
        <w:rPr>
          <w:rFonts w:eastAsiaTheme="minorHAnsi"/>
          <w:sz w:val="26"/>
          <w:szCs w:val="26"/>
        </w:rPr>
      </w:pPr>
      <w:r w:rsidRPr="00260F70">
        <w:rPr>
          <w:rFonts w:eastAsiaTheme="minorHAnsi"/>
          <w:sz w:val="26"/>
          <w:szCs w:val="26"/>
        </w:rPr>
        <w:t>Accordingly, the Commission will temporarily delay issuance of its Final Implementation Order until a later</w:t>
      </w:r>
      <w:r>
        <w:rPr>
          <w:rFonts w:eastAsiaTheme="minorHAnsi"/>
          <w:sz w:val="26"/>
          <w:szCs w:val="26"/>
        </w:rPr>
        <w:t xml:space="preserve"> </w:t>
      </w:r>
      <w:r w:rsidRPr="00260F70">
        <w:rPr>
          <w:rFonts w:eastAsiaTheme="minorHAnsi"/>
          <w:sz w:val="26"/>
          <w:szCs w:val="26"/>
        </w:rPr>
        <w:t xml:space="preserve">public meeting.  </w:t>
      </w:r>
    </w:p>
    <w:p w:rsidR="0037324C" w:rsidRDefault="0037324C" w:rsidP="0037324C">
      <w:pPr>
        <w:rPr>
          <w:sz w:val="26"/>
          <w:szCs w:val="26"/>
        </w:rPr>
      </w:pPr>
    </w:p>
    <w:p w:rsidR="0037324C" w:rsidRDefault="008B041E" w:rsidP="00A5572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6E0CEE" wp14:editId="2EF2B07F">
            <wp:simplePos x="0" y="0"/>
            <wp:positionH relativeFrom="column">
              <wp:posOffset>2190750</wp:posOffset>
            </wp:positionH>
            <wp:positionV relativeFrom="paragraph">
              <wp:posOffset>139700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7324C">
        <w:rPr>
          <w:sz w:val="26"/>
          <w:szCs w:val="26"/>
        </w:rPr>
        <w:tab/>
      </w:r>
      <w:r w:rsidR="00A5572B">
        <w:rPr>
          <w:sz w:val="26"/>
          <w:szCs w:val="26"/>
        </w:rPr>
        <w:tab/>
      </w:r>
      <w:r w:rsidR="00A5572B">
        <w:rPr>
          <w:sz w:val="26"/>
          <w:szCs w:val="26"/>
        </w:rPr>
        <w:tab/>
      </w:r>
      <w:r w:rsidR="00A5572B">
        <w:rPr>
          <w:sz w:val="26"/>
          <w:szCs w:val="26"/>
        </w:rPr>
        <w:tab/>
      </w:r>
      <w:r w:rsidR="00A5572B">
        <w:rPr>
          <w:sz w:val="26"/>
          <w:szCs w:val="26"/>
        </w:rPr>
        <w:tab/>
      </w:r>
      <w:r w:rsidR="002904F9">
        <w:rPr>
          <w:sz w:val="26"/>
          <w:szCs w:val="26"/>
        </w:rPr>
        <w:tab/>
      </w:r>
      <w:r w:rsidR="0037324C">
        <w:rPr>
          <w:sz w:val="26"/>
          <w:szCs w:val="26"/>
        </w:rPr>
        <w:t>Sincerely,</w:t>
      </w:r>
    </w:p>
    <w:p w:rsidR="0037324C" w:rsidRDefault="0037324C" w:rsidP="0037324C">
      <w:pPr>
        <w:jc w:val="center"/>
        <w:rPr>
          <w:sz w:val="26"/>
          <w:szCs w:val="26"/>
        </w:rPr>
      </w:pPr>
    </w:p>
    <w:p w:rsidR="0037324C" w:rsidRDefault="0037324C" w:rsidP="0037324C">
      <w:pPr>
        <w:jc w:val="center"/>
        <w:rPr>
          <w:sz w:val="26"/>
          <w:szCs w:val="26"/>
        </w:rPr>
      </w:pPr>
    </w:p>
    <w:p w:rsidR="0037324C" w:rsidRDefault="0037324C" w:rsidP="0037324C">
      <w:pPr>
        <w:jc w:val="center"/>
        <w:rPr>
          <w:sz w:val="26"/>
          <w:szCs w:val="26"/>
        </w:rPr>
      </w:pPr>
    </w:p>
    <w:p w:rsidR="00A1061F" w:rsidRDefault="002460DB" w:rsidP="000B7F1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0B7F12">
        <w:rPr>
          <w:sz w:val="26"/>
          <w:szCs w:val="26"/>
        </w:rPr>
        <w:tab/>
      </w:r>
      <w:r w:rsidR="000B7F12">
        <w:rPr>
          <w:sz w:val="26"/>
          <w:szCs w:val="26"/>
        </w:rPr>
        <w:tab/>
      </w:r>
      <w:r w:rsidR="000B7F12">
        <w:rPr>
          <w:sz w:val="26"/>
          <w:szCs w:val="26"/>
        </w:rPr>
        <w:tab/>
      </w:r>
      <w:r w:rsidR="000B7F12">
        <w:rPr>
          <w:sz w:val="26"/>
          <w:szCs w:val="26"/>
        </w:rPr>
        <w:tab/>
      </w:r>
      <w:r w:rsidR="000B7F12">
        <w:rPr>
          <w:sz w:val="26"/>
          <w:szCs w:val="26"/>
        </w:rPr>
        <w:tab/>
      </w:r>
      <w:r w:rsidR="00405459">
        <w:rPr>
          <w:sz w:val="26"/>
          <w:szCs w:val="26"/>
        </w:rPr>
        <w:t xml:space="preserve">Rosemary </w:t>
      </w:r>
      <w:r w:rsidR="00405459" w:rsidRPr="00405459">
        <w:rPr>
          <w:sz w:val="26"/>
          <w:szCs w:val="26"/>
        </w:rPr>
        <w:t>Chiavetta</w:t>
      </w:r>
    </w:p>
    <w:p w:rsidR="000B7F12" w:rsidRDefault="000B7F12" w:rsidP="00A1061F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Secretary</w:t>
      </w:r>
    </w:p>
    <w:p w:rsidR="000B7F12" w:rsidRDefault="000B7F12" w:rsidP="000B7F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B7F12" w:rsidRDefault="000B7F12" w:rsidP="002460DB">
      <w:pPr>
        <w:tabs>
          <w:tab w:val="left" w:pos="4320"/>
        </w:tabs>
        <w:jc w:val="both"/>
        <w:rPr>
          <w:sz w:val="26"/>
          <w:szCs w:val="26"/>
        </w:rPr>
      </w:pPr>
    </w:p>
    <w:p w:rsidR="005E04A1" w:rsidRDefault="005E04A1" w:rsidP="002460DB">
      <w:pPr>
        <w:tabs>
          <w:tab w:val="left" w:pos="4320"/>
        </w:tabs>
        <w:jc w:val="both"/>
        <w:rPr>
          <w:sz w:val="26"/>
          <w:szCs w:val="26"/>
        </w:rPr>
      </w:pPr>
    </w:p>
    <w:p w:rsidR="002460DB" w:rsidRDefault="002460DB" w:rsidP="002460DB">
      <w:pPr>
        <w:tabs>
          <w:tab w:val="left" w:pos="4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cc:  </w:t>
      </w:r>
      <w:r w:rsidR="00260F70">
        <w:rPr>
          <w:sz w:val="26"/>
          <w:szCs w:val="26"/>
        </w:rPr>
        <w:t>John Herzog, Law Bureau</w:t>
      </w:r>
    </w:p>
    <w:p w:rsidR="00260F70" w:rsidRDefault="00260F70" w:rsidP="00260F70">
      <w:pPr>
        <w:tabs>
          <w:tab w:val="left" w:pos="450"/>
          <w:tab w:val="left" w:pos="4320"/>
        </w:tabs>
        <w:jc w:val="both"/>
      </w:pPr>
      <w:r>
        <w:rPr>
          <w:sz w:val="26"/>
          <w:szCs w:val="26"/>
        </w:rPr>
        <w:tab/>
        <w:t>James P. Melia, Law Bureau</w:t>
      </w:r>
    </w:p>
    <w:sectPr w:rsidR="00260F70" w:rsidSect="004B3B5E"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35" w:rsidRDefault="00F20535">
      <w:r>
        <w:separator/>
      </w:r>
    </w:p>
  </w:endnote>
  <w:endnote w:type="continuationSeparator" w:id="0">
    <w:p w:rsidR="00F20535" w:rsidRDefault="00F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2A3415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415" w:rsidRDefault="002A34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2A3415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415" w:rsidRDefault="002A34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2A34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3415" w:rsidRDefault="002A34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2A3415">
    <w:pPr>
      <w:pStyle w:val="Footer"/>
      <w:framePr w:wrap="around" w:vAnchor="text" w:hAnchor="margin" w:xAlign="center" w:y="1"/>
      <w:rPr>
        <w:rStyle w:val="PageNumber"/>
      </w:rPr>
    </w:pPr>
  </w:p>
  <w:p w:rsidR="002A3415" w:rsidRDefault="002A3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35" w:rsidRDefault="00F20535">
      <w:r>
        <w:separator/>
      </w:r>
    </w:p>
  </w:footnote>
  <w:footnote w:type="continuationSeparator" w:id="0">
    <w:p w:rsidR="00F20535" w:rsidRDefault="00F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1D" w:rsidRPr="005D491D" w:rsidRDefault="005D491D" w:rsidP="005D491D">
    <w:pPr>
      <w:rPr>
        <w:sz w:val="26"/>
        <w:szCs w:val="26"/>
      </w:rPr>
    </w:pPr>
    <w:r w:rsidRPr="005D491D">
      <w:rPr>
        <w:sz w:val="26"/>
        <w:szCs w:val="26"/>
      </w:rPr>
      <w:t>The Honorable Barbara Adams</w:t>
    </w:r>
  </w:p>
  <w:p w:rsidR="005D491D" w:rsidRPr="005D491D" w:rsidRDefault="005D491D" w:rsidP="005D491D">
    <w:pPr>
      <w:rPr>
        <w:sz w:val="26"/>
        <w:szCs w:val="26"/>
      </w:rPr>
    </w:pPr>
    <w:r w:rsidRPr="005D491D">
      <w:rPr>
        <w:sz w:val="26"/>
        <w:szCs w:val="26"/>
      </w:rPr>
      <w:t xml:space="preserve">October </w:t>
    </w:r>
    <w:r>
      <w:rPr>
        <w:sz w:val="26"/>
        <w:szCs w:val="26"/>
      </w:rPr>
      <w:t>14</w:t>
    </w:r>
    <w:r w:rsidRPr="005D491D">
      <w:rPr>
        <w:sz w:val="26"/>
        <w:szCs w:val="26"/>
      </w:rPr>
      <w:t>, 2008</w:t>
    </w:r>
  </w:p>
  <w:p w:rsidR="005D491D" w:rsidRPr="005D491D" w:rsidRDefault="005D491D" w:rsidP="005D491D">
    <w:pPr>
      <w:rPr>
        <w:sz w:val="26"/>
        <w:szCs w:val="26"/>
      </w:rPr>
    </w:pPr>
    <w:r w:rsidRPr="005D491D">
      <w:rPr>
        <w:sz w:val="26"/>
        <w:szCs w:val="26"/>
      </w:rPr>
      <w:t>Page 2</w:t>
    </w:r>
  </w:p>
  <w:p w:rsidR="005D491D" w:rsidRDefault="005D4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C0D"/>
    <w:rsid w:val="00061A0A"/>
    <w:rsid w:val="000721A5"/>
    <w:rsid w:val="000B7F12"/>
    <w:rsid w:val="00100E99"/>
    <w:rsid w:val="001209F1"/>
    <w:rsid w:val="00171329"/>
    <w:rsid w:val="001B16E6"/>
    <w:rsid w:val="001E1BF3"/>
    <w:rsid w:val="002224FC"/>
    <w:rsid w:val="002229C3"/>
    <w:rsid w:val="002460DB"/>
    <w:rsid w:val="00260F70"/>
    <w:rsid w:val="002904F9"/>
    <w:rsid w:val="0029471C"/>
    <w:rsid w:val="002A3415"/>
    <w:rsid w:val="002F0138"/>
    <w:rsid w:val="003569E8"/>
    <w:rsid w:val="0037324C"/>
    <w:rsid w:val="003E7D92"/>
    <w:rsid w:val="00405459"/>
    <w:rsid w:val="00460FB2"/>
    <w:rsid w:val="004B3B5E"/>
    <w:rsid w:val="004B5F0C"/>
    <w:rsid w:val="004D2698"/>
    <w:rsid w:val="0051639C"/>
    <w:rsid w:val="005403A8"/>
    <w:rsid w:val="00547CB8"/>
    <w:rsid w:val="005D491D"/>
    <w:rsid w:val="005D7F45"/>
    <w:rsid w:val="005E04A1"/>
    <w:rsid w:val="005E25C5"/>
    <w:rsid w:val="00607B3F"/>
    <w:rsid w:val="00632537"/>
    <w:rsid w:val="006755C0"/>
    <w:rsid w:val="0070270E"/>
    <w:rsid w:val="00723E31"/>
    <w:rsid w:val="007617B1"/>
    <w:rsid w:val="007805C2"/>
    <w:rsid w:val="007B5696"/>
    <w:rsid w:val="007E7858"/>
    <w:rsid w:val="008264DE"/>
    <w:rsid w:val="00851E0B"/>
    <w:rsid w:val="008B041E"/>
    <w:rsid w:val="009B23D8"/>
    <w:rsid w:val="009E40EC"/>
    <w:rsid w:val="009E4BE6"/>
    <w:rsid w:val="009E6A39"/>
    <w:rsid w:val="009F5F66"/>
    <w:rsid w:val="00A1061F"/>
    <w:rsid w:val="00A1524F"/>
    <w:rsid w:val="00A5572B"/>
    <w:rsid w:val="00A7209C"/>
    <w:rsid w:val="00B32CEB"/>
    <w:rsid w:val="00BE4A72"/>
    <w:rsid w:val="00BE5119"/>
    <w:rsid w:val="00C14E49"/>
    <w:rsid w:val="00C74A51"/>
    <w:rsid w:val="00C77F29"/>
    <w:rsid w:val="00C90506"/>
    <w:rsid w:val="00CB5738"/>
    <w:rsid w:val="00CF047C"/>
    <w:rsid w:val="00D11E6B"/>
    <w:rsid w:val="00DD64CC"/>
    <w:rsid w:val="00DF0EB1"/>
    <w:rsid w:val="00DF4719"/>
    <w:rsid w:val="00E2333A"/>
    <w:rsid w:val="00E349DA"/>
    <w:rsid w:val="00EB6D5E"/>
    <w:rsid w:val="00F20535"/>
    <w:rsid w:val="00F41DE1"/>
    <w:rsid w:val="00F7094C"/>
    <w:rsid w:val="00F81510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Hyperlink">
    <w:name w:val="Hyperlink"/>
    <w:basedOn w:val="DefaultParagraphFont"/>
    <w:rsid w:val="00DF4719"/>
    <w:rPr>
      <w:color w:val="0000FF"/>
      <w:u w:val="single"/>
    </w:rPr>
  </w:style>
  <w:style w:type="paragraph" w:styleId="FootnoteText">
    <w:name w:val="footnote text"/>
    <w:basedOn w:val="Normal"/>
    <w:semiHidden/>
    <w:rsid w:val="00DF4719"/>
  </w:style>
  <w:style w:type="character" w:styleId="FootnoteReference">
    <w:name w:val="footnote reference"/>
    <w:basedOn w:val="DefaultParagraphFont"/>
    <w:semiHidden/>
    <w:rsid w:val="00DF4719"/>
    <w:rPr>
      <w:vertAlign w:val="superscript"/>
    </w:rPr>
  </w:style>
  <w:style w:type="table" w:styleId="TableGrid">
    <w:name w:val="Table Grid"/>
    <w:basedOn w:val="TableNormal"/>
    <w:rsid w:val="00DF4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260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F70"/>
    <w:pPr>
      <w:spacing w:after="200"/>
    </w:pPr>
    <w:rPr>
      <w:rFonts w:ascii="Times New (W1)" w:eastAsiaTheme="minorHAnsi" w:hAnsi="Times New (W1)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F70"/>
    <w:rPr>
      <w:rFonts w:ascii="Times New (W1)" w:eastAsiaTheme="minorHAnsi" w:hAnsi="Times New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Hyperlink">
    <w:name w:val="Hyperlink"/>
    <w:basedOn w:val="DefaultParagraphFont"/>
    <w:rsid w:val="00DF4719"/>
    <w:rPr>
      <w:color w:val="0000FF"/>
      <w:u w:val="single"/>
    </w:rPr>
  </w:style>
  <w:style w:type="paragraph" w:styleId="FootnoteText">
    <w:name w:val="footnote text"/>
    <w:basedOn w:val="Normal"/>
    <w:semiHidden/>
    <w:rsid w:val="00DF4719"/>
  </w:style>
  <w:style w:type="character" w:styleId="FootnoteReference">
    <w:name w:val="footnote reference"/>
    <w:basedOn w:val="DefaultParagraphFont"/>
    <w:semiHidden/>
    <w:rsid w:val="00DF4719"/>
    <w:rPr>
      <w:vertAlign w:val="superscript"/>
    </w:rPr>
  </w:style>
  <w:style w:type="table" w:styleId="TableGrid">
    <w:name w:val="Table Grid"/>
    <w:basedOn w:val="TableNormal"/>
    <w:rsid w:val="00DF4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260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F70"/>
    <w:pPr>
      <w:spacing w:after="200"/>
    </w:pPr>
    <w:rPr>
      <w:rFonts w:ascii="Times New (W1)" w:eastAsiaTheme="minorHAnsi" w:hAnsi="Times New (W1)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F70"/>
    <w:rPr>
      <w:rFonts w:ascii="Times New (W1)" w:eastAsiaTheme="minorHAnsi" w:hAnsi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4841-C0C5-48A9-AD62-833C657B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Miller, Sara</cp:lastModifiedBy>
  <cp:revision>9</cp:revision>
  <cp:lastPrinted>2012-04-26T15:00:00Z</cp:lastPrinted>
  <dcterms:created xsi:type="dcterms:W3CDTF">2012-04-25T17:00:00Z</dcterms:created>
  <dcterms:modified xsi:type="dcterms:W3CDTF">2012-04-26T15:00:00Z</dcterms:modified>
</cp:coreProperties>
</file>